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4C9" w:rsidRPr="00D71148" w:rsidRDefault="00DD04C9" w:rsidP="00DD04C9">
      <w:pPr>
        <w:spacing w:line="240" w:lineRule="auto"/>
        <w:rPr>
          <w:sz w:val="2"/>
        </w:rPr>
        <w:sectPr w:rsidR="00DD04C9" w:rsidRPr="00D71148" w:rsidSect="00DD04C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D71148">
        <w:rPr>
          <w:rStyle w:val="CommentReference"/>
        </w:rPr>
        <w:commentReference w:id="0"/>
      </w:r>
      <w:bookmarkStart w:id="1" w:name="_GoBack"/>
      <w:bookmarkEnd w:id="1"/>
    </w:p>
    <w:p w:rsidR="000E0B34" w:rsidRPr="00D71148" w:rsidRDefault="000E0B34" w:rsidP="00336659">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170" w:firstLine="0"/>
      </w:pPr>
      <w:r w:rsidRPr="00D71148">
        <w:lastRenderedPageBreak/>
        <w:t>Committee on the Elimination of Discrimination</w:t>
      </w:r>
      <w:r w:rsidR="004E3A86" w:rsidRPr="00D71148">
        <w:t xml:space="preserve"> </w:t>
      </w:r>
      <w:r w:rsidR="00336659" w:rsidRPr="00D71148">
        <w:t>against Women</w:t>
      </w:r>
    </w:p>
    <w:p w:rsidR="004E3A86" w:rsidRPr="00D71148" w:rsidRDefault="004E3A86" w:rsidP="004E3A86">
      <w:pPr>
        <w:pStyle w:val="SingleTxt"/>
        <w:spacing w:after="0" w:line="120" w:lineRule="exact"/>
        <w:rPr>
          <w:sz w:val="10"/>
        </w:rPr>
      </w:pPr>
    </w:p>
    <w:p w:rsidR="004E3A86" w:rsidRPr="00D71148" w:rsidRDefault="004E3A86" w:rsidP="004E3A86">
      <w:pPr>
        <w:pStyle w:val="SingleTxt"/>
        <w:spacing w:after="0" w:line="120" w:lineRule="exact"/>
        <w:rPr>
          <w:sz w:val="10"/>
        </w:rPr>
      </w:pPr>
    </w:p>
    <w:p w:rsidR="004E3A86" w:rsidRPr="00D71148" w:rsidRDefault="004E3A86" w:rsidP="004E3A86">
      <w:pPr>
        <w:pStyle w:val="SingleTxt"/>
        <w:spacing w:after="0" w:line="120" w:lineRule="exact"/>
        <w:rPr>
          <w:sz w:val="10"/>
        </w:rPr>
      </w:pPr>
    </w:p>
    <w:p w:rsidR="00080522" w:rsidRPr="00D71148" w:rsidRDefault="00080522" w:rsidP="00080522">
      <w:pPr>
        <w:framePr w:w="9792" w:h="432" w:hSpace="180" w:wrap="around" w:hAnchor="page" w:x="1210" w:yAlign="bottom"/>
        <w:spacing w:line="240" w:lineRule="auto"/>
        <w:rPr>
          <w:sz w:val="10"/>
        </w:rPr>
      </w:pPr>
    </w:p>
    <w:p w:rsidR="00080522" w:rsidRPr="00D71148" w:rsidRDefault="00080522" w:rsidP="00080522">
      <w:pPr>
        <w:framePr w:w="9792" w:h="432" w:hSpace="180" w:wrap="around" w:hAnchor="page" w:x="1210" w:yAlign="bottom"/>
        <w:spacing w:line="240" w:lineRule="auto"/>
        <w:rPr>
          <w:sz w:val="6"/>
        </w:rPr>
      </w:pPr>
      <w:r w:rsidRPr="00D71148">
        <w:rPr>
          <w:noProof/>
          <w:w w:val="100"/>
          <w:sz w:val="6"/>
          <w:lang w:val="en-US"/>
        </w:rPr>
        <mc:AlternateContent>
          <mc:Choice Requires="wps">
            <w:drawing>
              <wp:anchor distT="0" distB="0" distL="114300" distR="114300" simplePos="0" relativeHeight="251659264" behindDoc="0" locked="0" layoutInCell="1" allowOverlap="1" wp14:anchorId="7B9AAAEE" wp14:editId="779C768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080522" w:rsidRPr="00D71148" w:rsidRDefault="00080522" w:rsidP="0008052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D71148">
        <w:rPr>
          <w:sz w:val="17"/>
        </w:rPr>
        <w:tab/>
        <w:t>*</w:t>
      </w:r>
      <w:r w:rsidRPr="00D71148">
        <w:rPr>
          <w:sz w:val="17"/>
        </w:rPr>
        <w:tab/>
        <w:t>Adopted by the Committee at its sixty-fifth session (24 October-18 November 2016).</w:t>
      </w:r>
    </w:p>
    <w:p w:rsidR="000E0B34" w:rsidRPr="00D71148" w:rsidRDefault="000E0B34" w:rsidP="004E3A86">
      <w:pPr>
        <w:pStyle w:val="HCh"/>
        <w:ind w:left="1267" w:right="1260" w:hanging="1267"/>
      </w:pPr>
      <w:r w:rsidRPr="00D71148">
        <w:tab/>
      </w:r>
      <w:r w:rsidRPr="00D71148">
        <w:tab/>
        <w:t>Concluding observations on the combined fifth and sixth per</w:t>
      </w:r>
      <w:r w:rsidR="004E3A86" w:rsidRPr="00D71148">
        <w:t>iodic reports of Estonia</w:t>
      </w:r>
      <w:r w:rsidR="004E3A86" w:rsidRPr="00D71148">
        <w:rPr>
          <w:b w:val="0"/>
          <w:position w:val="2"/>
          <w:sz w:val="20"/>
        </w:rPr>
        <w:t>*</w:t>
      </w:r>
    </w:p>
    <w:p w:rsidR="004E3A86" w:rsidRPr="00D71148" w:rsidRDefault="004E3A86" w:rsidP="004E3A86">
      <w:pPr>
        <w:pStyle w:val="SingleTxt"/>
        <w:spacing w:after="0" w:line="120" w:lineRule="exact"/>
        <w:rPr>
          <w:sz w:val="10"/>
        </w:rPr>
      </w:pPr>
    </w:p>
    <w:p w:rsidR="004E3A86" w:rsidRPr="00D71148" w:rsidRDefault="004E3A86" w:rsidP="004E3A86">
      <w:pPr>
        <w:pStyle w:val="SingleTxt"/>
        <w:spacing w:after="0" w:line="120" w:lineRule="exact"/>
        <w:rPr>
          <w:sz w:val="10"/>
        </w:rPr>
      </w:pPr>
    </w:p>
    <w:p w:rsidR="00E64DB7" w:rsidRPr="00D71148" w:rsidRDefault="000E0B34" w:rsidP="00061CEB">
      <w:pPr>
        <w:pStyle w:val="SingleTxt"/>
      </w:pPr>
      <w:r w:rsidRPr="00D71148">
        <w:t>1.</w:t>
      </w:r>
      <w:r w:rsidRPr="00D71148">
        <w:tab/>
        <w:t>The Committee considered the combined fifth and sixth periodic reports of Estonia (</w:t>
      </w:r>
      <w:hyperlink r:id="rId15" w:history="1">
        <w:r w:rsidRPr="00D71148">
          <w:rPr>
            <w:rStyle w:val="Hyperlink"/>
          </w:rPr>
          <w:t>CEDAW/C/EST/5</w:t>
        </w:r>
        <w:r w:rsidR="00EB3A67" w:rsidRPr="00D71148">
          <w:rPr>
            <w:rStyle w:val="Hyperlink"/>
          </w:rPr>
          <w:t>-</w:t>
        </w:r>
        <w:r w:rsidRPr="00D71148">
          <w:rPr>
            <w:rStyle w:val="Hyperlink"/>
          </w:rPr>
          <w:t>6</w:t>
        </w:r>
      </w:hyperlink>
      <w:r w:rsidRPr="00D71148">
        <w:t xml:space="preserve">) at its 1455th and 1456th meetings, on 9 November 2016 (see </w:t>
      </w:r>
      <w:hyperlink r:id="rId16" w:history="1">
        <w:r w:rsidRPr="00D71148">
          <w:rPr>
            <w:rStyle w:val="Hyperlink"/>
          </w:rPr>
          <w:t>CEDAW/C/SR.1455</w:t>
        </w:r>
      </w:hyperlink>
      <w:r w:rsidRPr="00D71148">
        <w:t xml:space="preserve"> and 1456). The Committee</w:t>
      </w:r>
      <w:r w:rsidR="00EB3A67" w:rsidRPr="00D71148">
        <w:t>’</w:t>
      </w:r>
      <w:r w:rsidRPr="00D71148">
        <w:t xml:space="preserve">s list of issues and questions is contained in </w:t>
      </w:r>
      <w:hyperlink r:id="rId17" w:history="1">
        <w:r w:rsidRPr="00D71148">
          <w:rPr>
            <w:rStyle w:val="Hyperlink"/>
          </w:rPr>
          <w:t>CEDAW/C/EST/Q/5</w:t>
        </w:r>
        <w:r w:rsidR="00EB3A67" w:rsidRPr="00D71148">
          <w:rPr>
            <w:rStyle w:val="Hyperlink"/>
          </w:rPr>
          <w:t>-</w:t>
        </w:r>
        <w:r w:rsidRPr="00D71148">
          <w:rPr>
            <w:rStyle w:val="Hyperlink"/>
          </w:rPr>
          <w:t>6</w:t>
        </w:r>
      </w:hyperlink>
      <w:r w:rsidRPr="00D71148">
        <w:t xml:space="preserve"> and the responses of Estonia are contained in </w:t>
      </w:r>
      <w:hyperlink r:id="rId18" w:history="1">
        <w:r w:rsidRPr="00D71148">
          <w:rPr>
            <w:rStyle w:val="Hyperlink"/>
          </w:rPr>
          <w:t>CEDAW/C/EST/Q/5</w:t>
        </w:r>
        <w:r w:rsidR="00EB3A67" w:rsidRPr="00D71148">
          <w:rPr>
            <w:rStyle w:val="Hyperlink"/>
          </w:rPr>
          <w:t>-</w:t>
        </w:r>
        <w:r w:rsidRPr="00D71148">
          <w:rPr>
            <w:rStyle w:val="Hyperlink"/>
          </w:rPr>
          <w:t>6/Add.1</w:t>
        </w:r>
      </w:hyperlink>
      <w:r w:rsidRPr="00D71148">
        <w:t xml:space="preserve">. </w:t>
      </w:r>
    </w:p>
    <w:p w:rsidR="00061CEB" w:rsidRPr="00D71148" w:rsidRDefault="00061CEB" w:rsidP="00061CEB">
      <w:pPr>
        <w:pStyle w:val="SingleTxt"/>
        <w:spacing w:after="0" w:line="120" w:lineRule="exact"/>
        <w:rPr>
          <w:sz w:val="10"/>
        </w:rPr>
      </w:pPr>
    </w:p>
    <w:p w:rsidR="00061CEB" w:rsidRPr="00D71148" w:rsidRDefault="00061CEB" w:rsidP="00061CEB">
      <w:pPr>
        <w:pStyle w:val="SingleTxt"/>
        <w:spacing w:after="0" w:line="120" w:lineRule="exact"/>
        <w:rPr>
          <w:sz w:val="10"/>
        </w:rPr>
      </w:pPr>
    </w:p>
    <w:p w:rsidR="000E0B34" w:rsidRPr="00D71148" w:rsidRDefault="000E0B34" w:rsidP="00E64DB7">
      <w:pPr>
        <w:pStyle w:val="H1"/>
        <w:ind w:right="1260"/>
      </w:pPr>
      <w:r w:rsidRPr="00D71148">
        <w:tab/>
        <w:t>A.</w:t>
      </w:r>
      <w:r w:rsidRPr="00D71148">
        <w:tab/>
        <w:t xml:space="preserve">Introduction </w:t>
      </w:r>
    </w:p>
    <w:p w:rsidR="00E64DB7" w:rsidRPr="00D71148" w:rsidRDefault="00E64DB7" w:rsidP="00E64DB7">
      <w:pPr>
        <w:pStyle w:val="SingleTxt"/>
        <w:spacing w:after="0" w:line="120" w:lineRule="exact"/>
        <w:rPr>
          <w:sz w:val="10"/>
        </w:rPr>
      </w:pP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2.</w:t>
      </w:r>
      <w:r w:rsidRPr="00D71148">
        <w:tab/>
        <w:t>The Committee appreciates the submission by the State party of its combined fifth and sixth periodic reports. It also appreciates the State party</w:t>
      </w:r>
      <w:r w:rsidR="00EB3A67" w:rsidRPr="00D71148">
        <w:t>’</w:t>
      </w:r>
      <w:r w:rsidRPr="00D71148">
        <w:t>s written replies to the list of issues and questions raised by the pre</w:t>
      </w:r>
      <w:r w:rsidR="00EB3A67" w:rsidRPr="00D71148">
        <w:t>-</w:t>
      </w:r>
      <w:r w:rsidRPr="00D71148">
        <w:t xml:space="preserve">sessional working group and welcomes the oral presentation by the delegation and the further clarifications provided in response to the questions posed orally by the Committee during the dialogue. </w:t>
      </w:r>
    </w:p>
    <w:p w:rsidR="000E0B34" w:rsidRPr="00D71148" w:rsidRDefault="000E0B34" w:rsidP="000E0B34">
      <w:pPr>
        <w:pStyle w:val="SingleTxt"/>
      </w:pPr>
      <w:r w:rsidRPr="00D71148">
        <w:t>3.</w:t>
      </w:r>
      <w:r w:rsidRPr="00D71148">
        <w:tab/>
        <w:t>The Committee commends the State party on its multisectoral delegation, which was headed by the Deputy Secretary</w:t>
      </w:r>
      <w:r w:rsidR="00EB3A67" w:rsidRPr="00D71148">
        <w:t>-</w:t>
      </w:r>
      <w:r w:rsidRPr="00D71148">
        <w:t>General on Social Policy, Ministry of Social Affairs, Rait Kuuse, and included the Gender Equality and Equal Treatment Commissioner and representatives of the Ministry of Social Affairs, Parliament and the Permanent Mission of Estonia to the United Nations Office and other international organizations in Geneva.</w:t>
      </w:r>
    </w:p>
    <w:p w:rsidR="00E64DB7" w:rsidRPr="00D71148" w:rsidRDefault="00E64DB7" w:rsidP="00E64DB7">
      <w:pPr>
        <w:pStyle w:val="SingleTxt"/>
        <w:spacing w:after="0" w:line="120" w:lineRule="exact"/>
        <w:rPr>
          <w:sz w:val="10"/>
        </w:rPr>
      </w:pPr>
    </w:p>
    <w:p w:rsidR="00E64DB7" w:rsidRPr="00D71148" w:rsidRDefault="00E64DB7" w:rsidP="00E64DB7">
      <w:pPr>
        <w:pStyle w:val="SingleTxt"/>
        <w:spacing w:after="0" w:line="120" w:lineRule="exact"/>
        <w:rPr>
          <w:sz w:val="10"/>
        </w:rPr>
      </w:pPr>
    </w:p>
    <w:p w:rsidR="000E0B34" w:rsidRPr="00D71148" w:rsidRDefault="000E0B34" w:rsidP="00E64DB7">
      <w:pPr>
        <w:pStyle w:val="H1"/>
        <w:ind w:right="1260"/>
      </w:pPr>
      <w:r w:rsidRPr="00D71148">
        <w:tab/>
        <w:t>B.</w:t>
      </w:r>
      <w:r w:rsidRPr="00D71148">
        <w:tab/>
        <w:t>Positive aspects</w:t>
      </w:r>
    </w:p>
    <w:p w:rsidR="00E64DB7" w:rsidRPr="00D71148" w:rsidRDefault="00E64DB7" w:rsidP="00E64DB7">
      <w:pPr>
        <w:pStyle w:val="SingleTxt"/>
        <w:spacing w:after="0" w:line="120" w:lineRule="exact"/>
        <w:rPr>
          <w:sz w:val="10"/>
        </w:rPr>
      </w:pP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4.</w:t>
      </w:r>
      <w:r w:rsidRPr="00D71148">
        <w:tab/>
        <w:t>The Committee welcomes the progress achieved since its consideration in 2007 of the State party</w:t>
      </w:r>
      <w:r w:rsidR="00EB3A67" w:rsidRPr="00D71148">
        <w:t>’</w:t>
      </w:r>
      <w:r w:rsidRPr="00D71148">
        <w:t>s fourth periodic report (</w:t>
      </w:r>
      <w:hyperlink r:id="rId19" w:history="1">
        <w:r w:rsidRPr="00D71148">
          <w:rPr>
            <w:rStyle w:val="Hyperlink"/>
          </w:rPr>
          <w:t>CEDAW/C/EST/4</w:t>
        </w:r>
      </w:hyperlink>
      <w:r w:rsidRPr="00D71148">
        <w:t xml:space="preserve">) in undertaking legislative reforms, in particular the adoption of the following legislation: </w:t>
      </w:r>
    </w:p>
    <w:p w:rsidR="000E0B34" w:rsidRPr="00D71148" w:rsidRDefault="00E64DB7" w:rsidP="00CD789E">
      <w:pPr>
        <w:pStyle w:val="SingleTxt"/>
        <w:keepNext/>
        <w:keepLines/>
      </w:pPr>
      <w:r w:rsidRPr="00D71148">
        <w:lastRenderedPageBreak/>
        <w:tab/>
      </w:r>
      <w:r w:rsidR="000E0B34" w:rsidRPr="00D71148">
        <w:t>(a)</w:t>
      </w:r>
      <w:r w:rsidR="000E0B34" w:rsidRPr="00D71148">
        <w:tab/>
        <w:t>Registered Partnership Act of 2014, which entered into force on 1</w:t>
      </w:r>
      <w:r w:rsidR="00CD789E" w:rsidRPr="00D71148">
        <w:t> </w:t>
      </w:r>
      <w:r w:rsidR="000E0B34" w:rsidRPr="00D71148">
        <w:t>January 2016, granting persons in civil union nearly identical rights to those of married couples and legalizing same</w:t>
      </w:r>
      <w:r w:rsidR="00EB3A67" w:rsidRPr="00D71148">
        <w:t>-</w:t>
      </w:r>
      <w:r w:rsidR="000E0B34" w:rsidRPr="00D71148">
        <w:t xml:space="preserve">sex partnerships; </w:t>
      </w:r>
    </w:p>
    <w:p w:rsidR="000E0B34" w:rsidRPr="00D71148" w:rsidRDefault="00E64DB7" w:rsidP="000E0B34">
      <w:pPr>
        <w:pStyle w:val="SingleTxt"/>
      </w:pPr>
      <w:r w:rsidRPr="00D71148">
        <w:tab/>
      </w:r>
      <w:r w:rsidR="000E0B34" w:rsidRPr="00D71148">
        <w:t>(b)</w:t>
      </w:r>
      <w:r w:rsidR="000E0B34" w:rsidRPr="00D71148">
        <w:tab/>
        <w:t xml:space="preserve">Amendments to the Penal Code criminalizing all forms of trafficking in persons, in 2012; </w:t>
      </w:r>
    </w:p>
    <w:p w:rsidR="000E0B34" w:rsidRPr="00D71148" w:rsidRDefault="00E64DB7" w:rsidP="000E0B34">
      <w:pPr>
        <w:pStyle w:val="SingleTxt"/>
      </w:pPr>
      <w:r w:rsidRPr="00D71148">
        <w:tab/>
      </w:r>
      <w:r w:rsidR="000E0B34" w:rsidRPr="00D71148">
        <w:t>(c)</w:t>
      </w:r>
      <w:r w:rsidR="000E0B34" w:rsidRPr="00D71148">
        <w:tab/>
        <w:t xml:space="preserve">Amendments to the Gender Equality Act which entered into force in 2009, further defining direct and indirect discrimination based on sex and extending the right to compensation for discrimination in the workplace to other areas of life; </w:t>
      </w:r>
    </w:p>
    <w:p w:rsidR="000E0B34" w:rsidRPr="00D71148" w:rsidRDefault="00E64DB7" w:rsidP="000E0B34">
      <w:pPr>
        <w:pStyle w:val="SingleTxt"/>
      </w:pPr>
      <w:r w:rsidRPr="00D71148">
        <w:tab/>
      </w:r>
      <w:r w:rsidR="000E0B34" w:rsidRPr="00D71148">
        <w:t>(d)</w:t>
      </w:r>
      <w:r w:rsidR="000E0B34" w:rsidRPr="00D71148">
        <w:tab/>
        <w:t>Equal Treatment Act, which entered into force on 1 January 2009, ensuring protection against discrimination on grounds of nationality (ethnic origin), race, colour, religion or belief, age, disability and sexual orientation.</w:t>
      </w:r>
    </w:p>
    <w:p w:rsidR="000E0B34" w:rsidRPr="00D71148" w:rsidRDefault="000E0B34" w:rsidP="000E0B34">
      <w:pPr>
        <w:pStyle w:val="SingleTxt"/>
      </w:pPr>
      <w:r w:rsidRPr="00D71148">
        <w:t>5.</w:t>
      </w:r>
      <w:r w:rsidRPr="00D71148">
        <w:tab/>
        <w:t>The Committee welcomes the State party</w:t>
      </w:r>
      <w:r w:rsidR="00EB3A67" w:rsidRPr="00D71148">
        <w:t>’</w:t>
      </w:r>
      <w:r w:rsidRPr="00D71148">
        <w:t>s efforts to improve its institutional and policy framework aimed at accelerating the elimination of discrimination against women and promoting gender equality, such as the adoption of the following:</w:t>
      </w:r>
    </w:p>
    <w:p w:rsidR="000E0B34" w:rsidRPr="00D71148" w:rsidRDefault="000E0B34" w:rsidP="000E0B34">
      <w:pPr>
        <w:pStyle w:val="SingleTxt"/>
      </w:pPr>
      <w:r w:rsidRPr="00D71148">
        <w:tab/>
        <w:t>(a)</w:t>
      </w:r>
      <w:r w:rsidRPr="00D71148">
        <w:tab/>
        <w:t>Strategy for Preventing Violence for 2015</w:t>
      </w:r>
      <w:r w:rsidR="00EB3A67" w:rsidRPr="00D71148">
        <w:t>-</w:t>
      </w:r>
      <w:r w:rsidRPr="00D71148">
        <w:t>2020, which covers gender</w:t>
      </w:r>
      <w:r w:rsidR="00EB3A67" w:rsidRPr="00D71148">
        <w:t>-</w:t>
      </w:r>
      <w:r w:rsidRPr="00D71148">
        <w:t xml:space="preserve">based violence; </w:t>
      </w:r>
    </w:p>
    <w:p w:rsidR="000E0B34" w:rsidRPr="00D71148" w:rsidRDefault="00E64DB7" w:rsidP="000E0B34">
      <w:pPr>
        <w:pStyle w:val="SingleTxt"/>
      </w:pPr>
      <w:r w:rsidRPr="00D71148">
        <w:tab/>
      </w:r>
      <w:r w:rsidR="000E0B34" w:rsidRPr="00D71148">
        <w:t>(b)</w:t>
      </w:r>
      <w:r w:rsidR="000E0B34" w:rsidRPr="00D71148">
        <w:tab/>
        <w:t>Development Plan for Reducing Violence for Years 2010</w:t>
      </w:r>
      <w:r w:rsidR="00EB3A67" w:rsidRPr="00D71148">
        <w:t>-</w:t>
      </w:r>
      <w:r w:rsidR="000E0B34" w:rsidRPr="00D71148">
        <w:t xml:space="preserve">2014; </w:t>
      </w:r>
    </w:p>
    <w:p w:rsidR="000E0B34" w:rsidRPr="00D71148" w:rsidRDefault="00E64DB7" w:rsidP="000E0B34">
      <w:pPr>
        <w:pStyle w:val="SingleTxt"/>
      </w:pPr>
      <w:r w:rsidRPr="00D71148">
        <w:tab/>
      </w:r>
      <w:r w:rsidR="000E0B34" w:rsidRPr="00D71148">
        <w:t>(c)</w:t>
      </w:r>
      <w:r w:rsidR="000E0B34" w:rsidRPr="00D71148">
        <w:tab/>
        <w:t xml:space="preserve">National action plan for the implementation of Security Council resolution </w:t>
      </w:r>
      <w:hyperlink r:id="rId20" w:history="1">
        <w:r w:rsidR="000E0B34" w:rsidRPr="00D71148">
          <w:rPr>
            <w:rStyle w:val="Hyperlink"/>
          </w:rPr>
          <w:t>1325 (2000)</w:t>
        </w:r>
      </w:hyperlink>
      <w:r w:rsidR="000E0B34" w:rsidRPr="00D71148">
        <w:t xml:space="preserve"> on women and peace and security. </w:t>
      </w:r>
    </w:p>
    <w:p w:rsidR="000E0B34" w:rsidRPr="00D71148" w:rsidRDefault="000E0B34" w:rsidP="000E0B34">
      <w:pPr>
        <w:pStyle w:val="SingleTxt"/>
      </w:pPr>
      <w:r w:rsidRPr="00D71148">
        <w:t>6.</w:t>
      </w:r>
      <w:r w:rsidRPr="00D71148">
        <w:tab/>
        <w:t>The Committee welcomes the fact that, in the period since the consideration of the previous report, the State party has ratified or acceded to the following international and regional instruments:</w:t>
      </w:r>
    </w:p>
    <w:p w:rsidR="000E0B34" w:rsidRPr="00D71148" w:rsidRDefault="000E0B34" w:rsidP="000E0B34">
      <w:pPr>
        <w:pStyle w:val="SingleTxt"/>
      </w:pPr>
      <w:r w:rsidRPr="00D71148">
        <w:tab/>
        <w:t>(a)</w:t>
      </w:r>
      <w:r w:rsidRPr="00D71148">
        <w:tab/>
        <w:t xml:space="preserve">Convention on the Rights of Persons with Disabilities and the Optional Protocol thereto, both in 2012; </w:t>
      </w:r>
    </w:p>
    <w:p w:rsidR="000E0B34" w:rsidRPr="00D71148" w:rsidRDefault="000E0B34" w:rsidP="000E0B34">
      <w:pPr>
        <w:pStyle w:val="SingleTxt"/>
      </w:pPr>
      <w:r w:rsidRPr="00D71148">
        <w:tab/>
        <w:t>(b)</w:t>
      </w:r>
      <w:r w:rsidRPr="00D71148">
        <w:tab/>
        <w:t xml:space="preserve">Optional Protocol to the Convention on the Rights of the Child on the involvement of children in armed conflict, in 2014; </w:t>
      </w:r>
    </w:p>
    <w:p w:rsidR="000E0B34" w:rsidRPr="00D71148" w:rsidRDefault="000E0B34" w:rsidP="000E0B34">
      <w:pPr>
        <w:pStyle w:val="SingleTxt"/>
      </w:pPr>
      <w:r w:rsidRPr="00D71148">
        <w:tab/>
        <w:t>(c)</w:t>
      </w:r>
      <w:r w:rsidRPr="00D71148">
        <w:tab/>
        <w:t xml:space="preserve">Council of Europe Convention on Action against Trafficking in Human Beings, in 2015. </w:t>
      </w:r>
    </w:p>
    <w:p w:rsidR="00E64DB7" w:rsidRPr="00D71148" w:rsidRDefault="00E64DB7" w:rsidP="00E64DB7">
      <w:pPr>
        <w:pStyle w:val="SingleTxt"/>
        <w:spacing w:after="0" w:line="120" w:lineRule="exact"/>
        <w:rPr>
          <w:sz w:val="10"/>
        </w:rPr>
      </w:pPr>
    </w:p>
    <w:p w:rsidR="00E64DB7" w:rsidRPr="00D71148" w:rsidRDefault="00E64DB7" w:rsidP="00E64DB7">
      <w:pPr>
        <w:pStyle w:val="SingleTxt"/>
        <w:spacing w:after="0" w:line="120" w:lineRule="exact"/>
        <w:rPr>
          <w:sz w:val="10"/>
        </w:rPr>
      </w:pPr>
    </w:p>
    <w:p w:rsidR="000E0B34" w:rsidRPr="00D71148" w:rsidRDefault="000E0B34" w:rsidP="00E64DB7">
      <w:pPr>
        <w:pStyle w:val="H1"/>
        <w:ind w:right="1260"/>
      </w:pPr>
      <w:r w:rsidRPr="00D71148">
        <w:tab/>
        <w:t>C.</w:t>
      </w:r>
      <w:r w:rsidRPr="00D71148">
        <w:tab/>
        <w:t xml:space="preserve">Parliament </w:t>
      </w:r>
    </w:p>
    <w:p w:rsidR="00E64DB7" w:rsidRPr="00D71148" w:rsidRDefault="00E64DB7" w:rsidP="00E64DB7">
      <w:pPr>
        <w:pStyle w:val="SingleTxt"/>
        <w:spacing w:after="0" w:line="120" w:lineRule="exact"/>
        <w:rPr>
          <w:sz w:val="10"/>
        </w:rPr>
      </w:pP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7.</w:t>
      </w:r>
      <w:r w:rsidRPr="00D71148">
        <w:tab/>
      </w:r>
      <w:r w:rsidRPr="00D71148">
        <w:rPr>
          <w:b/>
        </w:rPr>
        <w:t>The Committee stresses the crucial role of the legislative power in ensuring the full implementation of the Convention (see the statement by the Committee on its relationship with parliamentarians, adopted at the forty</w:t>
      </w:r>
      <w:r w:rsidR="00EB3A67" w:rsidRPr="00D71148">
        <w:rPr>
          <w:b/>
        </w:rPr>
        <w:t>-</w:t>
      </w:r>
      <w:r w:rsidRPr="00D71148">
        <w:rPr>
          <w:b/>
        </w:rPr>
        <w:t>fifth session, in 2010). It invites Parliament, in line with its mandate, to take the necessary steps regarding the implementation of the present concluding observations between now and the next reporting period under the Convention</w:t>
      </w:r>
      <w:r w:rsidRPr="00D71148">
        <w:t xml:space="preserve">. </w:t>
      </w:r>
    </w:p>
    <w:p w:rsidR="00E64DB7" w:rsidRPr="00D71148" w:rsidRDefault="00E64DB7" w:rsidP="00E64DB7">
      <w:pPr>
        <w:pStyle w:val="SingleTxt"/>
        <w:spacing w:after="0" w:line="120" w:lineRule="exact"/>
        <w:rPr>
          <w:sz w:val="10"/>
        </w:rPr>
      </w:pPr>
    </w:p>
    <w:p w:rsidR="00E64DB7" w:rsidRPr="00D71148" w:rsidRDefault="00E64DB7" w:rsidP="00E64DB7">
      <w:pPr>
        <w:pStyle w:val="SingleTxt"/>
        <w:spacing w:after="0" w:line="120" w:lineRule="exact"/>
        <w:rPr>
          <w:sz w:val="10"/>
        </w:rPr>
      </w:pPr>
    </w:p>
    <w:p w:rsidR="000E0B34" w:rsidRPr="00D71148" w:rsidRDefault="000E0B34" w:rsidP="00CD789E">
      <w:pPr>
        <w:pStyle w:val="H1"/>
        <w:ind w:right="1260"/>
      </w:pPr>
      <w:r w:rsidRPr="00D71148">
        <w:lastRenderedPageBreak/>
        <w:tab/>
        <w:t>D.</w:t>
      </w:r>
      <w:r w:rsidRPr="00D71148">
        <w:tab/>
        <w:t>Principal areas of concern and recommendations</w:t>
      </w:r>
    </w:p>
    <w:p w:rsidR="00E64DB7" w:rsidRPr="00D71148" w:rsidRDefault="00E64DB7" w:rsidP="00CD789E">
      <w:pPr>
        <w:pStyle w:val="SingleTxt"/>
        <w:keepNext/>
        <w:keepLines/>
        <w:spacing w:after="0" w:line="120" w:lineRule="exact"/>
        <w:rPr>
          <w:sz w:val="10"/>
        </w:rPr>
      </w:pPr>
    </w:p>
    <w:p w:rsidR="00E64DB7" w:rsidRPr="00D71148" w:rsidRDefault="00E64DB7" w:rsidP="00CD789E">
      <w:pPr>
        <w:pStyle w:val="SingleTxt"/>
        <w:keepNext/>
        <w:keepLines/>
        <w:spacing w:after="0" w:line="120" w:lineRule="exact"/>
        <w:rPr>
          <w:sz w:val="10"/>
        </w:rPr>
      </w:pPr>
    </w:p>
    <w:p w:rsidR="000E0B34" w:rsidRPr="00D71148" w:rsidRDefault="000E0B34" w:rsidP="00CD789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Visibility of the Convention, the Optional Protocol and the Committee</w:t>
      </w:r>
      <w:r w:rsidR="00EB3A67" w:rsidRPr="00D71148">
        <w:rPr>
          <w:lang w:val="en-GB"/>
        </w:rPr>
        <w:t>’</w:t>
      </w:r>
      <w:r w:rsidRPr="00D71148">
        <w:rPr>
          <w:lang w:val="en-GB"/>
        </w:rPr>
        <w:t>s general</w:t>
      </w:r>
      <w:r w:rsidR="00DC52CC" w:rsidRPr="00D71148">
        <w:rPr>
          <w:lang w:val="en-GB"/>
        </w:rPr>
        <w:t> </w:t>
      </w:r>
      <w:r w:rsidRPr="00D71148">
        <w:rPr>
          <w:lang w:val="en-GB"/>
        </w:rPr>
        <w:t xml:space="preserve">recommendations </w:t>
      </w:r>
    </w:p>
    <w:p w:rsidR="00E64DB7" w:rsidRPr="00D71148" w:rsidRDefault="00E64DB7" w:rsidP="00CD789E">
      <w:pPr>
        <w:pStyle w:val="SingleTxt"/>
        <w:keepNext/>
        <w:keepLines/>
        <w:spacing w:after="0" w:line="120" w:lineRule="exact"/>
        <w:rPr>
          <w:sz w:val="10"/>
        </w:rPr>
      </w:pPr>
    </w:p>
    <w:p w:rsidR="000E0B34" w:rsidRPr="00D71148" w:rsidRDefault="000E0B34" w:rsidP="00CD789E">
      <w:pPr>
        <w:pStyle w:val="SingleTxt"/>
        <w:keepNext/>
        <w:keepLines/>
      </w:pPr>
      <w:r w:rsidRPr="00D71148">
        <w:t>8.</w:t>
      </w:r>
      <w:r w:rsidRPr="00D71148">
        <w:tab/>
        <w:t>The Committee takes note of the State party</w:t>
      </w:r>
      <w:r w:rsidR="00EB3A67" w:rsidRPr="00D71148">
        <w:t>’</w:t>
      </w:r>
      <w:r w:rsidRPr="00D71148">
        <w:t>s efforts to raise awareness among public officials and the general public of issues related to women</w:t>
      </w:r>
      <w:r w:rsidR="00EB3A67" w:rsidRPr="00D71148">
        <w:t>’</w:t>
      </w:r>
      <w:r w:rsidRPr="00D71148">
        <w:t xml:space="preserve">s rights and gender equality. However, the Committee remains concerned about the lack of knowledge of the Convention among judges and lawyers, within society and among women themselves, as reflected by the absence of court decisions referring to the Convention. </w:t>
      </w:r>
    </w:p>
    <w:p w:rsidR="000E0B34" w:rsidRPr="004E77C5" w:rsidRDefault="000E0B34" w:rsidP="000E0B34">
      <w:pPr>
        <w:pStyle w:val="SingleTxt"/>
        <w:rPr>
          <w:b/>
          <w:spacing w:val="0"/>
          <w:w w:val="101"/>
        </w:rPr>
      </w:pPr>
      <w:r w:rsidRPr="00D71148">
        <w:t>9.</w:t>
      </w:r>
      <w:r w:rsidRPr="00D71148">
        <w:tab/>
      </w:r>
      <w:r w:rsidRPr="004E77C5">
        <w:rPr>
          <w:b/>
          <w:spacing w:val="0"/>
          <w:w w:val="101"/>
        </w:rPr>
        <w:t>The Committee reiterates its previous recommendation (</w:t>
      </w:r>
      <w:hyperlink r:id="rId21" w:history="1">
        <w:r w:rsidRPr="004E77C5">
          <w:rPr>
            <w:rStyle w:val="Hyperlink"/>
            <w:b/>
            <w:spacing w:val="0"/>
            <w:w w:val="101"/>
          </w:rPr>
          <w:t>CEDAW/C/EST/CO/4</w:t>
        </w:r>
      </w:hyperlink>
      <w:r w:rsidRPr="004E77C5">
        <w:rPr>
          <w:b/>
          <w:spacing w:val="0"/>
          <w:w w:val="101"/>
        </w:rPr>
        <w:t>, para. 9) that the State party take additional measures to ensure that the Convention is sufficiently known and applied by the State party as a framework for all laws and policies on gender equality and the advancement of women. The Committee also recommends that the State party take additional measures to disseminate information about the Convention and the Committee</w:t>
      </w:r>
      <w:r w:rsidR="00EB3A67" w:rsidRPr="004E77C5">
        <w:rPr>
          <w:b/>
          <w:spacing w:val="0"/>
          <w:w w:val="101"/>
        </w:rPr>
        <w:t>’</w:t>
      </w:r>
      <w:r w:rsidRPr="004E77C5">
        <w:rPr>
          <w:b/>
          <w:spacing w:val="0"/>
          <w:w w:val="101"/>
        </w:rPr>
        <w:t>s general recommendations and provide training and capacity</w:t>
      </w:r>
      <w:r w:rsidR="00EB3A67" w:rsidRPr="004E77C5">
        <w:rPr>
          <w:b/>
          <w:spacing w:val="0"/>
          <w:w w:val="101"/>
        </w:rPr>
        <w:t>-</w:t>
      </w:r>
      <w:r w:rsidRPr="004E77C5">
        <w:rPr>
          <w:b/>
          <w:spacing w:val="0"/>
          <w:w w:val="101"/>
        </w:rPr>
        <w:t>building for judges, prosecutors and lawyers on the Convention and the application thereof.</w:t>
      </w:r>
    </w:p>
    <w:p w:rsidR="00E64DB7" w:rsidRPr="00D71148" w:rsidRDefault="00E64DB7" w:rsidP="00E64DB7">
      <w:pPr>
        <w:pStyle w:val="SingleTxt"/>
        <w:spacing w:after="0" w:line="120" w:lineRule="exact"/>
        <w:rPr>
          <w:sz w:val="10"/>
        </w:rPr>
      </w:pPr>
    </w:p>
    <w:p w:rsidR="000E0B34" w:rsidRPr="00D71148" w:rsidRDefault="000E0B34" w:rsidP="00E64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Access to justice and legal complaint mechanisms </w:t>
      </w: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10.</w:t>
      </w:r>
      <w:r w:rsidRPr="00D71148">
        <w:tab/>
        <w:t xml:space="preserve">The Committee notes with concern that the State party lacks a national human rights institution in accordance with the principles relating to the status of national institutions for the promotion and protection of human rights (the Paris Principles) and that the Gender Equality and Equal Treatment Commissioner cannot issue legally binding decisions or take cases of discrimination against women to court either on behalf of the complainant or ex officio in cases of general interest. </w:t>
      </w:r>
    </w:p>
    <w:p w:rsidR="000E0B34" w:rsidRPr="00D71148" w:rsidRDefault="000E0B34" w:rsidP="000E0B34">
      <w:pPr>
        <w:pStyle w:val="SingleTxt"/>
      </w:pPr>
      <w:r w:rsidRPr="00D71148">
        <w:t>11.</w:t>
      </w:r>
      <w:r w:rsidRPr="00D71148">
        <w:tab/>
      </w:r>
      <w:r w:rsidRPr="00D71148">
        <w:rPr>
          <w:b/>
        </w:rPr>
        <w:t>In the light of its general recommendation No. 33 (2015) on women</w:t>
      </w:r>
      <w:r w:rsidR="00EB3A67" w:rsidRPr="00D71148">
        <w:rPr>
          <w:b/>
        </w:rPr>
        <w:t>’</w:t>
      </w:r>
      <w:r w:rsidRPr="00D71148">
        <w:rPr>
          <w:b/>
        </w:rPr>
        <w:t>s access to justice, the Committee recommends that the State party ensure that women have access to effective remedies in respect of complaints about violations of their rights, including by strengthening the mandate of the Gender Equality and Equal Treatment Commissioner to enable her to issue legally binding decisions and take cases of discrimination against women to court on behalf of the complainant and ex officio in cases of general interest.</w:t>
      </w:r>
    </w:p>
    <w:p w:rsidR="00E64DB7" w:rsidRPr="00D71148" w:rsidRDefault="00E64DB7" w:rsidP="00E64DB7">
      <w:pPr>
        <w:pStyle w:val="SingleTxt"/>
        <w:spacing w:after="0" w:line="120" w:lineRule="exact"/>
        <w:rPr>
          <w:sz w:val="10"/>
        </w:rPr>
      </w:pPr>
    </w:p>
    <w:p w:rsidR="000E0B34" w:rsidRPr="00D71148" w:rsidRDefault="000E0B34" w:rsidP="00E64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National machinery and gender mainstreaming</w:t>
      </w: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12.</w:t>
      </w:r>
      <w:r w:rsidRPr="00D71148">
        <w:tab/>
        <w:t>The Committee notes that the interministerial gender mainstreaming working group, coordinated by the Equality Policies Department of the Ministry of Social Affairs, was tasked in 2011 with training government employees on and drafting strategies for gender mainstreaming, and that the Gender Equality Council</w:t>
      </w:r>
      <w:r w:rsidR="008E5F54" w:rsidRPr="00D71148">
        <w:t xml:space="preserve"> w</w:t>
      </w:r>
      <w:r w:rsidRPr="00D71148">
        <w:t>as created in 2013 as an advisory body that includes representatives of women</w:t>
      </w:r>
      <w:r w:rsidR="00EB3A67" w:rsidRPr="00D71148">
        <w:t>’</w:t>
      </w:r>
      <w:r w:rsidRPr="00D71148">
        <w:t>s associations, non</w:t>
      </w:r>
      <w:r w:rsidR="00EB3A67" w:rsidRPr="00D71148">
        <w:t>-</w:t>
      </w:r>
      <w:r w:rsidRPr="00D71148">
        <w:t>governmental organizations, trade unions and local authorities. However, the Committee notes with concern:</w:t>
      </w:r>
    </w:p>
    <w:p w:rsidR="000E0B34" w:rsidRPr="00D71148" w:rsidRDefault="00E64DB7" w:rsidP="000E0B34">
      <w:pPr>
        <w:pStyle w:val="SingleTxt"/>
      </w:pPr>
      <w:r w:rsidRPr="00D71148">
        <w:tab/>
      </w:r>
      <w:r w:rsidR="000E0B34" w:rsidRPr="00D71148">
        <w:t>(a)</w:t>
      </w:r>
      <w:r w:rsidR="000E0B34" w:rsidRPr="00D71148">
        <w:tab/>
        <w:t>That the State party lacks a comprehensive national strategy for gender equality;</w:t>
      </w:r>
    </w:p>
    <w:p w:rsidR="000E0B34" w:rsidRPr="00D71148" w:rsidRDefault="00E64DB7" w:rsidP="000E0B34">
      <w:pPr>
        <w:pStyle w:val="SingleTxt"/>
      </w:pPr>
      <w:r w:rsidRPr="00D71148">
        <w:tab/>
      </w:r>
      <w:r w:rsidR="000E0B34" w:rsidRPr="00D71148">
        <w:t>(b)</w:t>
      </w:r>
      <w:r w:rsidR="000E0B34" w:rsidRPr="00D71148">
        <w:tab/>
        <w:t>That the expansion of the mandate of the Gender Equality Commissioner to that of Gender Equality and Equal Treatment Commissioner, while providing the opportunity to address multiple discrimination, has shifted the focus away from tackling discrimination against women specifically and effectively;</w:t>
      </w:r>
    </w:p>
    <w:p w:rsidR="000E0B34" w:rsidRPr="00D71148" w:rsidRDefault="00E64DB7" w:rsidP="000E0B34">
      <w:pPr>
        <w:pStyle w:val="SingleTxt"/>
      </w:pPr>
      <w:r w:rsidRPr="00D71148">
        <w:tab/>
      </w:r>
      <w:r w:rsidR="000E0B34" w:rsidRPr="00D71148">
        <w:t>(c)</w:t>
      </w:r>
      <w:r w:rsidR="000E0B34" w:rsidRPr="00D71148">
        <w:tab/>
        <w:t>That the Gender Equality and Equal Treatment Commissioner does not currently have adequate resources to effectively monitor and report on gender discrimination;</w:t>
      </w:r>
    </w:p>
    <w:p w:rsidR="000E0B34" w:rsidRPr="00D71148" w:rsidRDefault="00E64DB7" w:rsidP="000E0B34">
      <w:pPr>
        <w:pStyle w:val="SingleTxt"/>
      </w:pPr>
      <w:r w:rsidRPr="00D71148">
        <w:tab/>
      </w:r>
      <w:r w:rsidR="000E0B34" w:rsidRPr="00D71148">
        <w:t>(d)</w:t>
      </w:r>
      <w:r w:rsidR="000E0B34" w:rsidRPr="00D71148">
        <w:tab/>
        <w:t xml:space="preserve">That the Department of Gender Equality has been transformed into the Equality Policies Department with a broader mandate but without the human and financial resources to enable it to effectively promote gender equality in addition to its new tasks; </w:t>
      </w:r>
    </w:p>
    <w:p w:rsidR="000E0B34" w:rsidRPr="00D71148" w:rsidRDefault="00E64DB7" w:rsidP="000E0B34">
      <w:pPr>
        <w:pStyle w:val="SingleTxt"/>
      </w:pPr>
      <w:r w:rsidRPr="00D71148">
        <w:tab/>
      </w:r>
      <w:r w:rsidR="000E0B34" w:rsidRPr="00D71148">
        <w:t>(e)</w:t>
      </w:r>
      <w:r w:rsidR="000E0B34" w:rsidRPr="00D71148">
        <w:tab/>
        <w:t xml:space="preserve">The heavy reliance of national institutions and programmes for mainstreaming gender on European Union funding and international donors; </w:t>
      </w:r>
    </w:p>
    <w:p w:rsidR="000E0B34" w:rsidRPr="00D71148" w:rsidRDefault="00E64DB7" w:rsidP="000E0B34">
      <w:pPr>
        <w:pStyle w:val="SingleTxt"/>
      </w:pPr>
      <w:r w:rsidRPr="00D71148">
        <w:tab/>
      </w:r>
      <w:r w:rsidR="000E0B34" w:rsidRPr="00D71148">
        <w:t>(f)</w:t>
      </w:r>
      <w:r w:rsidR="000E0B34" w:rsidRPr="00D71148">
        <w:tab/>
        <w:t>The absence of mandatory training on gender</w:t>
      </w:r>
      <w:r w:rsidR="00EB3A67" w:rsidRPr="00D71148">
        <w:t>-</w:t>
      </w:r>
      <w:r w:rsidR="000E0B34" w:rsidRPr="00D71148">
        <w:t xml:space="preserve">sensitive investigation methods for members of the criminal justice system and on gender equality for national and local governmental officials; </w:t>
      </w:r>
    </w:p>
    <w:p w:rsidR="000E0B34" w:rsidRPr="00D71148" w:rsidRDefault="00E64DB7" w:rsidP="000E0B34">
      <w:pPr>
        <w:pStyle w:val="SingleTxt"/>
      </w:pPr>
      <w:r w:rsidRPr="00D71148">
        <w:tab/>
      </w:r>
      <w:r w:rsidR="000E0B34" w:rsidRPr="00D71148">
        <w:t>(g)</w:t>
      </w:r>
      <w:r w:rsidR="000E0B34" w:rsidRPr="00D71148">
        <w:tab/>
        <w:t>The absence of gender impact assessments as an integral part of the legislative process despite the adoption in 2011 of the Rules for Good Legislative Practice and Legislative Drafting which provide for an obligatory impact analysis in respect of draft legislation, including the social impact on gender relations;</w:t>
      </w:r>
    </w:p>
    <w:p w:rsidR="000E0B34" w:rsidRPr="00D71148" w:rsidRDefault="00E64DB7" w:rsidP="000E0B34">
      <w:pPr>
        <w:pStyle w:val="SingleTxt"/>
      </w:pPr>
      <w:r w:rsidRPr="00D71148">
        <w:tab/>
      </w:r>
      <w:r w:rsidR="000E0B34" w:rsidRPr="00D71148">
        <w:t>(h)</w:t>
      </w:r>
      <w:r w:rsidR="000E0B34" w:rsidRPr="00D71148">
        <w:tab/>
        <w:t>The lack of gender mainstreaming and gender budgeting at the national and local levels, despite capacity</w:t>
      </w:r>
      <w:r w:rsidR="00EB3A67" w:rsidRPr="00D71148">
        <w:t>-</w:t>
      </w:r>
      <w:r w:rsidR="000E0B34" w:rsidRPr="00D71148">
        <w:t>building on those methods.</w:t>
      </w:r>
    </w:p>
    <w:p w:rsidR="000E0B34" w:rsidRPr="00D71148" w:rsidRDefault="000E0B34" w:rsidP="000E0B34">
      <w:pPr>
        <w:pStyle w:val="SingleTxt"/>
        <w:rPr>
          <w:b/>
        </w:rPr>
      </w:pPr>
      <w:r w:rsidRPr="00D71148">
        <w:t>13.</w:t>
      </w:r>
      <w:r w:rsidRPr="00D71148">
        <w:tab/>
      </w:r>
      <w:r w:rsidRPr="00D71148">
        <w:rPr>
          <w:b/>
        </w:rPr>
        <w:t>The Committee refers to its general recommendation No. 6 (1988) on effective national machinery and publicity and the guidance provided in the Beijing Platform for Action, and recommends that the State party:</w:t>
      </w:r>
    </w:p>
    <w:p w:rsidR="000E0B34" w:rsidRPr="00D71148" w:rsidRDefault="00E64DB7" w:rsidP="000E0B34">
      <w:pPr>
        <w:pStyle w:val="SingleTxt"/>
        <w:rPr>
          <w:b/>
        </w:rPr>
      </w:pPr>
      <w:r w:rsidRPr="00D71148">
        <w:tab/>
      </w:r>
      <w:r w:rsidR="000E0B34" w:rsidRPr="00D71148">
        <w:t>(a)</w:t>
      </w:r>
      <w:r w:rsidR="000E0B34" w:rsidRPr="00D71148">
        <w:tab/>
      </w:r>
      <w:r w:rsidR="000E0B34" w:rsidRPr="00D71148">
        <w:rPr>
          <w:b/>
        </w:rPr>
        <w:t>Adopt a National Strategy for Gender Equality and involve women</w:t>
      </w:r>
      <w:r w:rsidR="00EB3A67" w:rsidRPr="00D71148">
        <w:rPr>
          <w:b/>
        </w:rPr>
        <w:t>’</w:t>
      </w:r>
      <w:r w:rsidR="000E0B34" w:rsidRPr="00D71148">
        <w:rPr>
          <w:b/>
        </w:rPr>
        <w:t>s organizations in the design, implementation and evaluation phases;</w:t>
      </w:r>
    </w:p>
    <w:p w:rsidR="000E0B34" w:rsidRPr="00D71148" w:rsidRDefault="00E64DB7" w:rsidP="000E0B34">
      <w:pPr>
        <w:pStyle w:val="SingleTxt"/>
        <w:rPr>
          <w:b/>
        </w:rPr>
      </w:pPr>
      <w:r w:rsidRPr="00D71148">
        <w:tab/>
      </w:r>
      <w:r w:rsidR="000E0B34" w:rsidRPr="00D71148">
        <w:t>(b)</w:t>
      </w:r>
      <w:r w:rsidR="000E0B34" w:rsidRPr="00D71148">
        <w:tab/>
      </w:r>
      <w:r w:rsidR="000E0B34" w:rsidRPr="00D71148">
        <w:rPr>
          <w:b/>
        </w:rPr>
        <w:t>Further strengthen its machinery for the advancement of women by providing adequate human, technical and financial resources at both the central and municipal levels and by strengthening accountability mechanisms for achieving gender equality, as well as the mandate and political authority of the Equality Policies Department of the Ministry of Social Affairs;</w:t>
      </w:r>
    </w:p>
    <w:p w:rsidR="000E0B34" w:rsidRPr="00D71148" w:rsidRDefault="00E64DB7" w:rsidP="000E0B34">
      <w:pPr>
        <w:pStyle w:val="SingleTxt"/>
        <w:rPr>
          <w:b/>
        </w:rPr>
      </w:pPr>
      <w:r w:rsidRPr="00D71148">
        <w:tab/>
      </w:r>
      <w:r w:rsidR="000E0B34" w:rsidRPr="00D71148">
        <w:t>(c)</w:t>
      </w:r>
      <w:r w:rsidR="000E0B34" w:rsidRPr="00D71148">
        <w:rPr>
          <w:b/>
        </w:rPr>
        <w:tab/>
        <w:t>Establish gender focal points or special units in other relevant ministries and municipal institutions;</w:t>
      </w:r>
    </w:p>
    <w:p w:rsidR="000E0B34" w:rsidRPr="00D71148" w:rsidRDefault="00E64DB7" w:rsidP="000E0B34">
      <w:pPr>
        <w:pStyle w:val="SingleTxt"/>
        <w:rPr>
          <w:b/>
        </w:rPr>
      </w:pPr>
      <w:r w:rsidRPr="00D71148">
        <w:tab/>
      </w:r>
      <w:r w:rsidR="000E0B34" w:rsidRPr="00D71148">
        <w:t>(d)</w:t>
      </w:r>
      <w:r w:rsidR="000E0B34" w:rsidRPr="00D71148">
        <w:tab/>
      </w:r>
      <w:r w:rsidR="000E0B34" w:rsidRPr="00D71148">
        <w:rPr>
          <w:b/>
        </w:rPr>
        <w:t>Provide mandatory training on gender</w:t>
      </w:r>
      <w:r w:rsidR="00EB3A67" w:rsidRPr="00D71148">
        <w:rPr>
          <w:b/>
        </w:rPr>
        <w:t>-</w:t>
      </w:r>
      <w:r w:rsidR="000E0B34" w:rsidRPr="00D71148">
        <w:rPr>
          <w:b/>
        </w:rPr>
        <w:t>sensitive investigation methods for all members of the criminal justice system and on gender equality for national and local governmental officials;</w:t>
      </w:r>
    </w:p>
    <w:p w:rsidR="000E0B34" w:rsidRPr="00D71148" w:rsidRDefault="00E64DB7" w:rsidP="000E0B34">
      <w:pPr>
        <w:pStyle w:val="SingleTxt"/>
        <w:rPr>
          <w:b/>
        </w:rPr>
      </w:pPr>
      <w:r w:rsidRPr="00D71148">
        <w:tab/>
      </w:r>
      <w:r w:rsidR="000E0B34" w:rsidRPr="00D71148">
        <w:t>(e)</w:t>
      </w:r>
      <w:r w:rsidR="000E0B34" w:rsidRPr="00D71148">
        <w:tab/>
      </w:r>
      <w:r w:rsidR="000E0B34" w:rsidRPr="00D71148">
        <w:rPr>
          <w:b/>
        </w:rPr>
        <w:t xml:space="preserve">Ensure that gender impact assessments form an integral part of the legislative process and carry out a gender impact assessment of existing legislation; </w:t>
      </w:r>
    </w:p>
    <w:p w:rsidR="000E0B34" w:rsidRPr="00D71148" w:rsidRDefault="00E64DB7" w:rsidP="000E0B34">
      <w:pPr>
        <w:pStyle w:val="SingleTxt"/>
        <w:rPr>
          <w:b/>
        </w:rPr>
      </w:pPr>
      <w:r w:rsidRPr="00D71148">
        <w:tab/>
      </w:r>
      <w:r w:rsidR="000E0B34" w:rsidRPr="00D71148">
        <w:t>(f)</w:t>
      </w:r>
      <w:r w:rsidR="000E0B34" w:rsidRPr="00D71148">
        <w:tab/>
      </w:r>
      <w:r w:rsidR="000E0B34" w:rsidRPr="00D71148">
        <w:rPr>
          <w:b/>
        </w:rPr>
        <w:t>Implement an effective gender mainstreaming strategy through gender budgeting analysis at the State and local levels.</w:t>
      </w:r>
    </w:p>
    <w:p w:rsidR="00E64DB7" w:rsidRPr="00D71148" w:rsidRDefault="00E64DB7" w:rsidP="00E64DB7">
      <w:pPr>
        <w:pStyle w:val="SingleTxt"/>
        <w:spacing w:after="0" w:line="120" w:lineRule="exact"/>
        <w:rPr>
          <w:sz w:val="10"/>
        </w:rPr>
      </w:pPr>
    </w:p>
    <w:p w:rsidR="000E0B34" w:rsidRPr="00D71148" w:rsidRDefault="000E0B34" w:rsidP="00CD789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Temporary special measures</w:t>
      </w:r>
    </w:p>
    <w:p w:rsidR="00E64DB7" w:rsidRPr="00D71148" w:rsidRDefault="00E64DB7" w:rsidP="00CD789E">
      <w:pPr>
        <w:pStyle w:val="SingleTxt"/>
        <w:keepNext/>
        <w:keepLines/>
        <w:spacing w:after="0" w:line="120" w:lineRule="exact"/>
        <w:rPr>
          <w:sz w:val="10"/>
        </w:rPr>
      </w:pPr>
    </w:p>
    <w:p w:rsidR="000E0B34" w:rsidRPr="00D71148" w:rsidRDefault="000E0B34" w:rsidP="00CD789E">
      <w:pPr>
        <w:pStyle w:val="SingleTxt"/>
        <w:keepNext/>
        <w:keepLines/>
      </w:pPr>
      <w:r w:rsidRPr="00D71148">
        <w:t>14.</w:t>
      </w:r>
      <w:r w:rsidRPr="00D71148">
        <w:tab/>
        <w:t xml:space="preserve">The Committee notes with concern that the State party has not adopted any temporary special measures for the advancement of women, despite the legal basis for such measures in the 2004 Gender Equality Act, apparently owing to the lack of popular support for these. </w:t>
      </w:r>
    </w:p>
    <w:p w:rsidR="000E0B34" w:rsidRPr="00D71148" w:rsidRDefault="000E0B34" w:rsidP="000E0B34">
      <w:pPr>
        <w:pStyle w:val="SingleTxt"/>
      </w:pPr>
      <w:r w:rsidRPr="00D71148">
        <w:t>15.</w:t>
      </w:r>
      <w:r w:rsidRPr="00D71148">
        <w:tab/>
      </w:r>
      <w:r w:rsidRPr="00D71148">
        <w:rPr>
          <w:b/>
        </w:rPr>
        <w:t>The Committee recommends that the State party carry out awareness</w:t>
      </w:r>
      <w:r w:rsidR="00EB3A67" w:rsidRPr="00D71148">
        <w:rPr>
          <w:b/>
        </w:rPr>
        <w:t>-</w:t>
      </w:r>
      <w:r w:rsidRPr="00D71148">
        <w:rPr>
          <w:b/>
        </w:rPr>
        <w:t>raising campaigns to promote understanding of the importance and non</w:t>
      </w:r>
      <w:r w:rsidR="00C30D82" w:rsidRPr="00D71148">
        <w:rPr>
          <w:b/>
        </w:rPr>
        <w:noBreakHyphen/>
      </w:r>
      <w:r w:rsidRPr="00D71148">
        <w:rPr>
          <w:b/>
        </w:rPr>
        <w:t>discriminatory nature of temporary special measures and that it put in place temporary special measures, in accordance with article 4 (1), of the Convention and the Committee</w:t>
      </w:r>
      <w:r w:rsidR="00EB3A67" w:rsidRPr="00D71148">
        <w:rPr>
          <w:b/>
        </w:rPr>
        <w:t>’</w:t>
      </w:r>
      <w:r w:rsidRPr="00D71148">
        <w:rPr>
          <w:b/>
        </w:rPr>
        <w:t>s general recommendation No. 25 (2004) on the subject, in all areas in which women are underrepresented or disadvantaged, in order to accelerate the achievement of substantive gender equality in the areas covered by the Convention, in particular as regards women facing inter</w:t>
      </w:r>
      <w:r w:rsidR="00E348D0" w:rsidRPr="00D71148">
        <w:rPr>
          <w:b/>
        </w:rPr>
        <w:t>secting forms of discrimination,</w:t>
      </w:r>
      <w:r w:rsidRPr="00D71148">
        <w:rPr>
          <w:b/>
        </w:rPr>
        <w:t xml:space="preserve"> such as women and girls belonging to linguistic and ethnic minorities, older women, women with disabilities and women living in rural areas.</w:t>
      </w:r>
      <w:r w:rsidRPr="00D71148">
        <w:t xml:space="preserve"> </w:t>
      </w:r>
    </w:p>
    <w:p w:rsidR="00E64DB7" w:rsidRPr="00D71148" w:rsidRDefault="00E64DB7" w:rsidP="00E64DB7">
      <w:pPr>
        <w:pStyle w:val="SingleTxt"/>
        <w:spacing w:after="0" w:line="120" w:lineRule="exact"/>
        <w:rPr>
          <w:sz w:val="10"/>
        </w:rPr>
      </w:pPr>
    </w:p>
    <w:p w:rsidR="000E0B34" w:rsidRPr="00D71148" w:rsidRDefault="000E0B34" w:rsidP="00E64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Stereotypes </w:t>
      </w: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16.</w:t>
      </w:r>
      <w:r w:rsidRPr="00D71148">
        <w:tab/>
        <w:t>The Committee welcomes the State party</w:t>
      </w:r>
      <w:r w:rsidR="00EB3A67" w:rsidRPr="00D71148">
        <w:t>’</w:t>
      </w:r>
      <w:r w:rsidRPr="00D71148">
        <w:t>s efforts to eliminate discriminatory gender stereotypes through monitoring surveys, awareness</w:t>
      </w:r>
      <w:r w:rsidR="00EB3A67" w:rsidRPr="00D71148">
        <w:t>-</w:t>
      </w:r>
      <w:r w:rsidRPr="00D71148">
        <w:t>raising, media campaigns and educational measures. However, it notes with concern that the persistence of discriminatory stereotypes regarding the roles and responsibilities of women and men in the family and in society constitutes a barrier to women</w:t>
      </w:r>
      <w:r w:rsidR="00EB3A67" w:rsidRPr="00D71148">
        <w:t>’</w:t>
      </w:r>
      <w:r w:rsidRPr="00D71148">
        <w:t xml:space="preserve">s active participation in economic life, in particular when they have children under school age, thereby limiting their career perspectives and access to leading positions. </w:t>
      </w:r>
      <w:r w:rsidRPr="00D71148">
        <w:tab/>
      </w:r>
    </w:p>
    <w:p w:rsidR="000E0B34" w:rsidRPr="00D71148" w:rsidRDefault="000E0B34" w:rsidP="000E0B34">
      <w:pPr>
        <w:pStyle w:val="SingleTxt"/>
        <w:rPr>
          <w:b/>
        </w:rPr>
      </w:pPr>
      <w:r w:rsidRPr="00D71148">
        <w:t>17.</w:t>
      </w:r>
      <w:r w:rsidRPr="00D71148">
        <w:tab/>
      </w:r>
      <w:r w:rsidRPr="00D71148">
        <w:rPr>
          <w:b/>
        </w:rPr>
        <w:t>The Committee recommends that the State party:</w:t>
      </w:r>
    </w:p>
    <w:p w:rsidR="000E0B34" w:rsidRPr="00D71148" w:rsidRDefault="00E64DB7" w:rsidP="000E0B34">
      <w:pPr>
        <w:pStyle w:val="SingleTxt"/>
        <w:rPr>
          <w:b/>
        </w:rPr>
      </w:pPr>
      <w:r w:rsidRPr="00D71148">
        <w:tab/>
      </w:r>
      <w:r w:rsidR="000E0B34" w:rsidRPr="00D71148">
        <w:t>(a)</w:t>
      </w:r>
      <w:r w:rsidR="000E0B34" w:rsidRPr="00D71148">
        <w:tab/>
      </w:r>
      <w:r w:rsidR="000E0B34" w:rsidRPr="00D71148">
        <w:rPr>
          <w:b/>
        </w:rPr>
        <w:t>Address discriminatory stereotypes regarding the roles and responsibilities of women and men in the family and in society, with the involvement of women</w:t>
      </w:r>
      <w:r w:rsidR="00EB3A67" w:rsidRPr="00D71148">
        <w:rPr>
          <w:b/>
        </w:rPr>
        <w:t>’</w:t>
      </w:r>
      <w:r w:rsidR="000E0B34" w:rsidRPr="00D71148">
        <w:rPr>
          <w:b/>
        </w:rPr>
        <w:t>s and civil society organizations, and increase the resources dedicated to such efforts;</w:t>
      </w:r>
    </w:p>
    <w:p w:rsidR="000E0B34" w:rsidRPr="00D71148" w:rsidRDefault="00E64DB7" w:rsidP="000E0B34">
      <w:pPr>
        <w:pStyle w:val="SingleTxt"/>
        <w:rPr>
          <w:b/>
        </w:rPr>
      </w:pPr>
      <w:r w:rsidRPr="00D71148">
        <w:tab/>
      </w:r>
      <w:r w:rsidR="000E0B34" w:rsidRPr="00D71148">
        <w:t>(b)</w:t>
      </w:r>
      <w:r w:rsidR="000E0B34" w:rsidRPr="00D71148">
        <w:tab/>
      </w:r>
      <w:r w:rsidR="000E0B34" w:rsidRPr="00D71148">
        <w:rPr>
          <w:b/>
        </w:rPr>
        <w:t>Conduct regular awareness</w:t>
      </w:r>
      <w:r w:rsidR="00EB3A67" w:rsidRPr="00D71148">
        <w:rPr>
          <w:b/>
        </w:rPr>
        <w:t>-</w:t>
      </w:r>
      <w:r w:rsidR="000E0B34" w:rsidRPr="00D71148">
        <w:rPr>
          <w:b/>
        </w:rPr>
        <w:t>raising and media campaigns on intersecting forms of discrimination faced by women on the basis of all grounds covered by the Gender Equality Act and the Equal Treatment Act.</w:t>
      </w:r>
    </w:p>
    <w:p w:rsidR="00E64DB7" w:rsidRPr="00D71148" w:rsidRDefault="00E64DB7" w:rsidP="00E64DB7">
      <w:pPr>
        <w:pStyle w:val="SingleTxt"/>
        <w:spacing w:after="0" w:line="120" w:lineRule="exact"/>
        <w:rPr>
          <w:sz w:val="10"/>
        </w:rPr>
      </w:pPr>
    </w:p>
    <w:p w:rsidR="000E0B34" w:rsidRPr="00D71148" w:rsidRDefault="000E0B34" w:rsidP="00E64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Violence against women</w:t>
      </w:r>
    </w:p>
    <w:p w:rsidR="00E64DB7" w:rsidRPr="00D71148" w:rsidRDefault="00E64DB7" w:rsidP="00E64DB7">
      <w:pPr>
        <w:pStyle w:val="SingleTxt"/>
        <w:spacing w:after="0" w:line="120" w:lineRule="exact"/>
        <w:rPr>
          <w:sz w:val="10"/>
        </w:rPr>
      </w:pPr>
    </w:p>
    <w:p w:rsidR="000E0B34" w:rsidRPr="00D71148" w:rsidRDefault="000E0B34" w:rsidP="000E0B34">
      <w:pPr>
        <w:pStyle w:val="SingleTxt"/>
      </w:pPr>
      <w:r w:rsidRPr="00D71148">
        <w:t>18.</w:t>
      </w:r>
      <w:r w:rsidRPr="00D71148">
        <w:tab/>
        <w:t>The Committee notes that shelters and a 24/7 telephone support line are available to victims of violence in the State party. However, it notes with concern the increase in gender</w:t>
      </w:r>
      <w:r w:rsidR="00EB3A67" w:rsidRPr="00D71148">
        <w:t>-</w:t>
      </w:r>
      <w:r w:rsidRPr="00D71148">
        <w:t>based violence against women in the State party and the absence of a law on domestic violence. The Committee is further concerned that:</w:t>
      </w:r>
    </w:p>
    <w:p w:rsidR="009A2075" w:rsidRPr="00D71148" w:rsidRDefault="00E64DB7" w:rsidP="000E0B34">
      <w:pPr>
        <w:pStyle w:val="SingleTxt"/>
      </w:pPr>
      <w:r w:rsidRPr="00D71148">
        <w:tab/>
      </w:r>
      <w:r w:rsidR="000E0B34" w:rsidRPr="00D71148">
        <w:t>(a)</w:t>
      </w:r>
      <w:r w:rsidR="000E0B34" w:rsidRPr="00D71148">
        <w:tab/>
        <w:t>A national referral mechanism for victims of domestic violence has not yet been established;</w:t>
      </w:r>
      <w:r w:rsidR="009A2075" w:rsidRPr="00D71148">
        <w:t xml:space="preserve"> </w:t>
      </w:r>
    </w:p>
    <w:p w:rsidR="000E0B34" w:rsidRPr="00D71148" w:rsidRDefault="00E64DB7" w:rsidP="000E0B34">
      <w:pPr>
        <w:pStyle w:val="SingleTxt"/>
      </w:pPr>
      <w:r w:rsidRPr="00D71148">
        <w:tab/>
      </w:r>
      <w:r w:rsidR="000E0B34" w:rsidRPr="00D71148">
        <w:t>(b)</w:t>
      </w:r>
      <w:r w:rsidR="000E0B34" w:rsidRPr="00D71148">
        <w:tab/>
        <w:t>Rape is narrowly defined in the Penal Code and requires evidence that the act took place against the victim</w:t>
      </w:r>
      <w:r w:rsidR="00EB3A67" w:rsidRPr="00D71148">
        <w:t>’</w:t>
      </w:r>
      <w:r w:rsidR="000E0B34" w:rsidRPr="00D71148">
        <w:t>s will, and of pain, physical abuse and/or damage to health and threat;</w:t>
      </w:r>
    </w:p>
    <w:p w:rsidR="000E0B34" w:rsidRPr="00D71148" w:rsidRDefault="00E64DB7" w:rsidP="000E0B34">
      <w:pPr>
        <w:pStyle w:val="SingleTxt"/>
      </w:pPr>
      <w:r w:rsidRPr="00D71148">
        <w:tab/>
      </w:r>
      <w:r w:rsidR="000E0B34" w:rsidRPr="00D71148">
        <w:t>(c)</w:t>
      </w:r>
      <w:r w:rsidR="000E0B34" w:rsidRPr="00D71148">
        <w:tab/>
        <w:t>Economic and psychological violence are not criminalized;</w:t>
      </w:r>
    </w:p>
    <w:p w:rsidR="000E0B34" w:rsidRPr="00D71148" w:rsidRDefault="00E64DB7" w:rsidP="000E0B34">
      <w:pPr>
        <w:pStyle w:val="SingleTxt"/>
      </w:pPr>
      <w:r w:rsidRPr="00D71148">
        <w:tab/>
      </w:r>
      <w:r w:rsidR="000E0B34" w:rsidRPr="00D71148">
        <w:t>(d)</w:t>
      </w:r>
      <w:r w:rsidR="000E0B34" w:rsidRPr="00D71148">
        <w:tab/>
        <w:t xml:space="preserve">Sexual harassment is not specifically criminalized in the Penal Code; </w:t>
      </w:r>
    </w:p>
    <w:p w:rsidR="000E0B34" w:rsidRPr="00D71148" w:rsidRDefault="00C30D82" w:rsidP="000E0B34">
      <w:pPr>
        <w:pStyle w:val="SingleTxt"/>
      </w:pPr>
      <w:r w:rsidRPr="00D71148">
        <w:tab/>
      </w:r>
      <w:r w:rsidR="000E0B34" w:rsidRPr="00D71148">
        <w:t>(e)</w:t>
      </w:r>
      <w:r w:rsidR="000E0B34" w:rsidRPr="00D71148">
        <w:tab/>
        <w:t>The perpetrators of domestic violence are rarely sentenced to imprisonment, and that preference is given to conciliation or pecuniary fines;</w:t>
      </w:r>
    </w:p>
    <w:p w:rsidR="000E0B34" w:rsidRPr="00D71148" w:rsidRDefault="00C30D82" w:rsidP="000E0B34">
      <w:pPr>
        <w:pStyle w:val="SingleTxt"/>
      </w:pPr>
      <w:r w:rsidRPr="00D71148">
        <w:tab/>
      </w:r>
      <w:r w:rsidR="000E0B34" w:rsidRPr="00D71148">
        <w:t>(f)</w:t>
      </w:r>
      <w:r w:rsidR="000E0B34" w:rsidRPr="00D71148">
        <w:tab/>
        <w:t>Incidents of domestic violence and women</w:t>
      </w:r>
      <w:r w:rsidR="00EB3A67" w:rsidRPr="00D71148">
        <w:t>’</w:t>
      </w:r>
      <w:r w:rsidR="000E0B34" w:rsidRPr="00D71148">
        <w:t>s and children</w:t>
      </w:r>
      <w:r w:rsidR="00EB3A67" w:rsidRPr="00D71148">
        <w:t>’</w:t>
      </w:r>
      <w:r w:rsidR="000E0B34" w:rsidRPr="00D71148">
        <w:t>s safety needs are frequently not taken into consideration by the courts when deciding on child custody, and child protection specialists lack training on and understanding of domestic violence and the implications thereof for the welfare of children.</w:t>
      </w:r>
    </w:p>
    <w:p w:rsidR="000E0B34" w:rsidRPr="00D71148" w:rsidRDefault="000E0B34" w:rsidP="000E0B34">
      <w:pPr>
        <w:pStyle w:val="SingleTxt"/>
        <w:rPr>
          <w:b/>
        </w:rPr>
      </w:pPr>
      <w:r w:rsidRPr="00D71148">
        <w:t>19.</w:t>
      </w:r>
      <w:r w:rsidRPr="00D71148">
        <w:tab/>
      </w:r>
      <w:r w:rsidRPr="00D71148">
        <w:rPr>
          <w:b/>
        </w:rPr>
        <w:t>The Committee recommends that the State party:</w:t>
      </w:r>
    </w:p>
    <w:p w:rsidR="000E0B34" w:rsidRPr="00D71148" w:rsidRDefault="00C30D82" w:rsidP="000E0B34">
      <w:pPr>
        <w:pStyle w:val="SingleTxt"/>
        <w:rPr>
          <w:b/>
        </w:rPr>
      </w:pPr>
      <w:r w:rsidRPr="00D71148">
        <w:tab/>
      </w:r>
      <w:r w:rsidR="000E0B34" w:rsidRPr="00D71148">
        <w:t>(a)</w:t>
      </w:r>
      <w:r w:rsidR="000E0B34" w:rsidRPr="00D71148">
        <w:tab/>
      </w:r>
      <w:r w:rsidR="000E0B34" w:rsidRPr="00D71148">
        <w:rPr>
          <w:b/>
        </w:rPr>
        <w:t>Establish an effective strategy to prevent domestic violence, as well as a multisectoral national referral mechanism involving judges, local police, social and health workers and other stakeholders for victims of domestic violence;</w:t>
      </w:r>
    </w:p>
    <w:p w:rsidR="000E0B34" w:rsidRPr="00D71148" w:rsidRDefault="00C30D82" w:rsidP="000E0B34">
      <w:pPr>
        <w:pStyle w:val="SingleTxt"/>
        <w:rPr>
          <w:b/>
        </w:rPr>
      </w:pPr>
      <w:r w:rsidRPr="00D71148">
        <w:tab/>
      </w:r>
      <w:r w:rsidR="000E0B34" w:rsidRPr="00D71148">
        <w:t>(b)</w:t>
      </w:r>
      <w:r w:rsidR="000E0B34" w:rsidRPr="00D71148">
        <w:tab/>
      </w:r>
      <w:r w:rsidR="000E0B34" w:rsidRPr="00D71148">
        <w:rPr>
          <w:b/>
        </w:rPr>
        <w:t>Amend the Penal Code to review the definition of rape as any non</w:t>
      </w:r>
      <w:r w:rsidR="00171F32" w:rsidRPr="00D71148">
        <w:rPr>
          <w:b/>
        </w:rPr>
        <w:noBreakHyphen/>
      </w:r>
      <w:r w:rsidR="000E0B34" w:rsidRPr="00D71148">
        <w:rPr>
          <w:b/>
        </w:rPr>
        <w:t>consensual sexual act irrespective of pain, physical abuse and/or damage to health and threat, to specifically criminalize sexual harassment and to add economic and psychological violence to the definition of domestic violence;</w:t>
      </w:r>
    </w:p>
    <w:p w:rsidR="000E0B34" w:rsidRPr="00D71148" w:rsidRDefault="00C30D82" w:rsidP="000E0B34">
      <w:pPr>
        <w:pStyle w:val="SingleTxt"/>
        <w:rPr>
          <w:b/>
        </w:rPr>
      </w:pPr>
      <w:r w:rsidRPr="00D71148">
        <w:tab/>
      </w:r>
      <w:r w:rsidR="000E0B34" w:rsidRPr="00D71148">
        <w:t>(c)</w:t>
      </w:r>
      <w:r w:rsidR="000E0B34" w:rsidRPr="00D71148">
        <w:tab/>
      </w:r>
      <w:r w:rsidR="000E0B34" w:rsidRPr="00D71148">
        <w:rPr>
          <w:b/>
        </w:rPr>
        <w:t>Strengthen the enforcement of court decisions, in particular those that concern protection orders or emergency protection orders for women who are victims of gender</w:t>
      </w:r>
      <w:r w:rsidR="00EB3A67" w:rsidRPr="00D71148">
        <w:rPr>
          <w:b/>
        </w:rPr>
        <w:t>-</w:t>
      </w:r>
      <w:r w:rsidR="000E0B34" w:rsidRPr="00D71148">
        <w:rPr>
          <w:b/>
        </w:rPr>
        <w:t>based violence, including by providing capacity</w:t>
      </w:r>
      <w:r w:rsidR="00EB3A67" w:rsidRPr="00D71148">
        <w:rPr>
          <w:b/>
        </w:rPr>
        <w:t>-</w:t>
      </w:r>
      <w:r w:rsidR="000E0B34" w:rsidRPr="00D71148">
        <w:rPr>
          <w:b/>
        </w:rPr>
        <w:t>building for judges and court bailiffs;</w:t>
      </w:r>
    </w:p>
    <w:p w:rsidR="000E0B34" w:rsidRPr="00D71148" w:rsidRDefault="00C30D82" w:rsidP="000E0B34">
      <w:pPr>
        <w:pStyle w:val="SingleTxt"/>
        <w:rPr>
          <w:b/>
        </w:rPr>
      </w:pPr>
      <w:r w:rsidRPr="00D71148">
        <w:tab/>
      </w:r>
      <w:r w:rsidR="000E0B34" w:rsidRPr="00D71148">
        <w:t>(d)</w:t>
      </w:r>
      <w:r w:rsidR="000E0B34" w:rsidRPr="00D71148">
        <w:tab/>
      </w:r>
      <w:r w:rsidR="000E0B34" w:rsidRPr="00D71148">
        <w:rPr>
          <w:b/>
        </w:rPr>
        <w:t>Amend the Family Law Act to ensure that the occurrence of domestic violence is always taken into consideration in determining custody of children, train child protection agencies on domestic violence and ensure that experts on violence against women are heard in child custody proceedings</w:t>
      </w:r>
      <w:r w:rsidR="00E34636" w:rsidRPr="00D71148">
        <w:rPr>
          <w:b/>
        </w:rPr>
        <w:t xml:space="preserve">; </w:t>
      </w:r>
    </w:p>
    <w:p w:rsidR="000E0B34" w:rsidRPr="00D71148" w:rsidRDefault="00C30D82" w:rsidP="000E0B34">
      <w:pPr>
        <w:pStyle w:val="SingleTxt"/>
        <w:rPr>
          <w:b/>
        </w:rPr>
      </w:pPr>
      <w:r w:rsidRPr="00D71148">
        <w:tab/>
      </w:r>
      <w:r w:rsidR="000E0B34" w:rsidRPr="00D71148">
        <w:t>(e)</w:t>
      </w:r>
      <w:r w:rsidR="000E0B34" w:rsidRPr="00D71148">
        <w:tab/>
      </w:r>
      <w:r w:rsidR="000E0B34" w:rsidRPr="00D71148">
        <w:rPr>
          <w:b/>
        </w:rPr>
        <w:t xml:space="preserve">Expedite the ratification of the Council of Europe Convention on Preventing and Combating Violence against Women and Domestic Violence. </w:t>
      </w:r>
    </w:p>
    <w:p w:rsidR="00C30D82" w:rsidRPr="00D71148" w:rsidRDefault="00C30D82" w:rsidP="00C30D82">
      <w:pPr>
        <w:pStyle w:val="SingleTxt"/>
        <w:spacing w:after="0" w:line="120" w:lineRule="exact"/>
        <w:rPr>
          <w:sz w:val="10"/>
        </w:rPr>
      </w:pPr>
    </w:p>
    <w:p w:rsidR="000E0B34" w:rsidRPr="00D71148" w:rsidRDefault="000E0B34" w:rsidP="00C30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Trafficking and exploitation of prostitution</w:t>
      </w:r>
    </w:p>
    <w:p w:rsidR="00C30D82" w:rsidRPr="00D71148" w:rsidRDefault="00C30D82" w:rsidP="00C30D82">
      <w:pPr>
        <w:pStyle w:val="SingleTxt"/>
        <w:spacing w:after="0" w:line="120" w:lineRule="exact"/>
        <w:rPr>
          <w:sz w:val="10"/>
        </w:rPr>
      </w:pPr>
    </w:p>
    <w:p w:rsidR="000E0B34" w:rsidRPr="00D71148" w:rsidRDefault="000E0B34" w:rsidP="000E0B34">
      <w:pPr>
        <w:pStyle w:val="SingleTxt"/>
      </w:pPr>
      <w:r w:rsidRPr="00D71148">
        <w:t>20.</w:t>
      </w:r>
      <w:r w:rsidRPr="00D71148">
        <w:tab/>
        <w:t>The Committee notes the measures taken by the State party against trafficking in persons and the establishment of a data</w:t>
      </w:r>
      <w:r w:rsidR="0050279A">
        <w:t>-</w:t>
      </w:r>
      <w:r w:rsidRPr="00D71148">
        <w:t>collection system on victims of trafficking in 2012. However, the Committee notes with concern:</w:t>
      </w:r>
    </w:p>
    <w:p w:rsidR="000E0B34" w:rsidRPr="00D71148" w:rsidRDefault="00171F32" w:rsidP="000E0B34">
      <w:pPr>
        <w:pStyle w:val="SingleTxt"/>
      </w:pPr>
      <w:r w:rsidRPr="00D71148">
        <w:tab/>
      </w:r>
      <w:r w:rsidR="000E0B34" w:rsidRPr="00D71148">
        <w:t>(a)</w:t>
      </w:r>
      <w:r w:rsidR="000E0B34" w:rsidRPr="00D71148">
        <w:tab/>
        <w:t>That the State party continues to be a source, transit and destination country for trafficking in women and girls for purposes of sexual exploitation and forced labour;</w:t>
      </w:r>
    </w:p>
    <w:p w:rsidR="000E0B34" w:rsidRPr="00D71148" w:rsidRDefault="00171F32" w:rsidP="000E0B34">
      <w:pPr>
        <w:pStyle w:val="SingleTxt"/>
      </w:pPr>
      <w:r w:rsidRPr="00D71148">
        <w:tab/>
      </w:r>
      <w:r w:rsidR="000E0B34" w:rsidRPr="00D71148">
        <w:t>(b)</w:t>
      </w:r>
      <w:r w:rsidR="000E0B34" w:rsidRPr="00D71148">
        <w:tab/>
        <w:t>The uncertain funding prospects for non</w:t>
      </w:r>
      <w:r w:rsidR="00EB3A67" w:rsidRPr="00D71148">
        <w:t>-</w:t>
      </w:r>
      <w:r w:rsidR="000E0B34" w:rsidRPr="00D71148">
        <w:t>governmental organizations (NGOs) running shelters and providing assistance to victims of trafficking;</w:t>
      </w:r>
    </w:p>
    <w:p w:rsidR="000E0B34" w:rsidRPr="00D71148" w:rsidRDefault="00171F32" w:rsidP="000E0B34">
      <w:pPr>
        <w:pStyle w:val="SingleTxt"/>
      </w:pPr>
      <w:r w:rsidRPr="00D71148">
        <w:tab/>
      </w:r>
      <w:r w:rsidR="000E0B34" w:rsidRPr="00D71148">
        <w:t>(c)</w:t>
      </w:r>
      <w:r w:rsidR="000E0B34" w:rsidRPr="00D71148">
        <w:tab/>
        <w:t>The lack of gender</w:t>
      </w:r>
      <w:r w:rsidR="00EB3A67" w:rsidRPr="00D71148">
        <w:t>-</w:t>
      </w:r>
      <w:r w:rsidR="000E0B34" w:rsidRPr="00D71148">
        <w:t>sensitive support services for victims of trafficking and of witness protection programmes;</w:t>
      </w:r>
    </w:p>
    <w:p w:rsidR="000E0B34" w:rsidRPr="00D71148" w:rsidRDefault="00171F32" w:rsidP="000E0B34">
      <w:pPr>
        <w:pStyle w:val="SingleTxt"/>
      </w:pPr>
      <w:r w:rsidRPr="00D71148">
        <w:tab/>
      </w:r>
      <w:r w:rsidR="000E0B34" w:rsidRPr="00D71148">
        <w:t>(d)</w:t>
      </w:r>
      <w:r w:rsidR="000E0B34" w:rsidRPr="00D71148">
        <w:tab/>
        <w:t xml:space="preserve">The lack of information about exploitation of prostitution in the State party and the relationship thereof with trafficking in persons, as well as the lack of prevention and rehabilitation measures for victims of sexual exploitation and the insufficient support for women and girls who wish to leave prostitution. </w:t>
      </w:r>
    </w:p>
    <w:p w:rsidR="000E0B34" w:rsidRPr="00D71148" w:rsidRDefault="000E0B34" w:rsidP="000E0B34">
      <w:pPr>
        <w:pStyle w:val="SingleTxt"/>
        <w:rPr>
          <w:b/>
        </w:rPr>
      </w:pPr>
      <w:r w:rsidRPr="00D71148">
        <w:t>21.</w:t>
      </w:r>
      <w:r w:rsidRPr="00D71148">
        <w:tab/>
      </w:r>
      <w:r w:rsidRPr="00D71148">
        <w:rPr>
          <w:b/>
        </w:rPr>
        <w:t>The Committee recommends that the State party continue its efforts to combat trafficking in persons, in particular women and girls, by:</w:t>
      </w:r>
    </w:p>
    <w:p w:rsidR="000E0B34" w:rsidRPr="00D71148" w:rsidRDefault="000E5C7B" w:rsidP="000E0B34">
      <w:pPr>
        <w:pStyle w:val="SingleTxt"/>
        <w:rPr>
          <w:b/>
        </w:rPr>
      </w:pPr>
      <w:r w:rsidRPr="00D71148">
        <w:tab/>
      </w:r>
      <w:r w:rsidR="000E0B34" w:rsidRPr="00D71148">
        <w:t>(a)</w:t>
      </w:r>
      <w:r w:rsidR="000E0B34" w:rsidRPr="00D71148">
        <w:tab/>
      </w:r>
      <w:r w:rsidR="000E0B34" w:rsidRPr="00D71148">
        <w:rPr>
          <w:b/>
        </w:rPr>
        <w:t>Ensuring that cases of trafficking are effectively investigated and the perpetrators prosecuted and adequately punished;</w:t>
      </w:r>
    </w:p>
    <w:p w:rsidR="000E0B34" w:rsidRPr="00D71148" w:rsidRDefault="000E5C7B" w:rsidP="000E0B34">
      <w:pPr>
        <w:pStyle w:val="SingleTxt"/>
        <w:rPr>
          <w:b/>
        </w:rPr>
      </w:pPr>
      <w:r w:rsidRPr="00D71148">
        <w:tab/>
      </w:r>
      <w:r w:rsidR="000E0B34" w:rsidRPr="00D71148">
        <w:t>(b)</w:t>
      </w:r>
      <w:r w:rsidR="000E0B34" w:rsidRPr="00D71148">
        <w:tab/>
      </w:r>
      <w:r w:rsidR="000E0B34" w:rsidRPr="00D71148">
        <w:rPr>
          <w:b/>
        </w:rPr>
        <w:t>Providing capacity</w:t>
      </w:r>
      <w:r w:rsidR="00EB3A67" w:rsidRPr="00D71148">
        <w:rPr>
          <w:b/>
        </w:rPr>
        <w:t>-</w:t>
      </w:r>
      <w:r w:rsidR="000E0B34" w:rsidRPr="00D71148">
        <w:rPr>
          <w:b/>
        </w:rPr>
        <w:t>building for law enforcement officials on early identification and referral of victims of trafficking;</w:t>
      </w:r>
    </w:p>
    <w:p w:rsidR="000E0B34" w:rsidRPr="00D71148" w:rsidRDefault="000E5C7B" w:rsidP="000E0B34">
      <w:pPr>
        <w:pStyle w:val="SingleTxt"/>
        <w:rPr>
          <w:b/>
        </w:rPr>
      </w:pPr>
      <w:r w:rsidRPr="00D71148">
        <w:tab/>
      </w:r>
      <w:r w:rsidR="000E0B34" w:rsidRPr="00D71148">
        <w:t>(c)</w:t>
      </w:r>
      <w:r w:rsidR="000E0B34" w:rsidRPr="00D71148">
        <w:tab/>
      </w:r>
      <w:r w:rsidR="000E0B34" w:rsidRPr="00D71148">
        <w:rPr>
          <w:b/>
        </w:rPr>
        <w:t>Increasing funding for both State</w:t>
      </w:r>
      <w:r w:rsidR="00EB3A67" w:rsidRPr="00D71148">
        <w:rPr>
          <w:b/>
        </w:rPr>
        <w:t>-</w:t>
      </w:r>
      <w:r w:rsidR="000E0B34" w:rsidRPr="00D71148">
        <w:rPr>
          <w:b/>
        </w:rPr>
        <w:t>run and NGO</w:t>
      </w:r>
      <w:r w:rsidR="00EB3A67" w:rsidRPr="00D71148">
        <w:rPr>
          <w:b/>
        </w:rPr>
        <w:t>-</w:t>
      </w:r>
      <w:r w:rsidR="000E0B34" w:rsidRPr="00D71148">
        <w:rPr>
          <w:b/>
        </w:rPr>
        <w:t xml:space="preserve">run shelters and medical, psychological and social reintegration services for victims of trafficking; </w:t>
      </w:r>
    </w:p>
    <w:p w:rsidR="000E0B34" w:rsidRPr="00D71148" w:rsidRDefault="000E5C7B" w:rsidP="000E0B34">
      <w:pPr>
        <w:pStyle w:val="SingleTxt"/>
        <w:rPr>
          <w:b/>
        </w:rPr>
      </w:pPr>
      <w:r w:rsidRPr="00D71148">
        <w:tab/>
      </w:r>
      <w:r w:rsidR="000E0B34" w:rsidRPr="00D71148">
        <w:t>(d)</w:t>
      </w:r>
      <w:r w:rsidR="000E0B34" w:rsidRPr="00D71148">
        <w:tab/>
      </w:r>
      <w:r w:rsidR="000E0B34" w:rsidRPr="00D71148">
        <w:rPr>
          <w:b/>
        </w:rPr>
        <w:t>Strengthening the gender</w:t>
      </w:r>
      <w:r w:rsidR="00EB3A67" w:rsidRPr="00D71148">
        <w:rPr>
          <w:b/>
        </w:rPr>
        <w:t>-</w:t>
      </w:r>
      <w:r w:rsidR="000E0B34" w:rsidRPr="00D71148">
        <w:rPr>
          <w:b/>
        </w:rPr>
        <w:t xml:space="preserve">sensitivity of support services for victims of trafficking and of witness protection programmes; </w:t>
      </w:r>
    </w:p>
    <w:p w:rsidR="000E0B34" w:rsidRPr="00D71148" w:rsidRDefault="000E5C7B" w:rsidP="000E0B34">
      <w:pPr>
        <w:pStyle w:val="SingleTxt"/>
        <w:rPr>
          <w:b/>
        </w:rPr>
      </w:pPr>
      <w:r w:rsidRPr="00D71148">
        <w:tab/>
      </w:r>
      <w:r w:rsidR="000E0B34" w:rsidRPr="00D71148">
        <w:t>(e)</w:t>
      </w:r>
      <w:r w:rsidR="000E0B34" w:rsidRPr="00D71148">
        <w:tab/>
      </w:r>
      <w:r w:rsidR="000E0B34" w:rsidRPr="00D71148">
        <w:rPr>
          <w:b/>
        </w:rPr>
        <w:t>Collecting data on trafficking in women and girls and exploitation of prostitution and strengthening assistance provided to women and girls who wish to leave prostitution, including by providing alternative income</w:t>
      </w:r>
      <w:r w:rsidR="00EB3A67" w:rsidRPr="00D71148">
        <w:rPr>
          <w:b/>
        </w:rPr>
        <w:t>-</w:t>
      </w:r>
      <w:r w:rsidR="000E0B34" w:rsidRPr="00D71148">
        <w:rPr>
          <w:b/>
        </w:rPr>
        <w:t>generating opportunities.</w:t>
      </w:r>
    </w:p>
    <w:p w:rsidR="000E5C7B" w:rsidRPr="00D71148" w:rsidRDefault="000E5C7B" w:rsidP="000E5C7B">
      <w:pPr>
        <w:pStyle w:val="SingleTxt"/>
        <w:spacing w:after="0" w:line="120" w:lineRule="exact"/>
        <w:rPr>
          <w:sz w:val="10"/>
        </w:rPr>
      </w:pPr>
    </w:p>
    <w:p w:rsidR="000E0B34" w:rsidRPr="00D71148" w:rsidRDefault="000E0B34" w:rsidP="000E5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Participation in political and public life</w:t>
      </w:r>
    </w:p>
    <w:p w:rsidR="000E5C7B" w:rsidRPr="00D71148" w:rsidRDefault="000E5C7B" w:rsidP="000E5C7B">
      <w:pPr>
        <w:pStyle w:val="SingleTxt"/>
        <w:spacing w:after="0" w:line="120" w:lineRule="exact"/>
        <w:rPr>
          <w:sz w:val="10"/>
        </w:rPr>
      </w:pPr>
    </w:p>
    <w:p w:rsidR="000E0B34" w:rsidRPr="00D71148" w:rsidRDefault="000E0B34" w:rsidP="000E0B34">
      <w:pPr>
        <w:pStyle w:val="SingleTxt"/>
      </w:pPr>
      <w:r w:rsidRPr="00D71148">
        <w:t>22.</w:t>
      </w:r>
      <w:r w:rsidRPr="00D71148">
        <w:tab/>
        <w:t>The Committee is concerned about:</w:t>
      </w:r>
    </w:p>
    <w:p w:rsidR="000E0B34" w:rsidRPr="00D71148" w:rsidRDefault="000E5C7B" w:rsidP="000E0B34">
      <w:pPr>
        <w:pStyle w:val="SingleTxt"/>
      </w:pPr>
      <w:r w:rsidRPr="00D71148">
        <w:tab/>
      </w:r>
      <w:r w:rsidR="000E0B34" w:rsidRPr="00D71148">
        <w:t>(a)</w:t>
      </w:r>
      <w:r w:rsidR="000E0B34" w:rsidRPr="00D71148">
        <w:tab/>
        <w:t>The decrease in the number of women parliamentarians and women in the local administrative bodies;</w:t>
      </w:r>
    </w:p>
    <w:p w:rsidR="000E0B34" w:rsidRPr="00D71148" w:rsidRDefault="000E5C7B" w:rsidP="000E0B34">
      <w:pPr>
        <w:pStyle w:val="SingleTxt"/>
      </w:pPr>
      <w:r w:rsidRPr="00D71148">
        <w:tab/>
      </w:r>
      <w:r w:rsidR="000E0B34" w:rsidRPr="00D71148">
        <w:t>(b)</w:t>
      </w:r>
      <w:r w:rsidR="000E0B34" w:rsidRPr="00D71148">
        <w:tab/>
        <w:t>The absence of targeted measures, including temporary special measures, in line with article 4 (1), of the Convention, to accelerate the achievement of the substantive equality of women and men in political and public life and to promote the representation of disadvantaged groups of women, such as rural women, women from ethnic and linguistic minorities and women with disabilities, in political office, including at the decision</w:t>
      </w:r>
      <w:r w:rsidR="00EB3A67" w:rsidRPr="00D71148">
        <w:t>-</w:t>
      </w:r>
      <w:r w:rsidR="000E0B34" w:rsidRPr="00D71148">
        <w:t>making level;</w:t>
      </w:r>
    </w:p>
    <w:p w:rsidR="000E0B34" w:rsidRPr="00D71148" w:rsidRDefault="000E5C7B" w:rsidP="000E0B34">
      <w:pPr>
        <w:pStyle w:val="SingleTxt"/>
      </w:pPr>
      <w:r w:rsidRPr="00D71148">
        <w:tab/>
      </w:r>
      <w:r w:rsidR="000E0B34" w:rsidRPr="00D71148">
        <w:t>(c)</w:t>
      </w:r>
      <w:r w:rsidR="000E0B34" w:rsidRPr="00D71148">
        <w:tab/>
        <w:t>The underrepresentation of women in appointed political positions and in State</w:t>
      </w:r>
      <w:r w:rsidR="00EB3A67" w:rsidRPr="00D71148">
        <w:t>-</w:t>
      </w:r>
      <w:r w:rsidR="000E0B34" w:rsidRPr="00D71148">
        <w:t>owned companies.</w:t>
      </w:r>
    </w:p>
    <w:p w:rsidR="000E0B34" w:rsidRPr="00D71148" w:rsidRDefault="000E0B34" w:rsidP="000E0B34">
      <w:pPr>
        <w:pStyle w:val="SingleTxt"/>
      </w:pPr>
      <w:r w:rsidRPr="00D71148">
        <w:t>23.</w:t>
      </w:r>
      <w:r w:rsidRPr="00D71148">
        <w:tab/>
      </w:r>
      <w:r w:rsidRPr="00D71148">
        <w:rPr>
          <w:b/>
        </w:rPr>
        <w:t>In line with its general recommendation No. 23 (1997) on women in political and public life, the Committee recommends that the State party adopt targeted measures, including temporary special measures, in accordance with article 4 (1) of the Convention and the Committee</w:t>
      </w:r>
      <w:r w:rsidR="00EB3A67" w:rsidRPr="00D71148">
        <w:rPr>
          <w:b/>
        </w:rPr>
        <w:t>’</w:t>
      </w:r>
      <w:r w:rsidRPr="00D71148">
        <w:rPr>
          <w:b/>
        </w:rPr>
        <w:t>s general recommendation No. 25 (2004), such as statutory quotas and a zipper system for elections at the national and local levels, ensuring the appointment of an equal number of women and men to leadership positions in the Government, local administrative bodies, the judiciary and State</w:t>
      </w:r>
      <w:r w:rsidR="00EB3A67" w:rsidRPr="00D71148">
        <w:rPr>
          <w:b/>
        </w:rPr>
        <w:t>-</w:t>
      </w:r>
      <w:r w:rsidRPr="00D71148">
        <w:rPr>
          <w:b/>
        </w:rPr>
        <w:t>owned companies, in order to increase the participation of women, in particular rural women, women from ethnic and linguistic minorities and women with disabilities, in political and public life</w:t>
      </w:r>
      <w:r w:rsidRPr="00D71148">
        <w:t>.</w:t>
      </w:r>
    </w:p>
    <w:p w:rsidR="000E5C7B" w:rsidRPr="00D71148" w:rsidRDefault="000E5C7B" w:rsidP="000E5C7B">
      <w:pPr>
        <w:pStyle w:val="SingleTxt"/>
        <w:spacing w:after="0" w:line="120" w:lineRule="exact"/>
        <w:rPr>
          <w:sz w:val="10"/>
        </w:rPr>
      </w:pPr>
    </w:p>
    <w:p w:rsidR="000E0B34" w:rsidRPr="00D71148" w:rsidRDefault="000E0B34" w:rsidP="000E5C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Nationality</w:t>
      </w:r>
    </w:p>
    <w:p w:rsidR="000E5C7B" w:rsidRPr="00D71148" w:rsidRDefault="000E5C7B" w:rsidP="000E5C7B">
      <w:pPr>
        <w:pStyle w:val="SingleTxt"/>
        <w:keepNext/>
        <w:keepLines/>
        <w:spacing w:after="0" w:line="120" w:lineRule="exact"/>
        <w:rPr>
          <w:sz w:val="10"/>
        </w:rPr>
      </w:pPr>
    </w:p>
    <w:p w:rsidR="000E0B34" w:rsidRPr="00D71148" w:rsidRDefault="000E0B34" w:rsidP="000E5C7B">
      <w:pPr>
        <w:pStyle w:val="SingleTxt"/>
        <w:keepNext/>
        <w:keepLines/>
      </w:pPr>
      <w:r w:rsidRPr="00D71148">
        <w:t>24.</w:t>
      </w:r>
      <w:r w:rsidRPr="00D71148">
        <w:tab/>
        <w:t>The Committee welcomes the 2015 amendments to the Citizenship Act granting Estonian citizenship to children with undetermined citizenship born in the State party, which benefit girls. However, the Committee notes with concern that:</w:t>
      </w:r>
    </w:p>
    <w:p w:rsidR="000E0B34" w:rsidRPr="00D71148" w:rsidRDefault="00DA01B5" w:rsidP="000E0B34">
      <w:pPr>
        <w:pStyle w:val="SingleTxt"/>
      </w:pPr>
      <w:r w:rsidRPr="00D71148">
        <w:tab/>
      </w:r>
      <w:r w:rsidR="000E0B34" w:rsidRPr="00D71148">
        <w:t>(a)</w:t>
      </w:r>
      <w:r w:rsidR="000E0B34" w:rsidRPr="00D71148">
        <w:tab/>
        <w:t>These amendments do not apply to children with undetermined citizenship in the 15</w:t>
      </w:r>
      <w:r w:rsidR="00EB3A67" w:rsidRPr="00D71148">
        <w:t>-</w:t>
      </w:r>
      <w:r w:rsidR="000E0B34" w:rsidRPr="00D71148">
        <w:t>18 age category, which may disproportionally affect adolescent girls;</w:t>
      </w:r>
    </w:p>
    <w:p w:rsidR="009A2075" w:rsidRPr="00D71148" w:rsidRDefault="00DA01B5" w:rsidP="000E0B34">
      <w:pPr>
        <w:pStyle w:val="SingleTxt"/>
      </w:pPr>
      <w:r w:rsidRPr="00D71148">
        <w:tab/>
      </w:r>
      <w:r w:rsidR="000E0B34" w:rsidRPr="00D71148">
        <w:t>(b)</w:t>
      </w:r>
      <w:r w:rsidR="000E0B34" w:rsidRPr="00D71148">
        <w:tab/>
        <w:t>The number of women and girls with undetermined citizenship remains high and the number of naturalizations of women and girls has decreased in recent years.</w:t>
      </w:r>
      <w:r w:rsidR="009A2075" w:rsidRPr="00D71148">
        <w:t xml:space="preserve"> </w:t>
      </w:r>
    </w:p>
    <w:p w:rsidR="000E0B34" w:rsidRPr="00D71148" w:rsidRDefault="000E0B34" w:rsidP="000E0B34">
      <w:pPr>
        <w:pStyle w:val="SingleTxt"/>
      </w:pPr>
      <w:r w:rsidRPr="00D71148">
        <w:t>25.</w:t>
      </w:r>
      <w:r w:rsidRPr="00D71148">
        <w:tab/>
      </w:r>
      <w:r w:rsidRPr="00D71148">
        <w:rPr>
          <w:b/>
        </w:rPr>
        <w:t>The Committee recommends that the State party:</w:t>
      </w:r>
      <w:r w:rsidRPr="00D71148">
        <w:t xml:space="preserve"> </w:t>
      </w:r>
    </w:p>
    <w:p w:rsidR="000E0B34" w:rsidRPr="00D71148" w:rsidRDefault="00DA01B5" w:rsidP="000E0B34">
      <w:pPr>
        <w:pStyle w:val="SingleTxt"/>
      </w:pPr>
      <w:r w:rsidRPr="00D71148">
        <w:tab/>
      </w:r>
      <w:r w:rsidR="000E0B34" w:rsidRPr="00D71148">
        <w:t>(a)</w:t>
      </w:r>
      <w:r w:rsidR="000E0B34" w:rsidRPr="00D71148">
        <w:tab/>
      </w:r>
      <w:r w:rsidR="000E0B34" w:rsidRPr="00D71148">
        <w:rPr>
          <w:b/>
        </w:rPr>
        <w:t>Establish a statelessness determination procedure, in line with articles 2 and 9 of the Convention and its general recommendation No. 32 (2014) on the gender</w:t>
      </w:r>
      <w:r w:rsidR="00EB3A67" w:rsidRPr="00D71148">
        <w:rPr>
          <w:b/>
        </w:rPr>
        <w:t>-</w:t>
      </w:r>
      <w:r w:rsidR="000E0B34" w:rsidRPr="00D71148">
        <w:rPr>
          <w:b/>
        </w:rPr>
        <w:t>related dimensions of refugee status, asylum, nationality and statelessness of women, in order to expedite naturalization;</w:t>
      </w:r>
    </w:p>
    <w:p w:rsidR="000E0B34" w:rsidRPr="00D71148" w:rsidRDefault="00DA01B5" w:rsidP="000E0B34">
      <w:pPr>
        <w:pStyle w:val="SingleTxt"/>
      </w:pPr>
      <w:r w:rsidRPr="00D71148">
        <w:tab/>
      </w:r>
      <w:r w:rsidR="000E0B34" w:rsidRPr="00D71148">
        <w:t>(b)</w:t>
      </w:r>
      <w:r w:rsidR="000E0B34" w:rsidRPr="00D71148">
        <w:tab/>
      </w:r>
      <w:r w:rsidR="000E0B34" w:rsidRPr="00D71148">
        <w:rPr>
          <w:b/>
        </w:rPr>
        <w:t>Fast</w:t>
      </w:r>
      <w:r w:rsidR="00EB3A67" w:rsidRPr="00D71148">
        <w:rPr>
          <w:b/>
        </w:rPr>
        <w:t>-</w:t>
      </w:r>
      <w:r w:rsidR="000E0B34" w:rsidRPr="00D71148">
        <w:rPr>
          <w:b/>
        </w:rPr>
        <w:t>track the naturalization of children with undetermined citizenship in the 15</w:t>
      </w:r>
      <w:r w:rsidR="00EB3A67" w:rsidRPr="00D71148">
        <w:rPr>
          <w:b/>
        </w:rPr>
        <w:t>-</w:t>
      </w:r>
      <w:r w:rsidR="000E0B34" w:rsidRPr="00D71148">
        <w:rPr>
          <w:b/>
        </w:rPr>
        <w:t>18 age category;</w:t>
      </w:r>
    </w:p>
    <w:p w:rsidR="000E0B34" w:rsidRPr="00D71148" w:rsidRDefault="00DA01B5" w:rsidP="000E0B34">
      <w:pPr>
        <w:pStyle w:val="SingleTxt"/>
      </w:pPr>
      <w:r w:rsidRPr="00D71148">
        <w:tab/>
      </w:r>
      <w:r w:rsidR="000E0B34" w:rsidRPr="00D71148">
        <w:t>(c)</w:t>
      </w:r>
      <w:r w:rsidR="000E0B34" w:rsidRPr="00D71148">
        <w:tab/>
      </w:r>
      <w:r w:rsidR="000E0B34" w:rsidRPr="00D71148">
        <w:rPr>
          <w:b/>
        </w:rPr>
        <w:t>Accede to the 1954 Convention relating to the Status of Stateless Persons, the 1961 Convention on the Reduction of Statelessness and the European Convention on Nationality.</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Education</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26.</w:t>
      </w:r>
      <w:r w:rsidRPr="00D71148">
        <w:tab/>
        <w:t>The Committee notes that women and girls and men and boys are represented equally at the different levels of education. The Committee is, however, concerned about:</w:t>
      </w:r>
    </w:p>
    <w:p w:rsidR="000E0B34" w:rsidRPr="00D71148" w:rsidRDefault="00DA01B5" w:rsidP="000E0B34">
      <w:pPr>
        <w:pStyle w:val="SingleTxt"/>
      </w:pPr>
      <w:r w:rsidRPr="00D71148">
        <w:tab/>
      </w:r>
      <w:r w:rsidR="000E0B34" w:rsidRPr="00D71148">
        <w:t>(a)</w:t>
      </w:r>
      <w:r w:rsidR="000E0B34" w:rsidRPr="00D71148">
        <w:tab/>
        <w:t>The concentration of women and girls in traditionally female</w:t>
      </w:r>
      <w:r w:rsidR="00EB3A67" w:rsidRPr="00D71148">
        <w:t>-</w:t>
      </w:r>
      <w:r w:rsidR="000E0B34" w:rsidRPr="00D71148">
        <w:t>dominated fields of study and career paths, such as education, social services, health and welfare, and their underrepresentation in, for example, information technology and architecture, owing to persistent gender stereotypes;</w:t>
      </w:r>
    </w:p>
    <w:p w:rsidR="000E0B34" w:rsidRPr="00D71148" w:rsidRDefault="00DA01B5" w:rsidP="000E0B34">
      <w:pPr>
        <w:pStyle w:val="SingleTxt"/>
      </w:pPr>
      <w:r w:rsidRPr="00D71148">
        <w:tab/>
      </w:r>
      <w:r w:rsidR="000E0B34" w:rsidRPr="00D71148">
        <w:t>(b)</w:t>
      </w:r>
      <w:r w:rsidR="000E0B34" w:rsidRPr="00D71148">
        <w:tab/>
        <w:t>The absence of measures to eliminate discriminatory gender stereotypes from school books and educational curricula;</w:t>
      </w:r>
    </w:p>
    <w:p w:rsidR="000E0B34" w:rsidRPr="00D71148" w:rsidRDefault="00DA01B5" w:rsidP="000E0B34">
      <w:pPr>
        <w:pStyle w:val="SingleTxt"/>
      </w:pPr>
      <w:r w:rsidRPr="00D71148">
        <w:tab/>
      </w:r>
      <w:r w:rsidR="000E0B34" w:rsidRPr="00D71148">
        <w:t>(c)</w:t>
      </w:r>
      <w:r w:rsidR="000E0B34" w:rsidRPr="00D71148">
        <w:tab/>
        <w:t>The low number of women in decision</w:t>
      </w:r>
      <w:r w:rsidR="00EB3A67" w:rsidRPr="00D71148">
        <w:t>-</w:t>
      </w:r>
      <w:r w:rsidR="000E0B34" w:rsidRPr="00D71148">
        <w:t>making positions in educational institutions and of women professors;</w:t>
      </w:r>
    </w:p>
    <w:p w:rsidR="000E0B34" w:rsidRPr="00D71148" w:rsidRDefault="00DA01B5" w:rsidP="000E0B34">
      <w:pPr>
        <w:pStyle w:val="SingleTxt"/>
      </w:pPr>
      <w:r w:rsidRPr="00D71148">
        <w:tab/>
      </w:r>
      <w:r w:rsidR="000E0B34" w:rsidRPr="00D71148">
        <w:t>(d)</w:t>
      </w:r>
      <w:r w:rsidR="000E0B34" w:rsidRPr="00D71148">
        <w:tab/>
        <w:t>Discrimination faced by Russian</w:t>
      </w:r>
      <w:r w:rsidR="00EB3A67" w:rsidRPr="00D71148">
        <w:t>-</w:t>
      </w:r>
      <w:r w:rsidR="000E0B34" w:rsidRPr="00D71148">
        <w:t>speaking minorities and girls with disabilities in access to education.</w:t>
      </w:r>
    </w:p>
    <w:p w:rsidR="000E0B34" w:rsidRPr="00D71148" w:rsidRDefault="000E0B34" w:rsidP="000E0B34">
      <w:pPr>
        <w:pStyle w:val="SingleTxt"/>
      </w:pPr>
      <w:r w:rsidRPr="00D71148">
        <w:t>27.</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Strengthen its strategies to address discriminatory stereotypes and structural barriers that may deter girls from enrolling in traditionally male</w:t>
      </w:r>
      <w:r w:rsidR="00EB3A67" w:rsidRPr="00D71148">
        <w:rPr>
          <w:b/>
        </w:rPr>
        <w:t>-</w:t>
      </w:r>
      <w:r w:rsidR="000E0B34" w:rsidRPr="00D71148">
        <w:rPr>
          <w:b/>
        </w:rPr>
        <w:t>dominated fields of study, such as information technology and architecture;</w:t>
      </w:r>
    </w:p>
    <w:p w:rsidR="000E0B34" w:rsidRPr="00D71148" w:rsidRDefault="00DA01B5" w:rsidP="000E0B34">
      <w:pPr>
        <w:pStyle w:val="SingleTxt"/>
      </w:pPr>
      <w:r w:rsidRPr="00D71148">
        <w:tab/>
      </w:r>
      <w:r w:rsidR="000E0B34" w:rsidRPr="00D71148">
        <w:t>(b)</w:t>
      </w:r>
      <w:r w:rsidR="000E0B34" w:rsidRPr="00D71148">
        <w:tab/>
      </w:r>
      <w:r w:rsidR="000E0B34" w:rsidRPr="00D71148">
        <w:rPr>
          <w:b/>
        </w:rPr>
        <w:t>Review school curricula and textbooks at all levels of education to eliminate discriminatory gender stereotypes;</w:t>
      </w:r>
    </w:p>
    <w:p w:rsidR="000E0B34" w:rsidRPr="00D71148" w:rsidRDefault="00DA01B5" w:rsidP="000E0B34">
      <w:pPr>
        <w:pStyle w:val="SingleTxt"/>
      </w:pPr>
      <w:r w:rsidRPr="00D71148">
        <w:tab/>
      </w:r>
      <w:r w:rsidR="000E0B34" w:rsidRPr="00D71148">
        <w:t>(c)</w:t>
      </w:r>
      <w:r w:rsidR="000E0B34" w:rsidRPr="00D71148">
        <w:tab/>
      </w:r>
      <w:r w:rsidR="000E0B34" w:rsidRPr="00D71148">
        <w:rPr>
          <w:b/>
        </w:rPr>
        <w:t>Adopt targeted measures, including temporary special measures, in line with article 4 (1), of the Convention and the Committee</w:t>
      </w:r>
      <w:r w:rsidR="00EB3A67" w:rsidRPr="00D71148">
        <w:rPr>
          <w:b/>
        </w:rPr>
        <w:t>’</w:t>
      </w:r>
      <w:r w:rsidR="000E0B34" w:rsidRPr="00D71148">
        <w:rPr>
          <w:b/>
        </w:rPr>
        <w:t>s general recommendation No. 25 (2004), and set clear targets and time frames for promoting the recruitment of women professors and women in decision</w:t>
      </w:r>
      <w:r w:rsidR="00EB3A67" w:rsidRPr="00D71148">
        <w:rPr>
          <w:b/>
        </w:rPr>
        <w:t>-</w:t>
      </w:r>
      <w:r w:rsidR="000E0B34" w:rsidRPr="00D71148">
        <w:rPr>
          <w:b/>
        </w:rPr>
        <w:t>making positions in educational institutions;</w:t>
      </w:r>
    </w:p>
    <w:p w:rsidR="000E0B34" w:rsidRPr="00D71148" w:rsidRDefault="00DA01B5" w:rsidP="000E0B34">
      <w:pPr>
        <w:pStyle w:val="SingleTxt"/>
      </w:pPr>
      <w:r w:rsidRPr="00D71148">
        <w:tab/>
      </w:r>
      <w:r w:rsidR="000E0B34" w:rsidRPr="00D71148">
        <w:t>(d)</w:t>
      </w:r>
      <w:r w:rsidR="000E0B34" w:rsidRPr="00D71148">
        <w:tab/>
      </w:r>
      <w:r w:rsidR="000E0B34" w:rsidRPr="00D71148">
        <w:rPr>
          <w:b/>
        </w:rPr>
        <w:t>Ensure that girls belonging to linguistic and ethnic minorities, in particular Russian girls, and girls with disabilities, have adequate access to education, including instruction in or of their mother tongue and inclusive education, respectively.</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Employment</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28.</w:t>
      </w:r>
      <w:r w:rsidRPr="00D71148">
        <w:tab/>
        <w:t>The Committee welcomes the amendments to the Gender Equality Act and Equal Treatment Act, which further defined discrimination in labour disputes and sexual harassment in the workplace and introduced a shared burden of proof in civil and administrative proceedings in such cases. However, the Committee regrets the absence of statistical data from the labour dispute committees and the courts that would make it possible to evaluate the impact of these measures and of specific sanctions for employers who violate the relevant provisions of the Gender Equality Act, including the principle of equal pay for work of equal value. The Committee is also concerned about:</w:t>
      </w:r>
    </w:p>
    <w:p w:rsidR="000E0B34" w:rsidRPr="00D71148" w:rsidRDefault="00DA01B5" w:rsidP="000E0B34">
      <w:pPr>
        <w:pStyle w:val="SingleTxt"/>
      </w:pPr>
      <w:r w:rsidRPr="00D71148">
        <w:tab/>
      </w:r>
      <w:r w:rsidR="000E0B34" w:rsidRPr="00D71148">
        <w:t>(a)</w:t>
      </w:r>
      <w:r w:rsidR="000E0B34" w:rsidRPr="00D71148">
        <w:tab/>
        <w:t>The lack of an effective mechanism for bringing complaints about sexual harassment in the workplace to allow for cases to be taken to the court ex officio;</w:t>
      </w:r>
    </w:p>
    <w:p w:rsidR="000E0B34" w:rsidRPr="00D71148" w:rsidRDefault="00DA01B5" w:rsidP="000E0B34">
      <w:pPr>
        <w:pStyle w:val="SingleTxt"/>
      </w:pPr>
      <w:r w:rsidRPr="00D71148">
        <w:tab/>
      </w:r>
      <w:r w:rsidR="000E0B34" w:rsidRPr="00D71148">
        <w:t>(b)</w:t>
      </w:r>
      <w:r w:rsidR="000E0B34" w:rsidRPr="00D71148">
        <w:tab/>
        <w:t xml:space="preserve">Horizontal and vertical occupational segregation, the persistent gender pay gap of almost 30 per cent and a lack of transparency on wages at the enterprise level; </w:t>
      </w:r>
    </w:p>
    <w:p w:rsidR="000E0B34" w:rsidRPr="00D71148" w:rsidRDefault="00DA01B5" w:rsidP="000E0B34">
      <w:pPr>
        <w:pStyle w:val="SingleTxt"/>
      </w:pPr>
      <w:r w:rsidRPr="00D71148">
        <w:tab/>
      </w:r>
      <w:r w:rsidR="000E0B34" w:rsidRPr="00D71148">
        <w:t>(c)</w:t>
      </w:r>
      <w:r w:rsidR="000E0B34" w:rsidRPr="00D71148">
        <w:tab/>
        <w:t>The lack of systematic collection of sex</w:t>
      </w:r>
      <w:r w:rsidR="00EB3A67" w:rsidRPr="00D71148">
        <w:t>-</w:t>
      </w:r>
      <w:r w:rsidR="000E0B34" w:rsidRPr="00D71148">
        <w:t>disaggregated statistical data on employment as required under the Gender Equality Act;</w:t>
      </w:r>
    </w:p>
    <w:p w:rsidR="000E0B34" w:rsidRPr="00D71148" w:rsidRDefault="00DA01B5" w:rsidP="000E0B34">
      <w:pPr>
        <w:pStyle w:val="SingleTxt"/>
      </w:pPr>
      <w:r w:rsidRPr="00D71148">
        <w:tab/>
      </w:r>
      <w:r w:rsidR="000E0B34" w:rsidRPr="00D71148">
        <w:t>(d)</w:t>
      </w:r>
      <w:r w:rsidR="000E0B34" w:rsidRPr="00D71148">
        <w:tab/>
        <w:t>The significant underrepresentation of women in management positions in private companies;</w:t>
      </w:r>
    </w:p>
    <w:p w:rsidR="000E0B34" w:rsidRPr="00D71148" w:rsidRDefault="00DA01B5" w:rsidP="000E0B34">
      <w:pPr>
        <w:pStyle w:val="SingleTxt"/>
      </w:pPr>
      <w:r w:rsidRPr="00D71148">
        <w:tab/>
      </w:r>
      <w:r w:rsidR="000E0B34" w:rsidRPr="00D71148">
        <w:t>(e)</w:t>
      </w:r>
      <w:r w:rsidR="000E0B34" w:rsidRPr="00D71148">
        <w:tab/>
        <w:t>The low employment rate among women aged 25 to 49, owing to unequal sharing of child</w:t>
      </w:r>
      <w:r w:rsidR="00EB3A67" w:rsidRPr="00D71148">
        <w:t>-</w:t>
      </w:r>
      <w:r w:rsidR="000E0B34" w:rsidRPr="00D71148">
        <w:t>raising and caretaking responsibilities between women and men and the lack of childcare services in the State party;</w:t>
      </w:r>
    </w:p>
    <w:p w:rsidR="000E0B34" w:rsidRPr="00D71148" w:rsidRDefault="00DA01B5" w:rsidP="000E0B34">
      <w:pPr>
        <w:pStyle w:val="SingleTxt"/>
      </w:pPr>
      <w:r w:rsidRPr="00D71148">
        <w:tab/>
      </w:r>
      <w:r w:rsidR="000E0B34" w:rsidRPr="00D71148">
        <w:t>(f)</w:t>
      </w:r>
      <w:r w:rsidR="000E0B34" w:rsidRPr="00D71148">
        <w:tab/>
        <w:t>Employment discrimination against women returning to work after maternity leave;</w:t>
      </w:r>
    </w:p>
    <w:p w:rsidR="000E0B34" w:rsidRPr="00D71148" w:rsidRDefault="00DA01B5" w:rsidP="000E0B34">
      <w:pPr>
        <w:pStyle w:val="SingleTxt"/>
      </w:pPr>
      <w:r w:rsidRPr="00D71148">
        <w:tab/>
      </w:r>
      <w:r w:rsidR="000E0B34" w:rsidRPr="00D71148">
        <w:t>(g)</w:t>
      </w:r>
      <w:r w:rsidR="000E0B34" w:rsidRPr="00D71148">
        <w:tab/>
        <w:t>The lack of information on the employment rates and working conditions of women belonging to the Russian</w:t>
      </w:r>
      <w:r w:rsidR="00EB3A67" w:rsidRPr="00D71148">
        <w:t>-</w:t>
      </w:r>
      <w:r w:rsidR="000E0B34" w:rsidRPr="00D71148">
        <w:t>speaking minority, women with disabilities and lesbian, bisexual, transgender and intersex women.</w:t>
      </w:r>
    </w:p>
    <w:p w:rsidR="000E0B34" w:rsidRPr="00D71148" w:rsidRDefault="000E0B34" w:rsidP="000E0B34">
      <w:pPr>
        <w:pStyle w:val="SingleTxt"/>
      </w:pPr>
      <w:r w:rsidRPr="00D71148">
        <w:t>29.</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Establish an effective mechanism for bringing complaints about sexual harassment in the workplace to allow for cases to be taken to the court by the Labour Inspectorate or/and the Gender Equality and Equal Treatment Commissioner ex officio;</w:t>
      </w:r>
    </w:p>
    <w:p w:rsidR="000E0B34" w:rsidRPr="00D71148" w:rsidRDefault="00DA01B5" w:rsidP="000E0B34">
      <w:pPr>
        <w:pStyle w:val="SingleTxt"/>
      </w:pPr>
      <w:r w:rsidRPr="00D71148">
        <w:tab/>
      </w:r>
      <w:r w:rsidR="000E0B34" w:rsidRPr="00D71148">
        <w:t xml:space="preserve">(b) </w:t>
      </w:r>
      <w:r w:rsidRPr="00D71148">
        <w:tab/>
      </w:r>
      <w:r w:rsidR="000E0B34" w:rsidRPr="00D71148">
        <w:rPr>
          <w:b/>
        </w:rPr>
        <w:t>Strengthen measures to address horizontal and vertical occupational segregation and amend the Gender Equality Act to mandate the Labour Inspectorate to monitor the implementation of the principle of equal pay for work of equal value;</w:t>
      </w:r>
    </w:p>
    <w:p w:rsidR="000E0B34" w:rsidRPr="00D71148" w:rsidRDefault="00DA01B5" w:rsidP="000E0B34">
      <w:pPr>
        <w:pStyle w:val="SingleTxt"/>
      </w:pPr>
      <w:r w:rsidRPr="00D71148">
        <w:tab/>
      </w:r>
      <w:r w:rsidR="000E0B34" w:rsidRPr="00D71148">
        <w:t>(c)</w:t>
      </w:r>
      <w:r w:rsidR="000E0B34" w:rsidRPr="00D71148">
        <w:tab/>
      </w:r>
      <w:r w:rsidR="000E0B34" w:rsidRPr="00D71148">
        <w:rPr>
          <w:b/>
        </w:rPr>
        <w:t>Strengthen the collection, analysis and publication of sex</w:t>
      </w:r>
      <w:r w:rsidR="00EB3A67" w:rsidRPr="00D71148">
        <w:rPr>
          <w:b/>
        </w:rPr>
        <w:t>-</w:t>
      </w:r>
      <w:r w:rsidR="000E0B34" w:rsidRPr="00D71148">
        <w:rPr>
          <w:b/>
        </w:rPr>
        <w:t>segregated statistical data on employment, including court data on the enforcement of the Gender Equality Act;</w:t>
      </w:r>
    </w:p>
    <w:p w:rsidR="000E0B34" w:rsidRPr="00D71148" w:rsidRDefault="00DA01B5" w:rsidP="000E0B34">
      <w:pPr>
        <w:pStyle w:val="SingleTxt"/>
      </w:pPr>
      <w:r w:rsidRPr="00D71148">
        <w:tab/>
      </w:r>
      <w:r w:rsidR="000E0B34" w:rsidRPr="00D71148">
        <w:t>(d)</w:t>
      </w:r>
      <w:r w:rsidR="000E0B34" w:rsidRPr="00D71148">
        <w:tab/>
      </w:r>
      <w:r w:rsidR="000E0B34" w:rsidRPr="00D71148">
        <w:rPr>
          <w:b/>
        </w:rPr>
        <w:t>Increase the representation of women in management positions in private companies, including through temporary special measures;</w:t>
      </w:r>
    </w:p>
    <w:p w:rsidR="000E0B34" w:rsidRPr="00D71148" w:rsidRDefault="00DA01B5" w:rsidP="000E0B34">
      <w:pPr>
        <w:pStyle w:val="SingleTxt"/>
      </w:pPr>
      <w:r w:rsidRPr="00D71148">
        <w:tab/>
      </w:r>
      <w:r w:rsidR="000E0B34" w:rsidRPr="00D71148">
        <w:t>(e)</w:t>
      </w:r>
      <w:r w:rsidR="000E0B34" w:rsidRPr="00D71148">
        <w:tab/>
      </w:r>
      <w:r w:rsidR="000E0B34" w:rsidRPr="00D71148">
        <w:rPr>
          <w:b/>
        </w:rPr>
        <w:t>Introduce effective sanctions against employers who violate the Gender Equality Act;</w:t>
      </w:r>
    </w:p>
    <w:p w:rsidR="000E0B34" w:rsidRPr="00D71148" w:rsidRDefault="00DA01B5" w:rsidP="000E0B34">
      <w:pPr>
        <w:pStyle w:val="SingleTxt"/>
      </w:pPr>
      <w:r w:rsidRPr="00D71148">
        <w:tab/>
      </w:r>
      <w:r w:rsidR="000E0B34" w:rsidRPr="00D71148">
        <w:t>(f)</w:t>
      </w:r>
      <w:r w:rsidR="000E0B34" w:rsidRPr="00D71148">
        <w:tab/>
      </w:r>
      <w:r w:rsidR="000E0B34" w:rsidRPr="00D71148">
        <w:rPr>
          <w:b/>
        </w:rPr>
        <w:t>Allocate a specific budget to the implementation of the Welfare Development Plan 2016</w:t>
      </w:r>
      <w:r w:rsidR="00EB3A67" w:rsidRPr="00D71148">
        <w:rPr>
          <w:b/>
        </w:rPr>
        <w:t>-</w:t>
      </w:r>
      <w:r w:rsidR="000E0B34" w:rsidRPr="00D71148">
        <w:rPr>
          <w:b/>
        </w:rPr>
        <w:t>2023 with a view to reducing the disproportionate burden of care work on women and facilitating access to paternity leave for men;</w:t>
      </w:r>
    </w:p>
    <w:p w:rsidR="000E0B34" w:rsidRPr="00D71148" w:rsidRDefault="00DA01B5" w:rsidP="000E0B34">
      <w:pPr>
        <w:pStyle w:val="SingleTxt"/>
      </w:pPr>
      <w:r w:rsidRPr="00D71148">
        <w:tab/>
      </w:r>
      <w:r w:rsidR="000E0B34" w:rsidRPr="00D71148">
        <w:t>(g)</w:t>
      </w:r>
      <w:r w:rsidR="000E0B34" w:rsidRPr="00D71148">
        <w:tab/>
      </w:r>
      <w:r w:rsidR="000E0B34" w:rsidRPr="00D71148">
        <w:rPr>
          <w:b/>
        </w:rPr>
        <w:t>Promote employment of women in the 25</w:t>
      </w:r>
      <w:r w:rsidR="00EB3A67" w:rsidRPr="00D71148">
        <w:rPr>
          <w:b/>
        </w:rPr>
        <w:t>-</w:t>
      </w:r>
      <w:r w:rsidR="000E0B34" w:rsidRPr="00D71148">
        <w:rPr>
          <w:b/>
        </w:rPr>
        <w:t>49 age group by providing sufficient childcare services and encouraging men to take paternity leave;</w:t>
      </w:r>
      <w:r w:rsidR="000E0B34" w:rsidRPr="00D71148">
        <w:t xml:space="preserve"> </w:t>
      </w:r>
    </w:p>
    <w:p w:rsidR="000E0B34" w:rsidRPr="00D71148" w:rsidRDefault="00DA01B5" w:rsidP="000E0B34">
      <w:pPr>
        <w:pStyle w:val="SingleTxt"/>
      </w:pPr>
      <w:r w:rsidRPr="00D71148">
        <w:tab/>
      </w:r>
      <w:r w:rsidR="000E0B34" w:rsidRPr="00D71148">
        <w:t>(h)</w:t>
      </w:r>
      <w:r w:rsidR="000E0B34" w:rsidRPr="00D71148">
        <w:tab/>
      </w:r>
      <w:r w:rsidR="000E0B34" w:rsidRPr="00D71148">
        <w:rPr>
          <w:b/>
        </w:rPr>
        <w:t>Address employment discrimination against women returning to work after maternity leave;</w:t>
      </w:r>
    </w:p>
    <w:p w:rsidR="000E0B34" w:rsidRPr="00D71148" w:rsidRDefault="00DA01B5" w:rsidP="000E0B34">
      <w:pPr>
        <w:pStyle w:val="SingleTxt"/>
      </w:pPr>
      <w:r w:rsidRPr="00D71148">
        <w:tab/>
      </w:r>
      <w:r w:rsidR="000E0B34" w:rsidRPr="00D71148">
        <w:t>(i)</w:t>
      </w:r>
      <w:r w:rsidR="000E0B34" w:rsidRPr="00D71148">
        <w:tab/>
      </w:r>
      <w:r w:rsidR="000E0B34" w:rsidRPr="00D71148">
        <w:rPr>
          <w:b/>
        </w:rPr>
        <w:t>Promote access to the labour market for women belonging to the Russian</w:t>
      </w:r>
      <w:r w:rsidR="00EB3A67" w:rsidRPr="00D71148">
        <w:rPr>
          <w:b/>
        </w:rPr>
        <w:t>-</w:t>
      </w:r>
      <w:r w:rsidR="000E0B34" w:rsidRPr="00D71148">
        <w:rPr>
          <w:b/>
        </w:rPr>
        <w:t>speaking minority, women with disabilities and lesbian, bisexual, transgender and intersex women by addressing discrimination and social stigma against them.</w:t>
      </w:r>
      <w:r w:rsidR="000E0B34" w:rsidRPr="00D71148">
        <w:t xml:space="preserve"> </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Health</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30.</w:t>
      </w:r>
      <w:r w:rsidRPr="00D71148">
        <w:tab/>
        <w:t>The Committee notes that approximately 95 per cent of Estonian citizens are covered by the national mandatory health insurance scheme. However, the Committee notes with concern:</w:t>
      </w:r>
    </w:p>
    <w:p w:rsidR="000E0B34" w:rsidRPr="00D71148" w:rsidRDefault="00DA01B5" w:rsidP="000E0B34">
      <w:pPr>
        <w:pStyle w:val="SingleTxt"/>
      </w:pPr>
      <w:r w:rsidRPr="00D71148">
        <w:tab/>
      </w:r>
      <w:r w:rsidR="000E0B34" w:rsidRPr="00D71148">
        <w:t>(a)</w:t>
      </w:r>
      <w:r w:rsidR="000E0B34" w:rsidRPr="00D71148">
        <w:tab/>
        <w:t>The high rates of alcohol abuse and alcohol</w:t>
      </w:r>
      <w:r w:rsidR="00EB3A67" w:rsidRPr="00D71148">
        <w:t>-</w:t>
      </w:r>
      <w:r w:rsidR="000E0B34" w:rsidRPr="00D71148">
        <w:t>related deaths among young women;</w:t>
      </w:r>
    </w:p>
    <w:p w:rsidR="000E0B34" w:rsidRPr="00D71148" w:rsidRDefault="00DA01B5" w:rsidP="000E0B34">
      <w:pPr>
        <w:pStyle w:val="SingleTxt"/>
      </w:pPr>
      <w:r w:rsidRPr="00D71148">
        <w:tab/>
      </w:r>
      <w:r w:rsidR="000E0B34" w:rsidRPr="00D71148">
        <w:t>(b)</w:t>
      </w:r>
      <w:r w:rsidR="000E0B34" w:rsidRPr="00D71148">
        <w:tab/>
        <w:t>The limited contraceptive coverage under the health insurance scheme;</w:t>
      </w:r>
    </w:p>
    <w:p w:rsidR="000E0B34" w:rsidRPr="00D71148" w:rsidRDefault="00DA01B5" w:rsidP="000E0B34">
      <w:pPr>
        <w:pStyle w:val="SingleTxt"/>
      </w:pPr>
      <w:r w:rsidRPr="00D71148">
        <w:tab/>
      </w:r>
      <w:r w:rsidR="000E0B34" w:rsidRPr="00D71148">
        <w:t>(c)</w:t>
      </w:r>
      <w:r w:rsidR="000E0B34" w:rsidRPr="00D71148">
        <w:tab/>
        <w:t>The long waiting periods for health appointments, in particular with respect to sexual and reproductive health services, especially for women in rural areas;</w:t>
      </w:r>
    </w:p>
    <w:p w:rsidR="000E0B34" w:rsidRPr="00D71148" w:rsidRDefault="00DA01B5" w:rsidP="000E0B34">
      <w:pPr>
        <w:pStyle w:val="SingleTxt"/>
      </w:pPr>
      <w:r w:rsidRPr="00D71148">
        <w:tab/>
      </w:r>
      <w:r w:rsidR="000E0B34" w:rsidRPr="00D71148">
        <w:t>(d)</w:t>
      </w:r>
      <w:r w:rsidR="000E0B34" w:rsidRPr="00D71148">
        <w:tab/>
        <w:t xml:space="preserve">The limited accessibility for rural, older and </w:t>
      </w:r>
      <w:r w:rsidR="006D3F01" w:rsidRPr="00D71148">
        <w:t>marginalized</w:t>
      </w:r>
      <w:r w:rsidR="000E0B34" w:rsidRPr="00D71148">
        <w:t xml:space="preserve"> women of the recently introduced electronic administration of health appointments.</w:t>
      </w:r>
    </w:p>
    <w:p w:rsidR="000E0B34" w:rsidRPr="00D71148" w:rsidRDefault="000E0B34" w:rsidP="000E0B34">
      <w:pPr>
        <w:pStyle w:val="SingleTxt"/>
      </w:pPr>
      <w:r w:rsidRPr="00D71148">
        <w:t>31.</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Take the measures necessary to address the high rates of alcohol abuse and alcohol</w:t>
      </w:r>
      <w:r w:rsidR="00EB3A67" w:rsidRPr="00D71148">
        <w:rPr>
          <w:b/>
        </w:rPr>
        <w:t>-</w:t>
      </w:r>
      <w:r w:rsidR="000E0B34" w:rsidRPr="00D71148">
        <w:rPr>
          <w:b/>
        </w:rPr>
        <w:t>related deaths among young women;</w:t>
      </w:r>
    </w:p>
    <w:p w:rsidR="000E0B34" w:rsidRPr="00D71148" w:rsidRDefault="00DA01B5" w:rsidP="000E0B34">
      <w:pPr>
        <w:pStyle w:val="SingleTxt"/>
      </w:pPr>
      <w:r w:rsidRPr="00D71148">
        <w:tab/>
      </w:r>
      <w:r w:rsidR="000E0B34" w:rsidRPr="00D71148">
        <w:t>(b)</w:t>
      </w:r>
      <w:r w:rsidR="000E0B34" w:rsidRPr="00D71148">
        <w:tab/>
      </w:r>
      <w:r w:rsidR="000E0B34" w:rsidRPr="00D71148">
        <w:rPr>
          <w:b/>
        </w:rPr>
        <w:t>Ensure affordable access to sexual and reproductive health services, in particular to a comprehensive range of contraceptives, for all women and girls, including those in rural areas and those with disabilities;</w:t>
      </w:r>
      <w:r w:rsidR="000E0B34" w:rsidRPr="00D71148">
        <w:t xml:space="preserve"> </w:t>
      </w:r>
    </w:p>
    <w:p w:rsidR="000E0B34" w:rsidRPr="00D71148" w:rsidRDefault="00DA01B5" w:rsidP="000E0B34">
      <w:pPr>
        <w:pStyle w:val="SingleTxt"/>
      </w:pPr>
      <w:r w:rsidRPr="00D71148">
        <w:tab/>
      </w:r>
      <w:r w:rsidR="000E0B34" w:rsidRPr="00D71148">
        <w:t>(c)</w:t>
      </w:r>
      <w:r w:rsidR="000E0B34" w:rsidRPr="00D71148">
        <w:tab/>
      </w:r>
      <w:r w:rsidR="000E0B34" w:rsidRPr="00D71148">
        <w:rPr>
          <w:b/>
        </w:rPr>
        <w:t>Reduce the waiting periods for obtaining health appointments, in particular for rural women and with respect to sexual and reproductive health services;</w:t>
      </w:r>
    </w:p>
    <w:p w:rsidR="000E0B34" w:rsidRPr="00D71148" w:rsidRDefault="00DA01B5" w:rsidP="000E0B34">
      <w:pPr>
        <w:pStyle w:val="SingleTxt"/>
      </w:pPr>
      <w:r w:rsidRPr="00D71148">
        <w:tab/>
      </w:r>
      <w:r w:rsidR="000E0B34" w:rsidRPr="00D71148">
        <w:t>(d)</w:t>
      </w:r>
      <w:r w:rsidR="000E0B34" w:rsidRPr="00D71148">
        <w:tab/>
      </w:r>
      <w:r w:rsidR="000E0B34" w:rsidRPr="00D71148">
        <w:rPr>
          <w:b/>
        </w:rPr>
        <w:t>Ensure that rural, older and marginalized women are not excluded from health services owing to the recent introduction of electronic administration of health appointments, by educating them on the use of such tools and ensuring adequate Internet access.</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Economic and social benefits and economic empowerment of women </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32.</w:t>
      </w:r>
      <w:r w:rsidRPr="00D71148">
        <w:tab/>
      </w:r>
      <w:r w:rsidRPr="0050279A">
        <w:rPr>
          <w:spacing w:val="2"/>
        </w:rPr>
        <w:t>The Committee notes that gender equality is among the principal objectives of the Welfare Development Plan 2016</w:t>
      </w:r>
      <w:r w:rsidR="00EB3A67" w:rsidRPr="0050279A">
        <w:rPr>
          <w:spacing w:val="2"/>
        </w:rPr>
        <w:t>-</w:t>
      </w:r>
      <w:r w:rsidRPr="0050279A">
        <w:rPr>
          <w:spacing w:val="2"/>
        </w:rPr>
        <w:t>2023. However, it is concerned that only 0.02 per cent</w:t>
      </w:r>
      <w:r w:rsidRPr="00D71148">
        <w:t xml:space="preserve"> of the budget for the implementation of the Plan has been allocated to that objective. The Committee also notes with concern:</w:t>
      </w:r>
    </w:p>
    <w:p w:rsidR="000E0B34" w:rsidRPr="00D71148" w:rsidRDefault="00DA01B5" w:rsidP="000E0B34">
      <w:pPr>
        <w:pStyle w:val="SingleTxt"/>
      </w:pPr>
      <w:r w:rsidRPr="00D71148">
        <w:tab/>
      </w:r>
      <w:r w:rsidR="000E0B34" w:rsidRPr="00D71148">
        <w:t>(a)</w:t>
      </w:r>
      <w:r w:rsidR="000E0B34" w:rsidRPr="00D71148">
        <w:tab/>
        <w:t>The low number of women entrepreneurs in the State party and women</w:t>
      </w:r>
      <w:r w:rsidR="00EB3A67" w:rsidRPr="00D71148">
        <w:t>’</w:t>
      </w:r>
      <w:r w:rsidR="000E0B34" w:rsidRPr="00D71148">
        <w:t>s limited access to the gender</w:t>
      </w:r>
      <w:r w:rsidR="00EB3A67" w:rsidRPr="00D71148">
        <w:t>-</w:t>
      </w:r>
      <w:r w:rsidR="000E0B34" w:rsidRPr="00D71148">
        <w:t>neutral start</w:t>
      </w:r>
      <w:r w:rsidR="00EB3A67" w:rsidRPr="00D71148">
        <w:t>-</w:t>
      </w:r>
      <w:r w:rsidR="000E0B34" w:rsidRPr="00D71148">
        <w:t>up support scheme owing to gender</w:t>
      </w:r>
      <w:r w:rsidR="00EB3A67" w:rsidRPr="00D71148">
        <w:t>-</w:t>
      </w:r>
      <w:r w:rsidR="000E0B34" w:rsidRPr="00D71148">
        <w:t>blind eligibility criteria;</w:t>
      </w:r>
    </w:p>
    <w:p w:rsidR="000E0B34" w:rsidRPr="00D71148" w:rsidRDefault="00DA01B5" w:rsidP="000E0B34">
      <w:pPr>
        <w:pStyle w:val="SingleTxt"/>
      </w:pPr>
      <w:r w:rsidRPr="00D71148">
        <w:tab/>
      </w:r>
      <w:r w:rsidR="000E0B34" w:rsidRPr="00D71148">
        <w:t>(b)</w:t>
      </w:r>
      <w:r w:rsidR="000E0B34" w:rsidRPr="00D71148">
        <w:tab/>
        <w:t>The absence of start</w:t>
      </w:r>
      <w:r w:rsidR="00EB3A67" w:rsidRPr="00D71148">
        <w:t>-</w:t>
      </w:r>
      <w:r w:rsidR="000E0B34" w:rsidRPr="00D71148">
        <w:t>up programmes for women, microcredit schemes or a strategy for the economic advancement of women in the State party;</w:t>
      </w:r>
    </w:p>
    <w:p w:rsidR="000E0B34" w:rsidRPr="00D71148" w:rsidRDefault="00DA01B5" w:rsidP="000E0B34">
      <w:pPr>
        <w:pStyle w:val="SingleTxt"/>
      </w:pPr>
      <w:r w:rsidRPr="00D71148">
        <w:tab/>
      </w:r>
      <w:r w:rsidR="000E0B34" w:rsidRPr="00D71148">
        <w:t>(c)</w:t>
      </w:r>
      <w:r w:rsidR="000E0B34" w:rsidRPr="00D71148">
        <w:tab/>
        <w:t>The inadequate amounts provided for under the new Child Maintenance Fund, which are under half the State</w:t>
      </w:r>
      <w:r w:rsidR="00EB3A67" w:rsidRPr="00D71148">
        <w:t>-</w:t>
      </w:r>
      <w:r w:rsidR="000E0B34" w:rsidRPr="00D71148">
        <w:t>required minimum child maintenance level.</w:t>
      </w:r>
    </w:p>
    <w:p w:rsidR="000E0B34" w:rsidRPr="00D71148" w:rsidRDefault="000E0B34" w:rsidP="000E0B34">
      <w:pPr>
        <w:pStyle w:val="SingleTxt"/>
      </w:pPr>
      <w:r w:rsidRPr="00D71148">
        <w:t>33.</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Increase the specific budget allocation for promoting gender equality under the Welfare Development Plan 2016</w:t>
      </w:r>
      <w:r w:rsidR="00EB3A67" w:rsidRPr="00D71148">
        <w:rPr>
          <w:b/>
        </w:rPr>
        <w:t>-</w:t>
      </w:r>
      <w:r w:rsidR="000E0B34" w:rsidRPr="00D71148">
        <w:rPr>
          <w:b/>
        </w:rPr>
        <w:t>2023;</w:t>
      </w:r>
    </w:p>
    <w:p w:rsidR="000E0B34" w:rsidRPr="00D71148" w:rsidRDefault="00DA01B5" w:rsidP="000E0B34">
      <w:pPr>
        <w:pStyle w:val="SingleTxt"/>
      </w:pPr>
      <w:r w:rsidRPr="00D71148">
        <w:tab/>
      </w:r>
      <w:r w:rsidR="000E0B34" w:rsidRPr="00D71148">
        <w:t>(b)</w:t>
      </w:r>
      <w:r w:rsidR="000E0B34" w:rsidRPr="00D71148">
        <w:tab/>
      </w:r>
      <w:r w:rsidR="000E0B34" w:rsidRPr="00D71148">
        <w:rPr>
          <w:b/>
        </w:rPr>
        <w:t>Ensure that eligibility criteria for start</w:t>
      </w:r>
      <w:r w:rsidR="00EB3A67" w:rsidRPr="00D71148">
        <w:rPr>
          <w:b/>
        </w:rPr>
        <w:t>-</w:t>
      </w:r>
      <w:r w:rsidR="000E0B34" w:rsidRPr="00D71148">
        <w:rPr>
          <w:b/>
        </w:rPr>
        <w:t>up programmes, microcredit schemes and entrepreneurship programmes take into account the specific needs of women;</w:t>
      </w:r>
    </w:p>
    <w:p w:rsidR="000E0B34" w:rsidRPr="00D71148" w:rsidRDefault="00DA01B5" w:rsidP="000E0B34">
      <w:pPr>
        <w:pStyle w:val="SingleTxt"/>
      </w:pPr>
      <w:r w:rsidRPr="00D71148">
        <w:tab/>
      </w:r>
      <w:r w:rsidR="000E0B34" w:rsidRPr="00D71148">
        <w:t>(c)</w:t>
      </w:r>
      <w:r w:rsidR="000E0B34" w:rsidRPr="00D71148">
        <w:tab/>
      </w:r>
      <w:r w:rsidR="000E0B34" w:rsidRPr="00D71148">
        <w:rPr>
          <w:b/>
        </w:rPr>
        <w:t>Increase the proposed amounts to be allocated under the new Child Maintenance Fund to at least equal to the State</w:t>
      </w:r>
      <w:r w:rsidR="00EB3A67" w:rsidRPr="00D71148">
        <w:rPr>
          <w:b/>
        </w:rPr>
        <w:t>-</w:t>
      </w:r>
      <w:r w:rsidR="000E0B34" w:rsidRPr="00D71148">
        <w:rPr>
          <w:b/>
        </w:rPr>
        <w:t>required minimum child maintenance level.</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Rural women</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34.</w:t>
      </w:r>
      <w:r w:rsidRPr="00D71148">
        <w:tab/>
        <w:t>The Committee notes that the social protection of women working in their spouses</w:t>
      </w:r>
      <w:r w:rsidR="00EB3A67" w:rsidRPr="00D71148">
        <w:t>’</w:t>
      </w:r>
      <w:r w:rsidRPr="00D71148">
        <w:t xml:space="preserve"> family businesses has been strengthened as they now have the possibility of being registered as workers in the health and pension system. However, it is concerned at reports that women</w:t>
      </w:r>
      <w:r w:rsidR="00EB3A67" w:rsidRPr="00D71148">
        <w:t>’</w:t>
      </w:r>
      <w:r w:rsidRPr="00D71148">
        <w:t>s organizations were excluded from meaningful consultation during the planning phase of the Rural Development Plan 2014</w:t>
      </w:r>
      <w:r w:rsidR="00EB3A67" w:rsidRPr="00D71148">
        <w:t>-</w:t>
      </w:r>
      <w:r w:rsidRPr="00D71148">
        <w:t>2020 and that recent administrative reforms have limited women</w:t>
      </w:r>
      <w:r w:rsidR="00EB3A67" w:rsidRPr="00D71148">
        <w:t>’</w:t>
      </w:r>
      <w:r w:rsidRPr="00D71148">
        <w:t>s access to basic services for rural women.</w:t>
      </w:r>
    </w:p>
    <w:p w:rsidR="000E0B34" w:rsidRPr="00D71148" w:rsidRDefault="000E0B34" w:rsidP="000E0B34">
      <w:pPr>
        <w:pStyle w:val="SingleTxt"/>
      </w:pPr>
      <w:r w:rsidRPr="00D71148">
        <w:t>35.</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Implement a comprehensive strategy to ensure that rural women and girls have adequate access to high quality education, employment and health care, as well as to decision</w:t>
      </w:r>
      <w:r w:rsidR="00EB3A67" w:rsidRPr="00D71148">
        <w:rPr>
          <w:b/>
        </w:rPr>
        <w:t>-</w:t>
      </w:r>
      <w:r w:rsidR="000E0B34" w:rsidRPr="00D71148">
        <w:rPr>
          <w:b/>
        </w:rPr>
        <w:t>making processes and economic empowerment;</w:t>
      </w:r>
    </w:p>
    <w:p w:rsidR="000E0B34" w:rsidRPr="00D71148" w:rsidRDefault="00DA01B5" w:rsidP="000E0B34">
      <w:pPr>
        <w:pStyle w:val="SingleTxt"/>
      </w:pPr>
      <w:r w:rsidRPr="00D71148">
        <w:tab/>
      </w:r>
      <w:r w:rsidR="000E0B34" w:rsidRPr="00D71148">
        <w:t>(b)</w:t>
      </w:r>
      <w:r w:rsidR="000E0B34" w:rsidRPr="00D71148">
        <w:tab/>
      </w:r>
      <w:r w:rsidR="000E0B34" w:rsidRPr="00D71148">
        <w:rPr>
          <w:b/>
        </w:rPr>
        <w:t>Strengthen the involvement of women</w:t>
      </w:r>
      <w:r w:rsidR="00EB3A67" w:rsidRPr="00D71148">
        <w:rPr>
          <w:b/>
        </w:rPr>
        <w:t>’</w:t>
      </w:r>
      <w:r w:rsidR="000E0B34" w:rsidRPr="00D71148">
        <w:rPr>
          <w:b/>
        </w:rPr>
        <w:t>s organizations in rural policy planning.</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Disadvantaged groups of women </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36.</w:t>
      </w:r>
      <w:r w:rsidRPr="00D71148">
        <w:tab/>
        <w:t>The Committee is concerned about:</w:t>
      </w:r>
    </w:p>
    <w:p w:rsidR="000E0B34" w:rsidRPr="00D71148" w:rsidRDefault="00DA01B5" w:rsidP="000E0B34">
      <w:pPr>
        <w:pStyle w:val="SingleTxt"/>
      </w:pPr>
      <w:r w:rsidRPr="00D71148">
        <w:tab/>
      </w:r>
      <w:r w:rsidR="000E0B34" w:rsidRPr="00D71148">
        <w:t>(a)</w:t>
      </w:r>
      <w:r w:rsidR="000E0B34" w:rsidRPr="00D71148">
        <w:tab/>
        <w:t>The growing number of single female asylum seekers at heightened risk of sexual and gender</w:t>
      </w:r>
      <w:r w:rsidR="00EB3A67" w:rsidRPr="00D71148">
        <w:t>-</w:t>
      </w:r>
      <w:r w:rsidR="000E0B34" w:rsidRPr="00D71148">
        <w:t>based violence;</w:t>
      </w:r>
    </w:p>
    <w:p w:rsidR="009A2075" w:rsidRPr="00D71148" w:rsidRDefault="00DA01B5" w:rsidP="000E0B34">
      <w:pPr>
        <w:pStyle w:val="SingleTxt"/>
      </w:pPr>
      <w:r w:rsidRPr="00D71148">
        <w:tab/>
      </w:r>
      <w:r w:rsidR="000E0B34" w:rsidRPr="00D71148">
        <w:t>(b)</w:t>
      </w:r>
      <w:r w:rsidR="000E0B34" w:rsidRPr="00D71148">
        <w:tab/>
        <w:t>Discrimination against lesbian, bisexual, transgender and intersex women, especially in the workplace;</w:t>
      </w:r>
      <w:r w:rsidR="009A2075" w:rsidRPr="00D71148">
        <w:t xml:space="preserve"> </w:t>
      </w:r>
    </w:p>
    <w:p w:rsidR="000E0B34" w:rsidRPr="00D71148" w:rsidRDefault="00DA01B5" w:rsidP="000E0B34">
      <w:pPr>
        <w:pStyle w:val="SingleTxt"/>
      </w:pPr>
      <w:r w:rsidRPr="00D71148">
        <w:tab/>
      </w:r>
      <w:r w:rsidR="000E0B34" w:rsidRPr="00D71148">
        <w:t>(c)</w:t>
      </w:r>
      <w:r w:rsidR="000E0B34" w:rsidRPr="00D71148">
        <w:tab/>
        <w:t xml:space="preserve">The absence of criminal proceedings in cases of hate crimes committed against lesbian, bisexual, transgender and intersex women and the lack of statistical data on such crimes. </w:t>
      </w:r>
    </w:p>
    <w:p w:rsidR="000E0B34" w:rsidRPr="00D71148" w:rsidRDefault="000E0B34" w:rsidP="000E0B34">
      <w:pPr>
        <w:pStyle w:val="SingleTxt"/>
      </w:pPr>
      <w:r w:rsidRPr="00D71148">
        <w:t>37.</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Address the special reception needs of asylum</w:t>
      </w:r>
      <w:r w:rsidR="00EB3A67" w:rsidRPr="00D71148">
        <w:rPr>
          <w:b/>
        </w:rPr>
        <w:t>-</w:t>
      </w:r>
      <w:r w:rsidR="000E0B34" w:rsidRPr="00D71148">
        <w:rPr>
          <w:b/>
        </w:rPr>
        <w:t>seeking single women and establish measures for the identification and prevention of and response to sexual and gender</w:t>
      </w:r>
      <w:r w:rsidR="00EB3A67" w:rsidRPr="00D71148">
        <w:rPr>
          <w:b/>
        </w:rPr>
        <w:t>-</w:t>
      </w:r>
      <w:r w:rsidR="000E0B34" w:rsidRPr="00D71148">
        <w:rPr>
          <w:b/>
        </w:rPr>
        <w:t>based violence in the reception centres for asylum seekers;</w:t>
      </w:r>
    </w:p>
    <w:p w:rsidR="000E0B34" w:rsidRPr="00D71148" w:rsidRDefault="00DA01B5" w:rsidP="000E0B34">
      <w:pPr>
        <w:pStyle w:val="SingleTxt"/>
      </w:pPr>
      <w:r w:rsidRPr="00D71148">
        <w:tab/>
      </w:r>
      <w:r w:rsidR="000E0B34" w:rsidRPr="00D71148">
        <w:t>(b)</w:t>
      </w:r>
      <w:r w:rsidR="000E0B34" w:rsidRPr="00D71148">
        <w:tab/>
      </w:r>
      <w:r w:rsidR="000E0B34" w:rsidRPr="00D71148">
        <w:rPr>
          <w:b/>
        </w:rPr>
        <w:t>Allocate additional resources for ensuring an adequate standard of living for asylum seekers, in particular single women and single mothers, and for measures to prevent and combat sexual and gender</w:t>
      </w:r>
      <w:r w:rsidR="00EB3A67" w:rsidRPr="00D71148">
        <w:rPr>
          <w:b/>
        </w:rPr>
        <w:t>-</w:t>
      </w:r>
      <w:r w:rsidR="000E0B34" w:rsidRPr="00D71148">
        <w:rPr>
          <w:b/>
        </w:rPr>
        <w:t>based violence against such women;</w:t>
      </w:r>
    </w:p>
    <w:p w:rsidR="000E0B34" w:rsidRPr="00D71148" w:rsidRDefault="00DA01B5" w:rsidP="000E0B34">
      <w:pPr>
        <w:pStyle w:val="SingleTxt"/>
      </w:pPr>
      <w:r w:rsidRPr="00D71148">
        <w:tab/>
      </w:r>
      <w:r w:rsidR="000E0B34" w:rsidRPr="00D71148">
        <w:t>(c)</w:t>
      </w:r>
      <w:r w:rsidR="000E0B34" w:rsidRPr="00D71148">
        <w:tab/>
      </w:r>
      <w:r w:rsidR="000E0B34" w:rsidRPr="00D71148">
        <w:rPr>
          <w:b/>
        </w:rPr>
        <w:t>Address discrimination against lesbian, bisexual, transgender and intersex women in the workplace, through awareness</w:t>
      </w:r>
      <w:r w:rsidR="00EB3A67" w:rsidRPr="00D71148">
        <w:rPr>
          <w:b/>
        </w:rPr>
        <w:t>-</w:t>
      </w:r>
      <w:r w:rsidR="000E0B34" w:rsidRPr="00D71148">
        <w:rPr>
          <w:b/>
        </w:rPr>
        <w:t>raising campaigns and the prosecution and punishment of offenders;</w:t>
      </w:r>
    </w:p>
    <w:p w:rsidR="000E0B34" w:rsidRPr="00D71148" w:rsidRDefault="00DA01B5" w:rsidP="000E0B34">
      <w:pPr>
        <w:pStyle w:val="SingleTxt"/>
      </w:pPr>
      <w:r w:rsidRPr="00D71148">
        <w:tab/>
      </w:r>
      <w:r w:rsidR="000E0B34" w:rsidRPr="00D71148">
        <w:t>(d)</w:t>
      </w:r>
      <w:r w:rsidR="000E0B34" w:rsidRPr="00D71148">
        <w:tab/>
      </w:r>
      <w:r w:rsidR="000E0B34" w:rsidRPr="00D71148">
        <w:rPr>
          <w:b/>
        </w:rPr>
        <w:t>Develop and adopt legislation to explicitly criminalize hatred against lesbian, bisexual, transgender and intersex women;</w:t>
      </w:r>
    </w:p>
    <w:p w:rsidR="000E0B34" w:rsidRPr="00D71148" w:rsidRDefault="00DA01B5" w:rsidP="000E0B34">
      <w:pPr>
        <w:pStyle w:val="SingleTxt"/>
      </w:pPr>
      <w:r w:rsidRPr="00D71148">
        <w:tab/>
      </w:r>
      <w:r w:rsidR="000E0B34" w:rsidRPr="00D71148">
        <w:t>(e)</w:t>
      </w:r>
      <w:r w:rsidR="000E0B34" w:rsidRPr="00D71148">
        <w:tab/>
      </w:r>
      <w:r w:rsidR="000E0B34" w:rsidRPr="00D71148">
        <w:rPr>
          <w:b/>
        </w:rPr>
        <w:t>Instruct relevant law enforcement agencies, such as the Ministry of the Interior, to collect disaggregated data on homophobic and transphobic crimes.</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Marriage and family relations</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38.</w:t>
      </w:r>
      <w:r w:rsidRPr="00D71148">
        <w:tab/>
        <w:t>The Committee notes with concern:</w:t>
      </w:r>
    </w:p>
    <w:p w:rsidR="000E0B34" w:rsidRPr="00D71148" w:rsidRDefault="00DA01B5" w:rsidP="000E0B34">
      <w:pPr>
        <w:pStyle w:val="SingleTxt"/>
      </w:pPr>
      <w:r w:rsidRPr="00D71148">
        <w:tab/>
      </w:r>
      <w:r w:rsidR="000E0B34" w:rsidRPr="00D71148">
        <w:t>(a)</w:t>
      </w:r>
      <w:r w:rsidR="000E0B34" w:rsidRPr="00D71148">
        <w:tab/>
        <w:t>That women in de facto unions and their children may be deprived of adequate protection of their economic rights in case of separation;</w:t>
      </w:r>
    </w:p>
    <w:p w:rsidR="000E0B34" w:rsidRPr="00D71148" w:rsidRDefault="00DA01B5" w:rsidP="000E0B34">
      <w:pPr>
        <w:pStyle w:val="SingleTxt"/>
      </w:pPr>
      <w:r w:rsidRPr="00D71148">
        <w:tab/>
      </w:r>
      <w:r w:rsidR="000E0B34" w:rsidRPr="00D71148">
        <w:t>(b)</w:t>
      </w:r>
      <w:r w:rsidR="000E0B34" w:rsidRPr="00D71148">
        <w:tab/>
        <w:t>The absence of regulations to implement the Registered Partnership Act of 2014;</w:t>
      </w:r>
    </w:p>
    <w:p w:rsidR="000E0B34" w:rsidRPr="00D71148" w:rsidRDefault="00DA01B5" w:rsidP="000E0B34">
      <w:pPr>
        <w:pStyle w:val="SingleTxt"/>
      </w:pPr>
      <w:r w:rsidRPr="00D71148">
        <w:tab/>
      </w:r>
      <w:r w:rsidR="000E0B34" w:rsidRPr="00D71148">
        <w:t>(c)</w:t>
      </w:r>
      <w:r w:rsidR="000E0B34" w:rsidRPr="00D71148">
        <w:tab/>
        <w:t>The deficiency in enforcement of child support payments, which leads to a high default rate by men on their payments.</w:t>
      </w:r>
    </w:p>
    <w:p w:rsidR="000E0B34" w:rsidRPr="00D71148" w:rsidRDefault="000E0B34" w:rsidP="000E0B34">
      <w:pPr>
        <w:pStyle w:val="SingleTxt"/>
      </w:pPr>
      <w:r w:rsidRPr="00D71148">
        <w:t>39.</w:t>
      </w:r>
      <w:r w:rsidRPr="00D71148">
        <w:tab/>
      </w:r>
      <w:r w:rsidRPr="00D71148">
        <w:rPr>
          <w:b/>
        </w:rPr>
        <w:t>The Committee recommends that the State party:</w:t>
      </w:r>
    </w:p>
    <w:p w:rsidR="000E0B34" w:rsidRPr="00D71148" w:rsidRDefault="00DA01B5" w:rsidP="000E0B34">
      <w:pPr>
        <w:pStyle w:val="SingleTxt"/>
      </w:pPr>
      <w:r w:rsidRPr="00D71148">
        <w:tab/>
      </w:r>
      <w:r w:rsidR="000E0B34" w:rsidRPr="00D71148">
        <w:t>(a)</w:t>
      </w:r>
      <w:r w:rsidR="000E0B34" w:rsidRPr="00D71148">
        <w:tab/>
      </w:r>
      <w:r w:rsidR="000E0B34" w:rsidRPr="00D71148">
        <w:rPr>
          <w:b/>
        </w:rPr>
        <w:t>Adopt without delay the implementing regulation for the Registered Partnership Act of 2014;</w:t>
      </w:r>
    </w:p>
    <w:p w:rsidR="000E0B34" w:rsidRPr="00D71148" w:rsidRDefault="00DA01B5" w:rsidP="000E0B34">
      <w:pPr>
        <w:pStyle w:val="SingleTxt"/>
      </w:pPr>
      <w:r w:rsidRPr="00D71148">
        <w:tab/>
      </w:r>
      <w:r w:rsidR="000E0B34" w:rsidRPr="00D71148">
        <w:t>(b)</w:t>
      </w:r>
      <w:r w:rsidR="000E0B34" w:rsidRPr="00D71148">
        <w:tab/>
      </w:r>
      <w:r w:rsidR="000E0B34" w:rsidRPr="0050279A">
        <w:rPr>
          <w:b/>
          <w:spacing w:val="2"/>
        </w:rPr>
        <w:t>Review its current legal regime governing marriage and family relations, with a view to extending the existing legal protection to women living in de facto unions, in line with the Committee</w:t>
      </w:r>
      <w:r w:rsidR="00EB3A67" w:rsidRPr="0050279A">
        <w:rPr>
          <w:b/>
          <w:spacing w:val="2"/>
        </w:rPr>
        <w:t>’</w:t>
      </w:r>
      <w:r w:rsidR="000E0B34" w:rsidRPr="0050279A">
        <w:rPr>
          <w:b/>
          <w:spacing w:val="2"/>
        </w:rPr>
        <w:t>s general recommendation 29 (2013) on</w:t>
      </w:r>
      <w:r w:rsidR="000E0B34" w:rsidRPr="00D71148">
        <w:rPr>
          <w:b/>
        </w:rPr>
        <w:t xml:space="preserve"> the economic consequences of marriage, family relations and their dissolution;</w:t>
      </w:r>
      <w:r w:rsidR="000E0B34" w:rsidRPr="00D71148">
        <w:t xml:space="preserve"> </w:t>
      </w:r>
    </w:p>
    <w:p w:rsidR="000E0B34" w:rsidRPr="00D71148" w:rsidRDefault="00DA01B5" w:rsidP="000E0B34">
      <w:pPr>
        <w:pStyle w:val="SingleTxt"/>
      </w:pPr>
      <w:r w:rsidRPr="00D71148">
        <w:tab/>
      </w:r>
      <w:r w:rsidR="000E0B34" w:rsidRPr="00D71148">
        <w:t>(c)</w:t>
      </w:r>
      <w:r w:rsidR="000E0B34" w:rsidRPr="00D71148">
        <w:tab/>
      </w:r>
      <w:r w:rsidR="000E0B34" w:rsidRPr="00D71148">
        <w:rPr>
          <w:b/>
        </w:rPr>
        <w:t>Adopt more stringent measures for the enforcement of child support orders.</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Optional Protocol and amendment to article 20 (1) of the Convention </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40.</w:t>
      </w:r>
      <w:r w:rsidRPr="0050279A">
        <w:rPr>
          <w:spacing w:val="2"/>
          <w:w w:val="102"/>
        </w:rPr>
        <w:tab/>
      </w:r>
      <w:r w:rsidRPr="0050279A">
        <w:rPr>
          <w:b/>
          <w:spacing w:val="2"/>
          <w:w w:val="102"/>
        </w:rPr>
        <w:t>The Committee encourages the State party to ratify the Optional Protocol to the Convention and to accept, as soon as possible, the amendment to article 20 (1) of</w:t>
      </w:r>
      <w:r w:rsidRPr="00D71148">
        <w:rPr>
          <w:b/>
        </w:rPr>
        <w:t xml:space="preserve"> the Convention concerning the meeting time of the Committee.</w:t>
      </w:r>
      <w:r w:rsidRPr="00D71148">
        <w:t xml:space="preserve"> </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Beijing Declaration and Platform for Action </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41.</w:t>
      </w:r>
      <w:r w:rsidRPr="00D71148">
        <w:tab/>
      </w:r>
      <w:r w:rsidRPr="00D71148">
        <w:rPr>
          <w:b/>
        </w:rPr>
        <w:t>The Committee calls upon the State party to use the Beijing Declaration and Platform for Action in its efforts to implement the provisions of the Convention.</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2030 Agenda for Sustainable Development </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42.</w:t>
      </w:r>
      <w:r w:rsidRPr="00D71148">
        <w:tab/>
      </w:r>
      <w:r w:rsidRPr="00D71148">
        <w:rPr>
          <w:b/>
        </w:rPr>
        <w:t>The Committee calls for the realization of substantive gender equality, in accordance with the provisions of the Convention, throughout the process of implementation of the 2030 Agenda for Sustainable Development.</w:t>
      </w:r>
      <w:r w:rsidRPr="00D71148">
        <w:t xml:space="preserve"> </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Dissemination</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43.</w:t>
      </w:r>
      <w:r w:rsidRPr="00D71148">
        <w:tab/>
      </w:r>
      <w:r w:rsidRPr="00D71148">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r w:rsidRPr="00D71148">
        <w:t xml:space="preserve"> </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Ratification of other treaties</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44.</w:t>
      </w:r>
      <w:r w:rsidRPr="00D71148">
        <w:tab/>
      </w:r>
      <w:r w:rsidRPr="00D71148">
        <w:rPr>
          <w:b/>
        </w:rPr>
        <w:t>The Committee notes that the adherence of the State party to the nine major international human rights instruments</w:t>
      </w:r>
      <w:r w:rsidR="00DA01B5" w:rsidRPr="00D71148">
        <w:rPr>
          <w:rStyle w:val="FootnoteReference"/>
        </w:rPr>
        <w:footnoteReference w:id="1"/>
      </w:r>
      <w:r w:rsidR="009A2075" w:rsidRPr="00D71148">
        <w:rPr>
          <w:b/>
        </w:rPr>
        <w:t xml:space="preserve"> w</w:t>
      </w:r>
      <w:r w:rsidRPr="00D71148">
        <w:rPr>
          <w:b/>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Disappearances, to which it is not yet a party.</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Follow</w:t>
      </w:r>
      <w:r w:rsidR="00EB3A67" w:rsidRPr="00D71148">
        <w:rPr>
          <w:lang w:val="en-GB"/>
        </w:rPr>
        <w:t>-</w:t>
      </w:r>
      <w:r w:rsidRPr="00D71148">
        <w:rPr>
          <w:lang w:val="en-GB"/>
        </w:rPr>
        <w:t>up to the concluding observations</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45.</w:t>
      </w:r>
      <w:r w:rsidRPr="00D71148">
        <w:tab/>
      </w:r>
      <w:r w:rsidRPr="00D71148">
        <w:rPr>
          <w:b/>
        </w:rPr>
        <w:t>The Committee requests the State party to provide, within two years, written information on the steps taken to implement the recommendations contained in paragraphs 19 (a) and (b) and 29 (b) above.</w:t>
      </w:r>
    </w:p>
    <w:p w:rsidR="00DA01B5" w:rsidRPr="00D71148" w:rsidRDefault="00DA01B5" w:rsidP="00DA01B5">
      <w:pPr>
        <w:pStyle w:val="SingleTxt"/>
        <w:spacing w:after="0" w:line="120" w:lineRule="exact"/>
        <w:rPr>
          <w:sz w:val="10"/>
        </w:rPr>
      </w:pPr>
    </w:p>
    <w:p w:rsidR="000E0B34" w:rsidRPr="00D71148" w:rsidRDefault="000E0B34" w:rsidP="00DA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71148">
        <w:rPr>
          <w:lang w:val="en-GB"/>
        </w:rPr>
        <w:tab/>
      </w:r>
      <w:r w:rsidRPr="00D71148">
        <w:rPr>
          <w:lang w:val="en-GB"/>
        </w:rPr>
        <w:tab/>
        <w:t xml:space="preserve">Preparation of the next report </w:t>
      </w:r>
    </w:p>
    <w:p w:rsidR="00DA01B5" w:rsidRPr="00D71148" w:rsidRDefault="00DA01B5" w:rsidP="00DA01B5">
      <w:pPr>
        <w:pStyle w:val="SingleTxt"/>
        <w:spacing w:after="0" w:line="120" w:lineRule="exact"/>
        <w:rPr>
          <w:sz w:val="10"/>
        </w:rPr>
      </w:pPr>
    </w:p>
    <w:p w:rsidR="000E0B34" w:rsidRPr="00D71148" w:rsidRDefault="000E0B34" w:rsidP="000E0B34">
      <w:pPr>
        <w:pStyle w:val="SingleTxt"/>
      </w:pPr>
      <w:r w:rsidRPr="00D71148">
        <w:t>46.</w:t>
      </w:r>
      <w:r w:rsidRPr="00D71148">
        <w:tab/>
      </w:r>
      <w:r w:rsidRPr="00D71148">
        <w:rPr>
          <w:b/>
        </w:rPr>
        <w:t>The Committee invites the State party to submit its seventh periodic report in November 2020. In case of delay, the report should cover the entire period up to the time of its submission.</w:t>
      </w:r>
    </w:p>
    <w:p w:rsidR="00DD04C9" w:rsidRPr="00D71148" w:rsidRDefault="000E0B34" w:rsidP="000E0B34">
      <w:pPr>
        <w:pStyle w:val="SingleTxt"/>
      </w:pPr>
      <w:r w:rsidRPr="00D71148">
        <w:t>47.</w:t>
      </w:r>
      <w:r w:rsidRPr="00D71148">
        <w:tab/>
      </w:r>
      <w:r w:rsidRPr="00D71148">
        <w:rPr>
          <w:b/>
        </w:rPr>
        <w:t>The Committee requests the State party to follow the harmonized guidelines on reporting under the international human rights treaties, including guidelines on a common core document and treaty</w:t>
      </w:r>
      <w:r w:rsidR="00EB3A67" w:rsidRPr="00D71148">
        <w:rPr>
          <w:b/>
        </w:rPr>
        <w:t>-</w:t>
      </w:r>
      <w:r w:rsidRPr="00D71148">
        <w:rPr>
          <w:b/>
        </w:rPr>
        <w:t xml:space="preserve">specific documents (see </w:t>
      </w:r>
      <w:hyperlink r:id="rId22" w:history="1">
        <w:r w:rsidRPr="00D71148">
          <w:rPr>
            <w:rStyle w:val="Hyperlink"/>
            <w:b/>
          </w:rPr>
          <w:t>HRI/GEN/2/Rev.6</w:t>
        </w:r>
      </w:hyperlink>
      <w:r w:rsidRPr="00D71148">
        <w:rPr>
          <w:b/>
        </w:rPr>
        <w:t>, chap. I).</w:t>
      </w:r>
    </w:p>
    <w:p w:rsidR="000E0B34" w:rsidRPr="00D71148" w:rsidRDefault="006D3F01" w:rsidP="000E0B34">
      <w:pPr>
        <w:pStyle w:val="SingleTxt"/>
      </w:pPr>
      <w:r w:rsidRPr="00D71148">
        <w:rPr>
          <w:noProof/>
          <w:w w:val="100"/>
          <w:lang w:val="en-US"/>
        </w:rPr>
        <mc:AlternateContent>
          <mc:Choice Requires="wps">
            <w:drawing>
              <wp:anchor distT="0" distB="0" distL="114300" distR="114300" simplePos="0" relativeHeight="251660288" behindDoc="0" locked="0" layoutInCell="1" allowOverlap="1" wp14:anchorId="487CF66F" wp14:editId="7D06D9DC">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E0B34" w:rsidRPr="00D71148" w:rsidSect="00DD04C9">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1T17:23:00Z" w:initials="Start">
    <w:p w:rsidR="00DD04C9" w:rsidRDefault="00DD04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NO&gt;&gt;N1640280E&lt;&lt;ODS JOB NO&gt;&gt;</w:t>
      </w:r>
    </w:p>
    <w:p w:rsidR="00DD04C9" w:rsidRDefault="00DD04C9">
      <w:pPr>
        <w:pStyle w:val="CommentText"/>
      </w:pPr>
      <w:r>
        <w:t>&lt;&lt;ODS DOC SYMBOL1&gt;&gt;CEDAW/C/EST/CO/5-6&lt;&lt;ODS DOC SYMBOL1&gt;&gt;</w:t>
      </w:r>
    </w:p>
    <w:p w:rsidR="00DD04C9" w:rsidRDefault="00DD04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4C9" w:rsidRDefault="00DD04C9" w:rsidP="00DD04C9">
      <w:pPr>
        <w:spacing w:line="240" w:lineRule="auto"/>
      </w:pPr>
      <w:r>
        <w:separator/>
      </w:r>
    </w:p>
  </w:endnote>
  <w:endnote w:type="continuationSeparator" w:id="0">
    <w:p w:rsidR="00DD04C9" w:rsidRDefault="00DD04C9" w:rsidP="00DD0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D04C9" w:rsidTr="00DD04C9">
      <w:tc>
        <w:tcPr>
          <w:tcW w:w="5028" w:type="dxa"/>
          <w:shd w:val="clear" w:color="auto" w:fill="auto"/>
        </w:tcPr>
        <w:p w:rsidR="00DD04C9" w:rsidRPr="00DD04C9" w:rsidRDefault="00DD04C9" w:rsidP="00DD04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3693">
            <w:rPr>
              <w:b w:val="0"/>
              <w:w w:val="103"/>
              <w:sz w:val="14"/>
            </w:rPr>
            <w:t>16-20852</w:t>
          </w:r>
          <w:r>
            <w:rPr>
              <w:b w:val="0"/>
              <w:w w:val="103"/>
              <w:sz w:val="14"/>
            </w:rPr>
            <w:fldChar w:fldCharType="end"/>
          </w:r>
        </w:p>
      </w:tc>
      <w:tc>
        <w:tcPr>
          <w:tcW w:w="5028" w:type="dxa"/>
          <w:shd w:val="clear" w:color="auto" w:fill="auto"/>
        </w:tcPr>
        <w:p w:rsidR="00DD04C9" w:rsidRPr="00DD04C9" w:rsidRDefault="00DD04C9" w:rsidP="00DD04C9">
          <w:pPr>
            <w:pStyle w:val="Footer"/>
            <w:rPr>
              <w:w w:val="103"/>
            </w:rPr>
          </w:pPr>
          <w:r>
            <w:rPr>
              <w:w w:val="103"/>
            </w:rPr>
            <w:fldChar w:fldCharType="begin"/>
          </w:r>
          <w:r>
            <w:rPr>
              <w:w w:val="103"/>
            </w:rPr>
            <w:instrText xml:space="preserve"> PAGE  \* Arabic  \* MERGEFORMAT </w:instrText>
          </w:r>
          <w:r>
            <w:rPr>
              <w:w w:val="103"/>
            </w:rPr>
            <w:fldChar w:fldCharType="separate"/>
          </w:r>
          <w:r w:rsidR="00EB179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179C">
            <w:rPr>
              <w:w w:val="103"/>
            </w:rPr>
            <w:t>2</w:t>
          </w:r>
          <w:r>
            <w:rPr>
              <w:w w:val="103"/>
            </w:rPr>
            <w:fldChar w:fldCharType="end"/>
          </w:r>
        </w:p>
      </w:tc>
    </w:tr>
  </w:tbl>
  <w:p w:rsidR="00DD04C9" w:rsidRPr="00DD04C9" w:rsidRDefault="00DD04C9" w:rsidP="00DD04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D04C9" w:rsidTr="00DD04C9">
      <w:tc>
        <w:tcPr>
          <w:tcW w:w="5028" w:type="dxa"/>
          <w:shd w:val="clear" w:color="auto" w:fill="auto"/>
        </w:tcPr>
        <w:p w:rsidR="00DD04C9" w:rsidRPr="00DD04C9" w:rsidRDefault="00DD04C9" w:rsidP="00DD04C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32943">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2943">
            <w:rPr>
              <w:w w:val="103"/>
            </w:rPr>
            <w:t>14</w:t>
          </w:r>
          <w:r>
            <w:rPr>
              <w:w w:val="103"/>
            </w:rPr>
            <w:fldChar w:fldCharType="end"/>
          </w:r>
        </w:p>
      </w:tc>
      <w:tc>
        <w:tcPr>
          <w:tcW w:w="5028" w:type="dxa"/>
          <w:shd w:val="clear" w:color="auto" w:fill="auto"/>
        </w:tcPr>
        <w:p w:rsidR="00DD04C9" w:rsidRPr="00DD04C9" w:rsidRDefault="00DD04C9" w:rsidP="00DD04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3693">
            <w:rPr>
              <w:b w:val="0"/>
              <w:w w:val="103"/>
              <w:sz w:val="14"/>
            </w:rPr>
            <w:t>16-20852</w:t>
          </w:r>
          <w:r>
            <w:rPr>
              <w:b w:val="0"/>
              <w:w w:val="103"/>
              <w:sz w:val="14"/>
            </w:rPr>
            <w:fldChar w:fldCharType="end"/>
          </w:r>
        </w:p>
      </w:tc>
    </w:tr>
  </w:tbl>
  <w:p w:rsidR="00DD04C9" w:rsidRPr="00DD04C9" w:rsidRDefault="00DD04C9" w:rsidP="00DD04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D04C9" w:rsidTr="00DD04C9">
      <w:tc>
        <w:tcPr>
          <w:tcW w:w="3801" w:type="dxa"/>
        </w:tcPr>
        <w:p w:rsidR="00DD04C9" w:rsidRDefault="00DD04C9" w:rsidP="00DD04C9">
          <w:pPr>
            <w:pStyle w:val="ReleaseDate"/>
          </w:pPr>
          <w:r>
            <w:rPr>
              <w:noProof/>
              <w:lang w:val="en-US"/>
            </w:rPr>
            <w:drawing>
              <wp:anchor distT="0" distB="0" distL="114300" distR="114300" simplePos="0" relativeHeight="251658240" behindDoc="0" locked="0" layoutInCell="1" allowOverlap="1" wp14:anchorId="79CF5204" wp14:editId="218A5233">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EST/CO/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CO/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C52CC">
            <w:t xml:space="preserve">16-20852 (E)    </w:t>
          </w:r>
          <w:r w:rsidR="00C46554">
            <w:t>28</w:t>
          </w:r>
          <w:r>
            <w:t xml:space="preserve">1216    </w:t>
          </w:r>
        </w:p>
        <w:p w:rsidR="00DD04C9" w:rsidRPr="00DD04C9" w:rsidRDefault="00DD04C9" w:rsidP="00DD04C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*1620852*</w:t>
          </w:r>
        </w:p>
      </w:tc>
      <w:tc>
        <w:tcPr>
          <w:tcW w:w="5028" w:type="dxa"/>
        </w:tcPr>
        <w:p w:rsidR="00DD04C9" w:rsidRDefault="00DD04C9" w:rsidP="00DD04C9">
          <w:pPr>
            <w:pStyle w:val="Footer"/>
            <w:jc w:val="right"/>
            <w:rPr>
              <w:b w:val="0"/>
              <w:sz w:val="20"/>
            </w:rPr>
          </w:pPr>
          <w:r>
            <w:rPr>
              <w:b w:val="0"/>
              <w:sz w:val="20"/>
            </w:rPr>
            <w:drawing>
              <wp:inline distT="0" distB="0" distL="0" distR="0" wp14:anchorId="528033D6" wp14:editId="1B51734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D04C9" w:rsidRPr="00DD04C9" w:rsidRDefault="00DD04C9" w:rsidP="00DD04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4C9" w:rsidRPr="00DA01B5" w:rsidRDefault="00DA01B5" w:rsidP="00DA01B5">
      <w:pPr>
        <w:pStyle w:val="Footer"/>
        <w:spacing w:after="80"/>
        <w:ind w:left="792"/>
        <w:rPr>
          <w:sz w:val="16"/>
        </w:rPr>
      </w:pPr>
      <w:r w:rsidRPr="00DA01B5">
        <w:rPr>
          <w:sz w:val="16"/>
        </w:rPr>
        <w:t>__________________</w:t>
      </w:r>
    </w:p>
  </w:footnote>
  <w:footnote w:type="continuationSeparator" w:id="0">
    <w:p w:rsidR="00DD04C9" w:rsidRPr="00DA01B5" w:rsidRDefault="00DA01B5" w:rsidP="00DA01B5">
      <w:pPr>
        <w:pStyle w:val="Footer"/>
        <w:spacing w:after="80"/>
        <w:ind w:left="792"/>
        <w:rPr>
          <w:sz w:val="16"/>
        </w:rPr>
      </w:pPr>
      <w:r w:rsidRPr="00DA01B5">
        <w:rPr>
          <w:sz w:val="16"/>
        </w:rPr>
        <w:t>__________________</w:t>
      </w:r>
    </w:p>
  </w:footnote>
  <w:footnote w:id="1">
    <w:p w:rsidR="00DA01B5" w:rsidRPr="00DA01B5" w:rsidRDefault="00DA01B5" w:rsidP="00DA01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01B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D04C9" w:rsidTr="00DD04C9">
      <w:trPr>
        <w:trHeight w:hRule="exact" w:val="864"/>
      </w:trPr>
      <w:tc>
        <w:tcPr>
          <w:tcW w:w="4838" w:type="dxa"/>
          <w:shd w:val="clear" w:color="auto" w:fill="auto"/>
          <w:vAlign w:val="bottom"/>
        </w:tcPr>
        <w:p w:rsidR="00DD04C9" w:rsidRPr="00DD04C9" w:rsidRDefault="00DD04C9" w:rsidP="00DD04C9">
          <w:pPr>
            <w:pStyle w:val="Header"/>
            <w:spacing w:after="80"/>
            <w:rPr>
              <w:b/>
            </w:rPr>
          </w:pPr>
          <w:r>
            <w:rPr>
              <w:b/>
            </w:rPr>
            <w:fldChar w:fldCharType="begin"/>
          </w:r>
          <w:r>
            <w:rPr>
              <w:b/>
            </w:rPr>
            <w:instrText xml:space="preserve"> DOCVARIABLE "sss1" \* MERGEFORMAT </w:instrText>
          </w:r>
          <w:r>
            <w:rPr>
              <w:b/>
            </w:rPr>
            <w:fldChar w:fldCharType="separate"/>
          </w:r>
          <w:r w:rsidR="00183693">
            <w:rPr>
              <w:b/>
            </w:rPr>
            <w:t>CEDAW/C/EST/CO/5-6</w:t>
          </w:r>
          <w:r>
            <w:rPr>
              <w:b/>
            </w:rPr>
            <w:fldChar w:fldCharType="end"/>
          </w:r>
        </w:p>
      </w:tc>
      <w:tc>
        <w:tcPr>
          <w:tcW w:w="5028" w:type="dxa"/>
          <w:shd w:val="clear" w:color="auto" w:fill="auto"/>
          <w:vAlign w:val="bottom"/>
        </w:tcPr>
        <w:p w:rsidR="00DD04C9" w:rsidRDefault="00DD04C9" w:rsidP="00DD04C9">
          <w:pPr>
            <w:pStyle w:val="Header"/>
          </w:pPr>
        </w:p>
      </w:tc>
    </w:tr>
  </w:tbl>
  <w:p w:rsidR="00DD04C9" w:rsidRPr="00DD04C9" w:rsidRDefault="00DD04C9" w:rsidP="00DD04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D04C9" w:rsidTr="00DD04C9">
      <w:trPr>
        <w:trHeight w:hRule="exact" w:val="864"/>
      </w:trPr>
      <w:tc>
        <w:tcPr>
          <w:tcW w:w="4838" w:type="dxa"/>
          <w:shd w:val="clear" w:color="auto" w:fill="auto"/>
          <w:vAlign w:val="bottom"/>
        </w:tcPr>
        <w:p w:rsidR="00DD04C9" w:rsidRDefault="00DD04C9" w:rsidP="00DD04C9">
          <w:pPr>
            <w:pStyle w:val="Header"/>
          </w:pPr>
        </w:p>
      </w:tc>
      <w:tc>
        <w:tcPr>
          <w:tcW w:w="5028" w:type="dxa"/>
          <w:shd w:val="clear" w:color="auto" w:fill="auto"/>
          <w:vAlign w:val="bottom"/>
        </w:tcPr>
        <w:p w:rsidR="00DD04C9" w:rsidRPr="00DD04C9" w:rsidRDefault="00DD04C9" w:rsidP="00DD04C9">
          <w:pPr>
            <w:pStyle w:val="Header"/>
            <w:spacing w:after="80"/>
            <w:jc w:val="right"/>
            <w:rPr>
              <w:b/>
            </w:rPr>
          </w:pPr>
          <w:r>
            <w:rPr>
              <w:b/>
            </w:rPr>
            <w:fldChar w:fldCharType="begin"/>
          </w:r>
          <w:r>
            <w:rPr>
              <w:b/>
            </w:rPr>
            <w:instrText xml:space="preserve"> DOCVARIABLE "sss1" \* MERGEFORMAT </w:instrText>
          </w:r>
          <w:r>
            <w:rPr>
              <w:b/>
            </w:rPr>
            <w:fldChar w:fldCharType="separate"/>
          </w:r>
          <w:r w:rsidR="00183693">
            <w:rPr>
              <w:b/>
            </w:rPr>
            <w:t>CEDAW/C/EST/CO/5-6</w:t>
          </w:r>
          <w:r>
            <w:rPr>
              <w:b/>
            </w:rPr>
            <w:fldChar w:fldCharType="end"/>
          </w:r>
        </w:p>
      </w:tc>
    </w:tr>
  </w:tbl>
  <w:p w:rsidR="00DD04C9" w:rsidRPr="00DD04C9" w:rsidRDefault="00DD04C9" w:rsidP="00DD04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D04C9" w:rsidTr="00DD04C9">
      <w:trPr>
        <w:trHeight w:hRule="exact" w:val="864"/>
      </w:trPr>
      <w:tc>
        <w:tcPr>
          <w:tcW w:w="1267" w:type="dxa"/>
          <w:tcBorders>
            <w:bottom w:val="single" w:sz="4" w:space="0" w:color="auto"/>
          </w:tcBorders>
          <w:shd w:val="clear" w:color="auto" w:fill="auto"/>
          <w:vAlign w:val="bottom"/>
        </w:tcPr>
        <w:p w:rsidR="00DD04C9" w:rsidRDefault="00DD04C9" w:rsidP="00DD04C9">
          <w:pPr>
            <w:pStyle w:val="Header"/>
            <w:spacing w:after="120"/>
          </w:pPr>
        </w:p>
      </w:tc>
      <w:tc>
        <w:tcPr>
          <w:tcW w:w="1872" w:type="dxa"/>
          <w:tcBorders>
            <w:bottom w:val="single" w:sz="4" w:space="0" w:color="auto"/>
          </w:tcBorders>
          <w:shd w:val="clear" w:color="auto" w:fill="auto"/>
          <w:vAlign w:val="bottom"/>
        </w:tcPr>
        <w:p w:rsidR="00DD04C9" w:rsidRPr="00DD04C9" w:rsidRDefault="00DD04C9" w:rsidP="00DD04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D04C9" w:rsidRDefault="00DD04C9" w:rsidP="00DD04C9">
          <w:pPr>
            <w:pStyle w:val="Header"/>
            <w:spacing w:after="120"/>
          </w:pPr>
        </w:p>
      </w:tc>
      <w:tc>
        <w:tcPr>
          <w:tcW w:w="6523" w:type="dxa"/>
          <w:gridSpan w:val="4"/>
          <w:tcBorders>
            <w:bottom w:val="single" w:sz="4" w:space="0" w:color="auto"/>
          </w:tcBorders>
          <w:shd w:val="clear" w:color="auto" w:fill="auto"/>
          <w:vAlign w:val="bottom"/>
        </w:tcPr>
        <w:p w:rsidR="00DD04C9" w:rsidRPr="00DD04C9" w:rsidRDefault="00DD04C9" w:rsidP="00DD04C9">
          <w:pPr>
            <w:spacing w:after="80" w:line="240" w:lineRule="auto"/>
            <w:jc w:val="right"/>
            <w:rPr>
              <w:position w:val="-4"/>
            </w:rPr>
          </w:pPr>
          <w:r>
            <w:rPr>
              <w:position w:val="-4"/>
              <w:sz w:val="40"/>
            </w:rPr>
            <w:t>CEDAW</w:t>
          </w:r>
          <w:r>
            <w:rPr>
              <w:position w:val="-4"/>
            </w:rPr>
            <w:t>/C/EST/CO/5-6</w:t>
          </w:r>
        </w:p>
      </w:tc>
    </w:tr>
    <w:tr w:rsidR="00DD04C9" w:rsidRPr="00DD04C9" w:rsidTr="00DD04C9">
      <w:trPr>
        <w:gridAfter w:val="1"/>
        <w:wAfter w:w="28" w:type="dxa"/>
        <w:trHeight w:hRule="exact" w:val="2880"/>
      </w:trPr>
      <w:tc>
        <w:tcPr>
          <w:tcW w:w="1267" w:type="dxa"/>
          <w:tcBorders>
            <w:top w:val="single" w:sz="4" w:space="0" w:color="auto"/>
            <w:bottom w:val="single" w:sz="12" w:space="0" w:color="auto"/>
          </w:tcBorders>
          <w:shd w:val="clear" w:color="auto" w:fill="auto"/>
        </w:tcPr>
        <w:p w:rsidR="00DD04C9" w:rsidRPr="00DD04C9" w:rsidRDefault="00DD04C9" w:rsidP="00DD04C9">
          <w:pPr>
            <w:pStyle w:val="Header"/>
            <w:spacing w:before="120"/>
            <w:jc w:val="center"/>
          </w:pPr>
          <w:r>
            <w:t xml:space="preserve"> </w:t>
          </w:r>
          <w:r>
            <w:drawing>
              <wp:inline distT="0" distB="0" distL="0" distR="0" wp14:anchorId="09B23077" wp14:editId="13FA06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D04C9" w:rsidRPr="00DD04C9" w:rsidRDefault="00DD04C9" w:rsidP="00DD04C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D04C9" w:rsidRPr="00DD04C9" w:rsidRDefault="00DD04C9" w:rsidP="00DD04C9">
          <w:pPr>
            <w:pStyle w:val="Header"/>
            <w:spacing w:before="109"/>
          </w:pPr>
        </w:p>
      </w:tc>
      <w:tc>
        <w:tcPr>
          <w:tcW w:w="3140" w:type="dxa"/>
          <w:tcBorders>
            <w:top w:val="single" w:sz="4" w:space="0" w:color="auto"/>
            <w:bottom w:val="single" w:sz="12" w:space="0" w:color="auto"/>
          </w:tcBorders>
          <w:shd w:val="clear" w:color="auto" w:fill="auto"/>
        </w:tcPr>
        <w:p w:rsidR="00DD04C9" w:rsidRDefault="00DD04C9" w:rsidP="00DD04C9">
          <w:pPr>
            <w:pStyle w:val="Distribution"/>
            <w:rPr>
              <w:color w:val="010000"/>
            </w:rPr>
          </w:pPr>
          <w:r>
            <w:rPr>
              <w:color w:val="010000"/>
            </w:rPr>
            <w:t>Distr.: General</w:t>
          </w:r>
        </w:p>
        <w:p w:rsidR="00DD04C9" w:rsidRDefault="00DD04C9" w:rsidP="00DD04C9">
          <w:pPr>
            <w:pStyle w:val="Publication"/>
            <w:rPr>
              <w:color w:val="010000"/>
            </w:rPr>
          </w:pPr>
          <w:r>
            <w:rPr>
              <w:color w:val="010000"/>
            </w:rPr>
            <w:t>18 November 2016</w:t>
          </w:r>
        </w:p>
        <w:p w:rsidR="00DD04C9" w:rsidRDefault="00DD04C9" w:rsidP="00DD04C9"/>
        <w:p w:rsidR="00DD04C9" w:rsidRDefault="00DD04C9" w:rsidP="00DD04C9">
          <w:pPr>
            <w:pStyle w:val="Original"/>
            <w:rPr>
              <w:color w:val="010000"/>
            </w:rPr>
          </w:pPr>
          <w:r>
            <w:rPr>
              <w:color w:val="010000"/>
            </w:rPr>
            <w:t>Original: English</w:t>
          </w:r>
        </w:p>
        <w:p w:rsidR="00DD04C9" w:rsidRPr="00DD04C9" w:rsidRDefault="00DD04C9" w:rsidP="00DD04C9"/>
      </w:tc>
    </w:tr>
  </w:tbl>
  <w:p w:rsidR="00DD04C9" w:rsidRPr="00DD04C9" w:rsidRDefault="00DD04C9" w:rsidP="00DD04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2*"/>
    <w:docVar w:name="CreationDt" w:val="11/12/2016 5:23: PM"/>
    <w:docVar w:name="DocCategory" w:val="Doc"/>
    <w:docVar w:name="DocType" w:val="Final"/>
    <w:docVar w:name="DutyStation" w:val="New York"/>
    <w:docVar w:name="FooterJN" w:val="16-20852"/>
    <w:docVar w:name="jobn" w:val="16-20852 (E)"/>
    <w:docVar w:name="jobnDT" w:val="16-20852 (E)   111216"/>
    <w:docVar w:name="jobnDTDT" w:val="16-20852 (E)   111216   111216"/>
    <w:docVar w:name="JobNo" w:val="1620852E"/>
    <w:docVar w:name="JobNo2" w:val="1640280E"/>
    <w:docVar w:name="LocalDrive" w:val="0"/>
    <w:docVar w:name="OandT" w:val=" "/>
    <w:docVar w:name="sss1" w:val="CEDAW/C/EST/CO/5-6"/>
    <w:docVar w:name="sss2" w:val="-"/>
    <w:docVar w:name="Symbol1" w:val="CEDAW/C/EST/CO/5-6"/>
    <w:docVar w:name="Symbol2" w:val="-"/>
  </w:docVars>
  <w:rsids>
    <w:rsidRoot w:val="003562FD"/>
    <w:rsid w:val="00026F36"/>
    <w:rsid w:val="00030507"/>
    <w:rsid w:val="00061CEB"/>
    <w:rsid w:val="00080522"/>
    <w:rsid w:val="000E0B34"/>
    <w:rsid w:val="000E5C7B"/>
    <w:rsid w:val="00117A06"/>
    <w:rsid w:val="00171F32"/>
    <w:rsid w:val="001747E0"/>
    <w:rsid w:val="00183693"/>
    <w:rsid w:val="00247B93"/>
    <w:rsid w:val="00325D45"/>
    <w:rsid w:val="00336659"/>
    <w:rsid w:val="003562FD"/>
    <w:rsid w:val="003C6774"/>
    <w:rsid w:val="003D0641"/>
    <w:rsid w:val="00423A2F"/>
    <w:rsid w:val="004D5AF0"/>
    <w:rsid w:val="004E3A86"/>
    <w:rsid w:val="004E6685"/>
    <w:rsid w:val="004E77C5"/>
    <w:rsid w:val="0050279A"/>
    <w:rsid w:val="005305E3"/>
    <w:rsid w:val="00571D66"/>
    <w:rsid w:val="006272D9"/>
    <w:rsid w:val="006D3F01"/>
    <w:rsid w:val="006F2F51"/>
    <w:rsid w:val="00897B4B"/>
    <w:rsid w:val="008E5F54"/>
    <w:rsid w:val="00916EFC"/>
    <w:rsid w:val="00924F6A"/>
    <w:rsid w:val="009364E1"/>
    <w:rsid w:val="009A2075"/>
    <w:rsid w:val="00AA4F5D"/>
    <w:rsid w:val="00B634C7"/>
    <w:rsid w:val="00C21858"/>
    <w:rsid w:val="00C27F9C"/>
    <w:rsid w:val="00C30D82"/>
    <w:rsid w:val="00C46554"/>
    <w:rsid w:val="00C9747C"/>
    <w:rsid w:val="00CA53DB"/>
    <w:rsid w:val="00CD789E"/>
    <w:rsid w:val="00D20316"/>
    <w:rsid w:val="00D71148"/>
    <w:rsid w:val="00D8270F"/>
    <w:rsid w:val="00DA01B5"/>
    <w:rsid w:val="00DC52CC"/>
    <w:rsid w:val="00DD04C9"/>
    <w:rsid w:val="00E34636"/>
    <w:rsid w:val="00E348D0"/>
    <w:rsid w:val="00E60673"/>
    <w:rsid w:val="00E64DB7"/>
    <w:rsid w:val="00E671A3"/>
    <w:rsid w:val="00E90499"/>
    <w:rsid w:val="00EB179C"/>
    <w:rsid w:val="00EB3A67"/>
    <w:rsid w:val="00F32943"/>
    <w:rsid w:val="00FB633D"/>
    <w:rsid w:val="00FC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B93"/>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247B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47B93"/>
    <w:pPr>
      <w:spacing w:line="300" w:lineRule="exact"/>
      <w:ind w:left="0" w:right="0" w:firstLine="0"/>
    </w:pPr>
    <w:rPr>
      <w:spacing w:val="-2"/>
      <w:sz w:val="28"/>
    </w:rPr>
  </w:style>
  <w:style w:type="paragraph" w:customStyle="1" w:styleId="HM">
    <w:name w:val="_ H __M"/>
    <w:basedOn w:val="HCh"/>
    <w:next w:val="Normal"/>
    <w:rsid w:val="00247B93"/>
    <w:pPr>
      <w:spacing w:line="360" w:lineRule="exact"/>
    </w:pPr>
    <w:rPr>
      <w:spacing w:val="-3"/>
      <w:w w:val="99"/>
      <w:sz w:val="34"/>
    </w:rPr>
  </w:style>
  <w:style w:type="paragraph" w:customStyle="1" w:styleId="H23">
    <w:name w:val="_ H_2/3"/>
    <w:basedOn w:val="Normal"/>
    <w:next w:val="SingleTxt"/>
    <w:rsid w:val="00247B93"/>
    <w:rPr>
      <w:b/>
      <w:lang w:val="en-US"/>
    </w:rPr>
  </w:style>
  <w:style w:type="paragraph" w:customStyle="1" w:styleId="H4">
    <w:name w:val="_ H_4"/>
    <w:basedOn w:val="Normal"/>
    <w:next w:val="Normal"/>
    <w:rsid w:val="00247B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47B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47B9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47B9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47B93"/>
    <w:pPr>
      <w:spacing w:line="540" w:lineRule="exact"/>
    </w:pPr>
    <w:rPr>
      <w:spacing w:val="-8"/>
      <w:w w:val="96"/>
      <w:sz w:val="57"/>
    </w:rPr>
  </w:style>
  <w:style w:type="paragraph" w:customStyle="1" w:styleId="SS">
    <w:name w:val="__S_S"/>
    <w:basedOn w:val="HCh"/>
    <w:next w:val="Normal"/>
    <w:rsid w:val="00247B93"/>
    <w:pPr>
      <w:ind w:left="1267" w:right="1267"/>
    </w:pPr>
  </w:style>
  <w:style w:type="paragraph" w:customStyle="1" w:styleId="SingleTxt">
    <w:name w:val="__Single Txt"/>
    <w:basedOn w:val="Normal"/>
    <w:rsid w:val="00247B9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47B9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247B93"/>
    <w:pPr>
      <w:keepNext w:val="0"/>
      <w:keepLines w:val="0"/>
    </w:pPr>
  </w:style>
  <w:style w:type="paragraph" w:customStyle="1" w:styleId="AgendaTitleH2">
    <w:name w:val="Agenda_Title_H2"/>
    <w:basedOn w:val="TitleH1"/>
    <w:next w:val="Normal"/>
    <w:qFormat/>
    <w:rsid w:val="00247B93"/>
    <w:pPr>
      <w:keepNext/>
      <w:keepLines/>
      <w:spacing w:line="240" w:lineRule="exact"/>
      <w:ind w:left="0" w:firstLine="0"/>
      <w:outlineLvl w:val="1"/>
    </w:pPr>
    <w:rPr>
      <w:sz w:val="20"/>
    </w:rPr>
  </w:style>
  <w:style w:type="paragraph" w:styleId="BalloonText">
    <w:name w:val="Balloon Text"/>
    <w:basedOn w:val="Normal"/>
    <w:link w:val="BalloonTextChar"/>
    <w:semiHidden/>
    <w:rsid w:val="00247B93"/>
    <w:rPr>
      <w:rFonts w:ascii="Tahoma" w:hAnsi="Tahoma" w:cs="Tahoma"/>
      <w:sz w:val="16"/>
      <w:szCs w:val="16"/>
    </w:rPr>
  </w:style>
  <w:style w:type="character" w:customStyle="1" w:styleId="BalloonTextChar">
    <w:name w:val="Balloon Text Char"/>
    <w:basedOn w:val="DefaultParagraphFont"/>
    <w:link w:val="BalloonText"/>
    <w:semiHidden/>
    <w:rsid w:val="00247B93"/>
    <w:rPr>
      <w:rFonts w:ascii="Tahoma" w:hAnsi="Tahoma" w:cs="Tahoma"/>
      <w:spacing w:val="4"/>
      <w:w w:val="103"/>
      <w:kern w:val="14"/>
      <w:sz w:val="16"/>
      <w:szCs w:val="16"/>
    </w:rPr>
  </w:style>
  <w:style w:type="paragraph" w:customStyle="1" w:styleId="Bullet1">
    <w:name w:val="Bullet 1"/>
    <w:basedOn w:val="Normal"/>
    <w:qFormat/>
    <w:rsid w:val="00247B93"/>
    <w:pPr>
      <w:numPr>
        <w:numId w:val="1"/>
      </w:numPr>
      <w:spacing w:after="120" w:line="240" w:lineRule="atLeast"/>
      <w:ind w:right="1267"/>
      <w:jc w:val="both"/>
    </w:pPr>
  </w:style>
  <w:style w:type="paragraph" w:customStyle="1" w:styleId="Bullet3">
    <w:name w:val="Bullet 3"/>
    <w:basedOn w:val="SingleTxt"/>
    <w:qFormat/>
    <w:rsid w:val="00247B9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247B93"/>
    <w:rPr>
      <w:sz w:val="6"/>
    </w:rPr>
  </w:style>
  <w:style w:type="paragraph" w:customStyle="1" w:styleId="Distribution">
    <w:name w:val="Distribution"/>
    <w:next w:val="Normal"/>
    <w:rsid w:val="00247B9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247B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47B9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47B9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247B93"/>
  </w:style>
  <w:style w:type="character" w:customStyle="1" w:styleId="EndnoteTextChar">
    <w:name w:val="Endnote Text Char"/>
    <w:basedOn w:val="DefaultParagraphFont"/>
    <w:link w:val="EndnoteText"/>
    <w:semiHidden/>
    <w:rsid w:val="00247B93"/>
    <w:rPr>
      <w:rFonts w:ascii="Times New Roman" w:hAnsi="Times New Roman" w:cs="Times New Roman"/>
      <w:spacing w:val="5"/>
      <w:w w:val="103"/>
      <w:kern w:val="14"/>
      <w:sz w:val="17"/>
      <w:szCs w:val="20"/>
    </w:rPr>
  </w:style>
  <w:style w:type="paragraph" w:styleId="Footer">
    <w:name w:val="footer"/>
    <w:link w:val="FooterChar"/>
    <w:rsid w:val="00247B9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247B93"/>
    <w:rPr>
      <w:rFonts w:ascii="Times New Roman" w:hAnsi="Times New Roman" w:cs="Times New Roman"/>
      <w:b/>
      <w:noProof/>
      <w:sz w:val="17"/>
      <w:szCs w:val="20"/>
      <w:lang w:val="en-US"/>
    </w:rPr>
  </w:style>
  <w:style w:type="character" w:styleId="FootnoteReference">
    <w:name w:val="footnote reference"/>
    <w:semiHidden/>
    <w:rsid w:val="00247B9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247B9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247B93"/>
    <w:rPr>
      <w:rFonts w:ascii="Times New Roman" w:hAnsi="Times New Roman" w:cs="Times New Roman"/>
      <w:noProof/>
      <w:sz w:val="17"/>
      <w:szCs w:val="20"/>
      <w:lang w:val="en-US"/>
    </w:rPr>
  </w:style>
  <w:style w:type="character" w:styleId="Hyperlink">
    <w:name w:val="Hyperlink"/>
    <w:basedOn w:val="DefaultParagraphFont"/>
    <w:rsid w:val="00247B93"/>
    <w:rPr>
      <w:color w:val="0000FF"/>
      <w:u w:val="none"/>
    </w:rPr>
  </w:style>
  <w:style w:type="character" w:styleId="LineNumber">
    <w:name w:val="line number"/>
    <w:rsid w:val="00247B93"/>
    <w:rPr>
      <w:sz w:val="14"/>
    </w:rPr>
  </w:style>
  <w:style w:type="paragraph" w:customStyle="1" w:styleId="Original">
    <w:name w:val="Original"/>
    <w:next w:val="Normal"/>
    <w:rsid w:val="00247B9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247B9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47B93"/>
    <w:rPr>
      <w:rFonts w:ascii="Courier New" w:eastAsia="Times New Roman" w:hAnsi="Courier New" w:cs="Times New Roman"/>
      <w:sz w:val="20"/>
      <w:szCs w:val="20"/>
      <w:lang w:val="en-US" w:eastAsia="en-GB"/>
    </w:rPr>
  </w:style>
  <w:style w:type="paragraph" w:customStyle="1" w:styleId="Publication">
    <w:name w:val="Publication"/>
    <w:next w:val="Normal"/>
    <w:rsid w:val="00247B9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247B9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247B93"/>
  </w:style>
  <w:style w:type="paragraph" w:customStyle="1" w:styleId="Small">
    <w:name w:val="Small"/>
    <w:basedOn w:val="Normal"/>
    <w:next w:val="Normal"/>
    <w:rsid w:val="00247B93"/>
    <w:pPr>
      <w:tabs>
        <w:tab w:val="right" w:pos="9965"/>
      </w:tabs>
      <w:spacing w:line="210" w:lineRule="exact"/>
    </w:pPr>
    <w:rPr>
      <w:spacing w:val="5"/>
      <w:w w:val="104"/>
      <w:sz w:val="17"/>
    </w:rPr>
  </w:style>
  <w:style w:type="paragraph" w:customStyle="1" w:styleId="SmallX">
    <w:name w:val="SmallX"/>
    <w:basedOn w:val="Small"/>
    <w:next w:val="Normal"/>
    <w:rsid w:val="00247B93"/>
    <w:pPr>
      <w:spacing w:line="180" w:lineRule="exact"/>
      <w:jc w:val="right"/>
    </w:pPr>
    <w:rPr>
      <w:spacing w:val="6"/>
      <w:w w:val="106"/>
      <w:sz w:val="14"/>
    </w:rPr>
  </w:style>
  <w:style w:type="table" w:styleId="TableGrid">
    <w:name w:val="Table Grid"/>
    <w:basedOn w:val="TableNormal"/>
    <w:rsid w:val="00247B9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247B93"/>
    <w:pPr>
      <w:ind w:left="1267" w:right="1267" w:hanging="1267"/>
    </w:pPr>
  </w:style>
  <w:style w:type="paragraph" w:customStyle="1" w:styleId="TitleH2">
    <w:name w:val="Title_H2"/>
    <w:basedOn w:val="H23"/>
    <w:qFormat/>
    <w:rsid w:val="00247B93"/>
  </w:style>
  <w:style w:type="paragraph" w:customStyle="1" w:styleId="XLarge">
    <w:name w:val="XLarge"/>
    <w:basedOn w:val="HM"/>
    <w:rsid w:val="00247B93"/>
    <w:pPr>
      <w:spacing w:line="390" w:lineRule="exact"/>
    </w:pPr>
    <w:rPr>
      <w:spacing w:val="-4"/>
      <w:w w:val="98"/>
      <w:sz w:val="40"/>
    </w:rPr>
  </w:style>
  <w:style w:type="paragraph" w:styleId="CommentText">
    <w:name w:val="annotation text"/>
    <w:basedOn w:val="Normal"/>
    <w:link w:val="CommentTextChar"/>
    <w:uiPriority w:val="99"/>
    <w:semiHidden/>
    <w:unhideWhenUsed/>
    <w:rsid w:val="00DD04C9"/>
    <w:pPr>
      <w:spacing w:line="240" w:lineRule="auto"/>
    </w:pPr>
  </w:style>
  <w:style w:type="character" w:customStyle="1" w:styleId="CommentTextChar">
    <w:name w:val="Comment Text Char"/>
    <w:basedOn w:val="DefaultParagraphFont"/>
    <w:link w:val="CommentText"/>
    <w:uiPriority w:val="99"/>
    <w:semiHidden/>
    <w:rsid w:val="00DD04C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D04C9"/>
    <w:rPr>
      <w:b/>
      <w:bCs/>
    </w:rPr>
  </w:style>
  <w:style w:type="character" w:customStyle="1" w:styleId="CommentSubjectChar">
    <w:name w:val="Comment Subject Char"/>
    <w:basedOn w:val="CommentTextChar"/>
    <w:link w:val="CommentSubject"/>
    <w:uiPriority w:val="99"/>
    <w:semiHidden/>
    <w:rsid w:val="00DD04C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61CE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B93"/>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247B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47B93"/>
    <w:pPr>
      <w:spacing w:line="300" w:lineRule="exact"/>
      <w:ind w:left="0" w:right="0" w:firstLine="0"/>
    </w:pPr>
    <w:rPr>
      <w:spacing w:val="-2"/>
      <w:sz w:val="28"/>
    </w:rPr>
  </w:style>
  <w:style w:type="paragraph" w:customStyle="1" w:styleId="HM">
    <w:name w:val="_ H __M"/>
    <w:basedOn w:val="HCh"/>
    <w:next w:val="Normal"/>
    <w:rsid w:val="00247B93"/>
    <w:pPr>
      <w:spacing w:line="360" w:lineRule="exact"/>
    </w:pPr>
    <w:rPr>
      <w:spacing w:val="-3"/>
      <w:w w:val="99"/>
      <w:sz w:val="34"/>
    </w:rPr>
  </w:style>
  <w:style w:type="paragraph" w:customStyle="1" w:styleId="H23">
    <w:name w:val="_ H_2/3"/>
    <w:basedOn w:val="Normal"/>
    <w:next w:val="SingleTxt"/>
    <w:rsid w:val="00247B93"/>
    <w:rPr>
      <w:b/>
      <w:lang w:val="en-US"/>
    </w:rPr>
  </w:style>
  <w:style w:type="paragraph" w:customStyle="1" w:styleId="H4">
    <w:name w:val="_ H_4"/>
    <w:basedOn w:val="Normal"/>
    <w:next w:val="Normal"/>
    <w:rsid w:val="00247B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47B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47B9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47B9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47B93"/>
    <w:pPr>
      <w:spacing w:line="540" w:lineRule="exact"/>
    </w:pPr>
    <w:rPr>
      <w:spacing w:val="-8"/>
      <w:w w:val="96"/>
      <w:sz w:val="57"/>
    </w:rPr>
  </w:style>
  <w:style w:type="paragraph" w:customStyle="1" w:styleId="SS">
    <w:name w:val="__S_S"/>
    <w:basedOn w:val="HCh"/>
    <w:next w:val="Normal"/>
    <w:rsid w:val="00247B93"/>
    <w:pPr>
      <w:ind w:left="1267" w:right="1267"/>
    </w:pPr>
  </w:style>
  <w:style w:type="paragraph" w:customStyle="1" w:styleId="SingleTxt">
    <w:name w:val="__Single Txt"/>
    <w:basedOn w:val="Normal"/>
    <w:rsid w:val="00247B9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47B9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247B93"/>
    <w:pPr>
      <w:keepNext w:val="0"/>
      <w:keepLines w:val="0"/>
    </w:pPr>
  </w:style>
  <w:style w:type="paragraph" w:customStyle="1" w:styleId="AgendaTitleH2">
    <w:name w:val="Agenda_Title_H2"/>
    <w:basedOn w:val="TitleH1"/>
    <w:next w:val="Normal"/>
    <w:qFormat/>
    <w:rsid w:val="00247B93"/>
    <w:pPr>
      <w:keepNext/>
      <w:keepLines/>
      <w:spacing w:line="240" w:lineRule="exact"/>
      <w:ind w:left="0" w:firstLine="0"/>
      <w:outlineLvl w:val="1"/>
    </w:pPr>
    <w:rPr>
      <w:sz w:val="20"/>
    </w:rPr>
  </w:style>
  <w:style w:type="paragraph" w:styleId="BalloonText">
    <w:name w:val="Balloon Text"/>
    <w:basedOn w:val="Normal"/>
    <w:link w:val="BalloonTextChar"/>
    <w:semiHidden/>
    <w:rsid w:val="00247B93"/>
    <w:rPr>
      <w:rFonts w:ascii="Tahoma" w:hAnsi="Tahoma" w:cs="Tahoma"/>
      <w:sz w:val="16"/>
      <w:szCs w:val="16"/>
    </w:rPr>
  </w:style>
  <w:style w:type="character" w:customStyle="1" w:styleId="BalloonTextChar">
    <w:name w:val="Balloon Text Char"/>
    <w:basedOn w:val="DefaultParagraphFont"/>
    <w:link w:val="BalloonText"/>
    <w:semiHidden/>
    <w:rsid w:val="00247B93"/>
    <w:rPr>
      <w:rFonts w:ascii="Tahoma" w:hAnsi="Tahoma" w:cs="Tahoma"/>
      <w:spacing w:val="4"/>
      <w:w w:val="103"/>
      <w:kern w:val="14"/>
      <w:sz w:val="16"/>
      <w:szCs w:val="16"/>
    </w:rPr>
  </w:style>
  <w:style w:type="paragraph" w:customStyle="1" w:styleId="Bullet1">
    <w:name w:val="Bullet 1"/>
    <w:basedOn w:val="Normal"/>
    <w:qFormat/>
    <w:rsid w:val="00247B93"/>
    <w:pPr>
      <w:numPr>
        <w:numId w:val="1"/>
      </w:numPr>
      <w:spacing w:after="120" w:line="240" w:lineRule="atLeast"/>
      <w:ind w:right="1267"/>
      <w:jc w:val="both"/>
    </w:pPr>
  </w:style>
  <w:style w:type="paragraph" w:customStyle="1" w:styleId="Bullet3">
    <w:name w:val="Bullet 3"/>
    <w:basedOn w:val="SingleTxt"/>
    <w:qFormat/>
    <w:rsid w:val="00247B9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247B93"/>
    <w:rPr>
      <w:sz w:val="6"/>
    </w:rPr>
  </w:style>
  <w:style w:type="paragraph" w:customStyle="1" w:styleId="Distribution">
    <w:name w:val="Distribution"/>
    <w:next w:val="Normal"/>
    <w:rsid w:val="00247B9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247B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47B9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47B9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247B93"/>
  </w:style>
  <w:style w:type="character" w:customStyle="1" w:styleId="EndnoteTextChar">
    <w:name w:val="Endnote Text Char"/>
    <w:basedOn w:val="DefaultParagraphFont"/>
    <w:link w:val="EndnoteText"/>
    <w:semiHidden/>
    <w:rsid w:val="00247B93"/>
    <w:rPr>
      <w:rFonts w:ascii="Times New Roman" w:hAnsi="Times New Roman" w:cs="Times New Roman"/>
      <w:spacing w:val="5"/>
      <w:w w:val="103"/>
      <w:kern w:val="14"/>
      <w:sz w:val="17"/>
      <w:szCs w:val="20"/>
    </w:rPr>
  </w:style>
  <w:style w:type="paragraph" w:styleId="Footer">
    <w:name w:val="footer"/>
    <w:link w:val="FooterChar"/>
    <w:rsid w:val="00247B9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247B93"/>
    <w:rPr>
      <w:rFonts w:ascii="Times New Roman" w:hAnsi="Times New Roman" w:cs="Times New Roman"/>
      <w:b/>
      <w:noProof/>
      <w:sz w:val="17"/>
      <w:szCs w:val="20"/>
      <w:lang w:val="en-US"/>
    </w:rPr>
  </w:style>
  <w:style w:type="character" w:styleId="FootnoteReference">
    <w:name w:val="footnote reference"/>
    <w:semiHidden/>
    <w:rsid w:val="00247B9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247B9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247B93"/>
    <w:rPr>
      <w:rFonts w:ascii="Times New Roman" w:hAnsi="Times New Roman" w:cs="Times New Roman"/>
      <w:noProof/>
      <w:sz w:val="17"/>
      <w:szCs w:val="20"/>
      <w:lang w:val="en-US"/>
    </w:rPr>
  </w:style>
  <w:style w:type="character" w:styleId="Hyperlink">
    <w:name w:val="Hyperlink"/>
    <w:basedOn w:val="DefaultParagraphFont"/>
    <w:rsid w:val="00247B93"/>
    <w:rPr>
      <w:color w:val="0000FF"/>
      <w:u w:val="none"/>
    </w:rPr>
  </w:style>
  <w:style w:type="character" w:styleId="LineNumber">
    <w:name w:val="line number"/>
    <w:rsid w:val="00247B93"/>
    <w:rPr>
      <w:sz w:val="14"/>
    </w:rPr>
  </w:style>
  <w:style w:type="paragraph" w:customStyle="1" w:styleId="Original">
    <w:name w:val="Original"/>
    <w:next w:val="Normal"/>
    <w:rsid w:val="00247B9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247B9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47B93"/>
    <w:rPr>
      <w:rFonts w:ascii="Courier New" w:eastAsia="Times New Roman" w:hAnsi="Courier New" w:cs="Times New Roman"/>
      <w:sz w:val="20"/>
      <w:szCs w:val="20"/>
      <w:lang w:val="en-US" w:eastAsia="en-GB"/>
    </w:rPr>
  </w:style>
  <w:style w:type="paragraph" w:customStyle="1" w:styleId="Publication">
    <w:name w:val="Publication"/>
    <w:next w:val="Normal"/>
    <w:rsid w:val="00247B9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247B9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247B93"/>
  </w:style>
  <w:style w:type="paragraph" w:customStyle="1" w:styleId="Small">
    <w:name w:val="Small"/>
    <w:basedOn w:val="Normal"/>
    <w:next w:val="Normal"/>
    <w:rsid w:val="00247B93"/>
    <w:pPr>
      <w:tabs>
        <w:tab w:val="right" w:pos="9965"/>
      </w:tabs>
      <w:spacing w:line="210" w:lineRule="exact"/>
    </w:pPr>
    <w:rPr>
      <w:spacing w:val="5"/>
      <w:w w:val="104"/>
      <w:sz w:val="17"/>
    </w:rPr>
  </w:style>
  <w:style w:type="paragraph" w:customStyle="1" w:styleId="SmallX">
    <w:name w:val="SmallX"/>
    <w:basedOn w:val="Small"/>
    <w:next w:val="Normal"/>
    <w:rsid w:val="00247B93"/>
    <w:pPr>
      <w:spacing w:line="180" w:lineRule="exact"/>
      <w:jc w:val="right"/>
    </w:pPr>
    <w:rPr>
      <w:spacing w:val="6"/>
      <w:w w:val="106"/>
      <w:sz w:val="14"/>
    </w:rPr>
  </w:style>
  <w:style w:type="table" w:styleId="TableGrid">
    <w:name w:val="Table Grid"/>
    <w:basedOn w:val="TableNormal"/>
    <w:rsid w:val="00247B9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247B93"/>
    <w:pPr>
      <w:ind w:left="1267" w:right="1267" w:hanging="1267"/>
    </w:pPr>
  </w:style>
  <w:style w:type="paragraph" w:customStyle="1" w:styleId="TitleH2">
    <w:name w:val="Title_H2"/>
    <w:basedOn w:val="H23"/>
    <w:qFormat/>
    <w:rsid w:val="00247B93"/>
  </w:style>
  <w:style w:type="paragraph" w:customStyle="1" w:styleId="XLarge">
    <w:name w:val="XLarge"/>
    <w:basedOn w:val="HM"/>
    <w:rsid w:val="00247B93"/>
    <w:pPr>
      <w:spacing w:line="390" w:lineRule="exact"/>
    </w:pPr>
    <w:rPr>
      <w:spacing w:val="-4"/>
      <w:w w:val="98"/>
      <w:sz w:val="40"/>
    </w:rPr>
  </w:style>
  <w:style w:type="paragraph" w:styleId="CommentText">
    <w:name w:val="annotation text"/>
    <w:basedOn w:val="Normal"/>
    <w:link w:val="CommentTextChar"/>
    <w:uiPriority w:val="99"/>
    <w:semiHidden/>
    <w:unhideWhenUsed/>
    <w:rsid w:val="00DD04C9"/>
    <w:pPr>
      <w:spacing w:line="240" w:lineRule="auto"/>
    </w:pPr>
  </w:style>
  <w:style w:type="character" w:customStyle="1" w:styleId="CommentTextChar">
    <w:name w:val="Comment Text Char"/>
    <w:basedOn w:val="DefaultParagraphFont"/>
    <w:link w:val="CommentText"/>
    <w:uiPriority w:val="99"/>
    <w:semiHidden/>
    <w:rsid w:val="00DD04C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D04C9"/>
    <w:rPr>
      <w:b/>
      <w:bCs/>
    </w:rPr>
  </w:style>
  <w:style w:type="character" w:customStyle="1" w:styleId="CommentSubjectChar">
    <w:name w:val="Comment Subject Char"/>
    <w:basedOn w:val="CommentTextChar"/>
    <w:link w:val="CommentSubject"/>
    <w:uiPriority w:val="99"/>
    <w:semiHidden/>
    <w:rsid w:val="00DD04C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61CE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EST/Q/5-6/Add.1" TargetMode="External"/><Relationship Id="rId3" Type="http://schemas.microsoft.com/office/2007/relationships/stylesWithEffects" Target="stylesWithEffects.xml"/><Relationship Id="rId21" Type="http://schemas.openxmlformats.org/officeDocument/2006/relationships/hyperlink" Target="http://undocs.org/CEDAW/C/EST/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EST/Q/5" TargetMode="External"/><Relationship Id="rId2" Type="http://schemas.openxmlformats.org/officeDocument/2006/relationships/styles" Target="styles.xml"/><Relationship Id="rId16" Type="http://schemas.openxmlformats.org/officeDocument/2006/relationships/hyperlink" Target="http://undocs.org/CEDAW/C/SR.1455" TargetMode="External"/><Relationship Id="rId20" Type="http://schemas.openxmlformats.org/officeDocument/2006/relationships/hyperlink" Target="http://undocs.org/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EST/5"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EST/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4947</Words>
  <Characters>28204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English Text Processing Front Desk2</cp:lastModifiedBy>
  <cp:revision>8</cp:revision>
  <cp:lastPrinted>2016-12-28T23:02:00Z</cp:lastPrinted>
  <dcterms:created xsi:type="dcterms:W3CDTF">2016-12-28T23:02:00Z</dcterms:created>
  <dcterms:modified xsi:type="dcterms:W3CDTF">2016-12-29T00:07:00Z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1620852</vt:lpwstr>
  </property>
  <property fmtid="{D5CDD505-2E9C-101B-9397-08002B2CF9AE}" pid="3" name="ODSRefJobNo">
    <vt:lpwstr>1640280E</vt:lpwstr>
  </property>
  <property fmtid="{D5CDD505-2E9C-101B-9397-08002B2CF9AE}" pid="4" name="Symbol1">
    <vt:lpwstr>CEDAW/C/EST/CO/5-6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18 November 2016</vt:lpwstr>
  </property>
  <property fmtid="{D5CDD505-2E9C-101B-9397-08002B2CF9AE}" pid="9" name="Original">
    <vt:lpwstr>English</vt:lpwstr>
  </property>
  <property fmtid="{D5CDD505-2E9C-101B-9397-08002B2CF9AE}" pid="10" name="Release Date">
    <vt:lpwstr>111216</vt:lpwstr>
  </property>
  <property fmtid="{D5CDD505-2E9C-101B-9397-08002B2CF9AE}" pid="11" name="Comment">
    <vt:lpwstr/>
  </property>
  <property fmtid="{D5CDD505-2E9C-101B-9397-08002B2CF9AE}" pid="12" name="DraftPages">
    <vt:lpwstr>14</vt:lpwstr>
  </property>
  <property fmtid="{D5CDD505-2E9C-101B-9397-08002B2CF9AE}" pid="13" name="Operator">
    <vt:lpwstr>DN (f)</vt:lpwstr>
  </property>
</Properties>
</file>