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spacing w:line="240" w:lineRule="auto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213"/>
        </w:trPr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790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rPr>
                <w:sz w:val="20"/>
              </w:rPr>
            </w:pPr>
          </w:p>
          <w:p w:rsidR="00000000" w:rsidRDefault="00000000">
            <w:pPr>
              <w:spacing w:after="0"/>
              <w:jc w:val="center"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4"/>
              <w:rPr>
                <w:i/>
                <w:lang w:val="ru-RU"/>
              </w:rPr>
            </w:pPr>
            <w:r>
              <w:rPr>
                <w:i/>
                <w:sz w:val="40"/>
                <w:lang w:val="ru-RU"/>
              </w:rPr>
              <w:t>М</w:t>
            </w:r>
            <w:r>
              <w:rPr>
                <w:i/>
                <w:lang w:val="ru-RU"/>
              </w:rPr>
              <w:t xml:space="preserve">ЕЖДУНАРОДНАЯ </w:t>
            </w:r>
            <w:r>
              <w:rPr>
                <w:i/>
                <w:lang w:val="ru-RU"/>
              </w:rPr>
              <w:br/>
              <w:t xml:space="preserve">КОНВЕНЦИЯ </w:t>
            </w:r>
            <w:r>
              <w:rPr>
                <w:i/>
                <w:lang w:val="ru-RU"/>
              </w:rPr>
              <w:br/>
              <w:t xml:space="preserve">О ЛИКВИДАЦИИ </w:t>
            </w:r>
            <w:r>
              <w:rPr>
                <w:i/>
                <w:lang w:val="ru-RU"/>
              </w:rPr>
              <w:br/>
              <w:t xml:space="preserve">ВСЕХ ФОРМ </w:t>
            </w:r>
            <w:r>
              <w:rPr>
                <w:i/>
                <w:lang w:val="ru-RU"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after="0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after="0"/>
              <w:rPr>
                <w:sz w:val="22"/>
              </w:rPr>
            </w:pPr>
            <w:r>
              <w:rPr>
                <w:sz w:val="22"/>
                <w:lang w:val="en-US"/>
              </w:rPr>
              <w:t>GENERAL</w:t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after="0"/>
            </w:pPr>
            <w:r>
              <w:t>CERD/C/UKR/CO/18</w:t>
            </w:r>
          </w:p>
          <w:p w:rsidR="00000000" w:rsidRDefault="00000000">
            <w:pPr>
              <w:spacing w:after="0"/>
            </w:pPr>
            <w:r>
              <w:t>19 October 2006</w:t>
            </w:r>
          </w:p>
          <w:p w:rsidR="00000000" w:rsidRDefault="00000000">
            <w:pPr>
              <w:spacing w:after="0"/>
            </w:pP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after="0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ENGLISH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after="0"/>
        <w:rPr>
          <w:lang w:val="en-US"/>
        </w:rPr>
      </w:pP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КОМИТЕТ ПО ЛИКВИДАЦИИ</w:t>
      </w:r>
    </w:p>
    <w:p w:rsidR="00000000" w:rsidRDefault="00000000">
      <w:pPr>
        <w:spacing w:after="0"/>
        <w:rPr>
          <w:lang w:val="ru-RU"/>
        </w:rPr>
      </w:pPr>
      <w:r>
        <w:rPr>
          <w:lang w:val="ru-RU"/>
        </w:rPr>
        <w:t>РАСОВОЙ ДИСКРИМИНАЦИИ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 xml:space="preserve">Шестьдесят девятая сессия </w:t>
      </w:r>
    </w:p>
    <w:p w:rsidR="00000000" w:rsidRDefault="00000000">
      <w:pPr>
        <w:spacing w:after="0"/>
        <w:rPr>
          <w:szCs w:val="24"/>
        </w:rPr>
      </w:pPr>
      <w:r>
        <w:rPr>
          <w:szCs w:val="24"/>
          <w:lang w:val="ru-RU"/>
        </w:rPr>
        <w:t>31 июля - 18 августа 2006</w:t>
      </w:r>
      <w:r>
        <w:rPr>
          <w:szCs w:val="24"/>
        </w:rPr>
        <w:t> </w:t>
      </w:r>
      <w:r>
        <w:rPr>
          <w:szCs w:val="24"/>
          <w:lang w:val="ru-RU"/>
        </w:rPr>
        <w:t>года</w:t>
      </w:r>
    </w:p>
    <w:p w:rsidR="00000000" w:rsidRDefault="00000000">
      <w:pPr>
        <w:spacing w:after="0"/>
      </w:pP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after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ru-RU"/>
        </w:rPr>
        <w:t>расовой дискриминации</w:t>
      </w:r>
    </w:p>
    <w:p w:rsidR="00000000" w:rsidRDefault="00000000">
      <w:pPr>
        <w:jc w:val="center"/>
        <w:rPr>
          <w:lang w:val="ru-RU"/>
        </w:rPr>
      </w:pPr>
      <w:r>
        <w:t>Украина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рассмотрел семнадцатый и восемнадцатый периодические доклады Украины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UKR</w:t>
      </w:r>
      <w:r>
        <w:rPr>
          <w:lang w:val="ru-RU"/>
        </w:rPr>
        <w:t>/18) на своих 1776-м и 1777-м заседаниях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.1776 и 1777), состоявшихся 11 и 14 августа 2006</w:t>
      </w:r>
      <w:r>
        <w:t> </w:t>
      </w:r>
      <w:r>
        <w:rPr>
          <w:lang w:val="ru-RU"/>
        </w:rPr>
        <w:t>года.  На своем 1785-м заседании (</w:t>
      </w:r>
      <w:r>
        <w:rPr>
          <w:lang w:val="en-US"/>
        </w:rPr>
        <w:t>CERD</w:t>
      </w:r>
      <w:r>
        <w:rPr>
          <w:lang w:val="ru-RU"/>
        </w:rPr>
        <w:t>/</w:t>
      </w:r>
      <w:r>
        <w:rPr>
          <w:lang w:val="en-US"/>
        </w:rPr>
        <w:t>C</w:t>
      </w:r>
      <w:r>
        <w:rPr>
          <w:lang w:val="ru-RU"/>
        </w:rPr>
        <w:t>/</w:t>
      </w:r>
      <w:r>
        <w:rPr>
          <w:lang w:val="en-US"/>
        </w:rPr>
        <w:t>SR</w:t>
      </w:r>
      <w:r>
        <w:rPr>
          <w:lang w:val="ru-RU"/>
        </w:rPr>
        <w:t>.1785), состоявшемся 17 августа 2006</w:t>
      </w:r>
      <w:r>
        <w:t> </w:t>
      </w:r>
      <w:r>
        <w:rPr>
          <w:lang w:val="ru-RU"/>
        </w:rPr>
        <w:t>года, он принял следующие заключительные замечания.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А.</w:t>
      </w:r>
      <w:r>
        <w:rPr>
          <w:b/>
          <w:bCs/>
          <w:lang w:val="ru-RU"/>
        </w:rPr>
        <w:tab/>
        <w:t>Введение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представленный Украиной всеобъемлющий доклад, хотя он и не полностью соответствует принятым Комитетом руководящим принципам, касающимся представления докладов.  Он также приветствует регулярность, с которой государство-участник представляет свои доклады Комитету, откровенные ответы делегации на вопросы Комитета и предоставленную таким образом возможность провести конструктивный диалог.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В.</w:t>
      </w:r>
      <w:r>
        <w:rPr>
          <w:b/>
          <w:bCs/>
          <w:lang w:val="ru-RU"/>
        </w:rPr>
        <w:tab/>
        <w:t>Позитивные аспекты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продолжающиеся усилия государства-участника в сфере законодательства, а также проводимые им программы и организационные мероприятия, направленные на интеграцию этнических меньшинств, включая:</w:t>
      </w:r>
    </w:p>
    <w:p w:rsidR="00000000" w:rsidRDefault="00000000">
      <w:pPr>
        <w:rPr>
          <w:lang w:val="ru-RU"/>
        </w:rPr>
      </w:pPr>
      <w:r>
        <w:rPr>
          <w:lang w:val="ru-RU"/>
        </w:rPr>
        <w:tab/>
      </w:r>
      <w:r>
        <w:rPr>
          <w:lang w:val="en-US"/>
        </w:rPr>
        <w:t>a</w:t>
      </w:r>
      <w:r>
        <w:rPr>
          <w:lang w:val="ru-RU"/>
        </w:rPr>
        <w:t>)</w:t>
      </w:r>
      <w:r>
        <w:rPr>
          <w:lang w:val="ru-RU"/>
        </w:rPr>
        <w:tab/>
        <w:t>законопроект о поправках к Закону о национальных меньшинствах, который в настоящее время находится на рассмотрении Верховной Рады и в котором признается право представителей национальных меньшинств на использование своих традиционных имен и национальных языков;</w:t>
      </w:r>
    </w:p>
    <w:p w:rsidR="00000000" w:rsidRDefault="00000000">
      <w:pPr>
        <w:rPr>
          <w:lang w:val="ru-RU"/>
        </w:rPr>
      </w:pPr>
      <w:r>
        <w:rPr>
          <w:lang w:val="ru-RU"/>
        </w:rPr>
        <w:tab/>
      </w:r>
      <w:r>
        <w:rPr>
          <w:lang w:val="en-US"/>
        </w:rPr>
        <w:t>b</w:t>
      </w:r>
      <w:r>
        <w:rPr>
          <w:lang w:val="ru-RU"/>
        </w:rPr>
        <w:t>)</w:t>
      </w:r>
      <w:r>
        <w:rPr>
          <w:lang w:val="ru-RU"/>
        </w:rPr>
        <w:tab/>
        <w:t>принятую в мае 2006</w:t>
      </w:r>
      <w:r>
        <w:t> </w:t>
      </w:r>
      <w:r>
        <w:rPr>
          <w:lang w:val="ru-RU"/>
        </w:rPr>
        <w:t>года программу по интеграции ранее депортированных лиц, в частности крымских татар, значительное число которых с 1990 года возвратилось в Крым;</w:t>
      </w:r>
    </w:p>
    <w:p w:rsidR="00000000" w:rsidRDefault="00000000">
      <w:pPr>
        <w:rPr>
          <w:lang w:val="ru-RU"/>
        </w:rPr>
      </w:pPr>
      <w:r>
        <w:rPr>
          <w:lang w:val="ru-RU"/>
        </w:rPr>
        <w:tab/>
      </w:r>
      <w:r>
        <w:rPr>
          <w:lang w:val="en-US"/>
        </w:rPr>
        <w:t>c</w:t>
      </w:r>
      <w:r>
        <w:rPr>
          <w:lang w:val="ru-RU"/>
        </w:rPr>
        <w:t>)</w:t>
      </w:r>
      <w:r>
        <w:rPr>
          <w:lang w:val="ru-RU"/>
        </w:rPr>
        <w:tab/>
        <w:t>создание в 2006 году Совета государственной политики поощрения прав и свобод всех лиц, включая лиц, принадлежащих к национальным меньшинствам, одним из членов которого является председатель Национального конгресса рома.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удовлетворением отмечает, что в соответствии со своим Законом о беженцах государство-участник устранило ограничительные сроки для подачи ходатайств о предоставлении убежища.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приветствует полученную от государства-участника информацию о том, что значительное число детей из числа меньшинств изучают свой язык и свою культуру, включая приблизительно 5 000 детей рома в Закарпатье и приблизительно 3</w:t>
      </w:r>
      <w:r>
        <w:t> </w:t>
      </w:r>
      <w:r>
        <w:rPr>
          <w:lang w:val="ru-RU"/>
        </w:rPr>
        <w:t>500</w:t>
      </w:r>
      <w:r>
        <w:t> </w:t>
      </w:r>
      <w:r>
        <w:rPr>
          <w:lang w:val="ru-RU"/>
        </w:rPr>
        <w:t>детей из числа рома в Автономной республике Крым.</w:t>
      </w:r>
    </w:p>
    <w:p w:rsidR="00000000" w:rsidRDefault="00000000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С.</w:t>
      </w:r>
      <w:r>
        <w:rPr>
          <w:b/>
          <w:bCs/>
          <w:lang w:val="ru-RU"/>
        </w:rPr>
        <w:tab/>
        <w:t>Проблемы, вызывающие озабоченность, и рекомендации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тем, что Управление Уполномоченного по правам человека Верховной Рады Украины, согласно сообщениям, является относительно малоизвестным, недостаточно финансируется и не имеет опыта в некоторых областях и что всего лишь 0,5% полученных Уполномоченным жалоб касаются утверждений о нарушениях прав меньшинств.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обеспечить надлежащее финансирование для эффективного и независимого функционирования Управления Уполномоченного по правам человека Верховной Рады с целью укрепления его опыта во всех областях прав человека и его возможностей для рассмотрения жалоб.  Ему также следует расширить общественный доступ, включая группы меньшинств, к Управлению Уполномоченного на областном, районном и муниципальном уровнях.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обеспокоенностью отмечает, что проект закона о борьбе с дискриминацией касается прямой, а не косвенной дискриминации.  Он напоминает, что определение дискриминации в статье 1 Конвенции включает в себя любое необоснованное различие, имеющее целью или результатом нанесение ущерба конкретным правам и свободам</w:t>
      </w:r>
      <w:r>
        <w:rPr>
          <w:rStyle w:val="EndnoteReference"/>
        </w:rPr>
        <w:endnoteReference w:id="1"/>
      </w:r>
      <w:r>
        <w:rPr>
          <w:lang w:val="ru-RU"/>
        </w:rPr>
        <w:t xml:space="preserve"> (пункт 1 статьи 1).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продолжить работу над принятием всеобъемлющего законопроекта о борьбе с дискриминацией, который также охватывал бы и косвенную дискриминацию в соответствии со статьей 1 Конвенции.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Несмотря на не столь широкое распространение, Комитет тем не менее обеспокоен сообщениями об актах вандализма по отношению к религиозным объектам меньшинств, включая повреждение синагог в различных областях Украины, а также антимусульманскими и антитатарскими высказываниями со стороны православных священников в Крыму (статья 4 а) и статья 5 </w:t>
      </w:r>
      <w:r>
        <w:rPr>
          <w:lang w:val="en-US"/>
        </w:rPr>
        <w:t>d</w:t>
      </w:r>
      <w:r>
        <w:rPr>
          <w:lang w:val="ru-RU"/>
        </w:rPr>
        <w:t xml:space="preserve">) </w:t>
      </w:r>
      <w:r>
        <w:rPr>
          <w:lang w:val="en-US"/>
        </w:rPr>
        <w:t>vii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принять меры по пресечению деяний, направленных против лиц или религиозных объектов, имеющих отношение к меньшинствам, а также расследовать такие деяния и привлекать виновных в их совершении к уголовной ответственности.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Отмечая, что подстрекательство к расовой дискриминации является наказуемым деянием в соответствии со статьями 66, 67 и 161 Уголовного кодекса, а также со статьями</w:t>
      </w:r>
      <w:r>
        <w:t> </w:t>
      </w:r>
      <w:r>
        <w:rPr>
          <w:lang w:val="ru-RU"/>
        </w:rPr>
        <w:t>46 и 47 Закона об информации и со статьей 3 Закона о печатных средствах массовой информации (прессе), Комитет вместе с тем обеспокоен отсутствием случаев возбуждения уголовного преследования по статье 161 Уголовного кодекса, которая может применяться лишь в отношении случаев, когда намерение доказано и если жертвой такой дискриминации является гражданин страны (статья 4 а) и статья 6).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настоятельно призывает государство-участник рассмотреть возможность смягчения строгого требования о злонамеренном поведении, установленного в статье 161 Уголовного кодекса, для того чтобы способствовать успешному возбуждению судебного преследования по данной статье.  Кроме того, Комитет просит государство-участник рассмотреть возможность более широкого применения статьи 161 Уголовного кодекса в отношении дел, по которым жертвами дискриминации становятся неграждане.  Он настоятельно призывает государство-участник обеспечить эффективное соблюдение всех правовых положений, направленных на ликвидацию расовой дискриминации, и в своем следующем докладе представить обновленную информацию, касающуюся применения украинскими судами положений уголовного права, предусматривающих наказание за акты расовой дискриминации, в частности статей 66 и 161 Уголовного кодекса.  Такая информация должна включать в себя количество и характер рассмотренных дел, вынесенных обвинительных приговоров и назначенных наказаний, а также сведения о любой компенсации или других средствах правовой защиты, предоставленных жертвам таких деяний.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с обеспокоенностью отмечает, что в статье 4 Закона о гражданских ассоциациях не содержится конкретного запрета на юридическую регистрацию ассоциаций, призывающих к расовой дискриминации (статья 4 </w:t>
      </w:r>
      <w:r>
        <w:rPr>
          <w:lang w:val="en-US"/>
        </w:rPr>
        <w:t>b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рассмотреть вопрос о включении организаций, поощряющих расовую дискриминацию и призывающих к ней, в конкретный перечень запрещенных ассоциаций, которые не подлежат юридической регистрации в соответствии со статьей</w:t>
      </w:r>
      <w:r>
        <w:rPr>
          <w:b/>
          <w:bCs/>
        </w:rPr>
        <w:t> </w:t>
      </w:r>
      <w:r>
        <w:rPr>
          <w:b/>
          <w:bCs/>
          <w:lang w:val="ru-RU"/>
        </w:rPr>
        <w:t>4 Закона о гражданских ассоциациях.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сообщениями о том, что отсутствие личных и других необходимых для установления личности документов фактически лишает многих рома их права на равный доступ к судам, правовой помощи, трудоустройству, жилищу, здравоохранению, социальному обеспечению и образованию (статья 5 а) и е)).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настоятельно призывает государство-участник принять незамедлительные меры, например за счет устранение административных препятствий, в целях выдачи всем рома личных и других необходимых для установления личности документов, с тем чтобы облегчить им доступ к судам, трудоустройству, жилищу, здравоохранению, социальному обеспечению и образованию.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обеспокоен сообщениями о злоупотреблениях милиции в отношении рома, включая произвольные аресты и обыски и жестокое обращение в следственных изоляторах по расовым мотивам, обусловленное презумпцией виновности, а также с представителями других меньшинств, просителями убежища и негражданами различного этнического происхождения (статья 5 </w:t>
      </w:r>
      <w:r>
        <w:rPr>
          <w:lang w:val="en-US"/>
        </w:rPr>
        <w:t>b</w:t>
      </w:r>
      <w:r>
        <w:rPr>
          <w:lang w:val="ru-RU"/>
        </w:rPr>
        <w:t>), статьи 6 и 7).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настоятельно призывает государство-участник продолжать активизировать подготовку сотрудников милиции по вопросам прав человека и содействовать регистрации случаев злоупотреблений милиции в отношении рома и других лиц иного этнического происхождения, эффективно расследовать жалобы и привлекать лиц, виновных в подобных деяниях, к уголовной ответственности, предоставлять надлежащую защиту и компенсацию жертвам, а также включить в свой следующий доклад подробную информацию о количестве и характере рассмотренных дел, вынесенных обвинительных приговорах и наложенных наказаниях, а также о мерах и средствах правовой защиты, предоставленных жертвам таких деяний.  В этой связи он обращает внимание государства-участника на пункты 12-14 общей рекомендации № 27 (2000 год) о дискриминации в отношении рома и пункты 18-24 общей рекомендации № 30 (2004 год) о дискриминации в отношении неграждан.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с обеспокоенностью отмечает, что в Законе о беженцах не содержится стандартных критериев определения беженцев, временной гуманитарной защиты или гарантий безопасности личных данных, полученных от властей страны происхождения, в которую может быть депортирован получивший отказ проситель убежища (статья</w:t>
      </w:r>
      <w:r>
        <w:t> </w:t>
      </w:r>
      <w:r>
        <w:rPr>
          <w:lang w:val="ru-RU"/>
        </w:rPr>
        <w:t>5</w:t>
      </w:r>
      <w:r>
        <w:t> </w:t>
      </w:r>
      <w:r>
        <w:rPr>
          <w:lang w:val="en-US"/>
        </w:rPr>
        <w:t>b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рассмотреть возможность внесения изменений в Закон о беженцах в целях включения в него четких стандартных критериев определения беженцев и концепции временной защиты на гуманитарных основаниях, а также гарантий безопасности личных данных, полученных от властей страны происхождения.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отмечает, что, согласно сообщениям, крымские татары по</w:t>
      </w:r>
      <w:r>
        <w:rPr>
          <w:lang w:val="ru-RU"/>
        </w:rPr>
        <w:noBreakHyphen/>
        <w:t>прежнему остаются недопредставленными на государственной службе в Автономной республике Крым (статья 5 с) и пункт 2 статьи 2).</w:t>
      </w: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ru-RU"/>
        </w:rPr>
        <w:t>Комитет рекомендует государству-участнику принять меры, в том числе специальные, для обеспечения надлежащей представленности крымских татар на государственной службе в Автономной республике Крым, включая руководящие должности.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Отмечая, что с 1990 года в Крым возвратилось значительное число ранее депортированных лиц, Комитет вместе с тем выражает обеспокоенность по поводу сообщений о том, что только 20% крымских татар получили земельные участки, преимущественно в районах, которые они считают непригодными для проживания.  Он с обеспокоенностью отмечает, что большинство крымских татар не были допущены к процессу приватизации сельскохозяйственных земель, поскольку в Земельном кодексе Украины содержится требование о том, что лица, желающие получить в собственность сельскохозяйственные земли, должны являться бывшими работниками советских коллективных хозяйств.  Он также озабочен тем, что многие крымские татары живут в поселках, не имеющих базовой инфраструктуры (статья 5 </w:t>
      </w:r>
      <w:r>
        <w:rPr>
          <w:lang w:val="en-US"/>
        </w:rPr>
        <w:t>d</w:t>
      </w:r>
      <w:r>
        <w:rPr>
          <w:lang w:val="ru-RU"/>
        </w:rPr>
        <w:t xml:space="preserve">) </w:t>
      </w:r>
      <w:r>
        <w:rPr>
          <w:lang w:val="en-US"/>
        </w:rPr>
        <w:t>v</w:t>
      </w:r>
      <w:r>
        <w:rPr>
          <w:lang w:val="ru-RU"/>
        </w:rPr>
        <w:t xml:space="preserve">) и </w:t>
      </w:r>
      <w:r>
        <w:rPr>
          <w:lang w:val="en-US"/>
        </w:rPr>
        <w:t>e</w:t>
      </w:r>
      <w:r>
        <w:rPr>
          <w:lang w:val="ru-RU"/>
        </w:rPr>
        <w:t xml:space="preserve">) </w:t>
      </w:r>
      <w:r>
        <w:rPr>
          <w:lang w:val="en-US"/>
        </w:rPr>
        <w:t>iii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настоятельно призывает государство-участник обеспечить предоставление эффективных средств правовой защиты, позволяющих ранее депортированным лицам, в частности крымским татарам, требовать реституции своей бывшей конфискованной собственности либо адекватной компенсации, а также принять меры к тому, чтобы ранее депортированные лица могли по возможности получать подходящие земельные участки в районах, где они традиционно проживали.  Государству-участнику следует обеспечить, чтобы все ранее депортированные лица имели доступ к адекватному жилищу и чтобы лица, проживающие в поселках, пользовались юридической гарантией собственности и доступом к надлежащей инфрастуктуре, включая безопасное водоснабжение, системы канализации, электричество, газ, отопление, дороги и транспорт.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обеспокоен нехваткой печатных изданий, в частности учебников для детей школьного возраста, на языках меньшинств, помимо русского, а также сообщениями о том, что некоторые учебники содержат неточную историческую информацию о меньшинствах (статья 5 </w:t>
      </w:r>
      <w:r>
        <w:rPr>
          <w:lang w:val="en-US"/>
        </w:rPr>
        <w:t>d</w:t>
      </w:r>
      <w:r>
        <w:rPr>
          <w:lang w:val="ru-RU"/>
        </w:rPr>
        <w:t xml:space="preserve">) </w:t>
      </w:r>
      <w:r>
        <w:rPr>
          <w:lang w:val="en-US"/>
        </w:rPr>
        <w:t>viii</w:t>
      </w:r>
      <w:r>
        <w:rPr>
          <w:lang w:val="ru-RU"/>
        </w:rPr>
        <w:t xml:space="preserve">) и е) </w:t>
      </w:r>
      <w:r>
        <w:rPr>
          <w:lang w:val="en-US"/>
        </w:rPr>
        <w:t>v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призывает государство-участник оказывать дальнейшее содействие публикации учебников для детей школьного возраста на языках меньшинств, включая языки рома и крымских татар, а также обеспечить изъятие из существующих учебников любых этнически дискриминационных материалов.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Отмечая недавно принятые государством-участником меры по улучшению положения беженцев и просителей убежища, Комитет вместе с тем выражает обеспокоенность по поводу их ограниченного доступа к трудоустройству и жилому фонду, а также по поводу сообщений о плохих условиях содержания в следственных изоляторах (статья 5 е) </w:t>
      </w:r>
      <w:r>
        <w:rPr>
          <w:lang w:val="en-US"/>
        </w:rPr>
        <w:t>i</w:t>
      </w:r>
      <w:r>
        <w:rPr>
          <w:lang w:val="ru-RU"/>
        </w:rPr>
        <w:t xml:space="preserve">) и </w:t>
      </w:r>
      <w:r>
        <w:rPr>
          <w:lang w:val="en-US"/>
        </w:rPr>
        <w:t>iii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поддерживать существование и повышать число социальных центров, занимающихся оказанием помощи беженцам и просителям убежища в поиске работы и жилища, и обеспечить, чтобы в центрах для беженцев и лиц, содержащихся под стражей на основании законодательства об иностранцах, были созданы необходимые условия в соответствии с нормами, установленными в общей рекомендации</w:t>
      </w:r>
      <w:r>
        <w:rPr>
          <w:b/>
          <w:bCs/>
        </w:rPr>
        <w:t> </w:t>
      </w:r>
      <w:r>
        <w:rPr>
          <w:b/>
          <w:bCs/>
          <w:lang w:val="ru-RU"/>
        </w:rPr>
        <w:t>№</w:t>
      </w:r>
      <w:r>
        <w:rPr>
          <w:b/>
          <w:bCs/>
        </w:rPr>
        <w:t> </w:t>
      </w:r>
      <w:r>
        <w:rPr>
          <w:b/>
          <w:bCs/>
          <w:lang w:val="ru-RU"/>
        </w:rPr>
        <w:t>30 (2004</w:t>
      </w:r>
      <w:r>
        <w:rPr>
          <w:b/>
          <w:bCs/>
        </w:rPr>
        <w:t> </w:t>
      </w:r>
      <w:r>
        <w:rPr>
          <w:b/>
          <w:bCs/>
          <w:lang w:val="ru-RU"/>
        </w:rPr>
        <w:t>год) о дискриминации неграждан.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Комитет с обеспокоенностью отмечает, что, по сообщениям, культурные и религиозные объекты, включая кладбища таких меньшинств, как крымские татары, караиты и рома, зачастую не регистрируются или не охраняются и что для сохранения культурного наследия меньшинств государством-участником выделяются крайне ограниченные финансовые средства (статья 5 е) </w:t>
      </w:r>
      <w:r>
        <w:rPr>
          <w:lang w:val="en-US"/>
        </w:rPr>
        <w:t>vi</w:t>
      </w:r>
      <w:r>
        <w:rPr>
          <w:lang w:val="ru-RU"/>
        </w:rPr>
        <w:t>)).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принять особые меры для защиты и сохранения культурного наследия таких меньшинств, как крымские татары, караиты и рома.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выражает обеспокоенность в связи с сохранением в обществе негативных представлений и стереотипов в отношении рома, примером которых может служить уничижительный тон, использованный, в частности, в пункте 87 доклада государства-участника (статья 7).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активизировать свои усилия в области преподавания, образования, культуры и информации с целью преодоления предрассудков, в том числе среди гражданских служащих, в отношении этнических меньшинств, таких, как рома, поощрять терпимость и уважение к их культуре и истории, а также укреплять межкультурный диалог различных этнических групп Украины.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обеспокоен отсутствием официального признания меньшинства русинов, несмотря на его явные этнические особенности.</w:t>
      </w:r>
    </w:p>
    <w:p w:rsidR="00000000" w:rsidRDefault="00000000">
      <w:pPr>
        <w:ind w:left="567"/>
        <w:rPr>
          <w:b/>
          <w:bCs/>
          <w:lang w:val="ru-RU"/>
        </w:rPr>
      </w:pPr>
      <w:r>
        <w:rPr>
          <w:b/>
          <w:bCs/>
          <w:lang w:val="ru-RU"/>
        </w:rPr>
        <w:t>Комитет рекомендует государству-участнику рассмотреть вопрос о признании русинов в качестве национального меньшинства.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принимать во внимание соответствующие положения Дурбанской декларации и Программы действий при осуществлении Конвенции во внутреннем праве, в частности ее статей 2-7.  Комитет также настоятельно призывает государство-участник включить в свой следующий периодический доклад информацию о планах действий и других мерах, принятых в порядке осуществления Дурбанской декларации и Программы действий на национальном уровне.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предоставлять общественности широкий доступ к его докладам с момента их представления и обеспечить такое же распространение и/или перевод на украинский, русский и по возможности на другие языки национальных меньшинств Украины замечаний Комитета по этим докладам.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В соответствии с пунктом 1 правила 65 правил процедуры Комитета государству-участнику следует в течение одного года представить информацию о мерах, принятых им в связи с рекомендациями Комитета, содержащимися в пунктах </w:t>
      </w:r>
      <w:r>
        <w:rPr>
          <w:rFonts w:eastAsia="SimSun"/>
          <w:color w:val="000000"/>
          <w:szCs w:val="24"/>
          <w:lang w:val="ru-RU" w:eastAsia="zh-CN"/>
        </w:rPr>
        <w:t xml:space="preserve">11, 12 </w:t>
      </w:r>
      <w:r>
        <w:rPr>
          <w:lang w:val="ru-RU"/>
        </w:rPr>
        <w:t>и</w:t>
      </w:r>
      <w:r>
        <w:rPr>
          <w:rFonts w:eastAsia="SimSun"/>
          <w:color w:val="000000"/>
          <w:szCs w:val="24"/>
          <w:lang w:val="ru-RU" w:eastAsia="zh-CN"/>
        </w:rPr>
        <w:t xml:space="preserve"> 15</w:t>
      </w:r>
      <w:r>
        <w:rPr>
          <w:lang w:val="ru-RU"/>
        </w:rPr>
        <w:t>.</w:t>
      </w:r>
    </w:p>
    <w:p w:rsidR="00000000" w:rsidRDefault="00000000">
      <w:pPr>
        <w:numPr>
          <w:ilvl w:val="0"/>
          <w:numId w:val="1"/>
        </w:numPr>
        <w:rPr>
          <w:lang w:val="ru-RU"/>
        </w:rPr>
      </w:pPr>
      <w:r>
        <w:rPr>
          <w:lang w:val="ru-RU"/>
        </w:rPr>
        <w:t>Комитет рекомендует государству-участнику представить свои девятнадцатый, двадцатый и двадцать первый периодические доклады в едином документе к 6</w:t>
      </w:r>
      <w:r>
        <w:t> </w:t>
      </w:r>
      <w:r>
        <w:rPr>
          <w:lang w:val="ru-RU"/>
        </w:rPr>
        <w:t>апреля 2010</w:t>
      </w:r>
      <w:r>
        <w:t> </w:t>
      </w:r>
      <w:r>
        <w:rPr>
          <w:lang w:val="ru-RU"/>
        </w:rPr>
        <w:t>года и отразить в нем все вопросы, затронутые в настоящих заключительных замечаниях.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440" w:bottom="1440" w:left="1440" w:header="1021" w:footer="68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  <w:endnote w:id="1">
    <w:p w:rsidR="00000000" w:rsidRDefault="00000000">
      <w:pPr>
        <w:pStyle w:val="EndnoteText"/>
      </w:pPr>
      <w:r>
        <w:rPr>
          <w:rStyle w:val="EndnoteReference"/>
        </w:rPr>
        <w:endnoteRef/>
      </w:r>
      <w:r>
        <w:t xml:space="preserve"> </w:t>
      </w:r>
      <w:r>
        <w:tab/>
        <w:t>См. общую рекомендацию № 14 (1993 год):  определение дискриминации в пункте 1 статьи 1 Конвенции, пункт 1.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fr-CH"/>
      </w:rPr>
    </w:pPr>
    <w:r>
      <w:rPr>
        <w:lang w:val="fr-CH"/>
      </w:rPr>
      <w:t>GE.06-44783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>CERD/C/UKR/CO/18</w:t>
    </w: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after="0"/>
    </w:pPr>
    <w:r>
      <w:tab/>
    </w:r>
    <w:r>
      <w:tab/>
      <w:t xml:space="preserve">              </w:t>
    </w:r>
    <w:r>
      <w:tab/>
    </w:r>
    <w:r>
      <w:tab/>
    </w:r>
    <w:r>
      <w:tab/>
    </w:r>
    <w:r>
      <w:tab/>
      <w:t xml:space="preserve">                              CERD/C/UKR/CO/18</w:t>
    </w:r>
  </w:p>
  <w:p w:rsidR="00000000" w:rsidRDefault="00000000">
    <w:pPr>
      <w:spacing w:after="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5DF9"/>
    <w:multiLevelType w:val="hybridMultilevel"/>
    <w:tmpl w:val="39467A2A"/>
    <w:lvl w:ilvl="0" w:tplc="3DB0DC48">
      <w:start w:val="43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43E39"/>
    <w:multiLevelType w:val="hybridMultilevel"/>
    <w:tmpl w:val="F26CB0CC"/>
    <w:lvl w:ilvl="0" w:tplc="120EEF5A">
      <w:start w:val="42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8A732C"/>
    <w:multiLevelType w:val="hybridMultilevel"/>
    <w:tmpl w:val="25663882"/>
    <w:lvl w:ilvl="0" w:tplc="39527FD8">
      <w:start w:val="42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AA2079"/>
    <w:multiLevelType w:val="hybridMultilevel"/>
    <w:tmpl w:val="83B65A72"/>
    <w:lvl w:ilvl="0" w:tplc="1A360EFE">
      <w:start w:val="42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C6638E"/>
    <w:multiLevelType w:val="hybridMultilevel"/>
    <w:tmpl w:val="A224D7F8"/>
    <w:lvl w:ilvl="0" w:tplc="3E6E5D16">
      <w:start w:val="4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D80DA6"/>
    <w:multiLevelType w:val="hybridMultilevel"/>
    <w:tmpl w:val="FB8CAC60"/>
    <w:lvl w:ilvl="0" w:tplc="B78E42E6">
      <w:start w:val="42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634C7A"/>
    <w:multiLevelType w:val="multilevel"/>
    <w:tmpl w:val="8D40634C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8672BC"/>
    <w:multiLevelType w:val="hybridMultilevel"/>
    <w:tmpl w:val="D9B0DFA2"/>
    <w:lvl w:ilvl="0" w:tplc="D34A523A">
      <w:start w:val="42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584F1C"/>
    <w:multiLevelType w:val="hybridMultilevel"/>
    <w:tmpl w:val="9EE065F6"/>
    <w:lvl w:ilvl="0" w:tplc="9D6A813E">
      <w:start w:val="42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186E28"/>
    <w:multiLevelType w:val="hybridMultilevel"/>
    <w:tmpl w:val="C2082596"/>
    <w:lvl w:ilvl="0" w:tplc="F4E8140E">
      <w:start w:val="43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5C597E"/>
    <w:multiLevelType w:val="hybridMultilevel"/>
    <w:tmpl w:val="698E00AC"/>
    <w:lvl w:ilvl="0" w:tplc="4F828D4E">
      <w:start w:val="41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4E1536"/>
    <w:multiLevelType w:val="hybridMultilevel"/>
    <w:tmpl w:val="5180FC1A"/>
    <w:lvl w:ilvl="0" w:tplc="4B402600">
      <w:start w:val="43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D449F2"/>
    <w:multiLevelType w:val="hybridMultilevel"/>
    <w:tmpl w:val="1B142CCA"/>
    <w:lvl w:ilvl="0" w:tplc="5068102E">
      <w:start w:val="42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A60E2E"/>
    <w:multiLevelType w:val="hybridMultilevel"/>
    <w:tmpl w:val="C900B980"/>
    <w:lvl w:ilvl="0" w:tplc="DF9AD70E">
      <w:start w:val="41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0E3B0B"/>
    <w:multiLevelType w:val="hybridMultilevel"/>
    <w:tmpl w:val="560A5832"/>
    <w:lvl w:ilvl="0" w:tplc="F474A4A2">
      <w:start w:val="4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B27DA3"/>
    <w:multiLevelType w:val="hybridMultilevel"/>
    <w:tmpl w:val="6254ACDA"/>
    <w:lvl w:ilvl="0" w:tplc="0CCE9DDA">
      <w:start w:val="42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B57685"/>
    <w:multiLevelType w:val="hybridMultilevel"/>
    <w:tmpl w:val="6D3618BC"/>
    <w:lvl w:ilvl="0" w:tplc="E2D4823A">
      <w:start w:val="4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700B6A"/>
    <w:multiLevelType w:val="hybridMultilevel"/>
    <w:tmpl w:val="2A9863A4"/>
    <w:lvl w:ilvl="0" w:tplc="A0E2AA06">
      <w:start w:val="41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D304D6"/>
    <w:multiLevelType w:val="hybridMultilevel"/>
    <w:tmpl w:val="1868ACE2"/>
    <w:lvl w:ilvl="0" w:tplc="37B22426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E00E2D"/>
    <w:multiLevelType w:val="hybridMultilevel"/>
    <w:tmpl w:val="CCB4D442"/>
    <w:lvl w:ilvl="0" w:tplc="9EA83A10">
      <w:start w:val="43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D4487B"/>
    <w:multiLevelType w:val="hybridMultilevel"/>
    <w:tmpl w:val="F2D6B6DC"/>
    <w:lvl w:ilvl="0" w:tplc="A22861A2">
      <w:start w:val="4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E73F69"/>
    <w:multiLevelType w:val="hybridMultilevel"/>
    <w:tmpl w:val="97926226"/>
    <w:lvl w:ilvl="0" w:tplc="F678F26A">
      <w:start w:val="43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BC5A80"/>
    <w:multiLevelType w:val="hybridMultilevel"/>
    <w:tmpl w:val="43AC95A2"/>
    <w:lvl w:ilvl="0" w:tplc="FAE6FD8A">
      <w:start w:val="41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D127F3D"/>
    <w:multiLevelType w:val="hybridMultilevel"/>
    <w:tmpl w:val="D1A2F0DC"/>
    <w:lvl w:ilvl="0" w:tplc="F3848F10">
      <w:start w:val="42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601938"/>
    <w:multiLevelType w:val="hybridMultilevel"/>
    <w:tmpl w:val="611AA276"/>
    <w:lvl w:ilvl="0" w:tplc="A96C1F98">
      <w:start w:val="4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DB1520F"/>
    <w:multiLevelType w:val="hybridMultilevel"/>
    <w:tmpl w:val="8AB23448"/>
    <w:lvl w:ilvl="0" w:tplc="C4D6EB68">
      <w:start w:val="4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6"/>
  </w:num>
  <w:num w:numId="4">
    <w:abstractNumId w:val="16"/>
  </w:num>
  <w:num w:numId="5">
    <w:abstractNumId w:val="14"/>
  </w:num>
  <w:num w:numId="6">
    <w:abstractNumId w:val="4"/>
  </w:num>
  <w:num w:numId="7">
    <w:abstractNumId w:val="10"/>
  </w:num>
  <w:num w:numId="8">
    <w:abstractNumId w:val="17"/>
  </w:num>
  <w:num w:numId="9">
    <w:abstractNumId w:val="20"/>
  </w:num>
  <w:num w:numId="10">
    <w:abstractNumId w:val="13"/>
  </w:num>
  <w:num w:numId="11">
    <w:abstractNumId w:val="22"/>
  </w:num>
  <w:num w:numId="12">
    <w:abstractNumId w:val="1"/>
  </w:num>
  <w:num w:numId="13">
    <w:abstractNumId w:val="3"/>
  </w:num>
  <w:num w:numId="14">
    <w:abstractNumId w:val="5"/>
  </w:num>
  <w:num w:numId="15">
    <w:abstractNumId w:val="25"/>
  </w:num>
  <w:num w:numId="16">
    <w:abstractNumId w:val="7"/>
  </w:num>
  <w:num w:numId="17">
    <w:abstractNumId w:val="12"/>
  </w:num>
  <w:num w:numId="18">
    <w:abstractNumId w:val="23"/>
  </w:num>
  <w:num w:numId="19">
    <w:abstractNumId w:val="15"/>
  </w:num>
  <w:num w:numId="20">
    <w:abstractNumId w:val="8"/>
  </w:num>
  <w:num w:numId="21">
    <w:abstractNumId w:val="2"/>
  </w:num>
  <w:num w:numId="22">
    <w:abstractNumId w:val="19"/>
  </w:num>
  <w:num w:numId="23">
    <w:abstractNumId w:val="0"/>
  </w:num>
  <w:num w:numId="24">
    <w:abstractNumId w:val="21"/>
  </w:num>
  <w:num w:numId="25">
    <w:abstractNumId w:val="9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eastAsia="Times New Roman"/>
      <w:sz w:val="24"/>
      <w:lang w:val="en-GB" w:eastAsia="en-US"/>
    </w:rPr>
  </w:style>
  <w:style w:type="paragraph" w:styleId="Heading5">
    <w:name w:val="heading 5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after="0" w:line="288" w:lineRule="auto"/>
      <w:outlineLvl w:val="4"/>
    </w:pPr>
    <w:rPr>
      <w:rFonts w:eastAsia="SimSun"/>
      <w:i/>
      <w:u w:val="single"/>
      <w:lang w:val="ru-RU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spacing w:after="0"/>
    </w:pPr>
    <w:rPr>
      <w:rFonts w:ascii="Courier" w:hAnsi="Courier"/>
      <w:snapToGrid w:val="0"/>
      <w:lang w:val="ru-RU" w:eastAsia="ru-RU"/>
    </w:rPr>
  </w:style>
  <w:style w:type="paragraph" w:styleId="EndnoteText">
    <w:name w:val="end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</w:pPr>
    <w:rPr>
      <w:lang w:val="ru-RU"/>
    </w:r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2218</Words>
  <Characters>12647</Characters>
  <Application>Microsoft Office Word</Application>
  <DocSecurity>4</DocSecurity>
  <Lines>105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International Computing Centre</Company>
  <LinksUpToDate>false</LinksUpToDate>
  <CharactersWithSpaces>15531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OHCHR</dc:creator>
  <cp:keywords/>
  <dc:description/>
  <cp:lastModifiedBy>csd</cp:lastModifiedBy>
  <cp:revision>4</cp:revision>
  <cp:lastPrinted>2006-10-23T10:14:00Z</cp:lastPrinted>
  <dcterms:created xsi:type="dcterms:W3CDTF">2006-10-23T10:03:00Z</dcterms:created>
  <dcterms:modified xsi:type="dcterms:W3CDTF">2006-10-23T10:15:00Z</dcterms:modified>
</cp:coreProperties>
</file>