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FC4B14" w:rsidTr="00A704A8">
        <w:trPr>
          <w:trHeight w:hRule="exact" w:val="851"/>
        </w:trPr>
        <w:tc>
          <w:tcPr>
            <w:tcW w:w="1276" w:type="dxa"/>
            <w:tcBorders>
              <w:bottom w:val="single" w:sz="4" w:space="0" w:color="auto"/>
            </w:tcBorders>
          </w:tcPr>
          <w:p w:rsidR="00807D21" w:rsidRPr="00DB58B5" w:rsidRDefault="00807D21" w:rsidP="00FC4B14"/>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773AA3" w:rsidRDefault="00773AA3" w:rsidP="00773AA3">
            <w:pPr>
              <w:jc w:val="right"/>
              <w:rPr>
                <w:lang w:val="en-US"/>
              </w:rPr>
            </w:pPr>
            <w:r w:rsidRPr="00773AA3">
              <w:rPr>
                <w:sz w:val="40"/>
                <w:lang w:val="en-US"/>
              </w:rPr>
              <w:t>CAT</w:t>
            </w:r>
            <w:r>
              <w:rPr>
                <w:lang w:val="en-US"/>
              </w:rPr>
              <w:t>/C/MRT/Q/2</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3426F" w:rsidRDefault="0083426F" w:rsidP="00FC4B14">
            <w:pPr>
              <w:spacing w:before="240" w:line="240" w:lineRule="exact"/>
            </w:pPr>
            <w:r>
              <w:t>Distr. générale</w:t>
            </w:r>
          </w:p>
          <w:p w:rsidR="00807D21" w:rsidRDefault="00A03665" w:rsidP="0083426F">
            <w:pPr>
              <w:spacing w:line="240" w:lineRule="exact"/>
            </w:pPr>
            <w:r>
              <w:t>3</w:t>
            </w:r>
            <w:r w:rsidR="00FC4B14">
              <w:t xml:space="preserve"> janvier 2018</w:t>
            </w:r>
          </w:p>
          <w:p w:rsidR="00457370" w:rsidRDefault="00457370" w:rsidP="00FC4B14">
            <w:pPr>
              <w:spacing w:line="240" w:lineRule="exact"/>
            </w:pPr>
          </w:p>
          <w:p w:rsidR="00FC4B14" w:rsidRDefault="006163BC" w:rsidP="00FC4B14">
            <w:pPr>
              <w:spacing w:line="240" w:lineRule="exact"/>
            </w:pPr>
            <w:r>
              <w:t>Original </w:t>
            </w:r>
            <w:r w:rsidR="00FC4B14">
              <w:t>: français</w:t>
            </w:r>
          </w:p>
          <w:p w:rsidR="0083426F" w:rsidRPr="00DB58B5" w:rsidRDefault="0083426F" w:rsidP="00FC4B14">
            <w:pPr>
              <w:spacing w:line="240" w:lineRule="exact"/>
            </w:pPr>
            <w:r>
              <w:t>Anglais, espagnol et français seulement</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523E02" w:rsidRPr="00775673" w:rsidRDefault="00523E02" w:rsidP="009B61FF">
      <w:pPr>
        <w:pStyle w:val="HChG"/>
      </w:pPr>
      <w:r>
        <w:tab/>
      </w:r>
      <w:r>
        <w:tab/>
        <w:t>Liste de</w:t>
      </w:r>
      <w:r w:rsidRPr="0083009C">
        <w:t xml:space="preserve"> points </w:t>
      </w:r>
      <w:r w:rsidRPr="002C5CD3">
        <w:t xml:space="preserve">concernant le </w:t>
      </w:r>
      <w:r w:rsidR="006C62A7" w:rsidRPr="00D71312">
        <w:t xml:space="preserve">deuxième rapport périodique </w:t>
      </w:r>
      <w:r w:rsidR="006C62A7">
        <w:br/>
      </w:r>
      <w:r w:rsidR="006C62A7" w:rsidRPr="00D71312">
        <w:t>de la Mauritanie</w:t>
      </w:r>
      <w:r w:rsidRPr="009B61FF">
        <w:rPr>
          <w:b w:val="0"/>
          <w:bCs/>
          <w:sz w:val="20"/>
        </w:rPr>
        <w:footnoteReference w:customMarkFollows="1" w:id="2"/>
        <w:t>*</w:t>
      </w:r>
    </w:p>
    <w:p w:rsidR="00523E02" w:rsidRPr="002C5CD3" w:rsidRDefault="00523E02" w:rsidP="009B61FF">
      <w:pPr>
        <w:pStyle w:val="H1G"/>
      </w:pPr>
      <w:r>
        <w:tab/>
      </w:r>
      <w:r>
        <w:tab/>
      </w:r>
      <w:r w:rsidRPr="002C5CD3">
        <w:t>Renseignements sur la suite donnée à certaines des recommandations figurant dans les précédentes observations finales</w:t>
      </w:r>
    </w:p>
    <w:p w:rsidR="00523E02" w:rsidRPr="002C5CD3" w:rsidRDefault="006163BC" w:rsidP="009B61FF">
      <w:pPr>
        <w:pStyle w:val="SingleTxtG"/>
      </w:pPr>
      <w:r>
        <w:t>1.</w:t>
      </w:r>
      <w:r>
        <w:tab/>
      </w:r>
      <w:r w:rsidR="00523E02" w:rsidRPr="002C5CD3">
        <w:t>Dans ses précédentes observations finales (voir CAT/C/MRT/CO/1, par. 30)</w:t>
      </w:r>
      <w:r w:rsidR="00523E02" w:rsidRPr="00607EB4">
        <w:rPr>
          <w:rStyle w:val="Appelnotedebasdep"/>
        </w:rPr>
        <w:footnoteReference w:id="3"/>
      </w:r>
      <w:r w:rsidR="00523E02">
        <w:t>,</w:t>
      </w:r>
      <w:r w:rsidR="00523E02" w:rsidRPr="002C5CD3">
        <w:t xml:space="preserve"> le Comité a prié l’État partie de lui fournir des renseignements sur la suite donnée à ses </w:t>
      </w:r>
      <w:r w:rsidR="00523E02" w:rsidRPr="002C5CD3">
        <w:rPr>
          <w:spacing w:val="-2"/>
        </w:rPr>
        <w:t>recommandations concernant</w:t>
      </w:r>
      <w:r w:rsidR="00523E02">
        <w:rPr>
          <w:spacing w:val="-2"/>
        </w:rPr>
        <w:t> </w:t>
      </w:r>
      <w:r w:rsidR="00523E02" w:rsidRPr="002C5CD3">
        <w:rPr>
          <w:spacing w:val="-2"/>
        </w:rPr>
        <w:t>:</w:t>
      </w:r>
      <w:r>
        <w:rPr>
          <w:spacing w:val="-2"/>
        </w:rPr>
        <w:t xml:space="preserve"> </w:t>
      </w:r>
      <w:r w:rsidR="00523E02">
        <w:rPr>
          <w:spacing w:val="-2"/>
        </w:rPr>
        <w:t>a</w:t>
      </w:r>
      <w:r w:rsidR="00523E02" w:rsidRPr="002C5CD3">
        <w:rPr>
          <w:spacing w:val="-2"/>
        </w:rPr>
        <w:t xml:space="preserve">) l’abolition du délai de garde à vue de </w:t>
      </w:r>
      <w:r w:rsidR="00523E02">
        <w:rPr>
          <w:spacing w:val="-2"/>
        </w:rPr>
        <w:t>quinze</w:t>
      </w:r>
      <w:r w:rsidR="00523E02" w:rsidRPr="002C5CD3">
        <w:rPr>
          <w:spacing w:val="-2"/>
        </w:rPr>
        <w:t xml:space="preserve"> jours, renouvelable deux fois, en matière de terrorisme et d’atteinte à la </w:t>
      </w:r>
      <w:r w:rsidR="008E2DE7" w:rsidRPr="002C5CD3">
        <w:rPr>
          <w:spacing w:val="-2"/>
        </w:rPr>
        <w:t>sûreté</w:t>
      </w:r>
      <w:r w:rsidR="00523E02" w:rsidRPr="002C5CD3">
        <w:rPr>
          <w:spacing w:val="-2"/>
        </w:rPr>
        <w:t xml:space="preserve"> de l’</w:t>
      </w:r>
      <w:r w:rsidR="00523E02">
        <w:rPr>
          <w:spacing w:val="-2"/>
        </w:rPr>
        <w:t>É</w:t>
      </w:r>
      <w:r w:rsidR="00523E02" w:rsidRPr="002C5CD3">
        <w:rPr>
          <w:spacing w:val="-2"/>
        </w:rPr>
        <w:t>tat, et le renforcement des garanties juridiques auxquelles ont droit les détenus</w:t>
      </w:r>
      <w:r w:rsidR="00523E02">
        <w:rPr>
          <w:spacing w:val="-2"/>
        </w:rPr>
        <w:t> </w:t>
      </w:r>
      <w:r w:rsidR="00523E02" w:rsidRPr="002C5CD3">
        <w:rPr>
          <w:spacing w:val="-2"/>
        </w:rPr>
        <w:t>;</w:t>
      </w:r>
      <w:r w:rsidR="00523E02" w:rsidRPr="002C5CD3">
        <w:t xml:space="preserve"> </w:t>
      </w:r>
      <w:r w:rsidR="00523E02">
        <w:t>b</w:t>
      </w:r>
      <w:r w:rsidR="00523E02" w:rsidRPr="002C5CD3">
        <w:t>) l’amélioration des conditions de détention dans l’ensemble de ses établissement</w:t>
      </w:r>
      <w:r w:rsidR="00523E02">
        <w:t>s</w:t>
      </w:r>
      <w:r w:rsidR="00523E02" w:rsidRPr="002C5CD3">
        <w:t xml:space="preserve"> pénitentiaires</w:t>
      </w:r>
      <w:r w:rsidR="00523E02">
        <w:t> </w:t>
      </w:r>
      <w:r w:rsidR="00523E02" w:rsidRPr="002C5CD3">
        <w:t xml:space="preserve">; et </w:t>
      </w:r>
      <w:r w:rsidR="00523E02">
        <w:t>c</w:t>
      </w:r>
      <w:r w:rsidR="00523E02" w:rsidRPr="002C5CD3">
        <w:t>) l’obligation de poursuivre et punir les auteurs d’actes de torture et de mauvais traitements, recommandations formulées aux paragraphes</w:t>
      </w:r>
      <w:r w:rsidR="00BF15C3">
        <w:t xml:space="preserve"> </w:t>
      </w:r>
      <w:r w:rsidR="00523E02" w:rsidRPr="002C5CD3">
        <w:t>10 c), 22 a)</w:t>
      </w:r>
      <w:r w:rsidR="00523E02">
        <w:t xml:space="preserve"> et</w:t>
      </w:r>
      <w:r w:rsidR="00523E02" w:rsidRPr="002C5CD3">
        <w:t xml:space="preserve"> b) et 18</w:t>
      </w:r>
      <w:r w:rsidR="00BF15C3">
        <w:t xml:space="preserve"> </w:t>
      </w:r>
      <w:r w:rsidR="00523E02" w:rsidRPr="002C5CD3">
        <w:t>a) d</w:t>
      </w:r>
      <w:r w:rsidR="00523E02">
        <w:t>udit</w:t>
      </w:r>
      <w:r w:rsidR="00523E02" w:rsidRPr="002C5CD3">
        <w:t xml:space="preserve"> document. Le Comité regrette que l’État partie n’ait pas fourni </w:t>
      </w:r>
      <w:r w:rsidR="00523E02">
        <w:t>ces</w:t>
      </w:r>
      <w:r w:rsidR="00523E02" w:rsidRPr="002C5CD3">
        <w:t xml:space="preserve"> renseignements malgré la lettre de rappel qui lui a été adressée le 7</w:t>
      </w:r>
      <w:r>
        <w:t> juillet</w:t>
      </w:r>
      <w:r w:rsidR="00523E02" w:rsidRPr="002C5CD3">
        <w:t xml:space="preserve"> 2014 par le Rapporteur chargé du suivi des observations finales. </w:t>
      </w:r>
      <w:r w:rsidR="00523E02">
        <w:t>Il</w:t>
      </w:r>
      <w:r w:rsidR="00523E02" w:rsidRPr="002C5CD3">
        <w:t xml:space="preserve"> considère que les recommandations formulées aux paragraphes</w:t>
      </w:r>
      <w:r w:rsidR="00BF15C3">
        <w:t xml:space="preserve"> </w:t>
      </w:r>
      <w:r w:rsidR="00523E02" w:rsidRPr="002C5CD3">
        <w:t>10 c), 22 a)</w:t>
      </w:r>
      <w:r w:rsidR="00523E02">
        <w:t xml:space="preserve"> et</w:t>
      </w:r>
      <w:r w:rsidR="00523E02" w:rsidRPr="002C5CD3">
        <w:t xml:space="preserve"> b) et 18</w:t>
      </w:r>
      <w:r w:rsidR="00BF15C3">
        <w:t xml:space="preserve"> </w:t>
      </w:r>
      <w:r w:rsidR="00523E02" w:rsidRPr="002C5CD3">
        <w:t xml:space="preserve">a) de ses précédentes observations finales n’ont pas encore été pleinement appliquées (voir par. 3 </w:t>
      </w:r>
      <w:r w:rsidR="00523E02">
        <w:t>g</w:t>
      </w:r>
      <w:r w:rsidR="00523E02" w:rsidRPr="002C5CD3">
        <w:t>), 16 c)</w:t>
      </w:r>
      <w:r w:rsidR="00523E02">
        <w:t xml:space="preserve"> et</w:t>
      </w:r>
      <w:r w:rsidR="00523E02" w:rsidRPr="002C5CD3">
        <w:t xml:space="preserve"> d) et 2</w:t>
      </w:r>
      <w:r w:rsidR="00523E02">
        <w:t>0</w:t>
      </w:r>
      <w:r w:rsidR="00523E02" w:rsidRPr="002C5CD3">
        <w:t xml:space="preserve"> ci-après).</w:t>
      </w:r>
    </w:p>
    <w:p w:rsidR="00523E02" w:rsidRPr="002C5CD3" w:rsidRDefault="00523E02" w:rsidP="009B61FF">
      <w:pPr>
        <w:pStyle w:val="H23G"/>
      </w:pPr>
      <w:r>
        <w:tab/>
      </w:r>
      <w:r>
        <w:tab/>
      </w:r>
      <w:r w:rsidRPr="002C5CD3">
        <w:t>Articles 1 et 4</w:t>
      </w:r>
    </w:p>
    <w:p w:rsidR="00523E02" w:rsidRPr="002C5CD3" w:rsidRDefault="006163BC" w:rsidP="009B61FF">
      <w:pPr>
        <w:pStyle w:val="SingleTxtG"/>
      </w:pPr>
      <w:r>
        <w:rPr>
          <w:lang w:val="fr-FR"/>
        </w:rPr>
        <w:t>2.</w:t>
      </w:r>
      <w:r>
        <w:rPr>
          <w:lang w:val="fr-FR"/>
        </w:rPr>
        <w:tab/>
      </w:r>
      <w:r w:rsidR="00523E02" w:rsidRPr="002C5CD3">
        <w:rPr>
          <w:lang w:val="fr-FR"/>
        </w:rPr>
        <w:t>Compte tenu de l’adoption en 2015 de la nouvelle loi relative à la lutte contre la torture</w:t>
      </w:r>
      <w:r w:rsidR="00523E02" w:rsidRPr="002C5CD3">
        <w:t xml:space="preserve"> (loi n</w:t>
      </w:r>
      <w:r w:rsidR="00523E02" w:rsidRPr="003752A6">
        <w:rPr>
          <w:vertAlign w:val="superscript"/>
        </w:rPr>
        <w:t>o</w:t>
      </w:r>
      <w:r w:rsidR="00523E02">
        <w:t> </w:t>
      </w:r>
      <w:r w:rsidR="00523E02" w:rsidRPr="002C5CD3">
        <w:t xml:space="preserve">2015-033), qui incrimine la torture et prévoit une définition du crime conforme à l’article </w:t>
      </w:r>
      <w:r w:rsidR="00523E02" w:rsidRPr="00505D31">
        <w:rPr>
          <w:spacing w:val="-2"/>
        </w:rPr>
        <w:t>premier</w:t>
      </w:r>
      <w:r w:rsidR="00523E02" w:rsidRPr="002C5CD3">
        <w:t xml:space="preserve"> de la Convention, fournir des informations actualisées sur </w:t>
      </w:r>
      <w:r w:rsidR="00523E02" w:rsidRPr="002C5CD3">
        <w:rPr>
          <w:w w:val="103"/>
          <w:lang w:val="fr-FR"/>
        </w:rPr>
        <w:t xml:space="preserve">l’évolution du processus </w:t>
      </w:r>
      <w:r w:rsidR="00523E02" w:rsidRPr="002C5CD3">
        <w:t xml:space="preserve">d’adoption des </w:t>
      </w:r>
      <w:r w:rsidR="00523E02">
        <w:t>décrets d’application de la loi.</w:t>
      </w:r>
      <w:r w:rsidR="00523E02" w:rsidRPr="002C5CD3">
        <w:t xml:space="preserve"> </w:t>
      </w:r>
    </w:p>
    <w:p w:rsidR="00523E02" w:rsidRPr="002C5CD3" w:rsidRDefault="00523E02" w:rsidP="009B61FF">
      <w:pPr>
        <w:pStyle w:val="H23G"/>
        <w:rPr>
          <w:lang w:val="fr-FR"/>
        </w:rPr>
      </w:pPr>
      <w:r w:rsidRPr="002C5CD3">
        <w:rPr>
          <w:lang w:val="fr-FR"/>
        </w:rPr>
        <w:lastRenderedPageBreak/>
        <w:tab/>
      </w:r>
      <w:r w:rsidRPr="002C5CD3">
        <w:rPr>
          <w:lang w:val="fr-FR"/>
        </w:rPr>
        <w:tab/>
        <w:t>Article 2</w:t>
      </w:r>
      <w:r w:rsidRPr="009B61FF">
        <w:rPr>
          <w:rStyle w:val="Appelnotedebasdep"/>
          <w:b w:val="0"/>
        </w:rPr>
        <w:footnoteReference w:id="4"/>
      </w:r>
    </w:p>
    <w:p w:rsidR="00523E02" w:rsidRPr="002C5CD3" w:rsidRDefault="006163BC" w:rsidP="009B61FF">
      <w:pPr>
        <w:pStyle w:val="SingleTxtG"/>
        <w:rPr>
          <w:lang w:val="fr-FR"/>
        </w:rPr>
      </w:pPr>
      <w:r>
        <w:rPr>
          <w:lang w:val="fr-FR"/>
        </w:rPr>
        <w:t>3.</w:t>
      </w:r>
      <w:r>
        <w:rPr>
          <w:lang w:val="fr-FR"/>
        </w:rPr>
        <w:tab/>
      </w:r>
      <w:r w:rsidR="00523E02" w:rsidRPr="002C5CD3">
        <w:rPr>
          <w:lang w:val="fr-FR"/>
        </w:rPr>
        <w:t xml:space="preserve">Compte </w:t>
      </w:r>
      <w:r w:rsidR="00523E02" w:rsidRPr="00505D31">
        <w:t>tenu</w:t>
      </w:r>
      <w:r w:rsidR="00523E02" w:rsidRPr="002C5CD3">
        <w:rPr>
          <w:lang w:val="fr-FR"/>
        </w:rPr>
        <w:t xml:space="preserve"> de l’article 4 de la nouvelle loi relative à la lutte contre la torture</w:t>
      </w:r>
      <w:r w:rsidR="00523E02" w:rsidRPr="002C5CD3">
        <w:t>, qui consacre toutes les</w:t>
      </w:r>
      <w:r w:rsidR="00523E02" w:rsidRPr="002C5CD3">
        <w:rPr>
          <w:lang w:val="fr-FR"/>
        </w:rPr>
        <w:t xml:space="preserve"> garanties fondamentales contre la torture dès l</w:t>
      </w:r>
      <w:r w:rsidR="00523E02">
        <w:rPr>
          <w:lang w:val="fr-FR"/>
        </w:rPr>
        <w:t>’</w:t>
      </w:r>
      <w:r w:rsidR="00523E02" w:rsidRPr="002C5CD3">
        <w:rPr>
          <w:lang w:val="fr-FR"/>
        </w:rPr>
        <w:t>instant où intervient la priv</w:t>
      </w:r>
      <w:r w:rsidR="00523E02">
        <w:rPr>
          <w:lang w:val="fr-FR"/>
        </w:rPr>
        <w:t>ation de liberté d’une personne</w:t>
      </w:r>
      <w:r w:rsidR="00523E02" w:rsidRPr="00607EB4">
        <w:rPr>
          <w:rStyle w:val="Appelnotedebasdep"/>
        </w:rPr>
        <w:footnoteReference w:id="5"/>
      </w:r>
      <w:r w:rsidR="00523E02">
        <w:rPr>
          <w:lang w:val="fr-FR"/>
        </w:rPr>
        <w:t>,</w:t>
      </w:r>
      <w:r w:rsidR="00523E02" w:rsidRPr="002C5CD3">
        <w:rPr>
          <w:lang w:val="fr-FR"/>
        </w:rPr>
        <w:t xml:space="preserve"> indiquer les mesures prises pour</w:t>
      </w:r>
      <w:r w:rsidR="00523E02">
        <w:rPr>
          <w:lang w:val="fr-FR"/>
        </w:rPr>
        <w:t> </w:t>
      </w:r>
      <w:r w:rsidR="00523E02" w:rsidRPr="002C5CD3">
        <w:rPr>
          <w:lang w:val="fr-FR"/>
        </w:rPr>
        <w:t>:</w:t>
      </w:r>
    </w:p>
    <w:p w:rsidR="00523E02" w:rsidRPr="002C5CD3" w:rsidRDefault="00523E02" w:rsidP="009B61FF">
      <w:pPr>
        <w:pStyle w:val="SingleTxtG"/>
        <w:ind w:firstLine="567"/>
        <w:rPr>
          <w:lang w:val="fr-FR"/>
        </w:rPr>
      </w:pPr>
      <w:r w:rsidRPr="002C5CD3">
        <w:rPr>
          <w:lang w:val="fr-FR"/>
        </w:rPr>
        <w:t>a)</w:t>
      </w:r>
      <w:r w:rsidRPr="002C5CD3">
        <w:rPr>
          <w:lang w:val="fr-FR"/>
        </w:rPr>
        <w:tab/>
        <w:t>Faire appliquer efficacement la loi relative à la lutte contre la torture</w:t>
      </w:r>
      <w:r w:rsidRPr="002C5CD3">
        <w:t xml:space="preserve">, </w:t>
      </w:r>
      <w:r w:rsidRPr="002C5CD3">
        <w:rPr>
          <w:lang w:val="fr-FR"/>
        </w:rPr>
        <w:t>de manière à assurer sa primauté sur des lois plus anciennes et plus générales (</w:t>
      </w:r>
      <w:r w:rsidRPr="002C5CD3">
        <w:rPr>
          <w:i/>
          <w:lang w:val="fr-FR"/>
        </w:rPr>
        <w:t>lex specialis derogat legi generali</w:t>
      </w:r>
      <w:r>
        <w:rPr>
          <w:i/>
          <w:lang w:val="fr-FR"/>
        </w:rPr>
        <w:t xml:space="preserve"> </w:t>
      </w:r>
      <w:r>
        <w:rPr>
          <w:iCs/>
          <w:lang w:val="fr-FR"/>
        </w:rPr>
        <w:t>et</w:t>
      </w:r>
      <w:r w:rsidRPr="002C5CD3">
        <w:rPr>
          <w:i/>
          <w:lang w:val="fr-FR"/>
        </w:rPr>
        <w:t xml:space="preserve"> lex posterior derogat legi priori</w:t>
      </w:r>
      <w:r w:rsidRPr="002C5CD3">
        <w:rPr>
          <w:lang w:val="fr-FR"/>
        </w:rPr>
        <w:t>), tel que recommandé par le Rapporteur spécial sur la torture</w:t>
      </w:r>
      <w:r>
        <w:rPr>
          <w:lang w:val="fr-FR"/>
        </w:rPr>
        <w:t xml:space="preserve"> et autres peines ou traitements cruels, inhumains ou dégradants</w:t>
      </w:r>
      <w:r w:rsidRPr="00607EB4">
        <w:rPr>
          <w:rStyle w:val="Appelnotedebasdep"/>
        </w:rPr>
        <w:footnoteReference w:id="6"/>
      </w:r>
      <w:r>
        <w:rPr>
          <w:lang w:val="fr-FR"/>
        </w:rPr>
        <w:t> </w:t>
      </w:r>
      <w:r w:rsidRPr="002C5CD3">
        <w:rPr>
          <w:lang w:val="fr-FR"/>
        </w:rPr>
        <w:t>;</w:t>
      </w:r>
    </w:p>
    <w:p w:rsidR="00523E02" w:rsidRPr="002C5CD3" w:rsidRDefault="00523E02" w:rsidP="009B61FF">
      <w:pPr>
        <w:pStyle w:val="SingleTxtG"/>
        <w:ind w:firstLine="567"/>
      </w:pPr>
      <w:r w:rsidRPr="002C5CD3">
        <w:rPr>
          <w:lang w:val="fr-FR"/>
        </w:rPr>
        <w:t>b)</w:t>
      </w:r>
      <w:r w:rsidRPr="002C5CD3">
        <w:rPr>
          <w:lang w:val="fr-FR"/>
        </w:rPr>
        <w:tab/>
      </w:r>
      <w:r w:rsidR="008E2DE7" w:rsidRPr="002C5CD3">
        <w:t xml:space="preserve">Garantir </w:t>
      </w:r>
      <w:r w:rsidRPr="002C5CD3">
        <w:t xml:space="preserve">dans la pratique l’accès à un avocat, </w:t>
      </w:r>
      <w:r w:rsidRPr="002C5CD3">
        <w:rPr>
          <w:lang w:val="fr-FR"/>
        </w:rPr>
        <w:t>dès l</w:t>
      </w:r>
      <w:r>
        <w:rPr>
          <w:lang w:val="fr-FR"/>
        </w:rPr>
        <w:t>’</w:t>
      </w:r>
      <w:r w:rsidRPr="002C5CD3">
        <w:rPr>
          <w:lang w:val="fr-FR"/>
        </w:rPr>
        <w:t>instant où intervient la privation de liberté</w:t>
      </w:r>
      <w:r w:rsidRPr="002C5CD3">
        <w:t xml:space="preserve"> et en toute confidentialité, pou</w:t>
      </w:r>
      <w:r>
        <w:t>r toutes les personnes détenues</w:t>
      </w:r>
      <w:r w:rsidRPr="00607EB4">
        <w:rPr>
          <w:rStyle w:val="Appelnotedebasdep"/>
        </w:rPr>
        <w:footnoteReference w:id="7"/>
      </w:r>
      <w:r>
        <w:t>,</w:t>
      </w:r>
      <w:r w:rsidRPr="002C5CD3">
        <w:t xml:space="preserve"> y compris pour des infractions liées </w:t>
      </w:r>
      <w:r>
        <w:t>à des</w:t>
      </w:r>
      <w:r w:rsidRPr="002C5CD3">
        <w:t xml:space="preserve"> actes terroristes et d’autres </w:t>
      </w:r>
      <w:r w:rsidRPr="009B61FF">
        <w:rPr>
          <w:lang w:val="fr-FR"/>
        </w:rPr>
        <w:t>infractions</w:t>
      </w:r>
      <w:r w:rsidRPr="002C5CD3">
        <w:t xml:space="preserve"> contre la sécurité de l’</w:t>
      </w:r>
      <w:r>
        <w:t>É</w:t>
      </w:r>
      <w:r w:rsidRPr="002C5CD3">
        <w:t>tat. Indiquer s</w:t>
      </w:r>
      <w:r w:rsidRPr="002C5CD3">
        <w:rPr>
          <w:lang w:val="fr-FR"/>
        </w:rPr>
        <w:t>i l’</w:t>
      </w:r>
      <w:r>
        <w:t>É</w:t>
      </w:r>
      <w:r w:rsidRPr="002C5CD3">
        <w:rPr>
          <w:lang w:val="fr-FR"/>
        </w:rPr>
        <w:t>tat partie envisage de modifier les dispositions législatives qui sont en conflit avec le contenu de l’article 4 de la loi relative à la lutte contre la torture en ce qui concerne l’accès à un avocat</w:t>
      </w:r>
      <w:r w:rsidRPr="002C5CD3">
        <w:t>, notamment</w:t>
      </w:r>
      <w:r w:rsidRPr="002C5CD3">
        <w:rPr>
          <w:lang w:val="fr-FR"/>
        </w:rPr>
        <w:t xml:space="preserve"> </w:t>
      </w:r>
      <w:r w:rsidRPr="002C5CD3">
        <w:t>l’articl</w:t>
      </w:r>
      <w:r>
        <w:t>e 58 du Code de procédure pénale,</w:t>
      </w:r>
      <w:r w:rsidRPr="002C5CD3">
        <w:t xml:space="preserve"> qui dispose : i</w:t>
      </w:r>
      <w:r w:rsidR="006163BC" w:rsidRPr="002C5CD3">
        <w:t>)</w:t>
      </w:r>
      <w:r w:rsidR="006163BC">
        <w:t> </w:t>
      </w:r>
      <w:r w:rsidRPr="002C5CD3">
        <w:t xml:space="preserve">que l’accès à un avocat n’est possible qu’après la première prolongation de la garde à vue (de </w:t>
      </w:r>
      <w:r>
        <w:t>quarante-huit</w:t>
      </w:r>
      <w:r w:rsidRPr="002C5CD3">
        <w:t xml:space="preserve"> heures ou </w:t>
      </w:r>
      <w:r>
        <w:t>soixante-douze</w:t>
      </w:r>
      <w:r w:rsidRPr="002C5CD3">
        <w:t xml:space="preserve"> heures, dans les infractions liées aux stupéfiants), sur autorisation du procureur, pendant une demi-heure et sous la surveillance de la police judiciaire</w:t>
      </w:r>
      <w:r>
        <w:t> </w:t>
      </w:r>
      <w:r w:rsidRPr="002C5CD3">
        <w:t>; et ii</w:t>
      </w:r>
      <w:r w:rsidR="006163BC" w:rsidRPr="002C5CD3">
        <w:t>)</w:t>
      </w:r>
      <w:r w:rsidR="006163BC">
        <w:t> </w:t>
      </w:r>
      <w:r w:rsidRPr="002C5CD3">
        <w:t>que les suspects d’actes terroristes n’ont pas accès à un conseil pendant toute la durée de la garde à</w:t>
      </w:r>
      <w:r>
        <w:t xml:space="preserve"> vue</w:t>
      </w:r>
      <w:r w:rsidRPr="00607EB4">
        <w:rPr>
          <w:rStyle w:val="Appelnotedebasdep"/>
        </w:rPr>
        <w:footnoteReference w:id="8"/>
      </w:r>
      <w:r>
        <w:t> ;</w:t>
      </w:r>
      <w:r w:rsidRPr="002C5CD3">
        <w:t xml:space="preserve"> </w:t>
      </w:r>
    </w:p>
    <w:p w:rsidR="00523E02" w:rsidRPr="002C5CD3" w:rsidRDefault="00523E02" w:rsidP="009B61FF">
      <w:pPr>
        <w:pStyle w:val="SingleTxtG"/>
        <w:ind w:firstLine="567"/>
        <w:rPr>
          <w:bCs/>
          <w:lang w:eastAsia="en-GB"/>
        </w:rPr>
      </w:pPr>
      <w:r w:rsidRPr="002C5CD3">
        <w:t>c)</w:t>
      </w:r>
      <w:r w:rsidRPr="002C5CD3">
        <w:tab/>
      </w:r>
      <w:r w:rsidRPr="009B61FF">
        <w:rPr>
          <w:lang w:val="fr-FR"/>
        </w:rPr>
        <w:t>Accélérer</w:t>
      </w:r>
      <w:r w:rsidRPr="002C5CD3">
        <w:t xml:space="preserve"> le processus d’adoption du décret d’application de la loi relative à l</w:t>
      </w:r>
      <w:r>
        <w:t>’aide judiciaire (loi n</w:t>
      </w:r>
      <w:r w:rsidRPr="003752A6">
        <w:rPr>
          <w:vertAlign w:val="superscript"/>
        </w:rPr>
        <w:t>o</w:t>
      </w:r>
      <w:r>
        <w:t> 2015-030).</w:t>
      </w:r>
      <w:r w:rsidRPr="002C5CD3">
        <w:t xml:space="preserve"> Indiquer aussi les mesures envisagées pour </w:t>
      </w:r>
      <w:r w:rsidRPr="002C5CD3">
        <w:rPr>
          <w:lang w:val="fr-FR"/>
        </w:rPr>
        <w:t>garantir l’accès à un avocat</w:t>
      </w:r>
      <w:r>
        <w:rPr>
          <w:lang w:val="fr-FR"/>
        </w:rPr>
        <w:t xml:space="preserve"> d’office aux accusés indigents</w:t>
      </w:r>
      <w:r w:rsidRPr="00607EB4">
        <w:rPr>
          <w:rStyle w:val="Appelnotedebasdep"/>
        </w:rPr>
        <w:footnoteReference w:id="9"/>
      </w:r>
      <w:r>
        <w:rPr>
          <w:lang w:val="fr-FR"/>
        </w:rPr>
        <w:t> </w:t>
      </w:r>
      <w:r>
        <w:t>;</w:t>
      </w:r>
    </w:p>
    <w:p w:rsidR="00523E02" w:rsidRPr="002C5CD3" w:rsidRDefault="00523E02" w:rsidP="009B61FF">
      <w:pPr>
        <w:pStyle w:val="SingleTxtG"/>
        <w:ind w:firstLine="567"/>
        <w:rPr>
          <w:lang w:val="fr-FR"/>
        </w:rPr>
      </w:pPr>
      <w:r w:rsidRPr="002C5CD3">
        <w:t>d)</w:t>
      </w:r>
      <w:r w:rsidRPr="002C5CD3">
        <w:tab/>
      </w:r>
      <w:r w:rsidRPr="002C5CD3">
        <w:rPr>
          <w:bCs/>
          <w:lang w:eastAsia="en-GB"/>
        </w:rPr>
        <w:t xml:space="preserve">Faire </w:t>
      </w:r>
      <w:r w:rsidRPr="009B61FF">
        <w:rPr>
          <w:lang w:val="fr-FR"/>
        </w:rPr>
        <w:t>en</w:t>
      </w:r>
      <w:r w:rsidRPr="002C5CD3">
        <w:rPr>
          <w:bCs/>
          <w:lang w:eastAsia="en-GB"/>
        </w:rPr>
        <w:t xml:space="preserve"> sorte que tous les détenus jouissent, dans la pratique, du droit de contacter </w:t>
      </w:r>
      <w:r w:rsidRPr="00D53108">
        <w:rPr>
          <w:bCs/>
          <w:lang w:eastAsia="en-GB"/>
        </w:rPr>
        <w:t xml:space="preserve">une personne de </w:t>
      </w:r>
      <w:r>
        <w:rPr>
          <w:bCs/>
          <w:lang w:eastAsia="en-GB"/>
        </w:rPr>
        <w:t>leur</w:t>
      </w:r>
      <w:r w:rsidRPr="00D53108">
        <w:rPr>
          <w:bCs/>
          <w:lang w:eastAsia="en-GB"/>
        </w:rPr>
        <w:t xml:space="preserve"> choix </w:t>
      </w:r>
      <w:r>
        <w:rPr>
          <w:bCs/>
          <w:lang w:eastAsia="en-GB"/>
        </w:rPr>
        <w:t>pour l’i</w:t>
      </w:r>
      <w:r w:rsidRPr="00D53108">
        <w:rPr>
          <w:bCs/>
          <w:lang w:eastAsia="en-GB"/>
        </w:rPr>
        <w:t>nformer</w:t>
      </w:r>
      <w:r>
        <w:rPr>
          <w:bCs/>
          <w:lang w:eastAsia="en-GB"/>
        </w:rPr>
        <w:t xml:space="preserve"> du lieu de détention</w:t>
      </w:r>
      <w:r w:rsidRPr="002C5CD3">
        <w:rPr>
          <w:bCs/>
          <w:lang w:eastAsia="en-GB"/>
        </w:rPr>
        <w:t xml:space="preserve"> </w:t>
      </w:r>
      <w:r w:rsidRPr="002C5CD3">
        <w:rPr>
          <w:lang w:val="fr-FR"/>
        </w:rPr>
        <w:t>dès l</w:t>
      </w:r>
      <w:r>
        <w:rPr>
          <w:lang w:val="fr-FR"/>
        </w:rPr>
        <w:t>’</w:t>
      </w:r>
      <w:r w:rsidRPr="002C5CD3">
        <w:rPr>
          <w:lang w:val="fr-FR"/>
        </w:rPr>
        <w:t xml:space="preserve">instant où intervient la privation de liberté. </w:t>
      </w:r>
      <w:r>
        <w:rPr>
          <w:lang w:val="fr-FR"/>
        </w:rPr>
        <w:t>Préciser</w:t>
      </w:r>
      <w:r w:rsidRPr="002C5CD3">
        <w:rPr>
          <w:lang w:val="fr-FR"/>
        </w:rPr>
        <w:t xml:space="preserve"> si la détention au secret continue à s’app</w:t>
      </w:r>
      <w:r>
        <w:rPr>
          <w:lang w:val="fr-FR"/>
        </w:rPr>
        <w:t>liquer et selon quels critères ;</w:t>
      </w:r>
    </w:p>
    <w:p w:rsidR="00523E02" w:rsidRPr="00D6794D" w:rsidRDefault="00523E02" w:rsidP="009B61FF">
      <w:pPr>
        <w:pStyle w:val="SingleTxtG"/>
        <w:ind w:firstLine="567"/>
        <w:rPr>
          <w:bCs/>
          <w:lang w:eastAsia="en-GB"/>
        </w:rPr>
      </w:pPr>
      <w:r w:rsidRPr="002C5CD3">
        <w:rPr>
          <w:bCs/>
          <w:lang w:eastAsia="en-GB"/>
        </w:rPr>
        <w:t>e)</w:t>
      </w:r>
      <w:r w:rsidRPr="002C5CD3">
        <w:rPr>
          <w:bCs/>
          <w:lang w:eastAsia="en-GB"/>
        </w:rPr>
        <w:tab/>
      </w:r>
      <w:r>
        <w:rPr>
          <w:lang w:val="fr-FR"/>
        </w:rPr>
        <w:t>Faire en sorte que les détenus soient informés de leurs droits, des motifs d’arrestation et des charges retenues contre eux ;</w:t>
      </w:r>
    </w:p>
    <w:p w:rsidR="00523E02" w:rsidRPr="002C5CD3" w:rsidRDefault="00523E02" w:rsidP="009B61FF">
      <w:pPr>
        <w:pStyle w:val="SingleTxtG"/>
        <w:ind w:firstLine="567"/>
      </w:pPr>
      <w:r>
        <w:rPr>
          <w:bCs/>
          <w:lang w:eastAsia="en-GB"/>
        </w:rPr>
        <w:t>f)</w:t>
      </w:r>
      <w:r>
        <w:rPr>
          <w:bCs/>
          <w:lang w:eastAsia="en-GB"/>
        </w:rPr>
        <w:tab/>
        <w:t>Veiller à ce</w:t>
      </w:r>
      <w:r w:rsidRPr="002C5CD3">
        <w:rPr>
          <w:bCs/>
          <w:lang w:eastAsia="en-GB"/>
        </w:rPr>
        <w:t xml:space="preserve"> </w:t>
      </w:r>
      <w:r w:rsidRPr="002C5CD3">
        <w:t>que les personnes détenues soient informées</w:t>
      </w:r>
      <w:r>
        <w:t>,</w:t>
      </w:r>
      <w:r w:rsidRPr="002C5CD3">
        <w:t xml:space="preserve"> </w:t>
      </w:r>
      <w:r w:rsidRPr="002C5CD3">
        <w:rPr>
          <w:lang w:val="fr-FR"/>
        </w:rPr>
        <w:t>dès l</w:t>
      </w:r>
      <w:r>
        <w:rPr>
          <w:lang w:val="fr-FR"/>
        </w:rPr>
        <w:t>’</w:t>
      </w:r>
      <w:r w:rsidRPr="002C5CD3">
        <w:rPr>
          <w:lang w:val="fr-FR"/>
        </w:rPr>
        <w:t>instant où intervient la privation de liberté,</w:t>
      </w:r>
      <w:r w:rsidRPr="002C5CD3">
        <w:t xml:space="preserve"> de leur possibilité de demander </w:t>
      </w:r>
      <w:r w:rsidRPr="009B61FF">
        <w:rPr>
          <w:lang w:val="fr-FR"/>
        </w:rPr>
        <w:t>et</w:t>
      </w:r>
      <w:r>
        <w:t xml:space="preserve"> </w:t>
      </w:r>
      <w:r w:rsidRPr="002C5CD3">
        <w:t xml:space="preserve">bénéficier d’un examen médical </w:t>
      </w:r>
      <w:r>
        <w:t xml:space="preserve">en toute confidentialité </w:t>
      </w:r>
      <w:r w:rsidRPr="002C5CD3">
        <w:t>par un médecin indépendant ou un médecin de leur choix</w:t>
      </w:r>
      <w:r>
        <w:t xml:space="preserve">, </w:t>
      </w:r>
      <w:r w:rsidRPr="002C5CD3">
        <w:t xml:space="preserve">et </w:t>
      </w:r>
      <w:r>
        <w:t xml:space="preserve">à ce qu’elles </w:t>
      </w:r>
      <w:r w:rsidRPr="002C5CD3">
        <w:t xml:space="preserve">puissent </w:t>
      </w:r>
      <w:r>
        <w:t>exercer cette possibilité </w:t>
      </w:r>
      <w:r w:rsidRPr="002C5CD3">
        <w:t>;</w:t>
      </w:r>
    </w:p>
    <w:p w:rsidR="00523E02" w:rsidRPr="002C5CD3" w:rsidRDefault="00523E02" w:rsidP="009B61FF">
      <w:pPr>
        <w:pStyle w:val="SingleTxtG"/>
        <w:ind w:firstLine="567"/>
      </w:pPr>
      <w:r>
        <w:t>g</w:t>
      </w:r>
      <w:r w:rsidRPr="002C5CD3">
        <w:t>)</w:t>
      </w:r>
      <w:r w:rsidRPr="002C5CD3">
        <w:tab/>
      </w:r>
      <w:r>
        <w:t>Faire les modifications législatives nécessaires afin de g</w:t>
      </w:r>
      <w:r w:rsidRPr="002C5CD3">
        <w:t xml:space="preserve">arantir que la durée maximale de la garde à vue n’excède pas </w:t>
      </w:r>
      <w:r>
        <w:t xml:space="preserve">quarante-huit </w:t>
      </w:r>
      <w:r w:rsidRPr="002C5CD3">
        <w:t xml:space="preserve">heures, quels que soient </w:t>
      </w:r>
      <w:r>
        <w:t>les chefs d’accusation retenus</w:t>
      </w:r>
      <w:r w:rsidRPr="00607EB4">
        <w:rPr>
          <w:rStyle w:val="Appelnotedebasdep"/>
        </w:rPr>
        <w:footnoteReference w:id="10"/>
      </w:r>
      <w:r>
        <w:t>.</w:t>
      </w:r>
      <w:r w:rsidRPr="002C5CD3">
        <w:t xml:space="preserve"> </w:t>
      </w:r>
      <w:r>
        <w:t>Préciser</w:t>
      </w:r>
      <w:r w:rsidRPr="002C5CD3">
        <w:t xml:space="preserve"> si la légalité de la garde à vue est susceptible d’un recours (</w:t>
      </w:r>
      <w:r w:rsidRPr="002C5CD3">
        <w:rPr>
          <w:i/>
        </w:rPr>
        <w:t>habeas corpus</w:t>
      </w:r>
      <w:r w:rsidRPr="002C5CD3">
        <w:t xml:space="preserve">) et </w:t>
      </w:r>
      <w:r w:rsidRPr="002C5CD3">
        <w:rPr>
          <w:lang w:val="fr-FR"/>
        </w:rPr>
        <w:t>indiquer, pour la période écoulée depuis 2013, combien de détentions ont été déclarées illégal</w:t>
      </w:r>
      <w:r>
        <w:rPr>
          <w:lang w:val="fr-FR"/>
        </w:rPr>
        <w:t>es ou arbitraires par des juges ;</w:t>
      </w:r>
      <w:r w:rsidRPr="002C5CD3">
        <w:t xml:space="preserve"> </w:t>
      </w:r>
    </w:p>
    <w:p w:rsidR="00523E02" w:rsidRPr="002C5CD3" w:rsidRDefault="00523E02" w:rsidP="009B61FF">
      <w:pPr>
        <w:pStyle w:val="SingleTxtG"/>
        <w:ind w:firstLine="567"/>
        <w:rPr>
          <w:lang w:val="fr-FR"/>
        </w:rPr>
      </w:pPr>
      <w:r>
        <w:rPr>
          <w:lang w:val="fr-FR"/>
        </w:rPr>
        <w:lastRenderedPageBreak/>
        <w:t>h</w:t>
      </w:r>
      <w:r w:rsidRPr="002C5CD3">
        <w:rPr>
          <w:lang w:val="fr-FR"/>
        </w:rPr>
        <w:t>)</w:t>
      </w:r>
      <w:r w:rsidRPr="002C5CD3">
        <w:rPr>
          <w:lang w:val="fr-FR"/>
        </w:rPr>
        <w:tab/>
        <w:t>Mettre à jour les registres actuels afin d</w:t>
      </w:r>
      <w:r>
        <w:rPr>
          <w:lang w:val="fr-FR"/>
        </w:rPr>
        <w:t>’y</w:t>
      </w:r>
      <w:r w:rsidRPr="002C5CD3">
        <w:rPr>
          <w:lang w:val="fr-FR"/>
        </w:rPr>
        <w:t xml:space="preserve"> consigner l’information minimale requise par l’article 4 de la loi relative à la lutte contre la torture, tel que recommandé par le Ra</w:t>
      </w:r>
      <w:r>
        <w:rPr>
          <w:lang w:val="fr-FR"/>
        </w:rPr>
        <w:t>pporteur spécial sur la question de la torture</w:t>
      </w:r>
      <w:r w:rsidRPr="00607EB4">
        <w:rPr>
          <w:rStyle w:val="Appelnotedebasdep"/>
        </w:rPr>
        <w:footnoteReference w:id="11"/>
      </w:r>
      <w:r>
        <w:rPr>
          <w:lang w:val="fr-FR"/>
        </w:rPr>
        <w:t>.</w:t>
      </w:r>
      <w:r w:rsidRPr="002C5CD3">
        <w:rPr>
          <w:lang w:val="fr-FR"/>
        </w:rPr>
        <w:t xml:space="preserve"> </w:t>
      </w:r>
    </w:p>
    <w:p w:rsidR="00523E02" w:rsidRPr="002C5CD3" w:rsidRDefault="006163BC" w:rsidP="009B61FF">
      <w:pPr>
        <w:pStyle w:val="SingleTxtG"/>
      </w:pPr>
      <w:r>
        <w:rPr>
          <w:lang w:val="fr-FR"/>
        </w:rPr>
        <w:t>4.</w:t>
      </w:r>
      <w:r>
        <w:rPr>
          <w:lang w:val="fr-FR"/>
        </w:rPr>
        <w:tab/>
      </w:r>
      <w:r w:rsidR="00523E02" w:rsidRPr="002C5CD3">
        <w:rPr>
          <w:lang w:val="fr-FR"/>
        </w:rPr>
        <w:t xml:space="preserve">Compte tenu de la </w:t>
      </w:r>
      <w:r w:rsidR="00523E02" w:rsidRPr="002C5CD3">
        <w:t>promulgation</w:t>
      </w:r>
      <w:r w:rsidR="00523E02">
        <w:t>,</w:t>
      </w:r>
      <w:r w:rsidR="00523E02" w:rsidRPr="002C5CD3">
        <w:t xml:space="preserve"> en 2015</w:t>
      </w:r>
      <w:r w:rsidR="00523E02">
        <w:t>,</w:t>
      </w:r>
      <w:r w:rsidR="00523E02" w:rsidRPr="002C5CD3">
        <w:t xml:space="preserve"> de la loi instituant le </w:t>
      </w:r>
      <w:r w:rsidR="00523E02">
        <w:t>m</w:t>
      </w:r>
      <w:r w:rsidR="00523E02" w:rsidRPr="002C5CD3">
        <w:t xml:space="preserve">écanisme </w:t>
      </w:r>
      <w:r w:rsidR="00523E02">
        <w:t>n</w:t>
      </w:r>
      <w:r w:rsidR="00523E02" w:rsidRPr="002C5CD3">
        <w:t xml:space="preserve">ational de </w:t>
      </w:r>
      <w:r w:rsidR="00523E02">
        <w:t>p</w:t>
      </w:r>
      <w:r w:rsidR="00523E02" w:rsidRPr="002C5CD3">
        <w:t>ré</w:t>
      </w:r>
      <w:r w:rsidR="00523E02">
        <w:t>vention (loi n</w:t>
      </w:r>
      <w:r w:rsidR="00523E02" w:rsidRPr="003752A6">
        <w:rPr>
          <w:vertAlign w:val="superscript"/>
        </w:rPr>
        <w:t>o</w:t>
      </w:r>
      <w:r w:rsidR="00523E02">
        <w:t> 2015-034)</w:t>
      </w:r>
      <w:r w:rsidR="00523E02" w:rsidRPr="00607EB4">
        <w:rPr>
          <w:rStyle w:val="Appelnotedebasdep"/>
        </w:rPr>
        <w:footnoteReference w:id="12"/>
      </w:r>
      <w:r w:rsidR="00523E02" w:rsidRPr="002C5CD3">
        <w:t xml:space="preserve"> et </w:t>
      </w:r>
      <w:r w:rsidR="00523E02">
        <w:t xml:space="preserve">de </w:t>
      </w:r>
      <w:r w:rsidR="00523E02" w:rsidRPr="002C5CD3">
        <w:t xml:space="preserve">la nomination des membres du </w:t>
      </w:r>
      <w:r w:rsidR="00523E02">
        <w:t>mécanisme par décret le 20</w:t>
      </w:r>
      <w:r>
        <w:t> avril</w:t>
      </w:r>
      <w:r w:rsidR="00523E02">
        <w:t xml:space="preserve"> 2016</w:t>
      </w:r>
      <w:r w:rsidR="00523E02" w:rsidRPr="00607EB4">
        <w:rPr>
          <w:rStyle w:val="Appelnotedebasdep"/>
        </w:rPr>
        <w:footnoteReference w:id="13"/>
      </w:r>
      <w:r w:rsidR="00523E02">
        <w:t>,</w:t>
      </w:r>
      <w:r w:rsidR="00523E02" w:rsidRPr="002C5CD3">
        <w:t xml:space="preserve"> indiquer les mesures prises pour :</w:t>
      </w:r>
    </w:p>
    <w:p w:rsidR="00523E02" w:rsidRPr="002C5CD3" w:rsidRDefault="00523E02" w:rsidP="009B61FF">
      <w:pPr>
        <w:pStyle w:val="SingleTxtG"/>
        <w:ind w:firstLine="567"/>
      </w:pPr>
      <w:r>
        <w:t>a)</w:t>
      </w:r>
      <w:r w:rsidRPr="002C5CD3">
        <w:tab/>
      </w:r>
      <w:r>
        <w:t>R</w:t>
      </w:r>
      <w:r w:rsidRPr="002C5CD3">
        <w:t>endre la procédure de sélectio</w:t>
      </w:r>
      <w:r>
        <w:t xml:space="preserve">n des </w:t>
      </w:r>
      <w:r w:rsidRPr="009B61FF">
        <w:rPr>
          <w:lang w:val="fr-FR"/>
        </w:rPr>
        <w:t>membres</w:t>
      </w:r>
      <w:r>
        <w:t xml:space="preserve"> plus transparente</w:t>
      </w:r>
      <w:r w:rsidRPr="002C5CD3">
        <w:t xml:space="preserve"> et renforcer l</w:t>
      </w:r>
      <w:r>
        <w:t>’indépendance de cet organisme ;</w:t>
      </w:r>
    </w:p>
    <w:p w:rsidR="00523E02" w:rsidRPr="002C5CD3" w:rsidRDefault="00523E02" w:rsidP="009B61FF">
      <w:pPr>
        <w:pStyle w:val="SingleTxtG"/>
        <w:ind w:firstLine="567"/>
      </w:pPr>
      <w:r w:rsidRPr="002C5CD3">
        <w:t>b)</w:t>
      </w:r>
      <w:r w:rsidRPr="002C5CD3">
        <w:tab/>
      </w:r>
      <w:r>
        <w:t xml:space="preserve">Faire en sorte </w:t>
      </w:r>
      <w:r w:rsidRPr="002C5CD3">
        <w:rPr>
          <w:lang w:val="fr-FR"/>
        </w:rPr>
        <w:t xml:space="preserve">que le </w:t>
      </w:r>
      <w:r>
        <w:t>m</w:t>
      </w:r>
      <w:r w:rsidRPr="002C5CD3">
        <w:t xml:space="preserve">écanisme </w:t>
      </w:r>
      <w:r>
        <w:t>n</w:t>
      </w:r>
      <w:r w:rsidRPr="002C5CD3">
        <w:t xml:space="preserve">ational de </w:t>
      </w:r>
      <w:r w:rsidRPr="009B61FF">
        <w:rPr>
          <w:lang w:val="fr-FR"/>
        </w:rPr>
        <w:t>prévention</w:t>
      </w:r>
      <w:r w:rsidRPr="002C5CD3">
        <w:rPr>
          <w:lang w:val="fr-FR"/>
        </w:rPr>
        <w:t xml:space="preserve"> dispose de suffisamment de ressources pour s</w:t>
      </w:r>
      <w:r>
        <w:rPr>
          <w:lang w:val="fr-FR"/>
        </w:rPr>
        <w:t>’</w:t>
      </w:r>
      <w:r w:rsidRPr="002C5CD3">
        <w:rPr>
          <w:lang w:val="fr-FR"/>
        </w:rPr>
        <w:t>acq</w:t>
      </w:r>
      <w:r>
        <w:rPr>
          <w:lang w:val="fr-FR"/>
        </w:rPr>
        <w:t>uitter pleinement de son mandat</w:t>
      </w:r>
      <w:r w:rsidRPr="00607EB4">
        <w:rPr>
          <w:rStyle w:val="Appelnotedebasdep"/>
        </w:rPr>
        <w:footnoteReference w:id="14"/>
      </w:r>
      <w:r>
        <w:rPr>
          <w:lang w:val="fr-FR"/>
        </w:rPr>
        <w:t>.</w:t>
      </w:r>
    </w:p>
    <w:p w:rsidR="00523E02" w:rsidRPr="002C5CD3" w:rsidRDefault="006163BC" w:rsidP="009B61FF">
      <w:pPr>
        <w:pStyle w:val="SingleTxtG"/>
      </w:pPr>
      <w:r>
        <w:t>5.</w:t>
      </w:r>
      <w:r>
        <w:tab/>
      </w:r>
      <w:r w:rsidR="00523E02" w:rsidRPr="002C5CD3">
        <w:t>Eu égard aux précédentes observations finales du Comité (par. 13) et compte tenu de l’adoption par le Sénat</w:t>
      </w:r>
      <w:r w:rsidR="00523E02">
        <w:t>,</w:t>
      </w:r>
      <w:r w:rsidR="00523E02" w:rsidRPr="002C5CD3">
        <w:t xml:space="preserve"> le 19</w:t>
      </w:r>
      <w:r>
        <w:t> juin</w:t>
      </w:r>
      <w:r w:rsidR="00523E02" w:rsidRPr="002C5CD3">
        <w:t xml:space="preserve"> 2017</w:t>
      </w:r>
      <w:r w:rsidR="00523E02">
        <w:t>,</w:t>
      </w:r>
      <w:r w:rsidR="00523E02" w:rsidRPr="002C5CD3">
        <w:t xml:space="preserve"> du nouveau projet de loi organique régissant la formation, l’organisation et le fonctionnement de la Commission nationale des droits de </w:t>
      </w:r>
      <w:r w:rsidR="00523E02" w:rsidRPr="009B61FF">
        <w:rPr>
          <w:lang w:val="fr-FR"/>
        </w:rPr>
        <w:t>l’homme</w:t>
      </w:r>
      <w:r w:rsidR="00523E02" w:rsidRPr="002C5CD3">
        <w:t> :</w:t>
      </w:r>
    </w:p>
    <w:p w:rsidR="00523E02" w:rsidRPr="002C5CD3" w:rsidRDefault="00523E02" w:rsidP="009B61FF">
      <w:pPr>
        <w:pStyle w:val="SingleTxtG"/>
        <w:ind w:firstLine="567"/>
        <w:rPr>
          <w:sz w:val="22"/>
        </w:rPr>
      </w:pPr>
      <w:r w:rsidRPr="002C5CD3">
        <w:t>a)</w:t>
      </w:r>
      <w:r w:rsidRPr="002C5CD3">
        <w:tab/>
      </w:r>
      <w:r>
        <w:t>Préciser</w:t>
      </w:r>
      <w:r w:rsidRPr="002C5CD3">
        <w:t xml:space="preserve"> si les modifications apportées à la loi renforcent l’indépendance de la Commission nationale des droits de l’</w:t>
      </w:r>
      <w:r>
        <w:t>homme</w:t>
      </w:r>
      <w:r w:rsidRPr="00607EB4">
        <w:rPr>
          <w:rStyle w:val="Appelnotedebasdep"/>
        </w:rPr>
        <w:footnoteReference w:id="15"/>
      </w:r>
      <w:r w:rsidRPr="002C5CD3">
        <w:t xml:space="preserve">. </w:t>
      </w:r>
      <w:r>
        <w:t>Indiquer</w:t>
      </w:r>
      <w:r w:rsidRPr="002C5CD3">
        <w:t xml:space="preserve"> aussi quelles mesures ont été mises en place pour répondre aux dernières recommandations du </w:t>
      </w:r>
      <w:r>
        <w:t>Sous-Comité sur l’accréditation de l’Alliance globale des institutions nationales des droits de l’homme </w:t>
      </w:r>
      <w:r w:rsidRPr="002C5CD3">
        <w:t>;</w:t>
      </w:r>
    </w:p>
    <w:p w:rsidR="00523E02" w:rsidRPr="002C5CD3" w:rsidRDefault="00523E02" w:rsidP="009B61FF">
      <w:pPr>
        <w:pStyle w:val="SingleTxtG"/>
        <w:ind w:firstLine="567"/>
        <w:rPr>
          <w:sz w:val="22"/>
        </w:rPr>
      </w:pPr>
      <w:r>
        <w:t>b</w:t>
      </w:r>
      <w:r w:rsidRPr="002C5CD3">
        <w:t>)</w:t>
      </w:r>
      <w:r w:rsidRPr="002C5CD3">
        <w:tab/>
        <w:t>Citer des exemples de recommandations formulées par la Commission nationale des droits de l’</w:t>
      </w:r>
      <w:r>
        <w:t>homme</w:t>
      </w:r>
      <w:r w:rsidRPr="002C5CD3">
        <w:t xml:space="preserve"> concernant la prévention de la</w:t>
      </w:r>
      <w:r>
        <w:t xml:space="preserve"> </w:t>
      </w:r>
      <w:r w:rsidRPr="002C5CD3">
        <w:t xml:space="preserve">torture et des </w:t>
      </w:r>
      <w:r w:rsidRPr="009B61FF">
        <w:rPr>
          <w:lang w:val="fr-FR"/>
        </w:rPr>
        <w:t>mauvais</w:t>
      </w:r>
      <w:r w:rsidRPr="002C5CD3">
        <w:t xml:space="preserve"> traitements qui ont été appliquées par les autorités pendant la période écoulée depuis 2013</w:t>
      </w:r>
      <w:r>
        <w:rPr>
          <w:sz w:val="22"/>
        </w:rPr>
        <w:t>.</w:t>
      </w:r>
    </w:p>
    <w:p w:rsidR="00523E02" w:rsidRPr="002C5CD3" w:rsidRDefault="00523E02" w:rsidP="009B61FF">
      <w:pPr>
        <w:pStyle w:val="SingleTxtG"/>
      </w:pPr>
      <w:r>
        <w:t>6.</w:t>
      </w:r>
      <w:r>
        <w:tab/>
        <w:t>D</w:t>
      </w:r>
      <w:r w:rsidRPr="00505D31">
        <w:t>écrire</w:t>
      </w:r>
      <w:r w:rsidRPr="002C5CD3">
        <w:t xml:space="preserve"> les mesures prises pour qu’une protection efficace contre l’intimidation, les menaces et la détention arbitraire soit offerte aux défenseurs des droits de l’homme. Donner, pour la période écoulée depuis 2013, des statistiques sur le nombre de plaintes pour intimidation, harcèlement ou détention arbitraire des membres de la société civile et sur le résultat des enquêtes </w:t>
      </w:r>
      <w:r w:rsidRPr="009B61FF">
        <w:rPr>
          <w:lang w:val="fr-FR"/>
        </w:rPr>
        <w:t>ouvertes</w:t>
      </w:r>
      <w:r w:rsidRPr="002C5CD3">
        <w:t xml:space="preserve"> sur ces plaintes, ainsi que sur les condamnations et les peines prononcées dans les affaires vraisemblablement lié</w:t>
      </w:r>
      <w:r>
        <w:t>e</w:t>
      </w:r>
      <w:r w:rsidRPr="002C5CD3">
        <w:t>s à leurs activités ou au fait qu’ils avaient dénoncé des violations des droits de l’homme.</w:t>
      </w:r>
    </w:p>
    <w:p w:rsidR="00523E02" w:rsidRPr="002C5CD3" w:rsidRDefault="00523E02" w:rsidP="009B61FF">
      <w:pPr>
        <w:pStyle w:val="SingleTxtG"/>
      </w:pPr>
      <w:r>
        <w:t>7.</w:t>
      </w:r>
      <w:r>
        <w:tab/>
      </w:r>
      <w:r w:rsidRPr="002C5CD3">
        <w:t>Eu égard aux précédentes observations finales du Comité (par.</w:t>
      </w:r>
      <w:r>
        <w:t> </w:t>
      </w:r>
      <w:r w:rsidRPr="002C5CD3">
        <w:t xml:space="preserve">23) et </w:t>
      </w:r>
      <w:r>
        <w:t>aux</w:t>
      </w:r>
      <w:r w:rsidRPr="002C5CD3">
        <w:t xml:space="preserve"> informat</w:t>
      </w:r>
      <w:r>
        <w:t>ions fournies par l’État partie</w:t>
      </w:r>
      <w:r w:rsidRPr="00607EB4">
        <w:rPr>
          <w:rStyle w:val="Appelnotedebasdep"/>
        </w:rPr>
        <w:footnoteReference w:id="16"/>
      </w:r>
      <w:r>
        <w:t>,</w:t>
      </w:r>
      <w:r w:rsidRPr="002C5CD3">
        <w:t xml:space="preserve"> donner de plus amples informations sur les mesures prises pour combattre la violence fondée sur le genre</w:t>
      </w:r>
      <w:r>
        <w:t>.</w:t>
      </w:r>
      <w:r w:rsidRPr="00604A64">
        <w:t xml:space="preserve"> </w:t>
      </w:r>
      <w:r w:rsidRPr="002C5CD3">
        <w:t>Fournir</w:t>
      </w:r>
      <w:r>
        <w:t xml:space="preserve">, en particulier, </w:t>
      </w:r>
      <w:r w:rsidRPr="002C5CD3">
        <w:t xml:space="preserve">des statistiques annuelles, pour la période écoulée depuis 2013, ventilées par type d’infraction, sur le nombre de plaintes déposées et d’allégations enregistrées par la police, sur le nombre de plaintes </w:t>
      </w:r>
      <w:r>
        <w:t>pour</w:t>
      </w:r>
      <w:r w:rsidRPr="002C5CD3">
        <w:t xml:space="preserve"> violence fondée sur le genre qui ont fait l’objet d’une enquête et, parmi elles, le nombre de plaintes qui ont donné lieu à des poursuites et à des condamnations, et sur les peines prononcées dans chaque cas</w:t>
      </w:r>
      <w:r w:rsidRPr="00607EB4">
        <w:rPr>
          <w:rStyle w:val="Appelnotedebasdep"/>
        </w:rPr>
        <w:footnoteReference w:id="17"/>
      </w:r>
      <w:r>
        <w:t>.</w:t>
      </w:r>
    </w:p>
    <w:p w:rsidR="00523E02" w:rsidRPr="002C5CD3" w:rsidRDefault="00523E02" w:rsidP="009B61FF">
      <w:pPr>
        <w:pStyle w:val="SingleTxtG"/>
      </w:pPr>
      <w:r>
        <w:t>8.</w:t>
      </w:r>
      <w:r>
        <w:tab/>
      </w:r>
      <w:r w:rsidRPr="00267CEA">
        <w:t>Eu égard aux précédentes observa</w:t>
      </w:r>
      <w:r>
        <w:t>tions finales du Comité (par. 21</w:t>
      </w:r>
      <w:r w:rsidRPr="00267CEA">
        <w:t xml:space="preserve">) et compte tenu </w:t>
      </w:r>
      <w:r>
        <w:t>de l’adoption de la loi n</w:t>
      </w:r>
      <w:r w:rsidRPr="003752A6">
        <w:rPr>
          <w:vertAlign w:val="superscript"/>
        </w:rPr>
        <w:t>o</w:t>
      </w:r>
      <w:r>
        <w:t xml:space="preserve"> 2015-031 sur </w:t>
      </w:r>
      <w:r w:rsidRPr="009B61FF">
        <w:rPr>
          <w:lang w:val="fr-FR"/>
        </w:rPr>
        <w:t>l’esclavage</w:t>
      </w:r>
      <w:r>
        <w:t>, c</w:t>
      </w:r>
      <w:r w:rsidRPr="0021156A">
        <w:t>ommenter</w:t>
      </w:r>
      <w:r>
        <w:t xml:space="preserve"> les</w:t>
      </w:r>
      <w:r w:rsidRPr="0021156A">
        <w:t xml:space="preserve"> informations alléguant qu</w:t>
      </w:r>
      <w:r>
        <w:t xml:space="preserve">’un grand nombre d’acteurs de la chaîne judiciaire n’entament pas d’enquête suite à des allégations d’esclavage rapportées. Étant donné que la nouvelle loi sur l’esclavage pénalise ceux qui ne font pas le suivi d’une plainte, indiquer le nombre de poursuites pour violation de cette obligation qu’il y a eu depuis l’adoption de la loi. À cet égard, </w:t>
      </w:r>
      <w:r w:rsidRPr="00753F91">
        <w:t>donner des informations à jour, ventilées par âge, sexe et origine ethnique des victimes, sur le nombre de plaintes, d’enquêtes, de poursuites, de condamnations et de peines prononcées dans les affaires d</w:t>
      </w:r>
      <w:r>
        <w:t>’esclavage</w:t>
      </w:r>
      <w:r w:rsidRPr="00753F91">
        <w:t xml:space="preserve"> depuis l’examen du précédent rapport de l’État partie</w:t>
      </w:r>
      <w:r>
        <w:t>. I</w:t>
      </w:r>
      <w:r w:rsidRPr="009B096D">
        <w:t>ndiquer</w:t>
      </w:r>
      <w:r>
        <w:t xml:space="preserve"> </w:t>
      </w:r>
      <w:r w:rsidRPr="009B096D">
        <w:t>également</w:t>
      </w:r>
      <w:r>
        <w:t xml:space="preserve">, </w:t>
      </w:r>
      <w:r w:rsidRPr="009B096D">
        <w:t>pour chaque année</w:t>
      </w:r>
      <w:r>
        <w:t xml:space="preserve"> depuis 2013</w:t>
      </w:r>
      <w:r w:rsidRPr="009B096D">
        <w:t xml:space="preserve">, le nombre d’enquêtes menées sur </w:t>
      </w:r>
      <w:r>
        <w:t xml:space="preserve">ces </w:t>
      </w:r>
      <w:r w:rsidRPr="009B096D">
        <w:t>cas qui ont donné lieu d’office à des poursuites</w:t>
      </w:r>
      <w:r>
        <w:t>, et le nombre de victimes qui ont obtenu réparation.</w:t>
      </w:r>
    </w:p>
    <w:p w:rsidR="00523E02" w:rsidRPr="002C5CD3" w:rsidRDefault="009B61FF" w:rsidP="009B61FF">
      <w:pPr>
        <w:pStyle w:val="H23G"/>
        <w:rPr>
          <w:lang w:val="fr-FR"/>
        </w:rPr>
      </w:pPr>
      <w:r>
        <w:rPr>
          <w:lang w:val="fr-FR"/>
        </w:rPr>
        <w:lastRenderedPageBreak/>
        <w:tab/>
      </w:r>
      <w:r>
        <w:rPr>
          <w:lang w:val="fr-FR"/>
        </w:rPr>
        <w:tab/>
      </w:r>
      <w:r w:rsidR="00523E02" w:rsidRPr="002C5CD3">
        <w:rPr>
          <w:lang w:val="fr-FR"/>
        </w:rPr>
        <w:t>Article 3</w:t>
      </w:r>
    </w:p>
    <w:p w:rsidR="00523E02" w:rsidRPr="002C5CD3" w:rsidRDefault="00523E02" w:rsidP="009B61FF">
      <w:pPr>
        <w:pStyle w:val="SingleTxtG"/>
        <w:rPr>
          <w:lang w:val="fr-FR"/>
        </w:rPr>
      </w:pPr>
      <w:r>
        <w:rPr>
          <w:lang w:val="fr-FR"/>
        </w:rPr>
        <w:t>9.</w:t>
      </w:r>
      <w:r>
        <w:rPr>
          <w:lang w:val="fr-FR"/>
        </w:rPr>
        <w:tab/>
      </w:r>
      <w:r w:rsidRPr="002C5CD3">
        <w:rPr>
          <w:lang w:val="fr-FR"/>
        </w:rPr>
        <w:t>Compte tenu des précédentes observations finales du Comité (par. 16)</w:t>
      </w:r>
      <w:r>
        <w:rPr>
          <w:lang w:val="fr-FR"/>
        </w:rPr>
        <w:t xml:space="preserve"> </w:t>
      </w:r>
      <w:r w:rsidRPr="002C5CD3">
        <w:rPr>
          <w:lang w:val="fr-FR"/>
        </w:rPr>
        <w:t xml:space="preserve">et des informations </w:t>
      </w:r>
      <w:r w:rsidRPr="00505D31">
        <w:t>données</w:t>
      </w:r>
      <w:r w:rsidRPr="002C5CD3">
        <w:rPr>
          <w:lang w:val="fr-FR"/>
        </w:rPr>
        <w:t xml:space="preserve"> par</w:t>
      </w:r>
      <w:r>
        <w:rPr>
          <w:lang w:val="fr-FR"/>
        </w:rPr>
        <w:t xml:space="preserve"> l’</w:t>
      </w:r>
      <w:r>
        <w:t>É</w:t>
      </w:r>
      <w:r>
        <w:rPr>
          <w:lang w:val="fr-FR"/>
        </w:rPr>
        <w:t>tat partie dans son rapport</w:t>
      </w:r>
      <w:r w:rsidRPr="00607EB4">
        <w:rPr>
          <w:rStyle w:val="Appelnotedebasdep"/>
        </w:rPr>
        <w:footnoteReference w:id="18"/>
      </w:r>
      <w:r>
        <w:rPr>
          <w:lang w:val="fr-FR"/>
        </w:rPr>
        <w:t>,</w:t>
      </w:r>
      <w:r w:rsidRPr="002C5CD3">
        <w:rPr>
          <w:lang w:val="fr-FR"/>
        </w:rPr>
        <w:t xml:space="preserve"> fournir, pour la période écoulée depuis 2013, des données ventilées par année sur :</w:t>
      </w:r>
    </w:p>
    <w:p w:rsidR="00523E02" w:rsidRPr="002C5CD3" w:rsidRDefault="00523E02" w:rsidP="009B61FF">
      <w:pPr>
        <w:pStyle w:val="SingleTxtG"/>
        <w:ind w:firstLine="567"/>
        <w:rPr>
          <w:lang w:val="fr-FR"/>
        </w:rPr>
      </w:pPr>
      <w:r>
        <w:rPr>
          <w:lang w:val="fr-FR"/>
        </w:rPr>
        <w:t>a)</w:t>
      </w:r>
      <w:r>
        <w:rPr>
          <w:lang w:val="fr-FR"/>
        </w:rPr>
        <w:tab/>
      </w:r>
      <w:r w:rsidRPr="002C5CD3">
        <w:rPr>
          <w:lang w:val="fr-FR"/>
        </w:rPr>
        <w:t xml:space="preserve">Le nombre de recours </w:t>
      </w:r>
      <w:r w:rsidRPr="002C5CD3">
        <w:rPr>
          <w:lang w:val="fr-FR" w:bidi="ar-DZ"/>
        </w:rPr>
        <w:t xml:space="preserve">contre les décisions d’expulsion présentés et le nombre </w:t>
      </w:r>
      <w:r w:rsidRPr="002C5CD3">
        <w:rPr>
          <w:lang w:val="fr-FR"/>
        </w:rPr>
        <w:t xml:space="preserve">d’annulations de renvoi ou </w:t>
      </w:r>
      <w:r>
        <w:rPr>
          <w:lang w:val="fr-FR"/>
        </w:rPr>
        <w:t>d’</w:t>
      </w:r>
      <w:r w:rsidRPr="002C5CD3">
        <w:rPr>
          <w:lang w:val="fr-FR"/>
        </w:rPr>
        <w:t xml:space="preserve">expulsion prononcées par les tribunaux </w:t>
      </w:r>
      <w:r w:rsidRPr="002C5CD3">
        <w:t>sur le fondement que les requérants avaient subi ou risquaient de subir la tor</w:t>
      </w:r>
      <w:r>
        <w:t>ture en cas de renvoi/expulsion ;</w:t>
      </w:r>
    </w:p>
    <w:p w:rsidR="00523E02" w:rsidRPr="002C5CD3" w:rsidRDefault="00523E02" w:rsidP="009B61FF">
      <w:pPr>
        <w:pStyle w:val="SingleTxtG"/>
        <w:ind w:firstLine="567"/>
      </w:pPr>
      <w:r>
        <w:rPr>
          <w:lang w:val="fr-FR"/>
        </w:rPr>
        <w:t>b)</w:t>
      </w:r>
      <w:r>
        <w:rPr>
          <w:lang w:val="fr-FR"/>
        </w:rPr>
        <w:tab/>
      </w:r>
      <w:r w:rsidRPr="002C5CD3">
        <w:rPr>
          <w:lang w:val="fr-FR"/>
        </w:rPr>
        <w:t xml:space="preserve">Le </w:t>
      </w:r>
      <w:r w:rsidRPr="002C5CD3">
        <w:t xml:space="preserve">pourcentage de cas dans lesquels une aide judiciaire gratuite a été accordée à des demandeurs d’asile </w:t>
      </w:r>
      <w:r w:rsidRPr="002C5CD3">
        <w:rPr>
          <w:lang w:val="fr-FR"/>
        </w:rPr>
        <w:t>et aux personnes faisant l’objet d’une mesure d’extradition ou d’expulsion</w:t>
      </w:r>
      <w:r w:rsidRPr="002C5CD3">
        <w:t>.</w:t>
      </w:r>
    </w:p>
    <w:p w:rsidR="00523E02" w:rsidRPr="002C5CD3" w:rsidRDefault="00523E02" w:rsidP="009B61FF">
      <w:pPr>
        <w:pStyle w:val="SingleTxtG"/>
        <w:rPr>
          <w:lang w:val="fr-FR"/>
        </w:rPr>
      </w:pPr>
      <w:r>
        <w:rPr>
          <w:lang w:val="fr-FR"/>
        </w:rPr>
        <w:t>10.</w:t>
      </w:r>
      <w:r>
        <w:rPr>
          <w:lang w:val="fr-FR"/>
        </w:rPr>
        <w:tab/>
      </w:r>
      <w:r w:rsidR="008E2DE7" w:rsidRPr="00505D31">
        <w:t>Fournir</w:t>
      </w:r>
      <w:r w:rsidR="008E2DE7" w:rsidRPr="002C5CD3">
        <w:rPr>
          <w:lang w:val="fr-FR"/>
        </w:rPr>
        <w:t xml:space="preserve"> </w:t>
      </w:r>
      <w:r w:rsidRPr="002C5CD3">
        <w:rPr>
          <w:lang w:val="fr-FR"/>
        </w:rPr>
        <w:t xml:space="preserve">des données </w:t>
      </w:r>
      <w:r w:rsidRPr="009B61FF">
        <w:rPr>
          <w:lang w:val="fr-FR"/>
        </w:rPr>
        <w:t>statistiques</w:t>
      </w:r>
      <w:r w:rsidRPr="002C5CD3">
        <w:rPr>
          <w:lang w:val="fr-FR"/>
        </w:rPr>
        <w:t xml:space="preserve"> pour la période écoulée depuis 2013, ventilées par année et pays d’origine, concernant :</w:t>
      </w:r>
    </w:p>
    <w:p w:rsidR="00523E02" w:rsidRPr="002C5CD3" w:rsidRDefault="00523E02" w:rsidP="009B61FF">
      <w:pPr>
        <w:pStyle w:val="SingleTxtG"/>
        <w:ind w:firstLine="567"/>
        <w:rPr>
          <w:lang w:val="fr-FR"/>
        </w:rPr>
      </w:pPr>
      <w:r w:rsidRPr="002C5CD3">
        <w:rPr>
          <w:lang w:val="fr-FR"/>
        </w:rPr>
        <w:t>a)</w:t>
      </w:r>
      <w:r w:rsidRPr="002C5CD3">
        <w:rPr>
          <w:lang w:val="fr-FR"/>
        </w:rPr>
        <w:tab/>
        <w:t xml:space="preserve">Le nombre de </w:t>
      </w:r>
      <w:r w:rsidRPr="000A20DD">
        <w:t>demandes</w:t>
      </w:r>
      <w:r w:rsidRPr="002C5CD3">
        <w:rPr>
          <w:lang w:val="fr-FR"/>
        </w:rPr>
        <w:t xml:space="preserve"> d’asile enregistrées ;</w:t>
      </w:r>
    </w:p>
    <w:p w:rsidR="00523E02" w:rsidRPr="002C5CD3" w:rsidRDefault="00523E02" w:rsidP="009B61FF">
      <w:pPr>
        <w:pStyle w:val="SingleTxtG"/>
        <w:ind w:firstLine="567"/>
        <w:rPr>
          <w:lang w:val="fr-FR"/>
        </w:rPr>
      </w:pPr>
      <w:r w:rsidRPr="002C5CD3">
        <w:rPr>
          <w:lang w:val="fr-FR"/>
        </w:rPr>
        <w:t>b)</w:t>
      </w:r>
      <w:r w:rsidRPr="002C5CD3">
        <w:rPr>
          <w:lang w:val="fr-FR"/>
        </w:rPr>
        <w:tab/>
        <w:t>Le nombre de demandes d’asile, de statut de réfugié ou d’autres formes de protection humanitaire qui ont été acceptées</w:t>
      </w:r>
      <w:r>
        <w:rPr>
          <w:lang w:val="fr-FR"/>
        </w:rPr>
        <w:t> </w:t>
      </w:r>
      <w:r w:rsidRPr="002C5CD3">
        <w:rPr>
          <w:lang w:val="fr-FR"/>
        </w:rPr>
        <w:t>;</w:t>
      </w:r>
    </w:p>
    <w:p w:rsidR="00523E02" w:rsidRPr="002C5CD3" w:rsidRDefault="00523E02" w:rsidP="009B61FF">
      <w:pPr>
        <w:pStyle w:val="SingleTxtG"/>
        <w:ind w:firstLine="567"/>
        <w:rPr>
          <w:lang w:val="fr-FR"/>
        </w:rPr>
      </w:pPr>
      <w:r>
        <w:rPr>
          <w:lang w:val="fr-FR"/>
        </w:rPr>
        <w:t>c</w:t>
      </w:r>
      <w:r w:rsidRPr="002C5CD3">
        <w:rPr>
          <w:lang w:val="fr-FR"/>
        </w:rPr>
        <w:t>)</w:t>
      </w:r>
      <w:r w:rsidRPr="002C5CD3">
        <w:rPr>
          <w:lang w:val="fr-FR"/>
        </w:rPr>
        <w:tab/>
        <w:t>Le nombre de personnes extradées, expulsées ou renvoyées et les pays vers lesquels elles l’ont été.</w:t>
      </w:r>
    </w:p>
    <w:p w:rsidR="00523E02" w:rsidRDefault="00523E02" w:rsidP="009B61FF">
      <w:pPr>
        <w:pStyle w:val="SingleTxtG"/>
        <w:rPr>
          <w:lang w:val="fr-FR"/>
        </w:rPr>
      </w:pPr>
      <w:r>
        <w:rPr>
          <w:lang w:val="fr-FR"/>
        </w:rPr>
        <w:t>11.</w:t>
      </w:r>
      <w:r>
        <w:rPr>
          <w:lang w:val="fr-FR"/>
        </w:rPr>
        <w:tab/>
        <w:t>C</w:t>
      </w:r>
      <w:r w:rsidRPr="002C5CD3">
        <w:rPr>
          <w:lang w:val="fr-FR"/>
        </w:rPr>
        <w:t xml:space="preserve">ommenter les informations selon lesquelles il serait procédé à des expulsions de </w:t>
      </w:r>
      <w:r w:rsidRPr="00505D31">
        <w:t>migrants</w:t>
      </w:r>
      <w:r w:rsidRPr="002C5CD3">
        <w:rPr>
          <w:lang w:val="fr-FR"/>
        </w:rPr>
        <w:t xml:space="preserve"> en situation </w:t>
      </w:r>
      <w:r w:rsidRPr="000A20DD">
        <w:t>irrégulière</w:t>
      </w:r>
      <w:r>
        <w:rPr>
          <w:lang w:val="fr-FR"/>
        </w:rPr>
        <w:t xml:space="preserve"> vers le Sénégal</w:t>
      </w:r>
      <w:r w:rsidRPr="00607EB4">
        <w:rPr>
          <w:rStyle w:val="Appelnotedebasdep"/>
        </w:rPr>
        <w:footnoteReference w:id="19"/>
      </w:r>
      <w:r>
        <w:rPr>
          <w:lang w:val="fr-FR"/>
        </w:rPr>
        <w:t>,</w:t>
      </w:r>
      <w:r w:rsidRPr="002C5CD3">
        <w:rPr>
          <w:lang w:val="fr-FR"/>
        </w:rPr>
        <w:t xml:space="preserve"> et indiquer si les personnes expulsées ont eu accès à un recours pour contester la décision d’expulsion. </w:t>
      </w:r>
    </w:p>
    <w:p w:rsidR="00523E02" w:rsidRPr="002C5CD3" w:rsidRDefault="00523E02" w:rsidP="009B61FF">
      <w:pPr>
        <w:pStyle w:val="SingleTxtG"/>
        <w:rPr>
          <w:lang w:val="fr-FR"/>
        </w:rPr>
      </w:pPr>
      <w:r>
        <w:rPr>
          <w:lang w:val="fr-FR"/>
        </w:rPr>
        <w:t>12.</w:t>
      </w:r>
      <w:r>
        <w:rPr>
          <w:lang w:val="fr-FR"/>
        </w:rPr>
        <w:tab/>
        <w:t>Indiquer</w:t>
      </w:r>
      <w:r w:rsidRPr="002C5CD3">
        <w:rPr>
          <w:lang w:val="fr-FR"/>
        </w:rPr>
        <w:t xml:space="preserve"> aussi si des enquêtes ont été ouvertes</w:t>
      </w:r>
      <w:r>
        <w:rPr>
          <w:lang w:val="fr-FR"/>
        </w:rPr>
        <w:t>,</w:t>
      </w:r>
      <w:r w:rsidRPr="002C5CD3">
        <w:rPr>
          <w:lang w:val="fr-FR"/>
        </w:rPr>
        <w:t xml:space="preserve"> </w:t>
      </w:r>
      <w:r w:rsidRPr="002C5CD3">
        <w:t>et les</w:t>
      </w:r>
      <w:r>
        <w:t xml:space="preserve"> </w:t>
      </w:r>
      <w:r w:rsidRPr="002C5CD3">
        <w:t>résultats de ces enquêtes,</w:t>
      </w:r>
      <w:r>
        <w:t xml:space="preserve"> </w:t>
      </w:r>
      <w:r w:rsidRPr="002C5CD3">
        <w:rPr>
          <w:lang w:val="fr-FR"/>
        </w:rPr>
        <w:t>concern</w:t>
      </w:r>
      <w:r>
        <w:rPr>
          <w:lang w:val="fr-FR"/>
        </w:rPr>
        <w:t>ant des allégations de violences,</w:t>
      </w:r>
      <w:r w:rsidRPr="002C5CD3">
        <w:rPr>
          <w:lang w:val="fr-FR"/>
        </w:rPr>
        <w:t xml:space="preserve"> et même de tirs à balle réelle, </w:t>
      </w:r>
      <w:r>
        <w:rPr>
          <w:lang w:val="fr-FR"/>
        </w:rPr>
        <w:t xml:space="preserve">commises </w:t>
      </w:r>
      <w:r w:rsidRPr="002C5CD3">
        <w:rPr>
          <w:lang w:val="fr-FR"/>
        </w:rPr>
        <w:t xml:space="preserve">contre des pêcheurs étrangers </w:t>
      </w:r>
      <w:r>
        <w:rPr>
          <w:lang w:val="fr-FR"/>
        </w:rPr>
        <w:t>sur d</w:t>
      </w:r>
      <w:r w:rsidRPr="002C5CD3">
        <w:rPr>
          <w:lang w:val="fr-FR"/>
        </w:rPr>
        <w:t>es navires mauritaniens par la brigade chargée du contrôle des étrangers et les garde</w:t>
      </w:r>
      <w:r>
        <w:rPr>
          <w:lang w:val="fr-FR"/>
        </w:rPr>
        <w:t>-</w:t>
      </w:r>
      <w:r w:rsidRPr="002C5CD3">
        <w:rPr>
          <w:lang w:val="fr-FR"/>
        </w:rPr>
        <w:t>côtes mauritaniens</w:t>
      </w:r>
      <w:r>
        <w:rPr>
          <w:lang w:val="fr-FR"/>
        </w:rPr>
        <w:t>.</w:t>
      </w:r>
    </w:p>
    <w:p w:rsidR="00523E02" w:rsidRPr="002C5CD3" w:rsidRDefault="00523E02" w:rsidP="009B61FF">
      <w:pPr>
        <w:pStyle w:val="H23G"/>
        <w:rPr>
          <w:lang w:val="fr-FR"/>
        </w:rPr>
      </w:pPr>
      <w:r>
        <w:rPr>
          <w:lang w:val="fr-FR"/>
        </w:rPr>
        <w:tab/>
      </w:r>
      <w:r>
        <w:rPr>
          <w:lang w:val="fr-FR"/>
        </w:rPr>
        <w:tab/>
      </w:r>
      <w:r w:rsidRPr="002C5CD3">
        <w:rPr>
          <w:lang w:val="fr-FR"/>
        </w:rPr>
        <w:t>Articles 5 à 9</w:t>
      </w:r>
    </w:p>
    <w:p w:rsidR="00523E02" w:rsidRPr="002C5CD3" w:rsidRDefault="008E2DE7" w:rsidP="009B61FF">
      <w:pPr>
        <w:pStyle w:val="SingleTxtG"/>
      </w:pPr>
      <w:r>
        <w:rPr>
          <w:lang w:val="fr-FR"/>
        </w:rPr>
        <w:t>13.</w:t>
      </w:r>
      <w:r>
        <w:rPr>
          <w:lang w:val="fr-FR"/>
        </w:rPr>
        <w:tab/>
      </w:r>
      <w:r w:rsidRPr="00505D31">
        <w:t>Indiquer</w:t>
      </w:r>
      <w:r w:rsidRPr="002C5CD3">
        <w:rPr>
          <w:lang w:val="fr-FR"/>
        </w:rPr>
        <w:t xml:space="preserve"> </w:t>
      </w:r>
      <w:r w:rsidR="00523E02" w:rsidRPr="002C5CD3">
        <w:rPr>
          <w:lang w:val="fr-FR"/>
        </w:rPr>
        <w:t>si l’État partie a rejeté, pour quelque motif que ce soit, une demande d’extradition émanant d’un autre État réclamant un individu soupçonné d’avoir commis des actes de torture et a, partant, fait le nécessaire pour exercer lui-même l’action pénale. Dans l’affirmative, fournir des informations sur l’état d’avancement ou l’issue de la procédure.</w:t>
      </w:r>
    </w:p>
    <w:p w:rsidR="00523E02" w:rsidRPr="002C5CD3" w:rsidRDefault="00523E02" w:rsidP="009B61FF">
      <w:pPr>
        <w:pStyle w:val="H23G"/>
      </w:pPr>
      <w:r>
        <w:rPr>
          <w:lang w:val="fr-FR"/>
        </w:rPr>
        <w:tab/>
      </w:r>
      <w:r>
        <w:rPr>
          <w:lang w:val="fr-FR"/>
        </w:rPr>
        <w:tab/>
      </w:r>
      <w:r w:rsidRPr="002C5CD3">
        <w:rPr>
          <w:lang w:val="fr-FR"/>
        </w:rPr>
        <w:t>Article 10</w:t>
      </w:r>
    </w:p>
    <w:p w:rsidR="00523E02" w:rsidRPr="002C5CD3" w:rsidRDefault="00523E02" w:rsidP="009B61FF">
      <w:pPr>
        <w:pStyle w:val="SingleTxtG"/>
        <w:rPr>
          <w:iCs/>
          <w:lang w:eastAsia="fr-FR"/>
        </w:rPr>
      </w:pPr>
      <w:r>
        <w:rPr>
          <w:lang w:val="fr-FR"/>
        </w:rPr>
        <w:t>14.</w:t>
      </w:r>
      <w:r>
        <w:rPr>
          <w:lang w:val="fr-FR"/>
        </w:rPr>
        <w:tab/>
      </w:r>
      <w:r w:rsidRPr="002C5CD3">
        <w:rPr>
          <w:lang w:val="fr-FR"/>
        </w:rPr>
        <w:t xml:space="preserve">Eu égard aux </w:t>
      </w:r>
      <w:r w:rsidRPr="00505D31">
        <w:t>précédentes</w:t>
      </w:r>
      <w:r w:rsidRPr="002C5CD3">
        <w:rPr>
          <w:lang w:val="fr-FR"/>
        </w:rPr>
        <w:t xml:space="preserve"> observations finales du Comité (par. 17) et aux renseignements fournis par l’État partie dans son rapport</w:t>
      </w:r>
      <w:r w:rsidRPr="00607EB4">
        <w:rPr>
          <w:rStyle w:val="Appelnotedebasdep"/>
        </w:rPr>
        <w:footnoteReference w:id="20"/>
      </w:r>
      <w:r w:rsidRPr="002C5CD3">
        <w:rPr>
          <w:lang w:val="fr-FR"/>
        </w:rPr>
        <w:t>, indiquer si toute personne susceptible d’intervenir dans la surveillance, l’interrogatoire ou le traitement des personnes privées de liberté reçoit une formation</w:t>
      </w:r>
      <w:r w:rsidRPr="00607EB4">
        <w:rPr>
          <w:rStyle w:val="Appelnotedebasdep"/>
        </w:rPr>
        <w:footnoteReference w:id="21"/>
      </w:r>
      <w:r w:rsidRPr="002C5CD3">
        <w:t xml:space="preserve"> sur</w:t>
      </w:r>
      <w:r>
        <w:t> </w:t>
      </w:r>
      <w:r w:rsidRPr="002C5CD3">
        <w:t>:</w:t>
      </w:r>
    </w:p>
    <w:p w:rsidR="00523E02" w:rsidRPr="002C5CD3" w:rsidRDefault="00523E02" w:rsidP="009B61FF">
      <w:pPr>
        <w:pStyle w:val="SingleTxtG"/>
        <w:ind w:firstLine="567"/>
      </w:pPr>
      <w:r>
        <w:t>a)</w:t>
      </w:r>
      <w:r>
        <w:tab/>
      </w:r>
      <w:r w:rsidRPr="002C5CD3">
        <w:t xml:space="preserve">Les </w:t>
      </w:r>
      <w:r w:rsidRPr="009B61FF">
        <w:rPr>
          <w:lang w:val="fr-FR"/>
        </w:rPr>
        <w:t>dispositions</w:t>
      </w:r>
      <w:r w:rsidRPr="002C5CD3">
        <w:t xml:space="preserve"> de la Convention et de la loi </w:t>
      </w:r>
      <w:r w:rsidRPr="003752A6">
        <w:t>relative à la lutte contre la torture</w:t>
      </w:r>
      <w:r>
        <w:t> ;</w:t>
      </w:r>
      <w:r w:rsidRPr="002C5CD3">
        <w:t xml:space="preserve"> </w:t>
      </w:r>
    </w:p>
    <w:p w:rsidR="00523E02" w:rsidRPr="002C5CD3" w:rsidRDefault="00523E02" w:rsidP="009B61FF">
      <w:pPr>
        <w:pStyle w:val="SingleTxtG"/>
        <w:ind w:firstLine="567"/>
      </w:pPr>
      <w:r>
        <w:t>b)</w:t>
      </w:r>
      <w:r>
        <w:tab/>
      </w:r>
      <w:r w:rsidRPr="002C5CD3">
        <w:t xml:space="preserve">Les techniques d’enquête et de contention non coercitives, ainsi que le principe qui veut que l’on n’ait recours à </w:t>
      </w:r>
      <w:r>
        <w:t xml:space="preserve">la force qu’en </w:t>
      </w:r>
      <w:r w:rsidRPr="009B61FF">
        <w:rPr>
          <w:lang w:val="fr-FR"/>
        </w:rPr>
        <w:t>dernier</w:t>
      </w:r>
      <w:r>
        <w:t xml:space="preserve"> ressort</w:t>
      </w:r>
      <w:r w:rsidRPr="00607EB4">
        <w:rPr>
          <w:rStyle w:val="Appelnotedebasdep"/>
        </w:rPr>
        <w:footnoteReference w:id="22"/>
      </w:r>
      <w:r>
        <w:t> ;</w:t>
      </w:r>
    </w:p>
    <w:p w:rsidR="00523E02" w:rsidRPr="002C5CD3" w:rsidRDefault="00523E02" w:rsidP="009B61FF">
      <w:pPr>
        <w:pStyle w:val="SingleTxtG"/>
        <w:ind w:firstLine="567"/>
      </w:pPr>
      <w:r>
        <w:t>c)</w:t>
      </w:r>
      <w:r>
        <w:tab/>
      </w:r>
      <w:r w:rsidRPr="002C5CD3">
        <w:t xml:space="preserve">Les </w:t>
      </w:r>
      <w:r w:rsidRPr="009B61FF">
        <w:rPr>
          <w:lang w:val="fr-FR"/>
        </w:rPr>
        <w:t>directives</w:t>
      </w:r>
      <w:r w:rsidRPr="002C5CD3">
        <w:t xml:space="preserve"> relatives à la détection des séquelles de torture et de mauvais traitements fondées sur les normes définies dans le Manuel pour enquêter efficacement sur la torture et autres peines ou traitements cruels, inhumains ou dégradants (Protocole d’Istanbul)</w:t>
      </w:r>
      <w:r w:rsidRPr="00607EB4">
        <w:rPr>
          <w:rStyle w:val="Appelnotedebasdep"/>
        </w:rPr>
        <w:footnoteReference w:id="23"/>
      </w:r>
      <w:r>
        <w:t>.</w:t>
      </w:r>
    </w:p>
    <w:p w:rsidR="00523E02" w:rsidRPr="002C5CD3" w:rsidRDefault="00523E02" w:rsidP="009B61FF">
      <w:pPr>
        <w:pStyle w:val="H23G"/>
        <w:rPr>
          <w:lang w:val="fr-FR"/>
        </w:rPr>
      </w:pPr>
      <w:r w:rsidRPr="002C5CD3">
        <w:lastRenderedPageBreak/>
        <w:tab/>
      </w:r>
      <w:r w:rsidRPr="002C5CD3">
        <w:tab/>
      </w:r>
      <w:r w:rsidRPr="002C5CD3">
        <w:rPr>
          <w:lang w:val="fr-FR"/>
        </w:rPr>
        <w:t>Article 11</w:t>
      </w:r>
    </w:p>
    <w:p w:rsidR="00523E02" w:rsidRPr="00D9336B" w:rsidRDefault="00523E02" w:rsidP="009B61FF">
      <w:pPr>
        <w:pStyle w:val="SingleTxtG"/>
      </w:pPr>
      <w:r>
        <w:rPr>
          <w:lang w:val="fr-FR"/>
        </w:rPr>
        <w:t>15.</w:t>
      </w:r>
      <w:r>
        <w:rPr>
          <w:lang w:val="fr-FR"/>
        </w:rPr>
        <w:tab/>
      </w:r>
      <w:r w:rsidRPr="002C5CD3">
        <w:rPr>
          <w:lang w:val="fr-FR"/>
        </w:rPr>
        <w:t>Compte tenu des précédentes observations finales du Comité (par. 22) et des informations selon lesquelles des personnes soupçonnées de terrorisme ou d’une infraction connexe étaient souvent détenues dans des lieux de détention officieux pour y être interrogées</w:t>
      </w:r>
      <w:r w:rsidRPr="00607EB4">
        <w:rPr>
          <w:rStyle w:val="Appelnotedebasdep"/>
        </w:rPr>
        <w:footnoteReference w:id="24"/>
      </w:r>
      <w:r w:rsidRPr="002C5CD3">
        <w:rPr>
          <w:lang w:val="fr-FR"/>
        </w:rPr>
        <w:t>, indiquer si des enquêtes ont été ouvertes sur l’utilisation présumée de</w:t>
      </w:r>
      <w:r>
        <w:rPr>
          <w:lang w:val="fr-FR"/>
        </w:rPr>
        <w:t xml:space="preserve"> </w:t>
      </w:r>
      <w:r w:rsidRPr="002C5CD3">
        <w:rPr>
          <w:lang w:val="fr-FR"/>
        </w:rPr>
        <w:t xml:space="preserve">centres de détention non officiels comme, par exemple, le </w:t>
      </w:r>
      <w:r w:rsidRPr="002C5CD3">
        <w:t>sous-sol du commissariat de police du 4</w:t>
      </w:r>
      <w:r w:rsidRPr="003752A6">
        <w:rPr>
          <w:vertAlign w:val="superscript"/>
        </w:rPr>
        <w:t>e</w:t>
      </w:r>
      <w:r w:rsidRPr="002C5CD3">
        <w:t xml:space="preserve"> arrondiss</w:t>
      </w:r>
      <w:r>
        <w:t>ement de Nouakchott.</w:t>
      </w:r>
      <w:r w:rsidRPr="002C5CD3">
        <w:t xml:space="preserve"> Si tel est le cas, </w:t>
      </w:r>
      <w:r w:rsidRPr="002C5CD3">
        <w:rPr>
          <w:lang w:val="fr-FR"/>
        </w:rPr>
        <w:t xml:space="preserve">décrire le résultat auquel ces enquêtes ont abouti. </w:t>
      </w:r>
      <w:r>
        <w:rPr>
          <w:lang w:val="fr-FR"/>
        </w:rPr>
        <w:t>Indiquer si l’</w:t>
      </w:r>
      <w:r>
        <w:t>É</w:t>
      </w:r>
      <w:r>
        <w:rPr>
          <w:lang w:val="fr-FR"/>
        </w:rPr>
        <w:t>tat a ouvert des enquêtes sur les allégations de détention arbitraire du</w:t>
      </w:r>
      <w:r>
        <w:rPr>
          <w:lang w:val="fr-FR" w:bidi="ar-DZ"/>
        </w:rPr>
        <w:t xml:space="preserve"> sénateur Mohamed Ould Ghadda, arrêté à son domicile le 10</w:t>
      </w:r>
      <w:r w:rsidR="006163BC">
        <w:rPr>
          <w:lang w:val="fr-FR" w:bidi="ar-DZ"/>
        </w:rPr>
        <w:t> août</w:t>
      </w:r>
      <w:r w:rsidRPr="008D07B0">
        <w:rPr>
          <w:lang w:val="fr-FR" w:bidi="ar-DZ"/>
        </w:rPr>
        <w:t xml:space="preserve"> 2017</w:t>
      </w:r>
      <w:r>
        <w:rPr>
          <w:lang w:val="fr-FR" w:bidi="ar-DZ"/>
        </w:rPr>
        <w:t xml:space="preserve">, et de </w:t>
      </w:r>
      <w:r w:rsidRPr="00192FA6">
        <w:rPr>
          <w:lang w:val="fr-FR"/>
        </w:rPr>
        <w:t>Mohamed Ould Israël</w:t>
      </w:r>
      <w:r>
        <w:rPr>
          <w:lang w:val="fr-FR"/>
        </w:rPr>
        <w:t xml:space="preserve">, </w:t>
      </w:r>
      <w:r w:rsidRPr="00192FA6">
        <w:rPr>
          <w:lang w:val="fr-FR"/>
        </w:rPr>
        <w:t xml:space="preserve">extradé des </w:t>
      </w:r>
      <w:r w:rsidR="008E2DE7" w:rsidRPr="00192FA6">
        <w:rPr>
          <w:lang w:val="fr-FR"/>
        </w:rPr>
        <w:t xml:space="preserve">Émirats </w:t>
      </w:r>
      <w:r w:rsidRPr="00192FA6">
        <w:rPr>
          <w:lang w:val="fr-FR"/>
        </w:rPr>
        <w:t>arabes unis</w:t>
      </w:r>
      <w:r w:rsidRPr="0009213D">
        <w:rPr>
          <w:lang w:val="fr-FR"/>
        </w:rPr>
        <w:t xml:space="preserve"> </w:t>
      </w:r>
      <w:r>
        <w:rPr>
          <w:lang w:val="fr-FR"/>
        </w:rPr>
        <w:t>l</w:t>
      </w:r>
      <w:r w:rsidRPr="00192FA6">
        <w:rPr>
          <w:lang w:val="fr-FR"/>
        </w:rPr>
        <w:t>e 18</w:t>
      </w:r>
      <w:r w:rsidR="006163BC">
        <w:rPr>
          <w:lang w:val="fr-FR"/>
        </w:rPr>
        <w:t> février</w:t>
      </w:r>
      <w:r w:rsidRPr="00192FA6">
        <w:rPr>
          <w:lang w:val="fr-FR"/>
        </w:rPr>
        <w:t xml:space="preserve"> 2016</w:t>
      </w:r>
      <w:r>
        <w:rPr>
          <w:lang w:val="fr-FR"/>
        </w:rPr>
        <w:t xml:space="preserve"> et détenu dans un lieu inconnu.</w:t>
      </w:r>
    </w:p>
    <w:p w:rsidR="00523E02" w:rsidRPr="002C5CD3" w:rsidRDefault="00523E02" w:rsidP="009B61FF">
      <w:pPr>
        <w:pStyle w:val="SingleTxtG"/>
        <w:rPr>
          <w:lang w:val="fr-FR"/>
        </w:rPr>
      </w:pPr>
      <w:r>
        <w:rPr>
          <w:lang w:val="fr-FR"/>
        </w:rPr>
        <w:t>16.</w:t>
      </w:r>
      <w:r>
        <w:rPr>
          <w:lang w:val="fr-FR"/>
        </w:rPr>
        <w:tab/>
      </w:r>
      <w:r w:rsidRPr="002C5CD3">
        <w:rPr>
          <w:lang w:val="fr-FR"/>
        </w:rPr>
        <w:t>Compte tenu des précédentes observations finales du Comité (par. 22) et des informations contenues dans le rapport de l’État partie</w:t>
      </w:r>
      <w:r w:rsidRPr="00607EB4">
        <w:rPr>
          <w:rStyle w:val="Appelnotedebasdep"/>
        </w:rPr>
        <w:footnoteReference w:id="25"/>
      </w:r>
      <w:r w:rsidRPr="002C5CD3">
        <w:rPr>
          <w:lang w:val="fr-FR"/>
        </w:rPr>
        <w:t>,</w:t>
      </w:r>
      <w:r>
        <w:rPr>
          <w:lang w:val="fr-FR"/>
        </w:rPr>
        <w:t xml:space="preserve"> </w:t>
      </w:r>
      <w:r w:rsidRPr="002C5CD3">
        <w:rPr>
          <w:lang w:val="fr-FR"/>
        </w:rPr>
        <w:t>fournir, pour la période écoulée depuis 2013</w:t>
      </w:r>
      <w:r>
        <w:rPr>
          <w:lang w:val="fr-FR"/>
        </w:rPr>
        <w:t> </w:t>
      </w:r>
      <w:r w:rsidRPr="002C5CD3">
        <w:rPr>
          <w:lang w:val="fr-FR"/>
        </w:rPr>
        <w:t>:</w:t>
      </w:r>
    </w:p>
    <w:p w:rsidR="00523E02" w:rsidRPr="002C5CD3" w:rsidRDefault="00523E02" w:rsidP="009B61FF">
      <w:pPr>
        <w:pStyle w:val="SingleTxtG"/>
        <w:ind w:firstLine="567"/>
        <w:rPr>
          <w:lang w:val="fr-FR"/>
        </w:rPr>
      </w:pPr>
      <w:r>
        <w:t>a)</w:t>
      </w:r>
      <w:r>
        <w:tab/>
      </w:r>
      <w:r w:rsidRPr="002C5CD3">
        <w:rPr>
          <w:lang w:val="fr-FR"/>
        </w:rPr>
        <w:t xml:space="preserve">Des données statistiques annuelles, ventilées par lieu de détention, sur la capacité d’accueil et le taux d’occupation de tous les lieux de détention, en indiquant le </w:t>
      </w:r>
      <w:r w:rsidRPr="002C5CD3">
        <w:t>nombre de prévenus et de condamnés</w:t>
      </w:r>
      <w:r w:rsidRPr="00607EB4">
        <w:rPr>
          <w:rStyle w:val="Appelnotedebasdep"/>
        </w:rPr>
        <w:footnoteReference w:id="26"/>
      </w:r>
      <w:r>
        <w:t> </w:t>
      </w:r>
      <w:r w:rsidRPr="002C5CD3">
        <w:rPr>
          <w:lang w:val="fr-FR"/>
        </w:rPr>
        <w:t>;</w:t>
      </w:r>
    </w:p>
    <w:p w:rsidR="00523E02" w:rsidRPr="002C5CD3" w:rsidRDefault="00523E02" w:rsidP="009B61FF">
      <w:pPr>
        <w:pStyle w:val="SingleTxtG"/>
        <w:ind w:firstLine="567"/>
        <w:rPr>
          <w:lang w:val="fr-FR"/>
        </w:rPr>
      </w:pPr>
      <w:r>
        <w:t>b)</w:t>
      </w:r>
      <w:r>
        <w:tab/>
      </w:r>
      <w:r w:rsidRPr="002C5CD3">
        <w:rPr>
          <w:lang w:val="fr-FR"/>
        </w:rPr>
        <w:t>Des renseignements sur l</w:t>
      </w:r>
      <w:r w:rsidRPr="002C5CD3">
        <w:t>es mesures prises pour assurer la séparation des prévenus et des condamnés, des mineurs et des adultes</w:t>
      </w:r>
      <w:r>
        <w:t xml:space="preserve"> et des hommes et des femmes</w:t>
      </w:r>
      <w:r w:rsidRPr="00607EB4">
        <w:rPr>
          <w:rStyle w:val="Appelnotedebasdep"/>
        </w:rPr>
        <w:footnoteReference w:id="27"/>
      </w:r>
      <w:r>
        <w:t>,</w:t>
      </w:r>
      <w:r w:rsidRPr="002C5CD3">
        <w:t xml:space="preserve"> ainsi que des données concernant le nombre de lieux de privation de liberté où cette séparation n’est pas encore effective ;</w:t>
      </w:r>
    </w:p>
    <w:p w:rsidR="00523E02" w:rsidRPr="002C5CD3" w:rsidRDefault="00523E02" w:rsidP="009B61FF">
      <w:pPr>
        <w:pStyle w:val="SingleTxtG"/>
        <w:ind w:firstLine="567"/>
        <w:rPr>
          <w:lang w:val="fr-FR"/>
        </w:rPr>
      </w:pPr>
      <w:r>
        <w:t>c)</w:t>
      </w:r>
      <w:r>
        <w:tab/>
      </w:r>
      <w:r w:rsidRPr="002C5CD3">
        <w:t>Des renseignements sur les mesures mises en place pour prévenir le surpeuplement des lieux de détention, qui atteindrait plus de 15</w:t>
      </w:r>
      <w:r>
        <w:t>0 % dans certains établissements ;</w:t>
      </w:r>
    </w:p>
    <w:p w:rsidR="00523E02" w:rsidRPr="002C5CD3" w:rsidRDefault="00523E02" w:rsidP="009B61FF">
      <w:pPr>
        <w:pStyle w:val="SingleTxtG"/>
        <w:ind w:firstLine="567"/>
        <w:rPr>
          <w:lang w:val="fr-FR"/>
        </w:rPr>
      </w:pPr>
      <w:r>
        <w:t>d)</w:t>
      </w:r>
      <w:r>
        <w:tab/>
      </w:r>
      <w:r w:rsidRPr="002C5CD3">
        <w:rPr>
          <w:lang w:val="fr-FR"/>
        </w:rPr>
        <w:t>Des informations sur l</w:t>
      </w:r>
      <w:r w:rsidRPr="002C5CD3">
        <w:t>es moyens mis en œuvre pour accro</w:t>
      </w:r>
      <w:r>
        <w:t>î</w:t>
      </w:r>
      <w:r w:rsidRPr="002C5CD3">
        <w:t xml:space="preserve">tre la quantité et </w:t>
      </w:r>
      <w:r>
        <w:t xml:space="preserve">la </w:t>
      </w:r>
      <w:r w:rsidRPr="002C5CD3">
        <w:t>qualité de la nourriture et</w:t>
      </w:r>
      <w:r>
        <w:t xml:space="preserve"> </w:t>
      </w:r>
      <w:r w:rsidRPr="002C5CD3">
        <w:t xml:space="preserve">l’accès à l’eau </w:t>
      </w:r>
      <w:r w:rsidRPr="009B61FF">
        <w:rPr>
          <w:lang w:val="fr-FR"/>
        </w:rPr>
        <w:t>potable</w:t>
      </w:r>
      <w:r w:rsidRPr="00607EB4">
        <w:rPr>
          <w:rStyle w:val="Appelnotedebasdep"/>
        </w:rPr>
        <w:footnoteReference w:id="28"/>
      </w:r>
      <w:r>
        <w:t xml:space="preserve"> </w:t>
      </w:r>
      <w:r w:rsidRPr="002C5CD3">
        <w:t>dans l’univers carcéral, particulièrem</w:t>
      </w:r>
      <w:r>
        <w:t>ent à la prison de Salahdine</w:t>
      </w:r>
      <w:r w:rsidRPr="00607EB4">
        <w:rPr>
          <w:rStyle w:val="Appelnotedebasdep"/>
        </w:rPr>
        <w:footnoteReference w:id="29"/>
      </w:r>
      <w:r>
        <w:t>,</w:t>
      </w:r>
      <w:r w:rsidRPr="002C5CD3">
        <w:t xml:space="preserve"> et </w:t>
      </w:r>
      <w:r>
        <w:t xml:space="preserve">pour </w:t>
      </w:r>
      <w:r w:rsidRPr="002C5CD3">
        <w:t>améliorer les conditions de salubrité et</w:t>
      </w:r>
      <w:r>
        <w:t xml:space="preserve"> </w:t>
      </w:r>
      <w:r w:rsidRPr="002C5CD3">
        <w:t>d’hygiène</w:t>
      </w:r>
      <w:r w:rsidRPr="00607EB4">
        <w:rPr>
          <w:rStyle w:val="Appelnotedebasdep"/>
        </w:rPr>
        <w:footnoteReference w:id="30"/>
      </w:r>
      <w:r w:rsidRPr="002C5CD3">
        <w:t xml:space="preserve">, </w:t>
      </w:r>
      <w:r>
        <w:t>notamment</w:t>
      </w:r>
      <w:r w:rsidRPr="002C5CD3">
        <w:t xml:space="preserve"> les systèmes de ventilation</w:t>
      </w:r>
      <w:r w:rsidRPr="00607EB4">
        <w:rPr>
          <w:rStyle w:val="Appelnotedebasdep"/>
        </w:rPr>
        <w:footnoteReference w:id="31"/>
      </w:r>
      <w:r>
        <w:t> </w:t>
      </w:r>
      <w:r w:rsidRPr="002C5CD3">
        <w:t>;</w:t>
      </w:r>
    </w:p>
    <w:p w:rsidR="00523E02" w:rsidRPr="002C5CD3" w:rsidRDefault="00523E02" w:rsidP="009B61FF">
      <w:pPr>
        <w:pStyle w:val="SingleTxtG"/>
        <w:ind w:firstLine="567"/>
        <w:rPr>
          <w:lang w:val="fr-FR"/>
        </w:rPr>
      </w:pPr>
      <w:r>
        <w:t>e)</w:t>
      </w:r>
      <w:r>
        <w:tab/>
      </w:r>
      <w:r w:rsidRPr="002C5CD3">
        <w:rPr>
          <w:lang w:val="fr-FR"/>
        </w:rPr>
        <w:t>Des informations sur</w:t>
      </w:r>
      <w:r w:rsidRPr="002C5CD3">
        <w:t xml:space="preserve"> les mesures mises en place pour offrir des soins médicaux a</w:t>
      </w:r>
      <w:r>
        <w:t>déquats dans le milieu carcéral,</w:t>
      </w:r>
      <w:r w:rsidRPr="002C5CD3">
        <w:t xml:space="preserve"> </w:t>
      </w:r>
      <w:r>
        <w:t xml:space="preserve">en </w:t>
      </w:r>
      <w:r w:rsidRPr="002C5CD3">
        <w:t>particuli</w:t>
      </w:r>
      <w:r>
        <w:t>er</w:t>
      </w:r>
      <w:r w:rsidRPr="002C5CD3">
        <w:t xml:space="preserve"> pour augmenter </w:t>
      </w:r>
      <w:r>
        <w:t xml:space="preserve">l’accès aux médicaments et </w:t>
      </w:r>
      <w:r w:rsidRPr="002C5CD3">
        <w:t>le nombre de spécialistes en p</w:t>
      </w:r>
      <w:r>
        <w:t>sychiatrie et médecine dentaire</w:t>
      </w:r>
      <w:r w:rsidRPr="00607EB4">
        <w:rPr>
          <w:rStyle w:val="Appelnotedebasdep"/>
        </w:rPr>
        <w:footnoteReference w:id="32"/>
      </w:r>
      <w:r>
        <w:t> ;</w:t>
      </w:r>
      <w:r w:rsidRPr="002C5CD3">
        <w:t xml:space="preserve"> </w:t>
      </w:r>
    </w:p>
    <w:p w:rsidR="00523E02" w:rsidRPr="002C5CD3" w:rsidRDefault="00523E02" w:rsidP="009B61FF">
      <w:pPr>
        <w:pStyle w:val="SingleTxtG"/>
        <w:ind w:firstLine="567"/>
        <w:rPr>
          <w:lang w:val="fr-FR"/>
        </w:rPr>
      </w:pPr>
      <w:r>
        <w:t>f)</w:t>
      </w:r>
      <w:r>
        <w:tab/>
      </w:r>
      <w:r w:rsidRPr="002C5CD3">
        <w:rPr>
          <w:lang w:val="fr-FR"/>
        </w:rPr>
        <w:t xml:space="preserve">Des renseignements sur les mesures prises pour que </w:t>
      </w:r>
      <w:r w:rsidRPr="002C5CD3">
        <w:t>chaque détenu puisse avoir une heure au moins par jour d</w:t>
      </w:r>
      <w:r>
        <w:t>’exercice physique en plein air</w:t>
      </w:r>
      <w:r w:rsidRPr="00607EB4">
        <w:rPr>
          <w:rStyle w:val="Appelnotedebasdep"/>
        </w:rPr>
        <w:footnoteReference w:id="33"/>
      </w:r>
      <w:r>
        <w:t>,</w:t>
      </w:r>
      <w:r w:rsidRPr="002C5CD3">
        <w:t xml:space="preserve"> </w:t>
      </w:r>
      <w:r>
        <w:t>notamment</w:t>
      </w:r>
      <w:r w:rsidRPr="002C5CD3">
        <w:t xml:space="preserve"> à la prison de Salahdine</w:t>
      </w:r>
      <w:r w:rsidRPr="00607EB4">
        <w:rPr>
          <w:rStyle w:val="Appelnotedebasdep"/>
        </w:rPr>
        <w:footnoteReference w:id="34"/>
      </w:r>
      <w:r>
        <w:t>,</w:t>
      </w:r>
      <w:r w:rsidRPr="002C5CD3">
        <w:rPr>
          <w:lang w:val="fr-FR"/>
        </w:rPr>
        <w:t xml:space="preserve"> et pour mettre en place un programme éducatif </w:t>
      </w:r>
      <w:r w:rsidRPr="002C5CD3">
        <w:t>dans le milieu carcéral</w:t>
      </w:r>
      <w:r>
        <w:rPr>
          <w:lang w:val="fr-FR"/>
        </w:rPr>
        <w:t xml:space="preserve"> et</w:t>
      </w:r>
      <w:r w:rsidRPr="002C5CD3">
        <w:rPr>
          <w:lang w:val="fr-FR"/>
        </w:rPr>
        <w:t xml:space="preserve"> faciliter l</w:t>
      </w:r>
      <w:r>
        <w:rPr>
          <w:lang w:val="fr-FR"/>
        </w:rPr>
        <w:t>’</w:t>
      </w:r>
      <w:r w:rsidRPr="002C5CD3">
        <w:rPr>
          <w:lang w:val="fr-FR"/>
        </w:rPr>
        <w:t>accès</w:t>
      </w:r>
      <w:r>
        <w:rPr>
          <w:lang w:val="fr-FR"/>
        </w:rPr>
        <w:t xml:space="preserve"> à la formation professionnelle, au travail,</w:t>
      </w:r>
      <w:r w:rsidRPr="002C5CD3">
        <w:rPr>
          <w:lang w:val="fr-FR"/>
        </w:rPr>
        <w:t xml:space="preserve"> et aux </w:t>
      </w:r>
      <w:r w:rsidRPr="002C5CD3">
        <w:t>activ</w:t>
      </w:r>
      <w:r>
        <w:t>ités récréatives et culturelles</w:t>
      </w:r>
      <w:r w:rsidRPr="00607EB4">
        <w:rPr>
          <w:rStyle w:val="Appelnotedebasdep"/>
        </w:rPr>
        <w:footnoteReference w:id="35"/>
      </w:r>
      <w:r>
        <w:t>.</w:t>
      </w:r>
      <w:r w:rsidRPr="002C5CD3">
        <w:t xml:space="preserve"> </w:t>
      </w:r>
    </w:p>
    <w:p w:rsidR="00523E02" w:rsidRPr="002C5CD3" w:rsidRDefault="00523E02" w:rsidP="009B61FF">
      <w:pPr>
        <w:pStyle w:val="SingleTxtG"/>
        <w:rPr>
          <w:lang w:val="fr-FR"/>
        </w:rPr>
      </w:pPr>
      <w:r>
        <w:t>17.</w:t>
      </w:r>
      <w:r>
        <w:tab/>
        <w:t>F</w:t>
      </w:r>
      <w:r w:rsidRPr="002B0F44">
        <w:t>ournir</w:t>
      </w:r>
      <w:r w:rsidRPr="002C5CD3">
        <w:t xml:space="preserve"> des </w:t>
      </w:r>
      <w:r w:rsidRPr="002C5CD3">
        <w:rPr>
          <w:lang w:val="fr-FR"/>
        </w:rPr>
        <w:t>informations</w:t>
      </w:r>
      <w:r w:rsidRPr="002C5CD3">
        <w:t xml:space="preserve"> </w:t>
      </w:r>
      <w:r w:rsidRPr="00505D31">
        <w:rPr>
          <w:lang w:val="fr-FR"/>
        </w:rPr>
        <w:t>pour</w:t>
      </w:r>
      <w:r w:rsidRPr="002C5CD3">
        <w:t xml:space="preserve"> la période écoulée depuis 2013, ventilées par année, sur :</w:t>
      </w:r>
    </w:p>
    <w:p w:rsidR="00523E02" w:rsidRPr="002C5CD3" w:rsidRDefault="00523E02" w:rsidP="009B61FF">
      <w:pPr>
        <w:pStyle w:val="SingleTxtG"/>
        <w:ind w:firstLine="567"/>
        <w:rPr>
          <w:lang w:val="fr-FR"/>
        </w:rPr>
      </w:pPr>
      <w:r>
        <w:t>a)</w:t>
      </w:r>
      <w:r>
        <w:tab/>
      </w:r>
      <w:r w:rsidRPr="002C5CD3">
        <w:rPr>
          <w:lang w:val="fr-FR"/>
        </w:rPr>
        <w:t xml:space="preserve">Les mesures prises pour prévenir les agressions entre détenus, comme celles qui ont eu lieu à Dar Naïm en 2015 et ont conduit aux décès de deux personnes, ainsi que pour prévenir les viols de certains détenus, </w:t>
      </w:r>
      <w:r w:rsidRPr="002C5CD3">
        <w:t>avec la conni</w:t>
      </w:r>
      <w:r>
        <w:t>vence des agents pénitentiaires ;</w:t>
      </w:r>
    </w:p>
    <w:p w:rsidR="00523E02" w:rsidRPr="00284E65" w:rsidRDefault="00523E02" w:rsidP="009B61FF">
      <w:pPr>
        <w:pStyle w:val="SingleTxtG"/>
        <w:ind w:firstLine="567"/>
        <w:rPr>
          <w:lang w:val="fr-FR"/>
        </w:rPr>
      </w:pPr>
      <w:r>
        <w:lastRenderedPageBreak/>
        <w:t>b)</w:t>
      </w:r>
      <w:r>
        <w:tab/>
      </w:r>
      <w:r>
        <w:rPr>
          <w:lang w:val="fr-FR"/>
        </w:rPr>
        <w:t>L</w:t>
      </w:r>
      <w:r w:rsidRPr="002C5CD3">
        <w:t xml:space="preserve">es mesures prises pour mettre en place un corps </w:t>
      </w:r>
      <w:r w:rsidRPr="00284E65">
        <w:rPr>
          <w:lang w:val="fr-FR"/>
        </w:rPr>
        <w:t>pénitentiaire</w:t>
      </w:r>
      <w:r>
        <w:rPr>
          <w:lang w:val="fr-FR"/>
        </w:rPr>
        <w:t xml:space="preserve"> </w:t>
      </w:r>
      <w:r w:rsidRPr="00284E65">
        <w:rPr>
          <w:lang w:val="fr-FR"/>
        </w:rPr>
        <w:t>spécialisé,</w:t>
      </w:r>
      <w:r w:rsidRPr="003255B4">
        <w:t xml:space="preserve"> </w:t>
      </w:r>
      <w:r w:rsidRPr="00F16D1D">
        <w:t xml:space="preserve">avec un statut civil et </w:t>
      </w:r>
      <w:r w:rsidRPr="003255B4">
        <w:t>intégrant</w:t>
      </w:r>
      <w:r w:rsidRPr="00F16D1D">
        <w:t xml:space="preserve"> des femmes,</w:t>
      </w:r>
      <w:r>
        <w:t xml:space="preserve"> en </w:t>
      </w:r>
      <w:r w:rsidRPr="009B61FF">
        <w:rPr>
          <w:lang w:val="fr-FR"/>
        </w:rPr>
        <w:t>particulier</w:t>
      </w:r>
      <w:r>
        <w:t xml:space="preserve"> dans les prisons pour femmes. Indiquer aussi les mesures prises pour </w:t>
      </w:r>
      <w:r w:rsidRPr="00F16D1D">
        <w:rPr>
          <w:lang w:val="fr-FR"/>
        </w:rPr>
        <w:t>surveiller les situations d’autogestion dans les prisons, afin de prévenir les abus et la corruption</w:t>
      </w:r>
      <w:r>
        <w:rPr>
          <w:lang w:val="fr-FR"/>
        </w:rPr>
        <w:t> </w:t>
      </w:r>
      <w:r>
        <w:t>;</w:t>
      </w:r>
    </w:p>
    <w:p w:rsidR="00523E02" w:rsidRPr="00AD7235" w:rsidRDefault="00523E02" w:rsidP="009B61FF">
      <w:pPr>
        <w:pStyle w:val="SingleTxtG"/>
        <w:ind w:firstLine="567"/>
      </w:pPr>
      <w:r>
        <w:t>c)</w:t>
      </w:r>
      <w:r>
        <w:tab/>
      </w:r>
      <w:r w:rsidRPr="002C5CD3">
        <w:t xml:space="preserve">Le </w:t>
      </w:r>
      <w:r w:rsidRPr="009B61FF">
        <w:rPr>
          <w:lang w:val="fr-FR"/>
        </w:rPr>
        <w:t>nombre</w:t>
      </w:r>
      <w:r w:rsidRPr="002C5CD3">
        <w:t xml:space="preserve"> de décès en détention, en précisant la cause du décès, et </w:t>
      </w:r>
      <w:r>
        <w:t xml:space="preserve">le nombre </w:t>
      </w:r>
      <w:r w:rsidRPr="002C5CD3">
        <w:t>d</w:t>
      </w:r>
      <w:r>
        <w:t>’</w:t>
      </w:r>
      <w:r w:rsidRPr="002C5CD3">
        <w:t>enquêtes ouvertes</w:t>
      </w:r>
      <w:r w:rsidRPr="002C5CD3">
        <w:rPr>
          <w:lang w:val="fr-FR"/>
        </w:rPr>
        <w:t xml:space="preserve"> </w:t>
      </w:r>
      <w:r w:rsidRPr="002C5CD3">
        <w:t>à propos de décès ou d</w:t>
      </w:r>
      <w:r>
        <w:t>’</w:t>
      </w:r>
      <w:r w:rsidRPr="002C5CD3">
        <w:t>incidents de violence et mauvais traitements survenus en détention</w:t>
      </w:r>
      <w:r>
        <w:t xml:space="preserve"> ou pendant les transferts,</w:t>
      </w:r>
      <w:r w:rsidRPr="002C5CD3">
        <w:t xml:space="preserve"> </w:t>
      </w:r>
      <w:r>
        <w:t xml:space="preserve">avec </w:t>
      </w:r>
      <w:r w:rsidRPr="002C5CD3">
        <w:t xml:space="preserve">le résultat de ces enquêtes, </w:t>
      </w:r>
      <w:r>
        <w:t xml:space="preserve">et </w:t>
      </w:r>
      <w:r w:rsidRPr="002C5CD3">
        <w:t xml:space="preserve">le nombre de décès ou cas de violence attribués à des agressions perpétrées par des agents de l’État, à l’usage excessif de la contrainte ou à des négligences, les poursuites engagées, les condamnations prononcées et les sanctions pénales et disciplinaires appliquées, en indiquant la durée des peines d’emprisonnement. </w:t>
      </w:r>
      <w:r>
        <w:t>Indiquer</w:t>
      </w:r>
      <w:r w:rsidRPr="002C5CD3">
        <w:t xml:space="preserve"> notamment si des enquêtes ont été ouvertes, et les</w:t>
      </w:r>
      <w:r>
        <w:t xml:space="preserve"> </w:t>
      </w:r>
      <w:r w:rsidRPr="002C5CD3">
        <w:t>résultats de ces enquêtes,</w:t>
      </w:r>
      <w:r>
        <w:t xml:space="preserve"> </w:t>
      </w:r>
      <w:r w:rsidRPr="002C5CD3">
        <w:t>concernant les allégations d’actes de torture</w:t>
      </w:r>
      <w:r>
        <w:t>,</w:t>
      </w:r>
      <w:r w:rsidRPr="002C5CD3">
        <w:t xml:space="preserve"> </w:t>
      </w:r>
      <w:r>
        <w:t xml:space="preserve">de </w:t>
      </w:r>
      <w:r w:rsidRPr="002C5CD3">
        <w:t>mauvais traitements, ou de négligences</w:t>
      </w:r>
      <w:r>
        <w:t xml:space="preserve"> ayant</w:t>
      </w:r>
      <w:r w:rsidRPr="002C5CD3">
        <w:t xml:space="preserve"> provoqu</w:t>
      </w:r>
      <w:r>
        <w:t>é</w:t>
      </w:r>
      <w:r w:rsidRPr="002C5CD3">
        <w:t xml:space="preserve"> la mort des détenus, attribués à des agents de l’État à l’égard</w:t>
      </w:r>
      <w:r>
        <w:t> :</w:t>
      </w:r>
      <w:r w:rsidRPr="002C5CD3">
        <w:t xml:space="preserve"> i</w:t>
      </w:r>
      <w:r w:rsidR="006163BC" w:rsidRPr="002C5CD3">
        <w:t>)</w:t>
      </w:r>
      <w:r w:rsidR="006163BC">
        <w:t> </w:t>
      </w:r>
      <w:r w:rsidRPr="002C5CD3">
        <w:t>du condamné n</w:t>
      </w:r>
      <w:r w:rsidRPr="003752A6">
        <w:rPr>
          <w:vertAlign w:val="superscript"/>
        </w:rPr>
        <w:t>o</w:t>
      </w:r>
      <w:r>
        <w:t> </w:t>
      </w:r>
      <w:r w:rsidRPr="002C5CD3">
        <w:t>RP 0526, du prévenu n</w:t>
      </w:r>
      <w:r w:rsidRPr="003752A6">
        <w:rPr>
          <w:vertAlign w:val="superscript"/>
        </w:rPr>
        <w:t>o</w:t>
      </w:r>
      <w:r>
        <w:t> </w:t>
      </w:r>
      <w:r w:rsidRPr="002C5CD3">
        <w:t>1547/2013 et du prévenu n</w:t>
      </w:r>
      <w:r w:rsidRPr="003752A6">
        <w:rPr>
          <w:vertAlign w:val="superscript"/>
        </w:rPr>
        <w:t>o</w:t>
      </w:r>
      <w:r>
        <w:t> </w:t>
      </w:r>
      <w:r w:rsidRPr="002C5CD3">
        <w:t>0234/2013 dans l’enceinte de la prison</w:t>
      </w:r>
      <w:r>
        <w:t xml:space="preserve"> de Dar Naïm le 9</w:t>
      </w:r>
      <w:r w:rsidR="006163BC">
        <w:t> novembre</w:t>
      </w:r>
      <w:r>
        <w:t xml:space="preserve"> 2013 ;</w:t>
      </w:r>
      <w:r w:rsidRPr="002C5CD3">
        <w:t xml:space="preserve"> ii</w:t>
      </w:r>
      <w:r w:rsidR="006163BC" w:rsidRPr="002C5CD3">
        <w:t>)</w:t>
      </w:r>
      <w:r w:rsidR="006163BC">
        <w:t> </w:t>
      </w:r>
      <w:r w:rsidRPr="002C5CD3">
        <w:t>d</w:t>
      </w:r>
      <w:r>
        <w:t>’</w:t>
      </w:r>
      <w:r w:rsidRPr="002C5CD3">
        <w:t xml:space="preserve">Abdellahi Matalla Saleck et </w:t>
      </w:r>
      <w:r>
        <w:t xml:space="preserve">de </w:t>
      </w:r>
      <w:r w:rsidRPr="002C5CD3">
        <w:t>M</w:t>
      </w:r>
      <w:r>
        <w:t>oussa Bilal Biram ;</w:t>
      </w:r>
      <w:r w:rsidRPr="002C5CD3">
        <w:t xml:space="preserve"> iii</w:t>
      </w:r>
      <w:r w:rsidR="006163BC" w:rsidRPr="002C5CD3">
        <w:t>)</w:t>
      </w:r>
      <w:r w:rsidR="006163BC">
        <w:t> </w:t>
      </w:r>
      <w:r w:rsidRPr="002C5CD3">
        <w:t>d’un détenu ayant des problèmes cardiaques et décédé le 16</w:t>
      </w:r>
      <w:r w:rsidR="006163BC">
        <w:t> mars</w:t>
      </w:r>
      <w:r w:rsidRPr="002C5CD3">
        <w:t xml:space="preserve"> 2015 à Dar Naïm à la suite d’une injection </w:t>
      </w:r>
      <w:r>
        <w:t>du médecin qui lui a été fatale ;</w:t>
      </w:r>
      <w:r w:rsidRPr="002C5CD3">
        <w:t xml:space="preserve"> iv</w:t>
      </w:r>
      <w:r w:rsidR="006163BC" w:rsidRPr="002C5CD3">
        <w:t>)</w:t>
      </w:r>
      <w:r w:rsidR="006163BC">
        <w:t> </w:t>
      </w:r>
      <w:r w:rsidRPr="002C5CD3">
        <w:t xml:space="preserve">d’un détenu décédé en 2014 à la prison de Rosso des suites de coups et blessures. </w:t>
      </w:r>
    </w:p>
    <w:p w:rsidR="00523E02" w:rsidRDefault="00523E02" w:rsidP="009B61FF">
      <w:pPr>
        <w:pStyle w:val="SingleTxtG"/>
        <w:rPr>
          <w:lang w:val="fr-FR"/>
        </w:rPr>
      </w:pPr>
      <w:r>
        <w:t>18.</w:t>
      </w:r>
      <w:r>
        <w:tab/>
      </w:r>
      <w:r w:rsidRPr="002C5CD3">
        <w:t xml:space="preserve">Au regard de rapports signalant que les personnes reconnues coupables de terrorisme étaient mises à l’isolement pendant de </w:t>
      </w:r>
      <w:r w:rsidRPr="009B61FF">
        <w:rPr>
          <w:lang w:val="fr-FR"/>
        </w:rPr>
        <w:t>longues</w:t>
      </w:r>
      <w:r w:rsidRPr="002C5CD3">
        <w:t xml:space="preserve"> périodes</w:t>
      </w:r>
      <w:r w:rsidRPr="00607EB4">
        <w:rPr>
          <w:rStyle w:val="Appelnotedebasdep"/>
        </w:rPr>
        <w:footnoteReference w:id="36"/>
      </w:r>
      <w:r w:rsidRPr="002C5CD3">
        <w:t xml:space="preserve">, </w:t>
      </w:r>
      <w:r w:rsidRPr="002C5CD3">
        <w:rPr>
          <w:lang w:val="fr-FR"/>
        </w:rPr>
        <w:t>fournir des informations sur le régime applicable concernant le recours à l’isolement</w:t>
      </w:r>
      <w:r w:rsidRPr="002C5CD3">
        <w:t xml:space="preserve"> cellulaire</w:t>
      </w:r>
      <w:r w:rsidRPr="002C5CD3">
        <w:rPr>
          <w:lang w:val="fr-FR"/>
        </w:rPr>
        <w:t>.</w:t>
      </w:r>
    </w:p>
    <w:p w:rsidR="00523E02" w:rsidRPr="002C5CD3" w:rsidRDefault="00523E02" w:rsidP="009B61FF">
      <w:pPr>
        <w:pStyle w:val="H23G"/>
        <w:rPr>
          <w:lang w:val="fr-FR"/>
        </w:rPr>
      </w:pPr>
      <w:r w:rsidRPr="002C5CD3">
        <w:rPr>
          <w:lang w:val="fr-FR"/>
        </w:rPr>
        <w:tab/>
      </w:r>
      <w:r w:rsidRPr="002C5CD3">
        <w:rPr>
          <w:lang w:val="fr-FR"/>
        </w:rPr>
        <w:tab/>
        <w:t>Articles 12 et 13</w:t>
      </w:r>
    </w:p>
    <w:p w:rsidR="00523E02" w:rsidRPr="00071EED" w:rsidRDefault="00523E02" w:rsidP="009B61FF">
      <w:pPr>
        <w:pStyle w:val="SingleTxtG"/>
        <w:rPr>
          <w:lang w:val="fr-FR"/>
        </w:rPr>
      </w:pPr>
      <w:r>
        <w:rPr>
          <w:lang w:val="fr-FR"/>
        </w:rPr>
        <w:t>19.</w:t>
      </w:r>
      <w:r>
        <w:rPr>
          <w:lang w:val="fr-FR"/>
        </w:rPr>
        <w:tab/>
      </w:r>
      <w:r w:rsidRPr="00824B99">
        <w:rPr>
          <w:lang w:val="fr-FR"/>
        </w:rPr>
        <w:t xml:space="preserve">Compte tenu des informations faisant état d’actes de torture et </w:t>
      </w:r>
      <w:r>
        <w:rPr>
          <w:lang w:val="fr-FR"/>
        </w:rPr>
        <w:t xml:space="preserve">de </w:t>
      </w:r>
      <w:r w:rsidRPr="00824B99">
        <w:rPr>
          <w:lang w:val="fr-FR"/>
        </w:rPr>
        <w:t xml:space="preserve">mauvais traitements au sein des services de police et de </w:t>
      </w:r>
      <w:r w:rsidRPr="00505D31">
        <w:t>gendarmerie</w:t>
      </w:r>
      <w:r w:rsidRPr="00607EB4">
        <w:rPr>
          <w:rStyle w:val="Appelnotedebasdep"/>
        </w:rPr>
        <w:footnoteReference w:id="37"/>
      </w:r>
      <w:r>
        <w:t>,</w:t>
      </w:r>
      <w:r w:rsidRPr="00824B99">
        <w:rPr>
          <w:lang w:val="fr-FR"/>
        </w:rPr>
        <w:t xml:space="preserve"> </w:t>
      </w:r>
      <w:r w:rsidRPr="002C5CD3">
        <w:t>fournir des données annuel</w:t>
      </w:r>
      <w:r>
        <w:t>le</w:t>
      </w:r>
      <w:r w:rsidRPr="002C5CD3">
        <w:t xml:space="preserve">s depuis 2013, ventilées par type d’infraction et </w:t>
      </w:r>
      <w:r w:rsidRPr="00824B99">
        <w:rPr>
          <w:lang w:val="fr-FR"/>
        </w:rPr>
        <w:t xml:space="preserve">par sexe, tranche d’âge et appartenance ethnique de la victime, </w:t>
      </w:r>
      <w:r w:rsidRPr="002C5CD3">
        <w:t>sur : a) le nombre de plaintes reçues par les procureurs ou toute autre autorité compétente, ou de rapports d’enquête déposés, portant sur des infractions telles que la tentative ou la commission d’actes de torture ou de mauvais traitements, la complicité ou la participation à de tels actes, qui auraient été commises par des agents de la force publique ou avec le consentement exprès ou tacite de ces agents</w:t>
      </w:r>
      <w:r>
        <w:t> </w:t>
      </w:r>
      <w:r w:rsidRPr="002C5CD3">
        <w:t>; b) le nombre de ces plaintes qui ont fait l’objet d’une enquête pénale ou disciplinaire</w:t>
      </w:r>
      <w:r>
        <w:t> </w:t>
      </w:r>
      <w:r w:rsidRPr="002C5CD3">
        <w:t>; c) le nombre d’entre elles qui ont été classées sans suite</w:t>
      </w:r>
      <w:r>
        <w:t> </w:t>
      </w:r>
      <w:r w:rsidRPr="002C5CD3">
        <w:t>; d) le nombre d’entre elles qui ont donné lieu à des poursuites</w:t>
      </w:r>
      <w:r>
        <w:t> </w:t>
      </w:r>
      <w:r w:rsidRPr="002C5CD3">
        <w:t>; e) le nombre d’entre elles qui ont abouti à une condamnation</w:t>
      </w:r>
      <w:r>
        <w:t> </w:t>
      </w:r>
      <w:r w:rsidRPr="002C5CD3">
        <w:t>; et f) les sanctions pénales et disciplinaires qui ont été appliquées, en indiquant la durée des peines d’emprisonnement.</w:t>
      </w:r>
      <w:r>
        <w:t xml:space="preserve"> Indiquer</w:t>
      </w:r>
      <w:r w:rsidRPr="002C5CD3">
        <w:t xml:space="preserve"> notamment si des enquêtes ont été ouvertes, et leurs</w:t>
      </w:r>
      <w:r>
        <w:t xml:space="preserve"> </w:t>
      </w:r>
      <w:r w:rsidRPr="002C5CD3">
        <w:t>résultats,</w:t>
      </w:r>
      <w:r>
        <w:t xml:space="preserve"> </w:t>
      </w:r>
      <w:r w:rsidRPr="002C5CD3">
        <w:t xml:space="preserve">concernant les allégations de torture et </w:t>
      </w:r>
      <w:r>
        <w:t xml:space="preserve">de </w:t>
      </w:r>
      <w:r w:rsidRPr="002C5CD3">
        <w:t>mauvais traitements</w:t>
      </w:r>
      <w:r>
        <w:t> :</w:t>
      </w:r>
      <w:r w:rsidRPr="002C5CD3">
        <w:t xml:space="preserve"> i</w:t>
      </w:r>
      <w:r w:rsidR="006163BC" w:rsidRPr="002C5CD3">
        <w:t>)</w:t>
      </w:r>
      <w:r w:rsidR="006163BC">
        <w:t> </w:t>
      </w:r>
      <w:r w:rsidRPr="002C5CD3">
        <w:t xml:space="preserve">pendant les interpellations et interrogations d’une vingtaine de personnes </w:t>
      </w:r>
      <w:r>
        <w:t>près de l’</w:t>
      </w:r>
      <w:r w:rsidRPr="002C5CD3">
        <w:t>hôpital Bouamatou en août et novembre 2016</w:t>
      </w:r>
      <w:r>
        <w:t> </w:t>
      </w:r>
      <w:r w:rsidRPr="002C5CD3">
        <w:t>; ii</w:t>
      </w:r>
      <w:r w:rsidR="006163BC" w:rsidRPr="002C5CD3">
        <w:t>)</w:t>
      </w:r>
      <w:r w:rsidR="006163BC">
        <w:t> </w:t>
      </w:r>
      <w:r w:rsidRPr="002C5CD3">
        <w:t>suite à l’arrestation de 19 ressortissants des localités de Kéké I</w:t>
      </w:r>
      <w:r>
        <w:t xml:space="preserve">, </w:t>
      </w:r>
      <w:r w:rsidRPr="002C5CD3">
        <w:t>II et III</w:t>
      </w:r>
      <w:r>
        <w:t>,</w:t>
      </w:r>
      <w:r w:rsidRPr="002C5CD3">
        <w:t xml:space="preserve"> dans l’arrondissement de Tékane </w:t>
      </w:r>
      <w:r>
        <w:t>(</w:t>
      </w:r>
      <w:r w:rsidRPr="002C5CD3">
        <w:t>régi</w:t>
      </w:r>
      <w:r>
        <w:t>on du Trarza), le 10</w:t>
      </w:r>
      <w:r w:rsidR="006163BC">
        <w:t> avril</w:t>
      </w:r>
      <w:r>
        <w:t xml:space="preserve"> 2017 ;</w:t>
      </w:r>
      <w:r w:rsidRPr="002C5CD3">
        <w:t xml:space="preserve"> iii</w:t>
      </w:r>
      <w:r w:rsidR="006163BC" w:rsidRPr="002C5CD3">
        <w:t>)</w:t>
      </w:r>
      <w:r w:rsidR="006163BC">
        <w:t> </w:t>
      </w:r>
      <w:r w:rsidRPr="002C5CD3">
        <w:t>contre</w:t>
      </w:r>
      <w:r>
        <w:t xml:space="preserve"> </w:t>
      </w:r>
      <w:r w:rsidRPr="002C5CD3">
        <w:t xml:space="preserve">Yéro Abdoulaye Sow, arrêté au poste de contrôle du PK 25 </w:t>
      </w:r>
      <w:r>
        <w:t>de Nouakchott, le 16</w:t>
      </w:r>
      <w:r w:rsidR="006163BC">
        <w:t> août</w:t>
      </w:r>
      <w:r>
        <w:t xml:space="preserve"> 2016 ; </w:t>
      </w:r>
      <w:r w:rsidRPr="002C5CD3">
        <w:t>iv</w:t>
      </w:r>
      <w:r w:rsidR="006163BC" w:rsidRPr="002C5CD3">
        <w:t>)</w:t>
      </w:r>
      <w:r w:rsidR="006163BC">
        <w:t> </w:t>
      </w:r>
      <w:r w:rsidRPr="002C5CD3">
        <w:t xml:space="preserve">contre Mohamed Ould Haiba, qui aurait été </w:t>
      </w:r>
      <w:r>
        <w:t>violemment battu</w:t>
      </w:r>
      <w:r w:rsidRPr="002C5CD3">
        <w:t xml:space="preserve"> dans la rue à Teyarett, </w:t>
      </w:r>
      <w:r>
        <w:t>dans le</w:t>
      </w:r>
      <w:r w:rsidRPr="002C5CD3">
        <w:t xml:space="preserve"> 1</w:t>
      </w:r>
      <w:r w:rsidRPr="003752A6">
        <w:rPr>
          <w:vertAlign w:val="superscript"/>
        </w:rPr>
        <w:t>er</w:t>
      </w:r>
      <w:r w:rsidRPr="002C5CD3">
        <w:t xml:space="preserve"> arrondissement de Nouakchott, et au poste de police de Za</w:t>
      </w:r>
      <w:r>
        <w:t xml:space="preserve">atar par un groupe de gendarmes. </w:t>
      </w:r>
    </w:p>
    <w:p w:rsidR="00523E02" w:rsidRPr="00824B99" w:rsidRDefault="00523E02" w:rsidP="009B61FF">
      <w:pPr>
        <w:pStyle w:val="SingleTxtG"/>
        <w:rPr>
          <w:lang w:val="fr-FR"/>
        </w:rPr>
      </w:pPr>
      <w:r>
        <w:rPr>
          <w:lang w:val="fr-FR"/>
        </w:rPr>
        <w:t>20.</w:t>
      </w:r>
      <w:r>
        <w:rPr>
          <w:lang w:val="fr-FR"/>
        </w:rPr>
        <w:tab/>
      </w:r>
      <w:r w:rsidRPr="00824B99">
        <w:rPr>
          <w:lang w:val="fr-FR"/>
        </w:rPr>
        <w:t xml:space="preserve">Compte tenu des renseignements </w:t>
      </w:r>
      <w:r>
        <w:rPr>
          <w:lang w:val="fr-FR"/>
        </w:rPr>
        <w:t>figurant</w:t>
      </w:r>
      <w:r w:rsidRPr="00824B99">
        <w:rPr>
          <w:lang w:val="fr-FR"/>
        </w:rPr>
        <w:t xml:space="preserve"> dans le rapport de l’État partie</w:t>
      </w:r>
      <w:r w:rsidRPr="00607EB4">
        <w:rPr>
          <w:rStyle w:val="Appelnotedebasdep"/>
        </w:rPr>
        <w:footnoteReference w:id="38"/>
      </w:r>
      <w:r w:rsidRPr="00824B99">
        <w:rPr>
          <w:lang w:val="fr-FR"/>
        </w:rPr>
        <w:t>,</w:t>
      </w:r>
      <w:r w:rsidRPr="002C5CD3">
        <w:t xml:space="preserve"> commenter </w:t>
      </w:r>
      <w:r>
        <w:t>l</w:t>
      </w:r>
      <w:r w:rsidRPr="002C5CD3">
        <w:t>es informations alléguant que, dans plusieurs cas, les procureurs et les juges d’instruction n</w:t>
      </w:r>
      <w:r>
        <w:t>’ont pris</w:t>
      </w:r>
      <w:r w:rsidRPr="002C5CD3">
        <w:t xml:space="preserve"> aucune mesure pour enquêter sur des </w:t>
      </w:r>
      <w:r w:rsidRPr="009B61FF">
        <w:rPr>
          <w:lang w:val="fr-FR"/>
        </w:rPr>
        <w:t>allégations</w:t>
      </w:r>
      <w:r w:rsidRPr="002C5CD3">
        <w:t xml:space="preserve"> de to</w:t>
      </w:r>
      <w:r>
        <w:t>rture et de mauvais traitements</w:t>
      </w:r>
      <w:r w:rsidRPr="00607EB4">
        <w:rPr>
          <w:rStyle w:val="Appelnotedebasdep"/>
        </w:rPr>
        <w:footnoteReference w:id="39"/>
      </w:r>
      <w:r>
        <w:t>.</w:t>
      </w:r>
      <w:r w:rsidRPr="002C5CD3">
        <w:t xml:space="preserve"> À cet égard, indiquer les mesures mises en place par l’Inspection générale du Ministère de la justice afin de contrôler et de sanctionner ces comportements déviants. Expliquer aussi les mesures prises pour lutter contre l’ingérence du pouvoir </w:t>
      </w:r>
      <w:r w:rsidRPr="002C5CD3">
        <w:lastRenderedPageBreak/>
        <w:t>exécutif dans les enquêtes, étant donné que le Président de la République et le Ministre de la justice peuvent chois</w:t>
      </w:r>
      <w:r>
        <w:t>ir des magistrats.</w:t>
      </w:r>
    </w:p>
    <w:p w:rsidR="00523E02" w:rsidRPr="002C5CD3" w:rsidRDefault="00523E02" w:rsidP="009B61FF">
      <w:pPr>
        <w:pStyle w:val="SingleTxtG"/>
      </w:pPr>
      <w:r>
        <w:rPr>
          <w:lang w:val="fr-FR"/>
        </w:rPr>
        <w:t>21.</w:t>
      </w:r>
      <w:r>
        <w:rPr>
          <w:lang w:val="fr-FR"/>
        </w:rPr>
        <w:tab/>
      </w:r>
      <w:r w:rsidRPr="002C5CD3">
        <w:rPr>
          <w:lang w:val="fr-FR"/>
        </w:rPr>
        <w:t>Compte tenu des précédentes observations finales du Comité (par. 19) et des informations contenues da</w:t>
      </w:r>
      <w:r>
        <w:rPr>
          <w:lang w:val="fr-FR"/>
        </w:rPr>
        <w:t>ns le rapport de l’État partie</w:t>
      </w:r>
      <w:r w:rsidRPr="00607EB4">
        <w:rPr>
          <w:rStyle w:val="Appelnotedebasdep"/>
        </w:rPr>
        <w:footnoteReference w:id="40"/>
      </w:r>
      <w:r>
        <w:rPr>
          <w:lang w:val="fr-FR"/>
        </w:rPr>
        <w:t>,</w:t>
      </w:r>
      <w:r w:rsidRPr="002C5CD3">
        <w:rPr>
          <w:lang w:val="fr-FR"/>
        </w:rPr>
        <w:t xml:space="preserve"> d</w:t>
      </w:r>
      <w:r w:rsidRPr="002C5CD3">
        <w:rPr>
          <w:spacing w:val="-2"/>
          <w:lang w:val="fr-FR"/>
        </w:rPr>
        <w:t xml:space="preserve">onner des informations à jour sur les mesures prises ou envisagées pour amender la loi d’amnistie </w:t>
      </w:r>
      <w:r>
        <w:rPr>
          <w:spacing w:val="-2"/>
          <w:lang w:val="fr-FR"/>
        </w:rPr>
        <w:t>n</w:t>
      </w:r>
      <w:r w:rsidRPr="003752A6">
        <w:rPr>
          <w:spacing w:val="-2"/>
          <w:vertAlign w:val="superscript"/>
          <w:lang w:val="fr-FR"/>
        </w:rPr>
        <w:t>o</w:t>
      </w:r>
      <w:r>
        <w:rPr>
          <w:spacing w:val="-2"/>
          <w:lang w:val="fr-FR"/>
        </w:rPr>
        <w:t> </w:t>
      </w:r>
      <w:r w:rsidRPr="002C5CD3">
        <w:rPr>
          <w:spacing w:val="-2"/>
          <w:lang w:val="fr-FR"/>
        </w:rPr>
        <w:t>92-93 et pour enquêter sur les allégations d’actes de torture et de mauvais traitements qui auraient eu lieu pendant la période appelée « passif humanitaire », à la fin des années 1980 et au début des années 1990</w:t>
      </w:r>
      <w:r w:rsidRPr="00607EB4">
        <w:rPr>
          <w:rStyle w:val="Appelnotedebasdep"/>
        </w:rPr>
        <w:footnoteReference w:id="41"/>
      </w:r>
      <w:r>
        <w:rPr>
          <w:spacing w:val="-2"/>
          <w:lang w:val="fr-FR"/>
        </w:rPr>
        <w:t>.</w:t>
      </w:r>
      <w:r w:rsidRPr="002C5CD3">
        <w:t xml:space="preserve"> Indiquer aussi les voies de recours, </w:t>
      </w:r>
      <w:r w:rsidRPr="002C5CD3">
        <w:rPr>
          <w:iCs/>
          <w:lang w:eastAsia="fr-FR"/>
        </w:rPr>
        <w:t xml:space="preserve">la protection garantie aux victimes et </w:t>
      </w:r>
      <w:r>
        <w:rPr>
          <w:iCs/>
          <w:lang w:eastAsia="fr-FR"/>
        </w:rPr>
        <w:t xml:space="preserve">à </w:t>
      </w:r>
      <w:r w:rsidRPr="002C5CD3">
        <w:rPr>
          <w:iCs/>
          <w:lang w:eastAsia="fr-FR"/>
        </w:rPr>
        <w:t>leurs familles</w:t>
      </w:r>
      <w:r w:rsidRPr="002C5CD3">
        <w:t xml:space="preserve"> et les réparations obtenues par les victimes à ce jour.</w:t>
      </w:r>
      <w:r w:rsidRPr="002C5CD3">
        <w:rPr>
          <w:spacing w:val="-2"/>
          <w:lang w:val="fr-FR"/>
        </w:rPr>
        <w:t xml:space="preserve"> </w:t>
      </w:r>
    </w:p>
    <w:p w:rsidR="00523E02" w:rsidRPr="002C5CD3" w:rsidRDefault="00523E02" w:rsidP="009B61FF">
      <w:pPr>
        <w:pStyle w:val="SingleTxtG"/>
      </w:pPr>
      <w:r>
        <w:rPr>
          <w:lang w:val="fr-FR"/>
        </w:rPr>
        <w:t>22.</w:t>
      </w:r>
      <w:r>
        <w:rPr>
          <w:lang w:val="fr-FR"/>
        </w:rPr>
        <w:tab/>
      </w:r>
      <w:r w:rsidRPr="002C5CD3">
        <w:rPr>
          <w:lang w:val="fr-FR"/>
        </w:rPr>
        <w:t xml:space="preserve">Compte tenu des </w:t>
      </w:r>
      <w:r w:rsidRPr="00505D31">
        <w:t>précédentes</w:t>
      </w:r>
      <w:r w:rsidRPr="002C5CD3">
        <w:rPr>
          <w:lang w:val="fr-FR"/>
        </w:rPr>
        <w:t xml:space="preserve"> observations finales du Comité (par. 22 e)) et des informations contenues d</w:t>
      </w:r>
      <w:r>
        <w:rPr>
          <w:lang w:val="fr-FR"/>
        </w:rPr>
        <w:t>ans le rapport de l’État partie</w:t>
      </w:r>
      <w:r w:rsidRPr="00607EB4">
        <w:rPr>
          <w:rStyle w:val="Appelnotedebasdep"/>
        </w:rPr>
        <w:footnoteReference w:id="42"/>
      </w:r>
      <w:r>
        <w:rPr>
          <w:lang w:val="fr-FR"/>
        </w:rPr>
        <w:t>,</w:t>
      </w:r>
      <w:r w:rsidRPr="002C5CD3">
        <w:rPr>
          <w:lang w:val="fr-FR"/>
        </w:rPr>
        <w:t xml:space="preserve"> </w:t>
      </w:r>
      <w:r w:rsidRPr="002C5CD3">
        <w:t>indiquer les mesures envisagées pour garantir la confidentialité et l’indépendance du dispositif de dépôt de plaintes pour torture et mauvais traitements lorsque les victimes sont privées de leur liberté</w:t>
      </w:r>
      <w:r w:rsidRPr="00607EB4">
        <w:rPr>
          <w:rStyle w:val="Appelnotedebasdep"/>
        </w:rPr>
        <w:footnoteReference w:id="43"/>
      </w:r>
      <w:r>
        <w:t>.</w:t>
      </w:r>
      <w:r w:rsidRPr="002C5CD3">
        <w:t xml:space="preserve"> Indiquer aussi les mesures prises pour :</w:t>
      </w:r>
    </w:p>
    <w:p w:rsidR="00523E02" w:rsidRPr="002C5CD3" w:rsidRDefault="00523E02" w:rsidP="009B61FF">
      <w:pPr>
        <w:pStyle w:val="SingleTxtG"/>
        <w:ind w:firstLine="567"/>
      </w:pPr>
      <w:r>
        <w:t>a)</w:t>
      </w:r>
      <w:r>
        <w:tab/>
      </w:r>
      <w:r w:rsidRPr="002C5CD3">
        <w:t>Que les détenus puissent s’entretenir en toute confidentialité avec des procureurs ou des magistrats</w:t>
      </w:r>
      <w:r>
        <w:t xml:space="preserve"> </w:t>
      </w:r>
      <w:r w:rsidRPr="002C5CD3">
        <w:t>lors des visi</w:t>
      </w:r>
      <w:r>
        <w:t>tes des lieux de détention</w:t>
      </w:r>
      <w:r w:rsidRPr="00607EB4">
        <w:rPr>
          <w:rStyle w:val="Appelnotedebasdep"/>
        </w:rPr>
        <w:footnoteReference w:id="44"/>
      </w:r>
      <w:r>
        <w:t> ;</w:t>
      </w:r>
    </w:p>
    <w:p w:rsidR="00523E02" w:rsidRPr="002C5CD3" w:rsidRDefault="00523E02" w:rsidP="009B61FF">
      <w:pPr>
        <w:pStyle w:val="SingleTxtG"/>
        <w:ind w:firstLine="567"/>
      </w:pPr>
      <w:r>
        <w:t>b)</w:t>
      </w:r>
      <w:r>
        <w:tab/>
      </w:r>
      <w:r w:rsidRPr="002C5CD3">
        <w:t xml:space="preserve">Que les </w:t>
      </w:r>
      <w:r w:rsidRPr="009B61FF">
        <w:rPr>
          <w:lang w:val="fr-FR"/>
        </w:rPr>
        <w:t>allégations</w:t>
      </w:r>
      <w:r w:rsidRPr="002C5CD3">
        <w:t xml:space="preserve"> de torture et de mauvais traitements soient recevables à tous les st</w:t>
      </w:r>
      <w:r>
        <w:t>ades de la procédure judiciaire</w:t>
      </w:r>
      <w:r w:rsidRPr="00607EB4">
        <w:rPr>
          <w:rStyle w:val="Appelnotedebasdep"/>
        </w:rPr>
        <w:footnoteReference w:id="45"/>
      </w:r>
      <w:r>
        <w:t>.</w:t>
      </w:r>
    </w:p>
    <w:p w:rsidR="00523E02" w:rsidRPr="002C5CD3" w:rsidRDefault="00523E02" w:rsidP="009B61FF">
      <w:pPr>
        <w:pStyle w:val="SingleTxtG"/>
        <w:rPr>
          <w:lang w:val="fr-FR"/>
        </w:rPr>
      </w:pPr>
      <w:r>
        <w:t>23.</w:t>
      </w:r>
      <w:r>
        <w:tab/>
        <w:t>É</w:t>
      </w:r>
      <w:r w:rsidRPr="002C5CD3">
        <w:t xml:space="preserve">tant donné l’article 20 de la nouvelle loi relative à la lutte contre la torture, indiquer les mesures prises par décret pour assurer la protection </w:t>
      </w:r>
      <w:r>
        <w:t>des</w:t>
      </w:r>
      <w:r w:rsidRPr="002C5CD3">
        <w:t xml:space="preserve"> victimes d’actes de torture et de mauvais traitements, </w:t>
      </w:r>
      <w:r>
        <w:t>des</w:t>
      </w:r>
      <w:r w:rsidRPr="002C5CD3">
        <w:t xml:space="preserve"> témoins ou personnes </w:t>
      </w:r>
      <w:r w:rsidRPr="009B61FF">
        <w:rPr>
          <w:lang w:val="fr-FR"/>
        </w:rPr>
        <w:t>chargées</w:t>
      </w:r>
      <w:r w:rsidRPr="002C5CD3">
        <w:t xml:space="preserve"> de l’enquête ainsi que </w:t>
      </w:r>
      <w:r>
        <w:t xml:space="preserve">de </w:t>
      </w:r>
      <w:r w:rsidRPr="002C5CD3">
        <w:t xml:space="preserve">leurs familles contre toute forme d’intimidation ou de représailles en raison de plaintes déposées. </w:t>
      </w:r>
    </w:p>
    <w:p w:rsidR="00523E02" w:rsidRPr="002C5CD3" w:rsidRDefault="00523E02" w:rsidP="009B61FF">
      <w:pPr>
        <w:pStyle w:val="H23G"/>
        <w:rPr>
          <w:lang w:val="fr-FR"/>
        </w:rPr>
      </w:pPr>
      <w:r w:rsidRPr="002C5CD3">
        <w:rPr>
          <w:lang w:val="fr-FR"/>
        </w:rPr>
        <w:tab/>
      </w:r>
      <w:r w:rsidRPr="002C5CD3">
        <w:rPr>
          <w:lang w:val="fr-FR"/>
        </w:rPr>
        <w:tab/>
        <w:t>Article 14</w:t>
      </w:r>
    </w:p>
    <w:p w:rsidR="00523E02" w:rsidRPr="002C5CD3" w:rsidRDefault="00523E02" w:rsidP="009B61FF">
      <w:pPr>
        <w:pStyle w:val="SingleTxtG"/>
        <w:rPr>
          <w:lang w:val="fr-FR"/>
        </w:rPr>
      </w:pPr>
      <w:r>
        <w:t>24.</w:t>
      </w:r>
      <w:r>
        <w:tab/>
      </w:r>
      <w:r w:rsidRPr="002C5CD3">
        <w:t>Eu égard aux précédentes observations finales du Comité (par.</w:t>
      </w:r>
      <w:r>
        <w:t> </w:t>
      </w:r>
      <w:r w:rsidRPr="002C5CD3">
        <w:t>20) et compte tenu des articles 21 et 22 de la nouvelle loi relative à la lutte contre la torture</w:t>
      </w:r>
      <w:r w:rsidRPr="00607EB4">
        <w:rPr>
          <w:rStyle w:val="Appelnotedebasdep"/>
        </w:rPr>
        <w:footnoteReference w:id="46"/>
      </w:r>
      <w:r w:rsidRPr="002C5CD3">
        <w:rPr>
          <w:lang w:val="fr-FR"/>
        </w:rPr>
        <w:t xml:space="preserve">, donner plus d’informations sur les mesures visant à garantir que toutes les victimes de torture et de mauvais traitements obtiennent les moyens nécessaires à </w:t>
      </w:r>
      <w:r>
        <w:rPr>
          <w:lang w:val="fr-FR"/>
        </w:rPr>
        <w:t>leur</w:t>
      </w:r>
      <w:r w:rsidRPr="002C5CD3">
        <w:rPr>
          <w:lang w:val="fr-FR"/>
        </w:rPr>
        <w:t xml:space="preserve"> réadaptation la plus complète possible. </w:t>
      </w:r>
    </w:p>
    <w:p w:rsidR="00523E02" w:rsidRPr="002C5CD3" w:rsidRDefault="00523E02" w:rsidP="009B61FF">
      <w:pPr>
        <w:pStyle w:val="SingleTxtG"/>
        <w:rPr>
          <w:lang w:val="fr-FR"/>
        </w:rPr>
      </w:pPr>
      <w:r>
        <w:rPr>
          <w:lang w:val="fr-FR"/>
        </w:rPr>
        <w:t>25.</w:t>
      </w:r>
      <w:r>
        <w:rPr>
          <w:lang w:val="fr-FR"/>
        </w:rPr>
        <w:tab/>
      </w:r>
      <w:r w:rsidRPr="002C5CD3">
        <w:rPr>
          <w:lang w:val="fr-FR"/>
        </w:rPr>
        <w:t xml:space="preserve">Fournir des statistiques annuelles sur les mesures de réparation et d’indemnisation, y compris de </w:t>
      </w:r>
      <w:r w:rsidRPr="00505D31">
        <w:t>réadaptation</w:t>
      </w:r>
      <w:r w:rsidRPr="002C5CD3">
        <w:rPr>
          <w:lang w:val="fr-FR"/>
        </w:rPr>
        <w:t>, qui ont été ordonnées par les tribunaux et dont les victimes d’actes de torture ou de mauvais traitements ou leur famille ont effectivement bénéficié depuis l’examen du précédent rapport périodique en 2013. Ces statistiques devraient comprendre des données sur : a) le nombre de demandes d’indemnisation par l’État portant sur des actes de torture et des mauvais traitements ; b) le nombre de demandes prescrites du fait de l’inertie des tribunaux ; et c) le nombre de demandes auxquelles il a été fait droit, accompagné du montant des indemnisations accordées dans les cas où les plaignants ont obtenu gain de cause.</w:t>
      </w:r>
    </w:p>
    <w:p w:rsidR="00523E02" w:rsidRPr="002C5CD3" w:rsidRDefault="00523E02" w:rsidP="009B61FF">
      <w:pPr>
        <w:pStyle w:val="H23G"/>
        <w:rPr>
          <w:lang w:val="fr-FR"/>
        </w:rPr>
      </w:pPr>
      <w:r w:rsidRPr="002C5CD3">
        <w:rPr>
          <w:lang w:val="fr-FR"/>
        </w:rPr>
        <w:tab/>
      </w:r>
      <w:r w:rsidRPr="002C5CD3">
        <w:rPr>
          <w:lang w:val="fr-FR"/>
        </w:rPr>
        <w:tab/>
        <w:t>Article 15</w:t>
      </w:r>
    </w:p>
    <w:p w:rsidR="00523E02" w:rsidRPr="002C5CD3" w:rsidRDefault="00523E02" w:rsidP="009B61FF">
      <w:pPr>
        <w:pStyle w:val="SingleTxtG"/>
        <w:rPr>
          <w:lang w:val="fr-FR"/>
        </w:rPr>
      </w:pPr>
      <w:r>
        <w:rPr>
          <w:lang w:val="fr-FR"/>
        </w:rPr>
        <w:t>26.</w:t>
      </w:r>
      <w:r>
        <w:rPr>
          <w:lang w:val="fr-FR"/>
        </w:rPr>
        <w:tab/>
      </w:r>
      <w:r w:rsidRPr="002C5CD3">
        <w:rPr>
          <w:lang w:val="fr-FR"/>
        </w:rPr>
        <w:t>Eu égard aux précédentes observations finales du Comité (par.</w:t>
      </w:r>
      <w:r>
        <w:rPr>
          <w:lang w:val="fr-FR"/>
        </w:rPr>
        <w:t> </w:t>
      </w:r>
      <w:r w:rsidRPr="002C5CD3">
        <w:rPr>
          <w:lang w:val="fr-FR"/>
        </w:rPr>
        <w:t>8 c)) et compte tenu de l’</w:t>
      </w:r>
      <w:r w:rsidRPr="002C5CD3">
        <w:t>article 6 de la nouvelle loi relati</w:t>
      </w:r>
      <w:r>
        <w:t>ve à la lutte contre la torture,</w:t>
      </w:r>
      <w:r w:rsidRPr="002C5CD3">
        <w:t xml:space="preserve"> </w:t>
      </w:r>
      <w:r w:rsidRPr="002C5CD3">
        <w:rPr>
          <w:lang w:val="fr-FR"/>
        </w:rPr>
        <w:t xml:space="preserve">décrire les mesures prises </w:t>
      </w:r>
      <w:r>
        <w:rPr>
          <w:lang w:val="fr-FR"/>
        </w:rPr>
        <w:t>pour</w:t>
      </w:r>
      <w:r w:rsidRPr="002C5CD3">
        <w:rPr>
          <w:lang w:val="fr-FR"/>
        </w:rPr>
        <w:t xml:space="preserve"> que les tribunaux donnent pleinement effet à la règle de l’irrecevabilité des éléments d</w:t>
      </w:r>
      <w:r>
        <w:rPr>
          <w:lang w:val="fr-FR"/>
        </w:rPr>
        <w:t>e preuve obtenus par la torture</w:t>
      </w:r>
      <w:r w:rsidRPr="00607EB4">
        <w:rPr>
          <w:rStyle w:val="Appelnotedebasdep"/>
        </w:rPr>
        <w:footnoteReference w:id="47"/>
      </w:r>
      <w:r>
        <w:rPr>
          <w:lang w:val="fr-FR"/>
        </w:rPr>
        <w:t>.</w:t>
      </w:r>
      <w:r w:rsidRPr="002C5CD3">
        <w:rPr>
          <w:lang w:val="fr-FR"/>
        </w:rPr>
        <w:t xml:space="preserve"> </w:t>
      </w:r>
      <w:r>
        <w:t>F</w:t>
      </w:r>
      <w:r w:rsidRPr="002C5CD3">
        <w:t xml:space="preserve">ournir, pour la période écoulée depuis 2013, des statistiques sur le nombre d’affaires dans lesquelles des détenus ont affirmé que leurs aveux leur avaient été arrachés par la torture, le nombre d’affaires dans lesquelles des aveux ont </w:t>
      </w:r>
      <w:r w:rsidRPr="002C5CD3">
        <w:lastRenderedPageBreak/>
        <w:t>été déclaré irrecevables</w:t>
      </w:r>
      <w:r>
        <w:t xml:space="preserve"> et</w:t>
      </w:r>
      <w:r w:rsidRPr="002C5CD3">
        <w:t xml:space="preserve"> le nombre de plaintes de ce type qui ont donné lieu à des enquêtes, en précisant leur </w:t>
      </w:r>
      <w:r>
        <w:t>résultat</w:t>
      </w:r>
      <w:r w:rsidRPr="002C5CD3">
        <w:t xml:space="preserve">, </w:t>
      </w:r>
      <w:r>
        <w:t>y compris</w:t>
      </w:r>
      <w:r w:rsidRPr="002C5CD3">
        <w:t xml:space="preserve"> les peines prononcées contre les personnes reconnues coupables de ces actes, le cas échéant, et les mesures de réparation et d’indemnisation accordées aux victimes. </w:t>
      </w:r>
    </w:p>
    <w:p w:rsidR="00523E02" w:rsidRPr="002C5CD3" w:rsidRDefault="00523E02" w:rsidP="009B61FF">
      <w:pPr>
        <w:pStyle w:val="H23G"/>
        <w:rPr>
          <w:lang w:val="fr-FR"/>
        </w:rPr>
      </w:pPr>
      <w:r w:rsidRPr="002C5CD3">
        <w:tab/>
      </w:r>
      <w:r w:rsidRPr="002C5CD3">
        <w:tab/>
      </w:r>
      <w:r w:rsidRPr="002C5CD3">
        <w:rPr>
          <w:lang w:val="fr-FR"/>
        </w:rPr>
        <w:t>Article 16</w:t>
      </w:r>
    </w:p>
    <w:p w:rsidR="00523E02" w:rsidRPr="002C5CD3" w:rsidRDefault="00523E02" w:rsidP="009B61FF">
      <w:pPr>
        <w:pStyle w:val="SingleTxtG"/>
        <w:rPr>
          <w:spacing w:val="-2"/>
          <w:lang w:val="fr-FR"/>
        </w:rPr>
      </w:pPr>
      <w:r>
        <w:rPr>
          <w:lang w:val="fr-FR"/>
        </w:rPr>
        <w:t>27.</w:t>
      </w:r>
      <w:r>
        <w:rPr>
          <w:lang w:val="fr-FR"/>
        </w:rPr>
        <w:tab/>
      </w:r>
      <w:r w:rsidRPr="002C5CD3">
        <w:t xml:space="preserve">Compte tenu des informations reçues par le Rapporteur spécial sur </w:t>
      </w:r>
      <w:r>
        <w:t xml:space="preserve">la question de </w:t>
      </w:r>
      <w:r w:rsidRPr="002C5CD3">
        <w:t xml:space="preserve">la torture selon lesquelles les membres </w:t>
      </w:r>
      <w:r w:rsidRPr="009B61FF">
        <w:rPr>
          <w:lang w:val="fr-FR"/>
        </w:rPr>
        <w:t>des</w:t>
      </w:r>
      <w:r w:rsidRPr="002C5CD3">
        <w:t xml:space="preserve"> forces de l’ordre </w:t>
      </w:r>
      <w:r>
        <w:t>avaient fait</w:t>
      </w:r>
      <w:r w:rsidRPr="002C5CD3">
        <w:t xml:space="preserve"> usage d’une force excessive et de méthodes violentes pour disperser </w:t>
      </w:r>
      <w:r>
        <w:t>d</w:t>
      </w:r>
      <w:r w:rsidRPr="002C5CD3">
        <w:t>es manifestants</w:t>
      </w:r>
      <w:r w:rsidRPr="00607EB4">
        <w:rPr>
          <w:rStyle w:val="Appelnotedebasdep"/>
        </w:rPr>
        <w:footnoteReference w:id="48"/>
      </w:r>
      <w:r>
        <w:t>,</w:t>
      </w:r>
      <w:r w:rsidRPr="00513669">
        <w:rPr>
          <w:rFonts w:ascii="Calibri" w:hAnsi="Calibri" w:cs="Arial"/>
          <w:sz w:val="22"/>
          <w:szCs w:val="22"/>
        </w:rPr>
        <w:t xml:space="preserve"> </w:t>
      </w:r>
      <w:r w:rsidRPr="002C5CD3">
        <w:rPr>
          <w:spacing w:val="-2"/>
          <w:lang w:val="fr-FR"/>
        </w:rPr>
        <w:t>notamment lors des manifestations de janvier 2015 et juin 2016</w:t>
      </w:r>
      <w:r>
        <w:rPr>
          <w:spacing w:val="-2"/>
          <w:lang w:val="fr-FR"/>
        </w:rPr>
        <w:t>,</w:t>
      </w:r>
      <w:r w:rsidRPr="002C5CD3">
        <w:rPr>
          <w:spacing w:val="-2"/>
          <w:lang w:val="fr-FR"/>
        </w:rPr>
        <w:t xml:space="preserve"> fournir des données, pour la période écoulée depuis 2013, ventilées par type d’infraction et par sexe,</w:t>
      </w:r>
      <w:r>
        <w:rPr>
          <w:spacing w:val="-2"/>
          <w:lang w:val="fr-FR"/>
        </w:rPr>
        <w:t xml:space="preserve"> </w:t>
      </w:r>
      <w:r w:rsidRPr="002C5CD3">
        <w:rPr>
          <w:spacing w:val="-2"/>
          <w:lang w:val="fr-FR"/>
        </w:rPr>
        <w:t>tranche d’âge et appartenance ethnique de la victime, sur : a) le nombre de plaintes reçues par les procureurs ou toute autre autorité compétente, ou de rapports d’enquête déposés, portant sur l’usage excessif de la force par des agents de la force publique</w:t>
      </w:r>
      <w:r>
        <w:rPr>
          <w:spacing w:val="-2"/>
          <w:lang w:val="fr-FR"/>
        </w:rPr>
        <w:t> </w:t>
      </w:r>
      <w:r w:rsidRPr="002C5CD3">
        <w:rPr>
          <w:spacing w:val="-2"/>
          <w:lang w:val="fr-FR"/>
        </w:rPr>
        <w:t>; b) le nombre de ces plaintes qui ont fait l’objet d’une enquête pénale ou disciplinaire</w:t>
      </w:r>
      <w:r>
        <w:rPr>
          <w:spacing w:val="-2"/>
          <w:lang w:val="fr-FR"/>
        </w:rPr>
        <w:t> </w:t>
      </w:r>
      <w:r w:rsidRPr="002C5CD3">
        <w:rPr>
          <w:spacing w:val="-2"/>
          <w:lang w:val="fr-FR"/>
        </w:rPr>
        <w:t>; c) le nombre d’entre elles qui ont été classées sans suite</w:t>
      </w:r>
      <w:r>
        <w:rPr>
          <w:spacing w:val="-2"/>
          <w:lang w:val="fr-FR"/>
        </w:rPr>
        <w:t> </w:t>
      </w:r>
      <w:r w:rsidRPr="002C5CD3">
        <w:rPr>
          <w:spacing w:val="-2"/>
          <w:lang w:val="fr-FR"/>
        </w:rPr>
        <w:t>; d) le nombre d’entre elles qui ont donné lieu à des poursuites</w:t>
      </w:r>
      <w:r>
        <w:rPr>
          <w:spacing w:val="-2"/>
          <w:lang w:val="fr-FR"/>
        </w:rPr>
        <w:t> </w:t>
      </w:r>
      <w:r w:rsidRPr="002C5CD3">
        <w:rPr>
          <w:spacing w:val="-2"/>
          <w:lang w:val="fr-FR"/>
        </w:rPr>
        <w:t>; e) le nombre d’entre elles qui ont abouti à une condamnation</w:t>
      </w:r>
      <w:r>
        <w:rPr>
          <w:spacing w:val="-2"/>
          <w:lang w:val="fr-FR"/>
        </w:rPr>
        <w:t> </w:t>
      </w:r>
      <w:r w:rsidRPr="002C5CD3">
        <w:rPr>
          <w:spacing w:val="-2"/>
          <w:lang w:val="fr-FR"/>
        </w:rPr>
        <w:t xml:space="preserve">; et f) les sanctions pénales et disciplinaires qui ont été appliquées, en indiquant la durée des peines d’emprisonnement, les peines prononcées contre les personnes reconnues coupables de ces actes, le cas échéant, et les mesures de réparation et d’indemnisation accordées aux victimes. </w:t>
      </w:r>
      <w:r>
        <w:rPr>
          <w:spacing w:val="-2"/>
          <w:lang w:val="fr-FR"/>
        </w:rPr>
        <w:t>Indiquer</w:t>
      </w:r>
      <w:r w:rsidRPr="002C5CD3">
        <w:rPr>
          <w:spacing w:val="-2"/>
          <w:lang w:val="fr-FR"/>
        </w:rPr>
        <w:t xml:space="preserve"> notamment si des enquêtes ont été ouvertes, et les</w:t>
      </w:r>
      <w:r>
        <w:rPr>
          <w:spacing w:val="-2"/>
          <w:lang w:val="fr-FR"/>
        </w:rPr>
        <w:t xml:space="preserve"> </w:t>
      </w:r>
      <w:r w:rsidRPr="002C5CD3">
        <w:rPr>
          <w:spacing w:val="-2"/>
          <w:lang w:val="fr-FR"/>
        </w:rPr>
        <w:t>résultats de ces enquêtes,</w:t>
      </w:r>
      <w:r>
        <w:rPr>
          <w:spacing w:val="-2"/>
          <w:lang w:val="fr-FR"/>
        </w:rPr>
        <w:t xml:space="preserve"> </w:t>
      </w:r>
      <w:r w:rsidRPr="002C5CD3">
        <w:rPr>
          <w:spacing w:val="-2"/>
          <w:lang w:val="fr-FR"/>
        </w:rPr>
        <w:t>concernant des allégations d’usage excessif de la force pendant : i</w:t>
      </w:r>
      <w:r w:rsidR="006163BC" w:rsidRPr="002C5CD3">
        <w:rPr>
          <w:spacing w:val="-2"/>
          <w:lang w:val="fr-FR"/>
        </w:rPr>
        <w:t>)</w:t>
      </w:r>
      <w:r w:rsidR="006163BC">
        <w:rPr>
          <w:spacing w:val="-2"/>
          <w:lang w:val="fr-FR"/>
        </w:rPr>
        <w:t> </w:t>
      </w:r>
      <w:r w:rsidRPr="002C5CD3">
        <w:rPr>
          <w:spacing w:val="-2"/>
          <w:lang w:val="fr-FR"/>
        </w:rPr>
        <w:t>la manifestation de plusieurs organisations de</w:t>
      </w:r>
      <w:r>
        <w:rPr>
          <w:spacing w:val="-2"/>
          <w:lang w:val="fr-FR"/>
        </w:rPr>
        <w:t>s</w:t>
      </w:r>
      <w:r w:rsidRPr="002C5CD3">
        <w:rPr>
          <w:spacing w:val="-2"/>
          <w:lang w:val="fr-FR"/>
        </w:rPr>
        <w:t xml:space="preserve"> droits de l’homme à Nouakchott en avril 2017 ; ii</w:t>
      </w:r>
      <w:r w:rsidR="006163BC" w:rsidRPr="002C5CD3">
        <w:rPr>
          <w:spacing w:val="-2"/>
          <w:lang w:val="fr-FR"/>
        </w:rPr>
        <w:t>)</w:t>
      </w:r>
      <w:r w:rsidR="006163BC">
        <w:rPr>
          <w:spacing w:val="-2"/>
          <w:lang w:val="fr-FR"/>
        </w:rPr>
        <w:t> </w:t>
      </w:r>
      <w:r w:rsidRPr="002C5CD3">
        <w:rPr>
          <w:spacing w:val="-2"/>
          <w:lang w:val="fr-FR"/>
        </w:rPr>
        <w:t xml:space="preserve">des rafles massives dans les quartiers </w:t>
      </w:r>
      <w:r>
        <w:rPr>
          <w:spacing w:val="-2"/>
          <w:lang w:val="fr-FR"/>
        </w:rPr>
        <w:t>d’</w:t>
      </w:r>
      <w:r w:rsidRPr="002C5CD3">
        <w:rPr>
          <w:spacing w:val="-2"/>
          <w:lang w:val="fr-FR"/>
        </w:rPr>
        <w:t xml:space="preserve">El Mina et </w:t>
      </w:r>
      <w:r>
        <w:rPr>
          <w:spacing w:val="-2"/>
          <w:lang w:val="fr-FR"/>
        </w:rPr>
        <w:t xml:space="preserve">de </w:t>
      </w:r>
      <w:r w:rsidRPr="002C5CD3">
        <w:rPr>
          <w:spacing w:val="-2"/>
          <w:lang w:val="fr-FR"/>
        </w:rPr>
        <w:t>Sebkha dans le</w:t>
      </w:r>
      <w:r>
        <w:rPr>
          <w:spacing w:val="-2"/>
          <w:lang w:val="fr-FR"/>
        </w:rPr>
        <w:t>s</w:t>
      </w:r>
      <w:r w:rsidRPr="002C5CD3">
        <w:rPr>
          <w:spacing w:val="-2"/>
          <w:lang w:val="fr-FR"/>
        </w:rPr>
        <w:t xml:space="preserve"> 5</w:t>
      </w:r>
      <w:r w:rsidRPr="003752A6">
        <w:rPr>
          <w:spacing w:val="-2"/>
          <w:vertAlign w:val="superscript"/>
          <w:lang w:val="fr-FR"/>
        </w:rPr>
        <w:t>e</w:t>
      </w:r>
      <w:r w:rsidRPr="002C5CD3">
        <w:rPr>
          <w:spacing w:val="-2"/>
          <w:lang w:val="fr-FR"/>
        </w:rPr>
        <w:t xml:space="preserve"> et 6</w:t>
      </w:r>
      <w:r w:rsidRPr="003752A6">
        <w:rPr>
          <w:spacing w:val="-2"/>
          <w:vertAlign w:val="superscript"/>
          <w:lang w:val="fr-FR"/>
        </w:rPr>
        <w:t>e</w:t>
      </w:r>
      <w:r w:rsidRPr="002C5CD3">
        <w:rPr>
          <w:spacing w:val="-2"/>
          <w:lang w:val="fr-FR"/>
        </w:rPr>
        <w:t xml:space="preserve"> arrondissement</w:t>
      </w:r>
      <w:r>
        <w:rPr>
          <w:spacing w:val="-2"/>
          <w:lang w:val="fr-FR"/>
        </w:rPr>
        <w:t>s</w:t>
      </w:r>
      <w:r w:rsidRPr="002C5CD3">
        <w:rPr>
          <w:spacing w:val="-2"/>
          <w:lang w:val="fr-FR"/>
        </w:rPr>
        <w:t xml:space="preserve"> de la capitale, le 29</w:t>
      </w:r>
      <w:r w:rsidR="006163BC">
        <w:rPr>
          <w:spacing w:val="-2"/>
          <w:lang w:val="fr-FR"/>
        </w:rPr>
        <w:t> février</w:t>
      </w:r>
      <w:r w:rsidRPr="002C5CD3">
        <w:rPr>
          <w:spacing w:val="-2"/>
          <w:lang w:val="fr-FR"/>
        </w:rPr>
        <w:t xml:space="preserve"> 2016.</w:t>
      </w:r>
      <w:r>
        <w:rPr>
          <w:spacing w:val="-2"/>
          <w:lang w:val="fr-FR"/>
        </w:rPr>
        <w:t xml:space="preserve"> </w:t>
      </w:r>
      <w:r w:rsidRPr="002C5CD3">
        <w:rPr>
          <w:spacing w:val="-2"/>
          <w:lang w:val="fr-FR"/>
        </w:rPr>
        <w:t xml:space="preserve">Indiquer aussi les mesures prévues pour </w:t>
      </w:r>
      <w:r>
        <w:rPr>
          <w:spacing w:val="-2"/>
          <w:lang w:val="fr-FR"/>
        </w:rPr>
        <w:t>veiller à la non-répétition de ces abus.</w:t>
      </w:r>
      <w:r w:rsidRPr="003752A6">
        <w:rPr>
          <w:spacing w:val="-2"/>
          <w:lang w:val="fr-FR"/>
        </w:rPr>
        <w:t xml:space="preserve"> </w:t>
      </w:r>
      <w:r>
        <w:rPr>
          <w:rFonts w:eastAsia="Times New Roman"/>
          <w:spacing w:val="-2"/>
          <w:lang w:val="fr-FR"/>
        </w:rPr>
        <w:t>Préciser</w:t>
      </w:r>
      <w:r w:rsidRPr="005F4089">
        <w:rPr>
          <w:rFonts w:eastAsia="Times New Roman"/>
          <w:spacing w:val="-2"/>
          <w:lang w:val="fr-FR"/>
        </w:rPr>
        <w:t xml:space="preserve"> </w:t>
      </w:r>
      <w:r w:rsidRPr="004D15D0">
        <w:rPr>
          <w:rFonts w:eastAsia="Times New Roman"/>
          <w:spacing w:val="-2"/>
          <w:lang w:val="fr-FR"/>
        </w:rPr>
        <w:t>si des enquêtes ont été ouvertes, et les résultats de ces enquêtes, concernant des</w:t>
      </w:r>
      <w:r>
        <w:rPr>
          <w:rFonts w:eastAsia="Times New Roman"/>
          <w:spacing w:val="-2"/>
          <w:lang w:val="fr-FR"/>
        </w:rPr>
        <w:t xml:space="preserve"> allégations de torture subie par des personnes arrêtées lors </w:t>
      </w:r>
      <w:r w:rsidRPr="005F4089">
        <w:rPr>
          <w:rFonts w:eastAsia="Times New Roman"/>
          <w:spacing w:val="-2"/>
          <w:lang w:val="fr-FR"/>
        </w:rPr>
        <w:t>des manifestations contre les expulsions à Nouakchott en juin 2016</w:t>
      </w:r>
      <w:r>
        <w:rPr>
          <w:rFonts w:eastAsia="Times New Roman"/>
          <w:spacing w:val="-2"/>
          <w:lang w:val="fr-FR"/>
        </w:rPr>
        <w:t>.</w:t>
      </w:r>
    </w:p>
    <w:p w:rsidR="00523E02" w:rsidRPr="00513669" w:rsidRDefault="00523E02" w:rsidP="009B61FF">
      <w:pPr>
        <w:pStyle w:val="SingleTxtG"/>
        <w:rPr>
          <w:rFonts w:ascii="Calibri" w:hAnsi="Calibri" w:cs="Arial"/>
          <w:sz w:val="22"/>
          <w:szCs w:val="22"/>
          <w:lang w:val="fr-FR"/>
        </w:rPr>
      </w:pPr>
      <w:r>
        <w:rPr>
          <w:lang w:val="fr-FR"/>
        </w:rPr>
        <w:t>28.</w:t>
      </w:r>
      <w:r>
        <w:rPr>
          <w:lang w:val="fr-FR"/>
        </w:rPr>
        <w:tab/>
        <w:t>I</w:t>
      </w:r>
      <w:r w:rsidRPr="002C5CD3">
        <w:rPr>
          <w:lang w:val="fr-FR"/>
        </w:rPr>
        <w:t>ndiquer les mesures envisagées pour limiter l’application de la peine capitale et faire en sorte que tous les condamnés à mort bénéficient de la prote</w:t>
      </w:r>
      <w:r>
        <w:rPr>
          <w:lang w:val="fr-FR"/>
        </w:rPr>
        <w:t>ction assurée par la Convention.</w:t>
      </w:r>
      <w:r w:rsidRPr="002C5CD3">
        <w:rPr>
          <w:lang w:val="fr-FR"/>
        </w:rPr>
        <w:t xml:space="preserve"> </w:t>
      </w:r>
      <w:r>
        <w:rPr>
          <w:lang w:val="fr-FR"/>
        </w:rPr>
        <w:t>À</w:t>
      </w:r>
      <w:r w:rsidRPr="002C5CD3">
        <w:rPr>
          <w:lang w:val="fr-FR"/>
        </w:rPr>
        <w:t xml:space="preserve"> ce propos, décrire le régime carcéral applicable aux condamnés à mort, y</w:t>
      </w:r>
      <w:r w:rsidR="00F16286">
        <w:rPr>
          <w:lang w:val="fr-FR"/>
        </w:rPr>
        <w:t> </w:t>
      </w:r>
      <w:r w:rsidRPr="002C5CD3">
        <w:rPr>
          <w:lang w:val="fr-FR"/>
        </w:rPr>
        <w:t>compris la mise à l’isolement et l’usage de contraintes.</w:t>
      </w:r>
      <w:r>
        <w:rPr>
          <w:lang w:val="fr-FR"/>
        </w:rPr>
        <w:t xml:space="preserve"> </w:t>
      </w:r>
    </w:p>
    <w:p w:rsidR="00523E02" w:rsidRPr="002C5CD3" w:rsidRDefault="00523E02" w:rsidP="009B61FF">
      <w:pPr>
        <w:pStyle w:val="SingleTxtG"/>
        <w:rPr>
          <w:lang w:val="fr-FR"/>
        </w:rPr>
      </w:pPr>
      <w:r>
        <w:rPr>
          <w:lang w:val="fr-FR"/>
        </w:rPr>
        <w:t>29.</w:t>
      </w:r>
      <w:r>
        <w:rPr>
          <w:lang w:val="fr-FR"/>
        </w:rPr>
        <w:tab/>
      </w:r>
      <w:r w:rsidRPr="002C5CD3">
        <w:rPr>
          <w:lang w:val="fr-FR"/>
        </w:rPr>
        <w:t>Eu égard aux précédentes observations finales du Comité (par.</w:t>
      </w:r>
      <w:r>
        <w:rPr>
          <w:lang w:val="fr-FR"/>
        </w:rPr>
        <w:t> </w:t>
      </w:r>
      <w:r w:rsidRPr="002C5CD3">
        <w:rPr>
          <w:lang w:val="fr-FR"/>
        </w:rPr>
        <w:t xml:space="preserve">20), indiquer les mesures envisagées pour amender le Code pénal et supprimer les références aux peines </w:t>
      </w:r>
      <w:r w:rsidRPr="002C5CD3">
        <w:rPr>
          <w:i/>
          <w:lang w:val="fr-FR"/>
        </w:rPr>
        <w:t>houdoud</w:t>
      </w:r>
      <w:r w:rsidRPr="002C5CD3">
        <w:rPr>
          <w:lang w:val="fr-FR"/>
        </w:rPr>
        <w:t xml:space="preserve"> (l’amputation ou </w:t>
      </w:r>
      <w:r w:rsidRPr="00505D31">
        <w:t>la</w:t>
      </w:r>
      <w:r w:rsidRPr="002C5CD3">
        <w:rPr>
          <w:lang w:val="fr-FR"/>
        </w:rPr>
        <w:t xml:space="preserve"> flagellation)</w:t>
      </w:r>
      <w:r w:rsidRPr="00607EB4">
        <w:rPr>
          <w:rStyle w:val="Appelnotedebasdep"/>
        </w:rPr>
        <w:footnoteReference w:id="49"/>
      </w:r>
      <w:r>
        <w:rPr>
          <w:lang w:val="fr-FR"/>
        </w:rPr>
        <w:t>,</w:t>
      </w:r>
      <w:r w:rsidRPr="00513669">
        <w:rPr>
          <w:rFonts w:ascii="Calibri" w:hAnsi="Calibri" w:cs="Arial"/>
          <w:sz w:val="22"/>
          <w:szCs w:val="22"/>
          <w:lang w:val="fr-FR"/>
        </w:rPr>
        <w:t xml:space="preserve"> </w:t>
      </w:r>
      <w:r w:rsidRPr="002C5CD3">
        <w:rPr>
          <w:lang w:val="fr-FR"/>
        </w:rPr>
        <w:t xml:space="preserve">aux travaux forcés </w:t>
      </w:r>
      <w:r>
        <w:rPr>
          <w:lang w:val="fr-FR"/>
        </w:rPr>
        <w:t>et</w:t>
      </w:r>
      <w:r w:rsidRPr="002C5CD3">
        <w:rPr>
          <w:lang w:val="fr-FR"/>
        </w:rPr>
        <w:t xml:space="preserve"> à la peine de </w:t>
      </w:r>
      <w:r w:rsidRPr="002C5CD3">
        <w:rPr>
          <w:i/>
          <w:lang w:val="fr-FR"/>
        </w:rPr>
        <w:t>ghissass</w:t>
      </w:r>
      <w:r w:rsidRPr="002C5CD3">
        <w:rPr>
          <w:lang w:val="fr-FR"/>
        </w:rPr>
        <w:t xml:space="preserve">, qui consacre la loi du </w:t>
      </w:r>
      <w:r>
        <w:rPr>
          <w:lang w:val="fr-FR"/>
        </w:rPr>
        <w:t>t</w:t>
      </w:r>
      <w:r w:rsidRPr="002C5CD3">
        <w:rPr>
          <w:lang w:val="fr-FR"/>
        </w:rPr>
        <w:t>alion dans les cas de crimes de violences ou de voies de fait</w:t>
      </w:r>
      <w:r w:rsidRPr="00513669">
        <w:rPr>
          <w:rFonts w:ascii="Calibri" w:hAnsi="Calibri" w:cs="Arial"/>
          <w:sz w:val="22"/>
          <w:szCs w:val="22"/>
          <w:lang w:val="fr-FR"/>
        </w:rPr>
        <w:t xml:space="preserve"> </w:t>
      </w:r>
      <w:r w:rsidRPr="002C5CD3">
        <w:rPr>
          <w:lang w:val="fr-FR"/>
        </w:rPr>
        <w:t xml:space="preserve">et laisse la sanction à l’appréciation de la victime, de sa famille ou de son clan. </w:t>
      </w:r>
    </w:p>
    <w:p w:rsidR="00523E02" w:rsidRPr="00513669" w:rsidRDefault="00523E02" w:rsidP="009B61FF">
      <w:pPr>
        <w:pStyle w:val="SingleTxtG"/>
        <w:rPr>
          <w:rFonts w:ascii="Calibri" w:hAnsi="Calibri" w:cs="Arial"/>
          <w:sz w:val="24"/>
          <w:szCs w:val="24"/>
          <w:lang w:eastAsia="es-ES_tradnl"/>
        </w:rPr>
      </w:pPr>
      <w:r>
        <w:rPr>
          <w:lang w:val="fr-FR"/>
        </w:rPr>
        <w:t>30.</w:t>
      </w:r>
      <w:r>
        <w:rPr>
          <w:lang w:val="fr-FR"/>
        </w:rPr>
        <w:tab/>
      </w:r>
      <w:r w:rsidRPr="002C5CD3">
        <w:rPr>
          <w:lang w:val="fr-FR"/>
        </w:rPr>
        <w:t>Compte tenu des informations fournies dans le rapport</w:t>
      </w:r>
      <w:r w:rsidRPr="00607EB4">
        <w:rPr>
          <w:rStyle w:val="Appelnotedebasdep"/>
        </w:rPr>
        <w:footnoteReference w:id="50"/>
      </w:r>
      <w:r w:rsidRPr="002C5CD3">
        <w:rPr>
          <w:sz w:val="22"/>
          <w:szCs w:val="22"/>
        </w:rPr>
        <w:t xml:space="preserve"> </w:t>
      </w:r>
      <w:r w:rsidRPr="002C5CD3">
        <w:rPr>
          <w:lang w:val="fr-FR"/>
        </w:rPr>
        <w:t xml:space="preserve">indiquant que le projet de code de l’enfant incrimine le châtiment corporel, </w:t>
      </w:r>
      <w:r>
        <w:rPr>
          <w:lang w:val="fr-FR"/>
        </w:rPr>
        <w:t>préciser</w:t>
      </w:r>
      <w:r w:rsidRPr="002C5CD3">
        <w:rPr>
          <w:lang w:val="fr-FR"/>
        </w:rPr>
        <w:t xml:space="preserve"> si ce projet contient une interdiction claire et explicite des châtiments corporels dans tous les contextes et fournir des informations actualisées sur l’évolution du pr</w:t>
      </w:r>
      <w:r>
        <w:rPr>
          <w:lang w:val="fr-FR"/>
        </w:rPr>
        <w:t>ocessus d’adoption de ce projet.</w:t>
      </w:r>
      <w:r w:rsidRPr="002C5CD3">
        <w:rPr>
          <w:lang w:val="fr-FR"/>
        </w:rPr>
        <w:t xml:space="preserve"> À la lumière des informations selon lesquelles certains membres du personnel du centre destiné aux jeunes en conflit avec la loi administ</w:t>
      </w:r>
      <w:r>
        <w:rPr>
          <w:lang w:val="fr-FR"/>
        </w:rPr>
        <w:t>raient des châtiments corporels,</w:t>
      </w:r>
      <w:r w:rsidRPr="002C5CD3">
        <w:rPr>
          <w:lang w:val="fr-FR"/>
        </w:rPr>
        <w:t xml:space="preserve"> indiquer si ces actes ont fait l’objet d’une enquête et, le cas échéant, leur résultat. Donner des informations sur les mesures prises pour éradiquer ces pratiques et pour encourager l’utilisation de méthodes de discipline non violentes. </w:t>
      </w:r>
    </w:p>
    <w:p w:rsidR="00523E02" w:rsidRPr="002C5CD3" w:rsidRDefault="00523E02" w:rsidP="009B61FF">
      <w:pPr>
        <w:pStyle w:val="H23G"/>
        <w:rPr>
          <w:lang w:val="fr-FR"/>
        </w:rPr>
      </w:pPr>
      <w:r w:rsidRPr="002C5CD3">
        <w:rPr>
          <w:lang w:val="fr-FR"/>
        </w:rPr>
        <w:tab/>
      </w:r>
      <w:r w:rsidRPr="002C5CD3">
        <w:rPr>
          <w:lang w:val="fr-FR"/>
        </w:rPr>
        <w:tab/>
        <w:t>Autres questions</w:t>
      </w:r>
    </w:p>
    <w:p w:rsidR="00BA41F4" w:rsidRDefault="00523E02" w:rsidP="009B61FF">
      <w:pPr>
        <w:pStyle w:val="SingleTxtG"/>
        <w:rPr>
          <w:lang w:val="fr-FR"/>
        </w:rPr>
      </w:pPr>
      <w:r>
        <w:rPr>
          <w:lang w:val="fr-FR"/>
        </w:rPr>
        <w:t>31.</w:t>
      </w:r>
      <w:r>
        <w:rPr>
          <w:lang w:val="fr-FR"/>
        </w:rPr>
        <w:tab/>
        <w:t>I</w:t>
      </w:r>
      <w:r w:rsidRPr="002C5CD3">
        <w:rPr>
          <w:lang w:val="fr-FR"/>
        </w:rPr>
        <w:t xml:space="preserve">ndiquer si </w:t>
      </w:r>
      <w:r w:rsidRPr="00505D31">
        <w:t>l’État</w:t>
      </w:r>
      <w:r w:rsidRPr="002C5CD3">
        <w:rPr>
          <w:lang w:val="fr-FR"/>
        </w:rPr>
        <w:t xml:space="preserve"> partie envisage de reconnaître la compétence du Comité au titre des articles</w:t>
      </w:r>
      <w:r w:rsidR="00BF15C3">
        <w:rPr>
          <w:lang w:val="fr-FR"/>
        </w:rPr>
        <w:t xml:space="preserve"> </w:t>
      </w:r>
      <w:r w:rsidRPr="002C5CD3">
        <w:rPr>
          <w:lang w:val="fr-FR"/>
        </w:rPr>
        <w:t>20 et 22 de la Convention.</w:t>
      </w:r>
    </w:p>
    <w:p w:rsidR="006163BC" w:rsidRPr="009B61FF" w:rsidRDefault="006163BC" w:rsidP="009B61FF">
      <w:pPr>
        <w:pStyle w:val="SingleTxtG"/>
        <w:spacing w:before="240" w:after="0"/>
        <w:jc w:val="center"/>
        <w:rPr>
          <w:u w:val="single"/>
        </w:rPr>
      </w:pPr>
      <w:r>
        <w:rPr>
          <w:u w:val="single"/>
        </w:rPr>
        <w:tab/>
      </w:r>
      <w:r>
        <w:rPr>
          <w:u w:val="single"/>
        </w:rPr>
        <w:tab/>
      </w:r>
      <w:r>
        <w:rPr>
          <w:u w:val="single"/>
        </w:rPr>
        <w:tab/>
      </w:r>
    </w:p>
    <w:sectPr w:rsidR="006163BC" w:rsidRPr="009B61FF" w:rsidSect="00FC4B1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7C30" w:rsidRPr="009C4D45" w:rsidRDefault="00C77C30" w:rsidP="009C4D45">
      <w:pPr>
        <w:pStyle w:val="Pieddepage"/>
      </w:pPr>
    </w:p>
  </w:endnote>
  <w:endnote w:type="continuationSeparator" w:id="0">
    <w:p w:rsidR="00C77C30" w:rsidRPr="009C4D45" w:rsidRDefault="00C77C30" w:rsidP="009C4D45">
      <w:pPr>
        <w:pStyle w:val="Pieddepage"/>
      </w:pPr>
    </w:p>
  </w:endnote>
  <w:endnote w:type="continuationNotice" w:id="1">
    <w:p w:rsidR="00C77C30" w:rsidRDefault="00C77C3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3BC" w:rsidRPr="00FC4B14" w:rsidRDefault="006163BC" w:rsidP="00FC4B14">
    <w:pPr>
      <w:pStyle w:val="Pieddepage"/>
      <w:tabs>
        <w:tab w:val="right" w:pos="9638"/>
      </w:tabs>
    </w:pPr>
    <w:r w:rsidRPr="00FC4B14">
      <w:rPr>
        <w:b/>
        <w:sz w:val="18"/>
      </w:rPr>
      <w:fldChar w:fldCharType="begin"/>
    </w:r>
    <w:r w:rsidRPr="00FC4B14">
      <w:rPr>
        <w:b/>
        <w:sz w:val="18"/>
      </w:rPr>
      <w:instrText xml:space="preserve"> PAGE  \* MERGEFORMAT </w:instrText>
    </w:r>
    <w:r w:rsidRPr="00FC4B14">
      <w:rPr>
        <w:b/>
        <w:sz w:val="18"/>
      </w:rPr>
      <w:fldChar w:fldCharType="separate"/>
    </w:r>
    <w:r w:rsidR="00530377">
      <w:rPr>
        <w:b/>
        <w:noProof/>
        <w:sz w:val="18"/>
      </w:rPr>
      <w:t>8</w:t>
    </w:r>
    <w:r w:rsidRPr="00FC4B14">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3BC" w:rsidRPr="00FC4B14" w:rsidRDefault="006163BC" w:rsidP="00FC4B14">
    <w:pPr>
      <w:pStyle w:val="Pieddepage"/>
      <w:tabs>
        <w:tab w:val="right" w:pos="9638"/>
      </w:tabs>
      <w:rPr>
        <w:b/>
        <w:sz w:val="18"/>
      </w:rPr>
    </w:pPr>
    <w:r>
      <w:tab/>
    </w:r>
    <w:r w:rsidRPr="00FC4B14">
      <w:rPr>
        <w:b/>
        <w:sz w:val="18"/>
      </w:rPr>
      <w:fldChar w:fldCharType="begin"/>
    </w:r>
    <w:r w:rsidRPr="00FC4B14">
      <w:rPr>
        <w:b/>
        <w:sz w:val="18"/>
      </w:rPr>
      <w:instrText xml:space="preserve"> PAGE  \* MERGEFORMAT </w:instrText>
    </w:r>
    <w:r w:rsidRPr="00FC4B14">
      <w:rPr>
        <w:b/>
        <w:sz w:val="18"/>
      </w:rPr>
      <w:fldChar w:fldCharType="separate"/>
    </w:r>
    <w:r w:rsidR="00530377">
      <w:rPr>
        <w:b/>
        <w:noProof/>
        <w:sz w:val="18"/>
      </w:rPr>
      <w:t>7</w:t>
    </w:r>
    <w:r w:rsidRPr="00FC4B1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3BC" w:rsidRPr="00773AA3" w:rsidRDefault="00773AA3" w:rsidP="00773AA3">
    <w:pPr>
      <w:pStyle w:val="Pieddepage"/>
      <w:spacing w:before="120"/>
      <w:rPr>
        <w:sz w:val="20"/>
      </w:rPr>
    </w:pPr>
    <w:r w:rsidRPr="00773AA3">
      <w:rPr>
        <w:rFonts w:ascii="C39T30Lfz" w:hAnsi="C39T30Lfz"/>
        <w:noProof/>
        <w:sz w:val="56"/>
        <w:lang w:eastAsia="fr-CH"/>
      </w:rPr>
      <w:drawing>
        <wp:anchor distT="0" distB="0" distL="114300" distR="114300" simplePos="0" relativeHeight="251657216" behindDoc="0" locked="0" layoutInCell="1" allowOverlap="0" wp14:anchorId="05B87EB4" wp14:editId="11E17EB5">
          <wp:simplePos x="0" y="0"/>
          <wp:positionH relativeFrom="margin">
            <wp:posOffset>4326255</wp:posOffset>
          </wp:positionH>
          <wp:positionV relativeFrom="margin">
            <wp:posOffset>9155430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GE.18-00097  (F)</w:t>
    </w:r>
    <w:r>
      <w:rPr>
        <w:sz w:val="20"/>
      </w:rPr>
      <w:br/>
    </w:r>
    <w:r w:rsidRPr="00773AA3">
      <w:rPr>
        <w:rFonts w:ascii="C39T30Lfz" w:hAnsi="C39T30Lfz"/>
        <w:sz w:val="56"/>
      </w:rPr>
      <w:t></w:t>
    </w:r>
    <w:r w:rsidRPr="00773AA3">
      <w:rPr>
        <w:rFonts w:ascii="C39T30Lfz" w:hAnsi="C39T30Lfz"/>
        <w:sz w:val="56"/>
      </w:rPr>
      <w:t></w:t>
    </w:r>
    <w:r w:rsidRPr="00773AA3">
      <w:rPr>
        <w:rFonts w:ascii="C39T30Lfz" w:hAnsi="C39T30Lfz"/>
        <w:sz w:val="56"/>
      </w:rPr>
      <w:t></w:t>
    </w:r>
    <w:r w:rsidRPr="00773AA3">
      <w:rPr>
        <w:rFonts w:ascii="C39T30Lfz" w:hAnsi="C39T30Lfz"/>
        <w:sz w:val="56"/>
      </w:rPr>
      <w:t></w:t>
    </w:r>
    <w:r w:rsidRPr="00773AA3">
      <w:rPr>
        <w:rFonts w:ascii="C39T30Lfz" w:hAnsi="C39T30Lfz"/>
        <w:sz w:val="56"/>
      </w:rPr>
      <w:t></w:t>
    </w:r>
    <w:r w:rsidRPr="00773AA3">
      <w:rPr>
        <w:rFonts w:ascii="C39T30Lfz" w:hAnsi="C39T30Lfz"/>
        <w:sz w:val="56"/>
      </w:rPr>
      <w:t></w:t>
    </w:r>
    <w:r w:rsidRPr="00773AA3">
      <w:rPr>
        <w:rFonts w:ascii="C39T30Lfz" w:hAnsi="C39T30Lfz"/>
        <w:sz w:val="56"/>
      </w:rPr>
      <w:t></w:t>
    </w:r>
    <w:r w:rsidRPr="00773AA3">
      <w:rPr>
        <w:rFonts w:ascii="C39T30Lfz" w:hAnsi="C39T30Lfz"/>
        <w:sz w:val="56"/>
      </w:rPr>
      <w:t></w:t>
    </w:r>
    <w:r w:rsidRPr="00773AA3">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MRT/Q/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MRT/Q/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7C30" w:rsidRPr="009C4D45" w:rsidRDefault="00C77C30" w:rsidP="009C4D45">
      <w:pPr>
        <w:pStyle w:val="Pieddepage"/>
        <w:tabs>
          <w:tab w:val="right" w:pos="2155"/>
        </w:tabs>
        <w:spacing w:after="80" w:line="240" w:lineRule="atLeast"/>
        <w:ind w:left="680"/>
        <w:rPr>
          <w:u w:val="single"/>
        </w:rPr>
      </w:pPr>
      <w:r>
        <w:rPr>
          <w:u w:val="single"/>
        </w:rPr>
        <w:tab/>
      </w:r>
    </w:p>
  </w:footnote>
  <w:footnote w:type="continuationSeparator" w:id="0">
    <w:p w:rsidR="00C77C30" w:rsidRPr="00035AE4" w:rsidRDefault="00C77C30" w:rsidP="00035AE4">
      <w:pPr>
        <w:pStyle w:val="Pieddepage"/>
        <w:tabs>
          <w:tab w:val="right" w:pos="2155"/>
        </w:tabs>
        <w:spacing w:after="80" w:line="240" w:lineRule="atLeast"/>
        <w:ind w:left="680"/>
        <w:rPr>
          <w:u w:val="single"/>
        </w:rPr>
      </w:pPr>
      <w:r>
        <w:rPr>
          <w:u w:val="single"/>
        </w:rPr>
        <w:tab/>
      </w:r>
    </w:p>
  </w:footnote>
  <w:footnote w:type="continuationNotice" w:id="1">
    <w:p w:rsidR="00C77C30" w:rsidRPr="00035AE4" w:rsidRDefault="00C77C30">
      <w:pPr>
        <w:spacing w:line="240" w:lineRule="auto"/>
        <w:rPr>
          <w:sz w:val="2"/>
          <w:szCs w:val="2"/>
        </w:rPr>
      </w:pPr>
    </w:p>
  </w:footnote>
  <w:footnote w:id="2">
    <w:p w:rsidR="006163BC" w:rsidRPr="005E4229" w:rsidRDefault="006163BC" w:rsidP="00773AA3">
      <w:pPr>
        <w:pStyle w:val="Notedebasdepage"/>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right" w:pos="8504"/>
        </w:tabs>
      </w:pPr>
      <w:r>
        <w:tab/>
      </w:r>
      <w:r w:rsidRPr="009B61FF">
        <w:rPr>
          <w:sz w:val="20"/>
        </w:rPr>
        <w:t>*</w:t>
      </w:r>
      <w:r>
        <w:tab/>
        <w:t xml:space="preserve">Adoptée par le Comité à </w:t>
      </w:r>
      <w:r w:rsidRPr="00A47707">
        <w:t xml:space="preserve">sa </w:t>
      </w:r>
      <w:r>
        <w:t>soixante-deuxième</w:t>
      </w:r>
      <w:r w:rsidRPr="00A47707">
        <w:t xml:space="preserve"> sess</w:t>
      </w:r>
      <w:r>
        <w:t>ion (6 novembre-6 décembre 2017).</w:t>
      </w:r>
    </w:p>
  </w:footnote>
  <w:footnote w:id="3">
    <w:p w:rsidR="006163BC" w:rsidRPr="00FF7884" w:rsidRDefault="006163BC" w:rsidP="00523E02">
      <w:pPr>
        <w:pStyle w:val="Notedebasdepage"/>
      </w:pPr>
      <w:r>
        <w:tab/>
      </w:r>
      <w:r w:rsidRPr="00607EB4">
        <w:rPr>
          <w:rStyle w:val="Appelnotedebasdep"/>
        </w:rPr>
        <w:footnoteRef/>
      </w:r>
      <w:r>
        <w:tab/>
        <w:t>Sauf indication contraire, les numéros de paragraphes entre parenthèses renvoient aux précédentes observations finales du Comité.</w:t>
      </w:r>
    </w:p>
  </w:footnote>
  <w:footnote w:id="4">
    <w:p w:rsidR="006163BC" w:rsidRDefault="006163BC" w:rsidP="00523E02">
      <w:pPr>
        <w:pStyle w:val="Notedebasdepage"/>
      </w:pPr>
      <w:r>
        <w:tab/>
      </w:r>
      <w:r w:rsidRPr="00607EB4">
        <w:rPr>
          <w:rStyle w:val="Appelnotedebasdep"/>
        </w:rPr>
        <w:footnoteRef/>
      </w:r>
      <w:r>
        <w:tab/>
      </w:r>
      <w:r w:rsidRPr="00515232">
        <w:rPr>
          <w:lang w:val="fr-FR"/>
        </w:rPr>
        <w:t>Les points soulevés au titre de l’article 2 peuvent également l’être au titre d’autres articles de la Convention, notamment</w:t>
      </w:r>
      <w:r>
        <w:rPr>
          <w:lang w:val="fr-FR"/>
        </w:rPr>
        <w:t xml:space="preserve"> </w:t>
      </w:r>
      <w:r w:rsidRPr="00515232">
        <w:rPr>
          <w:lang w:val="fr-FR"/>
        </w:rPr>
        <w:t>de l’article 16. Comme il est indiqué au paragraphe</w:t>
      </w:r>
      <w:r w:rsidR="00BF15C3">
        <w:rPr>
          <w:lang w:val="fr-FR"/>
        </w:rPr>
        <w:t xml:space="preserve"> </w:t>
      </w:r>
      <w:r w:rsidRPr="00515232">
        <w:rPr>
          <w:lang w:val="fr-FR"/>
        </w:rPr>
        <w:t>3 de l’</w:t>
      </w:r>
      <w:r>
        <w:rPr>
          <w:lang w:val="fr-FR"/>
        </w:rPr>
        <w:t>o</w:t>
      </w:r>
      <w:r w:rsidRPr="00515232">
        <w:rPr>
          <w:lang w:val="fr-FR"/>
        </w:rPr>
        <w:t>bservation générale n</w:t>
      </w:r>
      <w:r w:rsidRPr="0036490E">
        <w:rPr>
          <w:vertAlign w:val="superscript"/>
          <w:lang w:val="fr-FR"/>
        </w:rPr>
        <w:t>o</w:t>
      </w:r>
      <w:r>
        <w:rPr>
          <w:lang w:val="fr-FR"/>
        </w:rPr>
        <w:t> </w:t>
      </w:r>
      <w:r w:rsidRPr="00515232">
        <w:rPr>
          <w:lang w:val="fr-FR"/>
        </w:rPr>
        <w:t>2 (</w:t>
      </w:r>
      <w:r>
        <w:rPr>
          <w:lang w:val="fr-FR"/>
        </w:rPr>
        <w:t>2007</w:t>
      </w:r>
      <w:r w:rsidRPr="00515232">
        <w:rPr>
          <w:lang w:val="fr-FR"/>
        </w:rPr>
        <w:t>)</w:t>
      </w:r>
      <w:r>
        <w:rPr>
          <w:lang w:val="fr-FR"/>
        </w:rPr>
        <w:t xml:space="preserve"> du Comité sur l’application de l</w:t>
      </w:r>
      <w:r w:rsidRPr="00B754BD">
        <w:rPr>
          <w:lang w:val="fr-FR"/>
        </w:rPr>
        <w:t>’</w:t>
      </w:r>
      <w:r>
        <w:rPr>
          <w:lang w:val="fr-FR"/>
        </w:rPr>
        <w:t xml:space="preserve">article 2 par les </w:t>
      </w:r>
      <w:r w:rsidRPr="00B754BD">
        <w:rPr>
          <w:lang w:val="fr-FR"/>
        </w:rPr>
        <w:t>État</w:t>
      </w:r>
      <w:r>
        <w:rPr>
          <w:lang w:val="fr-FR"/>
        </w:rPr>
        <w:t>s</w:t>
      </w:r>
      <w:r w:rsidRPr="00B754BD">
        <w:rPr>
          <w:lang w:val="fr-FR"/>
        </w:rPr>
        <w:t xml:space="preserve"> partie</w:t>
      </w:r>
      <w:r>
        <w:rPr>
          <w:lang w:val="fr-FR"/>
        </w:rPr>
        <w:t>s</w:t>
      </w:r>
      <w:r w:rsidRPr="00515232">
        <w:rPr>
          <w:lang w:val="fr-FR"/>
        </w:rPr>
        <w:t xml:space="preserve">, </w:t>
      </w:r>
      <w:r>
        <w:rPr>
          <w:lang w:val="fr-FR"/>
        </w:rPr>
        <w:t>l</w:t>
      </w:r>
      <w:r w:rsidRPr="00515232">
        <w:rPr>
          <w:lang w:val="fr-FR"/>
        </w:rPr>
        <w:t xml:space="preserve">’obligation de prévenir la torture consacrée à l’article 2 est de portée large. </w:t>
      </w:r>
      <w:r w:rsidRPr="00515232">
        <w:rPr>
          <w:rFonts w:eastAsia="MS Mincho"/>
          <w:lang w:val="fr-FR"/>
        </w:rPr>
        <w:t>Cette</w:t>
      </w:r>
      <w:r>
        <w:rPr>
          <w:rFonts w:eastAsia="MS Mincho"/>
          <w:lang w:val="fr-FR"/>
        </w:rPr>
        <w:t xml:space="preserve"> </w:t>
      </w:r>
      <w:r w:rsidRPr="00515232">
        <w:rPr>
          <w:rFonts w:eastAsia="MS Mincho"/>
          <w:lang w:val="fr-FR"/>
        </w:rPr>
        <w:t>obligation et celle de prévenir les peines ou traitements crue</w:t>
      </w:r>
      <w:r>
        <w:rPr>
          <w:rFonts w:eastAsia="MS Mincho"/>
          <w:lang w:val="fr-FR"/>
        </w:rPr>
        <w:t>ls, inhumains ou dégradants,</w:t>
      </w:r>
      <w:r w:rsidRPr="00515232">
        <w:rPr>
          <w:rFonts w:eastAsia="MS Mincho"/>
          <w:lang w:val="fr-FR"/>
        </w:rPr>
        <w:t xml:space="preserve"> énoncée au paragraphe</w:t>
      </w:r>
      <w:r w:rsidR="00BF15C3">
        <w:rPr>
          <w:rFonts w:eastAsia="MS Mincho"/>
          <w:lang w:val="fr-FR"/>
        </w:rPr>
        <w:t xml:space="preserve"> </w:t>
      </w:r>
      <w:r w:rsidRPr="00515232">
        <w:rPr>
          <w:rFonts w:eastAsia="MS Mincho"/>
          <w:lang w:val="fr-FR"/>
        </w:rPr>
        <w:t>1 de l’article</w:t>
      </w:r>
      <w:r w:rsidR="00BF15C3">
        <w:rPr>
          <w:rFonts w:eastAsia="MS Mincho"/>
          <w:lang w:val="fr-FR"/>
        </w:rPr>
        <w:t xml:space="preserve"> </w:t>
      </w:r>
      <w:r w:rsidRPr="00515232">
        <w:rPr>
          <w:rFonts w:eastAsia="MS Mincho"/>
          <w:lang w:val="fr-FR"/>
        </w:rPr>
        <w:t>16, sont indissociables, interdépendantes et intimement liées</w:t>
      </w:r>
      <w:r w:rsidRPr="00515232">
        <w:rPr>
          <w:lang w:val="fr-FR"/>
        </w:rPr>
        <w:t xml:space="preserve">. </w:t>
      </w:r>
      <w:r>
        <w:rPr>
          <w:rFonts w:eastAsia="MS Mincho"/>
          <w:lang w:val="fr-FR"/>
        </w:rPr>
        <w:t>L</w:t>
      </w:r>
      <w:r w:rsidRPr="00515232">
        <w:rPr>
          <w:rFonts w:eastAsia="MS Mincho"/>
          <w:lang w:val="fr-FR"/>
        </w:rPr>
        <w:t xml:space="preserve">’obligation de prévenir </w:t>
      </w:r>
      <w:r>
        <w:rPr>
          <w:rFonts w:eastAsia="MS Mincho"/>
          <w:lang w:val="fr-FR"/>
        </w:rPr>
        <w:t>les</w:t>
      </w:r>
      <w:r w:rsidRPr="00515232">
        <w:rPr>
          <w:rFonts w:eastAsia="MS Mincho"/>
          <w:lang w:val="fr-FR"/>
        </w:rPr>
        <w:t xml:space="preserve"> mauvais traitements recoupe </w:t>
      </w:r>
      <w:r>
        <w:rPr>
          <w:rFonts w:eastAsia="MS Mincho"/>
          <w:lang w:val="fr-FR"/>
        </w:rPr>
        <w:t>dans la</w:t>
      </w:r>
      <w:r w:rsidRPr="00515232">
        <w:rPr>
          <w:rFonts w:eastAsia="MS Mincho"/>
          <w:lang w:val="fr-FR"/>
        </w:rPr>
        <w:t xml:space="preserve"> pratique</w:t>
      </w:r>
      <w:r>
        <w:rPr>
          <w:rFonts w:eastAsia="MS Mincho"/>
          <w:lang w:val="fr-FR"/>
        </w:rPr>
        <w:t xml:space="preserve"> </w:t>
      </w:r>
      <w:r w:rsidRPr="00515232">
        <w:rPr>
          <w:rFonts w:eastAsia="MS Mincho"/>
          <w:lang w:val="fr-FR"/>
        </w:rPr>
        <w:t>celle d’empêcher que des actes de torture ne soient commis et lui est dans une large mesure équivalente</w:t>
      </w:r>
      <w:r w:rsidRPr="00515232">
        <w:rPr>
          <w:lang w:val="fr-FR"/>
        </w:rPr>
        <w:t>. Dans la pratique, la ligne de démarcation entre les mauvais traitements et la torture est souvent floue. Voir également la partie V de cette même observation générale.</w:t>
      </w:r>
    </w:p>
  </w:footnote>
  <w:footnote w:id="5">
    <w:p w:rsidR="006163BC" w:rsidRDefault="006163BC" w:rsidP="00523E02">
      <w:pPr>
        <w:pStyle w:val="Notedebasdepage"/>
      </w:pPr>
      <w:r>
        <w:tab/>
      </w:r>
      <w:r w:rsidRPr="00607EB4">
        <w:rPr>
          <w:rStyle w:val="Appelnotedebasdep"/>
        </w:rPr>
        <w:footnoteRef/>
      </w:r>
      <w:r>
        <w:tab/>
        <w:t>Voir CAT/C/MRT/2, par. 4 et 20.</w:t>
      </w:r>
      <w:r w:rsidRPr="009B0726">
        <w:rPr>
          <w:lang w:val="fr-FR"/>
        </w:rPr>
        <w:t xml:space="preserve"> </w:t>
      </w:r>
    </w:p>
  </w:footnote>
  <w:footnote w:id="6">
    <w:p w:rsidR="006163BC" w:rsidRPr="003752A6" w:rsidRDefault="006163BC" w:rsidP="00523E02">
      <w:pPr>
        <w:pStyle w:val="Notedebasdepage"/>
        <w:rPr>
          <w:lang w:val="fr-FR"/>
        </w:rPr>
      </w:pPr>
      <w:r>
        <w:tab/>
      </w:r>
      <w:r w:rsidRPr="00607EB4">
        <w:rPr>
          <w:rStyle w:val="Appelnotedebasdep"/>
        </w:rPr>
        <w:footnoteRef/>
      </w:r>
      <w:r>
        <w:tab/>
      </w:r>
      <w:r>
        <w:rPr>
          <w:lang w:val="fr-FR"/>
        </w:rPr>
        <w:t xml:space="preserve">Voir </w:t>
      </w:r>
      <w:r w:rsidRPr="002C5CD3">
        <w:rPr>
          <w:lang w:val="fr-FR"/>
        </w:rPr>
        <w:t xml:space="preserve">A/HRC/34/54/Add.1, </w:t>
      </w:r>
      <w:r>
        <w:rPr>
          <w:lang w:val="fr-FR"/>
        </w:rPr>
        <w:t>par. 1</w:t>
      </w:r>
      <w:r w:rsidRPr="002C5CD3">
        <w:rPr>
          <w:lang w:val="fr-FR"/>
        </w:rPr>
        <w:t>17 b), c)</w:t>
      </w:r>
      <w:r>
        <w:rPr>
          <w:lang w:val="fr-FR"/>
        </w:rPr>
        <w:t xml:space="preserve"> et</w:t>
      </w:r>
      <w:r w:rsidRPr="002C5CD3">
        <w:rPr>
          <w:lang w:val="fr-FR"/>
        </w:rPr>
        <w:t xml:space="preserve"> </w:t>
      </w:r>
      <w:r>
        <w:rPr>
          <w:lang w:val="fr-FR"/>
        </w:rPr>
        <w:t>d).</w:t>
      </w:r>
    </w:p>
  </w:footnote>
  <w:footnote w:id="7">
    <w:p w:rsidR="006163BC" w:rsidRDefault="006163BC" w:rsidP="00523E02">
      <w:pPr>
        <w:pStyle w:val="Notedebasdepage"/>
      </w:pPr>
      <w:r>
        <w:tab/>
      </w:r>
      <w:r w:rsidRPr="00607EB4">
        <w:rPr>
          <w:rStyle w:val="Appelnotedebasdep"/>
        </w:rPr>
        <w:footnoteRef/>
      </w:r>
      <w:r>
        <w:tab/>
        <w:t>Ibid., par. 119 b).</w:t>
      </w:r>
    </w:p>
  </w:footnote>
  <w:footnote w:id="8">
    <w:p w:rsidR="006163BC" w:rsidRPr="00071EED" w:rsidRDefault="006163BC" w:rsidP="00523E02">
      <w:pPr>
        <w:pStyle w:val="Notedebasdepage"/>
      </w:pPr>
      <w:r w:rsidRPr="009B0726">
        <w:tab/>
      </w:r>
      <w:r w:rsidRPr="00607EB4">
        <w:rPr>
          <w:rStyle w:val="Appelnotedebasdep"/>
        </w:rPr>
        <w:footnoteRef/>
      </w:r>
      <w:r w:rsidRPr="00071EED">
        <w:tab/>
      </w:r>
      <w:r>
        <w:t>Ibid.</w:t>
      </w:r>
      <w:r w:rsidRPr="00071EED">
        <w:t>, par.</w:t>
      </w:r>
      <w:r>
        <w:t> </w:t>
      </w:r>
      <w:r w:rsidRPr="00071EED">
        <w:t>75</w:t>
      </w:r>
      <w:r>
        <w:t xml:space="preserve"> à </w:t>
      </w:r>
      <w:r w:rsidRPr="00071EED">
        <w:t xml:space="preserve">79. </w:t>
      </w:r>
    </w:p>
  </w:footnote>
  <w:footnote w:id="9">
    <w:p w:rsidR="006163BC" w:rsidRDefault="006163BC" w:rsidP="00523E02">
      <w:pPr>
        <w:pStyle w:val="Notedebasdepage"/>
      </w:pPr>
      <w:r>
        <w:tab/>
      </w:r>
      <w:r w:rsidRPr="00607EB4">
        <w:rPr>
          <w:rStyle w:val="Appelnotedebasdep"/>
        </w:rPr>
        <w:footnoteRef/>
      </w:r>
      <w:r>
        <w:tab/>
        <w:t>Ibid., par. 80.</w:t>
      </w:r>
    </w:p>
  </w:footnote>
  <w:footnote w:id="10">
    <w:p w:rsidR="006163BC" w:rsidRPr="00717AD0" w:rsidRDefault="006163BC" w:rsidP="00523E02">
      <w:pPr>
        <w:pStyle w:val="Notedebasdepage"/>
      </w:pPr>
      <w:r>
        <w:tab/>
      </w:r>
      <w:r w:rsidRPr="00607EB4">
        <w:rPr>
          <w:rStyle w:val="Appelnotedebasdep"/>
        </w:rPr>
        <w:footnoteRef/>
      </w:r>
      <w:r w:rsidRPr="003752A6">
        <w:tab/>
      </w:r>
      <w:r>
        <w:t xml:space="preserve">Voir </w:t>
      </w:r>
      <w:r w:rsidRPr="003752A6">
        <w:t>CAT/C/MRT/CO/1, par. 10 c)</w:t>
      </w:r>
      <w:r>
        <w:t> </w:t>
      </w:r>
      <w:r w:rsidRPr="003752A6">
        <w:t>;</w:t>
      </w:r>
      <w:r>
        <w:t xml:space="preserve"> et A/HRC/34/54/Add.1, </w:t>
      </w:r>
      <w:r w:rsidRPr="00527EE2">
        <w:t>par.</w:t>
      </w:r>
      <w:r>
        <w:t> </w:t>
      </w:r>
      <w:r w:rsidRPr="00527EE2">
        <w:t>22</w:t>
      </w:r>
      <w:r>
        <w:t xml:space="preserve"> et 33.</w:t>
      </w:r>
    </w:p>
  </w:footnote>
  <w:footnote w:id="11">
    <w:p w:rsidR="006163BC" w:rsidRPr="00C442C9" w:rsidRDefault="006163BC" w:rsidP="00523E02">
      <w:pPr>
        <w:pStyle w:val="Notedebasdepage"/>
      </w:pPr>
      <w:r w:rsidRPr="003752A6">
        <w:tab/>
      </w:r>
      <w:r w:rsidRPr="00607EB4">
        <w:rPr>
          <w:rStyle w:val="Appelnotedebasdep"/>
        </w:rPr>
        <w:footnoteRef/>
      </w:r>
      <w:r w:rsidRPr="003752A6">
        <w:tab/>
      </w:r>
      <w:r>
        <w:t xml:space="preserve">Voir </w:t>
      </w:r>
      <w:r w:rsidRPr="003752A6">
        <w:t>A/HRC/34/54/Add.1, par.</w:t>
      </w:r>
      <w:r>
        <w:t> </w:t>
      </w:r>
      <w:r w:rsidRPr="003752A6">
        <w:t>58</w:t>
      </w:r>
      <w:r>
        <w:t xml:space="preserve"> et</w:t>
      </w:r>
      <w:r w:rsidRPr="003752A6">
        <w:t xml:space="preserve"> 119 a)</w:t>
      </w:r>
      <w:r>
        <w:t xml:space="preserve">. </w:t>
      </w:r>
    </w:p>
  </w:footnote>
  <w:footnote w:id="12">
    <w:p w:rsidR="006163BC" w:rsidRPr="00CB5631" w:rsidRDefault="006163BC" w:rsidP="00523E02">
      <w:pPr>
        <w:pStyle w:val="Notedebasdepage"/>
      </w:pPr>
      <w:r>
        <w:tab/>
      </w:r>
      <w:r w:rsidRPr="00607EB4">
        <w:rPr>
          <w:rStyle w:val="Appelnotedebasdep"/>
        </w:rPr>
        <w:footnoteRef/>
      </w:r>
      <w:r>
        <w:tab/>
        <w:t>Voir CAT/C/MRT/2, par. 58.</w:t>
      </w:r>
    </w:p>
  </w:footnote>
  <w:footnote w:id="13">
    <w:p w:rsidR="006163BC" w:rsidRDefault="006163BC" w:rsidP="00523E02">
      <w:pPr>
        <w:pStyle w:val="Notedebasdepage"/>
      </w:pPr>
      <w:r>
        <w:tab/>
      </w:r>
      <w:r w:rsidRPr="00607EB4">
        <w:rPr>
          <w:rStyle w:val="Appelnotedebasdep"/>
        </w:rPr>
        <w:footnoteRef/>
      </w:r>
      <w:r w:rsidRPr="00CB5631">
        <w:tab/>
      </w:r>
      <w:r>
        <w:t xml:space="preserve">Voir </w:t>
      </w:r>
      <w:r w:rsidRPr="00CB5631">
        <w:t>A/HRC/34/54/Add</w:t>
      </w:r>
      <w:r w:rsidRPr="00D65949">
        <w:t>.1, par.</w:t>
      </w:r>
      <w:r>
        <w:t> </w:t>
      </w:r>
      <w:r w:rsidRPr="00D65949">
        <w:t>10.</w:t>
      </w:r>
    </w:p>
  </w:footnote>
  <w:footnote w:id="14">
    <w:p w:rsidR="006163BC" w:rsidRDefault="006163BC" w:rsidP="00523E02">
      <w:pPr>
        <w:pStyle w:val="Notedebasdepage"/>
      </w:pPr>
      <w:r>
        <w:tab/>
      </w:r>
      <w:r w:rsidRPr="00607EB4">
        <w:rPr>
          <w:rStyle w:val="Appelnotedebasdep"/>
        </w:rPr>
        <w:footnoteRef/>
      </w:r>
      <w:r>
        <w:tab/>
      </w:r>
      <w:r>
        <w:rPr>
          <w:lang w:val="fr-FR"/>
        </w:rPr>
        <w:t>Ibid</w:t>
      </w:r>
      <w:r>
        <w:t>.</w:t>
      </w:r>
      <w:r>
        <w:rPr>
          <w:lang w:val="fr-FR"/>
        </w:rPr>
        <w:t xml:space="preserve"> </w:t>
      </w:r>
    </w:p>
  </w:footnote>
  <w:footnote w:id="15">
    <w:p w:rsidR="006163BC" w:rsidRPr="003E5FBF" w:rsidRDefault="006163BC" w:rsidP="00523E02">
      <w:pPr>
        <w:pStyle w:val="Notedebasdepage"/>
      </w:pPr>
      <w:r>
        <w:tab/>
      </w:r>
      <w:r w:rsidRPr="00607EB4">
        <w:rPr>
          <w:rStyle w:val="Appelnotedebasdep"/>
        </w:rPr>
        <w:footnoteRef/>
      </w:r>
      <w:r>
        <w:tab/>
      </w:r>
      <w:r w:rsidRPr="001365EC">
        <w:t>Voir CAT/C/MRT/2, par. </w:t>
      </w:r>
      <w:r>
        <w:t>33</w:t>
      </w:r>
      <w:r w:rsidRPr="001365EC">
        <w:t xml:space="preserve"> à</w:t>
      </w:r>
      <w:r>
        <w:t xml:space="preserve"> 41. </w:t>
      </w:r>
    </w:p>
  </w:footnote>
  <w:footnote w:id="16">
    <w:p w:rsidR="006163BC" w:rsidRPr="000A4E44" w:rsidRDefault="006163BC" w:rsidP="00523E02">
      <w:pPr>
        <w:pStyle w:val="Notedebasdepage"/>
      </w:pPr>
      <w:r>
        <w:tab/>
      </w:r>
      <w:r w:rsidRPr="00607EB4">
        <w:rPr>
          <w:rStyle w:val="Appelnotedebasdep"/>
        </w:rPr>
        <w:footnoteRef/>
      </w:r>
      <w:r>
        <w:tab/>
        <w:t>Ibid.</w:t>
      </w:r>
      <w:r w:rsidRPr="001365EC">
        <w:t>, par. </w:t>
      </w:r>
      <w:r>
        <w:t>138</w:t>
      </w:r>
      <w:r w:rsidRPr="001365EC">
        <w:t xml:space="preserve"> à </w:t>
      </w:r>
      <w:r>
        <w:t>140</w:t>
      </w:r>
      <w:r w:rsidRPr="001365EC">
        <w:t>.</w:t>
      </w:r>
    </w:p>
  </w:footnote>
  <w:footnote w:id="17">
    <w:p w:rsidR="006163BC" w:rsidRPr="003752A6" w:rsidRDefault="006163BC" w:rsidP="00523E02">
      <w:pPr>
        <w:pStyle w:val="Notedebasdepage"/>
        <w:rPr>
          <w:lang w:val="fr-FR"/>
        </w:rPr>
      </w:pPr>
      <w:r w:rsidRPr="005E4150">
        <w:tab/>
      </w:r>
      <w:r w:rsidRPr="00607EB4">
        <w:rPr>
          <w:rStyle w:val="Appelnotedebasdep"/>
        </w:rPr>
        <w:footnoteRef/>
      </w:r>
      <w:r w:rsidRPr="003752A6">
        <w:rPr>
          <w:lang w:val="fr-FR"/>
        </w:rPr>
        <w:tab/>
        <w:t xml:space="preserve">Voir CEDAW/C/MRT/CO/2-3, par. 27. </w:t>
      </w:r>
    </w:p>
  </w:footnote>
  <w:footnote w:id="18">
    <w:p w:rsidR="006163BC" w:rsidRPr="001D4F54" w:rsidRDefault="006163BC" w:rsidP="00523E02">
      <w:pPr>
        <w:pStyle w:val="Notedebasdepage"/>
      </w:pPr>
      <w:r w:rsidRPr="003752A6">
        <w:rPr>
          <w:lang w:val="fr-FR"/>
        </w:rPr>
        <w:tab/>
      </w:r>
      <w:r w:rsidRPr="00607EB4">
        <w:rPr>
          <w:rStyle w:val="Appelnotedebasdep"/>
        </w:rPr>
        <w:footnoteRef/>
      </w:r>
      <w:r>
        <w:tab/>
      </w:r>
      <w:r w:rsidRPr="001D4F54">
        <w:t>Voir CAT/C/MRT/2, par. 68 à</w:t>
      </w:r>
      <w:r>
        <w:t xml:space="preserve"> </w:t>
      </w:r>
      <w:r w:rsidRPr="001D4F54">
        <w:t>76.</w:t>
      </w:r>
    </w:p>
  </w:footnote>
  <w:footnote w:id="19">
    <w:p w:rsidR="006163BC" w:rsidRDefault="006163BC" w:rsidP="00523E02">
      <w:pPr>
        <w:pStyle w:val="Notedebasdepage"/>
      </w:pPr>
      <w:r>
        <w:tab/>
      </w:r>
      <w:r w:rsidRPr="00607EB4">
        <w:rPr>
          <w:rStyle w:val="Appelnotedebasdep"/>
        </w:rPr>
        <w:footnoteRef/>
      </w:r>
      <w:r>
        <w:tab/>
        <w:t>Voir A/HRC/34/54/Add.1 par. 37.</w:t>
      </w:r>
      <w:r w:rsidRPr="00962C5C">
        <w:rPr>
          <w:lang w:val="fr-FR" w:bidi="ar-DZ"/>
        </w:rPr>
        <w:t xml:space="preserve"> </w:t>
      </w:r>
    </w:p>
  </w:footnote>
  <w:footnote w:id="20">
    <w:p w:rsidR="006163BC" w:rsidRPr="00EE45EC" w:rsidRDefault="006163BC" w:rsidP="00523E02">
      <w:pPr>
        <w:pStyle w:val="Notedebasdepage"/>
      </w:pPr>
      <w:r>
        <w:tab/>
      </w:r>
      <w:r w:rsidRPr="00607EB4">
        <w:rPr>
          <w:rStyle w:val="Appelnotedebasdep"/>
        </w:rPr>
        <w:footnoteRef/>
      </w:r>
      <w:r>
        <w:tab/>
      </w:r>
      <w:r w:rsidRPr="001365EC">
        <w:t>Voir CAT/C/MRT/2, par.</w:t>
      </w:r>
      <w:r>
        <w:t> 77</w:t>
      </w:r>
      <w:r w:rsidRPr="001365EC">
        <w:t xml:space="preserve"> à </w:t>
      </w:r>
      <w:r>
        <w:t>79 ;</w:t>
      </w:r>
      <w:r w:rsidRPr="00EC3645">
        <w:t xml:space="preserve"> </w:t>
      </w:r>
      <w:r w:rsidRPr="00F901CA">
        <w:t>A/HRC/16/17</w:t>
      </w:r>
      <w:r>
        <w:t>, par. </w:t>
      </w:r>
      <w:r w:rsidRPr="00F901CA">
        <w:t>91.13</w:t>
      </w:r>
      <w:r>
        <w:t xml:space="preserve"> ; et A/HRC/34/54/Add.1, </w:t>
      </w:r>
      <w:r w:rsidRPr="003E5FBF">
        <w:t>par.</w:t>
      </w:r>
      <w:r>
        <w:t> 54.</w:t>
      </w:r>
    </w:p>
  </w:footnote>
  <w:footnote w:id="21">
    <w:p w:rsidR="006163BC" w:rsidRPr="003752A6" w:rsidRDefault="006163BC" w:rsidP="00523E02">
      <w:pPr>
        <w:pStyle w:val="Notedebasdepage"/>
        <w:rPr>
          <w:lang w:val="fr-FR"/>
        </w:rPr>
      </w:pPr>
      <w:r>
        <w:tab/>
      </w:r>
      <w:r w:rsidRPr="00607EB4">
        <w:rPr>
          <w:rStyle w:val="Appelnotedebasdep"/>
        </w:rPr>
        <w:footnoteRef/>
      </w:r>
      <w:r>
        <w:tab/>
        <w:t>Voir A/HRC/WG.6/23/MRT/3, par. </w:t>
      </w:r>
      <w:r w:rsidRPr="003752A6">
        <w:rPr>
          <w:lang w:val="fr-FR"/>
        </w:rPr>
        <w:t>62.</w:t>
      </w:r>
    </w:p>
  </w:footnote>
  <w:footnote w:id="22">
    <w:p w:rsidR="006163BC" w:rsidRPr="003752A6" w:rsidRDefault="006163BC" w:rsidP="00523E02">
      <w:pPr>
        <w:pStyle w:val="Notedebasdepage"/>
        <w:rPr>
          <w:lang w:val="fr-FR"/>
        </w:rPr>
      </w:pPr>
      <w:r w:rsidRPr="003752A6">
        <w:rPr>
          <w:lang w:val="fr-FR"/>
        </w:rPr>
        <w:tab/>
      </w:r>
      <w:r w:rsidRPr="00607EB4">
        <w:rPr>
          <w:rStyle w:val="Appelnotedebasdep"/>
        </w:rPr>
        <w:footnoteRef/>
      </w:r>
      <w:r w:rsidRPr="003752A6">
        <w:rPr>
          <w:lang w:val="fr-FR"/>
        </w:rPr>
        <w:tab/>
        <w:t xml:space="preserve">Voir A/HRC/34/54/Add.1, par. 121 a) et b). </w:t>
      </w:r>
    </w:p>
  </w:footnote>
  <w:footnote w:id="23">
    <w:p w:rsidR="006163BC" w:rsidRPr="003752A6" w:rsidRDefault="006163BC" w:rsidP="00523E02">
      <w:pPr>
        <w:pStyle w:val="Notedebasdepage"/>
        <w:rPr>
          <w:lang w:val="fr-FR"/>
        </w:rPr>
      </w:pPr>
      <w:r w:rsidRPr="003752A6">
        <w:rPr>
          <w:lang w:val="fr-FR"/>
        </w:rPr>
        <w:tab/>
      </w:r>
      <w:r w:rsidRPr="00607EB4">
        <w:rPr>
          <w:rStyle w:val="Appelnotedebasdep"/>
        </w:rPr>
        <w:footnoteRef/>
      </w:r>
      <w:r w:rsidRPr="003752A6">
        <w:rPr>
          <w:lang w:val="fr-FR"/>
        </w:rPr>
        <w:tab/>
      </w:r>
      <w:r>
        <w:rPr>
          <w:lang w:val="fr-FR"/>
        </w:rPr>
        <w:t xml:space="preserve">Voir </w:t>
      </w:r>
      <w:r w:rsidRPr="003752A6">
        <w:rPr>
          <w:lang w:val="fr-FR"/>
        </w:rPr>
        <w:t>CCPR/C/MRT/CO/1, par. 14</w:t>
      </w:r>
      <w:r w:rsidRPr="000074AB">
        <w:rPr>
          <w:lang w:val="fr-FR"/>
        </w:rPr>
        <w:t>.</w:t>
      </w:r>
    </w:p>
  </w:footnote>
  <w:footnote w:id="24">
    <w:p w:rsidR="006163BC" w:rsidRPr="007A3C76" w:rsidRDefault="006163BC" w:rsidP="00523E02">
      <w:pPr>
        <w:pStyle w:val="Notedebasdepage"/>
      </w:pPr>
      <w:r w:rsidRPr="003752A6">
        <w:rPr>
          <w:lang w:val="fr-FR"/>
        </w:rPr>
        <w:tab/>
      </w:r>
      <w:r w:rsidRPr="00607EB4">
        <w:rPr>
          <w:rStyle w:val="Appelnotedebasdep"/>
        </w:rPr>
        <w:footnoteRef/>
      </w:r>
      <w:r w:rsidRPr="003752A6">
        <w:rPr>
          <w:lang w:val="fr-FR"/>
        </w:rPr>
        <w:tab/>
      </w:r>
      <w:r>
        <w:rPr>
          <w:lang w:val="fr-FR"/>
        </w:rPr>
        <w:t xml:space="preserve">Voir </w:t>
      </w:r>
      <w:r w:rsidRPr="000074AB">
        <w:rPr>
          <w:lang w:val="fr-FR"/>
        </w:rPr>
        <w:t>A/HRC/34/54/Add.1, p</w:t>
      </w:r>
      <w:r w:rsidRPr="00565558">
        <w:rPr>
          <w:lang w:val="fr-FR"/>
        </w:rPr>
        <w:t>ar.</w:t>
      </w:r>
      <w:r>
        <w:rPr>
          <w:lang w:val="fr-FR"/>
        </w:rPr>
        <w:t xml:space="preserve"> 23. </w:t>
      </w:r>
    </w:p>
  </w:footnote>
  <w:footnote w:id="25">
    <w:p w:rsidR="006163BC" w:rsidRPr="005E4661" w:rsidRDefault="006163BC" w:rsidP="00523E02">
      <w:pPr>
        <w:pStyle w:val="Notedebasdepage"/>
      </w:pPr>
      <w:r>
        <w:tab/>
      </w:r>
      <w:r w:rsidRPr="00607EB4">
        <w:rPr>
          <w:rStyle w:val="Appelnotedebasdep"/>
        </w:rPr>
        <w:footnoteRef/>
      </w:r>
      <w:r>
        <w:tab/>
        <w:t>Voir CAT/C/MRT/2, par. 114 à 135.</w:t>
      </w:r>
    </w:p>
  </w:footnote>
  <w:footnote w:id="26">
    <w:p w:rsidR="006163BC" w:rsidRPr="003752A6" w:rsidRDefault="006163BC" w:rsidP="00523E02">
      <w:pPr>
        <w:pStyle w:val="Notedebasdepage"/>
        <w:rPr>
          <w:lang w:val="fr-FR"/>
        </w:rPr>
      </w:pPr>
      <w:r>
        <w:tab/>
      </w:r>
      <w:r w:rsidRPr="00607EB4">
        <w:rPr>
          <w:rStyle w:val="Appelnotedebasdep"/>
        </w:rPr>
        <w:footnoteRef/>
      </w:r>
      <w:r>
        <w:tab/>
        <w:t>Voir A/HRC/34/54/Add.1, par. </w:t>
      </w:r>
      <w:r w:rsidRPr="003752A6">
        <w:rPr>
          <w:lang w:val="fr-FR"/>
        </w:rPr>
        <w:t>44.</w:t>
      </w:r>
    </w:p>
  </w:footnote>
  <w:footnote w:id="27">
    <w:p w:rsidR="006163BC" w:rsidRPr="003752A6" w:rsidRDefault="006163BC" w:rsidP="00523E02">
      <w:pPr>
        <w:pStyle w:val="Notedebasdepage"/>
        <w:rPr>
          <w:lang w:val="fr-FR"/>
        </w:rPr>
      </w:pPr>
      <w:r w:rsidRPr="003752A6">
        <w:rPr>
          <w:lang w:val="fr-FR"/>
        </w:rPr>
        <w:tab/>
      </w:r>
      <w:r w:rsidRPr="00607EB4">
        <w:rPr>
          <w:rStyle w:val="Appelnotedebasdep"/>
        </w:rPr>
        <w:footnoteRef/>
      </w:r>
      <w:r w:rsidRPr="003752A6">
        <w:rPr>
          <w:lang w:val="fr-FR"/>
        </w:rPr>
        <w:tab/>
      </w:r>
      <w:r>
        <w:rPr>
          <w:lang w:val="fr-FR"/>
        </w:rPr>
        <w:t>Ibid.,</w:t>
      </w:r>
      <w:r w:rsidRPr="003752A6">
        <w:rPr>
          <w:lang w:val="fr-FR"/>
        </w:rPr>
        <w:t xml:space="preserve"> par.</w:t>
      </w:r>
      <w:r w:rsidRPr="000074AB">
        <w:rPr>
          <w:lang w:val="fr-FR"/>
        </w:rPr>
        <w:t> </w:t>
      </w:r>
      <w:r w:rsidRPr="003752A6">
        <w:rPr>
          <w:lang w:val="fr-FR"/>
        </w:rPr>
        <w:t>64</w:t>
      </w:r>
      <w:r>
        <w:rPr>
          <w:lang w:val="fr-FR"/>
        </w:rPr>
        <w:t>,</w:t>
      </w:r>
      <w:r w:rsidRPr="003752A6">
        <w:rPr>
          <w:lang w:val="fr-FR"/>
        </w:rPr>
        <w:t xml:space="preserve"> 65</w:t>
      </w:r>
      <w:r>
        <w:rPr>
          <w:lang w:val="fr-FR"/>
        </w:rPr>
        <w:t xml:space="preserve"> et</w:t>
      </w:r>
      <w:r w:rsidRPr="003752A6">
        <w:rPr>
          <w:lang w:val="fr-FR"/>
        </w:rPr>
        <w:t xml:space="preserve"> 118 e). </w:t>
      </w:r>
    </w:p>
  </w:footnote>
  <w:footnote w:id="28">
    <w:p w:rsidR="006163BC" w:rsidRDefault="006163BC" w:rsidP="00523E02">
      <w:pPr>
        <w:pStyle w:val="Notedebasdepage"/>
      </w:pPr>
      <w:r w:rsidRPr="003752A6">
        <w:rPr>
          <w:lang w:val="fr-FR"/>
        </w:rPr>
        <w:tab/>
      </w:r>
      <w:r w:rsidRPr="00607EB4">
        <w:rPr>
          <w:rStyle w:val="Appelnotedebasdep"/>
        </w:rPr>
        <w:footnoteRef/>
      </w:r>
      <w:r>
        <w:tab/>
        <w:t>Ibid., par. 48.</w:t>
      </w:r>
      <w:r w:rsidRPr="00055B85">
        <w:rPr>
          <w:lang w:val="fr-FR"/>
        </w:rPr>
        <w:t xml:space="preserve"> </w:t>
      </w:r>
    </w:p>
  </w:footnote>
  <w:footnote w:id="29">
    <w:p w:rsidR="006163BC" w:rsidRDefault="006163BC" w:rsidP="00523E02">
      <w:pPr>
        <w:pStyle w:val="Notedebasdepage"/>
      </w:pPr>
      <w:r>
        <w:tab/>
      </w:r>
      <w:r w:rsidRPr="00607EB4">
        <w:rPr>
          <w:rStyle w:val="Appelnotedebasdep"/>
        </w:rPr>
        <w:footnoteRef/>
      </w:r>
      <w:r>
        <w:tab/>
        <w:t xml:space="preserve">Ibid., par. 53. </w:t>
      </w:r>
    </w:p>
  </w:footnote>
  <w:footnote w:id="30">
    <w:p w:rsidR="006163BC" w:rsidRPr="003752A6" w:rsidRDefault="006163BC" w:rsidP="00523E02">
      <w:pPr>
        <w:pStyle w:val="Notedebasdepage"/>
        <w:rPr>
          <w:lang w:val="fr-FR"/>
        </w:rPr>
      </w:pPr>
      <w:r>
        <w:tab/>
      </w:r>
      <w:r w:rsidRPr="00607EB4">
        <w:rPr>
          <w:rStyle w:val="Appelnotedebasdep"/>
        </w:rPr>
        <w:footnoteRef/>
      </w:r>
      <w:r w:rsidRPr="003752A6">
        <w:rPr>
          <w:lang w:val="fr-FR"/>
        </w:rPr>
        <w:tab/>
      </w:r>
      <w:r>
        <w:rPr>
          <w:lang w:val="fr-FR"/>
        </w:rPr>
        <w:t>Ibid.,</w:t>
      </w:r>
      <w:r w:rsidRPr="003752A6">
        <w:rPr>
          <w:lang w:val="fr-FR"/>
        </w:rPr>
        <w:t xml:space="preserve"> par. 4</w:t>
      </w:r>
      <w:r>
        <w:rPr>
          <w:lang w:val="fr-FR"/>
        </w:rPr>
        <w:t>7</w:t>
      </w:r>
      <w:r w:rsidRPr="003752A6">
        <w:rPr>
          <w:lang w:val="fr-FR"/>
        </w:rPr>
        <w:t xml:space="preserve">. </w:t>
      </w:r>
    </w:p>
  </w:footnote>
  <w:footnote w:id="31">
    <w:p w:rsidR="006163BC" w:rsidRPr="003752A6" w:rsidRDefault="006163BC" w:rsidP="00523E02">
      <w:pPr>
        <w:pStyle w:val="Notedebasdepage"/>
        <w:rPr>
          <w:lang w:val="fr-FR"/>
        </w:rPr>
      </w:pPr>
      <w:r w:rsidRPr="003752A6">
        <w:rPr>
          <w:lang w:val="fr-FR"/>
        </w:rPr>
        <w:tab/>
      </w:r>
      <w:r w:rsidRPr="00607EB4">
        <w:rPr>
          <w:rStyle w:val="Appelnotedebasdep"/>
        </w:rPr>
        <w:footnoteRef/>
      </w:r>
      <w:r w:rsidRPr="003752A6">
        <w:rPr>
          <w:lang w:val="fr-FR"/>
        </w:rPr>
        <w:tab/>
        <w:t>Ibid</w:t>
      </w:r>
      <w:r>
        <w:rPr>
          <w:lang w:val="fr-FR"/>
        </w:rPr>
        <w:t>.</w:t>
      </w:r>
      <w:r w:rsidRPr="003752A6">
        <w:rPr>
          <w:lang w:val="fr-FR"/>
        </w:rPr>
        <w:t xml:space="preserve">, par. 118 i). </w:t>
      </w:r>
    </w:p>
  </w:footnote>
  <w:footnote w:id="32">
    <w:p w:rsidR="006163BC" w:rsidRPr="003752A6" w:rsidRDefault="006163BC" w:rsidP="00523E02">
      <w:pPr>
        <w:pStyle w:val="Notedebasdepage"/>
        <w:rPr>
          <w:lang w:val="fr-FR"/>
        </w:rPr>
      </w:pPr>
      <w:r w:rsidRPr="003752A6">
        <w:rPr>
          <w:lang w:val="fr-FR"/>
        </w:rPr>
        <w:tab/>
      </w:r>
      <w:r w:rsidRPr="00607EB4">
        <w:rPr>
          <w:rStyle w:val="Appelnotedebasdep"/>
        </w:rPr>
        <w:footnoteRef/>
      </w:r>
      <w:r w:rsidRPr="003752A6">
        <w:rPr>
          <w:lang w:val="fr-FR"/>
        </w:rPr>
        <w:tab/>
      </w:r>
      <w:r>
        <w:rPr>
          <w:lang w:val="fr-FR"/>
        </w:rPr>
        <w:t>Ibid.</w:t>
      </w:r>
      <w:r w:rsidRPr="003752A6">
        <w:rPr>
          <w:lang w:val="fr-FR"/>
        </w:rPr>
        <w:t xml:space="preserve">, par. 118 g) et h). </w:t>
      </w:r>
    </w:p>
  </w:footnote>
  <w:footnote w:id="33">
    <w:p w:rsidR="006163BC" w:rsidRPr="003752A6" w:rsidRDefault="006163BC" w:rsidP="00523E02">
      <w:pPr>
        <w:pStyle w:val="Notedebasdepage"/>
        <w:rPr>
          <w:lang w:val="fr-FR"/>
        </w:rPr>
      </w:pPr>
      <w:r w:rsidRPr="003752A6">
        <w:rPr>
          <w:lang w:val="fr-FR"/>
        </w:rPr>
        <w:tab/>
      </w:r>
      <w:r w:rsidRPr="00607EB4">
        <w:rPr>
          <w:rStyle w:val="Appelnotedebasdep"/>
        </w:rPr>
        <w:footnoteRef/>
      </w:r>
      <w:r w:rsidRPr="003752A6">
        <w:rPr>
          <w:lang w:val="fr-FR"/>
        </w:rPr>
        <w:tab/>
        <w:t>Ibid</w:t>
      </w:r>
      <w:r>
        <w:rPr>
          <w:lang w:val="fr-FR"/>
        </w:rPr>
        <w:t>.</w:t>
      </w:r>
      <w:r w:rsidRPr="003752A6">
        <w:rPr>
          <w:lang w:val="fr-FR"/>
        </w:rPr>
        <w:t xml:space="preserve">, par. 49. </w:t>
      </w:r>
    </w:p>
  </w:footnote>
  <w:footnote w:id="34">
    <w:p w:rsidR="006163BC" w:rsidRPr="003752A6" w:rsidRDefault="006163BC" w:rsidP="00523E02">
      <w:pPr>
        <w:pStyle w:val="Notedebasdepage"/>
        <w:rPr>
          <w:lang w:val="fr-FR"/>
        </w:rPr>
      </w:pPr>
      <w:r w:rsidRPr="003752A6">
        <w:rPr>
          <w:lang w:val="fr-FR"/>
        </w:rPr>
        <w:tab/>
      </w:r>
      <w:r w:rsidRPr="00607EB4">
        <w:rPr>
          <w:rStyle w:val="Appelnotedebasdep"/>
        </w:rPr>
        <w:footnoteRef/>
      </w:r>
      <w:r w:rsidRPr="003752A6">
        <w:rPr>
          <w:lang w:val="fr-FR"/>
        </w:rPr>
        <w:tab/>
        <w:t>Ibid</w:t>
      </w:r>
      <w:r>
        <w:rPr>
          <w:lang w:val="fr-FR"/>
        </w:rPr>
        <w:t>.</w:t>
      </w:r>
      <w:r w:rsidRPr="003752A6">
        <w:rPr>
          <w:lang w:val="fr-FR"/>
        </w:rPr>
        <w:t>, par.</w:t>
      </w:r>
      <w:r>
        <w:rPr>
          <w:lang w:val="fr-FR"/>
        </w:rPr>
        <w:t> </w:t>
      </w:r>
      <w:r w:rsidRPr="003752A6">
        <w:rPr>
          <w:lang w:val="fr-FR"/>
        </w:rPr>
        <w:t xml:space="preserve">53. </w:t>
      </w:r>
    </w:p>
  </w:footnote>
  <w:footnote w:id="35">
    <w:p w:rsidR="006163BC" w:rsidRPr="003752A6" w:rsidRDefault="006163BC" w:rsidP="00523E02">
      <w:pPr>
        <w:pStyle w:val="Notedebasdepage"/>
        <w:rPr>
          <w:lang w:val="fr-FR"/>
        </w:rPr>
      </w:pPr>
      <w:r w:rsidRPr="003752A6">
        <w:rPr>
          <w:lang w:val="fr-FR"/>
        </w:rPr>
        <w:tab/>
      </w:r>
      <w:r w:rsidRPr="00607EB4">
        <w:rPr>
          <w:rStyle w:val="Appelnotedebasdep"/>
        </w:rPr>
        <w:footnoteRef/>
      </w:r>
      <w:r w:rsidRPr="003752A6">
        <w:rPr>
          <w:lang w:val="fr-FR"/>
        </w:rPr>
        <w:tab/>
      </w:r>
      <w:r>
        <w:rPr>
          <w:lang w:val="fr-FR"/>
        </w:rPr>
        <w:t>Ibid.</w:t>
      </w:r>
      <w:r w:rsidRPr="003752A6">
        <w:rPr>
          <w:lang w:val="fr-FR"/>
        </w:rPr>
        <w:t>, par.</w:t>
      </w:r>
      <w:r>
        <w:rPr>
          <w:lang w:val="fr-FR"/>
        </w:rPr>
        <w:t> </w:t>
      </w:r>
      <w:r w:rsidRPr="003752A6">
        <w:rPr>
          <w:lang w:val="fr-FR"/>
        </w:rPr>
        <w:t xml:space="preserve">50. </w:t>
      </w:r>
    </w:p>
  </w:footnote>
  <w:footnote w:id="36">
    <w:p w:rsidR="006163BC" w:rsidRPr="003752A6" w:rsidRDefault="006163BC" w:rsidP="00523E02">
      <w:pPr>
        <w:pStyle w:val="Notedebasdepage"/>
        <w:rPr>
          <w:lang w:val="fr-FR"/>
        </w:rPr>
      </w:pPr>
      <w:r w:rsidRPr="003752A6">
        <w:rPr>
          <w:lang w:val="fr-FR"/>
        </w:rPr>
        <w:tab/>
      </w:r>
      <w:r w:rsidRPr="00607EB4">
        <w:rPr>
          <w:rStyle w:val="Appelnotedebasdep"/>
        </w:rPr>
        <w:footnoteRef/>
      </w:r>
      <w:r w:rsidRPr="003752A6">
        <w:rPr>
          <w:lang w:val="fr-FR"/>
        </w:rPr>
        <w:tab/>
      </w:r>
      <w:r>
        <w:rPr>
          <w:lang w:val="fr-FR"/>
        </w:rPr>
        <w:t>Ibid.</w:t>
      </w:r>
      <w:r w:rsidRPr="003752A6">
        <w:rPr>
          <w:lang w:val="fr-FR"/>
        </w:rPr>
        <w:t>, par.</w:t>
      </w:r>
      <w:r>
        <w:rPr>
          <w:lang w:val="fr-FR"/>
        </w:rPr>
        <w:t> </w:t>
      </w:r>
      <w:r w:rsidRPr="003752A6">
        <w:rPr>
          <w:lang w:val="fr-FR"/>
        </w:rPr>
        <w:t>25.</w:t>
      </w:r>
    </w:p>
  </w:footnote>
  <w:footnote w:id="37">
    <w:p w:rsidR="006163BC" w:rsidRPr="003752A6" w:rsidRDefault="006163BC" w:rsidP="00523E02">
      <w:pPr>
        <w:pStyle w:val="Notedebasdepage"/>
        <w:rPr>
          <w:lang w:val="fr-FR"/>
        </w:rPr>
      </w:pPr>
      <w:r w:rsidRPr="003752A6">
        <w:rPr>
          <w:lang w:val="fr-FR"/>
        </w:rPr>
        <w:tab/>
      </w:r>
      <w:r w:rsidRPr="00607EB4">
        <w:rPr>
          <w:rStyle w:val="Appelnotedebasdep"/>
        </w:rPr>
        <w:footnoteRef/>
      </w:r>
      <w:r w:rsidRPr="003752A6">
        <w:rPr>
          <w:lang w:val="fr-FR"/>
        </w:rPr>
        <w:tab/>
        <w:t>Ibid</w:t>
      </w:r>
      <w:r>
        <w:rPr>
          <w:lang w:val="fr-FR"/>
        </w:rPr>
        <w:t>.</w:t>
      </w:r>
      <w:r w:rsidRPr="003752A6">
        <w:rPr>
          <w:lang w:val="fr-FR"/>
        </w:rPr>
        <w:t>, par.</w:t>
      </w:r>
      <w:r>
        <w:rPr>
          <w:lang w:val="fr-FR"/>
        </w:rPr>
        <w:t> </w:t>
      </w:r>
      <w:r w:rsidRPr="003752A6">
        <w:rPr>
          <w:lang w:val="fr-FR"/>
        </w:rPr>
        <w:t xml:space="preserve">18. </w:t>
      </w:r>
    </w:p>
  </w:footnote>
  <w:footnote w:id="38">
    <w:p w:rsidR="006163BC" w:rsidRDefault="006163BC" w:rsidP="00523E02">
      <w:pPr>
        <w:pStyle w:val="Notedebasdepage"/>
      </w:pPr>
      <w:r w:rsidRPr="003752A6">
        <w:rPr>
          <w:lang w:val="fr-FR"/>
        </w:rPr>
        <w:tab/>
      </w:r>
      <w:r w:rsidRPr="00607EB4">
        <w:rPr>
          <w:rStyle w:val="Appelnotedebasdep"/>
        </w:rPr>
        <w:footnoteRef/>
      </w:r>
      <w:r>
        <w:tab/>
        <w:t xml:space="preserve">Voir </w:t>
      </w:r>
      <w:r w:rsidRPr="007F30B9">
        <w:t>CAT/C/MRT/2, par.</w:t>
      </w:r>
      <w:r>
        <w:t> 13 et 18.</w:t>
      </w:r>
    </w:p>
  </w:footnote>
  <w:footnote w:id="39">
    <w:p w:rsidR="006163BC" w:rsidRDefault="006163BC" w:rsidP="00523E02">
      <w:pPr>
        <w:pStyle w:val="Notedebasdepage"/>
      </w:pPr>
      <w:r>
        <w:tab/>
      </w:r>
      <w:r w:rsidRPr="00607EB4">
        <w:rPr>
          <w:rStyle w:val="Appelnotedebasdep"/>
        </w:rPr>
        <w:footnoteRef/>
      </w:r>
      <w:r>
        <w:tab/>
        <w:t xml:space="preserve">Voir </w:t>
      </w:r>
      <w:r w:rsidRPr="00565558">
        <w:rPr>
          <w:lang w:val="fr-FR"/>
        </w:rPr>
        <w:t>A/HRC/</w:t>
      </w:r>
      <w:r>
        <w:rPr>
          <w:lang w:val="fr-FR"/>
        </w:rPr>
        <w:t xml:space="preserve">34/54/Add.1, </w:t>
      </w:r>
      <w:r>
        <w:t>par. 95 et 96.</w:t>
      </w:r>
      <w:r w:rsidRPr="002B5546">
        <w:t xml:space="preserve"> </w:t>
      </w:r>
    </w:p>
  </w:footnote>
  <w:footnote w:id="40">
    <w:p w:rsidR="006163BC" w:rsidRDefault="006163BC" w:rsidP="00523E02">
      <w:pPr>
        <w:pStyle w:val="Notedebasdepage"/>
      </w:pPr>
      <w:r>
        <w:tab/>
      </w:r>
      <w:r w:rsidRPr="00607EB4">
        <w:rPr>
          <w:rStyle w:val="Appelnotedebasdep"/>
        </w:rPr>
        <w:footnoteRef/>
      </w:r>
      <w:r>
        <w:tab/>
        <w:t xml:space="preserve">Voir </w:t>
      </w:r>
      <w:r w:rsidRPr="007F30B9">
        <w:t>CAT/C/MRT/2, par.</w:t>
      </w:r>
      <w:r>
        <w:t xml:space="preserve"> 84. </w:t>
      </w:r>
    </w:p>
  </w:footnote>
  <w:footnote w:id="41">
    <w:p w:rsidR="006163BC" w:rsidRPr="00071EED" w:rsidRDefault="006163BC" w:rsidP="00523E02">
      <w:pPr>
        <w:pStyle w:val="Notedebasdepage"/>
      </w:pPr>
      <w:r w:rsidRPr="00071EED">
        <w:tab/>
      </w:r>
      <w:r w:rsidRPr="00607EB4">
        <w:rPr>
          <w:rStyle w:val="Appelnotedebasdep"/>
        </w:rPr>
        <w:footnoteRef/>
      </w:r>
      <w:r w:rsidRPr="00071EED">
        <w:tab/>
      </w:r>
      <w:r>
        <w:t xml:space="preserve">Voir </w:t>
      </w:r>
      <w:r w:rsidRPr="00071EED">
        <w:t>A/HRC/34/54/Add.1, par.</w:t>
      </w:r>
      <w:r>
        <w:t> </w:t>
      </w:r>
      <w:r w:rsidRPr="00071EED">
        <w:t>14</w:t>
      </w:r>
      <w:r>
        <w:t xml:space="preserve"> et</w:t>
      </w:r>
      <w:r w:rsidRPr="00071EED">
        <w:t xml:space="preserve"> 106</w:t>
      </w:r>
      <w:r>
        <w:t xml:space="preserve"> à </w:t>
      </w:r>
      <w:r w:rsidRPr="00071EED">
        <w:t>109.</w:t>
      </w:r>
    </w:p>
  </w:footnote>
  <w:footnote w:id="42">
    <w:p w:rsidR="006163BC" w:rsidRDefault="006163BC" w:rsidP="00523E02">
      <w:pPr>
        <w:pStyle w:val="Notedebasdepage"/>
      </w:pPr>
      <w:r>
        <w:tab/>
      </w:r>
      <w:r w:rsidRPr="00607EB4">
        <w:rPr>
          <w:rStyle w:val="Appelnotedebasdep"/>
        </w:rPr>
        <w:footnoteRef/>
      </w:r>
      <w:r>
        <w:tab/>
        <w:t xml:space="preserve">Voir </w:t>
      </w:r>
      <w:r w:rsidRPr="007F30B9">
        <w:t>CAT/C/MRT/2, par.</w:t>
      </w:r>
      <w:r>
        <w:t xml:space="preserve"> 132. </w:t>
      </w:r>
    </w:p>
  </w:footnote>
  <w:footnote w:id="43">
    <w:p w:rsidR="006163BC" w:rsidRPr="00EA6985" w:rsidRDefault="006163BC" w:rsidP="00523E02">
      <w:pPr>
        <w:pStyle w:val="Notedebasdepage"/>
      </w:pPr>
      <w:r>
        <w:tab/>
      </w:r>
      <w:r w:rsidRPr="00607EB4">
        <w:rPr>
          <w:rStyle w:val="Appelnotedebasdep"/>
        </w:rPr>
        <w:footnoteRef/>
      </w:r>
      <w:r w:rsidRPr="003752A6">
        <w:rPr>
          <w:lang w:val="fr-FR"/>
        </w:rPr>
        <w:tab/>
      </w:r>
      <w:r>
        <w:rPr>
          <w:lang w:val="fr-FR"/>
        </w:rPr>
        <w:t xml:space="preserve">Voir </w:t>
      </w:r>
      <w:r w:rsidRPr="00B229AD">
        <w:rPr>
          <w:lang w:val="fr-FR"/>
        </w:rPr>
        <w:t>A/HRC/34/54/Add.1</w:t>
      </w:r>
      <w:r w:rsidRPr="003752A6">
        <w:rPr>
          <w:lang w:val="fr-FR"/>
        </w:rPr>
        <w:t>, par.</w:t>
      </w:r>
      <w:r>
        <w:rPr>
          <w:lang w:val="fr-FR"/>
        </w:rPr>
        <w:t> </w:t>
      </w:r>
      <w:r w:rsidRPr="00EA6985">
        <w:t xml:space="preserve">90 et 120 e). </w:t>
      </w:r>
    </w:p>
  </w:footnote>
  <w:footnote w:id="44">
    <w:p w:rsidR="006163BC" w:rsidRPr="00773AA3" w:rsidRDefault="006163BC" w:rsidP="00523E02">
      <w:pPr>
        <w:pStyle w:val="Notedebasdepage"/>
        <w:rPr>
          <w:lang w:val="es-ES"/>
        </w:rPr>
      </w:pPr>
      <w:r w:rsidRPr="00EA6985">
        <w:tab/>
      </w:r>
      <w:r w:rsidRPr="00607EB4">
        <w:rPr>
          <w:rStyle w:val="Appelnotedebasdep"/>
        </w:rPr>
        <w:footnoteRef/>
      </w:r>
      <w:r w:rsidRPr="00773AA3">
        <w:rPr>
          <w:lang w:val="es-ES"/>
        </w:rPr>
        <w:tab/>
        <w:t>Ibid., par. 120 e).</w:t>
      </w:r>
    </w:p>
  </w:footnote>
  <w:footnote w:id="45">
    <w:p w:rsidR="006163BC" w:rsidRPr="00773AA3" w:rsidRDefault="006163BC" w:rsidP="00523E02">
      <w:pPr>
        <w:pStyle w:val="Notedebasdepage"/>
        <w:rPr>
          <w:lang w:val="es-ES"/>
        </w:rPr>
      </w:pPr>
      <w:r w:rsidRPr="00773AA3">
        <w:rPr>
          <w:lang w:val="es-ES"/>
        </w:rPr>
        <w:tab/>
      </w:r>
      <w:r w:rsidRPr="00607EB4">
        <w:rPr>
          <w:rStyle w:val="Appelnotedebasdep"/>
        </w:rPr>
        <w:footnoteRef/>
      </w:r>
      <w:r w:rsidRPr="00773AA3">
        <w:rPr>
          <w:lang w:val="es-ES"/>
        </w:rPr>
        <w:tab/>
        <w:t xml:space="preserve">Ibid., par. 120 b). </w:t>
      </w:r>
    </w:p>
  </w:footnote>
  <w:footnote w:id="46">
    <w:p w:rsidR="006163BC" w:rsidRPr="003B7EAE" w:rsidRDefault="006163BC" w:rsidP="00523E02">
      <w:pPr>
        <w:pStyle w:val="Notedebasdepage"/>
      </w:pPr>
      <w:r w:rsidRPr="00773AA3">
        <w:rPr>
          <w:lang w:val="es-ES"/>
        </w:rPr>
        <w:tab/>
      </w:r>
      <w:r w:rsidRPr="00607EB4">
        <w:rPr>
          <w:rStyle w:val="Appelnotedebasdep"/>
        </w:rPr>
        <w:footnoteRef/>
      </w:r>
      <w:r>
        <w:tab/>
        <w:t xml:space="preserve">Voir </w:t>
      </w:r>
      <w:r w:rsidRPr="003B7EAE">
        <w:t>CAT/C/MRT/2, par. </w:t>
      </w:r>
      <w:r>
        <w:t>87 à 89</w:t>
      </w:r>
      <w:r w:rsidRPr="003B7EAE">
        <w:t>.</w:t>
      </w:r>
    </w:p>
  </w:footnote>
  <w:footnote w:id="47">
    <w:p w:rsidR="006163BC" w:rsidRDefault="006163BC" w:rsidP="00523E02">
      <w:pPr>
        <w:pStyle w:val="Notedebasdepage"/>
      </w:pPr>
      <w:r>
        <w:tab/>
      </w:r>
      <w:r w:rsidRPr="00607EB4">
        <w:rPr>
          <w:rStyle w:val="Appelnotedebasdep"/>
        </w:rPr>
        <w:footnoteRef/>
      </w:r>
      <w:r>
        <w:tab/>
        <w:t xml:space="preserve">Voir </w:t>
      </w:r>
      <w:r w:rsidRPr="00565558">
        <w:rPr>
          <w:lang w:val="fr-FR"/>
        </w:rPr>
        <w:t>A/HRC/34/54/Add.1, par.</w:t>
      </w:r>
      <w:r>
        <w:rPr>
          <w:lang w:val="fr-FR"/>
        </w:rPr>
        <w:t xml:space="preserve"> 120 d). </w:t>
      </w:r>
    </w:p>
  </w:footnote>
  <w:footnote w:id="48">
    <w:p w:rsidR="006163BC" w:rsidRPr="003752A6" w:rsidRDefault="006163BC" w:rsidP="00523E02">
      <w:pPr>
        <w:pStyle w:val="Notedebasdepage"/>
        <w:rPr>
          <w:lang w:val="fr-FR"/>
        </w:rPr>
      </w:pPr>
      <w:r>
        <w:tab/>
      </w:r>
      <w:r w:rsidRPr="00607EB4">
        <w:rPr>
          <w:rStyle w:val="Appelnotedebasdep"/>
        </w:rPr>
        <w:footnoteRef/>
      </w:r>
      <w:r w:rsidRPr="003752A6">
        <w:rPr>
          <w:lang w:val="fr-FR"/>
        </w:rPr>
        <w:tab/>
      </w:r>
      <w:r>
        <w:rPr>
          <w:lang w:val="fr-FR"/>
        </w:rPr>
        <w:t>Ibid.</w:t>
      </w:r>
      <w:r w:rsidRPr="003752A6">
        <w:rPr>
          <w:lang w:val="fr-FR"/>
        </w:rPr>
        <w:t>, par. 28</w:t>
      </w:r>
      <w:r>
        <w:rPr>
          <w:lang w:val="fr-FR"/>
        </w:rPr>
        <w:t xml:space="preserve"> à </w:t>
      </w:r>
      <w:r w:rsidRPr="003752A6">
        <w:rPr>
          <w:lang w:val="fr-FR"/>
        </w:rPr>
        <w:t>30</w:t>
      </w:r>
      <w:r w:rsidRPr="00DE7139">
        <w:rPr>
          <w:lang w:val="fr-FR"/>
        </w:rPr>
        <w:t>.</w:t>
      </w:r>
      <w:bookmarkStart w:id="0" w:name="_GoBack"/>
      <w:bookmarkEnd w:id="0"/>
    </w:p>
  </w:footnote>
  <w:footnote w:id="49">
    <w:p w:rsidR="006163BC" w:rsidRPr="003752A6" w:rsidRDefault="006163BC" w:rsidP="00523E02">
      <w:pPr>
        <w:pStyle w:val="Notedebasdepage"/>
        <w:rPr>
          <w:lang w:val="fr-FR"/>
        </w:rPr>
      </w:pPr>
      <w:r w:rsidRPr="003752A6">
        <w:rPr>
          <w:lang w:val="fr-FR"/>
        </w:rPr>
        <w:tab/>
      </w:r>
      <w:r w:rsidRPr="00607EB4">
        <w:rPr>
          <w:rStyle w:val="Appelnotedebasdep"/>
        </w:rPr>
        <w:footnoteRef/>
      </w:r>
      <w:r w:rsidRPr="003752A6">
        <w:rPr>
          <w:lang w:val="fr-FR"/>
        </w:rPr>
        <w:tab/>
        <w:t>Voir CRC/C/MRT/CO/2, par.</w:t>
      </w:r>
      <w:r w:rsidRPr="00754082">
        <w:rPr>
          <w:lang w:val="fr-FR"/>
        </w:rPr>
        <w:t> </w:t>
      </w:r>
      <w:r w:rsidRPr="003752A6">
        <w:rPr>
          <w:lang w:val="fr-FR"/>
        </w:rPr>
        <w:t xml:space="preserve">40 et 41. </w:t>
      </w:r>
    </w:p>
  </w:footnote>
  <w:footnote w:id="50">
    <w:p w:rsidR="006163BC" w:rsidRPr="003752A6" w:rsidRDefault="006163BC" w:rsidP="00523E02">
      <w:pPr>
        <w:pStyle w:val="Notedebasdepage"/>
        <w:rPr>
          <w:lang w:val="fr-FR"/>
        </w:rPr>
      </w:pPr>
      <w:r w:rsidRPr="003752A6">
        <w:rPr>
          <w:lang w:val="fr-FR"/>
        </w:rPr>
        <w:tab/>
      </w:r>
      <w:r w:rsidRPr="00607EB4">
        <w:rPr>
          <w:rStyle w:val="Appelnotedebasdep"/>
        </w:rPr>
        <w:footnoteRef/>
      </w:r>
      <w:r w:rsidRPr="003752A6">
        <w:rPr>
          <w:lang w:val="fr-FR"/>
        </w:rPr>
        <w:tab/>
      </w:r>
      <w:r>
        <w:rPr>
          <w:lang w:val="fr-FR"/>
        </w:rPr>
        <w:t xml:space="preserve">Voir </w:t>
      </w:r>
      <w:r w:rsidRPr="003752A6">
        <w:rPr>
          <w:color w:val="000000"/>
          <w:szCs w:val="18"/>
          <w:lang w:val="fr-FR" w:eastAsia="en-GB"/>
        </w:rPr>
        <w:t>CAT/C/MRT/2, par. 143 et 144.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3BC" w:rsidRPr="00FC4B14" w:rsidRDefault="006163BC">
    <w:pPr>
      <w:pStyle w:val="En-tte"/>
      <w:rPr>
        <w:lang w:val="en-US"/>
      </w:rPr>
    </w:pPr>
    <w:r>
      <w:fldChar w:fldCharType="begin"/>
    </w:r>
    <w:r w:rsidRPr="00FC4B14">
      <w:rPr>
        <w:lang w:val="en-US"/>
      </w:rPr>
      <w:instrText xml:space="preserve"> TITLE  \* MERGEFORMAT </w:instrText>
    </w:r>
    <w:r>
      <w:fldChar w:fldCharType="separate"/>
    </w:r>
    <w:r w:rsidR="00530377">
      <w:rPr>
        <w:lang w:val="en-US"/>
      </w:rPr>
      <w:t>CAT/C/MRT/Q/2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3BC" w:rsidRPr="00FC4B14" w:rsidRDefault="006163BC" w:rsidP="00FC4B14">
    <w:pPr>
      <w:pStyle w:val="En-tte"/>
      <w:jc w:val="right"/>
      <w:rPr>
        <w:lang w:val="en-US"/>
      </w:rPr>
    </w:pPr>
    <w:r>
      <w:fldChar w:fldCharType="begin"/>
    </w:r>
    <w:r w:rsidRPr="00FC4B14">
      <w:rPr>
        <w:lang w:val="en-US"/>
      </w:rPr>
      <w:instrText xml:space="preserve"> TITLE  \* MERGEFORMAT </w:instrText>
    </w:r>
    <w:r>
      <w:fldChar w:fldCharType="separate"/>
    </w:r>
    <w:r w:rsidR="00530377">
      <w:rPr>
        <w:lang w:val="en-US"/>
      </w:rPr>
      <w:t>CAT/C/MRT/Q/2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7"/>
  <w:displayBackgroundShape/>
  <w:attachedTemplate r:id="rId1"/>
  <w:defaultTabStop w:val="567"/>
  <w:hyphenationZone w:val="425"/>
  <w:evenAndOddHeaders/>
  <w:characterSpacingControl w:val="doNotCompress"/>
  <w:hdrShapeDefaults>
    <o:shapedefaults v:ext="edit" spidmax="6146"/>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C3F"/>
    <w:rsid w:val="00023842"/>
    <w:rsid w:val="00035AE4"/>
    <w:rsid w:val="00037DF1"/>
    <w:rsid w:val="0007796D"/>
    <w:rsid w:val="00101756"/>
    <w:rsid w:val="00111F2F"/>
    <w:rsid w:val="0014365E"/>
    <w:rsid w:val="00166E32"/>
    <w:rsid w:val="00176178"/>
    <w:rsid w:val="001F525A"/>
    <w:rsid w:val="00435947"/>
    <w:rsid w:val="00446FE5"/>
    <w:rsid w:val="00457370"/>
    <w:rsid w:val="004D6539"/>
    <w:rsid w:val="004F046A"/>
    <w:rsid w:val="00523E02"/>
    <w:rsid w:val="00530377"/>
    <w:rsid w:val="005452D0"/>
    <w:rsid w:val="00553A1F"/>
    <w:rsid w:val="00573BE5"/>
    <w:rsid w:val="00586ED3"/>
    <w:rsid w:val="00587A52"/>
    <w:rsid w:val="005970D5"/>
    <w:rsid w:val="005A51D3"/>
    <w:rsid w:val="005B4E23"/>
    <w:rsid w:val="006163BC"/>
    <w:rsid w:val="00621144"/>
    <w:rsid w:val="00690AD8"/>
    <w:rsid w:val="006C62A7"/>
    <w:rsid w:val="006E10CA"/>
    <w:rsid w:val="006F48EC"/>
    <w:rsid w:val="0071601D"/>
    <w:rsid w:val="007432FB"/>
    <w:rsid w:val="00773AA3"/>
    <w:rsid w:val="0080684C"/>
    <w:rsid w:val="00807D21"/>
    <w:rsid w:val="0083426F"/>
    <w:rsid w:val="00840C6C"/>
    <w:rsid w:val="00871C75"/>
    <w:rsid w:val="008776DC"/>
    <w:rsid w:val="008E2DE7"/>
    <w:rsid w:val="009705C8"/>
    <w:rsid w:val="009838BA"/>
    <w:rsid w:val="009B61FF"/>
    <w:rsid w:val="009C4D45"/>
    <w:rsid w:val="009F531E"/>
    <w:rsid w:val="00A03665"/>
    <w:rsid w:val="00A05770"/>
    <w:rsid w:val="00A37C92"/>
    <w:rsid w:val="00A704A8"/>
    <w:rsid w:val="00AA0CD3"/>
    <w:rsid w:val="00AB1B55"/>
    <w:rsid w:val="00AE323C"/>
    <w:rsid w:val="00BA41F4"/>
    <w:rsid w:val="00BF15C3"/>
    <w:rsid w:val="00C02897"/>
    <w:rsid w:val="00C40C16"/>
    <w:rsid w:val="00C47928"/>
    <w:rsid w:val="00C77C30"/>
    <w:rsid w:val="00CA5CE1"/>
    <w:rsid w:val="00CD326D"/>
    <w:rsid w:val="00CD5C3F"/>
    <w:rsid w:val="00D21E12"/>
    <w:rsid w:val="00D37E09"/>
    <w:rsid w:val="00DB1831"/>
    <w:rsid w:val="00DD3BFD"/>
    <w:rsid w:val="00E421AA"/>
    <w:rsid w:val="00E554A4"/>
    <w:rsid w:val="00EA0D23"/>
    <w:rsid w:val="00EA3F83"/>
    <w:rsid w:val="00EE6EA3"/>
    <w:rsid w:val="00F16286"/>
    <w:rsid w:val="00F32AF1"/>
    <w:rsid w:val="00F660DF"/>
    <w:rsid w:val="00F95C08"/>
    <w:rsid w:val="00FC4B1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5727E4A"/>
  <w15:docId w15:val="{AE4A2F5A-E862-467D-B356-1DC5228C0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8</Pages>
  <Words>4204</Words>
  <Characters>21821</Characters>
  <Application>Microsoft Office Word</Application>
  <DocSecurity>0</DocSecurity>
  <Lines>351</Lines>
  <Paragraphs>98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CAT/C/MRT/Q/2</vt:lpstr>
      <vt:lpstr>CAT/C/MRT/Q/2</vt:lpstr>
    </vt:vector>
  </TitlesOfParts>
  <Company>DCM</Company>
  <LinksUpToDate>false</LinksUpToDate>
  <CharactersWithSpaces>25927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CAT/C/MRT/Q/2</dc:title>
  <dc:subject/>
  <dc:creator>Pascale BEYSARD</dc:creator>
  <cp:keywords/>
  <cp:lastModifiedBy>Sylvie LAMY</cp:lastModifiedBy>
  <cp:revision>3</cp:revision>
  <cp:lastPrinted>2018-01-04T06:05:00Z</cp:lastPrinted>
  <dcterms:created xsi:type="dcterms:W3CDTF">2018-01-04T06:05:00Z</dcterms:created>
  <dcterms:modified xsi:type="dcterms:W3CDTF">2018-01-04T06:05:00Z</dcterms:modified>
</cp:coreProperties>
</file>