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spacing w:before="0" w:after="0"/>
        <w:ind w:left="476" w:right="0"/>
      </w:pPr>
      <w:r>
        <w:t>Комитет по ликвидации дискриминации</w:t>
      </w:r>
    </w:p>
    <w:p w:rsidR="00000000" w:rsidRDefault="00000000">
      <w:pPr>
        <w:pStyle w:val="H1"/>
        <w:spacing w:before="0" w:after="0"/>
        <w:ind w:left="476" w:right="0"/>
      </w:pPr>
      <w:r>
        <w:t>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clear" w:pos="174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 w:name="_Toc30302866"/>
      <w:r>
        <w:t xml:space="preserve">Рассмотрение докладов, представленных государствами-участниками в соответствии со статьей 18 Конвенции о ликвидации всех </w:t>
      </w:r>
      <w:r>
        <w:br/>
        <w:t>форм дискриминации в отношении женщин</w:t>
      </w:r>
      <w:bookmarkEnd w:id="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spacing w:before="0" w:after="0"/>
        <w:ind w:left="794" w:firstLine="476"/>
      </w:pPr>
      <w:r>
        <w:t>Пятый периодический доклад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spacing w:before="0" w:after="0"/>
        <w:ind w:left="794" w:firstLine="476"/>
      </w:pPr>
      <w:r>
        <w:t>Новая Зеландия</w:t>
      </w:r>
      <w:r>
        <w:rPr>
          <w:rStyle w:val="FootnoteReference"/>
          <w:b w:val="0"/>
        </w:rPr>
        <w:footnoteReference w:customMarkFollows="1" w:id="1"/>
        <w:t>*</w:t>
      </w:r>
    </w:p>
    <w:p w:rsidR="00000000" w:rsidRDefault="00000000">
      <w:pPr>
        <w:pStyle w:val="HCh"/>
        <w:spacing w:before="3000"/>
      </w:pPr>
      <w:r>
        <w:br w:type="page"/>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Ch"/>
      </w:pPr>
      <w:bookmarkStart w:id="2" w:name="_Toc30302867"/>
      <w:r>
        <w:t>Положение женщин в Новой Зеландии</w:t>
      </w:r>
      <w:bookmarkEnd w:id="2"/>
    </w:p>
    <w:p w:rsidR="00000000" w:rsidRDefault="00000000">
      <w:pPr>
        <w:pStyle w:val="HCh"/>
      </w:pPr>
      <w:bookmarkStart w:id="3" w:name="_Toc30302868"/>
      <w:r>
        <w:t>Сентябрь 2002 года</w:t>
      </w:r>
      <w:bookmarkEnd w:id="3"/>
    </w:p>
    <w:p w:rsidR="00000000" w:rsidRDefault="00000000">
      <w:pPr>
        <w:pStyle w:val="H1"/>
        <w:spacing w:after="0" w:line="240" w:lineRule="auto"/>
      </w:pPr>
    </w:p>
    <w:p w:rsidR="00000000" w:rsidRDefault="00000000">
      <w:pPr>
        <w:pStyle w:val="H1"/>
        <w:spacing w:before="120" w:after="0" w:line="240" w:lineRule="auto"/>
      </w:pPr>
      <w:r>
        <w:t>Доклад</w:t>
      </w:r>
    </w:p>
    <w:p w:rsidR="00000000" w:rsidRDefault="00000000">
      <w:pPr>
        <w:pStyle w:val="H1"/>
        <w:spacing w:before="0" w:after="0" w:line="240" w:lineRule="auto"/>
      </w:pPr>
      <w:r>
        <w:t xml:space="preserve">Комитету Организации Объединенных Наций </w:t>
      </w:r>
    </w:p>
    <w:p w:rsidR="00000000" w:rsidRDefault="00000000">
      <w:pPr>
        <w:pStyle w:val="H1"/>
        <w:spacing w:before="0" w:after="0" w:line="240" w:lineRule="auto"/>
      </w:pPr>
      <w:r>
        <w:t xml:space="preserve">по ликвидации всех форм дискриминации </w:t>
      </w:r>
    </w:p>
    <w:p w:rsidR="00000000" w:rsidRDefault="00000000">
      <w:pPr>
        <w:pStyle w:val="H1"/>
        <w:spacing w:before="0" w:after="0" w:line="240" w:lineRule="auto"/>
      </w:pPr>
      <w:r>
        <w:t>в отношении женщин</w:t>
      </w:r>
    </w:p>
    <w:p w:rsidR="00000000" w:rsidRDefault="00000000">
      <w:pPr>
        <w:pStyle w:val="H1"/>
      </w:pPr>
      <w:r>
        <w:br w:type="page"/>
      </w:r>
      <w:bookmarkStart w:id="4" w:name="_Toc30302869"/>
      <w:r>
        <w:t>Содержание</w:t>
      </w:r>
      <w:bookmarkEnd w:id="4"/>
    </w:p>
    <w:p w:rsidR="00000000" w:rsidRDefault="00000000">
      <w:pPr>
        <w:ind w:left="1264" w:right="1264"/>
        <w:rPr>
          <w:i/>
        </w:rPr>
      </w:pPr>
    </w:p>
    <w:p w:rsidR="00000000" w:rsidRDefault="00000000">
      <w:pPr>
        <w:pStyle w:val="TOC1"/>
        <w:tabs>
          <w:tab w:val="right" w:leader="dot" w:pos="8647"/>
        </w:tabs>
        <w:spacing w:after="120"/>
        <w:ind w:left="1548" w:right="1486" w:hanging="284"/>
        <w:rPr>
          <w:noProof/>
          <w:spacing w:val="0"/>
          <w:w w:val="100"/>
          <w:kern w:val="0"/>
          <w:sz w:val="24"/>
        </w:rPr>
      </w:pPr>
      <w:r>
        <w:rPr>
          <w:i/>
        </w:rPr>
        <w:fldChar w:fldCharType="begin"/>
      </w:r>
      <w:r>
        <w:rPr>
          <w:i/>
        </w:rPr>
        <w:instrText xml:space="preserve"> TOC \h \z \t "Заголовок 1;1;_ H _Ch;1;__S_M;1;__S_L;1;__S_S;1;Нумерованный список;1;XLarge;1" </w:instrText>
      </w:r>
      <w:r>
        <w:rPr>
          <w:i/>
        </w:rPr>
        <w:fldChar w:fldCharType="separate"/>
      </w:r>
    </w:p>
    <w:p w:rsidR="00000000" w:rsidRDefault="00000000">
      <w:pPr>
        <w:pStyle w:val="TOC1"/>
        <w:tabs>
          <w:tab w:val="right" w:leader="dot" w:pos="8647"/>
        </w:tabs>
        <w:spacing w:after="120"/>
        <w:ind w:left="1548" w:right="1486" w:hanging="284"/>
        <w:rPr>
          <w:b/>
          <w:noProof/>
          <w:spacing w:val="0"/>
          <w:w w:val="100"/>
          <w:kern w:val="0"/>
          <w:sz w:val="24"/>
        </w:rPr>
      </w:pPr>
      <w:hyperlink w:anchor="_Toc30302870" w:history="1">
        <w:r>
          <w:rPr>
            <w:rStyle w:val="Hyperlink"/>
            <w:b/>
            <w:noProof/>
            <w:color w:val="auto"/>
            <w:u w:val="none"/>
          </w:rPr>
          <w:t>Введение</w:t>
        </w:r>
        <w:r>
          <w:rPr>
            <w:noProof/>
          </w:rPr>
          <w:tab/>
        </w:r>
        <w:r>
          <w:rPr>
            <w:b/>
            <w:noProof/>
          </w:rPr>
          <w:fldChar w:fldCharType="begin"/>
        </w:r>
        <w:r>
          <w:rPr>
            <w:b/>
            <w:noProof/>
          </w:rPr>
          <w:instrText xml:space="preserve"> PAGEREF _Toc30302870 \h </w:instrText>
        </w:r>
        <w:r>
          <w:rPr>
            <w:b/>
            <w:noProof/>
          </w:rPr>
        </w:r>
        <w:r>
          <w:rPr>
            <w:b/>
            <w:noProof/>
          </w:rPr>
          <w:fldChar w:fldCharType="separate"/>
        </w:r>
        <w:r>
          <w:rPr>
            <w:b/>
            <w:noProof/>
          </w:rPr>
          <w:t>4</w:t>
        </w:r>
        <w:r>
          <w:rPr>
            <w:b/>
            <w:noProof/>
          </w:rPr>
          <w:fldChar w:fldCharType="end"/>
        </w:r>
      </w:hyperlink>
    </w:p>
    <w:p w:rsidR="00000000" w:rsidRDefault="00000000">
      <w:pPr>
        <w:pStyle w:val="TOC1"/>
        <w:tabs>
          <w:tab w:val="right" w:leader="dot" w:pos="8647"/>
        </w:tabs>
        <w:spacing w:after="120"/>
        <w:ind w:left="1548" w:right="1486" w:hanging="284"/>
        <w:rPr>
          <w:b/>
          <w:noProof/>
          <w:spacing w:val="0"/>
          <w:w w:val="100"/>
          <w:kern w:val="0"/>
          <w:sz w:val="24"/>
        </w:rPr>
      </w:pPr>
      <w:hyperlink w:anchor="_Toc30302871" w:history="1">
        <w:r>
          <w:rPr>
            <w:rStyle w:val="Hyperlink"/>
            <w:b/>
            <w:noProof/>
            <w:color w:val="auto"/>
            <w:u w:val="none"/>
          </w:rPr>
          <w:t>Резюме</w:t>
        </w:r>
        <w:r>
          <w:rPr>
            <w:noProof/>
          </w:rPr>
          <w:tab/>
        </w:r>
        <w:r>
          <w:rPr>
            <w:b/>
            <w:noProof/>
          </w:rPr>
          <w:fldChar w:fldCharType="begin"/>
        </w:r>
        <w:r>
          <w:rPr>
            <w:b/>
            <w:noProof/>
          </w:rPr>
          <w:instrText xml:space="preserve"> PAGEREF _Toc30302871 \h </w:instrText>
        </w:r>
        <w:r>
          <w:rPr>
            <w:b/>
            <w:noProof/>
          </w:rPr>
        </w:r>
        <w:r>
          <w:rPr>
            <w:b/>
            <w:noProof/>
          </w:rPr>
          <w:fldChar w:fldCharType="separate"/>
        </w:r>
        <w:r>
          <w:rPr>
            <w:b/>
            <w:noProof/>
          </w:rPr>
          <w:t>5</w:t>
        </w:r>
        <w:r>
          <w:rPr>
            <w:b/>
            <w:noProof/>
          </w:rPr>
          <w:fldChar w:fldCharType="end"/>
        </w:r>
      </w:hyperlink>
    </w:p>
    <w:p w:rsidR="00000000" w:rsidRDefault="00000000">
      <w:pPr>
        <w:pStyle w:val="TOC1"/>
        <w:tabs>
          <w:tab w:val="right" w:leader="dot" w:pos="8647"/>
        </w:tabs>
        <w:spacing w:after="120"/>
        <w:ind w:left="1548" w:right="1486" w:hanging="284"/>
        <w:rPr>
          <w:b/>
          <w:noProof/>
          <w:spacing w:val="0"/>
          <w:w w:val="100"/>
          <w:kern w:val="0"/>
          <w:sz w:val="24"/>
        </w:rPr>
      </w:pPr>
      <w:hyperlink w:anchor="_Toc30302872" w:history="1">
        <w:r>
          <w:rPr>
            <w:rStyle w:val="Hyperlink"/>
            <w:b/>
            <w:noProof/>
            <w:color w:val="auto"/>
            <w:u w:val="none"/>
          </w:rPr>
          <w:t>Методология</w:t>
        </w:r>
        <w:r>
          <w:rPr>
            <w:noProof/>
          </w:rPr>
          <w:tab/>
        </w:r>
        <w:r>
          <w:rPr>
            <w:b/>
            <w:noProof/>
          </w:rPr>
          <w:fldChar w:fldCharType="begin"/>
        </w:r>
        <w:r>
          <w:rPr>
            <w:b/>
            <w:noProof/>
          </w:rPr>
          <w:instrText xml:space="preserve"> PAGEREF _Toc30302872 \h </w:instrText>
        </w:r>
        <w:r>
          <w:rPr>
            <w:b/>
            <w:noProof/>
          </w:rPr>
        </w:r>
        <w:r>
          <w:rPr>
            <w:b/>
            <w:noProof/>
          </w:rPr>
          <w:fldChar w:fldCharType="separate"/>
        </w:r>
        <w:r>
          <w:rPr>
            <w:b/>
            <w:noProof/>
          </w:rPr>
          <w:t>14</w:t>
        </w:r>
        <w:r>
          <w:rPr>
            <w:b/>
            <w:noProof/>
          </w:rPr>
          <w:fldChar w:fldCharType="end"/>
        </w:r>
      </w:hyperlink>
    </w:p>
    <w:p w:rsidR="00000000" w:rsidRDefault="00000000">
      <w:pPr>
        <w:pStyle w:val="TOC1"/>
        <w:tabs>
          <w:tab w:val="right" w:leader="dot" w:pos="8647"/>
        </w:tabs>
        <w:spacing w:after="120"/>
        <w:ind w:left="1548" w:right="1486" w:hanging="284"/>
        <w:rPr>
          <w:b/>
          <w:noProof/>
          <w:spacing w:val="0"/>
          <w:w w:val="100"/>
          <w:kern w:val="0"/>
          <w:sz w:val="24"/>
        </w:rPr>
      </w:pPr>
      <w:hyperlink w:anchor="_Toc30302873" w:history="1">
        <w:r>
          <w:rPr>
            <w:rStyle w:val="Hyperlink"/>
            <w:b/>
            <w:noProof/>
            <w:color w:val="auto"/>
            <w:u w:val="none"/>
          </w:rPr>
          <w:t>Ответы правительства Новой Зеландии на заключительные замечания комитета по ликвидации дискриминации в отношении женщин</w:t>
        </w:r>
        <w:r>
          <w:rPr>
            <w:noProof/>
          </w:rPr>
          <w:tab/>
        </w:r>
        <w:r>
          <w:rPr>
            <w:b/>
            <w:noProof/>
          </w:rPr>
          <w:fldChar w:fldCharType="begin"/>
        </w:r>
        <w:r>
          <w:rPr>
            <w:b/>
            <w:noProof/>
          </w:rPr>
          <w:instrText xml:space="preserve"> PAGEREF _Toc30302873 \h </w:instrText>
        </w:r>
        <w:r>
          <w:rPr>
            <w:b/>
            <w:noProof/>
          </w:rPr>
        </w:r>
        <w:r>
          <w:rPr>
            <w:b/>
            <w:noProof/>
          </w:rPr>
          <w:fldChar w:fldCharType="separate"/>
        </w:r>
        <w:r>
          <w:rPr>
            <w:b/>
            <w:noProof/>
          </w:rPr>
          <w:t>17</w:t>
        </w:r>
        <w:r>
          <w:rPr>
            <w:b/>
            <w:noProof/>
          </w:rPr>
          <w:fldChar w:fldCharType="end"/>
        </w:r>
      </w:hyperlink>
    </w:p>
    <w:p w:rsidR="00000000" w:rsidRDefault="00000000">
      <w:pPr>
        <w:pStyle w:val="TOC1"/>
        <w:tabs>
          <w:tab w:val="right" w:leader="dot" w:pos="8647"/>
        </w:tabs>
        <w:spacing w:after="120"/>
        <w:ind w:left="1548" w:right="1486" w:hanging="284"/>
        <w:rPr>
          <w:rStyle w:val="Hyperlink"/>
          <w:b/>
          <w:noProof/>
          <w:color w:val="auto"/>
          <w:u w:val="none"/>
        </w:rPr>
      </w:pPr>
      <w:r>
        <w:rPr>
          <w:rStyle w:val="Hyperlink"/>
          <w:b/>
          <w:noProof/>
          <w:color w:val="auto"/>
          <w:u w:val="none"/>
        </w:rPr>
        <w:t>Статьи</w:t>
      </w:r>
      <w:r>
        <w:rPr>
          <w:rStyle w:val="Hyperlink"/>
          <w:noProof/>
          <w:color w:val="auto"/>
          <w:u w:val="none"/>
        </w:rPr>
        <w:tab/>
      </w:r>
      <w:r>
        <w:rPr>
          <w:rStyle w:val="Hyperlink"/>
          <w:b/>
          <w:noProof/>
          <w:color w:val="auto"/>
          <w:u w:val="none"/>
        </w:rPr>
        <w:t>31</w:t>
      </w:r>
    </w:p>
    <w:p w:rsidR="00000000" w:rsidRDefault="00000000">
      <w:pPr>
        <w:pStyle w:val="TOC1"/>
        <w:tabs>
          <w:tab w:val="right" w:leader="dot" w:pos="8647"/>
        </w:tabs>
        <w:spacing w:after="120"/>
        <w:ind w:left="1548" w:right="1486" w:hanging="284"/>
        <w:rPr>
          <w:noProof/>
          <w:spacing w:val="0"/>
          <w:w w:val="100"/>
          <w:kern w:val="0"/>
          <w:sz w:val="24"/>
        </w:rPr>
      </w:pPr>
      <w:hyperlink w:anchor="_Toc30302874" w:history="1">
        <w:r>
          <w:rPr>
            <w:rStyle w:val="Hyperlink"/>
            <w:noProof/>
            <w:color w:val="auto"/>
            <w:u w:val="none"/>
          </w:rPr>
          <w:t>Стат</w:t>
        </w:r>
        <w:r>
          <w:rPr>
            <w:rStyle w:val="Hyperlink"/>
            <w:noProof/>
            <w:color w:val="auto"/>
            <w:u w:val="none"/>
          </w:rPr>
          <w:t>ь</w:t>
        </w:r>
        <w:r>
          <w:rPr>
            <w:rStyle w:val="Hyperlink"/>
            <w:noProof/>
            <w:color w:val="auto"/>
            <w:u w:val="none"/>
          </w:rPr>
          <w:t>я 1: Определение дискриминации в отношении женщин</w:t>
        </w:r>
        <w:r>
          <w:rPr>
            <w:noProof/>
          </w:rPr>
          <w:tab/>
        </w:r>
        <w:r>
          <w:rPr>
            <w:noProof/>
          </w:rPr>
          <w:fldChar w:fldCharType="begin"/>
        </w:r>
        <w:r>
          <w:rPr>
            <w:noProof/>
          </w:rPr>
          <w:instrText xml:space="preserve"> PAGEREF _Toc30302874 \h </w:instrText>
        </w:r>
        <w:r>
          <w:rPr>
            <w:noProof/>
          </w:rPr>
        </w:r>
        <w:r>
          <w:rPr>
            <w:noProof/>
          </w:rPr>
          <w:fldChar w:fldCharType="separate"/>
        </w:r>
        <w:r>
          <w:rPr>
            <w:noProof/>
          </w:rPr>
          <w:t>31</w:t>
        </w:r>
        <w:r>
          <w:rPr>
            <w:noProof/>
          </w:rPr>
          <w:fldChar w:fldCharType="end"/>
        </w:r>
      </w:hyperlink>
    </w:p>
    <w:p w:rsidR="00000000" w:rsidRDefault="00000000">
      <w:pPr>
        <w:pStyle w:val="TOC1"/>
        <w:tabs>
          <w:tab w:val="right" w:leader="dot" w:pos="8647"/>
        </w:tabs>
        <w:spacing w:after="120"/>
        <w:ind w:left="1548" w:right="1486" w:hanging="284"/>
        <w:rPr>
          <w:noProof/>
          <w:spacing w:val="0"/>
          <w:w w:val="100"/>
          <w:kern w:val="0"/>
          <w:sz w:val="24"/>
        </w:rPr>
      </w:pPr>
      <w:hyperlink w:anchor="_Toc30302876" w:history="1">
        <w:r>
          <w:rPr>
            <w:rStyle w:val="Hyperlink"/>
            <w:noProof/>
            <w:color w:val="auto"/>
            <w:u w:val="none"/>
          </w:rPr>
          <w:t>Статья 2: Антидискриминационные меры</w:t>
        </w:r>
        <w:r>
          <w:rPr>
            <w:noProof/>
          </w:rPr>
          <w:tab/>
        </w:r>
        <w:r>
          <w:rPr>
            <w:noProof/>
          </w:rPr>
          <w:fldChar w:fldCharType="begin"/>
        </w:r>
        <w:r>
          <w:rPr>
            <w:noProof/>
          </w:rPr>
          <w:instrText xml:space="preserve"> PAGEREF _Toc30302876 \h </w:instrText>
        </w:r>
        <w:r>
          <w:rPr>
            <w:noProof/>
          </w:rPr>
        </w:r>
        <w:r>
          <w:rPr>
            <w:noProof/>
          </w:rPr>
          <w:fldChar w:fldCharType="separate"/>
        </w:r>
        <w:r>
          <w:rPr>
            <w:noProof/>
          </w:rPr>
          <w:t>34</w:t>
        </w:r>
        <w:r>
          <w:rPr>
            <w:noProof/>
          </w:rPr>
          <w:fldChar w:fldCharType="end"/>
        </w:r>
      </w:hyperlink>
    </w:p>
    <w:p w:rsidR="00000000" w:rsidRDefault="00000000">
      <w:pPr>
        <w:pStyle w:val="TOC1"/>
        <w:tabs>
          <w:tab w:val="right" w:leader="dot" w:pos="8647"/>
        </w:tabs>
        <w:spacing w:after="120"/>
        <w:ind w:left="1548" w:right="1486" w:hanging="284"/>
        <w:rPr>
          <w:noProof/>
          <w:spacing w:val="0"/>
          <w:w w:val="100"/>
          <w:kern w:val="0"/>
          <w:sz w:val="24"/>
        </w:rPr>
      </w:pPr>
      <w:hyperlink w:anchor="_Toc30302878" w:history="1">
        <w:r>
          <w:rPr>
            <w:rStyle w:val="Hyperlink"/>
            <w:noProof/>
            <w:color w:val="auto"/>
            <w:u w:val="none"/>
          </w:rPr>
          <w:t>Статья 3: Развитие и улучшение положения женщин</w:t>
        </w:r>
        <w:r>
          <w:rPr>
            <w:noProof/>
          </w:rPr>
          <w:tab/>
        </w:r>
        <w:r>
          <w:rPr>
            <w:noProof/>
          </w:rPr>
          <w:fldChar w:fldCharType="begin"/>
        </w:r>
        <w:r>
          <w:rPr>
            <w:noProof/>
          </w:rPr>
          <w:instrText xml:space="preserve"> PAGEREF _Toc30302878 \h </w:instrText>
        </w:r>
        <w:r>
          <w:rPr>
            <w:noProof/>
          </w:rPr>
        </w:r>
        <w:r>
          <w:rPr>
            <w:noProof/>
          </w:rPr>
          <w:fldChar w:fldCharType="separate"/>
        </w:r>
        <w:r>
          <w:rPr>
            <w:noProof/>
          </w:rPr>
          <w:t>45</w:t>
        </w:r>
        <w:r>
          <w:rPr>
            <w:noProof/>
          </w:rPr>
          <w:fldChar w:fldCharType="end"/>
        </w:r>
      </w:hyperlink>
    </w:p>
    <w:p w:rsidR="00000000" w:rsidRDefault="00000000">
      <w:pPr>
        <w:pStyle w:val="TOC1"/>
        <w:tabs>
          <w:tab w:val="right" w:leader="dot" w:pos="8647"/>
        </w:tabs>
        <w:spacing w:after="120"/>
        <w:ind w:left="1548" w:right="1486" w:hanging="284"/>
        <w:rPr>
          <w:noProof/>
          <w:spacing w:val="0"/>
          <w:w w:val="100"/>
          <w:kern w:val="0"/>
          <w:sz w:val="24"/>
        </w:rPr>
      </w:pPr>
      <w:hyperlink w:anchor="_Toc30302880" w:history="1">
        <w:r>
          <w:rPr>
            <w:rStyle w:val="Hyperlink"/>
            <w:noProof/>
            <w:color w:val="auto"/>
            <w:u w:val="none"/>
          </w:rPr>
          <w:t>Статья 4: Ускорение установления равенства между мужчинами</w:t>
        </w:r>
        <w:r>
          <w:rPr>
            <w:rStyle w:val="Hyperlink"/>
            <w:noProof/>
            <w:color w:val="auto"/>
            <w:u w:val="none"/>
          </w:rPr>
          <w:br/>
          <w:t>и женщинами</w:t>
        </w:r>
        <w:r>
          <w:rPr>
            <w:noProof/>
          </w:rPr>
          <w:tab/>
        </w:r>
        <w:r>
          <w:rPr>
            <w:noProof/>
          </w:rPr>
          <w:fldChar w:fldCharType="begin"/>
        </w:r>
        <w:r>
          <w:rPr>
            <w:noProof/>
          </w:rPr>
          <w:instrText xml:space="preserve"> PAGEREF _Toc30302880 \h </w:instrText>
        </w:r>
        <w:r>
          <w:rPr>
            <w:noProof/>
          </w:rPr>
        </w:r>
        <w:r>
          <w:rPr>
            <w:noProof/>
          </w:rPr>
          <w:fldChar w:fldCharType="separate"/>
        </w:r>
        <w:r>
          <w:rPr>
            <w:noProof/>
          </w:rPr>
          <w:t>56</w:t>
        </w:r>
        <w:r>
          <w:rPr>
            <w:noProof/>
          </w:rPr>
          <w:fldChar w:fldCharType="end"/>
        </w:r>
      </w:hyperlink>
    </w:p>
    <w:p w:rsidR="00000000" w:rsidRDefault="00000000">
      <w:pPr>
        <w:pStyle w:val="TOC1"/>
        <w:tabs>
          <w:tab w:val="right" w:leader="dot" w:pos="8647"/>
        </w:tabs>
        <w:spacing w:after="120"/>
        <w:ind w:left="1548" w:right="1486" w:hanging="284"/>
        <w:rPr>
          <w:noProof/>
          <w:spacing w:val="0"/>
          <w:w w:val="100"/>
          <w:kern w:val="0"/>
          <w:sz w:val="24"/>
        </w:rPr>
      </w:pPr>
      <w:hyperlink w:anchor="_Toc30302882" w:history="1">
        <w:r>
          <w:rPr>
            <w:rStyle w:val="Hyperlink"/>
            <w:noProof/>
            <w:color w:val="auto"/>
            <w:u w:val="none"/>
          </w:rPr>
          <w:t>Статья 5: Роль мужчин и женщин и ее стериотипное изображение</w:t>
        </w:r>
        <w:r>
          <w:rPr>
            <w:noProof/>
          </w:rPr>
          <w:tab/>
        </w:r>
        <w:r>
          <w:rPr>
            <w:noProof/>
          </w:rPr>
          <w:fldChar w:fldCharType="begin"/>
        </w:r>
        <w:r>
          <w:rPr>
            <w:noProof/>
          </w:rPr>
          <w:instrText xml:space="preserve"> PAGEREF _Toc30302882 \h </w:instrText>
        </w:r>
        <w:r>
          <w:rPr>
            <w:noProof/>
          </w:rPr>
        </w:r>
        <w:r>
          <w:rPr>
            <w:noProof/>
          </w:rPr>
          <w:fldChar w:fldCharType="separate"/>
        </w:r>
        <w:r>
          <w:rPr>
            <w:noProof/>
          </w:rPr>
          <w:t>57</w:t>
        </w:r>
        <w:r>
          <w:rPr>
            <w:noProof/>
          </w:rPr>
          <w:fldChar w:fldCharType="end"/>
        </w:r>
      </w:hyperlink>
    </w:p>
    <w:p w:rsidR="00000000" w:rsidRDefault="00000000">
      <w:pPr>
        <w:pStyle w:val="TOC1"/>
        <w:tabs>
          <w:tab w:val="right" w:leader="dot" w:pos="8647"/>
        </w:tabs>
        <w:spacing w:after="120"/>
        <w:ind w:left="1548" w:right="1486" w:hanging="284"/>
        <w:rPr>
          <w:noProof/>
          <w:spacing w:val="0"/>
          <w:w w:val="100"/>
          <w:kern w:val="0"/>
          <w:sz w:val="24"/>
        </w:rPr>
      </w:pPr>
      <w:hyperlink w:anchor="_Toc30302884" w:history="1">
        <w:r>
          <w:rPr>
            <w:rStyle w:val="Hyperlink"/>
            <w:noProof/>
            <w:color w:val="auto"/>
            <w:u w:val="none"/>
          </w:rPr>
          <w:t>Статья 6: Пресечение эксплуатации женщин</w:t>
        </w:r>
        <w:r>
          <w:rPr>
            <w:noProof/>
          </w:rPr>
          <w:tab/>
        </w:r>
        <w:r>
          <w:rPr>
            <w:noProof/>
          </w:rPr>
          <w:fldChar w:fldCharType="begin"/>
        </w:r>
        <w:r>
          <w:rPr>
            <w:noProof/>
          </w:rPr>
          <w:instrText xml:space="preserve"> PAGEREF _Toc30302884 \h </w:instrText>
        </w:r>
        <w:r>
          <w:rPr>
            <w:noProof/>
          </w:rPr>
        </w:r>
        <w:r>
          <w:rPr>
            <w:noProof/>
          </w:rPr>
          <w:fldChar w:fldCharType="separate"/>
        </w:r>
        <w:r>
          <w:rPr>
            <w:noProof/>
          </w:rPr>
          <w:t>62</w:t>
        </w:r>
        <w:r>
          <w:rPr>
            <w:noProof/>
          </w:rPr>
          <w:fldChar w:fldCharType="end"/>
        </w:r>
      </w:hyperlink>
    </w:p>
    <w:p w:rsidR="00000000" w:rsidRDefault="00000000">
      <w:pPr>
        <w:pStyle w:val="TOC1"/>
        <w:tabs>
          <w:tab w:val="right" w:leader="dot" w:pos="8647"/>
        </w:tabs>
        <w:spacing w:after="120"/>
        <w:ind w:left="1548" w:right="1486" w:hanging="284"/>
        <w:rPr>
          <w:noProof/>
          <w:spacing w:val="0"/>
          <w:w w:val="100"/>
          <w:kern w:val="0"/>
          <w:sz w:val="24"/>
        </w:rPr>
      </w:pPr>
      <w:hyperlink w:anchor="_Toc30302886" w:history="1">
        <w:r>
          <w:rPr>
            <w:rStyle w:val="Hyperlink"/>
            <w:noProof/>
            <w:color w:val="auto"/>
            <w:u w:val="none"/>
          </w:rPr>
          <w:t>Статья 7: Политическая и общественная жизнь</w:t>
        </w:r>
        <w:r>
          <w:rPr>
            <w:noProof/>
          </w:rPr>
          <w:tab/>
        </w:r>
        <w:r>
          <w:rPr>
            <w:noProof/>
          </w:rPr>
          <w:fldChar w:fldCharType="begin"/>
        </w:r>
        <w:r>
          <w:rPr>
            <w:noProof/>
          </w:rPr>
          <w:instrText xml:space="preserve"> PAGEREF _Toc30302886 \h </w:instrText>
        </w:r>
        <w:r>
          <w:rPr>
            <w:noProof/>
          </w:rPr>
        </w:r>
        <w:r>
          <w:rPr>
            <w:noProof/>
          </w:rPr>
          <w:fldChar w:fldCharType="separate"/>
        </w:r>
        <w:r>
          <w:rPr>
            <w:noProof/>
          </w:rPr>
          <w:t>67</w:t>
        </w:r>
        <w:r>
          <w:rPr>
            <w:noProof/>
          </w:rPr>
          <w:fldChar w:fldCharType="end"/>
        </w:r>
      </w:hyperlink>
    </w:p>
    <w:p w:rsidR="00000000" w:rsidRDefault="00000000">
      <w:pPr>
        <w:pStyle w:val="TOC1"/>
        <w:tabs>
          <w:tab w:val="right" w:leader="dot" w:pos="8647"/>
        </w:tabs>
        <w:spacing w:after="120"/>
        <w:ind w:left="1548" w:right="1486" w:hanging="284"/>
        <w:rPr>
          <w:noProof/>
          <w:spacing w:val="0"/>
          <w:w w:val="100"/>
          <w:kern w:val="0"/>
          <w:sz w:val="24"/>
        </w:rPr>
      </w:pPr>
      <w:hyperlink w:anchor="_Toc30302888" w:history="1">
        <w:r>
          <w:rPr>
            <w:rStyle w:val="Hyperlink"/>
            <w:noProof/>
            <w:color w:val="auto"/>
            <w:u w:val="none"/>
          </w:rPr>
          <w:t>Статья 8: Представительские функции на международном уровне и участие в работе международных организаций</w:t>
        </w:r>
        <w:r>
          <w:rPr>
            <w:noProof/>
          </w:rPr>
          <w:tab/>
        </w:r>
        <w:r>
          <w:rPr>
            <w:noProof/>
          </w:rPr>
          <w:fldChar w:fldCharType="begin"/>
        </w:r>
        <w:r>
          <w:rPr>
            <w:noProof/>
          </w:rPr>
          <w:instrText xml:space="preserve"> PAGEREF _Toc30302888 \h </w:instrText>
        </w:r>
        <w:r>
          <w:rPr>
            <w:noProof/>
          </w:rPr>
        </w:r>
        <w:r>
          <w:rPr>
            <w:noProof/>
          </w:rPr>
          <w:fldChar w:fldCharType="separate"/>
        </w:r>
        <w:r>
          <w:rPr>
            <w:noProof/>
          </w:rPr>
          <w:t>76</w:t>
        </w:r>
        <w:r>
          <w:rPr>
            <w:noProof/>
          </w:rPr>
          <w:fldChar w:fldCharType="end"/>
        </w:r>
      </w:hyperlink>
    </w:p>
    <w:p w:rsidR="00000000" w:rsidRDefault="00000000">
      <w:pPr>
        <w:pStyle w:val="TOC1"/>
        <w:tabs>
          <w:tab w:val="right" w:leader="dot" w:pos="8647"/>
        </w:tabs>
        <w:spacing w:after="120"/>
        <w:ind w:left="1548" w:right="1486" w:hanging="284"/>
        <w:rPr>
          <w:noProof/>
          <w:spacing w:val="0"/>
          <w:w w:val="100"/>
          <w:kern w:val="0"/>
          <w:sz w:val="24"/>
        </w:rPr>
      </w:pPr>
      <w:hyperlink w:anchor="_Toc30302890" w:history="1">
        <w:r>
          <w:rPr>
            <w:rStyle w:val="Hyperlink"/>
            <w:noProof/>
            <w:color w:val="auto"/>
            <w:u w:val="none"/>
          </w:rPr>
          <w:t>Статья 9: Гражданство</w:t>
        </w:r>
        <w:r>
          <w:rPr>
            <w:noProof/>
          </w:rPr>
          <w:tab/>
        </w:r>
        <w:r>
          <w:rPr>
            <w:noProof/>
          </w:rPr>
          <w:fldChar w:fldCharType="begin"/>
        </w:r>
        <w:r>
          <w:rPr>
            <w:noProof/>
          </w:rPr>
          <w:instrText xml:space="preserve"> PAGEREF _Toc30302890 \h </w:instrText>
        </w:r>
        <w:r>
          <w:rPr>
            <w:noProof/>
          </w:rPr>
        </w:r>
        <w:r>
          <w:rPr>
            <w:noProof/>
          </w:rPr>
          <w:fldChar w:fldCharType="separate"/>
        </w:r>
        <w:r>
          <w:rPr>
            <w:noProof/>
          </w:rPr>
          <w:t>81</w:t>
        </w:r>
        <w:r>
          <w:rPr>
            <w:noProof/>
          </w:rPr>
          <w:fldChar w:fldCharType="end"/>
        </w:r>
      </w:hyperlink>
    </w:p>
    <w:p w:rsidR="00000000" w:rsidRDefault="00000000">
      <w:pPr>
        <w:pStyle w:val="TOC1"/>
        <w:tabs>
          <w:tab w:val="right" w:leader="dot" w:pos="8647"/>
        </w:tabs>
        <w:spacing w:after="120"/>
        <w:ind w:left="1548" w:right="1486" w:hanging="284"/>
        <w:rPr>
          <w:noProof/>
          <w:spacing w:val="0"/>
          <w:w w:val="100"/>
          <w:kern w:val="0"/>
          <w:sz w:val="24"/>
        </w:rPr>
      </w:pPr>
      <w:hyperlink w:anchor="_Toc30302892" w:history="1">
        <w:r>
          <w:rPr>
            <w:rStyle w:val="Hyperlink"/>
            <w:noProof/>
            <w:color w:val="auto"/>
            <w:u w:val="none"/>
          </w:rPr>
          <w:t>Статья 10: Образование</w:t>
        </w:r>
        <w:r>
          <w:rPr>
            <w:noProof/>
          </w:rPr>
          <w:tab/>
        </w:r>
        <w:r>
          <w:rPr>
            <w:noProof/>
          </w:rPr>
          <w:fldChar w:fldCharType="begin"/>
        </w:r>
        <w:r>
          <w:rPr>
            <w:noProof/>
          </w:rPr>
          <w:instrText xml:space="preserve"> PAGEREF _Toc30302892 \h </w:instrText>
        </w:r>
        <w:r>
          <w:rPr>
            <w:noProof/>
          </w:rPr>
        </w:r>
        <w:r>
          <w:rPr>
            <w:noProof/>
          </w:rPr>
          <w:fldChar w:fldCharType="separate"/>
        </w:r>
        <w:r>
          <w:rPr>
            <w:noProof/>
          </w:rPr>
          <w:t>82</w:t>
        </w:r>
        <w:r>
          <w:rPr>
            <w:noProof/>
          </w:rPr>
          <w:fldChar w:fldCharType="end"/>
        </w:r>
      </w:hyperlink>
    </w:p>
    <w:p w:rsidR="00000000" w:rsidRDefault="00000000">
      <w:pPr>
        <w:pStyle w:val="TOC1"/>
        <w:tabs>
          <w:tab w:val="right" w:leader="dot" w:pos="8647"/>
        </w:tabs>
        <w:spacing w:after="120"/>
        <w:ind w:left="1548" w:right="1486" w:hanging="284"/>
        <w:rPr>
          <w:noProof/>
          <w:spacing w:val="0"/>
          <w:w w:val="100"/>
          <w:kern w:val="0"/>
          <w:sz w:val="24"/>
        </w:rPr>
      </w:pPr>
      <w:hyperlink w:anchor="_Toc30302894" w:history="1">
        <w:r>
          <w:rPr>
            <w:rStyle w:val="Hyperlink"/>
            <w:noProof/>
            <w:color w:val="auto"/>
            <w:u w:val="none"/>
          </w:rPr>
          <w:t>Статья 11: Занятость</w:t>
        </w:r>
        <w:r>
          <w:rPr>
            <w:noProof/>
          </w:rPr>
          <w:tab/>
        </w:r>
        <w:r>
          <w:rPr>
            <w:noProof/>
          </w:rPr>
          <w:fldChar w:fldCharType="begin"/>
        </w:r>
        <w:r>
          <w:rPr>
            <w:noProof/>
          </w:rPr>
          <w:instrText xml:space="preserve"> PAGEREF _Toc30302894 \h </w:instrText>
        </w:r>
        <w:r>
          <w:rPr>
            <w:noProof/>
          </w:rPr>
        </w:r>
        <w:r>
          <w:rPr>
            <w:noProof/>
          </w:rPr>
          <w:fldChar w:fldCharType="separate"/>
        </w:r>
        <w:r>
          <w:rPr>
            <w:noProof/>
          </w:rPr>
          <w:t>99</w:t>
        </w:r>
        <w:r>
          <w:rPr>
            <w:noProof/>
          </w:rPr>
          <w:fldChar w:fldCharType="end"/>
        </w:r>
      </w:hyperlink>
    </w:p>
    <w:p w:rsidR="00000000" w:rsidRDefault="00000000">
      <w:pPr>
        <w:pStyle w:val="TOC1"/>
        <w:tabs>
          <w:tab w:val="right" w:leader="dot" w:pos="8647"/>
        </w:tabs>
        <w:spacing w:after="120"/>
        <w:ind w:left="1548" w:right="1486" w:hanging="284"/>
        <w:rPr>
          <w:noProof/>
          <w:spacing w:val="0"/>
          <w:w w:val="100"/>
          <w:kern w:val="0"/>
          <w:sz w:val="24"/>
        </w:rPr>
      </w:pPr>
      <w:hyperlink w:anchor="_Toc30302896" w:history="1">
        <w:r>
          <w:rPr>
            <w:rStyle w:val="Hyperlink"/>
            <w:noProof/>
            <w:color w:val="auto"/>
            <w:u w:val="none"/>
          </w:rPr>
          <w:t>Статья 12: Здравоохранение</w:t>
        </w:r>
        <w:r>
          <w:rPr>
            <w:noProof/>
          </w:rPr>
          <w:tab/>
        </w:r>
        <w:r>
          <w:rPr>
            <w:noProof/>
          </w:rPr>
          <w:fldChar w:fldCharType="begin"/>
        </w:r>
        <w:r>
          <w:rPr>
            <w:noProof/>
          </w:rPr>
          <w:instrText xml:space="preserve"> PAGEREF _Toc30302896 \h </w:instrText>
        </w:r>
        <w:r>
          <w:rPr>
            <w:noProof/>
          </w:rPr>
        </w:r>
        <w:r>
          <w:rPr>
            <w:noProof/>
          </w:rPr>
          <w:fldChar w:fldCharType="separate"/>
        </w:r>
        <w:r>
          <w:rPr>
            <w:noProof/>
          </w:rPr>
          <w:t>124</w:t>
        </w:r>
        <w:r>
          <w:rPr>
            <w:noProof/>
          </w:rPr>
          <w:fldChar w:fldCharType="end"/>
        </w:r>
      </w:hyperlink>
    </w:p>
    <w:p w:rsidR="00000000" w:rsidRDefault="00000000">
      <w:pPr>
        <w:pStyle w:val="TOC1"/>
        <w:tabs>
          <w:tab w:val="right" w:leader="dot" w:pos="8647"/>
        </w:tabs>
        <w:spacing w:after="120"/>
        <w:ind w:left="1548" w:right="1486" w:hanging="284"/>
        <w:rPr>
          <w:noProof/>
          <w:spacing w:val="0"/>
          <w:w w:val="100"/>
          <w:kern w:val="0"/>
          <w:sz w:val="24"/>
        </w:rPr>
      </w:pPr>
      <w:hyperlink w:anchor="_Toc30302898" w:history="1">
        <w:r>
          <w:rPr>
            <w:rStyle w:val="Hyperlink"/>
            <w:noProof/>
            <w:color w:val="auto"/>
            <w:u w:val="none"/>
          </w:rPr>
          <w:t>Статья 13: Экономическая и социальная жизнь</w:t>
        </w:r>
        <w:r>
          <w:rPr>
            <w:noProof/>
          </w:rPr>
          <w:tab/>
        </w:r>
        <w:r>
          <w:rPr>
            <w:noProof/>
          </w:rPr>
          <w:fldChar w:fldCharType="begin"/>
        </w:r>
        <w:r>
          <w:rPr>
            <w:noProof/>
          </w:rPr>
          <w:instrText xml:space="preserve"> PAGEREF _Toc30302898 \h </w:instrText>
        </w:r>
        <w:r>
          <w:rPr>
            <w:noProof/>
          </w:rPr>
        </w:r>
        <w:r>
          <w:rPr>
            <w:noProof/>
          </w:rPr>
          <w:fldChar w:fldCharType="separate"/>
        </w:r>
        <w:r>
          <w:rPr>
            <w:noProof/>
          </w:rPr>
          <w:t>157</w:t>
        </w:r>
        <w:r>
          <w:rPr>
            <w:noProof/>
          </w:rPr>
          <w:fldChar w:fldCharType="end"/>
        </w:r>
      </w:hyperlink>
    </w:p>
    <w:p w:rsidR="00000000" w:rsidRDefault="00000000">
      <w:pPr>
        <w:pStyle w:val="TOC1"/>
        <w:tabs>
          <w:tab w:val="right" w:leader="dot" w:pos="8647"/>
        </w:tabs>
        <w:spacing w:after="120"/>
        <w:ind w:left="1548" w:right="1486" w:hanging="284"/>
        <w:rPr>
          <w:noProof/>
          <w:spacing w:val="0"/>
          <w:w w:val="100"/>
          <w:kern w:val="0"/>
          <w:sz w:val="24"/>
        </w:rPr>
      </w:pPr>
      <w:hyperlink w:anchor="_Toc30302900" w:history="1">
        <w:r>
          <w:rPr>
            <w:rStyle w:val="Hyperlink"/>
            <w:noProof/>
            <w:color w:val="auto"/>
            <w:u w:val="none"/>
          </w:rPr>
          <w:t>Статья 14: Женщины, проживающие в сельской местности</w:t>
        </w:r>
        <w:r>
          <w:rPr>
            <w:noProof/>
          </w:rPr>
          <w:tab/>
        </w:r>
        <w:r>
          <w:rPr>
            <w:noProof/>
          </w:rPr>
          <w:fldChar w:fldCharType="begin"/>
        </w:r>
        <w:r>
          <w:rPr>
            <w:noProof/>
          </w:rPr>
          <w:instrText xml:space="preserve"> PAGEREF _Toc30302900 \h </w:instrText>
        </w:r>
        <w:r>
          <w:rPr>
            <w:noProof/>
          </w:rPr>
        </w:r>
        <w:r>
          <w:rPr>
            <w:noProof/>
          </w:rPr>
          <w:fldChar w:fldCharType="separate"/>
        </w:r>
        <w:r>
          <w:rPr>
            <w:noProof/>
          </w:rPr>
          <w:t>172</w:t>
        </w:r>
        <w:r>
          <w:rPr>
            <w:noProof/>
          </w:rPr>
          <w:fldChar w:fldCharType="end"/>
        </w:r>
      </w:hyperlink>
    </w:p>
    <w:p w:rsidR="00000000" w:rsidRDefault="00000000">
      <w:pPr>
        <w:pStyle w:val="TOC1"/>
        <w:tabs>
          <w:tab w:val="right" w:leader="dot" w:pos="8647"/>
        </w:tabs>
        <w:spacing w:after="120"/>
        <w:ind w:left="1548" w:right="1486" w:hanging="284"/>
        <w:rPr>
          <w:noProof/>
          <w:spacing w:val="0"/>
          <w:w w:val="100"/>
          <w:kern w:val="0"/>
          <w:sz w:val="24"/>
        </w:rPr>
      </w:pPr>
      <w:hyperlink w:anchor="_Toc30302902" w:history="1">
        <w:r>
          <w:rPr>
            <w:rStyle w:val="Hyperlink"/>
            <w:noProof/>
            <w:color w:val="auto"/>
            <w:u w:val="none"/>
          </w:rPr>
          <w:t>Статья 15: Равенство перед законом и в гражданских делах</w:t>
        </w:r>
        <w:r>
          <w:rPr>
            <w:noProof/>
          </w:rPr>
          <w:tab/>
        </w:r>
        <w:r>
          <w:rPr>
            <w:noProof/>
          </w:rPr>
          <w:fldChar w:fldCharType="begin"/>
        </w:r>
        <w:r>
          <w:rPr>
            <w:noProof/>
          </w:rPr>
          <w:instrText xml:space="preserve"> PAGEREF _Toc30302902 \h </w:instrText>
        </w:r>
        <w:r>
          <w:rPr>
            <w:noProof/>
          </w:rPr>
        </w:r>
        <w:r>
          <w:rPr>
            <w:noProof/>
          </w:rPr>
          <w:fldChar w:fldCharType="separate"/>
        </w:r>
        <w:r>
          <w:rPr>
            <w:noProof/>
          </w:rPr>
          <w:t>183</w:t>
        </w:r>
        <w:r>
          <w:rPr>
            <w:noProof/>
          </w:rPr>
          <w:fldChar w:fldCharType="end"/>
        </w:r>
      </w:hyperlink>
    </w:p>
    <w:p w:rsidR="00000000" w:rsidRDefault="00000000">
      <w:pPr>
        <w:pStyle w:val="TOC1"/>
        <w:tabs>
          <w:tab w:val="right" w:leader="dot" w:pos="8647"/>
        </w:tabs>
        <w:spacing w:after="120"/>
        <w:ind w:left="1548" w:right="1486" w:hanging="284"/>
        <w:rPr>
          <w:noProof/>
          <w:spacing w:val="0"/>
          <w:w w:val="100"/>
          <w:kern w:val="0"/>
          <w:sz w:val="24"/>
        </w:rPr>
      </w:pPr>
      <w:hyperlink w:anchor="_Toc30302904" w:history="1">
        <w:r>
          <w:rPr>
            <w:rStyle w:val="Hyperlink"/>
            <w:noProof/>
            <w:color w:val="auto"/>
            <w:u w:val="none"/>
          </w:rPr>
          <w:t>Статья 16: Брак и семейная жизнь</w:t>
        </w:r>
        <w:r>
          <w:rPr>
            <w:noProof/>
          </w:rPr>
          <w:tab/>
        </w:r>
        <w:r>
          <w:rPr>
            <w:noProof/>
          </w:rPr>
          <w:fldChar w:fldCharType="begin"/>
        </w:r>
        <w:r>
          <w:rPr>
            <w:noProof/>
          </w:rPr>
          <w:instrText xml:space="preserve"> PAGEREF _Toc30302904 \h </w:instrText>
        </w:r>
        <w:r>
          <w:rPr>
            <w:noProof/>
          </w:rPr>
        </w:r>
        <w:r>
          <w:rPr>
            <w:noProof/>
          </w:rPr>
          <w:fldChar w:fldCharType="separate"/>
        </w:r>
        <w:r>
          <w:rPr>
            <w:noProof/>
          </w:rPr>
          <w:t>189</w:t>
        </w:r>
        <w:r>
          <w:rPr>
            <w:noProof/>
          </w:rPr>
          <w:fldChar w:fldCharType="end"/>
        </w:r>
      </w:hyperlink>
    </w:p>
    <w:p w:rsidR="00000000" w:rsidRDefault="00000000">
      <w:pPr>
        <w:pStyle w:val="TOC1"/>
        <w:tabs>
          <w:tab w:val="right" w:leader="dot" w:pos="8647"/>
        </w:tabs>
        <w:spacing w:after="120"/>
        <w:ind w:left="1548" w:right="1486" w:hanging="284"/>
        <w:rPr>
          <w:noProof/>
          <w:spacing w:val="0"/>
          <w:w w:val="100"/>
          <w:kern w:val="0"/>
          <w:sz w:val="24"/>
        </w:rPr>
      </w:pPr>
      <w:hyperlink w:anchor="_Toc30302906" w:history="1">
        <w:r>
          <w:rPr>
            <w:rStyle w:val="Hyperlink"/>
            <w:noProof/>
            <w:color w:val="auto"/>
            <w:u w:val="none"/>
          </w:rPr>
          <w:t>Прилож</w:t>
        </w:r>
        <w:r>
          <w:rPr>
            <w:rStyle w:val="Hyperlink"/>
            <w:noProof/>
            <w:color w:val="auto"/>
            <w:u w:val="none"/>
          </w:rPr>
          <w:t>е</w:t>
        </w:r>
        <w:r>
          <w:rPr>
            <w:rStyle w:val="Hyperlink"/>
            <w:noProof/>
            <w:color w:val="auto"/>
            <w:u w:val="none"/>
          </w:rPr>
          <w:t>ние 1. Мне</w:t>
        </w:r>
        <w:r>
          <w:rPr>
            <w:rStyle w:val="Hyperlink"/>
            <w:noProof/>
            <w:color w:val="auto"/>
            <w:u w:val="none"/>
          </w:rPr>
          <w:t>н</w:t>
        </w:r>
        <w:r>
          <w:rPr>
            <w:rStyle w:val="Hyperlink"/>
            <w:noProof/>
            <w:color w:val="auto"/>
            <w:u w:val="none"/>
          </w:rPr>
          <w:t>ия женщин</w:t>
        </w:r>
        <w:r>
          <w:rPr>
            <w:noProof/>
          </w:rPr>
          <w:tab/>
        </w:r>
        <w:r>
          <w:rPr>
            <w:noProof/>
          </w:rPr>
          <w:fldChar w:fldCharType="begin"/>
        </w:r>
        <w:r>
          <w:rPr>
            <w:noProof/>
          </w:rPr>
          <w:instrText xml:space="preserve"> PAGEREF _Toc30302906 \h </w:instrText>
        </w:r>
        <w:r>
          <w:rPr>
            <w:noProof/>
          </w:rPr>
        </w:r>
        <w:r>
          <w:rPr>
            <w:noProof/>
          </w:rPr>
          <w:fldChar w:fldCharType="separate"/>
        </w:r>
        <w:r>
          <w:rPr>
            <w:noProof/>
          </w:rPr>
          <w:t>200</w:t>
        </w:r>
        <w:r>
          <w:rPr>
            <w:noProof/>
          </w:rPr>
          <w:fldChar w:fldCharType="end"/>
        </w:r>
      </w:hyperlink>
    </w:p>
    <w:p w:rsidR="00000000" w:rsidRDefault="00000000">
      <w:pPr>
        <w:pStyle w:val="TOC1"/>
        <w:tabs>
          <w:tab w:val="right" w:leader="dot" w:pos="8647"/>
        </w:tabs>
        <w:spacing w:after="120"/>
        <w:ind w:left="1548" w:right="1486" w:hanging="284"/>
        <w:rPr>
          <w:noProof/>
          <w:spacing w:val="0"/>
          <w:w w:val="100"/>
          <w:kern w:val="0"/>
          <w:sz w:val="24"/>
        </w:rPr>
      </w:pPr>
      <w:hyperlink w:anchor="_Toc30302907" w:history="1">
        <w:r>
          <w:rPr>
            <w:rStyle w:val="Hyperlink"/>
            <w:noProof/>
            <w:color w:val="auto"/>
            <w:u w:val="none"/>
          </w:rPr>
          <w:t>Приложение 2: Перечень субъектов, предоставивших свои замечания</w:t>
        </w:r>
        <w:r>
          <w:rPr>
            <w:noProof/>
          </w:rPr>
          <w:tab/>
        </w:r>
        <w:r>
          <w:rPr>
            <w:noProof/>
          </w:rPr>
          <w:fldChar w:fldCharType="begin"/>
        </w:r>
        <w:r>
          <w:rPr>
            <w:noProof/>
          </w:rPr>
          <w:instrText xml:space="preserve"> PAGEREF _Toc30302907 \h </w:instrText>
        </w:r>
        <w:r>
          <w:rPr>
            <w:noProof/>
          </w:rPr>
        </w:r>
        <w:r>
          <w:rPr>
            <w:noProof/>
          </w:rPr>
          <w:fldChar w:fldCharType="separate"/>
        </w:r>
        <w:r>
          <w:rPr>
            <w:noProof/>
          </w:rPr>
          <w:t>217</w:t>
        </w:r>
        <w:r>
          <w:rPr>
            <w:noProof/>
          </w:rPr>
          <w:fldChar w:fldCharType="end"/>
        </w:r>
      </w:hyperlink>
    </w:p>
    <w:p w:rsidR="00000000" w:rsidRDefault="00000000">
      <w:pPr>
        <w:pStyle w:val="TOC1"/>
        <w:tabs>
          <w:tab w:val="right" w:leader="dot" w:pos="8647"/>
        </w:tabs>
        <w:spacing w:after="120"/>
        <w:ind w:left="1548" w:right="1486" w:hanging="284"/>
        <w:rPr>
          <w:noProof/>
          <w:spacing w:val="0"/>
          <w:w w:val="100"/>
          <w:kern w:val="0"/>
          <w:sz w:val="24"/>
        </w:rPr>
      </w:pPr>
      <w:hyperlink w:anchor="_Toc30302908" w:history="1">
        <w:r>
          <w:rPr>
            <w:rStyle w:val="Hyperlink"/>
            <w:noProof/>
            <w:color w:val="auto"/>
            <w:u w:val="none"/>
          </w:rPr>
          <w:t xml:space="preserve">Приложение 3. Базовый документ, составляющий часть докладов </w:t>
        </w:r>
        <w:r>
          <w:rPr>
            <w:rStyle w:val="Hyperlink"/>
            <w:noProof/>
            <w:color w:val="auto"/>
            <w:u w:val="none"/>
          </w:rPr>
          <w:br/>
          <w:t>государств-участников</w:t>
        </w:r>
        <w:r>
          <w:rPr>
            <w:noProof/>
          </w:rPr>
          <w:tab/>
        </w:r>
        <w:r>
          <w:rPr>
            <w:noProof/>
          </w:rPr>
          <w:fldChar w:fldCharType="begin"/>
        </w:r>
        <w:r>
          <w:rPr>
            <w:noProof/>
          </w:rPr>
          <w:instrText xml:space="preserve"> PAGEREF _Toc30302908 \h </w:instrText>
        </w:r>
        <w:r>
          <w:rPr>
            <w:noProof/>
          </w:rPr>
        </w:r>
        <w:r>
          <w:rPr>
            <w:noProof/>
          </w:rPr>
          <w:fldChar w:fldCharType="separate"/>
        </w:r>
        <w:r>
          <w:rPr>
            <w:noProof/>
          </w:rPr>
          <w:t>219</w:t>
        </w:r>
        <w:r>
          <w:rPr>
            <w:noProof/>
          </w:rPr>
          <w:fldChar w:fldCharType="end"/>
        </w:r>
      </w:hyperlink>
    </w:p>
    <w:p w:rsidR="00000000" w:rsidRDefault="00000000">
      <w:pPr>
        <w:pStyle w:val="TOC1"/>
        <w:tabs>
          <w:tab w:val="right" w:leader="dot" w:pos="8647"/>
        </w:tabs>
        <w:spacing w:after="120"/>
        <w:ind w:left="1548" w:right="1486" w:hanging="284"/>
        <w:rPr>
          <w:noProof/>
          <w:spacing w:val="0"/>
          <w:w w:val="100"/>
          <w:kern w:val="0"/>
          <w:sz w:val="24"/>
        </w:rPr>
      </w:pPr>
      <w:hyperlink w:anchor="_Toc30302909" w:history="1">
        <w:r>
          <w:rPr>
            <w:rStyle w:val="Hyperlink"/>
            <w:noProof/>
            <w:color w:val="auto"/>
            <w:u w:val="none"/>
          </w:rPr>
          <w:t xml:space="preserve">Приложение </w:t>
        </w:r>
        <w:r>
          <w:rPr>
            <w:rStyle w:val="Hyperlink"/>
            <w:noProof/>
            <w:color w:val="auto"/>
            <w:u w:val="none"/>
          </w:rPr>
          <w:t>4</w:t>
        </w:r>
        <w:r>
          <w:rPr>
            <w:rStyle w:val="Hyperlink"/>
            <w:noProof/>
            <w:color w:val="auto"/>
            <w:u w:val="none"/>
          </w:rPr>
          <w:t xml:space="preserve">: Доклад комитету по ликвидации дискриминации </w:t>
        </w:r>
        <w:r>
          <w:rPr>
            <w:rStyle w:val="Hyperlink"/>
            <w:noProof/>
            <w:color w:val="auto"/>
            <w:u w:val="none"/>
          </w:rPr>
          <w:br/>
          <w:t>в отношении женщин – Токелау</w:t>
        </w:r>
        <w:r>
          <w:rPr>
            <w:noProof/>
          </w:rPr>
          <w:tab/>
        </w:r>
        <w:r>
          <w:rPr>
            <w:noProof/>
          </w:rPr>
          <w:fldChar w:fldCharType="begin"/>
        </w:r>
        <w:r>
          <w:rPr>
            <w:noProof/>
          </w:rPr>
          <w:instrText xml:space="preserve"> PAGEREF _Toc30302909 \h </w:instrText>
        </w:r>
        <w:r>
          <w:rPr>
            <w:noProof/>
          </w:rPr>
        </w:r>
        <w:r>
          <w:rPr>
            <w:noProof/>
          </w:rPr>
          <w:fldChar w:fldCharType="separate"/>
        </w:r>
        <w:r>
          <w:rPr>
            <w:noProof/>
          </w:rPr>
          <w:t>244</w:t>
        </w:r>
        <w:r>
          <w:rPr>
            <w:noProof/>
          </w:rPr>
          <w:fldChar w:fldCharType="end"/>
        </w:r>
      </w:hyperlink>
    </w:p>
    <w:p w:rsidR="00000000" w:rsidRDefault="00000000">
      <w:pPr>
        <w:tabs>
          <w:tab w:val="right" w:leader="dot" w:pos="8647"/>
        </w:tabs>
        <w:spacing w:after="120"/>
        <w:ind w:left="1548" w:right="1486" w:hanging="284"/>
        <w:rPr>
          <w:i/>
        </w:rPr>
      </w:pPr>
      <w:r>
        <w:rPr>
          <w:i/>
        </w:rPr>
        <w:fldChar w:fldCharType="end"/>
      </w:r>
    </w:p>
    <w:p w:rsidR="00000000" w:rsidRDefault="00000000">
      <w:pPr>
        <w:pStyle w:val="HCh"/>
      </w:pPr>
      <w:r>
        <w:rPr>
          <w:highlight w:val="yellow"/>
        </w:rPr>
        <w:br w:type="page"/>
      </w:r>
      <w:bookmarkStart w:id="5" w:name="_Toc30302870"/>
      <w:r>
        <w:t>Введение</w:t>
      </w:r>
      <w:bookmarkEnd w:id="5"/>
    </w:p>
    <w:p w:rsidR="00000000" w:rsidRDefault="00000000">
      <w:pPr>
        <w:pStyle w:val="SingleTxt"/>
      </w:pPr>
      <w:r>
        <w:t>Настоящим правительство Новой Зеландии имеет честь представить свой пятый доклад по Конвенции Организации Объединенных Наций о ликвидации всех форм дискриминации в отношении женщин (КЛДЖ). Официально доклад охватывает период с марта 1998 года по февраль 2002 года. Однако фактически содержащаяся в нем информация приводится по состоянию на 1 сентября 2002 года.</w:t>
      </w:r>
    </w:p>
    <w:p w:rsidR="00000000" w:rsidRDefault="00000000">
      <w:pPr>
        <w:pStyle w:val="SingleTxt"/>
      </w:pPr>
      <w:r>
        <w:t>В первом докладе Новой Зеландии в новом тысячелетии отмечается пр</w:t>
      </w:r>
      <w:r>
        <w:t>о</w:t>
      </w:r>
      <w:r>
        <w:t>гресс, достигнутый с момента представления Комитету по ликвидации дискр</w:t>
      </w:r>
      <w:r>
        <w:t>и</w:t>
      </w:r>
      <w:r>
        <w:t>минации в отношении женщин в 1998 году нашего предыдущего доклада. П</w:t>
      </w:r>
      <w:r>
        <w:t>о</w:t>
      </w:r>
      <w:r>
        <w:t>ложение женщин в Новой Зеландии значительно улучшилось благодаря, в ч</w:t>
      </w:r>
      <w:r>
        <w:t>а</w:t>
      </w:r>
      <w:r>
        <w:t>стности, законодательной реформе, формулированию политики, оказанию у</w:t>
      </w:r>
      <w:r>
        <w:t>с</w:t>
      </w:r>
      <w:r>
        <w:t>луг и осуществлению программ в и</w:t>
      </w:r>
      <w:r>
        <w:t>н</w:t>
      </w:r>
      <w:r>
        <w:t>тересах женщин.</w:t>
      </w:r>
    </w:p>
    <w:p w:rsidR="00000000" w:rsidRDefault="00000000">
      <w:pPr>
        <w:pStyle w:val="SingleTxt"/>
      </w:pPr>
      <w:r>
        <w:t>Среди заметных достижений следует назвать систему оплачиваемого о</w:t>
      </w:r>
      <w:r>
        <w:t>т</w:t>
      </w:r>
      <w:r>
        <w:t>дыха по уходу за детьми, значительный прогресс в деле привлечения женщин к несению службы в рядах вооруженных сил, включение гендерного анализа и гендерных последствиях в заявления, содержащиеся в документах, предста</w:t>
      </w:r>
      <w:r>
        <w:t>в</w:t>
      </w:r>
      <w:r>
        <w:t xml:space="preserve">ляемых правительству, а также осуществление «Те Рито»: </w:t>
      </w:r>
      <w:r>
        <w:rPr>
          <w:i/>
        </w:rPr>
        <w:t>Новой стратегии Новой Зеландии по предо</w:t>
      </w:r>
      <w:r>
        <w:rPr>
          <w:i/>
        </w:rPr>
        <w:t>т</w:t>
      </w:r>
      <w:r>
        <w:rPr>
          <w:i/>
        </w:rPr>
        <w:t>вращению насилия в семье.</w:t>
      </w:r>
    </w:p>
    <w:p w:rsidR="00000000" w:rsidRDefault="00000000">
      <w:pPr>
        <w:pStyle w:val="SingleTxt"/>
      </w:pPr>
      <w:r>
        <w:t>Кроме того, правительство внесло изменения в действующее законод</w:t>
      </w:r>
      <w:r>
        <w:t>а</w:t>
      </w:r>
      <w:r>
        <w:t>тельство, в частности, приняло Закон 2001 года о внесении поправок в Закон о правах человека, заменило Закон 1991 года о трудовых договорах Законом 2000 года об отношениях в сфере занятости и внесло поправки в Закон 1976 года о бра</w:t>
      </w:r>
      <w:r>
        <w:t>ч</w:t>
      </w:r>
      <w:r>
        <w:t>но-семейных правах собственности.</w:t>
      </w:r>
    </w:p>
    <w:p w:rsidR="00000000" w:rsidRDefault="00000000">
      <w:pPr>
        <w:pStyle w:val="SingleTxt"/>
      </w:pPr>
      <w:r>
        <w:t>Правительство прилагало усилия по расширению информированности женщин о процессе представления отчетности по КЛДЖ, в том числе расшир</w:t>
      </w:r>
      <w:r>
        <w:t>е</w:t>
      </w:r>
      <w:r>
        <w:t>нию их участия в этом процессе. Я хотел бы отметить факт участия в составл</w:t>
      </w:r>
      <w:r>
        <w:t>е</w:t>
      </w:r>
      <w:r>
        <w:t>нии настоящего доклада различных неправительственных и женских организ</w:t>
      </w:r>
      <w:r>
        <w:t>а</w:t>
      </w:r>
      <w:r>
        <w:t>ций Новой Зеландии. В новом разделе настоящего доклада, озаглавленном «Мнения женщин», отражены ключевые темы и вопросы, поднятые в ходе ко</w:t>
      </w:r>
      <w:r>
        <w:t>н</w:t>
      </w:r>
      <w:r>
        <w:t>сультаций с представителями общественности.</w:t>
      </w:r>
    </w:p>
    <w:p w:rsidR="00000000" w:rsidRDefault="00000000">
      <w:pPr>
        <w:pStyle w:val="SingleTxt"/>
      </w:pPr>
      <w:r>
        <w:t>Настоящий доклад позволит Комитету по ликвидации дискриминации в отношении женщин и народу Новой Зеландии составить объективное пре</w:t>
      </w:r>
      <w:r>
        <w:t>д</w:t>
      </w:r>
      <w:r>
        <w:t>ставление о проблемах, затрагивающих женщин Новой Зеландии, исходя из к</w:t>
      </w:r>
      <w:r>
        <w:t>о</w:t>
      </w:r>
      <w:r>
        <w:t>торого правительство и общество могли бы вместе улучшать положение всех же</w:t>
      </w:r>
      <w:r>
        <w:t>н</w:t>
      </w:r>
      <w:r>
        <w:t>щин.</w:t>
      </w:r>
    </w:p>
    <w:p w:rsidR="00000000" w:rsidRDefault="00000000">
      <w:pPr>
        <w:pStyle w:val="SingleTxt"/>
        <w:ind w:firstLine="0"/>
      </w:pPr>
    </w:p>
    <w:p w:rsidR="00000000" w:rsidRDefault="00000000">
      <w:pPr>
        <w:pStyle w:val="SingleTxt"/>
        <w:ind w:firstLine="0"/>
      </w:pPr>
    </w:p>
    <w:p w:rsidR="00000000" w:rsidRDefault="00000000">
      <w:pPr>
        <w:pStyle w:val="SingleTxt"/>
        <w:ind w:firstLine="0"/>
      </w:pPr>
      <w:r>
        <w:t>Достопочтенная Руфь Дайсон</w:t>
      </w:r>
    </w:p>
    <w:p w:rsidR="00000000" w:rsidRDefault="00000000">
      <w:pPr>
        <w:pStyle w:val="SingleTxt"/>
        <w:ind w:firstLine="0"/>
        <w:rPr>
          <w:b/>
        </w:rPr>
      </w:pPr>
      <w:r>
        <w:rPr>
          <w:b/>
        </w:rPr>
        <w:t>Министр по делам женщин</w:t>
      </w:r>
    </w:p>
    <w:p w:rsidR="00000000" w:rsidRDefault="00000000">
      <w:pPr>
        <w:pStyle w:val="HCh"/>
      </w:pPr>
      <w:r>
        <w:rPr>
          <w:highlight w:val="yellow"/>
        </w:rPr>
        <w:br w:type="page"/>
      </w:r>
      <w:bookmarkStart w:id="6" w:name="_Toc30302871"/>
      <w:r>
        <w:t>Резюме</w:t>
      </w:r>
      <w:bookmarkEnd w:id="6"/>
    </w:p>
    <w:p w:rsidR="00000000" w:rsidRDefault="00000000">
      <w:pPr>
        <w:pStyle w:val="SingleTxt"/>
      </w:pPr>
      <w:r>
        <w:t xml:space="preserve">В настоящем разделе приводится структура доклада по КЛДЖ, а также резюме прогресса, достигнутого в деле выполнения каждой статьи Конвенции и осуществления Пекинской декларации и </w:t>
      </w:r>
      <w:r>
        <w:rPr>
          <w:i/>
        </w:rPr>
        <w:t>Платформы дейс</w:t>
      </w:r>
      <w:r>
        <w:rPr>
          <w:i/>
        </w:rPr>
        <w:t>т</w:t>
      </w:r>
      <w:r>
        <w:rPr>
          <w:i/>
        </w:rPr>
        <w:t>вий</w:t>
      </w:r>
      <w:r>
        <w:t>.</w:t>
      </w:r>
    </w:p>
    <w:p w:rsidR="00000000" w:rsidRDefault="00000000">
      <w:pPr>
        <w:pStyle w:val="SingleTxt"/>
      </w:pPr>
      <w:r>
        <w:t>Доклад по КЛДЖ состоит из четырех разделов:</w:t>
      </w:r>
    </w:p>
    <w:p w:rsidR="00000000" w:rsidRDefault="00000000">
      <w:pPr>
        <w:pStyle w:val="SingleTxt"/>
        <w:ind w:left="2217" w:hanging="953"/>
      </w:pPr>
      <w:r>
        <w:tab/>
      </w:r>
      <w:r>
        <w:tab/>
        <w:t>1.</w:t>
      </w:r>
      <w:r>
        <w:tab/>
        <w:t>Методология</w:t>
      </w:r>
    </w:p>
    <w:p w:rsidR="00000000" w:rsidRDefault="00000000">
      <w:pPr>
        <w:pStyle w:val="SingleTxt"/>
        <w:ind w:left="2217" w:hanging="953"/>
      </w:pPr>
      <w:r>
        <w:tab/>
      </w:r>
      <w:r>
        <w:tab/>
        <w:t>2.</w:t>
      </w:r>
      <w:r>
        <w:tab/>
        <w:t>Ответы правительства Новой Зеландии на заключительные замеч</w:t>
      </w:r>
      <w:r>
        <w:t>а</w:t>
      </w:r>
      <w:r>
        <w:t>ния Комитета по ликвидации ди</w:t>
      </w:r>
      <w:r>
        <w:t>с</w:t>
      </w:r>
      <w:r>
        <w:t>криминации в отношении женщин</w:t>
      </w:r>
    </w:p>
    <w:p w:rsidR="00000000" w:rsidRDefault="00000000">
      <w:pPr>
        <w:pStyle w:val="SingleTxt"/>
        <w:ind w:left="2217" w:hanging="953"/>
      </w:pPr>
      <w:r>
        <w:tab/>
      </w:r>
      <w:r>
        <w:tab/>
        <w:t>3.</w:t>
      </w:r>
      <w:r>
        <w:tab/>
        <w:t>Статьи</w:t>
      </w:r>
    </w:p>
    <w:p w:rsidR="00000000" w:rsidRDefault="00000000">
      <w:pPr>
        <w:pStyle w:val="SingleTxt"/>
        <w:ind w:left="2217" w:hanging="953"/>
      </w:pPr>
      <w:r>
        <w:tab/>
      </w:r>
      <w:r>
        <w:tab/>
        <w:t>4.</w:t>
      </w:r>
      <w:r>
        <w:tab/>
        <w:t>Приложения.</w:t>
      </w:r>
    </w:p>
    <w:p w:rsidR="00000000" w:rsidRDefault="00000000">
      <w:pPr>
        <w:pStyle w:val="H1"/>
      </w:pPr>
      <w:r>
        <w:t>Раздел 1</w:t>
      </w:r>
    </w:p>
    <w:p w:rsidR="00000000" w:rsidRDefault="00000000">
      <w:pPr>
        <w:pStyle w:val="SingleTxt"/>
      </w:pPr>
      <w:r>
        <w:t>В разделе «Методология» содержатся принципы, положенные в основу составления доклада по КЛДЖ, в частности особое внимание уделяется пр</w:t>
      </w:r>
      <w:r>
        <w:t>о</w:t>
      </w:r>
      <w:r>
        <w:t>цессу проведенных консультаций, поскольку он существенно отличается от процесса, который прим</w:t>
      </w:r>
      <w:r>
        <w:t>е</w:t>
      </w:r>
      <w:r>
        <w:t>нялся для подготовки предыдущих докладов.</w:t>
      </w:r>
    </w:p>
    <w:p w:rsidR="00000000" w:rsidRDefault="00000000">
      <w:pPr>
        <w:pStyle w:val="H1"/>
      </w:pPr>
      <w:r>
        <w:t>Раздел 2</w:t>
      </w:r>
    </w:p>
    <w:p w:rsidR="00000000" w:rsidRDefault="00000000">
      <w:pPr>
        <w:pStyle w:val="SingleTxt"/>
      </w:pPr>
      <w:r>
        <w:t>В этом разделе, который отсутствовал в предыдущих докладах, содержа</w:t>
      </w:r>
      <w:r>
        <w:t>т</w:t>
      </w:r>
      <w:r>
        <w:t>ся ответы на заключительные замечания Комитета КЛДЖ в отношении после</w:t>
      </w:r>
      <w:r>
        <w:t>д</w:t>
      </w:r>
      <w:r>
        <w:t>него доклада Новой Зеландии (1998 года), в частности приводится информация о мерах, принятых прав</w:t>
      </w:r>
      <w:r>
        <w:t>и</w:t>
      </w:r>
      <w:r>
        <w:t>тельством за истекший период.</w:t>
      </w:r>
    </w:p>
    <w:p w:rsidR="00000000" w:rsidRDefault="00000000">
      <w:pPr>
        <w:pStyle w:val="H1"/>
      </w:pPr>
      <w:r>
        <w:t>Раздел 3</w:t>
      </w:r>
    </w:p>
    <w:p w:rsidR="00000000" w:rsidRDefault="00000000">
      <w:pPr>
        <w:pStyle w:val="SingleTxt"/>
      </w:pPr>
      <w:r>
        <w:t>В этом разделе приводится информация о прогрессе, достигнутом в деле выполнения каждой статьи. Подробности этого прогресса, резюме которых приводится ниже, содержатся в соответствующих разделах доклада, посвяще</w:t>
      </w:r>
      <w:r>
        <w:t>н</w:t>
      </w:r>
      <w:r>
        <w:t>ных конкретной статье.</w:t>
      </w:r>
    </w:p>
    <w:p w:rsidR="00000000" w:rsidRDefault="00000000">
      <w:pPr>
        <w:pStyle w:val="H23"/>
      </w:pPr>
      <w:r>
        <w:t>Статья 1: Определение дискриминации в отношении женщин</w:t>
      </w:r>
    </w:p>
    <w:p w:rsidR="00000000" w:rsidRDefault="00000000">
      <w:pPr>
        <w:pStyle w:val="SingleTxt"/>
      </w:pPr>
      <w:r>
        <w:t>В Билле о правах Новой Зеландии 1990 года установлен единый для пр</w:t>
      </w:r>
      <w:r>
        <w:t>а</w:t>
      </w:r>
      <w:r>
        <w:t>вительства принцип недопущения дискриминации, за исключением политики и практики в области занятости, а также расовой дискриминации и сексуальных домогательств, которые по-прежнему регламентируются соответствующими нормами, предусмотре</w:t>
      </w:r>
      <w:r>
        <w:t>н</w:t>
      </w:r>
      <w:r>
        <w:t>ными Законом 1993 года о правах человека.</w:t>
      </w:r>
    </w:p>
    <w:p w:rsidR="00000000" w:rsidRDefault="00000000">
      <w:pPr>
        <w:pStyle w:val="H23"/>
      </w:pPr>
      <w:r>
        <w:t>Статья 2: Антидискриминационные меры</w:t>
      </w:r>
    </w:p>
    <w:p w:rsidR="00000000" w:rsidRDefault="00000000">
      <w:pPr>
        <w:pStyle w:val="SingleTxt"/>
        <w:tabs>
          <w:tab w:val="right" w:pos="1685"/>
        </w:tabs>
        <w:ind w:left="1740" w:hanging="476"/>
      </w:pPr>
      <w:r>
        <w:tab/>
      </w:r>
      <w:r>
        <w:tab/>
        <w:t>•</w:t>
      </w:r>
      <w:r>
        <w:tab/>
        <w:t>Принятие Закона 2001 года о внесении поправок в Закон о правах челов</w:t>
      </w:r>
      <w:r>
        <w:t>е</w:t>
      </w:r>
      <w:r>
        <w:t>ка.</w:t>
      </w:r>
    </w:p>
    <w:p w:rsidR="00000000" w:rsidRDefault="00000000">
      <w:pPr>
        <w:pStyle w:val="dot"/>
      </w:pPr>
      <w:r>
        <w:tab/>
      </w:r>
      <w:r>
        <w:tab/>
        <w:t>•</w:t>
      </w:r>
      <w:r>
        <w:tab/>
        <w:t>Публикация результатов Обследования по вопросам использования вр</w:t>
      </w:r>
      <w:r>
        <w:t>е</w:t>
      </w:r>
      <w:r>
        <w:t>мени с краткой информацией, касающейся оплачиваемого и неоплачива</w:t>
      </w:r>
      <w:r>
        <w:t>е</w:t>
      </w:r>
      <w:r>
        <w:t>мого труда женщин и мужчин.</w:t>
      </w:r>
    </w:p>
    <w:p w:rsidR="00000000" w:rsidRDefault="00000000">
      <w:pPr>
        <w:pStyle w:val="H23"/>
      </w:pPr>
      <w:r>
        <w:t>Статья 3: Развитие и улучшение положения женщин</w:t>
      </w:r>
    </w:p>
    <w:p w:rsidR="00000000" w:rsidRDefault="00000000">
      <w:pPr>
        <w:pStyle w:val="dot"/>
      </w:pPr>
      <w:r>
        <w:tab/>
      </w:r>
      <w:r>
        <w:tab/>
        <w:t>•</w:t>
      </w:r>
      <w:r>
        <w:tab/>
        <w:t>Требования в отношении включения гендерного анализа и заявления о гендерных последствиях во все документы, представляемые правительс</w:t>
      </w:r>
      <w:r>
        <w:t>т</w:t>
      </w:r>
      <w:r>
        <w:t>венному Комитету по вопросам социального р</w:t>
      </w:r>
      <w:r>
        <w:t>а</w:t>
      </w:r>
      <w:r>
        <w:t>венства</w:t>
      </w:r>
    </w:p>
    <w:p w:rsidR="00000000" w:rsidRDefault="00000000">
      <w:pPr>
        <w:pStyle w:val="dot"/>
      </w:pPr>
      <w:r>
        <w:tab/>
      </w:r>
      <w:r>
        <w:tab/>
        <w:t>•</w:t>
      </w:r>
      <w:r>
        <w:tab/>
        <w:t>Требование к 13 департаментам правительства представлять парламенту доклады о своих вкладах в сокращение неравенства групп, находящихся в неблагоприятном положении, включая гендерные аспекты неравенства, затрагивающие прежде всего женщин-маори и женщин, проживающих на островах Тихого океана</w:t>
      </w:r>
    </w:p>
    <w:p w:rsidR="00000000" w:rsidRDefault="00000000">
      <w:pPr>
        <w:pStyle w:val="dot"/>
      </w:pPr>
      <w:r>
        <w:tab/>
      </w:r>
      <w:r>
        <w:tab/>
        <w:t>•</w:t>
      </w:r>
      <w:r>
        <w:tab/>
        <w:t>Разработка комплексной правительственной стратегии по улучшению п</w:t>
      </w:r>
      <w:r>
        <w:t>о</w:t>
      </w:r>
      <w:r>
        <w:t>лож</w:t>
      </w:r>
      <w:r>
        <w:t>е</w:t>
      </w:r>
      <w:r>
        <w:t>ния женщин</w:t>
      </w:r>
    </w:p>
    <w:p w:rsidR="00000000" w:rsidRDefault="00000000">
      <w:pPr>
        <w:pStyle w:val="dot"/>
      </w:pPr>
      <w:r>
        <w:tab/>
      </w:r>
      <w:r>
        <w:tab/>
        <w:t>•</w:t>
      </w:r>
      <w:r>
        <w:tab/>
        <w:t>Осуществление стратегии Новой Зеландии по улучшению положения и</w:t>
      </w:r>
      <w:r>
        <w:t>н</w:t>
      </w:r>
      <w:r>
        <w:t>вал</w:t>
      </w:r>
      <w:r>
        <w:t>и</w:t>
      </w:r>
      <w:r>
        <w:t>дов</w:t>
      </w:r>
    </w:p>
    <w:p w:rsidR="00000000" w:rsidRDefault="00000000">
      <w:pPr>
        <w:pStyle w:val="dot"/>
      </w:pPr>
      <w:r>
        <w:tab/>
      </w:r>
      <w:r>
        <w:tab/>
        <w:t>•</w:t>
      </w:r>
      <w:r>
        <w:tab/>
        <w:t>Осуществление стратегии улучшения положения молодежи Аотеароа</w:t>
      </w:r>
    </w:p>
    <w:p w:rsidR="00000000" w:rsidRDefault="00000000">
      <w:pPr>
        <w:pStyle w:val="dot"/>
      </w:pPr>
      <w:r>
        <w:tab/>
      </w:r>
      <w:r>
        <w:tab/>
        <w:t>•</w:t>
      </w:r>
      <w:r>
        <w:tab/>
        <w:t>Осуществление стратегии по улучшению положения престарелых</w:t>
      </w:r>
    </w:p>
    <w:p w:rsidR="00000000" w:rsidRDefault="00000000">
      <w:pPr>
        <w:pStyle w:val="H23"/>
      </w:pPr>
      <w:r>
        <w:t xml:space="preserve">Статья 4: Ускорение установления равенства между мужчинами </w:t>
      </w:r>
      <w:r>
        <w:br/>
        <w:t>и женщ</w:t>
      </w:r>
      <w:r>
        <w:t>и</w:t>
      </w:r>
      <w:r>
        <w:t>нами</w:t>
      </w:r>
    </w:p>
    <w:p w:rsidR="00000000" w:rsidRDefault="00000000">
      <w:pPr>
        <w:pStyle w:val="dot"/>
      </w:pPr>
      <w:r>
        <w:tab/>
      </w:r>
      <w:r>
        <w:tab/>
        <w:t>•</w:t>
      </w:r>
      <w:r>
        <w:tab/>
        <w:t>В июле 2002 года была введена в действие система оплачиваемого отпуска по уходу за детьми</w:t>
      </w:r>
    </w:p>
    <w:p w:rsidR="00000000" w:rsidRDefault="00000000">
      <w:pPr>
        <w:pStyle w:val="dot"/>
      </w:pPr>
      <w:r>
        <w:tab/>
      </w:r>
      <w:r>
        <w:tab/>
        <w:t>•</w:t>
      </w:r>
      <w:r>
        <w:tab/>
        <w:t>В июле 2002 года в Комиссии по правам человека была учреждена дол</w:t>
      </w:r>
      <w:r>
        <w:t>ж</w:t>
      </w:r>
      <w:r>
        <w:t>ность Комиссара по вопросам равных возможностей в области занятости.</w:t>
      </w:r>
    </w:p>
    <w:p w:rsidR="00000000" w:rsidRDefault="00000000">
      <w:pPr>
        <w:pStyle w:val="H23"/>
      </w:pPr>
      <w:r>
        <w:t>Статья 5: Роль мужчин и женщин и ее стереотипное изображение</w:t>
      </w:r>
    </w:p>
    <w:p w:rsidR="00000000" w:rsidRDefault="00000000">
      <w:pPr>
        <w:pStyle w:val="dot"/>
      </w:pPr>
      <w:r>
        <w:tab/>
      </w:r>
      <w:r>
        <w:tab/>
        <w:t>•</w:t>
      </w:r>
      <w:r>
        <w:tab/>
        <w:t>Исследование, касающееся вопросов классификации и цензуры</w:t>
      </w:r>
    </w:p>
    <w:p w:rsidR="00000000" w:rsidRDefault="00000000">
      <w:pPr>
        <w:pStyle w:val="dot"/>
      </w:pPr>
      <w:r>
        <w:tab/>
      </w:r>
      <w:r>
        <w:tab/>
        <w:t>•</w:t>
      </w:r>
      <w:r>
        <w:tab/>
        <w:t>Для контроля за соблюдением Закона 1993 года о классификации кин</w:t>
      </w:r>
      <w:r>
        <w:t>о</w:t>
      </w:r>
      <w:r>
        <w:t>фильмов, видеозаписей и публикаций был учрежден Комитет по цензуре и о</w:t>
      </w:r>
      <w:r>
        <w:t>т</w:t>
      </w:r>
      <w:r>
        <w:t>бору</w:t>
      </w:r>
    </w:p>
    <w:p w:rsidR="00000000" w:rsidRDefault="00000000">
      <w:pPr>
        <w:pStyle w:val="dot"/>
      </w:pPr>
      <w:r>
        <w:tab/>
      </w:r>
      <w:r>
        <w:tab/>
        <w:t>•</w:t>
      </w:r>
      <w:r>
        <w:tab/>
        <w:t>Экспериментальный проект по выявлению правонарушений в сети И</w:t>
      </w:r>
      <w:r>
        <w:t>н</w:t>
      </w:r>
      <w:r>
        <w:t>тернет</w:t>
      </w:r>
    </w:p>
    <w:p w:rsidR="00000000" w:rsidRDefault="00000000">
      <w:pPr>
        <w:pStyle w:val="dot"/>
      </w:pPr>
      <w:r>
        <w:tab/>
      </w:r>
      <w:r>
        <w:tab/>
        <w:t>•</w:t>
      </w:r>
      <w:r>
        <w:tab/>
        <w:t>Информационно-просветительская работа, связанная с обеспечением безопасности в сети Интернет и предотвращением сексуальных домог</w:t>
      </w:r>
      <w:r>
        <w:t>а</w:t>
      </w:r>
      <w:r>
        <w:t>тельств.</w:t>
      </w:r>
    </w:p>
    <w:p w:rsidR="00000000" w:rsidRDefault="00000000">
      <w:pPr>
        <w:pStyle w:val="H23"/>
      </w:pPr>
      <w:r>
        <w:t>Статья 6: Пресечение эксплуатации женщин</w:t>
      </w:r>
    </w:p>
    <w:p w:rsidR="00000000" w:rsidRDefault="00000000">
      <w:pPr>
        <w:pStyle w:val="dot"/>
      </w:pPr>
      <w:r>
        <w:tab/>
      </w:r>
      <w:r>
        <w:tab/>
        <w:t>•</w:t>
      </w:r>
      <w:r>
        <w:tab/>
        <w:t>Ратификация в 2001 году Конвенции МОТ 182 о запрещении и немедле</w:t>
      </w:r>
      <w:r>
        <w:t>н</w:t>
      </w:r>
      <w:r>
        <w:t>ных мерах по искор</w:t>
      </w:r>
      <w:r>
        <w:t>е</w:t>
      </w:r>
      <w:r>
        <w:t>нению наихудших форм детского рода</w:t>
      </w:r>
    </w:p>
    <w:p w:rsidR="00000000" w:rsidRDefault="00000000">
      <w:pPr>
        <w:pStyle w:val="dot"/>
      </w:pPr>
      <w:r>
        <w:tab/>
        <w:t>•</w:t>
      </w:r>
      <w:r>
        <w:tab/>
      </w:r>
      <w:r>
        <w:tab/>
        <w:t>Подписание в 2000 году Факультативного протокола к Конвенции о правах ребенка, касающегося торговли детьми, детской проституции и детской порн</w:t>
      </w:r>
      <w:r>
        <w:t>о</w:t>
      </w:r>
      <w:r>
        <w:t>графии</w:t>
      </w:r>
    </w:p>
    <w:p w:rsidR="00000000" w:rsidRDefault="00000000">
      <w:pPr>
        <w:pStyle w:val="dot"/>
      </w:pPr>
      <w:r>
        <w:tab/>
      </w:r>
      <w:r>
        <w:tab/>
        <w:t>•</w:t>
      </w:r>
      <w:r>
        <w:tab/>
        <w:t>Национальный план действий по борьбе с сексуальной эксплуатацией д</w:t>
      </w:r>
      <w:r>
        <w:t>е</w:t>
      </w:r>
      <w:r>
        <w:t>тей в коммерческих целях</w:t>
      </w:r>
    </w:p>
    <w:p w:rsidR="00000000" w:rsidRDefault="00000000">
      <w:pPr>
        <w:pStyle w:val="dot"/>
      </w:pPr>
      <w:r>
        <w:tab/>
      </w:r>
      <w:r>
        <w:tab/>
        <w:t>•</w:t>
      </w:r>
      <w:r>
        <w:tab/>
        <w:t>Осуществление проекта «Pink stiker» («Розовая наклейка»), направленн</w:t>
      </w:r>
      <w:r>
        <w:t>о</w:t>
      </w:r>
      <w:r>
        <w:t>го на оказание помощи лицам сферы сексуальных услуг из Таиланда, н</w:t>
      </w:r>
      <w:r>
        <w:t>е</w:t>
      </w:r>
      <w:r>
        <w:t>законно находящимся на территории Новой Зеландии, в возвращении в Таиланд</w:t>
      </w:r>
    </w:p>
    <w:p w:rsidR="00000000" w:rsidRDefault="00000000">
      <w:pPr>
        <w:pStyle w:val="dot"/>
      </w:pPr>
      <w:r>
        <w:tab/>
      </w:r>
      <w:r>
        <w:tab/>
        <w:t>•</w:t>
      </w:r>
      <w:r>
        <w:tab/>
        <w:t>Ратификация в 2000 году Конвенции Организации Объединенных Наций против транснациональной организованной преступности и ее Протокола о предупреждении и пресечении торговли людьми и Протокола против н</w:t>
      </w:r>
      <w:r>
        <w:t>е</w:t>
      </w:r>
      <w:r>
        <w:t>законного ввоза мигрантов.</w:t>
      </w:r>
    </w:p>
    <w:p w:rsidR="00000000" w:rsidRDefault="00000000">
      <w:pPr>
        <w:pStyle w:val="H23"/>
      </w:pPr>
      <w:r>
        <w:t>Статья 7: Политическая и общественная жизнь</w:t>
      </w:r>
    </w:p>
    <w:p w:rsidR="00000000" w:rsidRDefault="00000000">
      <w:pPr>
        <w:pStyle w:val="dot"/>
        <w:rPr>
          <w:b/>
          <w:i/>
        </w:rPr>
      </w:pPr>
      <w:r>
        <w:tab/>
      </w:r>
      <w:r>
        <w:tab/>
        <w:t>•</w:t>
      </w:r>
      <w:r>
        <w:tab/>
        <w:t>Увеличение числа женщин на постах министров Короны</w:t>
      </w:r>
    </w:p>
    <w:p w:rsidR="00000000" w:rsidRDefault="00000000">
      <w:pPr>
        <w:pStyle w:val="dot"/>
        <w:rPr>
          <w:b/>
          <w:i/>
        </w:rPr>
      </w:pPr>
      <w:r>
        <w:tab/>
      </w:r>
      <w:r>
        <w:tab/>
        <w:t>•</w:t>
      </w:r>
      <w:r>
        <w:tab/>
        <w:t>Женщины занимают четыре ключевые государственные должности</w:t>
      </w:r>
    </w:p>
    <w:p w:rsidR="00000000" w:rsidRDefault="00000000">
      <w:pPr>
        <w:pStyle w:val="dot"/>
        <w:rPr>
          <w:b/>
          <w:i/>
        </w:rPr>
      </w:pPr>
      <w:r>
        <w:tab/>
      </w:r>
      <w:r>
        <w:tab/>
        <w:t>•</w:t>
      </w:r>
      <w:r>
        <w:tab/>
        <w:t>Обзор Системы смешанного пропорционального представительства (СПП) Комитетом по в</w:t>
      </w:r>
      <w:r>
        <w:t>ы</w:t>
      </w:r>
      <w:r>
        <w:t>борам</w:t>
      </w:r>
    </w:p>
    <w:p w:rsidR="00000000" w:rsidRDefault="00000000">
      <w:pPr>
        <w:pStyle w:val="dot"/>
        <w:rPr>
          <w:b/>
          <w:i/>
        </w:rPr>
      </w:pPr>
      <w:r>
        <w:tab/>
      </w:r>
      <w:r>
        <w:tab/>
        <w:t>•</w:t>
      </w:r>
      <w:r>
        <w:tab/>
        <w:t>Исследование в области продвижения по службе лиц, находящихся на г</w:t>
      </w:r>
      <w:r>
        <w:t>о</w:t>
      </w:r>
      <w:r>
        <w:t>сударственной слу</w:t>
      </w:r>
      <w:r>
        <w:t>ж</w:t>
      </w:r>
      <w:r>
        <w:t>бе</w:t>
      </w:r>
    </w:p>
    <w:p w:rsidR="00000000" w:rsidRDefault="00000000">
      <w:pPr>
        <w:pStyle w:val="dot"/>
        <w:rPr>
          <w:b/>
          <w:i/>
        </w:rPr>
      </w:pPr>
      <w:r>
        <w:tab/>
      </w:r>
      <w:r>
        <w:tab/>
        <w:t>•</w:t>
      </w:r>
      <w:r>
        <w:tab/>
        <w:t>Увеличение численности женщин в органах местного самоуправления</w:t>
      </w:r>
    </w:p>
    <w:p w:rsidR="00000000" w:rsidRDefault="00000000">
      <w:pPr>
        <w:pStyle w:val="dot"/>
        <w:rPr>
          <w:b/>
          <w:i/>
        </w:rPr>
      </w:pPr>
      <w:r>
        <w:tab/>
      </w:r>
      <w:r>
        <w:tab/>
        <w:t>•</w:t>
      </w:r>
      <w:r>
        <w:tab/>
        <w:t>Включение новых положений в Закон 2001 года о выборах в органы мес</w:t>
      </w:r>
      <w:r>
        <w:t>т</w:t>
      </w:r>
      <w:r>
        <w:t>ного самоуправления, которые могут расширить возможности женщин баллотироваться и быть избранными на должности в органы местного с</w:t>
      </w:r>
      <w:r>
        <w:t>а</w:t>
      </w:r>
      <w:r>
        <w:t>моуправления.</w:t>
      </w:r>
    </w:p>
    <w:p w:rsidR="00000000" w:rsidRDefault="00000000">
      <w:pPr>
        <w:pStyle w:val="H23"/>
      </w:pPr>
      <w:r>
        <w:t>Статья 8: Представительство и участие на международном уровне</w:t>
      </w:r>
    </w:p>
    <w:p w:rsidR="00000000" w:rsidRDefault="00000000">
      <w:pPr>
        <w:pStyle w:val="dot"/>
      </w:pPr>
      <w:r>
        <w:tab/>
      </w:r>
      <w:r>
        <w:tab/>
        <w:t>•</w:t>
      </w:r>
      <w:r>
        <w:tab/>
        <w:t>Введение в действие системы интернатуры для маори и жителей тихоок</w:t>
      </w:r>
      <w:r>
        <w:t>е</w:t>
      </w:r>
      <w:r>
        <w:t>анских островов по линии министерства иностранных дел и внешней то</w:t>
      </w:r>
      <w:r>
        <w:t>р</w:t>
      </w:r>
      <w:r>
        <w:t>говли (МИДВТ)</w:t>
      </w:r>
    </w:p>
    <w:p w:rsidR="00000000" w:rsidRDefault="00000000">
      <w:pPr>
        <w:pStyle w:val="dot"/>
      </w:pPr>
      <w:r>
        <w:tab/>
      </w:r>
      <w:r>
        <w:tab/>
        <w:t>•</w:t>
      </w:r>
      <w:r>
        <w:tab/>
        <w:t>Увеличение доли женщин, работающих в МИДВТ, в том числе на руков</w:t>
      </w:r>
      <w:r>
        <w:t>о</w:t>
      </w:r>
      <w:r>
        <w:t>дящих должностях старшего звена</w:t>
      </w:r>
    </w:p>
    <w:p w:rsidR="00000000" w:rsidRDefault="00000000">
      <w:pPr>
        <w:pStyle w:val="dot"/>
      </w:pPr>
      <w:r>
        <w:tab/>
      </w:r>
      <w:r>
        <w:tab/>
        <w:t>•</w:t>
      </w:r>
      <w:r>
        <w:tab/>
        <w:t>Повышение уровня представленности женщин Новой Зеландии на межд</w:t>
      </w:r>
      <w:r>
        <w:t>у</w:t>
      </w:r>
      <w:r>
        <w:t>народных конф</w:t>
      </w:r>
      <w:r>
        <w:t>е</w:t>
      </w:r>
      <w:r>
        <w:t>ренциях</w:t>
      </w:r>
    </w:p>
    <w:p w:rsidR="00000000" w:rsidRDefault="00000000">
      <w:pPr>
        <w:pStyle w:val="dot"/>
      </w:pPr>
      <w:r>
        <w:tab/>
      </w:r>
      <w:r>
        <w:tab/>
        <w:t>•</w:t>
      </w:r>
      <w:r>
        <w:tab/>
        <w:t>Деятельность Новозеландского агентства по международному развитию: «Nga Hoe Tuputupu-maitawhiti» (НЗАИД) в области достижения равенства между мужчинами и женщинами и наделения женщин возможностями для реализации своих прав.</w:t>
      </w:r>
    </w:p>
    <w:p w:rsidR="00000000" w:rsidRDefault="00000000">
      <w:pPr>
        <w:pStyle w:val="H23"/>
      </w:pPr>
      <w:r>
        <w:t>Статья 9: Гражданство</w:t>
      </w:r>
    </w:p>
    <w:p w:rsidR="00000000" w:rsidRDefault="00000000">
      <w:pPr>
        <w:pStyle w:val="BodyText"/>
        <w:spacing w:line="240" w:lineRule="auto"/>
        <w:ind w:left="1264" w:right="1264"/>
      </w:pPr>
      <w:r>
        <w:t>С момента представления последнего периодического доклада Новой Зеландии в этой сфере никаких и</w:t>
      </w:r>
      <w:r>
        <w:t>з</w:t>
      </w:r>
      <w:r>
        <w:t>менений не произошло.</w:t>
      </w:r>
    </w:p>
    <w:p w:rsidR="00000000" w:rsidRDefault="00000000">
      <w:pPr>
        <w:pStyle w:val="H23"/>
      </w:pPr>
      <w:r>
        <w:t>Статья 10: Образование</w:t>
      </w:r>
    </w:p>
    <w:p w:rsidR="00000000" w:rsidRDefault="00000000">
      <w:pPr>
        <w:pStyle w:val="dot"/>
      </w:pPr>
      <w:r>
        <w:tab/>
      </w:r>
      <w:r>
        <w:tab/>
        <w:t>•</w:t>
      </w:r>
      <w:r>
        <w:tab/>
        <w:t>Постоянное улучшение положения девушек и женщин в системе образ</w:t>
      </w:r>
      <w:r>
        <w:t>о</w:t>
      </w:r>
      <w:r>
        <w:t>вания</w:t>
      </w:r>
    </w:p>
    <w:p w:rsidR="00000000" w:rsidRDefault="00000000">
      <w:pPr>
        <w:pStyle w:val="dot"/>
      </w:pPr>
      <w:r>
        <w:tab/>
      </w:r>
      <w:r>
        <w:tab/>
        <w:t>•</w:t>
      </w:r>
      <w:r>
        <w:tab/>
        <w:t>Увеличение числа женщин по сравнению с численностью мужчин, об</w:t>
      </w:r>
      <w:r>
        <w:t>у</w:t>
      </w:r>
      <w:r>
        <w:t>чающихся в госуда</w:t>
      </w:r>
      <w:r>
        <w:t>р</w:t>
      </w:r>
      <w:r>
        <w:t>ственных высших учебных заведениях</w:t>
      </w:r>
    </w:p>
    <w:p w:rsidR="00000000" w:rsidRDefault="00000000">
      <w:pPr>
        <w:pStyle w:val="dot"/>
      </w:pPr>
      <w:r>
        <w:tab/>
      </w:r>
      <w:r>
        <w:tab/>
        <w:t>•</w:t>
      </w:r>
      <w:r>
        <w:tab/>
        <w:t>Женщины чаще мужчин продолжают прерванное образование</w:t>
      </w:r>
    </w:p>
    <w:p w:rsidR="00000000" w:rsidRDefault="00000000">
      <w:pPr>
        <w:pStyle w:val="dot"/>
      </w:pPr>
      <w:r>
        <w:tab/>
      </w:r>
      <w:r>
        <w:tab/>
        <w:t>•</w:t>
      </w:r>
      <w:r>
        <w:tab/>
        <w:t>Увеличение доли женщин в системе подготовки кадров в секторе пр</w:t>
      </w:r>
      <w:r>
        <w:t>о</w:t>
      </w:r>
      <w:r>
        <w:t>мышле</w:t>
      </w:r>
      <w:r>
        <w:t>н</w:t>
      </w:r>
      <w:r>
        <w:t>ности</w:t>
      </w:r>
    </w:p>
    <w:p w:rsidR="00000000" w:rsidRDefault="00000000">
      <w:pPr>
        <w:pStyle w:val="dot"/>
      </w:pPr>
      <w:r>
        <w:tab/>
      </w:r>
      <w:r>
        <w:tab/>
        <w:t>•</w:t>
      </w:r>
      <w:r>
        <w:tab/>
        <w:t>На школьных экзаменах девочки в среднем получают более высокие оценки по сравнению с мальчиками по таким предметам, как устная речь, прав</w:t>
      </w:r>
      <w:r>
        <w:t>о</w:t>
      </w:r>
      <w:r>
        <w:t>писание и математика</w:t>
      </w:r>
    </w:p>
    <w:p w:rsidR="00000000" w:rsidRDefault="00000000">
      <w:pPr>
        <w:pStyle w:val="dot"/>
      </w:pPr>
      <w:r>
        <w:tab/>
      </w:r>
      <w:r>
        <w:tab/>
        <w:t>•</w:t>
      </w:r>
      <w:r>
        <w:tab/>
        <w:t xml:space="preserve">Согласно данным масштабного обзора грамотности </w:t>
      </w:r>
      <w:r>
        <w:rPr>
          <w:i/>
        </w:rPr>
        <w:t>«Анализ причин ге</w:t>
      </w:r>
      <w:r>
        <w:rPr>
          <w:i/>
        </w:rPr>
        <w:t>н</w:t>
      </w:r>
      <w:r>
        <w:rPr>
          <w:i/>
        </w:rPr>
        <w:t>дерного неравенства в системе обязательного образования в Новой З</w:t>
      </w:r>
      <w:r>
        <w:rPr>
          <w:i/>
        </w:rPr>
        <w:t>е</w:t>
      </w:r>
      <w:r>
        <w:rPr>
          <w:i/>
        </w:rPr>
        <w:t>ландии (2000 год)»</w:t>
      </w:r>
      <w:r>
        <w:t>, показатели успеваемости девочек превосходят показ</w:t>
      </w:r>
      <w:r>
        <w:t>а</w:t>
      </w:r>
      <w:r>
        <w:t>тели усп</w:t>
      </w:r>
      <w:r>
        <w:t>е</w:t>
      </w:r>
      <w:r>
        <w:t>ваемости мальчиков по многим предметам</w:t>
      </w:r>
    </w:p>
    <w:p w:rsidR="00000000" w:rsidRDefault="00000000">
      <w:pPr>
        <w:pStyle w:val="dot"/>
      </w:pPr>
      <w:r>
        <w:tab/>
      </w:r>
      <w:r>
        <w:tab/>
        <w:t>•</w:t>
      </w:r>
      <w:r>
        <w:tab/>
        <w:t>Совершенствование механизма процентных начислений в рамках плана студенческих займов с целью ускорения темпов погашения основной суммы займа и сокращения времени погашения займа заемщ</w:t>
      </w:r>
      <w:r>
        <w:t>и</w:t>
      </w:r>
      <w:r>
        <w:t>ками</w:t>
      </w:r>
    </w:p>
    <w:p w:rsidR="00000000" w:rsidRDefault="00000000">
      <w:pPr>
        <w:pStyle w:val="dot"/>
      </w:pPr>
      <w:r>
        <w:tab/>
      </w:r>
      <w:r>
        <w:tab/>
        <w:t>•</w:t>
      </w:r>
      <w:r>
        <w:tab/>
        <w:t>Развертывание осуществления тихоокеанского плана образования, страт</w:t>
      </w:r>
      <w:r>
        <w:t>е</w:t>
      </w:r>
      <w:r>
        <w:t>гии образования народности маори и стратегии обучения правописанию и математике, которые определяют пути и средства расширения континге</w:t>
      </w:r>
      <w:r>
        <w:t>н</w:t>
      </w:r>
      <w:r>
        <w:t>та учащихся, повышения успеваемости и сокращения разрыва в области результатов обуч</w:t>
      </w:r>
      <w:r>
        <w:t>е</w:t>
      </w:r>
      <w:r>
        <w:t>ния.</w:t>
      </w:r>
    </w:p>
    <w:p w:rsidR="00000000" w:rsidRDefault="00000000">
      <w:pPr>
        <w:pStyle w:val="H23"/>
      </w:pPr>
      <w:r>
        <w:t>Статья 11: Занятость</w:t>
      </w:r>
    </w:p>
    <w:p w:rsidR="00000000" w:rsidRDefault="00000000">
      <w:pPr>
        <w:pStyle w:val="dot"/>
      </w:pPr>
      <w:r>
        <w:tab/>
      </w:r>
      <w:r>
        <w:tab/>
        <w:t>•</w:t>
      </w:r>
      <w:r>
        <w:tab/>
        <w:t>Сохранение тенденции к увеличению процентной доли женщин в конти</w:t>
      </w:r>
      <w:r>
        <w:t>н</w:t>
      </w:r>
      <w:r>
        <w:t>генте рабочей силы в после</w:t>
      </w:r>
      <w:r>
        <w:t>д</w:t>
      </w:r>
      <w:r>
        <w:t>ние шесть лет</w:t>
      </w:r>
    </w:p>
    <w:p w:rsidR="00000000" w:rsidRDefault="00000000">
      <w:pPr>
        <w:pStyle w:val="dot"/>
      </w:pPr>
      <w:r>
        <w:tab/>
      </w:r>
      <w:r>
        <w:tab/>
        <w:t>•</w:t>
      </w:r>
      <w:r>
        <w:tab/>
        <w:t>Снижение уровня безработицы среди женщин</w:t>
      </w:r>
    </w:p>
    <w:p w:rsidR="00000000" w:rsidRDefault="00000000">
      <w:pPr>
        <w:pStyle w:val="dot"/>
      </w:pPr>
      <w:r>
        <w:tab/>
      </w:r>
      <w:r>
        <w:tab/>
        <w:t>•</w:t>
      </w:r>
      <w:r>
        <w:tab/>
        <w:t>Существенное увеличение численности женщин, занимающих должности специалистов и р</w:t>
      </w:r>
      <w:r>
        <w:t>а</w:t>
      </w:r>
      <w:r>
        <w:t>ботников управленческого звена</w:t>
      </w:r>
    </w:p>
    <w:p w:rsidR="00000000" w:rsidRDefault="00000000">
      <w:pPr>
        <w:pStyle w:val="dot"/>
      </w:pPr>
      <w:r>
        <w:tab/>
      </w:r>
      <w:r>
        <w:tab/>
        <w:t>•</w:t>
      </w:r>
      <w:r>
        <w:tab/>
        <w:t>Увеличение численности женщин, работающих не по найму</w:t>
      </w:r>
    </w:p>
    <w:p w:rsidR="00000000" w:rsidRDefault="00000000">
      <w:pPr>
        <w:pStyle w:val="dot"/>
      </w:pPr>
      <w:r>
        <w:tab/>
      </w:r>
      <w:r>
        <w:tab/>
      </w:r>
      <w:r>
        <w:tab/>
      </w:r>
      <w:r>
        <w:rPr>
          <w:i/>
        </w:rPr>
        <w:t xml:space="preserve">Проверка гендерного состава вооруженных сил Новой Зеландии </w:t>
      </w:r>
      <w:r>
        <w:t>(1998 год)</w:t>
      </w:r>
    </w:p>
    <w:p w:rsidR="00000000" w:rsidRDefault="00000000">
      <w:pPr>
        <w:pStyle w:val="dot"/>
      </w:pPr>
      <w:r>
        <w:tab/>
      </w:r>
      <w:r>
        <w:tab/>
        <w:t>•</w:t>
      </w:r>
      <w:r>
        <w:tab/>
        <w:t>Замена Закона о трудовых договорах 1991 года Законом об отношениях в сфере занятости 2000 года с целью ликвидации неравенства в области з</w:t>
      </w:r>
      <w:r>
        <w:t>а</w:t>
      </w:r>
      <w:r>
        <w:t>ключ</w:t>
      </w:r>
      <w:r>
        <w:t>е</w:t>
      </w:r>
      <w:r>
        <w:t>ния трудовых договоров</w:t>
      </w:r>
    </w:p>
    <w:p w:rsidR="00000000" w:rsidRDefault="00000000">
      <w:pPr>
        <w:pStyle w:val="dot"/>
      </w:pPr>
      <w:r>
        <w:tab/>
      </w:r>
      <w:r>
        <w:tab/>
        <w:t>•</w:t>
      </w:r>
      <w:r>
        <w:tab/>
        <w:t>Увеличение в законодательном порядке минимальной заработной платы, в том числе для трудящихся в возрасте 18-19 лет, и увеличение ставки зар</w:t>
      </w:r>
      <w:r>
        <w:t>а</w:t>
      </w:r>
      <w:r>
        <w:t>бо</w:t>
      </w:r>
      <w:r>
        <w:t>т</w:t>
      </w:r>
      <w:r>
        <w:t>ной платы молодежи до 80 процентов от ставки для взрослых</w:t>
      </w:r>
    </w:p>
    <w:p w:rsidR="00000000" w:rsidRDefault="00000000">
      <w:pPr>
        <w:pStyle w:val="dot"/>
      </w:pPr>
      <w:r>
        <w:tab/>
      </w:r>
      <w:r>
        <w:tab/>
        <w:t>•</w:t>
      </w:r>
      <w:r>
        <w:tab/>
        <w:t>Введение в действие в июле 2002 года системы оплачиваемого отпуска по ух</w:t>
      </w:r>
      <w:r>
        <w:t>о</w:t>
      </w:r>
      <w:r>
        <w:t>ду за детьми</w:t>
      </w:r>
    </w:p>
    <w:p w:rsidR="00000000" w:rsidRDefault="00000000">
      <w:pPr>
        <w:pStyle w:val="dot"/>
      </w:pPr>
      <w:r>
        <w:tab/>
      </w:r>
      <w:r>
        <w:tab/>
        <w:t>•</w:t>
      </w:r>
      <w:r>
        <w:tab/>
        <w:t>Разработка стратегии улучшения положения женщин группой по вопр</w:t>
      </w:r>
      <w:r>
        <w:t>о</w:t>
      </w:r>
      <w:r>
        <w:t>сам занятости общин при министерстве труда с целью устранения барь</w:t>
      </w:r>
      <w:r>
        <w:t>е</w:t>
      </w:r>
      <w:r>
        <w:t>ров на пути трудоустройства женщин, включая инициативы в области улучшения полож</w:t>
      </w:r>
      <w:r>
        <w:t>е</w:t>
      </w:r>
      <w:r>
        <w:t>ния женщин-маори и женщин тихоокеанских островов</w:t>
      </w:r>
    </w:p>
    <w:p w:rsidR="00000000" w:rsidRDefault="00000000">
      <w:pPr>
        <w:pStyle w:val="dot"/>
      </w:pPr>
      <w:r>
        <w:tab/>
      </w:r>
      <w:r>
        <w:tab/>
        <w:t>•</w:t>
      </w:r>
      <w:r>
        <w:tab/>
        <w:t>Обследование1999 года по вопросам ухода за детьми, которое было ос</w:t>
      </w:r>
      <w:r>
        <w:t>у</w:t>
      </w:r>
      <w:r>
        <w:t>ществлено Национальным консультативным советом по вопросам занят</w:t>
      </w:r>
      <w:r>
        <w:t>о</w:t>
      </w:r>
      <w:r>
        <w:t>сти женщин</w:t>
      </w:r>
    </w:p>
    <w:p w:rsidR="00000000" w:rsidRDefault="00000000">
      <w:pPr>
        <w:pStyle w:val="dot"/>
      </w:pPr>
      <w:r>
        <w:tab/>
      </w:r>
      <w:r>
        <w:tab/>
        <w:t>•</w:t>
      </w:r>
      <w:r>
        <w:tab/>
        <w:t>Увеличение размеров пособий по дошкольному и внешкольному уходу за дет</w:t>
      </w:r>
      <w:r>
        <w:t>ь</w:t>
      </w:r>
      <w:r>
        <w:t>ми для семей с низким доходом.</w:t>
      </w:r>
    </w:p>
    <w:p w:rsidR="00000000" w:rsidRDefault="00000000">
      <w:pPr>
        <w:pStyle w:val="H23"/>
      </w:pPr>
      <w:r>
        <w:t>Статья 12: Здравоохранение</w:t>
      </w:r>
    </w:p>
    <w:p w:rsidR="00000000" w:rsidRDefault="00000000">
      <w:pPr>
        <w:pStyle w:val="dot"/>
      </w:pPr>
      <w:r>
        <w:tab/>
      </w:r>
      <w:r>
        <w:tab/>
        <w:t>•</w:t>
      </w:r>
      <w:r>
        <w:tab/>
        <w:t>Внедрение ориентированной на общины модели здравоохранения с уч</w:t>
      </w:r>
      <w:r>
        <w:t>а</w:t>
      </w:r>
      <w:r>
        <w:t>стием местных окружных медико-санитарных комиссий, которые части</w:t>
      </w:r>
      <w:r>
        <w:t>ч</w:t>
      </w:r>
      <w:r>
        <w:t>но формируются из числа избираемых чл</w:t>
      </w:r>
      <w:r>
        <w:t>е</w:t>
      </w:r>
      <w:r>
        <w:t>нов</w:t>
      </w:r>
    </w:p>
    <w:p w:rsidR="00000000" w:rsidRDefault="00000000">
      <w:pPr>
        <w:pStyle w:val="dot"/>
      </w:pPr>
      <w:r>
        <w:tab/>
      </w:r>
      <w:r>
        <w:tab/>
        <w:t>•</w:t>
      </w:r>
      <w:r>
        <w:tab/>
        <w:t>Улучшение общих показателей здоровья населения, в частности увелич</w:t>
      </w:r>
      <w:r>
        <w:t>е</w:t>
      </w:r>
      <w:r>
        <w:t>ние продолжительности предстоящей жизни, снижение уровня младенч</w:t>
      </w:r>
      <w:r>
        <w:t>е</w:t>
      </w:r>
      <w:r>
        <w:t>ской смертности, коэффициента фертильности среди подростков, уровня сердечно-сосудистых заболеваний и уровня смертности в результате заб</w:t>
      </w:r>
      <w:r>
        <w:t>о</w:t>
      </w:r>
      <w:r>
        <w:t>левания р</w:t>
      </w:r>
      <w:r>
        <w:t>а</w:t>
      </w:r>
      <w:r>
        <w:t>ком шейки матки</w:t>
      </w:r>
    </w:p>
    <w:p w:rsidR="00000000" w:rsidRDefault="00000000">
      <w:pPr>
        <w:pStyle w:val="dot"/>
      </w:pPr>
      <w:r>
        <w:tab/>
      </w:r>
      <w:r>
        <w:tab/>
        <w:t>•</w:t>
      </w:r>
      <w:r>
        <w:tab/>
        <w:t>Осуществление новозеландской стратегии в области здравоохранения, стратегии в области первичного медико-санитарного обслуживания, стр</w:t>
      </w:r>
      <w:r>
        <w:t>а</w:t>
      </w:r>
      <w:r>
        <w:t>тегии по вопросам инвалидности и стратегии в области охраны здоровья пр</w:t>
      </w:r>
      <w:r>
        <w:t>е</w:t>
      </w:r>
      <w:r>
        <w:t>старелых</w:t>
      </w:r>
    </w:p>
    <w:p w:rsidR="00000000" w:rsidRDefault="00000000">
      <w:pPr>
        <w:pStyle w:val="dot"/>
      </w:pPr>
      <w:r>
        <w:tab/>
      </w:r>
      <w:r>
        <w:tab/>
        <w:t>•</w:t>
      </w:r>
      <w:r>
        <w:tab/>
        <w:t>Разработка стратегии здравоохранения женщин-маори</w:t>
      </w:r>
    </w:p>
    <w:p w:rsidR="00000000" w:rsidRDefault="00000000">
      <w:pPr>
        <w:pStyle w:val="dot"/>
      </w:pPr>
      <w:r>
        <w:tab/>
      </w:r>
      <w:r>
        <w:tab/>
        <w:t>•</w:t>
      </w:r>
      <w:r>
        <w:tab/>
        <w:t>Разработка стратегии охраны здоровья женщин</w:t>
      </w:r>
    </w:p>
    <w:p w:rsidR="00000000" w:rsidRDefault="00000000">
      <w:pPr>
        <w:pStyle w:val="dot"/>
      </w:pPr>
      <w:r>
        <w:tab/>
      </w:r>
      <w:r>
        <w:tab/>
        <w:t>•</w:t>
      </w:r>
      <w:r>
        <w:tab/>
        <w:t>Разработка стратегии репродуктивного здоровья и половой гигиены</w:t>
      </w:r>
    </w:p>
    <w:p w:rsidR="00000000" w:rsidRDefault="00000000">
      <w:pPr>
        <w:pStyle w:val="dot"/>
        <w:rPr>
          <w:i/>
        </w:rPr>
      </w:pPr>
      <w:r>
        <w:tab/>
      </w:r>
      <w:r>
        <w:tab/>
        <w:t>•</w:t>
      </w:r>
      <w:r>
        <w:tab/>
        <w:t>Мониторинг услуг по беременности и родам</w:t>
      </w:r>
    </w:p>
    <w:p w:rsidR="00000000" w:rsidRDefault="00000000">
      <w:pPr>
        <w:pStyle w:val="dot"/>
      </w:pPr>
      <w:r>
        <w:tab/>
      </w:r>
      <w:r>
        <w:tab/>
        <w:t>•</w:t>
      </w:r>
      <w:r>
        <w:tab/>
        <w:t>Разработка стратегии по вопросам кормления грудью</w:t>
      </w:r>
    </w:p>
    <w:p w:rsidR="00000000" w:rsidRDefault="00000000">
      <w:pPr>
        <w:pStyle w:val="dot"/>
      </w:pPr>
      <w:r>
        <w:tab/>
      </w:r>
      <w:r>
        <w:tab/>
        <w:t>•</w:t>
      </w:r>
      <w:r>
        <w:tab/>
        <w:t>Разработка основы для правильного ухода за детьми</w:t>
      </w:r>
    </w:p>
    <w:p w:rsidR="00000000" w:rsidRDefault="00000000">
      <w:pPr>
        <w:pStyle w:val="dot"/>
      </w:pPr>
      <w:r>
        <w:tab/>
      </w:r>
      <w:r>
        <w:tab/>
        <w:t>•</w:t>
      </w:r>
      <w:r>
        <w:tab/>
        <w:t>Оценка Национальной программы по выявлению раковых заболеваний шейки матки</w:t>
      </w:r>
    </w:p>
    <w:p w:rsidR="00000000" w:rsidRDefault="00000000">
      <w:pPr>
        <w:pStyle w:val="dot"/>
      </w:pPr>
      <w:r>
        <w:tab/>
      </w:r>
      <w:r>
        <w:tab/>
        <w:t>•</w:t>
      </w:r>
      <w:r>
        <w:tab/>
        <w:t>Завершение обзора игорного бизнеса и введение в действие Закона об о</w:t>
      </w:r>
      <w:r>
        <w:t>т</w:t>
      </w:r>
      <w:r>
        <w:t>ветственности за азартные и</w:t>
      </w:r>
      <w:r>
        <w:t>г</w:t>
      </w:r>
      <w:r>
        <w:t>ры</w:t>
      </w:r>
    </w:p>
    <w:p w:rsidR="00000000" w:rsidRDefault="00000000">
      <w:pPr>
        <w:pStyle w:val="dot"/>
      </w:pPr>
      <w:r>
        <w:tab/>
      </w:r>
      <w:r>
        <w:tab/>
        <w:t>•</w:t>
      </w:r>
      <w:r>
        <w:tab/>
        <w:t>Оценка программ предотвращения самоубийств среди молодежи, фина</w:t>
      </w:r>
      <w:r>
        <w:t>н</w:t>
      </w:r>
      <w:r>
        <w:t>сируемых Фондом развития молодежи</w:t>
      </w:r>
    </w:p>
    <w:p w:rsidR="00000000" w:rsidRDefault="00000000">
      <w:pPr>
        <w:pStyle w:val="dot"/>
      </w:pPr>
      <w:r>
        <w:tab/>
      </w:r>
      <w:r>
        <w:tab/>
        <w:t>•</w:t>
      </w:r>
      <w:r>
        <w:tab/>
        <w:t>Проект по вопросам насилия в семье.</w:t>
      </w:r>
    </w:p>
    <w:p w:rsidR="00000000" w:rsidRDefault="00000000">
      <w:pPr>
        <w:pStyle w:val="H23"/>
      </w:pPr>
      <w:r>
        <w:t>Статья 13: Экономическая и социальная жизнь</w:t>
      </w:r>
    </w:p>
    <w:p w:rsidR="00000000" w:rsidRDefault="00000000">
      <w:pPr>
        <w:pStyle w:val="dot"/>
      </w:pPr>
      <w:r>
        <w:tab/>
      </w:r>
      <w:r>
        <w:tab/>
        <w:t>•</w:t>
      </w:r>
      <w:r>
        <w:tab/>
        <w:t>Оценка программы БИЗ, целевой группой которой являются женщины</w:t>
      </w:r>
    </w:p>
    <w:p w:rsidR="00000000" w:rsidRDefault="00000000">
      <w:pPr>
        <w:pStyle w:val="dot"/>
      </w:pPr>
      <w:r>
        <w:tab/>
      </w:r>
      <w:r>
        <w:tab/>
        <w:t>•</w:t>
      </w:r>
      <w:r>
        <w:tab/>
        <w:t>Обследование спортивных и физкультурных мероприятий 1997/ 1998 годов</w:t>
      </w:r>
    </w:p>
    <w:p w:rsidR="00000000" w:rsidRDefault="00000000">
      <w:pPr>
        <w:pStyle w:val="dot"/>
      </w:pPr>
      <w:r>
        <w:tab/>
      </w:r>
      <w:r>
        <w:tab/>
        <w:t>•</w:t>
      </w:r>
      <w:r>
        <w:tab/>
        <w:t>«He Oranga Poutama» и стратегия женщин-победительниц – программы «Wähine Toa» для женщин-маори</w:t>
      </w:r>
    </w:p>
    <w:p w:rsidR="00000000" w:rsidRDefault="00000000">
      <w:pPr>
        <w:pStyle w:val="dot"/>
      </w:pPr>
      <w:r>
        <w:tab/>
      </w:r>
      <w:r>
        <w:tab/>
        <w:t>•</w:t>
      </w:r>
      <w:r>
        <w:tab/>
        <w:t>Расширение участия школьниц в спортивных мероприятиях в средних школах</w:t>
      </w:r>
    </w:p>
    <w:p w:rsidR="00000000" w:rsidRDefault="00000000">
      <w:pPr>
        <w:pStyle w:val="dot"/>
      </w:pPr>
      <w:r>
        <w:tab/>
      </w:r>
      <w:r>
        <w:tab/>
        <w:t>•</w:t>
      </w:r>
      <w:r>
        <w:tab/>
        <w:t>Повышение уровня участия женщин в культурных мероприятиях по сра</w:t>
      </w:r>
      <w:r>
        <w:t>в</w:t>
      </w:r>
      <w:r>
        <w:t>нению с уровнем участия мужчин</w:t>
      </w:r>
    </w:p>
    <w:p w:rsidR="00000000" w:rsidRDefault="00000000">
      <w:pPr>
        <w:pStyle w:val="dot"/>
      </w:pPr>
      <w:r>
        <w:tab/>
      </w:r>
      <w:r>
        <w:tab/>
        <w:t>•</w:t>
      </w:r>
      <w:r>
        <w:tab/>
        <w:t>Комплексная инициатива профилактической работы с правонарушител</w:t>
      </w:r>
      <w:r>
        <w:t>я</w:t>
      </w:r>
      <w:r>
        <w:t>ми, находящимися в заключ</w:t>
      </w:r>
      <w:r>
        <w:t>е</w:t>
      </w:r>
      <w:r>
        <w:t>нии</w:t>
      </w:r>
    </w:p>
    <w:p w:rsidR="00000000" w:rsidRDefault="00000000">
      <w:pPr>
        <w:pStyle w:val="dot"/>
      </w:pPr>
      <w:r>
        <w:tab/>
      </w:r>
      <w:r>
        <w:tab/>
        <w:t>•</w:t>
      </w:r>
      <w:r>
        <w:tab/>
        <w:t>Инициативы в интересах содержащихся в заключении женщин и наход</w:t>
      </w:r>
      <w:r>
        <w:t>я</w:t>
      </w:r>
      <w:r>
        <w:t>щихся на их иждив</w:t>
      </w:r>
      <w:r>
        <w:t>е</w:t>
      </w:r>
      <w:r>
        <w:t>нии детей.</w:t>
      </w:r>
    </w:p>
    <w:p w:rsidR="00000000" w:rsidRDefault="00000000">
      <w:pPr>
        <w:pStyle w:val="H23"/>
      </w:pPr>
      <w:r>
        <w:t>Статья 14: Сельские женщины</w:t>
      </w:r>
    </w:p>
    <w:p w:rsidR="00000000" w:rsidRDefault="00000000">
      <w:pPr>
        <w:pStyle w:val="dot"/>
      </w:pPr>
      <w:r>
        <w:tab/>
      </w:r>
      <w:r>
        <w:tab/>
        <w:t>•</w:t>
      </w:r>
      <w:r>
        <w:tab/>
        <w:t>Разработка стратегий в области управления с помощью электронных средств и электронной торговли</w:t>
      </w:r>
    </w:p>
    <w:p w:rsidR="00000000" w:rsidRDefault="00000000">
      <w:pPr>
        <w:pStyle w:val="dot"/>
      </w:pPr>
      <w:r>
        <w:tab/>
      </w:r>
      <w:r>
        <w:tab/>
        <w:t>•</w:t>
      </w:r>
      <w:r>
        <w:tab/>
        <w:t>Увеличение численности женщин, занятых в секторе производства сырь</w:t>
      </w:r>
      <w:r>
        <w:t>е</w:t>
      </w:r>
      <w:r>
        <w:t>вых материалов</w:t>
      </w:r>
    </w:p>
    <w:p w:rsidR="00000000" w:rsidRDefault="00000000">
      <w:pPr>
        <w:pStyle w:val="dot"/>
      </w:pPr>
      <w:r>
        <w:tab/>
      </w:r>
      <w:r>
        <w:tab/>
        <w:t>•</w:t>
      </w:r>
      <w:r>
        <w:tab/>
        <w:t>Увеличение численности женщин, являющихся партнерами или акцион</w:t>
      </w:r>
      <w:r>
        <w:t>е</w:t>
      </w:r>
      <w:r>
        <w:t>рами сельских х</w:t>
      </w:r>
      <w:r>
        <w:t>о</w:t>
      </w:r>
      <w:r>
        <w:t>зяйств</w:t>
      </w:r>
    </w:p>
    <w:p w:rsidR="00000000" w:rsidRDefault="00000000">
      <w:pPr>
        <w:pStyle w:val="dot"/>
      </w:pPr>
      <w:r>
        <w:tab/>
      </w:r>
      <w:r>
        <w:tab/>
        <w:t>•</w:t>
      </w:r>
      <w:r>
        <w:tab/>
        <w:t>Уделение более пристального внимания справедливому решению вопроса передачи фермерского х</w:t>
      </w:r>
      <w:r>
        <w:t>о</w:t>
      </w:r>
      <w:r>
        <w:t>зяйства детям</w:t>
      </w:r>
    </w:p>
    <w:p w:rsidR="00000000" w:rsidRDefault="00000000">
      <w:pPr>
        <w:pStyle w:val="dot"/>
      </w:pPr>
      <w:r>
        <w:tab/>
      </w:r>
      <w:r>
        <w:tab/>
        <w:t>•</w:t>
      </w:r>
      <w:r>
        <w:tab/>
        <w:t>Экспериментальная программа стажировки на уровне общих, которая б</w:t>
      </w:r>
      <w:r>
        <w:t>у</w:t>
      </w:r>
      <w:r>
        <w:t>дет организована в некоторых общинах</w:t>
      </w:r>
    </w:p>
    <w:p w:rsidR="00000000" w:rsidRDefault="00000000">
      <w:pPr>
        <w:pStyle w:val="dot"/>
      </w:pPr>
      <w:r>
        <w:tab/>
      </w:r>
      <w:r>
        <w:tab/>
        <w:t>•</w:t>
      </w:r>
      <w:r>
        <w:tab/>
        <w:t>Создание Фонда устойчивого развития сельского хозяйства</w:t>
      </w:r>
    </w:p>
    <w:p w:rsidR="00000000" w:rsidRDefault="00000000">
      <w:pPr>
        <w:pStyle w:val="dot"/>
      </w:pPr>
      <w:r>
        <w:tab/>
      </w:r>
      <w:r>
        <w:tab/>
        <w:t>•</w:t>
      </w:r>
      <w:r>
        <w:tab/>
        <w:t>Создание Целевой группы развития «Таиравити» для целей регионального развития в регионе Гизбо</w:t>
      </w:r>
      <w:r>
        <w:t>р</w:t>
      </w:r>
      <w:r>
        <w:t>на</w:t>
      </w:r>
    </w:p>
    <w:p w:rsidR="00000000" w:rsidRDefault="00000000">
      <w:pPr>
        <w:pStyle w:val="dot"/>
      </w:pPr>
      <w:r>
        <w:tab/>
      </w:r>
      <w:r>
        <w:tab/>
        <w:t>•</w:t>
      </w:r>
      <w:r>
        <w:tab/>
        <w:t>Разработка и осуществление программы услуг центрального района</w:t>
      </w:r>
    </w:p>
    <w:p w:rsidR="00000000" w:rsidRDefault="00000000">
      <w:pPr>
        <w:pStyle w:val="H23"/>
      </w:pPr>
      <w:r>
        <w:t>Статья 15: Равенство перед законом и в гражданских вопросах</w:t>
      </w:r>
    </w:p>
    <w:p w:rsidR="00000000" w:rsidRDefault="00000000">
      <w:pPr>
        <w:pStyle w:val="dot"/>
      </w:pPr>
      <w:r>
        <w:tab/>
      </w:r>
      <w:r>
        <w:tab/>
        <w:t>•</w:t>
      </w:r>
      <w:r>
        <w:tab/>
        <w:t>Доступ женщин к участию в проекте по вопросам отправления правос</w:t>
      </w:r>
      <w:r>
        <w:t>у</w:t>
      </w:r>
      <w:r>
        <w:t>дия</w:t>
      </w:r>
    </w:p>
    <w:p w:rsidR="00000000" w:rsidRDefault="00000000">
      <w:pPr>
        <w:pStyle w:val="dot"/>
      </w:pPr>
      <w:r>
        <w:tab/>
      </w:r>
      <w:r>
        <w:tab/>
        <w:t>•</w:t>
      </w:r>
      <w:r>
        <w:tab/>
        <w:t>Изменение порядка уплаты судебных издержек при рассмотрении гра</w:t>
      </w:r>
      <w:r>
        <w:t>ж</w:t>
      </w:r>
      <w:r>
        <w:t>данских дел</w:t>
      </w:r>
    </w:p>
    <w:p w:rsidR="00000000" w:rsidRDefault="00000000">
      <w:pPr>
        <w:pStyle w:val="H23"/>
      </w:pPr>
      <w:r>
        <w:t>Статья 16: Брак и семейная жизнь</w:t>
      </w:r>
    </w:p>
    <w:p w:rsidR="00000000" w:rsidRDefault="00000000">
      <w:pPr>
        <w:pStyle w:val="dot"/>
      </w:pPr>
      <w:r>
        <w:tab/>
      </w:r>
      <w:r>
        <w:tab/>
        <w:t>•</w:t>
      </w:r>
      <w:r>
        <w:tab/>
        <w:t>Поправка к Закону1976 года о брачно-семейных правах собственности и его переименование</w:t>
      </w:r>
    </w:p>
    <w:p w:rsidR="00000000" w:rsidRDefault="00000000">
      <w:pPr>
        <w:pStyle w:val="dot"/>
      </w:pPr>
      <w:r>
        <w:tab/>
      </w:r>
      <w:r>
        <w:tab/>
        <w:t>•</w:t>
      </w:r>
      <w:r>
        <w:tab/>
        <w:t>Пересмотр Закона1968 года об опекунстве</w:t>
      </w:r>
    </w:p>
    <w:p w:rsidR="00000000" w:rsidRDefault="00000000">
      <w:pPr>
        <w:pStyle w:val="dot"/>
      </w:pPr>
      <w:r>
        <w:tab/>
      </w:r>
      <w:r>
        <w:tab/>
        <w:t>•</w:t>
      </w:r>
      <w:r>
        <w:tab/>
        <w:t>Пересмотр законодательства об усыновлении</w:t>
      </w:r>
    </w:p>
    <w:p w:rsidR="00000000" w:rsidRDefault="00000000">
      <w:pPr>
        <w:pStyle w:val="dot"/>
      </w:pPr>
      <w:r>
        <w:tab/>
      </w:r>
      <w:r>
        <w:tab/>
        <w:t>•</w:t>
      </w:r>
      <w:r>
        <w:tab/>
        <w:t xml:space="preserve">Осуществление </w:t>
      </w:r>
      <w:r>
        <w:rPr>
          <w:i/>
        </w:rPr>
        <w:t>Новозеландской стратегии предотвращения насилия в семье «Те Рито»</w:t>
      </w:r>
    </w:p>
    <w:p w:rsidR="00000000" w:rsidRDefault="00000000">
      <w:pPr>
        <w:pStyle w:val="dot"/>
      </w:pPr>
      <w:r>
        <w:tab/>
      </w:r>
      <w:r>
        <w:tab/>
        <w:t>•</w:t>
      </w:r>
      <w:r>
        <w:tab/>
        <w:t>Изменение порядка выдачи разрешения на трудоустройство и порядка п</w:t>
      </w:r>
      <w:r>
        <w:t>о</w:t>
      </w:r>
      <w:r>
        <w:t>лучения виз для женщин, которые пострадали в результате насилия в с</w:t>
      </w:r>
      <w:r>
        <w:t>е</w:t>
      </w:r>
      <w:r>
        <w:t>мье.</w:t>
      </w:r>
    </w:p>
    <w:p w:rsidR="00000000" w:rsidRDefault="00000000">
      <w:pPr>
        <w:pStyle w:val="H1"/>
      </w:pPr>
      <w:r>
        <w:t>Раздел 4</w:t>
      </w:r>
    </w:p>
    <w:p w:rsidR="00000000" w:rsidRDefault="00000000">
      <w:pPr>
        <w:pStyle w:val="H23"/>
      </w:pPr>
      <w:r>
        <w:t>Приложение 1: Мнения женщин</w:t>
      </w:r>
    </w:p>
    <w:p w:rsidR="00000000" w:rsidRDefault="00000000">
      <w:pPr>
        <w:pStyle w:val="SingleTxt"/>
      </w:pPr>
      <w:r>
        <w:t>В этом разделе приводится резюме ключевых тем и вопросов, связанных с опросом общественного мнения относительно доклада КЛДЖ (см. «Методол</w:t>
      </w:r>
      <w:r>
        <w:t>о</w:t>
      </w:r>
      <w:r>
        <w:t>гия», стр. 14-16). В нем излагаются также предложенные женщинами и деву</w:t>
      </w:r>
      <w:r>
        <w:t>ш</w:t>
      </w:r>
      <w:r>
        <w:t>ками меры для р</w:t>
      </w:r>
      <w:r>
        <w:t>е</w:t>
      </w:r>
      <w:r>
        <w:t>шения ключевых вопросов.</w:t>
      </w:r>
    </w:p>
    <w:p w:rsidR="00000000" w:rsidRDefault="00000000">
      <w:pPr>
        <w:pStyle w:val="H23"/>
      </w:pPr>
      <w:r>
        <w:t>Приложение 2: Список групп и лиц, представивших материалы для доклада</w:t>
      </w:r>
    </w:p>
    <w:p w:rsidR="00000000" w:rsidRDefault="00000000">
      <w:pPr>
        <w:pStyle w:val="SingleTxt"/>
      </w:pPr>
      <w:r>
        <w:t>В настоящем приложении приводится список всех групп и лиц, которые представили письменные материалы по проекту доклада КЛДЖ, который был распространен среди общественности на предмет высказывания замечаний в период с 13 декабря 2001 года по 28 февраля 2002 года.</w:t>
      </w:r>
    </w:p>
    <w:p w:rsidR="00000000" w:rsidRDefault="00000000">
      <w:pPr>
        <w:pStyle w:val="H23"/>
      </w:pPr>
      <w:r>
        <w:t>Приложение 3: Базовый документ</w:t>
      </w:r>
    </w:p>
    <w:p w:rsidR="00000000" w:rsidRDefault="00000000">
      <w:pPr>
        <w:pStyle w:val="SingleTxt"/>
      </w:pPr>
      <w:r>
        <w:t xml:space="preserve">В соответствии с </w:t>
      </w:r>
      <w:r>
        <w:rPr>
          <w:i/>
        </w:rPr>
        <w:t>Руководящими принципами подготовки докладов гос</w:t>
      </w:r>
      <w:r>
        <w:rPr>
          <w:i/>
        </w:rPr>
        <w:t>у</w:t>
      </w:r>
      <w:r>
        <w:rPr>
          <w:i/>
        </w:rPr>
        <w:t>дарствами-участниками Организации Объединенных Наций</w:t>
      </w:r>
      <w:r>
        <w:t xml:space="preserve"> базовый документ, содержащий справочную информацию по стране, должен включаться в докл</w:t>
      </w:r>
      <w:r>
        <w:t>а</w:t>
      </w:r>
      <w:r>
        <w:t>ды договорному органу по правам человека. Базовой документ Новой Зеландии был подготовлен министерством иностранных дел и внешней торговли в ко</w:t>
      </w:r>
      <w:r>
        <w:t>н</w:t>
      </w:r>
      <w:r>
        <w:t>сультации с соответствующими правительственными учреждениями и был о</w:t>
      </w:r>
      <w:r>
        <w:t>б</w:t>
      </w:r>
      <w:r>
        <w:t>новлен в августе 2002 года в связи с включением в него данных переписи нас</w:t>
      </w:r>
      <w:r>
        <w:t>е</w:t>
      </w:r>
      <w:r>
        <w:t>ления 2001 года.</w:t>
      </w:r>
    </w:p>
    <w:p w:rsidR="00000000" w:rsidRDefault="00000000">
      <w:pPr>
        <w:pStyle w:val="H23"/>
      </w:pPr>
      <w:r>
        <w:t>Приложение 4:</w:t>
      </w:r>
    </w:p>
    <w:p w:rsidR="00000000" w:rsidRDefault="00000000">
      <w:pPr>
        <w:pStyle w:val="SingleTxt"/>
      </w:pPr>
      <w:r>
        <w:t>В Приложении 4 содержится доклад об осуществлении КЛДЖ Токелау, который был подготовлен Администратором Токелау.</w:t>
      </w:r>
    </w:p>
    <w:p w:rsidR="00000000" w:rsidRDefault="00000000">
      <w:pPr>
        <w:pStyle w:val="H1"/>
      </w:pPr>
      <w:r>
        <w:t>Пекинская декларация и Платформа действий</w:t>
      </w:r>
    </w:p>
    <w:p w:rsidR="00000000" w:rsidRDefault="00000000">
      <w:pPr>
        <w:pStyle w:val="BodyText"/>
        <w:spacing w:line="240" w:lineRule="auto"/>
        <w:ind w:left="1264" w:right="1264"/>
      </w:pPr>
      <w:r>
        <w:t>Во исполнение решений Пекинской конференции 1995 года правительство Новой Зеландии определило шесть ключевых областей для осуществления дальнейших действий по улучшению положения женщин:</w:t>
      </w:r>
    </w:p>
    <w:p w:rsidR="00000000" w:rsidRDefault="00000000">
      <w:pPr>
        <w:pStyle w:val="dot"/>
      </w:pPr>
      <w:r>
        <w:tab/>
      </w:r>
      <w:r>
        <w:tab/>
        <w:t>•</w:t>
      </w:r>
      <w:r>
        <w:tab/>
        <w:t>включение гендерной проблематики во все направления политики и пр</w:t>
      </w:r>
      <w:r>
        <w:t>о</w:t>
      </w:r>
      <w:r>
        <w:t>граммы в области ра</w:t>
      </w:r>
      <w:r>
        <w:t>з</w:t>
      </w:r>
      <w:r>
        <w:t>вития</w:t>
      </w:r>
    </w:p>
    <w:p w:rsidR="00000000" w:rsidRDefault="00000000">
      <w:pPr>
        <w:pStyle w:val="dot"/>
      </w:pPr>
      <w:r>
        <w:tab/>
      </w:r>
      <w:r>
        <w:tab/>
        <w:t>•</w:t>
      </w:r>
      <w:r>
        <w:tab/>
        <w:t>неоплачиваемый труд женщин</w:t>
      </w:r>
    </w:p>
    <w:p w:rsidR="00000000" w:rsidRDefault="00000000">
      <w:pPr>
        <w:pStyle w:val="dot"/>
      </w:pPr>
      <w:r>
        <w:tab/>
      </w:r>
      <w:r>
        <w:tab/>
        <w:t>•</w:t>
      </w:r>
      <w:r>
        <w:tab/>
        <w:t>разрыв в оплате труда мужчин и женщин</w:t>
      </w:r>
    </w:p>
    <w:p w:rsidR="00000000" w:rsidRDefault="00000000">
      <w:pPr>
        <w:pStyle w:val="dot"/>
      </w:pPr>
      <w:r>
        <w:tab/>
      </w:r>
      <w:r>
        <w:tab/>
        <w:t>•</w:t>
      </w:r>
      <w:r>
        <w:tab/>
        <w:t>необходимость более широкого и упорядоченного сбора данных по всем вопросам жизни же</w:t>
      </w:r>
      <w:r>
        <w:t>н</w:t>
      </w:r>
      <w:r>
        <w:t>щин</w:t>
      </w:r>
    </w:p>
    <w:p w:rsidR="00000000" w:rsidRDefault="00000000">
      <w:pPr>
        <w:pStyle w:val="dot"/>
      </w:pPr>
      <w:r>
        <w:tab/>
      </w:r>
      <w:r>
        <w:tab/>
        <w:t>•</w:t>
      </w:r>
      <w:r>
        <w:tab/>
        <w:t xml:space="preserve">содержащиеся в </w:t>
      </w:r>
      <w:r>
        <w:rPr>
          <w:i/>
        </w:rPr>
        <w:t>Платформе</w:t>
      </w:r>
      <w:r>
        <w:t xml:space="preserve"> рекомендации, которые касаются женщин и дев</w:t>
      </w:r>
      <w:r>
        <w:t>у</w:t>
      </w:r>
      <w:r>
        <w:t>шек-маори</w:t>
      </w:r>
    </w:p>
    <w:p w:rsidR="00000000" w:rsidRDefault="00000000">
      <w:pPr>
        <w:pStyle w:val="dot"/>
      </w:pPr>
      <w:r>
        <w:tab/>
      </w:r>
      <w:r>
        <w:tab/>
        <w:t>•</w:t>
      </w:r>
      <w:r>
        <w:tab/>
        <w:t>повышение роли женщин в процессе принятия решений</w:t>
      </w:r>
    </w:p>
    <w:p w:rsidR="00000000" w:rsidRDefault="00000000">
      <w:pPr>
        <w:pStyle w:val="SingleTxt"/>
      </w:pPr>
      <w:r>
        <w:t>В марте 1996 года правительство поручило министерству по делам же</w:t>
      </w:r>
      <w:r>
        <w:t>н</w:t>
      </w:r>
      <w:r>
        <w:t>щин (МДЖ) провести работу с соответствующими правительственными учр</w:t>
      </w:r>
      <w:r>
        <w:t>е</w:t>
      </w:r>
      <w:r>
        <w:t>ждениями и представить доклад о ходе решения этих вопросов и выбранных для этого направлений политики. Министерство дважды представляло кабин</w:t>
      </w:r>
      <w:r>
        <w:t>е</w:t>
      </w:r>
      <w:r>
        <w:t xml:space="preserve">ту министров доклады о ходе осуществления </w:t>
      </w:r>
      <w:r>
        <w:rPr>
          <w:i/>
        </w:rPr>
        <w:t>Пекинской платформы действий</w:t>
      </w:r>
      <w:r>
        <w:t>: в 1996 и 1998 годах.</w:t>
      </w:r>
    </w:p>
    <w:p w:rsidR="00000000" w:rsidRDefault="00000000">
      <w:pPr>
        <w:pStyle w:val="SingleTxt"/>
      </w:pPr>
      <w:r>
        <w:t xml:space="preserve">Новая Зеландия достигла существенного прогресса в деле осуществления </w:t>
      </w:r>
      <w:r>
        <w:rPr>
          <w:i/>
        </w:rPr>
        <w:t>Пекинской платформы действий</w:t>
      </w:r>
      <w:r>
        <w:t xml:space="preserve"> в названных шести ключевых областях, и в программу работы МДЖ были включены соответствующие стратегические ц</w:t>
      </w:r>
      <w:r>
        <w:t>е</w:t>
      </w:r>
      <w:r>
        <w:t xml:space="preserve">ли и мероприятия, предусмотренные </w:t>
      </w:r>
      <w:r>
        <w:rPr>
          <w:i/>
        </w:rPr>
        <w:t>Платформой</w:t>
      </w:r>
      <w:r>
        <w:t>. В этой связи следует отм</w:t>
      </w:r>
      <w:r>
        <w:t>е</w:t>
      </w:r>
      <w:r>
        <w:t>тить следующее:</w:t>
      </w:r>
    </w:p>
    <w:p w:rsidR="00000000" w:rsidRDefault="00000000">
      <w:pPr>
        <w:pStyle w:val="dot"/>
      </w:pPr>
      <w:r>
        <w:tab/>
      </w:r>
      <w:r>
        <w:tab/>
        <w:t>•</w:t>
      </w:r>
      <w:r>
        <w:tab/>
        <w:t>введение в силу требования о том, чтобы все документы, представляемые комитету по вопросам социального равенства кабинета министров вкл</w:t>
      </w:r>
      <w:r>
        <w:t>ю</w:t>
      </w:r>
      <w:r>
        <w:t>чали гендерный анализ и заявление о генде</w:t>
      </w:r>
      <w:r>
        <w:t>р</w:t>
      </w:r>
      <w:r>
        <w:t>ных последствиях</w:t>
      </w:r>
    </w:p>
    <w:p w:rsidR="00000000" w:rsidRDefault="00000000">
      <w:pPr>
        <w:pStyle w:val="dot"/>
      </w:pPr>
      <w:r>
        <w:tab/>
      </w:r>
      <w:r>
        <w:tab/>
        <w:t>•</w:t>
      </w:r>
      <w:r>
        <w:tab/>
        <w:t>осуществление МДЖ и Статистическим управлением Новой Зеландии и</w:t>
      </w:r>
      <w:r>
        <w:t>с</w:t>
      </w:r>
      <w:r>
        <w:t>следования по использованию времени и публикация полученных в ходе этого исслед</w:t>
      </w:r>
      <w:r>
        <w:t>о</w:t>
      </w:r>
      <w:r>
        <w:t>вания результатов</w:t>
      </w:r>
    </w:p>
    <w:p w:rsidR="00000000" w:rsidRDefault="00000000">
      <w:pPr>
        <w:pStyle w:val="dot"/>
      </w:pPr>
      <w:r>
        <w:tab/>
      </w:r>
      <w:r>
        <w:tab/>
        <w:t>•</w:t>
      </w:r>
      <w:r>
        <w:tab/>
        <w:t xml:space="preserve">публикация дискуссионного документа по вопросам равной оплаты труда </w:t>
      </w:r>
      <w:r>
        <w:rPr>
          <w:i/>
        </w:rPr>
        <w:t>«Последующие шаги для достижения равной оплаты труда»</w:t>
      </w:r>
      <w:r>
        <w:t xml:space="preserve"> по результ</w:t>
      </w:r>
      <w:r>
        <w:t>а</w:t>
      </w:r>
      <w:r>
        <w:t>там опроса общественного мнения по истечении периода в пять месяцев, которые заканчиваются 30 ноября 2002 года; министерство будет сотру</w:t>
      </w:r>
      <w:r>
        <w:t>д</w:t>
      </w:r>
      <w:r>
        <w:t>ничать с различными группами женщин, в том числе с женщинами-маори и женщинами тихоокеанских островов, а также с другими правительс</w:t>
      </w:r>
      <w:r>
        <w:t>т</w:t>
      </w:r>
      <w:r>
        <w:t>венными учреждениями в области разработки направлений политики, к</w:t>
      </w:r>
      <w:r>
        <w:t>а</w:t>
      </w:r>
      <w:r>
        <w:t>сающихся равной оплаты труда</w:t>
      </w:r>
    </w:p>
    <w:p w:rsidR="00000000" w:rsidRDefault="00000000">
      <w:pPr>
        <w:pStyle w:val="dot"/>
      </w:pPr>
      <w:r>
        <w:tab/>
      </w:r>
      <w:r>
        <w:tab/>
        <w:t>•</w:t>
      </w:r>
      <w:r>
        <w:tab/>
        <w:t>сбор дезагрегированных данных с разбивкой по полу и этническому пр</w:t>
      </w:r>
      <w:r>
        <w:t>о</w:t>
      </w:r>
      <w:r>
        <w:t>исхождению с целью совершенствования процесса разработки направл</w:t>
      </w:r>
      <w:r>
        <w:t>е</w:t>
      </w:r>
      <w:r>
        <w:t>ний политики по улучшению положения же</w:t>
      </w:r>
      <w:r>
        <w:t>н</w:t>
      </w:r>
      <w:r>
        <w:t xml:space="preserve">щин, в том числе женщин-маори и женщин тихоокеанских островов. На основе этих данных в 2001 году МДЖ опубликовало документ под названием </w:t>
      </w:r>
      <w:r>
        <w:rPr>
          <w:i/>
        </w:rPr>
        <w:t>«Женщины-маори: выявление н</w:t>
      </w:r>
      <w:r>
        <w:rPr>
          <w:i/>
        </w:rPr>
        <w:t>е</w:t>
      </w:r>
      <w:r>
        <w:rPr>
          <w:i/>
        </w:rPr>
        <w:t>равенства и рекомендуемые пути их устранения»</w:t>
      </w:r>
    </w:p>
    <w:p w:rsidR="00000000" w:rsidRDefault="00000000">
      <w:pPr>
        <w:pStyle w:val="dot"/>
      </w:pPr>
      <w:r>
        <w:tab/>
      </w:r>
      <w:r>
        <w:tab/>
        <w:t>•</w:t>
      </w:r>
      <w:r>
        <w:tab/>
        <w:t>реструктуризация и обновление базы данных службы по назначениям и обеспечение доступа к ней, а также принятие других мер по расширению участия женщин в деятельности законодател</w:t>
      </w:r>
      <w:r>
        <w:t>ь</w:t>
      </w:r>
      <w:r>
        <w:t>ных советов и комитетов.</w:t>
      </w:r>
    </w:p>
    <w:p w:rsidR="00000000" w:rsidRDefault="00000000">
      <w:pPr>
        <w:pStyle w:val="SingleTxt"/>
      </w:pPr>
      <w:r>
        <w:tab/>
        <w:t>Кроме того, значительный прогресс был достигнут в реализации ряда стратегич</w:t>
      </w:r>
      <w:r>
        <w:t>е</w:t>
      </w:r>
      <w:r>
        <w:t xml:space="preserve">ских задач </w:t>
      </w:r>
      <w:r>
        <w:rPr>
          <w:i/>
        </w:rPr>
        <w:t>Пекинской платформы действий</w:t>
      </w:r>
      <w:r>
        <w:t>, а именно:</w:t>
      </w:r>
    </w:p>
    <w:p w:rsidR="00000000" w:rsidRDefault="00000000">
      <w:pPr>
        <w:pStyle w:val="dot"/>
      </w:pPr>
      <w:r>
        <w:tab/>
      </w:r>
      <w:r>
        <w:tab/>
        <w:t>•</w:t>
      </w:r>
      <w:r>
        <w:tab/>
        <w:t>оценка действенности Закона1995 года о насилии в семье</w:t>
      </w:r>
    </w:p>
    <w:p w:rsidR="00000000" w:rsidRDefault="00000000">
      <w:pPr>
        <w:pStyle w:val="dot"/>
      </w:pPr>
      <w:r>
        <w:tab/>
      </w:r>
      <w:r>
        <w:tab/>
        <w:t>•</w:t>
      </w:r>
      <w:r>
        <w:tab/>
        <w:t xml:space="preserve">осуществление </w:t>
      </w:r>
      <w:r>
        <w:rPr>
          <w:i/>
        </w:rPr>
        <w:t>Новозеландской стратегии предотвращения насилия в семье «Те Рито»</w:t>
      </w:r>
    </w:p>
    <w:p w:rsidR="00000000" w:rsidRDefault="00000000">
      <w:pPr>
        <w:pStyle w:val="dot"/>
      </w:pPr>
      <w:r>
        <w:tab/>
      </w:r>
      <w:r>
        <w:tab/>
        <w:t>•</w:t>
      </w:r>
      <w:r>
        <w:tab/>
        <w:t>разработка стратегии охраны здоровья женщин, стратегии репродуктивн</w:t>
      </w:r>
      <w:r>
        <w:t>о</w:t>
      </w:r>
      <w:r>
        <w:t>го здоровья и половой гигиены, стратегии кормления грудью и основы правильного ухода за детьми</w:t>
      </w:r>
    </w:p>
    <w:p w:rsidR="00000000" w:rsidRDefault="00000000">
      <w:pPr>
        <w:pStyle w:val="dot"/>
      </w:pPr>
      <w:r>
        <w:tab/>
      </w:r>
      <w:r>
        <w:tab/>
        <w:t>•</w:t>
      </w:r>
      <w:r>
        <w:tab/>
        <w:t>введение в действие Закона 2001 года о внесении поправок в Закон о пр</w:t>
      </w:r>
      <w:r>
        <w:t>а</w:t>
      </w:r>
      <w:r>
        <w:t>вах человека</w:t>
      </w:r>
    </w:p>
    <w:p w:rsidR="00000000" w:rsidRDefault="00000000">
      <w:pPr>
        <w:pStyle w:val="dot"/>
      </w:pPr>
      <w:r>
        <w:tab/>
      </w:r>
      <w:r>
        <w:tab/>
        <w:t>•</w:t>
      </w:r>
      <w:r>
        <w:tab/>
        <w:t>замена Закона1991 года о трудовых договорах Законом 2000 года об о</w:t>
      </w:r>
      <w:r>
        <w:t>т</w:t>
      </w:r>
      <w:r>
        <w:t>ношениях в сфере зан</w:t>
      </w:r>
      <w:r>
        <w:t>я</w:t>
      </w:r>
      <w:r>
        <w:t>тости</w:t>
      </w:r>
    </w:p>
    <w:p w:rsidR="00000000" w:rsidRDefault="00000000">
      <w:pPr>
        <w:pStyle w:val="dot"/>
      </w:pPr>
      <w:r>
        <w:tab/>
      </w:r>
      <w:r>
        <w:tab/>
        <w:t>•</w:t>
      </w:r>
      <w:r>
        <w:tab/>
        <w:t>введение в действие системы оплачиваемого отпуска по уходу за детьми</w:t>
      </w:r>
    </w:p>
    <w:p w:rsidR="00000000" w:rsidRDefault="00000000">
      <w:pPr>
        <w:pStyle w:val="dot"/>
      </w:pPr>
      <w:r>
        <w:tab/>
      </w:r>
      <w:r>
        <w:tab/>
        <w:t>•</w:t>
      </w:r>
      <w:r>
        <w:tab/>
        <w:t>учреждение должности Комиссара по вопросам равных возможностей в области трудоус</w:t>
      </w:r>
      <w:r>
        <w:t>т</w:t>
      </w:r>
      <w:r>
        <w:t>ройства.</w:t>
      </w:r>
    </w:p>
    <w:p w:rsidR="00000000" w:rsidRDefault="00000000">
      <w:pPr>
        <w:pStyle w:val="dot"/>
      </w:pPr>
      <w:r>
        <w:tab/>
      </w:r>
      <w:r>
        <w:tab/>
        <w:t>•</w:t>
      </w:r>
      <w:r>
        <w:tab/>
        <w:t>Ознакомиться с этими инициативами более подробно можно в соответс</w:t>
      </w:r>
      <w:r>
        <w:t>т</w:t>
      </w:r>
      <w:r>
        <w:t>вующих разделах н</w:t>
      </w:r>
      <w:r>
        <w:t>а</w:t>
      </w:r>
      <w:r>
        <w:t>стоящего доклада, посвященных конкретным статьям.</w:t>
      </w:r>
    </w:p>
    <w:p w:rsidR="00000000" w:rsidRDefault="00000000">
      <w:pPr>
        <w:pStyle w:val="H23"/>
      </w:pPr>
      <w:r>
        <w:t>Обзор Пекин + 5</w:t>
      </w:r>
    </w:p>
    <w:p w:rsidR="00000000" w:rsidRDefault="00000000">
      <w:pPr>
        <w:pStyle w:val="SingleTxt"/>
      </w:pPr>
      <w:r>
        <w:t>После проведения специальной сессии Генеральной Ассамблеи Организ</w:t>
      </w:r>
      <w:r>
        <w:t>а</w:t>
      </w:r>
      <w:r>
        <w:t>ции Объединенных Наций «Женщины в 2000 году: равенство между мужчин</w:t>
      </w:r>
      <w:r>
        <w:t>а</w:t>
      </w:r>
      <w:r>
        <w:t>ми и женщинами, развитие и мир в XXI веке» МДЖ организовало брифинги для групп женщин в Веллингтоне и Окленде, на которых женщины этих гор</w:t>
      </w:r>
      <w:r>
        <w:t>о</w:t>
      </w:r>
      <w:r>
        <w:t>дов могли задавать вопросы и заслушать доклады выступающих. Кроме того, министерство опубликовало доклад по материалам этой конференции, в том числе выступления делегатов.</w:t>
      </w:r>
    </w:p>
    <w:p w:rsidR="00000000" w:rsidRDefault="00000000">
      <w:pPr>
        <w:pStyle w:val="HCh"/>
        <w:pageBreakBefore/>
        <w:spacing w:before="0"/>
      </w:pPr>
      <w:bookmarkStart w:id="7" w:name="_Toc30302872"/>
      <w:r>
        <w:t>Методология</w:t>
      </w:r>
      <w:bookmarkEnd w:id="7"/>
    </w:p>
    <w:p w:rsidR="00000000" w:rsidRDefault="00000000">
      <w:pPr>
        <w:pStyle w:val="H1"/>
      </w:pPr>
      <w:r>
        <w:t>Введение</w:t>
      </w:r>
    </w:p>
    <w:p w:rsidR="00000000" w:rsidRDefault="00000000">
      <w:pPr>
        <w:pStyle w:val="SingleTxt"/>
      </w:pPr>
      <w:r>
        <w:t>Новая Зеландия ратифицировала КЛДЖ в январе 1985 года. Комитет по ликвидации дискриминации в отношении женщин рассмотрел наш первый доклад в феврале 1988 года. Настоящий документ – это пятый доклад Комитету об осуществлении КЛДЖ Новой Зеландией. Формально он охватывает период с марта 1998 года по февраль 2002 года, однако содержащаяся в нем информация приводится по состо</w:t>
      </w:r>
      <w:r>
        <w:t>я</w:t>
      </w:r>
      <w:r>
        <w:t>нию на 1 сентября 2002 года.</w:t>
      </w:r>
    </w:p>
    <w:p w:rsidR="00000000" w:rsidRDefault="00000000">
      <w:pPr>
        <w:pStyle w:val="SingleTxt"/>
      </w:pPr>
      <w:r>
        <w:t>При подготовке настоящего доклада Новая Зеландия принимала во вн</w:t>
      </w:r>
      <w:r>
        <w:t>и</w:t>
      </w:r>
      <w:r>
        <w:t>мание свой предыдущий доклад (1998 года), и результаты рассмотрения этого доклада Комитетом, а также руководящие указания Комитета в отношении по</w:t>
      </w:r>
      <w:r>
        <w:t>д</w:t>
      </w:r>
      <w:r>
        <w:t>готовки периодических докладов.</w:t>
      </w:r>
    </w:p>
    <w:p w:rsidR="00000000" w:rsidRDefault="00000000">
      <w:pPr>
        <w:pStyle w:val="SingleTxt"/>
      </w:pPr>
      <w:r>
        <w:t>В данном разделе подробно излагается методология, использованная м</w:t>
      </w:r>
      <w:r>
        <w:t>и</w:t>
      </w:r>
      <w:r>
        <w:t>нистерством по делам женщин (МДЖ), которое было уполномочено правител</w:t>
      </w:r>
      <w:r>
        <w:t>ь</w:t>
      </w:r>
      <w:r>
        <w:t>ством Новой Зеландии координировать подготовку своего пятого доклада по КЛЖД. Особое внимание будет уделено процессу консультаций, поскольку он значительно отличается от процесса, о котором сообщалось в предыдущих докладах.</w:t>
      </w:r>
    </w:p>
    <w:p w:rsidR="00000000" w:rsidRDefault="00000000">
      <w:pPr>
        <w:pStyle w:val="H1"/>
      </w:pPr>
      <w:r>
        <w:t>Информация</w:t>
      </w:r>
    </w:p>
    <w:p w:rsidR="00000000" w:rsidRDefault="00000000">
      <w:pPr>
        <w:pStyle w:val="SingleTxt"/>
      </w:pPr>
      <w:r>
        <w:t>В составлении настоящего доклада свой вклад в рамках процесса консул</w:t>
      </w:r>
      <w:r>
        <w:t>ь</w:t>
      </w:r>
      <w:r>
        <w:t>таций внесли правительственные учреждения, в том числе МДЖ, а также ра</w:t>
      </w:r>
      <w:r>
        <w:t>з</w:t>
      </w:r>
      <w:r>
        <w:t>личные группы женщин и девушек. Статистические данные в докладе, каса</w:t>
      </w:r>
      <w:r>
        <w:t>ю</w:t>
      </w:r>
      <w:r>
        <w:t>щиеся женщин, основаны преимущественно на результатах переписи насел</w:t>
      </w:r>
      <w:r>
        <w:t>е</w:t>
      </w:r>
      <w:r>
        <w:t>ния 2001 года.</w:t>
      </w:r>
    </w:p>
    <w:p w:rsidR="00000000" w:rsidRDefault="00000000">
      <w:pPr>
        <w:pStyle w:val="H1"/>
      </w:pPr>
      <w:r>
        <w:t>Консультации</w:t>
      </w:r>
    </w:p>
    <w:p w:rsidR="00000000" w:rsidRDefault="00000000">
      <w:pPr>
        <w:pStyle w:val="H23"/>
        <w:spacing w:before="120"/>
      </w:pPr>
      <w:r>
        <w:t>Этап 1</w:t>
      </w:r>
    </w:p>
    <w:p w:rsidR="00000000" w:rsidRDefault="00000000">
      <w:pPr>
        <w:pStyle w:val="SingleTxt"/>
      </w:pPr>
      <w:r>
        <w:t>МДЖ в порядке подготовки к консультациям с общественностью по пр</w:t>
      </w:r>
      <w:r>
        <w:t>о</w:t>
      </w:r>
      <w:r>
        <w:t>екту доклада КЛДЖ провело 22 региональных рабочих совещаний в самых различных районах Новой Зеландии</w:t>
      </w:r>
      <w:r>
        <w:rPr>
          <w:rStyle w:val="FootnoteReference"/>
        </w:rPr>
        <w:footnoteReference w:id="2"/>
      </w:r>
      <w:r>
        <w:t>. Место для проведения этих рабочих с</w:t>
      </w:r>
      <w:r>
        <w:t>о</w:t>
      </w:r>
      <w:r>
        <w:t>вещания выбиралось таким образом, чтобы дополнить усилия по проведению консультаций Национального совета женщин и Лиги за улучшение положения женщин-маори на предмет подготовки альтернативных докладов. Эти рабочие с</w:t>
      </w:r>
      <w:r>
        <w:t>о</w:t>
      </w:r>
      <w:r>
        <w:t>вещания преследовали следующие цели:</w:t>
      </w:r>
    </w:p>
    <w:p w:rsidR="00000000" w:rsidRDefault="00000000">
      <w:pPr>
        <w:pStyle w:val="dot"/>
      </w:pPr>
      <w:r>
        <w:tab/>
      </w:r>
      <w:r>
        <w:tab/>
        <w:t>•</w:t>
      </w:r>
      <w:r>
        <w:tab/>
        <w:t>информировать женщин и девушек, неправительственные организации (НПО) и заинтересованные стороны о содержании КЛДЖ и процессе представления докладов правительствами</w:t>
      </w:r>
    </w:p>
    <w:p w:rsidR="00000000" w:rsidRDefault="00000000">
      <w:pPr>
        <w:pStyle w:val="dot"/>
      </w:pPr>
      <w:r>
        <w:tab/>
      </w:r>
      <w:r>
        <w:tab/>
        <w:t>•</w:t>
      </w:r>
      <w:r>
        <w:tab/>
        <w:t>стимулировать предварительное обсуждение и анализ прогресса Новой Зеландии в деле осуществл</w:t>
      </w:r>
      <w:r>
        <w:t>е</w:t>
      </w:r>
      <w:r>
        <w:t>ния КЛДЖ.</w:t>
      </w:r>
    </w:p>
    <w:p w:rsidR="00000000" w:rsidRDefault="00000000">
      <w:pPr>
        <w:pStyle w:val="SingleTxt"/>
      </w:pPr>
      <w:r>
        <w:t>Было проведено восемь рабочих совещаний, которые были конкретно ориентированы на молодых женщин и девушек. Кроме того, в Окленде и Ве</w:t>
      </w:r>
      <w:r>
        <w:t>л</w:t>
      </w:r>
      <w:r>
        <w:t>лингтоне были организованы два брифинга для НПО, с тем чтобы информир</w:t>
      </w:r>
      <w:r>
        <w:t>о</w:t>
      </w:r>
      <w:r>
        <w:t>вать их о процедуре представления докладов правительствами.</w:t>
      </w:r>
    </w:p>
    <w:p w:rsidR="00000000" w:rsidRDefault="00000000">
      <w:pPr>
        <w:pStyle w:val="SingleTxt"/>
      </w:pPr>
      <w:r>
        <w:t>Чтобы охватить широкий круг вопросов, связанных с КЛДЖ, рабочие с</w:t>
      </w:r>
      <w:r>
        <w:t>о</w:t>
      </w:r>
      <w:r>
        <w:t>вещания проводились по целевым группам. Особое внимание уделялось же</w:t>
      </w:r>
      <w:r>
        <w:t>н</w:t>
      </w:r>
      <w:r>
        <w:t>щинам-маори, женщинами тихоокеанских островов, сельским женщинам, женщинам-мигрантам и женщинам-беженкам, женщинам-инвалидам, прест</w:t>
      </w:r>
      <w:r>
        <w:t>а</w:t>
      </w:r>
      <w:r>
        <w:t>релым женщинам, матерям и женщинам, занимающимся как оплачиваемой, так и неоплачиваемой работой, женщинам-предпринимателям, женщинам, зан</w:t>
      </w:r>
      <w:r>
        <w:t>и</w:t>
      </w:r>
      <w:r>
        <w:t>мающимся искусством, спортом, а также социал</w:t>
      </w:r>
      <w:r>
        <w:t>ь</w:t>
      </w:r>
      <w:r>
        <w:t>но-экономическим вопросам.</w:t>
      </w:r>
    </w:p>
    <w:p w:rsidR="00000000" w:rsidRDefault="00000000">
      <w:pPr>
        <w:pStyle w:val="SingleTxt"/>
      </w:pPr>
      <w:r>
        <w:t>Материалы этих региональных рабочих совещаний были распространены среди принимавших в них участие НПО, правительственных учреждений и з</w:t>
      </w:r>
      <w:r>
        <w:t>а</w:t>
      </w:r>
      <w:r>
        <w:t xml:space="preserve">интересованных сторон. </w:t>
      </w:r>
    </w:p>
    <w:p w:rsidR="00000000" w:rsidRDefault="00000000">
      <w:pPr>
        <w:pStyle w:val="SingleTxt"/>
      </w:pPr>
      <w:r>
        <w:t>На каждом рабочем совещании распространялись подборки материалов о КЛДЖ и процессе представления докладов. Эти подборки распространялись также среди широкой общественности. В подборку этих материалов был вкл</w:t>
      </w:r>
      <w:r>
        <w:t>ю</w:t>
      </w:r>
      <w:r>
        <w:t>чен вопросник, ответив на который, общественность могла внести свой вклад в с</w:t>
      </w:r>
      <w:r>
        <w:t>о</w:t>
      </w:r>
      <w:r>
        <w:t>ставление доклада.</w:t>
      </w:r>
    </w:p>
    <w:p w:rsidR="00000000" w:rsidRDefault="00000000">
      <w:pPr>
        <w:pStyle w:val="SingleTxt"/>
      </w:pPr>
      <w:r>
        <w:t>С 13 декабря 2001 года по 28 февраля 2002 года проект доклада широко распространялся среди общественности на предмет вынесения замечаний, в частности среди женщин и девушек, принимавших участие в региональных р</w:t>
      </w:r>
      <w:r>
        <w:t>а</w:t>
      </w:r>
      <w:r>
        <w:t>бочих совещаниях, НПО и правительственных учреждений. Проект доклада был размещен также на веб-сайте МДЖ (</w:t>
      </w:r>
      <w:hyperlink r:id="rId14" w:history="1">
        <w:r>
          <w:rPr>
            <w:rStyle w:val="Hyperlink"/>
          </w:rPr>
          <w:t>www.mwa.govt.nz)</w:t>
        </w:r>
      </w:hyperlink>
      <w:r>
        <w:t>, и распространялся по просьбе также в виде печатного издания. Было распространено приблиз</w:t>
      </w:r>
      <w:r>
        <w:t>и</w:t>
      </w:r>
      <w:r>
        <w:t>тел</w:t>
      </w:r>
      <w:r>
        <w:t>ь</w:t>
      </w:r>
      <w:r>
        <w:t>но 900 экземпляров печатных изданий.</w:t>
      </w:r>
    </w:p>
    <w:p w:rsidR="00000000" w:rsidRDefault="00000000">
      <w:pPr>
        <w:pStyle w:val="SingleTxt"/>
      </w:pPr>
      <w:r>
        <w:t>Были получены тридцать семь замечаний от национальных и местных о</w:t>
      </w:r>
      <w:r>
        <w:t>р</w:t>
      </w:r>
      <w:r>
        <w:t>ганизаций и отдельных лиц (см. Добавление 2), а также тридцать пять запо</w:t>
      </w:r>
      <w:r>
        <w:t>л</w:t>
      </w:r>
      <w:r>
        <w:t>ненных вопросников. Исчерпывающее резюме замечаний общественности по проекту доклада было распространено среди соответствующих должностных лиц на предмет вынесения своих замечаний и заполнения пробелов в информ</w:t>
      </w:r>
      <w:r>
        <w:t>а</w:t>
      </w:r>
      <w:r>
        <w:t xml:space="preserve">ции. </w:t>
      </w:r>
      <w:r>
        <w:rPr>
          <w:caps/>
        </w:rPr>
        <w:t>р</w:t>
      </w:r>
      <w:r>
        <w:t>езюме замечаний общественности, как критических, так и положител</w:t>
      </w:r>
      <w:r>
        <w:t>ь</w:t>
      </w:r>
      <w:r>
        <w:t>ных было направлено всем участникам составления доклада. Это резюме мо</w:t>
      </w:r>
      <w:r>
        <w:t>ж</w:t>
      </w:r>
      <w:r>
        <w:t>но было получить по просьбе.</w:t>
      </w:r>
    </w:p>
    <w:p w:rsidR="00000000" w:rsidRDefault="00000000">
      <w:pPr>
        <w:pStyle w:val="SingleTxt"/>
      </w:pPr>
      <w:r>
        <w:t>В мае 2002 года представители МДЖ встретились с представителями НПО, с тем чтобы в рабочем порядке обсудить ключевые вопросы и способы содейс</w:t>
      </w:r>
      <w:r>
        <w:t>т</w:t>
      </w:r>
      <w:r>
        <w:t>вия завершению работы над пятым докладом по КЛДЖ.</w:t>
      </w:r>
    </w:p>
    <w:p w:rsidR="00000000" w:rsidRDefault="00000000">
      <w:pPr>
        <w:pStyle w:val="SingleTxt"/>
      </w:pPr>
      <w:r>
        <w:t>В настоящем докладе содержится информация, полученная из всех н</w:t>
      </w:r>
      <w:r>
        <w:t>а</w:t>
      </w:r>
      <w:r>
        <w:t>званных выше источников, и в нем отражены также замечания, вопросы и ко</w:t>
      </w:r>
      <w:r>
        <w:t>м</w:t>
      </w:r>
      <w:r>
        <w:t>ментарии, собранные в процессе консультаций. Резюме замечаний обществе</w:t>
      </w:r>
      <w:r>
        <w:t>н</w:t>
      </w:r>
      <w:r>
        <w:t>ности с</w:t>
      </w:r>
      <w:r>
        <w:t>о</w:t>
      </w:r>
      <w:r>
        <w:t>держится в разделе "Мнения женщин" (Добавление 1).</w:t>
      </w:r>
    </w:p>
    <w:p w:rsidR="00000000" w:rsidRDefault="00000000">
      <w:pPr>
        <w:pStyle w:val="SingleTxt"/>
      </w:pPr>
      <w:r>
        <w:t>Снять все озабоченности, возникшие в ходе консультаций с общественн</w:t>
      </w:r>
      <w:r>
        <w:t>о</w:t>
      </w:r>
      <w:r>
        <w:t>стью, не удалось. Однако в настоящем докладе изложен широкий круг самых актуальных вопросов, затрагивающих положение женщин в Новой Зеландии, с тем чтобы новозеландцы сообща решали эти вопросы.</w:t>
      </w:r>
    </w:p>
    <w:p w:rsidR="00000000" w:rsidRDefault="00000000">
      <w:pPr>
        <w:pStyle w:val="SingleTxt"/>
      </w:pPr>
      <w:r>
        <w:t>Процесс подготовки настоящего доклада освещался в соответствующих докладах, которые распространялись среди НПО, правительственных учрежд</w:t>
      </w:r>
      <w:r>
        <w:t>е</w:t>
      </w:r>
      <w:r>
        <w:t>ний и заинтересованных сторон, с тем чтобы они были в курсе этого процесса и располагали информацией о том, какой конструктивный вклад они могли бы вн</w:t>
      </w:r>
      <w:r>
        <w:t>е</w:t>
      </w:r>
      <w:r>
        <w:t>сти в этот процесс. Эти доклады размещались также на веб-сайте МДЖ.</w:t>
      </w:r>
    </w:p>
    <w:p w:rsidR="00000000" w:rsidRDefault="00000000">
      <w:pPr>
        <w:pStyle w:val="H1"/>
      </w:pPr>
      <w:r>
        <w:t>Острова Кука, Ниуэ и Токелау</w:t>
      </w:r>
    </w:p>
    <w:p w:rsidR="00000000" w:rsidRDefault="00000000">
      <w:pPr>
        <w:pStyle w:val="SingleTxt"/>
      </w:pPr>
      <w:r>
        <w:t>Новая Зеландия ратифицировала КЛДЖ для применения в том числе на Островах Кука, Ниуэ и Токелау. Острова Кука и Ниуэ являются самостоятел</w:t>
      </w:r>
      <w:r>
        <w:t>ь</w:t>
      </w:r>
      <w:r>
        <w:t>ными государствами, добровольно входящими в состав Новой Зеландии. Обл</w:t>
      </w:r>
      <w:r>
        <w:t>а</w:t>
      </w:r>
      <w:r>
        <w:t>дая таким статусом, Острова Кука и Ниуэ подготавливают свои собственные доклады для международных органов по правам человека. Как в отчетный п</w:t>
      </w:r>
      <w:r>
        <w:t>е</w:t>
      </w:r>
      <w:r>
        <w:t>риод, так и сравнительно недавно, Новая Зеландия обратила внимание прав</w:t>
      </w:r>
      <w:r>
        <w:t>и</w:t>
      </w:r>
      <w:r>
        <w:t>тельств Островов Кука и Ниуэ на их обязательство представлять доклады по Конвенции и заявила о своей готовности оказать техническую помощь в этой связи. Доклад Токелау приводится в Добавл</w:t>
      </w:r>
      <w:r>
        <w:t>е</w:t>
      </w:r>
      <w:r>
        <w:t>нии 4.</w:t>
      </w:r>
    </w:p>
    <w:p w:rsidR="00000000" w:rsidRDefault="00000000">
      <w:pPr>
        <w:pStyle w:val="SingleTxt"/>
      </w:pPr>
      <w:r>
        <w:t>В феврале 2001 года Новая Зеландия совместно с Отделом Организации Объединенных Наций по улучшению положения женщин провела регионал</w:t>
      </w:r>
      <w:r>
        <w:t>ь</w:t>
      </w:r>
      <w:r>
        <w:t>ный учебный семинар-практикум для должностных лиц и представителей НПО стран тихоокеанских островов. Цель этого семинара-практикума заключалась в оказании помощи в создании потенциалов для выполнения обязательств по представлению докладов согласно положениям Конвенции, а также в оказании содействия тем государствам, которые не являются участниками Конвенции, в представлении общей информации, предусмотренной Конвенцией. В работе этого семинара-практикума принимали участие представители Островов Кука и Ниуэ. В рамках программы оказания двусторонней помощи в целях развития Новая Зеландия оказала содействие Ниуэ в оценке законодательства Ниуэ на предмет его соответствия положениям Конвенции. В рамках финансируемой Новой Зеландией программы по гендерной проблематике и вопросам развития для Островов Кука особое место занимают мероприятия, связанные с коорд</w:t>
      </w:r>
      <w:r>
        <w:t>и</w:t>
      </w:r>
      <w:r>
        <w:t>нацией процесса составления доклада по КЛДЖ Островами К</w:t>
      </w:r>
      <w:r>
        <w:t>у</w:t>
      </w:r>
      <w:r>
        <w:t>ка.</w:t>
      </w:r>
    </w:p>
    <w:p w:rsidR="00000000" w:rsidRDefault="00000000">
      <w:pPr>
        <w:pStyle w:val="HCh"/>
        <w:pageBreakBefore/>
        <w:spacing w:before="0"/>
      </w:pPr>
      <w:bookmarkStart w:id="8" w:name="_Toc30302873"/>
      <w:r>
        <w:t>Ответы правительства Новой Зеландии на заключительные замечания комитета по ликвидации дискриминации в отношении женщин</w:t>
      </w:r>
      <w:bookmarkEnd w:id="8"/>
    </w:p>
    <w:p w:rsidR="00000000" w:rsidRDefault="00000000">
      <w:pPr>
        <w:pStyle w:val="H1"/>
      </w:pPr>
      <w:r>
        <w:t>Введение</w:t>
      </w:r>
    </w:p>
    <w:p w:rsidR="00000000" w:rsidRDefault="00000000">
      <w:pPr>
        <w:pStyle w:val="BodyText"/>
        <w:spacing w:line="240" w:lineRule="auto"/>
        <w:ind w:left="1264" w:right="1264"/>
      </w:pPr>
      <w:r>
        <w:t>В настоящем разделе доклада приводятся заключительные замечания Комитета в о</w:t>
      </w:r>
      <w:r>
        <w:t>т</w:t>
      </w:r>
      <w:r>
        <w:t>ношении сводного третьего и четвертого периодических докладов Новой Зеландии, представленному в 1998 году, и сообщается о мерах, принятых правительством Н</w:t>
      </w:r>
      <w:r>
        <w:t>о</w:t>
      </w:r>
      <w:r>
        <w:t>вой Зеландии в ответ на эти замечания. Озабоченности Комитета выделены курс</w:t>
      </w:r>
      <w:r>
        <w:t>и</w:t>
      </w:r>
      <w:r>
        <w:t>вом, а ответы правительства приводятся обычным текстом.</w:t>
      </w:r>
    </w:p>
    <w:p w:rsidR="00000000" w:rsidRDefault="00000000">
      <w:pPr>
        <w:pStyle w:val="H1"/>
      </w:pPr>
      <w:r>
        <w:t>Оговорки</w:t>
      </w:r>
    </w:p>
    <w:p w:rsidR="00000000" w:rsidRDefault="00000000">
      <w:pPr>
        <w:pStyle w:val="SingleTxt"/>
        <w:ind w:left="1740" w:hanging="476"/>
        <w:rPr>
          <w:i/>
        </w:rPr>
      </w:pPr>
      <w:r>
        <w:rPr>
          <w:i/>
        </w:rPr>
        <w:tab/>
      </w:r>
      <w:r>
        <w:rPr>
          <w:i/>
        </w:rPr>
        <w:tab/>
        <w:t>Комитет с беспокойством отмечает сохранение оговорок к Конвенции, в частности в отношении оплачиваемого отпуска по беременности и р</w:t>
      </w:r>
      <w:r>
        <w:rPr>
          <w:i/>
        </w:rPr>
        <w:t>о</w:t>
      </w:r>
      <w:r>
        <w:rPr>
          <w:i/>
        </w:rPr>
        <w:t>дам и привлечения женщин на воинскую службу.</w:t>
      </w:r>
    </w:p>
    <w:p w:rsidR="00000000" w:rsidRDefault="00000000">
      <w:pPr>
        <w:pStyle w:val="SingleTxt"/>
      </w:pPr>
      <w:r>
        <w:t>В отчетный период Новая Зеландия сохраняла за собой оговорки к Ко</w:t>
      </w:r>
      <w:r>
        <w:t>н</w:t>
      </w:r>
      <w:r>
        <w:t>венции. Эти оговорки касаются женщин, находящихся на воинской службе, и оплачиваемого отпуска по беременности и родам. Однако в июле 2002 года б</w:t>
      </w:r>
      <w:r>
        <w:t>ы</w:t>
      </w:r>
      <w:r>
        <w:t>ло введено в действие законоположение об оплачиваемом отпуске по уходу за детьми (см. Статья 11: Занятость, стр. 113).</w:t>
      </w:r>
    </w:p>
    <w:p w:rsidR="00000000" w:rsidRDefault="00000000">
      <w:pPr>
        <w:pStyle w:val="SingleTxt"/>
      </w:pPr>
      <w:r>
        <w:t>Кроме того, прилагались усилия по расширению возможностей продв</w:t>
      </w:r>
      <w:r>
        <w:t>и</w:t>
      </w:r>
      <w:r>
        <w:t>жения женщин по службе в вооруженных силах Новой Зеландии. Военносл</w:t>
      </w:r>
      <w:r>
        <w:t>у</w:t>
      </w:r>
      <w:r>
        <w:t>жащие из числа женщин могут быть зачислены в любой из родов войск и им</w:t>
      </w:r>
      <w:r>
        <w:t>е</w:t>
      </w:r>
      <w:r>
        <w:t>ют право проходить отбор и военную подготовку в таких войсках. В настоящее время женщины могут быть зачислены в боевые и другие оперативные подра</w:t>
      </w:r>
      <w:r>
        <w:t>з</w:t>
      </w:r>
      <w:r>
        <w:t>деления (см. Статья 11: Зан</w:t>
      </w:r>
      <w:r>
        <w:t>я</w:t>
      </w:r>
      <w:r>
        <w:t>тость, стр. 105).</w:t>
      </w:r>
    </w:p>
    <w:p w:rsidR="00000000" w:rsidRDefault="00000000">
      <w:pPr>
        <w:pStyle w:val="SingleTxt"/>
      </w:pPr>
      <w:r>
        <w:t>В настоящее время возможность снятия этих оговорок рассматривается.</w:t>
      </w:r>
    </w:p>
    <w:p w:rsidR="00000000" w:rsidRDefault="00000000">
      <w:pPr>
        <w:pStyle w:val="H1"/>
      </w:pPr>
      <w:r>
        <w:t>Рынок рабочей силы</w:t>
      </w:r>
    </w:p>
    <w:p w:rsidR="00000000" w:rsidRDefault="00000000">
      <w:pPr>
        <w:pStyle w:val="SingleTxt"/>
        <w:ind w:left="1740" w:hanging="476"/>
        <w:rPr>
          <w:i/>
        </w:rPr>
      </w:pPr>
      <w:r>
        <w:rPr>
          <w:i/>
        </w:rPr>
        <w:tab/>
      </w:r>
      <w:r>
        <w:rPr>
          <w:i/>
        </w:rPr>
        <w:tab/>
        <w:t>Комитет считает, что существующая законодательная и фактическая основа для участия женщин в организованном рынке труда, включая ра</w:t>
      </w:r>
      <w:r>
        <w:rPr>
          <w:i/>
        </w:rPr>
        <w:t>в</w:t>
      </w:r>
      <w:r>
        <w:rPr>
          <w:i/>
        </w:rPr>
        <w:t>ную оплату труда, договоры найма и семейные обязанности женщин, создает серьезное препятствие на пути полного осуществления Конве</w:t>
      </w:r>
      <w:r>
        <w:rPr>
          <w:i/>
        </w:rPr>
        <w:t>н</w:t>
      </w:r>
      <w:r>
        <w:rPr>
          <w:i/>
        </w:rPr>
        <w:t>ции.</w:t>
      </w:r>
    </w:p>
    <w:p w:rsidR="00000000" w:rsidRDefault="00000000">
      <w:pPr>
        <w:pStyle w:val="SingleTxt"/>
      </w:pPr>
      <w:r>
        <w:t>Закон 2000 года об отношениях в сфере занятости (ЗОЗ) заменил Закон о трудовых договорах 1991 года и служит законодательной основой для регл</w:t>
      </w:r>
      <w:r>
        <w:t>а</w:t>
      </w:r>
      <w:r>
        <w:t>ментации отношений между работодателями и работниками. В нем признается факт неравенства между работодателями и работниками, поощряется заключ</w:t>
      </w:r>
      <w:r>
        <w:t>е</w:t>
      </w:r>
      <w:r>
        <w:t>ние коллективных договоров при условии защиты свободы индивидуального выбора и предусматривается установление добросовестных отношений между работодателями и работниками. Такая законодательная основа позволяет нах</w:t>
      </w:r>
      <w:r>
        <w:t>о</w:t>
      </w:r>
      <w:r>
        <w:t>дящимся в уязвимом положении работникам, в том числе женщинам, прин</w:t>
      </w:r>
      <w:r>
        <w:t>и</w:t>
      </w:r>
      <w:r>
        <w:t>мать участие в заключении коллективных трудовых договоров, с тем чтобы они могли располагать более широкими возможностями на переговорах. Кроме т</w:t>
      </w:r>
      <w:r>
        <w:t>о</w:t>
      </w:r>
      <w:r>
        <w:t>го, она предусматривает защиту против дискриминации и недопущение закл</w:t>
      </w:r>
      <w:r>
        <w:t>ю</w:t>
      </w:r>
      <w:r>
        <w:t>чения коллективных договоров на невыгодных условиях, а также доступ к пр</w:t>
      </w:r>
      <w:r>
        <w:t>о</w:t>
      </w:r>
      <w:r>
        <w:t>цедуре подачи и рассмотрению личных жалоб и другим процедурам разреш</w:t>
      </w:r>
      <w:r>
        <w:t>е</w:t>
      </w:r>
      <w:r>
        <w:t>ния трудовых споров, которые направлены на поддержание нормальных труд</w:t>
      </w:r>
      <w:r>
        <w:t>о</w:t>
      </w:r>
      <w:r>
        <w:t>вых отношений (см. Статья 11: Занятость, стр. 105-106).</w:t>
      </w:r>
    </w:p>
    <w:p w:rsidR="00000000" w:rsidRDefault="00000000">
      <w:pPr>
        <w:pStyle w:val="SingleTxt"/>
      </w:pPr>
      <w:r>
        <w:t>Министерство труда осуществляет рассчитанный на три года обзор ЗОЗ с целью обеспечения полезных данных о воздействии этого Закона на работод</w:t>
      </w:r>
      <w:r>
        <w:t>а</w:t>
      </w:r>
      <w:r>
        <w:t>телей, работников и профессиональные союзы. В краткосрочной перспективе этот обзор имеет своей целью выявить, прежде всего, прямое действие этого Закона. В долгосрочной перспективе упор может делаться на более отдаленные экономические последствия для различных групп на рынке труда, включая женщин.</w:t>
      </w:r>
    </w:p>
    <w:p w:rsidR="00000000" w:rsidRDefault="00000000">
      <w:pPr>
        <w:pStyle w:val="SingleTxt"/>
      </w:pPr>
      <w:r>
        <w:t>В настоящее время министерство по делам женщин (МДЖ) и министерс</w:t>
      </w:r>
      <w:r>
        <w:t>т</w:t>
      </w:r>
      <w:r>
        <w:t>во труда совместно осуществляют проект в области равной оплаты, направле</w:t>
      </w:r>
      <w:r>
        <w:t>н</w:t>
      </w:r>
      <w:r>
        <w:t>ный на определение и оценку возможных направлений политики для достиж</w:t>
      </w:r>
      <w:r>
        <w:t>е</w:t>
      </w:r>
      <w:r>
        <w:t>ния равной оплаты за труд равной ценности. Кроме того, министерство труда разрабатывает программу работы по вопросам установления равной оплаты труда мужчин и женщин (см. Статья 11: Занятость, стр. 113-114).</w:t>
      </w:r>
    </w:p>
    <w:p w:rsidR="00000000" w:rsidRDefault="00000000">
      <w:pPr>
        <w:pStyle w:val="SingleTxt"/>
      </w:pPr>
      <w:r>
        <w:t>Правительство признает, что надлежащий уход за детьми занимает це</w:t>
      </w:r>
      <w:r>
        <w:t>н</w:t>
      </w:r>
      <w:r>
        <w:t>тральное место в обеспечении того, чтобы родители могли сочетать свою тр</w:t>
      </w:r>
      <w:r>
        <w:t>у</w:t>
      </w:r>
      <w:r>
        <w:t>довую деятельность с семейными обязанностями. В бюджетах на 2001 и 2002 годы предусмотрены дополнительные средства на уход за детьми и субс</w:t>
      </w:r>
      <w:r>
        <w:t>и</w:t>
      </w:r>
      <w:r>
        <w:t>дии на внешкольный уход за детьми (ВУД). Правительство запланировало т</w:t>
      </w:r>
      <w:r>
        <w:t>е</w:t>
      </w:r>
      <w:r>
        <w:t>кущую работу в этой области, которая будет осуществляться с учетом таких вопросов, как наличие, доступность и качество услуг в области дошкольного обучения и внешкольного ухода за детьми (см. Статья 10: Образование, стр. 82-84 и Статья 11: Занятость, стр. 105-106).</w:t>
      </w:r>
    </w:p>
    <w:p w:rsidR="00000000" w:rsidRDefault="00000000">
      <w:pPr>
        <w:pStyle w:val="H1"/>
      </w:pPr>
      <w:r>
        <w:t>Оплачиваемый отпуск по беременности и родам</w:t>
      </w:r>
    </w:p>
    <w:p w:rsidR="00000000" w:rsidRDefault="00000000">
      <w:pPr>
        <w:pStyle w:val="SingleTxt"/>
        <w:ind w:left="1740" w:hanging="476"/>
        <w:rPr>
          <w:i/>
        </w:rPr>
      </w:pPr>
      <w:r>
        <w:rPr>
          <w:i/>
        </w:rPr>
        <w:tab/>
      </w:r>
      <w:r>
        <w:rPr>
          <w:i/>
        </w:rPr>
        <w:tab/>
        <w:t>Комитет выражает серьезную озабоченность по поводу сохраняющейся оговорки к статье 11(2)(b) в отношении оплачиваемого отпуска по бер</w:t>
      </w:r>
      <w:r>
        <w:rPr>
          <w:i/>
        </w:rPr>
        <w:t>е</w:t>
      </w:r>
      <w:r>
        <w:rPr>
          <w:i/>
        </w:rPr>
        <w:t>менности и родам. Он обеспокоен тем, что действующие в отношении женщин требования на индивидуальной основе обсуждать со своими р</w:t>
      </w:r>
      <w:r>
        <w:rPr>
          <w:i/>
        </w:rPr>
        <w:t>а</w:t>
      </w:r>
      <w:r>
        <w:rPr>
          <w:i/>
        </w:rPr>
        <w:t>ботодателями уход в отпуск по беременности и родам, право, которое можно было бы закрепить в соответствующем национальном законе и стратегии, является фактором, ущемляющим права женщин Новой З</w:t>
      </w:r>
      <w:r>
        <w:rPr>
          <w:i/>
        </w:rPr>
        <w:t>е</w:t>
      </w:r>
      <w:r>
        <w:rPr>
          <w:i/>
        </w:rPr>
        <w:t>ландии. Он также выражает обеспокоенность по поводу препятствий для получения неоплачиваемого отпуска по беременности и родам, а также отсутствия у женщин соответствующей информации о сущес</w:t>
      </w:r>
      <w:r>
        <w:rPr>
          <w:i/>
        </w:rPr>
        <w:t>т</w:t>
      </w:r>
      <w:r>
        <w:rPr>
          <w:i/>
        </w:rPr>
        <w:t>вующих правах в отношении неоплачиваемых отпусков по уходу за ребе</w:t>
      </w:r>
      <w:r>
        <w:rPr>
          <w:i/>
        </w:rPr>
        <w:t>н</w:t>
      </w:r>
      <w:r>
        <w:rPr>
          <w:i/>
        </w:rPr>
        <w:t>ком.</w:t>
      </w:r>
    </w:p>
    <w:p w:rsidR="00000000" w:rsidRDefault="00000000">
      <w:pPr>
        <w:pStyle w:val="SingleTxt"/>
        <w:ind w:left="1740" w:hanging="476"/>
        <w:rPr>
          <w:i/>
        </w:rPr>
      </w:pPr>
      <w:r>
        <w:rPr>
          <w:i/>
        </w:rPr>
        <w:tab/>
      </w:r>
      <w:r>
        <w:rPr>
          <w:i/>
        </w:rPr>
        <w:tab/>
        <w:t>Комитет рекомендует правительству более подробно изучить полож</w:t>
      </w:r>
      <w:r>
        <w:rPr>
          <w:i/>
        </w:rPr>
        <w:t>е</w:t>
      </w:r>
      <w:r>
        <w:rPr>
          <w:i/>
        </w:rPr>
        <w:t>ния в отношении оплачиваемого отпуска по беременности и родам, сущ</w:t>
      </w:r>
      <w:r>
        <w:rPr>
          <w:i/>
        </w:rPr>
        <w:t>е</w:t>
      </w:r>
      <w:r>
        <w:rPr>
          <w:i/>
        </w:rPr>
        <w:t>ствующие в ряде стран, находящихся на сопоставимом уровне эконом</w:t>
      </w:r>
      <w:r>
        <w:rPr>
          <w:i/>
        </w:rPr>
        <w:t>и</w:t>
      </w:r>
      <w:r>
        <w:rPr>
          <w:i/>
        </w:rPr>
        <w:t>ческого и социал</w:t>
      </w:r>
      <w:r>
        <w:rPr>
          <w:i/>
        </w:rPr>
        <w:t>ь</w:t>
      </w:r>
      <w:r>
        <w:rPr>
          <w:i/>
        </w:rPr>
        <w:t>ного развития.</w:t>
      </w:r>
    </w:p>
    <w:p w:rsidR="00000000" w:rsidRDefault="00000000">
      <w:pPr>
        <w:pStyle w:val="SingleTxt"/>
      </w:pPr>
      <w:r>
        <w:t>Система оплачиваемых отпусков по беременности и родам была введена в июле 2002 года. При разработке политики Новой Зеландии в этой области уч</w:t>
      </w:r>
      <w:r>
        <w:t>и</w:t>
      </w:r>
      <w:r>
        <w:t>тывались законоположения об оплачиваемом отпуске по беременности и родам, существу</w:t>
      </w:r>
      <w:r>
        <w:t>ю</w:t>
      </w:r>
      <w:r>
        <w:t>щие в других странах (см. Статья 11: Занятость, стр. 113).</w:t>
      </w:r>
    </w:p>
    <w:p w:rsidR="00000000" w:rsidRDefault="00000000">
      <w:pPr>
        <w:pStyle w:val="SingleTxt"/>
        <w:ind w:left="1740" w:hanging="476"/>
        <w:rPr>
          <w:i/>
        </w:rPr>
      </w:pPr>
      <w:r>
        <w:rPr>
          <w:i/>
        </w:rPr>
        <w:tab/>
      </w:r>
      <w:r>
        <w:rPr>
          <w:i/>
        </w:rPr>
        <w:tab/>
        <w:t>Он также рекомендовал правительству изучить влияние существующих положений об отпуске по беременности и родам на имеющиеся у женщин возможности в области получения равной оплаты и их профессиональн</w:t>
      </w:r>
      <w:r>
        <w:rPr>
          <w:i/>
        </w:rPr>
        <w:t>о</w:t>
      </w:r>
      <w:r>
        <w:rPr>
          <w:i/>
        </w:rPr>
        <w:t>го роста.</w:t>
      </w:r>
    </w:p>
    <w:p w:rsidR="00000000" w:rsidRDefault="00000000">
      <w:pPr>
        <w:pStyle w:val="SingleTxt"/>
      </w:pPr>
      <w:r>
        <w:t>В рамках введения системы пособия для оплачиваемого отпуска по бер</w:t>
      </w:r>
      <w:r>
        <w:t>е</w:t>
      </w:r>
      <w:r>
        <w:t>менности и родам развернуто осуществление программы мониторинга и оце</w:t>
      </w:r>
      <w:r>
        <w:t>н</w:t>
      </w:r>
      <w:r>
        <w:t>ки (см. Статья 11: Занятость, стр. 113).</w:t>
      </w:r>
    </w:p>
    <w:p w:rsidR="00000000" w:rsidRDefault="00000000">
      <w:pPr>
        <w:pStyle w:val="SingleTxt"/>
        <w:ind w:left="1740" w:hanging="476"/>
        <w:rPr>
          <w:i/>
        </w:rPr>
      </w:pPr>
      <w:r>
        <w:rPr>
          <w:i/>
        </w:rPr>
        <w:tab/>
      </w:r>
      <w:r>
        <w:rPr>
          <w:i/>
        </w:rPr>
        <w:tab/>
        <w:t>Правительству следует также рассмотреть возможные долгосрочные последствия существования такого положения, особенно в связи с пре</w:t>
      </w:r>
      <w:r>
        <w:rPr>
          <w:i/>
        </w:rPr>
        <w:t>д</w:t>
      </w:r>
      <w:r>
        <w:rPr>
          <w:i/>
        </w:rPr>
        <w:t>лагаемой поправкой к Закону о брачно-семейных правах собственности, согласно которой при урегулировании имущественных отношений в сл</w:t>
      </w:r>
      <w:r>
        <w:rPr>
          <w:i/>
        </w:rPr>
        <w:t>у</w:t>
      </w:r>
      <w:r>
        <w:rPr>
          <w:i/>
        </w:rPr>
        <w:t>чае развода не пр</w:t>
      </w:r>
      <w:r>
        <w:rPr>
          <w:i/>
        </w:rPr>
        <w:t>и</w:t>
      </w:r>
      <w:r>
        <w:rPr>
          <w:i/>
        </w:rPr>
        <w:t>знаются будущие доходы.</w:t>
      </w:r>
    </w:p>
    <w:p w:rsidR="00000000" w:rsidRDefault="00000000">
      <w:pPr>
        <w:pStyle w:val="SingleTxt"/>
      </w:pPr>
      <w:r>
        <w:t>На основании Закона 2001 года о внесении поправок в Закон о брачно-семейных правах собственности Закон о брачно-семейных правах собственн</w:t>
      </w:r>
      <w:r>
        <w:t>о</w:t>
      </w:r>
      <w:r>
        <w:t xml:space="preserve">сти 1976 года был переименован в Закон о правах (отношениях) собственности. </w:t>
      </w:r>
      <w:r>
        <w:rPr>
          <w:caps/>
        </w:rPr>
        <w:t>п</w:t>
      </w:r>
      <w:r>
        <w:t>оправки вступили в силу с 1 февраля 2002 года (см. Статья 16: Брак и семе</w:t>
      </w:r>
      <w:r>
        <w:t>й</w:t>
      </w:r>
      <w:r>
        <w:t>ная жизнь, стр. 190-191).</w:t>
      </w:r>
    </w:p>
    <w:p w:rsidR="00000000" w:rsidRDefault="00000000">
      <w:pPr>
        <w:pStyle w:val="H1"/>
      </w:pPr>
      <w:r>
        <w:t>Структурная перестройка экономики</w:t>
      </w:r>
    </w:p>
    <w:p w:rsidR="00000000" w:rsidRDefault="00000000">
      <w:pPr>
        <w:pStyle w:val="SingleTxt"/>
        <w:ind w:left="1740" w:hanging="476"/>
        <w:rPr>
          <w:i/>
        </w:rPr>
      </w:pPr>
      <w:r>
        <w:rPr>
          <w:i/>
        </w:rPr>
        <w:tab/>
      </w:r>
      <w:r>
        <w:rPr>
          <w:i/>
        </w:rPr>
        <w:tab/>
        <w:t>Отметив вовлечение числа женщин, занятых не полный рабочий день или на не постоянной работе, а также недостаточное количество рабочих мест на условиях полного рабочего дня для женщин, Комитет выражает свою озабоченность в связи с тем, что правительство по-прежнему уд</w:t>
      </w:r>
      <w:r>
        <w:rPr>
          <w:i/>
        </w:rPr>
        <w:t>е</w:t>
      </w:r>
      <w:r>
        <w:rPr>
          <w:i/>
        </w:rPr>
        <w:t>ляет недостаточное внимание вопросу о влиянии структурной пер</w:t>
      </w:r>
      <w:r>
        <w:rPr>
          <w:i/>
        </w:rPr>
        <w:t>е</w:t>
      </w:r>
      <w:r>
        <w:rPr>
          <w:i/>
        </w:rPr>
        <w:t>стройке экономики страны на положение женщин. Он серьезно обеспок</w:t>
      </w:r>
      <w:r>
        <w:rPr>
          <w:i/>
        </w:rPr>
        <w:t>о</w:t>
      </w:r>
      <w:r>
        <w:rPr>
          <w:i/>
        </w:rPr>
        <w:t>ен тем, что законодательные акты, как, например, Закон о трудовых д</w:t>
      </w:r>
      <w:r>
        <w:rPr>
          <w:i/>
        </w:rPr>
        <w:t>о</w:t>
      </w:r>
      <w:r>
        <w:rPr>
          <w:i/>
        </w:rPr>
        <w:t>говорах 1991 года, в которых особое значение придается индивидуальным трудовым договорам, а не коллективным договорам, ставят женщин в весьма неблагоприятное положение на рынке труда в силу возложенных на них двойных функций, связанных с выполнением трудовых и семейных обязанностей.</w:t>
      </w:r>
    </w:p>
    <w:p w:rsidR="00000000" w:rsidRDefault="00000000">
      <w:pPr>
        <w:pStyle w:val="SingleTxt"/>
        <w:ind w:left="1740" w:hanging="476"/>
        <w:rPr>
          <w:i/>
        </w:rPr>
      </w:pPr>
      <w:r>
        <w:rPr>
          <w:i/>
        </w:rPr>
        <w:tab/>
      </w:r>
      <w:r>
        <w:rPr>
          <w:i/>
        </w:rPr>
        <w:tab/>
        <w:t>Комитет настоятельно призывает правительство провести оценку влияния существующих законодательных актов свободного рынка на имеющиеся у женщин возможности для конкуренции на равных с мужч</w:t>
      </w:r>
      <w:r>
        <w:rPr>
          <w:i/>
        </w:rPr>
        <w:t>и</w:t>
      </w:r>
      <w:r>
        <w:rPr>
          <w:i/>
        </w:rPr>
        <w:t>нами на рынке рабочей силы, а также проанализировать те преимущ</w:t>
      </w:r>
      <w:r>
        <w:rPr>
          <w:i/>
        </w:rPr>
        <w:t>е</w:t>
      </w:r>
      <w:r>
        <w:rPr>
          <w:i/>
        </w:rPr>
        <w:t>ства, которые извлекают женщины в результате благоприятных экон</w:t>
      </w:r>
      <w:r>
        <w:rPr>
          <w:i/>
        </w:rPr>
        <w:t>о</w:t>
      </w:r>
      <w:r>
        <w:rPr>
          <w:i/>
        </w:rPr>
        <w:t>мических условий, сложи</w:t>
      </w:r>
      <w:r>
        <w:rPr>
          <w:i/>
        </w:rPr>
        <w:t>в</w:t>
      </w:r>
      <w:r>
        <w:rPr>
          <w:i/>
        </w:rPr>
        <w:t>шихся в последние годы.</w:t>
      </w:r>
    </w:p>
    <w:p w:rsidR="00000000" w:rsidRDefault="00000000">
      <w:pPr>
        <w:pStyle w:val="SingleTxt"/>
      </w:pPr>
      <w:r>
        <w:t>Как отмечалось выше (стр. 8), Закон об отношениях в сфере занятости з</w:t>
      </w:r>
      <w:r>
        <w:t>а</w:t>
      </w:r>
      <w:r>
        <w:t>менил Закон о трудовых договорах. Ожидается, что это будет способствовать решению вопросов, связанных со структурной составляющей неблагоприятн</w:t>
      </w:r>
      <w:r>
        <w:t>о</w:t>
      </w:r>
      <w:r>
        <w:t>го положения женщин. Среди других мер, которые будут способствовать улу</w:t>
      </w:r>
      <w:r>
        <w:t>ч</w:t>
      </w:r>
      <w:r>
        <w:t>шению положения женщин на рынке труда, следует назвать современную си</w:t>
      </w:r>
      <w:r>
        <w:t>с</w:t>
      </w:r>
      <w:r>
        <w:t>тему профессионального обучения, ориентированную на женщин, включая женщин-маори и тихоокеанских островов, а также принятие во внимание пр</w:t>
      </w:r>
      <w:r>
        <w:t>а</w:t>
      </w:r>
      <w:r>
        <w:t>вительством рекомендаций Консультативной группы РВЗ, которые в настоящее время претворяются в жизнь (см. Статья 11: Занятость, стр. 109-111 и 118-119). Следует также отметить, что недавно правительство учредило пост Комиссара по РВЗ при Комиссии по правам человека (см. Статья 2: Антидискриминацио</w:t>
      </w:r>
      <w:r>
        <w:t>н</w:t>
      </w:r>
      <w:r>
        <w:t>ные м</w:t>
      </w:r>
      <w:r>
        <w:t>е</w:t>
      </w:r>
      <w:r>
        <w:t>ры, стр. 34).</w:t>
      </w:r>
    </w:p>
    <w:p w:rsidR="00000000" w:rsidRDefault="00000000">
      <w:pPr>
        <w:pStyle w:val="SingleTxt"/>
        <w:ind w:left="1740" w:hanging="476"/>
        <w:rPr>
          <w:i/>
        </w:rPr>
      </w:pPr>
      <w:r>
        <w:rPr>
          <w:i/>
        </w:rPr>
        <w:tab/>
      </w:r>
      <w:r>
        <w:rPr>
          <w:i/>
        </w:rPr>
        <w:tab/>
        <w:t>Он рекомендует правительству признать материнство в качестве соц</w:t>
      </w:r>
      <w:r>
        <w:rPr>
          <w:i/>
        </w:rPr>
        <w:t>и</w:t>
      </w:r>
      <w:r>
        <w:rPr>
          <w:i/>
        </w:rPr>
        <w:t>альной функции, которая не должна создавать для женщин неравенства структурного характера в том, что касается их прав на трудоустро</w:t>
      </w:r>
      <w:r>
        <w:rPr>
          <w:i/>
        </w:rPr>
        <w:t>й</w:t>
      </w:r>
      <w:r>
        <w:rPr>
          <w:i/>
        </w:rPr>
        <w:t>ство.</w:t>
      </w:r>
    </w:p>
    <w:p w:rsidR="00000000" w:rsidRDefault="00000000">
      <w:pPr>
        <w:pStyle w:val="SingleTxt"/>
        <w:ind w:left="1740" w:hanging="476"/>
        <w:rPr>
          <w:i/>
        </w:rPr>
      </w:pPr>
      <w:r>
        <w:rPr>
          <w:i/>
        </w:rPr>
        <w:tab/>
      </w:r>
      <w:r>
        <w:rPr>
          <w:i/>
        </w:rPr>
        <w:tab/>
        <w:t>Комитет рекомендует активно использовать временные специальные м</w:t>
      </w:r>
      <w:r>
        <w:rPr>
          <w:i/>
        </w:rPr>
        <w:t>е</w:t>
      </w:r>
      <w:r>
        <w:rPr>
          <w:i/>
        </w:rPr>
        <w:t>ры в государственном и частном секторе в соответствии со стат</w:t>
      </w:r>
      <w:r>
        <w:rPr>
          <w:i/>
        </w:rPr>
        <w:t>ь</w:t>
      </w:r>
      <w:r>
        <w:rPr>
          <w:i/>
        </w:rPr>
        <w:t>ей 4.1, с тем чтобы ускорять установление фактического равенства между мужчинами и же</w:t>
      </w:r>
      <w:r>
        <w:rPr>
          <w:i/>
        </w:rPr>
        <w:t>н</w:t>
      </w:r>
      <w:r>
        <w:rPr>
          <w:i/>
        </w:rPr>
        <w:t>щинами в отношении трудоустройства.</w:t>
      </w:r>
    </w:p>
    <w:p w:rsidR="00000000" w:rsidRDefault="00000000">
      <w:pPr>
        <w:pStyle w:val="SingleTxt"/>
      </w:pPr>
      <w:r>
        <w:t xml:space="preserve">Для достижения </w:t>
      </w:r>
      <w:r>
        <w:rPr>
          <w:i/>
        </w:rPr>
        <w:t>фактического</w:t>
      </w:r>
      <w:r>
        <w:t xml:space="preserve"> равенства женщин и других целевых групп частного сектора принимаются специальные временные меры в рамках Целев</w:t>
      </w:r>
      <w:r>
        <w:t>о</w:t>
      </w:r>
      <w:r>
        <w:t>го фонда РВЗ, Фонда РВЗ и Национального консультативного совета по вопр</w:t>
      </w:r>
      <w:r>
        <w:t>о</w:t>
      </w:r>
      <w:r>
        <w:t>сам занятости женщин (НКСЗЖ). Для Целевого фонда РВЗ предусмотрены д</w:t>
      </w:r>
      <w:r>
        <w:t>о</w:t>
      </w:r>
      <w:r>
        <w:t>полнительные финансовые средства из бюджета 2002 года (см. Статья 11: Занятость, стр. 110). Среди других специальных временных мер следует назвать кампанию по предотвращению сексуальных домогательств под эгидой Комиссии по правам человека (см. Статья 2: Антидискриминационные меры, стр. 34), создание консультативных министерских групп по внешним контрактам, РВЗ и Закон 1981 года о праздничных и выходных днях (см. Статья 11: Зан</w:t>
      </w:r>
      <w:r>
        <w:t>я</w:t>
      </w:r>
      <w:r>
        <w:t>тость, стр. 120).</w:t>
      </w:r>
    </w:p>
    <w:p w:rsidR="00000000" w:rsidRDefault="00000000">
      <w:pPr>
        <w:pStyle w:val="SingleTxt"/>
        <w:ind w:left="1740" w:hanging="476"/>
        <w:rPr>
          <w:i/>
        </w:rPr>
      </w:pPr>
      <w:r>
        <w:rPr>
          <w:i/>
        </w:rPr>
        <w:tab/>
      </w:r>
      <w:r>
        <w:rPr>
          <w:i/>
        </w:rPr>
        <w:tab/>
        <w:t>Комитет рекомендует правительству рассмотреть вопрос о ратифик</w:t>
      </w:r>
      <w:r>
        <w:rPr>
          <w:i/>
        </w:rPr>
        <w:t>а</w:t>
      </w:r>
      <w:r>
        <w:rPr>
          <w:i/>
        </w:rPr>
        <w:t>ции Конвенции 103 (пересмотр.) Междун</w:t>
      </w:r>
      <w:r>
        <w:rPr>
          <w:i/>
        </w:rPr>
        <w:t>а</w:t>
      </w:r>
      <w:r>
        <w:rPr>
          <w:i/>
        </w:rPr>
        <w:t>родной организации труда.</w:t>
      </w:r>
    </w:p>
    <w:p w:rsidR="00000000" w:rsidRDefault="00000000">
      <w:pPr>
        <w:pStyle w:val="SingleTxt"/>
      </w:pPr>
      <w:r>
        <w:t>Правительство ратифицирует конвенции МОТ только в тех случаях, когда она выполняет их в полном объеме. Правительство принимало активное уч</w:t>
      </w:r>
      <w:r>
        <w:t>а</w:t>
      </w:r>
      <w:r>
        <w:t>стие в процессе пересмотра Конвенции 103 МОТ, в результате которого была принята Конвенция 183. Закон об оплачиваемом отпуске и защите прав на тр</w:t>
      </w:r>
      <w:r>
        <w:t>у</w:t>
      </w:r>
      <w:r>
        <w:t>доустройство пока еще не полностью отвечает положениям Конвенции 183 (см. стр. 113).</w:t>
      </w:r>
    </w:p>
    <w:p w:rsidR="00000000" w:rsidRDefault="00000000">
      <w:pPr>
        <w:pStyle w:val="SingleTxt"/>
        <w:ind w:left="1740" w:hanging="476"/>
        <w:rPr>
          <w:i/>
        </w:rPr>
      </w:pPr>
      <w:r>
        <w:rPr>
          <w:i/>
        </w:rPr>
        <w:tab/>
      </w:r>
      <w:r>
        <w:rPr>
          <w:i/>
        </w:rPr>
        <w:tab/>
        <w:t>Комитет также рекомендует правительству осуществлять системат</w:t>
      </w:r>
      <w:r>
        <w:rPr>
          <w:i/>
        </w:rPr>
        <w:t>и</w:t>
      </w:r>
      <w:r>
        <w:rPr>
          <w:i/>
        </w:rPr>
        <w:t>ческий контроль за тенденциями в положении женщин, особенно в сфере трудоустройства, и регулярно оценивать последствия законодательных и политических мер для обеспечения равенства между мужчинами и женщинами в соо</w:t>
      </w:r>
      <w:r>
        <w:rPr>
          <w:i/>
        </w:rPr>
        <w:t>т</w:t>
      </w:r>
      <w:r>
        <w:rPr>
          <w:i/>
        </w:rPr>
        <w:t>ветствии с Конвенцией.</w:t>
      </w:r>
    </w:p>
    <w:p w:rsidR="00000000" w:rsidRDefault="00000000">
      <w:pPr>
        <w:pStyle w:val="SingleTxt"/>
      </w:pPr>
      <w:r>
        <w:t>Закон об отношениях в сфере занятости предписывает регистрировать все коллективные трудовые договоры в министерстве труда; однако это требование не распространяется на индивидуальные трудовые договоры. Осуществляется сбор информации о количестве договоров, содержащих заявления и програ</w:t>
      </w:r>
      <w:r>
        <w:t>м</w:t>
      </w:r>
      <w:r>
        <w:t>мы, касающиеся РВЗ. Закон 1991 года о трудовых договорах не предусматрив</w:t>
      </w:r>
      <w:r>
        <w:t>а</w:t>
      </w:r>
      <w:r>
        <w:t>ет такого требования. Обзор Закона об отношениях в сфере занятости см. на стр. 106.</w:t>
      </w:r>
    </w:p>
    <w:p w:rsidR="00000000" w:rsidRDefault="00000000">
      <w:pPr>
        <w:pStyle w:val="H1"/>
      </w:pPr>
      <w:r>
        <w:t>Разница в заработной плате мужчин и женщин</w:t>
      </w:r>
    </w:p>
    <w:p w:rsidR="00000000" w:rsidRDefault="00000000">
      <w:pPr>
        <w:pStyle w:val="SingleTxt"/>
        <w:ind w:left="1740" w:hanging="476"/>
        <w:rPr>
          <w:i/>
        </w:rPr>
      </w:pPr>
      <w:r>
        <w:rPr>
          <w:i/>
        </w:rPr>
        <w:tab/>
      </w:r>
      <w:r>
        <w:rPr>
          <w:i/>
        </w:rPr>
        <w:tab/>
        <w:t>Комитет выражает серьезную обеспокоенность в связи с сохраняющи</w:t>
      </w:r>
      <w:r>
        <w:rPr>
          <w:i/>
        </w:rPr>
        <w:t>м</w:t>
      </w:r>
      <w:r>
        <w:rPr>
          <w:i/>
        </w:rPr>
        <w:t>ся различием в размере заработной платы женщин и мужчин, которое при нынешних тенденциях вряд ли сократится и частично объясняется чрезмерной представленностью женщин на низкооплачиваемых работах и недопредставленностью в секторах с повышенными темпами роста заработной платы. Он выражает серьезную обеспокоенность сущес</w:t>
      </w:r>
      <w:r>
        <w:rPr>
          <w:i/>
        </w:rPr>
        <w:t>т</w:t>
      </w:r>
      <w:r>
        <w:rPr>
          <w:i/>
        </w:rPr>
        <w:t>вующими различиями в размере заработной платы женщин и мужчин за равную работу, а также последствиями отмены Закона о равенстве в области трудоустройства для права женщин на ра</w:t>
      </w:r>
      <w:r>
        <w:rPr>
          <w:i/>
        </w:rPr>
        <w:t>в</w:t>
      </w:r>
      <w:r>
        <w:rPr>
          <w:i/>
        </w:rPr>
        <w:t>ную оплату.</w:t>
      </w:r>
    </w:p>
    <w:p w:rsidR="00000000" w:rsidRDefault="00000000">
      <w:pPr>
        <w:pStyle w:val="SingleTxt"/>
        <w:ind w:left="1740" w:hanging="476"/>
        <w:rPr>
          <w:i/>
        </w:rPr>
      </w:pPr>
      <w:r>
        <w:rPr>
          <w:i/>
        </w:rPr>
        <w:tab/>
      </w:r>
      <w:r>
        <w:rPr>
          <w:i/>
        </w:rPr>
        <w:tab/>
        <w:t>Комитет рекомендует прилагать дополнительные усилия, в том числе при помощи законодательных актов и новаторских стратегий, для уменьшения ра</w:t>
      </w:r>
      <w:r>
        <w:rPr>
          <w:i/>
        </w:rPr>
        <w:t>з</w:t>
      </w:r>
      <w:r>
        <w:rPr>
          <w:i/>
        </w:rPr>
        <w:t>ницы в размере заработной платы мужчин и женщин.</w:t>
      </w:r>
    </w:p>
    <w:p w:rsidR="00000000" w:rsidRDefault="00000000">
      <w:pPr>
        <w:pStyle w:val="SingleTxt"/>
        <w:ind w:left="1740" w:hanging="476"/>
        <w:rPr>
          <w:i/>
        </w:rPr>
      </w:pPr>
      <w:r>
        <w:rPr>
          <w:i/>
        </w:rPr>
        <w:tab/>
      </w:r>
      <w:r>
        <w:rPr>
          <w:i/>
        </w:rPr>
        <w:tab/>
        <w:t>Следует проанализировать влияние Закона о неприкосновенности час</w:t>
      </w:r>
      <w:r>
        <w:rPr>
          <w:i/>
        </w:rPr>
        <w:t>т</w:t>
      </w:r>
      <w:r>
        <w:rPr>
          <w:i/>
        </w:rPr>
        <w:t>ной жизни на возможности женщин искать в суде защиты от дискрим</w:t>
      </w:r>
      <w:r>
        <w:rPr>
          <w:i/>
        </w:rPr>
        <w:t>и</w:t>
      </w:r>
      <w:r>
        <w:rPr>
          <w:i/>
        </w:rPr>
        <w:t>национно неравной оплаты. Правительству следует также рассмотреть возможность разработки стратегии «равной оплаты за работу сопо</w:t>
      </w:r>
      <w:r>
        <w:rPr>
          <w:i/>
        </w:rPr>
        <w:t>с</w:t>
      </w:r>
      <w:r>
        <w:rPr>
          <w:i/>
        </w:rPr>
        <w:t>тавимой ценности» и возобновить действие соответствующих з</w:t>
      </w:r>
      <w:r>
        <w:rPr>
          <w:i/>
        </w:rPr>
        <w:t>а</w:t>
      </w:r>
      <w:r>
        <w:rPr>
          <w:i/>
        </w:rPr>
        <w:t>конов.</w:t>
      </w:r>
    </w:p>
    <w:p w:rsidR="00000000" w:rsidRDefault="00000000">
      <w:pPr>
        <w:pStyle w:val="SingleTxt"/>
      </w:pPr>
      <w:r>
        <w:t>Правительство повысило ставки минимальной заработной платы, пред</w:t>
      </w:r>
      <w:r>
        <w:t>у</w:t>
      </w:r>
      <w:r>
        <w:t>смотренные законом, в частности ставки минимальной заработной платы для взрослых и молодежи. Кроме того, МДЖ осуществляет проект в области обе</w:t>
      </w:r>
      <w:r>
        <w:t>с</w:t>
      </w:r>
      <w:r>
        <w:t>печения равной оплаты в консультации с министерством труда (см. Статья 11: Занятость, стр. 113-114).</w:t>
      </w:r>
    </w:p>
    <w:p w:rsidR="00000000" w:rsidRDefault="00000000">
      <w:pPr>
        <w:pStyle w:val="SingleTxt"/>
      </w:pPr>
      <w:r>
        <w:t>Закон об отношениях в сфере занятости имеет своей целью предоставл</w:t>
      </w:r>
      <w:r>
        <w:t>е</w:t>
      </w:r>
      <w:r>
        <w:t>ние женщинам и другим, находящимся в уязвимом положении группам насел</w:t>
      </w:r>
      <w:r>
        <w:t>е</w:t>
      </w:r>
      <w:r>
        <w:t>ния, реального выбора в процессе переговоров о ставках заработной платы. В нем содержатся положения, направленные на предотвращение дискриминации в области занятости, в том числе положения, регламентирующие условия раб</w:t>
      </w:r>
      <w:r>
        <w:t>о</w:t>
      </w:r>
      <w:r>
        <w:t>ты, возможности для профессионального роста и подготовки. Представляется слишком преждевременным говорить о возде</w:t>
      </w:r>
      <w:r>
        <w:t>й</w:t>
      </w:r>
      <w:r>
        <w:t>ствии ЗОЗ на женщин.</w:t>
      </w:r>
    </w:p>
    <w:p w:rsidR="00000000" w:rsidRDefault="00000000">
      <w:pPr>
        <w:pStyle w:val="SingleTxt"/>
      </w:pPr>
      <w:r>
        <w:t>Не запланировано никакой работы по вопросу воздействия Закона о н</w:t>
      </w:r>
      <w:r>
        <w:t>е</w:t>
      </w:r>
      <w:r>
        <w:t>прикосновенности частной жизни на возможность женщин искать правовой защиты в случаях дискриминационной неравной оплаты труда. Одна ЗОЗ ча</w:t>
      </w:r>
      <w:r>
        <w:t>с</w:t>
      </w:r>
      <w:r>
        <w:t>тично решает вопрос упорядочивания заключения коллективных договоров. Кроме того, Управление по вопросам отношений в сфере занятости имеет до</w:t>
      </w:r>
      <w:r>
        <w:t>с</w:t>
      </w:r>
      <w:r>
        <w:t>туп к информации, необходимой для рассмотрения жалоб, связанных с дискр</w:t>
      </w:r>
      <w:r>
        <w:t>и</w:t>
      </w:r>
      <w:r>
        <w:t>минационным занижением ставок заработной платы, пр</w:t>
      </w:r>
      <w:r>
        <w:t>е</w:t>
      </w:r>
      <w:r>
        <w:t>дусмотренных ЗОЗ.</w:t>
      </w:r>
    </w:p>
    <w:p w:rsidR="00000000" w:rsidRDefault="00000000">
      <w:pPr>
        <w:pStyle w:val="H1"/>
      </w:pPr>
      <w:r>
        <w:t>Приватизация</w:t>
      </w:r>
    </w:p>
    <w:p w:rsidR="00000000" w:rsidRDefault="00000000">
      <w:pPr>
        <w:pStyle w:val="SingleTxt"/>
        <w:ind w:left="1740" w:hanging="476"/>
        <w:rPr>
          <w:i/>
        </w:rPr>
      </w:pPr>
      <w:r>
        <w:rPr>
          <w:i/>
        </w:rPr>
        <w:tab/>
      </w:r>
      <w:r>
        <w:rPr>
          <w:i/>
        </w:rPr>
        <w:tab/>
        <w:t>Комитет выражает обеспокоенность тем, что проводимая приватиз</w:t>
      </w:r>
      <w:r>
        <w:rPr>
          <w:i/>
        </w:rPr>
        <w:t>а</w:t>
      </w:r>
      <w:r>
        <w:rPr>
          <w:i/>
        </w:rPr>
        <w:t>ция социальных услуг и внедрение платных систем в таких областях, как здравоохранение, ограничивает их доступность для женщин, особенно из неимущих слоев населения и н</w:t>
      </w:r>
      <w:r>
        <w:rPr>
          <w:i/>
        </w:rPr>
        <w:t>а</w:t>
      </w:r>
      <w:r>
        <w:rPr>
          <w:i/>
        </w:rPr>
        <w:t>родности маори.</w:t>
      </w:r>
    </w:p>
    <w:p w:rsidR="00000000" w:rsidRDefault="00000000">
      <w:pPr>
        <w:pStyle w:val="SingleTxt"/>
        <w:ind w:left="1740" w:hanging="476"/>
        <w:rPr>
          <w:i/>
        </w:rPr>
      </w:pPr>
      <w:r>
        <w:rPr>
          <w:i/>
        </w:rPr>
        <w:tab/>
      </w:r>
      <w:r>
        <w:rPr>
          <w:i/>
        </w:rPr>
        <w:tab/>
        <w:t>Комитет рекомендует правительству пристально следить за последс</w:t>
      </w:r>
      <w:r>
        <w:rPr>
          <w:i/>
        </w:rPr>
        <w:t>т</w:t>
      </w:r>
      <w:r>
        <w:rPr>
          <w:i/>
        </w:rPr>
        <w:t>виями приватизации для социальных услуг, особенно в области здрав</w:t>
      </w:r>
      <w:r>
        <w:rPr>
          <w:i/>
        </w:rPr>
        <w:t>о</w:t>
      </w:r>
      <w:r>
        <w:rPr>
          <w:i/>
        </w:rPr>
        <w:t>охранения, с тем чтобы обеспечивать равный доступ всех женщин к к</w:t>
      </w:r>
      <w:r>
        <w:rPr>
          <w:i/>
        </w:rPr>
        <w:t>а</w:t>
      </w:r>
      <w:r>
        <w:rPr>
          <w:i/>
        </w:rPr>
        <w:t>чественному здрав</w:t>
      </w:r>
      <w:r>
        <w:rPr>
          <w:i/>
        </w:rPr>
        <w:t>о</w:t>
      </w:r>
      <w:r>
        <w:rPr>
          <w:i/>
        </w:rPr>
        <w:t>охранению.</w:t>
      </w:r>
    </w:p>
    <w:p w:rsidR="00000000" w:rsidRDefault="00000000">
      <w:pPr>
        <w:pStyle w:val="SingleTxt"/>
      </w:pPr>
      <w:r>
        <w:t>Конкретные меры, непосредственно связанные с этим вопросом, не пр</w:t>
      </w:r>
      <w:r>
        <w:t>и</w:t>
      </w:r>
      <w:r>
        <w:t>нимались. Однако в настоящее время правительство проводит политику с я</w:t>
      </w:r>
      <w:r>
        <w:t>в</w:t>
      </w:r>
      <w:r>
        <w:t>ным упором на сдерживание приватизации социальных услуг и услуг в области здравоохранения, финансируемых из бюджета государства. В этой связи, н</w:t>
      </w:r>
      <w:r>
        <w:t>а</w:t>
      </w:r>
      <w:r>
        <w:t>пример, следует назвать Закон Новой Зеландии о государственном здравоохр</w:t>
      </w:r>
      <w:r>
        <w:t>а</w:t>
      </w:r>
      <w:r>
        <w:t>нении и инвалидности от 2000 года, который предусматривает финансирование и оказание индивидуальных медицинских услуг, услуг в области общественн</w:t>
      </w:r>
      <w:r>
        <w:t>о</w:t>
      </w:r>
      <w:r>
        <w:t>го здравоохранения и услуг инвалидам. На основании этого Закона были созд</w:t>
      </w:r>
      <w:r>
        <w:t>а</w:t>
      </w:r>
      <w:r>
        <w:t>ны Окружные медико-санитарные комиссии (ОМСК), в состав которых входят избираемые представители общин и представители народности маори. Осно</w:t>
      </w:r>
      <w:r>
        <w:t>в</w:t>
      </w:r>
      <w:r>
        <w:t>ная задача ОМСК состоит в сокращении неравенства в области здравоохран</w:t>
      </w:r>
      <w:r>
        <w:t>е</w:t>
      </w:r>
      <w:r>
        <w:t>ния путем повышения действенности услуг системы здравоохранения для представителей народности маори и других жителей Новой Зеландии (см. Статья 12: Здравоохранение, стр. 125).</w:t>
      </w:r>
    </w:p>
    <w:p w:rsidR="00000000" w:rsidRDefault="00000000">
      <w:pPr>
        <w:pStyle w:val="SingleTxt"/>
      </w:pPr>
      <w:r>
        <w:t>На данном этапе отсутствуют какие бы то ни было планы осуществлять мониторинг воздействия приватизации на услуги в области здравоохранения и услуги инвалидам, что объясняется упомянутым выше вниманием к вопросу государственного финансирования таких услуг, а также принимаемым мерам по сокращению неравенства в области доступа к услугам системы здравоохр</w:t>
      </w:r>
      <w:r>
        <w:t>а</w:t>
      </w:r>
      <w:r>
        <w:t>нения. Учитывая тот факт, что названные выше инициативы были выдвинуты недавно, в настоящее время пока еще трудно судить о том, какое воздействие они оказали на состояние здоровья женщин.</w:t>
      </w:r>
    </w:p>
    <w:p w:rsidR="00000000" w:rsidRDefault="00000000">
      <w:pPr>
        <w:pStyle w:val="SingleTxt"/>
      </w:pPr>
      <w:r>
        <w:t>Что касается системы высшего образования, то правительство внесло ряд изменений в систему студенческих займов, с тем чтобы ослабить финансовое бремя, лежащее на всех учащихся системы высшего образования. Кроме того, проводится работа по увеличению объема информации о социально-экономическом воздействии системы займов на конкретные группы, в том чи</w:t>
      </w:r>
      <w:r>
        <w:t>с</w:t>
      </w:r>
      <w:r>
        <w:t>ле на женщин и на этнич</w:t>
      </w:r>
      <w:r>
        <w:t>е</w:t>
      </w:r>
      <w:r>
        <w:t>ские группы (см. Статья 10: Образование, стр. 82-84).</w:t>
      </w:r>
    </w:p>
    <w:p w:rsidR="00000000" w:rsidRDefault="00000000">
      <w:pPr>
        <w:pStyle w:val="H1"/>
        <w:ind w:left="1264" w:firstLine="0"/>
      </w:pPr>
      <w:r>
        <w:t xml:space="preserve">Реформа законодательства, регламентирующего </w:t>
      </w:r>
      <w:r>
        <w:br/>
        <w:t>брачно-семейные права собственности</w:t>
      </w:r>
    </w:p>
    <w:p w:rsidR="00000000" w:rsidRDefault="00000000">
      <w:pPr>
        <w:pStyle w:val="SingleTxt"/>
        <w:ind w:left="1740" w:hanging="476"/>
        <w:rPr>
          <w:i/>
        </w:rPr>
      </w:pPr>
      <w:r>
        <w:rPr>
          <w:i/>
        </w:rPr>
        <w:tab/>
      </w:r>
      <w:r>
        <w:rPr>
          <w:i/>
        </w:rPr>
        <w:tab/>
        <w:t>Комитет выражает обеспокоенность тем, что поправка к Закону о брачно-семейных правах собственности и законопроект о супружеских отношениях де-факто (собственность), внесенный на рассмотрение па</w:t>
      </w:r>
      <w:r>
        <w:rPr>
          <w:i/>
        </w:rPr>
        <w:t>р</w:t>
      </w:r>
      <w:r>
        <w:rPr>
          <w:i/>
        </w:rPr>
        <w:t>ламентом в марте, проводят различие между правами замужних же</w:t>
      </w:r>
      <w:r>
        <w:rPr>
          <w:i/>
        </w:rPr>
        <w:t>н</w:t>
      </w:r>
      <w:r>
        <w:rPr>
          <w:i/>
        </w:rPr>
        <w:t>щин при разделении имущества после смерти супруга или после развода и правами женщин после расторжения супружеских отношений де-факто. Он также обеспокоен тем, что поправка к Закону о брачно-семейных правах собственности при разделе имущества в случае развода не уч</w:t>
      </w:r>
      <w:r>
        <w:rPr>
          <w:i/>
        </w:rPr>
        <w:t>и</w:t>
      </w:r>
      <w:r>
        <w:rPr>
          <w:i/>
        </w:rPr>
        <w:t>тыв</w:t>
      </w:r>
      <w:r>
        <w:rPr>
          <w:i/>
        </w:rPr>
        <w:t>а</w:t>
      </w:r>
      <w:r>
        <w:rPr>
          <w:i/>
        </w:rPr>
        <w:t>ет будущие доходы супруга.</w:t>
      </w:r>
    </w:p>
    <w:p w:rsidR="00000000" w:rsidRDefault="00000000">
      <w:pPr>
        <w:pStyle w:val="SingleTxt"/>
        <w:ind w:left="1740" w:hanging="476"/>
        <w:rPr>
          <w:i/>
        </w:rPr>
      </w:pPr>
      <w:r>
        <w:rPr>
          <w:i/>
        </w:rPr>
        <w:tab/>
      </w:r>
      <w:r>
        <w:rPr>
          <w:i/>
        </w:rPr>
        <w:tab/>
        <w:t>Комитет рекомендует правительству вновь рассмотреть содержание законопроекта о супружеских отношениях де-факто (собственность), с тем чтобы привести его в соответс</w:t>
      </w:r>
      <w:r>
        <w:rPr>
          <w:i/>
        </w:rPr>
        <w:t>т</w:t>
      </w:r>
      <w:r>
        <w:rPr>
          <w:i/>
        </w:rPr>
        <w:t>вие с поправкой к Закону о брачно-семейных правах собственности, особенно поскольку супружеские отн</w:t>
      </w:r>
      <w:r>
        <w:rPr>
          <w:i/>
        </w:rPr>
        <w:t>о</w:t>
      </w:r>
      <w:r>
        <w:rPr>
          <w:i/>
        </w:rPr>
        <w:t>шения де-факто были распространены среди народности маори и стан</w:t>
      </w:r>
      <w:r>
        <w:rPr>
          <w:i/>
        </w:rPr>
        <w:t>о</w:t>
      </w:r>
      <w:r>
        <w:rPr>
          <w:i/>
        </w:rPr>
        <w:t>вятся все более распространенным явлением среди всего нас</w:t>
      </w:r>
      <w:r>
        <w:rPr>
          <w:i/>
        </w:rPr>
        <w:t>е</w:t>
      </w:r>
      <w:r>
        <w:rPr>
          <w:i/>
        </w:rPr>
        <w:t>ления.</w:t>
      </w:r>
    </w:p>
    <w:p w:rsidR="00000000" w:rsidRDefault="00000000">
      <w:pPr>
        <w:pStyle w:val="SingleTxt"/>
      </w:pPr>
      <w:r>
        <w:t>На основании Закона 2001 года о внесении поправок в Закон о брачно-семейных правах собственности Закон о брачно-семейных правах собственн</w:t>
      </w:r>
      <w:r>
        <w:t>о</w:t>
      </w:r>
      <w:r>
        <w:t>сти от 1976 года был переименован в Закон о правах (отношениях) собственн</w:t>
      </w:r>
      <w:r>
        <w:t>о</w:t>
      </w:r>
      <w:r>
        <w:t>сти 1976 года. Поправки вступили в силу 1 января 2002 года, а положения, к</w:t>
      </w:r>
      <w:r>
        <w:t>а</w:t>
      </w:r>
      <w:r>
        <w:t>сающиеся аннулирования брачных контрактов, вступили в силу 1 августа 2001 года. Подробнее о трех существенных изменениях в результате этих р</w:t>
      </w:r>
      <w:r>
        <w:t>е</w:t>
      </w:r>
      <w:r>
        <w:t>форм см. Статья 16: Семья и семейная жизнь, стр. 189-191).</w:t>
      </w:r>
    </w:p>
    <w:p w:rsidR="00000000" w:rsidRDefault="00000000">
      <w:pPr>
        <w:pStyle w:val="H1"/>
      </w:pPr>
      <w:r>
        <w:t>Женщины народности маори</w:t>
      </w:r>
    </w:p>
    <w:p w:rsidR="00000000" w:rsidRDefault="00000000">
      <w:pPr>
        <w:pStyle w:val="SingleTxt"/>
        <w:ind w:left="1740" w:hanging="476"/>
        <w:rPr>
          <w:i/>
        </w:rPr>
      </w:pPr>
      <w:r>
        <w:rPr>
          <w:i/>
        </w:rPr>
        <w:tab/>
      </w:r>
      <w:r>
        <w:rPr>
          <w:i/>
        </w:rPr>
        <w:tab/>
        <w:t>Комитет выражает обеспокоенность тем, что во многих районах пол</w:t>
      </w:r>
      <w:r>
        <w:rPr>
          <w:i/>
        </w:rPr>
        <w:t>о</w:t>
      </w:r>
      <w:r>
        <w:rPr>
          <w:i/>
        </w:rPr>
        <w:t>жение женщин-маори остается неудовлетворительным, что, среди пр</w:t>
      </w:r>
      <w:r>
        <w:rPr>
          <w:i/>
        </w:rPr>
        <w:t>о</w:t>
      </w:r>
      <w:r>
        <w:rPr>
          <w:i/>
        </w:rPr>
        <w:t>чего, проявляется в высокой процентной доле девочек-маори, досрочно прекращающих посещать школу, более высоком уровне беременности среди девочек-подростков, сохранении низкого уровня представленности женщин-маори в высших учебных заведениях, их положении в области трудоустройства, их непредставленности в судебной системе и на п</w:t>
      </w:r>
      <w:r>
        <w:rPr>
          <w:i/>
        </w:rPr>
        <w:t>о</w:t>
      </w:r>
      <w:r>
        <w:rPr>
          <w:i/>
        </w:rPr>
        <w:t>литических должностях директивного уровня, их положении в области здравоохранения и недоступности для них медицинских услуг, а также более высоких по сравнению со средними показателями случаях насилия в семье.</w:t>
      </w:r>
    </w:p>
    <w:p w:rsidR="00000000" w:rsidRDefault="00000000">
      <w:pPr>
        <w:pStyle w:val="SingleTxt"/>
      </w:pPr>
      <w:r>
        <w:t>Правительство применяет «комплексный государственный» подход к м</w:t>
      </w:r>
      <w:r>
        <w:t>о</w:t>
      </w:r>
      <w:r>
        <w:t>ниторингу мер политики в области удовлетворения потребностей находящихся в неблагоприятном положении общин и определению направлений социальной и экономической политики, ориентированной на более эффективное удовлетв</w:t>
      </w:r>
      <w:r>
        <w:t>о</w:t>
      </w:r>
      <w:r>
        <w:t>рение потребностей женщин-маори и женщин тихоокеанских островов. Прежде этот подход назывался «Ликвидация разрывов», но затем был переименован в «Сокращение неравенства», с тем чтобы особо выделить женщин-маори и т</w:t>
      </w:r>
      <w:r>
        <w:t>и</w:t>
      </w:r>
      <w:r>
        <w:t>хоокеанских островов и других, находящихся в неблагоприятном положении новозеландцев. В этой работе принимает участие МДЖ, которое подняло ва</w:t>
      </w:r>
      <w:r>
        <w:t>ж</w:t>
      </w:r>
      <w:r>
        <w:t>ные вопросы, св</w:t>
      </w:r>
      <w:r>
        <w:t>я</w:t>
      </w:r>
      <w:r>
        <w:t>занные с женщинами-маори.</w:t>
      </w:r>
    </w:p>
    <w:p w:rsidR="00000000" w:rsidRDefault="00000000">
      <w:pPr>
        <w:pStyle w:val="SingleTxt"/>
      </w:pPr>
      <w:r>
        <w:t>Министерство по делам развития маори «Те Пуни Кокири» (ТПК) выпо</w:t>
      </w:r>
      <w:r>
        <w:t>л</w:t>
      </w:r>
      <w:r>
        <w:t xml:space="preserve">няет свои функции контроля и политические функции на основании Закона 1991 года о министерстве по делам развития маори. </w:t>
      </w:r>
      <w:r>
        <w:rPr>
          <w:caps/>
        </w:rPr>
        <w:t>в</w:t>
      </w:r>
      <w:r>
        <w:t xml:space="preserve"> 2000 году правительство расширило его функции и включило в них функцию проверки эффективности выполнения. При выполнении своих функций мониторинга и проверки ТПК преследует следующие цели:</w:t>
      </w:r>
    </w:p>
    <w:p w:rsidR="00000000" w:rsidRDefault="00000000">
      <w:pPr>
        <w:pStyle w:val="dot"/>
      </w:pPr>
      <w:r>
        <w:tab/>
      </w:r>
      <w:r>
        <w:tab/>
        <w:t>•</w:t>
      </w:r>
      <w:r>
        <w:tab/>
        <w:t>мониторинг, оценка и проверка эффективности программ, услуг и орган</w:t>
      </w:r>
      <w:r>
        <w:t>и</w:t>
      </w:r>
      <w:r>
        <w:t>зационных потенциалов в государственном секторе с целью улучшения пол</w:t>
      </w:r>
      <w:r>
        <w:t>о</w:t>
      </w:r>
      <w:r>
        <w:t>жения женщин-маори</w:t>
      </w:r>
    </w:p>
    <w:p w:rsidR="00000000" w:rsidRDefault="00000000">
      <w:pPr>
        <w:pStyle w:val="dot"/>
      </w:pPr>
      <w:r>
        <w:tab/>
      </w:r>
      <w:r>
        <w:tab/>
        <w:t>•</w:t>
      </w:r>
      <w:r>
        <w:tab/>
        <w:t>работа с центральными учреждениями, направленная на улучшение пок</w:t>
      </w:r>
      <w:r>
        <w:t>а</w:t>
      </w:r>
      <w:r>
        <w:t>зателей их деятельности и подо</w:t>
      </w:r>
      <w:r>
        <w:t>т</w:t>
      </w:r>
      <w:r>
        <w:t>четности</w:t>
      </w:r>
    </w:p>
    <w:p w:rsidR="00000000" w:rsidRDefault="00000000">
      <w:pPr>
        <w:pStyle w:val="dot"/>
      </w:pPr>
      <w:r>
        <w:tab/>
      </w:r>
      <w:r>
        <w:tab/>
        <w:t>•</w:t>
      </w:r>
      <w:r>
        <w:tab/>
        <w:t>сбор информации для информирования правительства о положении же</w:t>
      </w:r>
      <w:r>
        <w:t>н</w:t>
      </w:r>
      <w:r>
        <w:t>щин-маори, включая информацию о возможностях и рисках.</w:t>
      </w:r>
    </w:p>
    <w:p w:rsidR="00000000" w:rsidRDefault="00000000">
      <w:pPr>
        <w:pStyle w:val="SingleTxt"/>
      </w:pPr>
      <w:r>
        <w:t>Работу ТПК по мониторингу и проверке с учетом достижения трех н</w:t>
      </w:r>
      <w:r>
        <w:t>а</w:t>
      </w:r>
      <w:r>
        <w:t>званных целей ежегодно утверждает министр по делам маори от имени прав</w:t>
      </w:r>
      <w:r>
        <w:t>и</w:t>
      </w:r>
      <w:r>
        <w:t>тельства. Кроме того, программа работы в области проверки представляется кабинету м</w:t>
      </w:r>
      <w:r>
        <w:t>и</w:t>
      </w:r>
      <w:r>
        <w:t>нистров на предмет ее утверждения на ежегодной основе.</w:t>
      </w:r>
    </w:p>
    <w:p w:rsidR="00000000" w:rsidRDefault="00000000">
      <w:pPr>
        <w:pStyle w:val="SingleTxt"/>
      </w:pPr>
      <w:r>
        <w:t>Однако следует отметить, что функции ТПК по мониторингу и проверке являются частью более широкого комплекса мероприятий в области монит</w:t>
      </w:r>
      <w:r>
        <w:t>о</w:t>
      </w:r>
      <w:r>
        <w:t>ринга прогресса в деле ускорения темпов улучшения положения женщин-маори. Например, правительство требует, чтобы каждое учреждение и депа</w:t>
      </w:r>
      <w:r>
        <w:t>р</w:t>
      </w:r>
      <w:r>
        <w:t>тамент осуществляли мониторинг и оценку выполнения своих собственных программ и задач в области оказания услуг, в частности их эффективность для женщин-маори.</w:t>
      </w:r>
    </w:p>
    <w:p w:rsidR="00000000" w:rsidRDefault="00000000">
      <w:pPr>
        <w:pStyle w:val="SingleTxt"/>
      </w:pPr>
      <w:r>
        <w:t>МДЖ опубликовало доклад под названием «</w:t>
      </w:r>
      <w:r>
        <w:rPr>
          <w:i/>
        </w:rPr>
        <w:t>Женщины-маори: выявление неравенства и изыскание путей для улучшения их положения</w:t>
      </w:r>
      <w:r>
        <w:t>» (сентябрь 2001 года). В этом докладе приводятся дизагрегированные данные о положении женщин-маори в сравнении с положениями мужчин-маори и женщинами и мужчинами, не являющимися представителями этой народности, в секторе о</w:t>
      </w:r>
      <w:r>
        <w:t>б</w:t>
      </w:r>
      <w:r>
        <w:t>разования, занятости, доходной деятельности, здравоохранения, обеспечения жильем и уголовного правосудия. В этом докладе указаны те секторы, в кот</w:t>
      </w:r>
      <w:r>
        <w:t>о</w:t>
      </w:r>
      <w:r>
        <w:t>рых женщины-маори неизменно сталкиваются с условиями неравенства, и предлагаются области для принятия необходимых текущих мер и акцентиров</w:t>
      </w:r>
      <w:r>
        <w:t>а</w:t>
      </w:r>
      <w:r>
        <w:t>ния внимания правительс</w:t>
      </w:r>
      <w:r>
        <w:t>т</w:t>
      </w:r>
      <w:r>
        <w:t>ва в будущем.</w:t>
      </w:r>
    </w:p>
    <w:p w:rsidR="00000000" w:rsidRDefault="00000000">
      <w:pPr>
        <w:pStyle w:val="SingleTxt"/>
      </w:pPr>
      <w:r>
        <w:t>Вместе с тем доклад «</w:t>
      </w:r>
      <w:r>
        <w:rPr>
          <w:i/>
        </w:rPr>
        <w:t>Женщины маори</w:t>
      </w:r>
      <w:r>
        <w:t>» имеет своей целью обеспечить механизм для оказания содействия правительственным учреждениям в выпо</w:t>
      </w:r>
      <w:r>
        <w:t>л</w:t>
      </w:r>
      <w:r>
        <w:t>нении следующих задач:</w:t>
      </w:r>
    </w:p>
    <w:p w:rsidR="00000000" w:rsidRDefault="00000000">
      <w:pPr>
        <w:pStyle w:val="dot"/>
      </w:pPr>
      <w:r>
        <w:tab/>
      </w:r>
      <w:r>
        <w:tab/>
        <w:t>•</w:t>
      </w:r>
      <w:r>
        <w:tab/>
        <w:t>проведение гендерного анализа применительно к женщинам-маори и их роли в общинах вханау, хапу, иви и маори</w:t>
      </w:r>
    </w:p>
    <w:p w:rsidR="00000000" w:rsidRDefault="00000000">
      <w:pPr>
        <w:pStyle w:val="dot"/>
      </w:pPr>
      <w:r>
        <w:tab/>
      </w:r>
      <w:r>
        <w:tab/>
        <w:t>•</w:t>
      </w:r>
      <w:r>
        <w:tab/>
        <w:t>более внимательное отношение к нуждам женщин-маори и разработка концепций и поиск решений совместно с женщинами-маори, способс</w:t>
      </w:r>
      <w:r>
        <w:t>т</w:t>
      </w:r>
      <w:r>
        <w:t>вующих вн</w:t>
      </w:r>
      <w:r>
        <w:t>е</w:t>
      </w:r>
      <w:r>
        <w:t>дрению принципов партнерства, участия и защиты.</w:t>
      </w:r>
    </w:p>
    <w:p w:rsidR="00000000" w:rsidRDefault="00000000">
      <w:pPr>
        <w:pStyle w:val="SingleTxt"/>
      </w:pPr>
      <w:r>
        <w:tab/>
        <w:t xml:space="preserve">В своем </w:t>
      </w:r>
      <w:r>
        <w:rPr>
          <w:i/>
        </w:rPr>
        <w:t>Заявлении о намерениях, 2002–2005 годы</w:t>
      </w:r>
      <w:r>
        <w:t>, МДЖ включило ко</w:t>
      </w:r>
      <w:r>
        <w:t>м</w:t>
      </w:r>
      <w:r>
        <w:t>плекс практических мероприятий, конкретно касающихся женщин-маори. Этот комплекс практических мероприятий, «Первоочередные задачи в области улучшения положения женщин маори», предусматривает, в частности, чтобы МДЖ входило в правительство с рекомендациями выбора путей и средств, п</w:t>
      </w:r>
      <w:r>
        <w:t>о</w:t>
      </w:r>
      <w:r>
        <w:t>зволяющих женщинам-маори, как коренным жителям, принимать всестороннее участие в социально-экономическом развитии Новой Зеландии «Аотеароа». Этот комплекс охватывает следующие приорите</w:t>
      </w:r>
      <w:r>
        <w:t>т</w:t>
      </w:r>
      <w:r>
        <w:t>ные области:</w:t>
      </w:r>
    </w:p>
    <w:p w:rsidR="00000000" w:rsidRDefault="00000000">
      <w:pPr>
        <w:pStyle w:val="dot"/>
      </w:pPr>
      <w:r>
        <w:tab/>
      </w:r>
      <w:r>
        <w:tab/>
        <w:t>•</w:t>
      </w:r>
      <w:r>
        <w:tab/>
      </w:r>
      <w:r>
        <w:tab/>
        <w:t>разработка научной стратегии выявления неравенства женщин-маори в жизненно важных областях, направленной на устранение барьеров для участия этих женщин в жизни общества, совместно с министерством по делам развития маори, министерством образования, социальной полит</w:t>
      </w:r>
      <w:r>
        <w:t>и</w:t>
      </w:r>
      <w:r>
        <w:t xml:space="preserve">ки, юстиции и здравоохранения, департаментами труда и исправительных работ, а также жилищного строительства Новой Зеландии в консультации со </w:t>
      </w:r>
      <w:r>
        <w:rPr>
          <w:caps/>
        </w:rPr>
        <w:t>с</w:t>
      </w:r>
      <w:r>
        <w:t>татистическим управлением Новой Зеландии, департаментом пр</w:t>
      </w:r>
      <w:r>
        <w:t>е</w:t>
      </w:r>
      <w:r>
        <w:t>мьер-министра и кабинетом министров, министерством финансов и К</w:t>
      </w:r>
      <w:r>
        <w:t>о</w:t>
      </w:r>
      <w:r>
        <w:t>миссией государственных услуг</w:t>
      </w:r>
    </w:p>
    <w:p w:rsidR="00000000" w:rsidRDefault="00000000">
      <w:pPr>
        <w:pStyle w:val="dot"/>
      </w:pPr>
      <w:r>
        <w:tab/>
      </w:r>
      <w:r>
        <w:tab/>
        <w:t>•</w:t>
      </w:r>
      <w:r>
        <w:tab/>
      </w:r>
      <w:r>
        <w:tab/>
        <w:t>внесение рекомендаций по устранению явных и скрытых системных и структурных барьеров, препя</w:t>
      </w:r>
      <w:r>
        <w:t>т</w:t>
      </w:r>
      <w:r>
        <w:t>ствующих улучшению положения женщин-маори и развитию их предприним</w:t>
      </w:r>
      <w:r>
        <w:t>а</w:t>
      </w:r>
      <w:r>
        <w:t>тельской деятельности</w:t>
      </w:r>
    </w:p>
    <w:p w:rsidR="00000000" w:rsidRDefault="00000000">
      <w:pPr>
        <w:pStyle w:val="dot"/>
      </w:pPr>
      <w:r>
        <w:tab/>
      </w:r>
      <w:r>
        <w:tab/>
        <w:t>•</w:t>
      </w:r>
      <w:r>
        <w:tab/>
        <w:t>проведение консультаций, направленных на обеспечение расширения до</w:t>
      </w:r>
      <w:r>
        <w:t>с</w:t>
      </w:r>
      <w:r>
        <w:t>тупа женщин-маори к социальным, экономическим и экологическим р</w:t>
      </w:r>
      <w:r>
        <w:t>е</w:t>
      </w:r>
      <w:r>
        <w:t>сурсам и прав на владение ими</w:t>
      </w:r>
    </w:p>
    <w:p w:rsidR="00000000" w:rsidRDefault="00000000">
      <w:pPr>
        <w:pStyle w:val="dot"/>
      </w:pPr>
      <w:r>
        <w:tab/>
      </w:r>
      <w:r>
        <w:tab/>
        <w:t>•</w:t>
      </w:r>
      <w:r>
        <w:tab/>
        <w:t>разработка стратегий расширения участия женщин-маори в процессе р</w:t>
      </w:r>
      <w:r>
        <w:t>е</w:t>
      </w:r>
      <w:r>
        <w:t>гионального развития в консультации с женщинами-маори и министерс</w:t>
      </w:r>
      <w:r>
        <w:t>т</w:t>
      </w:r>
      <w:r>
        <w:t>вом эк</w:t>
      </w:r>
      <w:r>
        <w:t>о</w:t>
      </w:r>
      <w:r>
        <w:t>номического развития</w:t>
      </w:r>
    </w:p>
    <w:p w:rsidR="00000000" w:rsidRDefault="00000000">
      <w:pPr>
        <w:pStyle w:val="dot"/>
      </w:pPr>
      <w:r>
        <w:tab/>
      </w:r>
      <w:r>
        <w:tab/>
        <w:t>•</w:t>
      </w:r>
      <w:r>
        <w:tab/>
        <w:t>разработка, в консультации с ТПК, показателей положения женщин-маори для оценки прогресса в решении первоочередных задач правительства, касающихся положения женщин-маори</w:t>
      </w:r>
    </w:p>
    <w:p w:rsidR="00000000" w:rsidRDefault="00000000">
      <w:pPr>
        <w:pStyle w:val="dot"/>
      </w:pPr>
      <w:r>
        <w:tab/>
      </w:r>
      <w:r>
        <w:tab/>
        <w:t>•</w:t>
      </w:r>
      <w:r>
        <w:tab/>
        <w:t>продолжение налаживания отношений с женщинами-маори на национал</w:t>
      </w:r>
      <w:r>
        <w:t>ь</w:t>
      </w:r>
      <w:r>
        <w:t>ном и местном уровне в целях информирования женщин маори о процессе разработки политики и проектов и деятельности министерства и прав</w:t>
      </w:r>
      <w:r>
        <w:t>и</w:t>
      </w:r>
      <w:r>
        <w:t>тельства по в</w:t>
      </w:r>
      <w:r>
        <w:t>о</w:t>
      </w:r>
      <w:r>
        <w:t>просам, касающихся женщин-маори.</w:t>
      </w:r>
    </w:p>
    <w:p w:rsidR="00000000" w:rsidRDefault="00000000">
      <w:pPr>
        <w:pStyle w:val="SingleTxt"/>
        <w:ind w:left="1740" w:hanging="476"/>
        <w:rPr>
          <w:i/>
        </w:rPr>
      </w:pPr>
      <w:r>
        <w:rPr>
          <w:i/>
        </w:rPr>
        <w:tab/>
      </w:r>
      <w:r>
        <w:rPr>
          <w:i/>
        </w:rPr>
        <w:tab/>
        <w:t>Комитет настоятельно призывает правительство продолжать прил</w:t>
      </w:r>
      <w:r>
        <w:rPr>
          <w:i/>
        </w:rPr>
        <w:t>а</w:t>
      </w:r>
      <w:r>
        <w:rPr>
          <w:i/>
        </w:rPr>
        <w:t>гать усилия для целей всестороннего осуществления Договора Вайтанги с уделением особого внимания вопросу обеспечения равноправного пол</w:t>
      </w:r>
      <w:r>
        <w:rPr>
          <w:i/>
        </w:rPr>
        <w:t>о</w:t>
      </w:r>
      <w:r>
        <w:rPr>
          <w:i/>
        </w:rPr>
        <w:t>жения женщин маори во всех областях, охватываемых Конве</w:t>
      </w:r>
      <w:r>
        <w:rPr>
          <w:i/>
        </w:rPr>
        <w:t>н</w:t>
      </w:r>
      <w:r>
        <w:rPr>
          <w:i/>
        </w:rPr>
        <w:t>цией.</w:t>
      </w:r>
    </w:p>
    <w:p w:rsidR="00000000" w:rsidRDefault="00000000">
      <w:pPr>
        <w:pStyle w:val="SingleTxt"/>
      </w:pPr>
      <w:r>
        <w:t>Правительство продолжает прилагать усилия по осуществлению Договора Вайтанги. Так, первая из шести ключевых правительственных целей, опред</w:t>
      </w:r>
      <w:r>
        <w:t>е</w:t>
      </w:r>
      <w:r>
        <w:t>ляющих формирование и проведение политики государственного сектора, з</w:t>
      </w:r>
      <w:r>
        <w:t>а</w:t>
      </w:r>
      <w:r>
        <w:t>ключается в укреплении государственности и соблюдении принципа Договора Вайтанги.</w:t>
      </w:r>
    </w:p>
    <w:p w:rsidR="00000000" w:rsidRDefault="00000000">
      <w:pPr>
        <w:pStyle w:val="SingleTxt"/>
      </w:pPr>
      <w:r>
        <w:t>Другая цель заключается в сокращении неравенства в области здрав</w:t>
      </w:r>
      <w:r>
        <w:t>о</w:t>
      </w:r>
      <w:r>
        <w:t>охранения, образования, занятости и обеспечении жильем. Межсекторальная координация стратегий и укрепления потенциалов является ключевыми эл</w:t>
      </w:r>
      <w:r>
        <w:t>е</w:t>
      </w:r>
      <w:r>
        <w:t>ментом улучшения положения общин маори в этих секторах. В настоящем до</w:t>
      </w:r>
      <w:r>
        <w:t>к</w:t>
      </w:r>
      <w:r>
        <w:t xml:space="preserve">ладе приводятся некоторые конкретные стратегии, которые осуществляются с целью решения проблем маори и выполнения </w:t>
      </w:r>
      <w:r>
        <w:rPr>
          <w:caps/>
        </w:rPr>
        <w:t>д</w:t>
      </w:r>
      <w:r>
        <w:t>оговора Вайтанги в государс</w:t>
      </w:r>
      <w:r>
        <w:t>т</w:t>
      </w:r>
      <w:r>
        <w:t>венном секторе.</w:t>
      </w:r>
    </w:p>
    <w:p w:rsidR="00000000" w:rsidRDefault="00000000">
      <w:pPr>
        <w:pStyle w:val="SingleTxt"/>
      </w:pPr>
      <w:r>
        <w:t>Что касается социальной политики, то в 2000 году правительство приняло законодательство в области здравоохранения, которое охватывает широкий круг областей, в том числе Договор Вайтайги, с тем чтобы достичь его целей, к</w:t>
      </w:r>
      <w:r>
        <w:t>а</w:t>
      </w:r>
      <w:r>
        <w:t>сающихся охраны здоровья народности маори.</w:t>
      </w:r>
    </w:p>
    <w:p w:rsidR="00000000" w:rsidRDefault="00000000">
      <w:pPr>
        <w:pStyle w:val="SingleTxt"/>
        <w:ind w:left="1740" w:hanging="476"/>
        <w:rPr>
          <w:i/>
        </w:rPr>
      </w:pPr>
      <w:r>
        <w:rPr>
          <w:i/>
        </w:rPr>
        <w:tab/>
      </w:r>
      <w:r>
        <w:rPr>
          <w:i/>
        </w:rPr>
        <w:tab/>
        <w:t>Комитет настоятельно призывает правительство в безотлагательном порядке осуществить перевод на язык маори Конвенции о ликвидации всех форм дискриминации в отношении женщин и обеспечить ее широкое ра</w:t>
      </w:r>
      <w:r>
        <w:rPr>
          <w:i/>
        </w:rPr>
        <w:t>с</w:t>
      </w:r>
      <w:r>
        <w:rPr>
          <w:i/>
        </w:rPr>
        <w:t>пространение в общинах маори, с тем чтобы повысить уровень осведо</w:t>
      </w:r>
      <w:r>
        <w:rPr>
          <w:i/>
        </w:rPr>
        <w:t>м</w:t>
      </w:r>
      <w:r>
        <w:rPr>
          <w:i/>
        </w:rPr>
        <w:t>ленности женщин Новой Зеландии об их пр</w:t>
      </w:r>
      <w:r>
        <w:rPr>
          <w:i/>
        </w:rPr>
        <w:t>а</w:t>
      </w:r>
      <w:r>
        <w:rPr>
          <w:i/>
        </w:rPr>
        <w:t>вах.</w:t>
      </w:r>
    </w:p>
    <w:p w:rsidR="00000000" w:rsidRDefault="00000000">
      <w:pPr>
        <w:pStyle w:val="SingleTxt"/>
      </w:pPr>
      <w:r>
        <w:t>В ознаменование двадцатой годовщины со дня принятия Конвенции и с тем чтобы внести свой вклад в достижение целей Международного десятил</w:t>
      </w:r>
      <w:r>
        <w:t>е</w:t>
      </w:r>
      <w:r>
        <w:t>тия коренных народов мира, 1995-2005 годы, Комиссия по правам человека в партнерстве с ТПК опубликовала брошюры, посвященные Конвенции и Ф</w:t>
      </w:r>
      <w:r>
        <w:t>а</w:t>
      </w:r>
      <w:r>
        <w:t>культативному протоколу к ней, как на английском языке, так и на языке маори. Эти брошюры получили шир</w:t>
      </w:r>
      <w:r>
        <w:t>о</w:t>
      </w:r>
      <w:r>
        <w:t>кое распространение.</w:t>
      </w:r>
    </w:p>
    <w:p w:rsidR="00000000" w:rsidRDefault="00000000">
      <w:pPr>
        <w:pStyle w:val="H1"/>
        <w:ind w:left="1264" w:firstLine="0"/>
      </w:pPr>
      <w:r>
        <w:t>Участие в политической и общественной жизни</w:t>
      </w:r>
    </w:p>
    <w:p w:rsidR="00000000" w:rsidRDefault="00000000">
      <w:pPr>
        <w:pStyle w:val="SingleTxt"/>
        <w:ind w:left="1740" w:hanging="476"/>
        <w:rPr>
          <w:i/>
        </w:rPr>
      </w:pPr>
      <w:r>
        <w:rPr>
          <w:i/>
        </w:rPr>
        <w:tab/>
      </w:r>
      <w:r>
        <w:rPr>
          <w:i/>
        </w:rPr>
        <w:tab/>
        <w:t>Комитет выражает свою озабоченность в связи с тем, что, несмотря на прогресс, достигнутый в деле обеспечения равноправного участия же</w:t>
      </w:r>
      <w:r>
        <w:rPr>
          <w:i/>
        </w:rPr>
        <w:t>н</w:t>
      </w:r>
      <w:r>
        <w:rPr>
          <w:i/>
        </w:rPr>
        <w:t>щин в политической и общественной жизни, в том числе деятельности парламента, судебных органов и статутных советов, не прилагается серьезных усилий для обеспечения гендерного баланса на основе принятия временных специальных мер.</w:t>
      </w:r>
    </w:p>
    <w:p w:rsidR="00000000" w:rsidRDefault="00000000">
      <w:pPr>
        <w:pStyle w:val="SingleTxt"/>
        <w:ind w:left="1740" w:hanging="476"/>
        <w:rPr>
          <w:i/>
        </w:rPr>
      </w:pPr>
      <w:r>
        <w:rPr>
          <w:i/>
        </w:rPr>
        <w:tab/>
      </w:r>
      <w:r>
        <w:rPr>
          <w:i/>
        </w:rPr>
        <w:tab/>
        <w:t>Комитет рекомендует правительству рассмотреть возможность пр</w:t>
      </w:r>
      <w:r>
        <w:rPr>
          <w:i/>
        </w:rPr>
        <w:t>и</w:t>
      </w:r>
      <w:r>
        <w:rPr>
          <w:i/>
        </w:rPr>
        <w:t>нятия целого ряда мер, включая установление целевых показателей и гибких колич</w:t>
      </w:r>
      <w:r>
        <w:rPr>
          <w:i/>
        </w:rPr>
        <w:t>е</w:t>
      </w:r>
      <w:r>
        <w:rPr>
          <w:i/>
        </w:rPr>
        <w:t xml:space="preserve">ственных целей. </w:t>
      </w:r>
    </w:p>
    <w:p w:rsidR="00000000" w:rsidRDefault="00000000">
      <w:pPr>
        <w:pStyle w:val="SingleTxt"/>
        <w:ind w:left="1740" w:hanging="476"/>
        <w:rPr>
          <w:i/>
        </w:rPr>
      </w:pPr>
      <w:r>
        <w:rPr>
          <w:i/>
        </w:rPr>
        <w:tab/>
      </w:r>
      <w:r>
        <w:rPr>
          <w:i/>
        </w:rPr>
        <w:tab/>
        <w:t>Следует проанализировать достоинства и недостатки существующей в настоящее время избирательной системы – системы, основанной на принципе смешанного пропорционального представительства, с точки зрения процентной доли женщин в парламенте и, если это необходимо, внести в нее поправки в целях увеличения числа женщин в парламенте.</w:t>
      </w:r>
    </w:p>
    <w:p w:rsidR="00000000" w:rsidRDefault="00000000">
      <w:pPr>
        <w:pStyle w:val="SingleTxt"/>
      </w:pPr>
      <w:r>
        <w:t>Проведенные исследования показывают, что Смешанная пропорционал</w:t>
      </w:r>
      <w:r>
        <w:t>ь</w:t>
      </w:r>
      <w:r>
        <w:t xml:space="preserve">ная система представительства (СПСП) позволила увеличить численность и расширить этническую представленность женщин в парламенте. Кроме того, правительство по-прежнему привержено сохранению </w:t>
      </w:r>
      <w:r>
        <w:rPr>
          <w:caps/>
        </w:rPr>
        <w:t>с</w:t>
      </w:r>
      <w:r>
        <w:t>лужбы назначений, функционирующей в рамках МДЖ (см. Статья 7: Политическая и обществе</w:t>
      </w:r>
      <w:r>
        <w:t>н</w:t>
      </w:r>
      <w:r>
        <w:t>ная жизнь, стр. 67-68).</w:t>
      </w:r>
    </w:p>
    <w:p w:rsidR="00000000" w:rsidRDefault="00000000">
      <w:pPr>
        <w:pStyle w:val="H1"/>
      </w:pPr>
      <w:r>
        <w:t>Министерство по делам женщин</w:t>
      </w:r>
    </w:p>
    <w:p w:rsidR="00000000" w:rsidRDefault="00000000">
      <w:pPr>
        <w:pStyle w:val="SingleTxt"/>
        <w:ind w:left="1740" w:hanging="476"/>
        <w:rPr>
          <w:i/>
        </w:rPr>
      </w:pPr>
      <w:r>
        <w:rPr>
          <w:i/>
        </w:rPr>
        <w:tab/>
      </w:r>
      <w:r>
        <w:rPr>
          <w:i/>
        </w:rPr>
        <w:tab/>
        <w:t>Комитет считает, что чисто консультативный и координационный х</w:t>
      </w:r>
      <w:r>
        <w:rPr>
          <w:i/>
        </w:rPr>
        <w:t>а</w:t>
      </w:r>
      <w:r>
        <w:rPr>
          <w:i/>
        </w:rPr>
        <w:t>рактер министерства по делам женщин не позволяет активно содейс</w:t>
      </w:r>
      <w:r>
        <w:rPr>
          <w:i/>
        </w:rPr>
        <w:t>т</w:t>
      </w:r>
      <w:r>
        <w:rPr>
          <w:i/>
        </w:rPr>
        <w:t>вовать отстаиванию общ</w:t>
      </w:r>
      <w:r>
        <w:rPr>
          <w:i/>
        </w:rPr>
        <w:t>е</w:t>
      </w:r>
      <w:r>
        <w:rPr>
          <w:i/>
        </w:rPr>
        <w:t>человеческих прав женщин в Новой Зеландии.</w:t>
      </w:r>
    </w:p>
    <w:p w:rsidR="00000000" w:rsidRDefault="00000000">
      <w:pPr>
        <w:pStyle w:val="SingleTxt"/>
        <w:ind w:left="1740" w:hanging="476"/>
        <w:rPr>
          <w:i/>
        </w:rPr>
      </w:pPr>
      <w:r>
        <w:rPr>
          <w:i/>
        </w:rPr>
        <w:tab/>
      </w:r>
      <w:r>
        <w:rPr>
          <w:i/>
        </w:rPr>
        <w:tab/>
        <w:t>Комитет рекомендует повысить статус министерства по делам же</w:t>
      </w:r>
      <w:r>
        <w:rPr>
          <w:i/>
        </w:rPr>
        <w:t>н</w:t>
      </w:r>
      <w:r>
        <w:rPr>
          <w:i/>
        </w:rPr>
        <w:t>щин и его способн</w:t>
      </w:r>
      <w:r>
        <w:rPr>
          <w:i/>
        </w:rPr>
        <w:t>о</w:t>
      </w:r>
      <w:r>
        <w:rPr>
          <w:i/>
        </w:rPr>
        <w:t>сти влиять на принятие решений.</w:t>
      </w:r>
    </w:p>
    <w:p w:rsidR="00000000" w:rsidRDefault="00000000">
      <w:pPr>
        <w:pStyle w:val="SingleTxt"/>
      </w:pPr>
      <w:r>
        <w:t>Правительство по-прежнему привержено сохранению нынешней формы МДЖ, то есть его функционированию в качестве полностью государственного учреждения согласно Закону о государственном секторе 1988 года, возглавля</w:t>
      </w:r>
      <w:r>
        <w:t>е</w:t>
      </w:r>
      <w:r>
        <w:t>мого директором-исполнителем и министром, входящими в состав кабинета министров, и располагающими годовым бюджетом денежных средств в размере 4,3 млн. долл. США. Это министерство представляет собой главный правител</w:t>
      </w:r>
      <w:r>
        <w:t>ь</w:t>
      </w:r>
      <w:r>
        <w:t>ственный механизм по внесению рекомендаций по гендерным вопросам с ц</w:t>
      </w:r>
      <w:r>
        <w:t>е</w:t>
      </w:r>
      <w:r>
        <w:t>лью улучшения положения женщин в Новой Зеландии. МДЖ выполняет эти функции в рамках своей программы работы, ориентированной на решение ключевых вопросов положения женщин, а также на стимулирование других г</w:t>
      </w:r>
      <w:r>
        <w:t>о</w:t>
      </w:r>
      <w:r>
        <w:t>сударственных директивных органов принимать все возможные меры для в</w:t>
      </w:r>
      <w:r>
        <w:t>ы</w:t>
      </w:r>
      <w:r>
        <w:t>явления и ликвидации дискриминации в отношении женщин. Кроме того, м</w:t>
      </w:r>
      <w:r>
        <w:t>и</w:t>
      </w:r>
      <w:r>
        <w:t xml:space="preserve">нистерство, в рамках своей </w:t>
      </w:r>
      <w:r>
        <w:rPr>
          <w:caps/>
        </w:rPr>
        <w:t>с</w:t>
      </w:r>
      <w:r>
        <w:t>лужбы назначений, обеспечивает условия, при к</w:t>
      </w:r>
      <w:r>
        <w:t>о</w:t>
      </w:r>
      <w:r>
        <w:t>торых кандидатуры женщин в надлежащем порядке активно рассматриваются для назначения на директивные государственные дол</w:t>
      </w:r>
      <w:r>
        <w:t>ж</w:t>
      </w:r>
      <w:r>
        <w:t>ности.</w:t>
      </w:r>
    </w:p>
    <w:p w:rsidR="00000000" w:rsidRDefault="00000000">
      <w:pPr>
        <w:pStyle w:val="SingleTxt"/>
      </w:pPr>
      <w:r>
        <w:t>В настоящее время правительство требует, чтобы все документы, пре</w:t>
      </w:r>
      <w:r>
        <w:t>д</w:t>
      </w:r>
      <w:r>
        <w:t>ставляемые Комитету по вопросам социального равенства кабинета министров, содержали заявление о гендерных последствиях, подкрепляемое гендерным анализом (см. Статья 3: Развитие и улучшение положения женщин, стр. 45-46).</w:t>
      </w:r>
    </w:p>
    <w:p w:rsidR="00000000" w:rsidRDefault="00000000">
      <w:pPr>
        <w:pStyle w:val="H1"/>
      </w:pPr>
      <w:r>
        <w:t>Лица, занятые в сфере сексуальных услуг</w:t>
      </w:r>
    </w:p>
    <w:p w:rsidR="00000000" w:rsidRDefault="00000000">
      <w:pPr>
        <w:pStyle w:val="SingleTxt"/>
        <w:ind w:left="1740" w:hanging="476"/>
        <w:rPr>
          <w:i/>
        </w:rPr>
      </w:pPr>
      <w:r>
        <w:rPr>
          <w:i/>
        </w:rPr>
        <w:tab/>
      </w:r>
      <w:r>
        <w:rPr>
          <w:i/>
        </w:rPr>
        <w:tab/>
        <w:t>Комитет выражает обеспокоенность тем, что правительство не пр</w:t>
      </w:r>
      <w:r>
        <w:rPr>
          <w:i/>
        </w:rPr>
        <w:t>е</w:t>
      </w:r>
      <w:r>
        <w:rPr>
          <w:i/>
        </w:rPr>
        <w:t>доставило достаточных данных и информации о положении в области проституции, о национальном союзе проституток и об отношении к л</w:t>
      </w:r>
      <w:r>
        <w:rPr>
          <w:i/>
        </w:rPr>
        <w:t>и</w:t>
      </w:r>
      <w:r>
        <w:rPr>
          <w:i/>
        </w:rPr>
        <w:t>цам, занятым в сфере сексуальных услуг, которые находятся в стране незаконно.</w:t>
      </w:r>
    </w:p>
    <w:p w:rsidR="00000000" w:rsidRDefault="00000000">
      <w:pPr>
        <w:pStyle w:val="SingleTxt"/>
        <w:ind w:left="1740" w:hanging="476"/>
        <w:rPr>
          <w:i/>
        </w:rPr>
      </w:pPr>
      <w:r>
        <w:rPr>
          <w:i/>
        </w:rPr>
        <w:tab/>
      </w:r>
      <w:r>
        <w:rPr>
          <w:i/>
        </w:rPr>
        <w:tab/>
        <w:t>Комитет рекомендует правительству предоставить дополнительную информацию по этим вопросам в его следующем докладе. Кроме того, Комитет хотел бы узнать, к какой экономической деятельности отн</w:t>
      </w:r>
      <w:r>
        <w:rPr>
          <w:i/>
        </w:rPr>
        <w:t>о</w:t>
      </w:r>
      <w:r>
        <w:rPr>
          <w:i/>
        </w:rPr>
        <w:t>сится сфера сексуальных услуг для целей национальных счетов и обслед</w:t>
      </w:r>
      <w:r>
        <w:rPr>
          <w:i/>
        </w:rPr>
        <w:t>о</w:t>
      </w:r>
      <w:r>
        <w:rPr>
          <w:i/>
        </w:rPr>
        <w:t>ваний использования врем</w:t>
      </w:r>
      <w:r>
        <w:rPr>
          <w:i/>
        </w:rPr>
        <w:t>е</w:t>
      </w:r>
      <w:r>
        <w:rPr>
          <w:i/>
        </w:rPr>
        <w:t>ни.</w:t>
      </w:r>
    </w:p>
    <w:p w:rsidR="00000000" w:rsidRDefault="00000000">
      <w:pPr>
        <w:pStyle w:val="H23"/>
      </w:pPr>
      <w:r>
        <w:t>Национальный союз проституток Новой Зеландии (НСПНЗ)</w:t>
      </w:r>
    </w:p>
    <w:p w:rsidR="00000000" w:rsidRDefault="00000000">
      <w:pPr>
        <w:pStyle w:val="SingleTxt"/>
      </w:pPr>
      <w:r>
        <w:t>См. Статья 6: Пресечение эксплуатации женщин, стр. 62.</w:t>
      </w:r>
    </w:p>
    <w:p w:rsidR="00000000" w:rsidRDefault="00000000">
      <w:pPr>
        <w:pStyle w:val="H23"/>
      </w:pPr>
      <w:r>
        <w:t>Незаконные иммигранты и лица, занятые в сфере сексуальных услуг</w:t>
      </w:r>
    </w:p>
    <w:p w:rsidR="00000000" w:rsidRDefault="00000000">
      <w:pPr>
        <w:pStyle w:val="SingleTxt"/>
      </w:pPr>
      <w:r>
        <w:t>См. Статья 6: Пресечение эксплуатации женщин, стр. 62-.</w:t>
      </w:r>
    </w:p>
    <w:p w:rsidR="00000000" w:rsidRDefault="00000000">
      <w:pPr>
        <w:pStyle w:val="H23"/>
      </w:pPr>
      <w:r>
        <w:t>Статистическая информация о лицах, занятых в сфере сексуальных услуг</w:t>
      </w:r>
    </w:p>
    <w:p w:rsidR="00000000" w:rsidRDefault="00000000">
      <w:pPr>
        <w:pStyle w:val="SingleTxt"/>
      </w:pPr>
      <w:r>
        <w:t>В национальных счетах отсутствует какая-либо конкретная оценочная статистическая информация, касающаяся «сферы сексуальных услуг». Пре</w:t>
      </w:r>
      <w:r>
        <w:t>д</w:t>
      </w:r>
      <w:r>
        <w:t>принимательская деятельность, подпадающая под эту категорию, классифиц</w:t>
      </w:r>
      <w:r>
        <w:t>и</w:t>
      </w:r>
      <w:r>
        <w:t>руется как ANZSIC Q9529 – Личные услуги (которые включают услуги пу</w:t>
      </w:r>
      <w:r>
        <w:t>б</w:t>
      </w:r>
      <w:r>
        <w:t>личных домов, услуги агентств сопровождения, услуги лиц, занимающихся проституцией, а также целый ряд других личных услуг). Однако данные по этой сфере собираются на основе выборочного экономического обследования, которое охватывает весь раздел Q, "Личные и другие услуги". Для того чтобы «сфера сексуальных услуг» включалась в статистику предпринимательской деятельности Новой Зеландии, она должна быть зарегистрирована на законных основаниях и обеспечивать уплату государственного налога с продаж и иметь определенный численный контингент занятых в этой сфере лиц. Поэтому не представляется возможным определить количественный вклад лиц, занятых в сфере сексуальных услуг, которые не классифицированы в качестве юридич</w:t>
      </w:r>
      <w:r>
        <w:t>е</w:t>
      </w:r>
      <w:r>
        <w:t>ских лиц.</w:t>
      </w:r>
    </w:p>
    <w:p w:rsidR="00000000" w:rsidRDefault="00000000">
      <w:pPr>
        <w:pStyle w:val="SingleTxt"/>
      </w:pPr>
      <w:r>
        <w:t>Для целей Обследования использования времени (см. Статья 2: Антиди</w:t>
      </w:r>
      <w:r>
        <w:t>с</w:t>
      </w:r>
      <w:r>
        <w:t>криминационные меры, стр. 34-35) лицо, занятое в сфере сексуальных услуг, которое являлось респондентом и заполнило вопросник в установленном п</w:t>
      </w:r>
      <w:r>
        <w:t>о</w:t>
      </w:r>
      <w:r>
        <w:t>рядке, указывало в соответствующей графе, что оно работает, с тем чтобы о</w:t>
      </w:r>
      <w:r>
        <w:t>т</w:t>
      </w:r>
      <w:r>
        <w:t>разить любые отрезки времени предоставления платных сексуальных услуг. Этим данным будет присвоен код «оплачиваемая или приносящая доход раб</w:t>
      </w:r>
      <w:r>
        <w:t>о</w:t>
      </w:r>
      <w:r>
        <w:t>та». Однако лица, занятые в сфере сексуальных услуг, не могут быть выделены в отдельную категорию в статистических данных, поскольку роду их занятий присваивается лишь трехзначный код, который недостаточен для того, чтобы выделить этих лиц в отдельную категорию. Можно предположить, что люди неохотно идут на то, чтобы указывать этот вид работы в вопроснике Обслед</w:t>
      </w:r>
      <w:r>
        <w:t>о</w:t>
      </w:r>
      <w:r>
        <w:t>вания использования времени, поскольку большая часть деятельности, связа</w:t>
      </w:r>
      <w:r>
        <w:t>н</w:t>
      </w:r>
      <w:r>
        <w:t>ная с оказанием платных сексуальных услуг, по-прежнему является незако</w:t>
      </w:r>
      <w:r>
        <w:t>н</w:t>
      </w:r>
      <w:r>
        <w:t>ной.</w:t>
      </w:r>
    </w:p>
    <w:p w:rsidR="00000000" w:rsidRDefault="00000000">
      <w:pPr>
        <w:pStyle w:val="SingleTxt"/>
      </w:pPr>
      <w:r>
        <w:t>Более подробно о Законе реформирования проституции, см. Статья 6: Пресечение эксплуатации женщин, стр. 62.</w:t>
      </w:r>
    </w:p>
    <w:p w:rsidR="00000000" w:rsidRDefault="00000000">
      <w:pPr>
        <w:pStyle w:val="H1"/>
      </w:pPr>
      <w:r>
        <w:t>Сравнительные дезагрегированные данные</w:t>
      </w:r>
    </w:p>
    <w:p w:rsidR="00000000" w:rsidRDefault="00000000">
      <w:pPr>
        <w:pStyle w:val="SingleTxt"/>
        <w:ind w:left="1740" w:hanging="476"/>
        <w:rPr>
          <w:i/>
        </w:rPr>
      </w:pPr>
      <w:r>
        <w:rPr>
          <w:i/>
        </w:rPr>
        <w:tab/>
      </w:r>
      <w:r>
        <w:rPr>
          <w:i/>
        </w:rPr>
        <w:tab/>
        <w:t>Комитет выражает озабоченность в связи с тем, что отсутствие сра</w:t>
      </w:r>
      <w:r>
        <w:rPr>
          <w:i/>
        </w:rPr>
        <w:t>в</w:t>
      </w:r>
      <w:r>
        <w:rPr>
          <w:i/>
        </w:rPr>
        <w:t>нительных данных с разбивкой по мужчинам и женщинам и по этнич</w:t>
      </w:r>
      <w:r>
        <w:rPr>
          <w:i/>
        </w:rPr>
        <w:t>е</w:t>
      </w:r>
      <w:r>
        <w:rPr>
          <w:i/>
        </w:rPr>
        <w:t>ской принадлежности, собранных в течение длительного периода врем</w:t>
      </w:r>
      <w:r>
        <w:rPr>
          <w:i/>
        </w:rPr>
        <w:t>е</w:t>
      </w:r>
      <w:r>
        <w:rPr>
          <w:i/>
        </w:rPr>
        <w:t>ни, не позволяет Комитету в полной мере понять изменения, касающиеся фактического полож</w:t>
      </w:r>
      <w:r>
        <w:rPr>
          <w:i/>
        </w:rPr>
        <w:t>е</w:t>
      </w:r>
      <w:r>
        <w:rPr>
          <w:i/>
        </w:rPr>
        <w:t>ния дел в отношении прав человека женщин.</w:t>
      </w:r>
    </w:p>
    <w:p w:rsidR="00000000" w:rsidRDefault="00000000">
      <w:pPr>
        <w:pStyle w:val="SingleTxt"/>
        <w:ind w:left="1740" w:hanging="476"/>
        <w:rPr>
          <w:i/>
        </w:rPr>
      </w:pPr>
      <w:r>
        <w:rPr>
          <w:i/>
        </w:rPr>
        <w:tab/>
      </w:r>
      <w:r>
        <w:rPr>
          <w:i/>
        </w:rPr>
        <w:tab/>
        <w:t>Комитет рекомендует правительству представить в своем следующем докладе бол</w:t>
      </w:r>
      <w:r>
        <w:rPr>
          <w:i/>
        </w:rPr>
        <w:t>ь</w:t>
      </w:r>
      <w:r>
        <w:rPr>
          <w:i/>
        </w:rPr>
        <w:t>ше такой информации.</w:t>
      </w:r>
    </w:p>
    <w:p w:rsidR="00000000" w:rsidRDefault="00000000">
      <w:pPr>
        <w:pStyle w:val="SingleTxt"/>
      </w:pPr>
      <w:r>
        <w:t>Статистическое управление Новой Зеландии (СУНЗ) осуществляет сбор переменных данных об этнической принадлежности с разбивкой по полу. Баз</w:t>
      </w:r>
      <w:r>
        <w:t>о</w:t>
      </w:r>
      <w:r>
        <w:t>вая информация об этнической принадлежности с разбивкой по полу собирае</w:t>
      </w:r>
      <w:r>
        <w:t>т</w:t>
      </w:r>
      <w:r>
        <w:t>ся по целому ряду областей. Социальные обследования, которые были пров</w:t>
      </w:r>
      <w:r>
        <w:t>е</w:t>
      </w:r>
      <w:r>
        <w:t>дены недавно или будут вскоре проведены Статистическим управлением Новой Зеландии, включают в себя оперативные статистические выборки по насел</w:t>
      </w:r>
      <w:r>
        <w:t>е</w:t>
      </w:r>
      <w:r>
        <w:t>нию из числа представителей народности маори, что позволит повысить объем более подробной информации. В качестве примеров можно привести Обслед</w:t>
      </w:r>
      <w:r>
        <w:t>о</w:t>
      </w:r>
      <w:r>
        <w:t>вание использования времени, Обследование престарелых в 2000 году, Обсл</w:t>
      </w:r>
      <w:r>
        <w:t>е</w:t>
      </w:r>
      <w:r>
        <w:t>дование инвалидов (которое также включало оперативную выборку по насел</w:t>
      </w:r>
      <w:r>
        <w:t>е</w:t>
      </w:r>
      <w:r>
        <w:t>нию тихоокеанских островов), а также Обследование накоплений домашних хозяйств.</w:t>
      </w:r>
    </w:p>
    <w:p w:rsidR="00000000" w:rsidRDefault="00000000">
      <w:pPr>
        <w:pStyle w:val="SingleTxt"/>
        <w:ind w:left="1740" w:hanging="476"/>
        <w:rPr>
          <w:i/>
        </w:rPr>
      </w:pPr>
      <w:r>
        <w:rPr>
          <w:i/>
        </w:rPr>
        <w:tab/>
      </w:r>
      <w:r>
        <w:rPr>
          <w:i/>
        </w:rPr>
        <w:tab/>
        <w:t>Женщины-маори: Выявление неравенства и искание путей улучшения их полож</w:t>
      </w:r>
      <w:r>
        <w:rPr>
          <w:i/>
        </w:rPr>
        <w:t>е</w:t>
      </w:r>
      <w:r>
        <w:rPr>
          <w:i/>
        </w:rPr>
        <w:t>ния, см. стр. 19-20 английского текста.</w:t>
      </w:r>
    </w:p>
    <w:p w:rsidR="00000000" w:rsidRDefault="00000000">
      <w:pPr>
        <w:pStyle w:val="H23"/>
      </w:pPr>
      <w:r>
        <w:t>Обзор показателей этнической принадлежности</w:t>
      </w:r>
    </w:p>
    <w:p w:rsidR="00000000" w:rsidRDefault="00000000">
      <w:pPr>
        <w:pStyle w:val="SingleTxt"/>
      </w:pPr>
      <w:r>
        <w:rPr>
          <w:caps/>
        </w:rPr>
        <w:t>в</w:t>
      </w:r>
      <w:r>
        <w:t xml:space="preserve"> настоящее время СУНЗ осуществляет обзор показателей этнической принадлежности. Последний обзор статистических данных по этнической пр</w:t>
      </w:r>
      <w:r>
        <w:t>и</w:t>
      </w:r>
      <w:r>
        <w:t>надлежности был проведен в 1988 году. После проведения этого обзора изм</w:t>
      </w:r>
      <w:r>
        <w:t>е</w:t>
      </w:r>
      <w:r>
        <w:t>нились потребности пользователей статистических данных, изменился этнич</w:t>
      </w:r>
      <w:r>
        <w:t>е</w:t>
      </w:r>
      <w:r>
        <w:t>ский состав населения Новой Зеландии, а также методы сбора и использования данных об этнической принадлежности правительством и другими учрежд</w:t>
      </w:r>
      <w:r>
        <w:t>е</w:t>
      </w:r>
      <w:r>
        <w:t>ниями. Показатели этнической принадлежности в официальных социальных статистических данных должны в максимальной степени отвечать потребн</w:t>
      </w:r>
      <w:r>
        <w:t>о</w:t>
      </w:r>
      <w:r>
        <w:t>стям как пользователей статистических данных, так и людей, представляющих такую информацию.</w:t>
      </w:r>
    </w:p>
    <w:p w:rsidR="00000000" w:rsidRDefault="00000000">
      <w:pPr>
        <w:pStyle w:val="SingleTxt"/>
      </w:pPr>
      <w:r>
        <w:t>Цель упомянутого выше обзора заключается в пересмотре концепций и показателей этнической принадлежности, которые использовались с момента проведения последнего обзора. План работы предусматривает обновление этих концепций и показателей в случае необходимости с учетом мнений представ</w:t>
      </w:r>
      <w:r>
        <w:t>и</w:t>
      </w:r>
      <w:r>
        <w:t>телей этнических групп, а также составителей и пользователей статистики, к</w:t>
      </w:r>
      <w:r>
        <w:t>а</w:t>
      </w:r>
      <w:r>
        <w:t>сающейся этнической принадлежности. В этой связи были проведены обши</w:t>
      </w:r>
      <w:r>
        <w:t>р</w:t>
      </w:r>
      <w:r>
        <w:t>ные консультации, и в настоящее время осуществляется оценка полученных р</w:t>
      </w:r>
      <w:r>
        <w:t>е</w:t>
      </w:r>
      <w:r>
        <w:t>зультатов.</w:t>
      </w:r>
    </w:p>
    <w:p w:rsidR="00000000" w:rsidRDefault="00000000">
      <w:pPr>
        <w:pStyle w:val="H23"/>
      </w:pPr>
      <w:r>
        <w:t>Программа в области социальной статистики</w:t>
      </w:r>
    </w:p>
    <w:p w:rsidR="00000000" w:rsidRDefault="00000000">
      <w:pPr>
        <w:pStyle w:val="SingleTxt"/>
      </w:pPr>
      <w:r>
        <w:t>Существующий свод в Новой Зеландии социальной статистики не обесп</w:t>
      </w:r>
      <w:r>
        <w:t>е</w:t>
      </w:r>
      <w:r>
        <w:t>чивает надлежащей основы для разработки обоснованной социальной полит</w:t>
      </w:r>
      <w:r>
        <w:t>и</w:t>
      </w:r>
      <w:r>
        <w:t>ки. В отличие от системы экономической статистики официальная система с</w:t>
      </w:r>
      <w:r>
        <w:t>о</w:t>
      </w:r>
      <w:r>
        <w:t>циальной статистики состоит из ряда разрозненных сегментов, работа в кот</w:t>
      </w:r>
      <w:r>
        <w:t>о</w:t>
      </w:r>
      <w:r>
        <w:t>рых ведется без координации. В результате возникают трудности в деле мон</w:t>
      </w:r>
      <w:r>
        <w:t>и</w:t>
      </w:r>
      <w:r>
        <w:t>торинга важных социальных показателей во времени и изучении связей между показателями в различных социальных сферах, что является основой, без кот</w:t>
      </w:r>
      <w:r>
        <w:t>о</w:t>
      </w:r>
      <w:r>
        <w:t>рой невозможно разрабатывать стратегическую социальную политику. Кроме того, статистические данные характеризуются серьезными пробелами, в час</w:t>
      </w:r>
      <w:r>
        <w:t>т</w:t>
      </w:r>
      <w:r>
        <w:t>ности данные, касающиеся социальных взглядов и ценностей, процесса созд</w:t>
      </w:r>
      <w:r>
        <w:t>а</w:t>
      </w:r>
      <w:r>
        <w:t>ния семьи и ее распада, а также участия в профессиональном обучении без о</w:t>
      </w:r>
      <w:r>
        <w:t>т</w:t>
      </w:r>
      <w:r>
        <w:t>рыва от производства и получения обр</w:t>
      </w:r>
      <w:r>
        <w:t>а</w:t>
      </w:r>
      <w:r>
        <w:t>зования.</w:t>
      </w:r>
    </w:p>
    <w:p w:rsidR="00000000" w:rsidRDefault="00000000">
      <w:pPr>
        <w:pStyle w:val="SingleTxt"/>
      </w:pPr>
      <w:r>
        <w:t>В ноябре 2000 года Комитет по вопросам социального равенства кабинета министров (КСР) выявил необходимость в координации социальных обслед</w:t>
      </w:r>
      <w:r>
        <w:t>о</w:t>
      </w:r>
      <w:r>
        <w:t>ваний в рамках различных правительственных учреждений и поручил Стат</w:t>
      </w:r>
      <w:r>
        <w:t>и</w:t>
      </w:r>
      <w:r>
        <w:t>стическому управлению Новой Зеландии учредить межведомственный комитет для обзора существующей программы социальных обследований, а также со</w:t>
      </w:r>
      <w:r>
        <w:t>з</w:t>
      </w:r>
      <w:r>
        <w:t>дать потенциал для осуществления программы социальных обследований с ц</w:t>
      </w:r>
      <w:r>
        <w:t>е</w:t>
      </w:r>
      <w:r>
        <w:t>лью более эффективного удовлетворения информационных потребностей пр</w:t>
      </w:r>
      <w:r>
        <w:t>а</w:t>
      </w:r>
      <w:r>
        <w:t>вительства и общества. Кроме того, КСР поручил Статистическому управл</w:t>
      </w:r>
      <w:r>
        <w:t>е</w:t>
      </w:r>
      <w:r>
        <w:t>нию Новой Зеландии представить доклад о ходе выявления ключевых потре</w:t>
      </w:r>
      <w:r>
        <w:t>б</w:t>
      </w:r>
      <w:r>
        <w:t>ностей пользователей и определить пути их оптимального удовлетворения, включая связанные с этим издержки. Такой межведомственный комитет был учрежден и в настоящее время по-прежнему работает над поставленными зад</w:t>
      </w:r>
      <w:r>
        <w:t>а</w:t>
      </w:r>
      <w:r>
        <w:t>чами, причем доклад о ходе его работы должен быть представлен кабинету м</w:t>
      </w:r>
      <w:r>
        <w:t>и</w:t>
      </w:r>
      <w:r>
        <w:t>нистров в октябре 2002 года.</w:t>
      </w:r>
    </w:p>
    <w:p w:rsidR="00000000" w:rsidRDefault="00000000">
      <w:pPr>
        <w:pStyle w:val="H23"/>
      </w:pPr>
      <w:r>
        <w:t>Программа-формирователь таблиц</w:t>
      </w:r>
    </w:p>
    <w:p w:rsidR="00000000" w:rsidRDefault="00000000">
      <w:pPr>
        <w:pStyle w:val="SingleTxt"/>
      </w:pPr>
      <w:r>
        <w:t>Новой разработкой в области обеспечения информацией в сети Интернет является программа-формирователь таблиц на базе переписи населения 2001 года, которая позволяет пользователям получить доступ к широкому ди</w:t>
      </w:r>
      <w:r>
        <w:t>а</w:t>
      </w:r>
      <w:r>
        <w:t>пазону данных переписи населения и жилого фонда 2001 года. Разработанное удобное для пользования программное обеспечение для построения таблиц включает в себя приблизительно 300 обширных базовых таблиц данных, со</w:t>
      </w:r>
      <w:r>
        <w:t>з</w:t>
      </w:r>
      <w:r>
        <w:t>данных СУНЗ. Пользователи могут выбрать для себя одну из этих таблиц и ряд конкретных переменных данных и место их привязки, с тем чтобы построить таблицу в соответствии со своими собственными конкретными потребностями. Некоторые из этих таблиц будут содержать данные переписей населения 1996 и 1991 годов, что позволит провести анализ периода времени, насчитывающего 10 лет. Полученные данные можно распечатать на принтере или загрузить в память компьютера для проведения будущих анализов. В настоящее время на базе программы-формирователя таблиц составлены 60 таблиц, отражающих р</w:t>
      </w:r>
      <w:r>
        <w:t>е</w:t>
      </w:r>
      <w:r>
        <w:t>зультаты переписи населения. Эти таблицы будут постепенно пополнятся да</w:t>
      </w:r>
      <w:r>
        <w:t>н</w:t>
      </w:r>
      <w:r>
        <w:t>ными, чтобы к концу 2002 года они могли служить источником исчерпыва</w:t>
      </w:r>
      <w:r>
        <w:t>ю</w:t>
      </w:r>
      <w:r>
        <w:t>щих данных.</w:t>
      </w:r>
    </w:p>
    <w:p w:rsidR="00000000" w:rsidRDefault="00000000">
      <w:pPr>
        <w:pStyle w:val="SingleTxt"/>
      </w:pPr>
      <w:r>
        <w:t>Для программы-формирователя таблиц разрабатываются восемь темат</w:t>
      </w:r>
      <w:r>
        <w:t>и</w:t>
      </w:r>
      <w:r>
        <w:t>ческих модулей. Для целей развития они охватывают такие вопросы, как би</w:t>
      </w:r>
      <w:r>
        <w:t>о</w:t>
      </w:r>
      <w:r>
        <w:t>графические данные, положение народности маори, семьи и домашние хозя</w:t>
      </w:r>
      <w:r>
        <w:t>й</w:t>
      </w:r>
      <w:r>
        <w:t>ства, жилой фонд, трудовая деятельность, доходы, образование и проезд до места работы.</w:t>
      </w:r>
    </w:p>
    <w:p w:rsidR="00000000" w:rsidRDefault="00000000">
      <w:pPr>
        <w:pStyle w:val="SingleTxt"/>
      </w:pPr>
      <w:r>
        <w:t>Среди возможных сфер прикладного применения программы-формирователя таблиц фигурируют планирование и оказание услуг, разработка и оценка государственной политики, разработка продуктов, целевой маркетинг, определение географич</w:t>
      </w:r>
      <w:r>
        <w:t>е</w:t>
      </w:r>
      <w:r>
        <w:t xml:space="preserve">ских районов и их характеристик. Программа-формирователь таблиц размещена на веб-сайте Статистического управления Новой Зеландии по адресу: </w:t>
      </w:r>
      <w:hyperlink r:id="rId15" w:history="1">
        <w:r>
          <w:rPr>
            <w:rStyle w:val="Hyperlink"/>
          </w:rPr>
          <w:t>www.snz.govt.nz</w:t>
        </w:r>
      </w:hyperlink>
      <w:r>
        <w:t>, которым могут пользоваться бе</w:t>
      </w:r>
      <w:r>
        <w:t>с</w:t>
      </w:r>
      <w:r>
        <w:t>платно как отдельные лица, так и правительс</w:t>
      </w:r>
      <w:r>
        <w:t>т</w:t>
      </w:r>
      <w:r>
        <w:t>венные учреждения.</w:t>
      </w:r>
    </w:p>
    <w:p w:rsidR="00000000" w:rsidRDefault="00000000">
      <w:pPr>
        <w:pStyle w:val="H1"/>
      </w:pPr>
      <w:r>
        <w:t>Гласность</w:t>
      </w:r>
    </w:p>
    <w:p w:rsidR="00000000" w:rsidRDefault="00000000">
      <w:pPr>
        <w:pStyle w:val="SingleTxt"/>
        <w:ind w:left="1740" w:hanging="476"/>
        <w:rPr>
          <w:i/>
        </w:rPr>
      </w:pPr>
      <w:r>
        <w:rPr>
          <w:i/>
        </w:rPr>
        <w:tab/>
      </w:r>
      <w:r>
        <w:rPr>
          <w:i/>
        </w:rPr>
        <w:tab/>
        <w:t>Комитет просит обеспечить широкое распространение в Новой Зеландии настоящих заключительных замечаний, с тем чтобы люди, и особенно государственные чиновники и политические деятели, знали о тех мерах, которые принимаются для обеспечения фактического равенства же</w:t>
      </w:r>
      <w:r>
        <w:rPr>
          <w:i/>
        </w:rPr>
        <w:t>н</w:t>
      </w:r>
      <w:r>
        <w:rPr>
          <w:i/>
        </w:rPr>
        <w:t>щин, и о других мерах, которые требуются в этой связи. Он также пр</w:t>
      </w:r>
      <w:r>
        <w:rPr>
          <w:i/>
        </w:rPr>
        <w:t>о</w:t>
      </w:r>
      <w:r>
        <w:rPr>
          <w:i/>
        </w:rPr>
        <w:t>сит правительство продолжать широкое распространение, особенно среди женских и правозащитных организаций текста Конвенции, общих рекомендаций Комитета и Пекинской декларации и Платформы дейс</w:t>
      </w:r>
      <w:r>
        <w:rPr>
          <w:i/>
        </w:rPr>
        <w:t>т</w:t>
      </w:r>
      <w:r>
        <w:rPr>
          <w:i/>
        </w:rPr>
        <w:t>вий.</w:t>
      </w:r>
    </w:p>
    <w:p w:rsidR="00000000" w:rsidRDefault="00000000">
      <w:pPr>
        <w:pStyle w:val="SingleTxt"/>
      </w:pPr>
      <w:r>
        <w:t>Министерство иностранных дел и торговли вместе с МДЖ широко ра</w:t>
      </w:r>
      <w:r>
        <w:t>с</w:t>
      </w:r>
      <w:r>
        <w:t>пространили заключительные замечания Комитета. Комиссия по правам чел</w:t>
      </w:r>
      <w:r>
        <w:t>о</w:t>
      </w:r>
      <w:r>
        <w:t>века продолжает широко распространять, в частности среди женских и прав</w:t>
      </w:r>
      <w:r>
        <w:t>о</w:t>
      </w:r>
      <w:r>
        <w:t>защитных организаций, текст Конвенции, общие рекомендации Комитета, а также тексты Пеки</w:t>
      </w:r>
      <w:r>
        <w:t>н</w:t>
      </w:r>
      <w:r>
        <w:t>ской декларации и Платформы действий.</w:t>
      </w:r>
    </w:p>
    <w:p w:rsidR="00000000" w:rsidRDefault="00000000">
      <w:pPr>
        <w:pStyle w:val="H23"/>
      </w:pPr>
      <w:r>
        <w:t>БИБЛИОГРАФИЯ</w:t>
      </w:r>
    </w:p>
    <w:p w:rsidR="00000000" w:rsidRDefault="00000000">
      <w:pPr>
        <w:pStyle w:val="SingleTxt"/>
        <w:ind w:left="1740" w:hanging="476"/>
      </w:pPr>
      <w:r>
        <w:t xml:space="preserve">Ministry of Women’s Affairs, 2002, </w:t>
      </w:r>
      <w:r>
        <w:rPr>
          <w:i/>
        </w:rPr>
        <w:t>Statement of Intent 2002-2005</w:t>
      </w:r>
      <w:r>
        <w:t>, Wellin</w:t>
      </w:r>
      <w:r>
        <w:t>g</w:t>
      </w:r>
      <w:r>
        <w:t>ton.</w:t>
      </w:r>
    </w:p>
    <w:p w:rsidR="00000000" w:rsidRDefault="00000000">
      <w:pPr>
        <w:pStyle w:val="SingleTxt"/>
        <w:ind w:left="1740" w:hanging="476"/>
      </w:pPr>
      <w:r>
        <w:t xml:space="preserve">Ministry of Women’s Affairs, 2001, </w:t>
      </w:r>
      <w:r>
        <w:rPr>
          <w:i/>
        </w:rPr>
        <w:t>Annual Report 2000-2001</w:t>
      </w:r>
      <w:r>
        <w:t>, Wellington.</w:t>
      </w:r>
    </w:p>
    <w:p w:rsidR="00000000" w:rsidRDefault="00000000">
      <w:pPr>
        <w:pStyle w:val="SingleTxt"/>
        <w:ind w:left="1740" w:hanging="476"/>
      </w:pPr>
      <w:r>
        <w:t xml:space="preserve">Ministry of Women’s Affairs, 2001, </w:t>
      </w:r>
      <w:r>
        <w:rPr>
          <w:i/>
        </w:rPr>
        <w:t>Mäori Women: Mapping Inequalities &amp; Pointing Ways Forward</w:t>
      </w:r>
      <w:r>
        <w:t>, Wellin</w:t>
      </w:r>
      <w:r>
        <w:t>g</w:t>
      </w:r>
      <w:r>
        <w:t>ton.</w:t>
      </w:r>
    </w:p>
    <w:p w:rsidR="00000000" w:rsidRDefault="00000000">
      <w:pPr>
        <w:pStyle w:val="HCh"/>
      </w:pPr>
      <w:bookmarkStart w:id="9" w:name="_Toc30302874"/>
      <w:r>
        <w:t>Статья 1</w:t>
      </w:r>
      <w:bookmarkEnd w:id="9"/>
    </w:p>
    <w:p w:rsidR="00000000" w:rsidRDefault="00000000">
      <w:pPr>
        <w:pStyle w:val="HCh"/>
      </w:pPr>
      <w:bookmarkStart w:id="10" w:name="_Toc30302875"/>
      <w:r>
        <w:t>Определение дискриминации в отношении женщин</w:t>
      </w:r>
      <w:bookmarkEnd w:id="10"/>
    </w:p>
    <w:p w:rsidR="00000000" w:rsidRDefault="00000000">
      <w:pPr>
        <w:pStyle w:val="SingleTxt"/>
        <w:ind w:left="1740" w:hanging="476"/>
        <w:rPr>
          <w:i/>
        </w:rPr>
      </w:pPr>
      <w:r>
        <w:rPr>
          <w:i/>
        </w:rPr>
        <w:tab/>
      </w:r>
      <w:r>
        <w:rPr>
          <w:i/>
        </w:rPr>
        <w:tab/>
        <w:t>Для целей настоящей Конвенции понятие «дискриминация в отношении женщин» означает любое различие, исключение или ограничение по пр</w:t>
      </w:r>
      <w:r>
        <w:rPr>
          <w:i/>
        </w:rPr>
        <w:t>и</w:t>
      </w:r>
      <w:r>
        <w:rPr>
          <w:i/>
        </w:rPr>
        <w:t>знаку пола, которое направлено на ослабление 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w:t>
      </w:r>
      <w:r>
        <w:rPr>
          <w:i/>
        </w:rPr>
        <w:t>с</w:t>
      </w:r>
      <w:r>
        <w:rPr>
          <w:i/>
        </w:rPr>
        <w:t>новных свобод в политической, экономической, социальной, культурной, гражданской или др</w:t>
      </w:r>
      <w:r>
        <w:rPr>
          <w:i/>
        </w:rPr>
        <w:t>у</w:t>
      </w:r>
      <w:r>
        <w:rPr>
          <w:i/>
        </w:rPr>
        <w:t>гой области.</w:t>
      </w:r>
    </w:p>
    <w:p w:rsidR="00000000" w:rsidRDefault="00000000">
      <w:pPr>
        <w:pStyle w:val="H1"/>
      </w:pPr>
      <w:r>
        <w:t>«Те Тирити о Вайтанги» (Договор Вайтанги)</w:t>
      </w:r>
    </w:p>
    <w:p w:rsidR="00000000" w:rsidRDefault="00000000">
      <w:pPr>
        <w:pStyle w:val="SingleTxt"/>
      </w:pPr>
      <w:r>
        <w:t>«Те Тирити о Вайтанги» является основополагающим документом Новой Зеландии, и правительство демонстрирует приверженность выполнению своих обязательств по Договору как его участник. Между маори, как «тангата» (к</w:t>
      </w:r>
      <w:r>
        <w:t>о</w:t>
      </w:r>
      <w:r>
        <w:t>ренное население), и Короной существуют особые отношения. Характер этих отношений закреплен в юридической форме и основан на принципах участия, защиты и партнерства. Этот Договор будет и впредь служить основой для ус</w:t>
      </w:r>
      <w:r>
        <w:t>и</w:t>
      </w:r>
      <w:r>
        <w:t>лий, предпринимаемых с целью обеспечения с</w:t>
      </w:r>
      <w:r>
        <w:t>о</w:t>
      </w:r>
      <w:r>
        <w:t>циального равенства женщин-маори.</w:t>
      </w:r>
    </w:p>
    <w:p w:rsidR="00000000" w:rsidRDefault="00000000">
      <w:pPr>
        <w:pStyle w:val="SingleTxt"/>
      </w:pPr>
      <w:r>
        <w:t>Ссылка на принципы Договора Вайтанги включены в различные закон</w:t>
      </w:r>
      <w:r>
        <w:t>о</w:t>
      </w:r>
      <w:r>
        <w:t>дательные акты, например, в Закон о государственных предприятиях 1986 года, Закон об окружающей среде 1986 года, Закон о сохранении окружающей среде 1987 года, Закон о государственном секторе 1988 года, Закон об образовании 1989 года, Закон о рыболовстве маори 1989 года, Закон о языке маори 1989 года, Закон о рациональном использовании ресурсов 1991 года, Закон о Договоре Вайтанги (Урегулирование споров в области рыболовства) 1992 года, а также Закон о государственном здравоохранении и инвалидах Новой Зела</w:t>
      </w:r>
      <w:r>
        <w:t>н</w:t>
      </w:r>
      <w:r>
        <w:t>дии 2000 года.</w:t>
      </w:r>
    </w:p>
    <w:p w:rsidR="00000000" w:rsidRDefault="00000000">
      <w:pPr>
        <w:pStyle w:val="H1"/>
      </w:pPr>
      <w:r>
        <w:t>Биль о правах Новой Зеландии 1990 года</w:t>
      </w:r>
    </w:p>
    <w:p w:rsidR="00000000" w:rsidRDefault="00000000">
      <w:pPr>
        <w:pStyle w:val="SingleTxt"/>
      </w:pPr>
      <w:r>
        <w:t>Билль о правах Новой Зеландии 1990 года имеет своей целью подтве</w:t>
      </w:r>
      <w:r>
        <w:t>р</w:t>
      </w:r>
      <w:r>
        <w:t>ждение, защиту и поощрение прав человека и основных свобод в Новой Зела</w:t>
      </w:r>
      <w:r>
        <w:t>н</w:t>
      </w:r>
      <w:r>
        <w:t>дии, а также подтверждение приверженности Новой Зеландии Международн</w:t>
      </w:r>
      <w:r>
        <w:t>о</w:t>
      </w:r>
      <w:r>
        <w:t>му пакту о гражданских и политических правах. Он применяется в отношении актов, совершаемых законодательными, исполнительными или судебными о</w:t>
      </w:r>
      <w:r>
        <w:t>р</w:t>
      </w:r>
      <w:r>
        <w:t>ганами правительства или любым лицом или органом, осуществляющим л</w:t>
      </w:r>
      <w:r>
        <w:t>ю</w:t>
      </w:r>
      <w:r>
        <w:t>бые государственные функции, полномочия или обязанности, порученные или возложенные на это лицо или орган законом или в соответствии с законом. Он подтверждает также право каждого человека на свободу от дискриминации по любым основаниям, предусмотренным в Зак</w:t>
      </w:r>
      <w:r>
        <w:t>о</w:t>
      </w:r>
      <w:r>
        <w:t>не 1993 года о правах человека.</w:t>
      </w:r>
    </w:p>
    <w:p w:rsidR="00000000" w:rsidRDefault="00000000">
      <w:pPr>
        <w:pStyle w:val="SingleTxt"/>
      </w:pPr>
      <w:r>
        <w:t>В марте 2001 года правительство приняло решение в отношении общих направлений политики в области прав человека в Новой Зеландии. Так, норма о недопущении дискриминации, закрепленной в Билле о правах Новой Зеландии 1990 года, была возведена в единую для правительства норму о недопущении дискриминации, за исключением политики и практики в области занятости, р</w:t>
      </w:r>
      <w:r>
        <w:t>а</w:t>
      </w:r>
      <w:r>
        <w:t>совых нападок и сексуальных домогательств, которые по-прежнему будут ре</w:t>
      </w:r>
      <w:r>
        <w:t>г</w:t>
      </w:r>
      <w:r>
        <w:t>ламентироваться соответствующими нормами действующего Закона о правах человека 1993 года (см. Статья 2: Антидискриминационные меры, стр. 34-35).</w:t>
      </w:r>
    </w:p>
    <w:p w:rsidR="00000000" w:rsidRDefault="00000000">
      <w:pPr>
        <w:pStyle w:val="H1"/>
      </w:pPr>
      <w:r>
        <w:t>Закон о правах человека 1993 года</w:t>
      </w:r>
    </w:p>
    <w:p w:rsidR="00000000" w:rsidRDefault="00000000">
      <w:pPr>
        <w:pStyle w:val="SingleTxt"/>
      </w:pPr>
      <w:r>
        <w:t>Закон о правах человека 1993 года запрещает дискриминацию в ряде о</w:t>
      </w:r>
      <w:r>
        <w:t>б</w:t>
      </w:r>
      <w:r>
        <w:t>ластей. К их числу относятся вопросы занятости; доступ к общественным ме</w:t>
      </w:r>
      <w:r>
        <w:t>с</w:t>
      </w:r>
      <w:r>
        <w:t>там, средствам транспорта и услугам; обеспечение товаров и услуг; предоста</w:t>
      </w:r>
      <w:r>
        <w:t>в</w:t>
      </w:r>
      <w:r>
        <w:t>ление земли, жилья и других помещений; и доступ в учебные заведения. В рамках этих областей общественной жизни незаконным актом является осущ</w:t>
      </w:r>
      <w:r>
        <w:t>е</w:t>
      </w:r>
      <w:r>
        <w:t>ствление дискриминации в отношении того или иного лица по таким призн</w:t>
      </w:r>
      <w:r>
        <w:t>а</w:t>
      </w:r>
      <w:r>
        <w:t>кам, как пол, включая беременность и рождение ребенка, семейное положение, религиозные или нравственные убеждения, цвет кожи, раса, этническая или национальная принадлежность, инвалидность, возраст, политические убежд</w:t>
      </w:r>
      <w:r>
        <w:t>е</w:t>
      </w:r>
      <w:r>
        <w:t>ния, состояние занятости, статус семьи, в том числе уход за детьми или ижд</w:t>
      </w:r>
      <w:r>
        <w:t>и</w:t>
      </w:r>
      <w:r>
        <w:t>ве</w:t>
      </w:r>
      <w:r>
        <w:t>н</w:t>
      </w:r>
      <w:r>
        <w:t>цами и половая ориентация.</w:t>
      </w:r>
    </w:p>
    <w:p w:rsidR="00000000" w:rsidRDefault="00000000">
      <w:pPr>
        <w:pStyle w:val="SingleTxt"/>
      </w:pPr>
      <w:r>
        <w:t xml:space="preserve">Кроме того, этот </w:t>
      </w:r>
      <w:r>
        <w:rPr>
          <w:caps/>
        </w:rPr>
        <w:t>з</w:t>
      </w:r>
      <w:r>
        <w:t>акон предусматривает защиту от сексуальных домог</w:t>
      </w:r>
      <w:r>
        <w:t>а</w:t>
      </w:r>
      <w:r>
        <w:t>тельств и расовых нападок, разжигания расовой розни, виктимизации и ко</w:t>
      </w:r>
      <w:r>
        <w:t>с</w:t>
      </w:r>
      <w:r>
        <w:t>венной ди</w:t>
      </w:r>
      <w:r>
        <w:t>с</w:t>
      </w:r>
      <w:r>
        <w:t>криминации.</w:t>
      </w:r>
    </w:p>
    <w:p w:rsidR="00000000" w:rsidRDefault="00000000">
      <w:pPr>
        <w:pStyle w:val="H1"/>
      </w:pPr>
      <w:r>
        <w:t>Закон об отношениях в сфере занятости 2000 года</w:t>
      </w:r>
    </w:p>
    <w:p w:rsidR="00000000" w:rsidRDefault="00000000">
      <w:pPr>
        <w:pStyle w:val="SingleTxt"/>
      </w:pPr>
      <w:r>
        <w:t>Закон 2000 года об отношениях в сфере занятости предусматривает защ</w:t>
      </w:r>
      <w:r>
        <w:t>и</w:t>
      </w:r>
      <w:r>
        <w:t>ту от дискриминации в сфере занятости по тем же признакам, что и Закон 1993 года о правах человека (см. Статья 11: Занятость, стр. 99). Закон об отн</w:t>
      </w:r>
      <w:r>
        <w:t>о</w:t>
      </w:r>
      <w:r>
        <w:t>шениях в сфере занятости предусматривает также защиту от дискриминации в вопросах участия в деятельности профессиональных союзов, которая не пред</w:t>
      </w:r>
      <w:r>
        <w:t>у</w:t>
      </w:r>
      <w:r>
        <w:t>смотрена конкретно Законом о правах человека.</w:t>
      </w:r>
    </w:p>
    <w:p w:rsidR="00000000" w:rsidRDefault="00000000">
      <w:pPr>
        <w:pStyle w:val="H1"/>
      </w:pPr>
      <w:r>
        <w:t>Международные пакты</w:t>
      </w:r>
    </w:p>
    <w:p w:rsidR="00000000" w:rsidRDefault="00000000">
      <w:pPr>
        <w:pStyle w:val="SingleTxt"/>
      </w:pPr>
      <w:r>
        <w:t>Новая Зеландия является участником всех важных международных док</w:t>
      </w:r>
      <w:r>
        <w:t>у</w:t>
      </w:r>
      <w:r>
        <w:t>ментов в области прав человека, которые обязывают правительство обеспеч</w:t>
      </w:r>
      <w:r>
        <w:t>и</w:t>
      </w:r>
      <w:r>
        <w:t>вать равные права мужчин и женщин в деле реализации всех экономических, социальных, культурных, гражданских и политических прав. Прежде чем р</w:t>
      </w:r>
      <w:r>
        <w:t>а</w:t>
      </w:r>
      <w:r>
        <w:t>тифицировать тот или иной международный документ, правительство Новой Зеландии обеспечивает приведение своего законодательства, политики и адм</w:t>
      </w:r>
      <w:r>
        <w:t>и</w:t>
      </w:r>
      <w:r>
        <w:t>нистративной практики в полное соответствие с обязательствами, предусмо</w:t>
      </w:r>
      <w:r>
        <w:t>т</w:t>
      </w:r>
      <w:r>
        <w:t>ренными этими документами.</w:t>
      </w:r>
    </w:p>
    <w:p w:rsidR="00000000" w:rsidRDefault="00000000">
      <w:pPr>
        <w:pStyle w:val="SingleTxt"/>
      </w:pPr>
      <w:r>
        <w:t>В 2000 году правительство Новой Зеландии ратифицировало Факульт</w:t>
      </w:r>
      <w:r>
        <w:t>а</w:t>
      </w:r>
      <w:r>
        <w:t xml:space="preserve">тивный протокол к КЛДЖ, в результате чего женщины Новой Зеландии могут в индивидуальном порядке обращаться в </w:t>
      </w:r>
      <w:r>
        <w:rPr>
          <w:caps/>
        </w:rPr>
        <w:t>к</w:t>
      </w:r>
      <w:r>
        <w:t>омитет Организации Объединенных Наций по ликвидации дискриминации в отношении женщин в случаях, якобы имевших место нарушений прав человека, закрепленных в этой Конвенции, е</w:t>
      </w:r>
      <w:r>
        <w:t>с</w:t>
      </w:r>
      <w:r>
        <w:t>ли были исчерпаны все внутренние средства правовой защиты.</w:t>
      </w:r>
    </w:p>
    <w:p w:rsidR="00000000" w:rsidRDefault="00000000">
      <w:pPr>
        <w:pStyle w:val="SingleTxt"/>
      </w:pPr>
      <w:r>
        <w:t>В ряде судебных решений, принятых за отчетный период, были учтены влияние международных документов на принятие административных решений и роль международных документов как инструментов толкования конституц</w:t>
      </w:r>
      <w:r>
        <w:t>и</w:t>
      </w:r>
      <w:r>
        <w:t>онных положений. В рамках сложившейся в Новой Зеландии юриспруденции признается, что международные договоры могут использоваться для толков</w:t>
      </w:r>
      <w:r>
        <w:t>а</w:t>
      </w:r>
      <w:r>
        <w:t>ния внутригосударственного законодательства при том условии, что парламент не должен принимать законы, которые противоречат международным обяз</w:t>
      </w:r>
      <w:r>
        <w:t>а</w:t>
      </w:r>
      <w:r>
        <w:t>тельствам Новой Зеландии. Вместе с тем международные соглашения не стан</w:t>
      </w:r>
      <w:r>
        <w:t>о</w:t>
      </w:r>
      <w:r>
        <w:t>вятся автоматической частью внутригосударственного права Новой Зеландии после их ратификации, но должны быть приняты в качестве закона парламе</w:t>
      </w:r>
      <w:r>
        <w:t>н</w:t>
      </w:r>
      <w:r>
        <w:t>том.</w:t>
      </w:r>
    </w:p>
    <w:p w:rsidR="00000000" w:rsidRDefault="00000000">
      <w:pPr>
        <w:pStyle w:val="HCh"/>
        <w:pageBreakBefore/>
        <w:spacing w:before="0"/>
      </w:pPr>
      <w:bookmarkStart w:id="11" w:name="_Toc30302876"/>
      <w:r>
        <w:t>Статья 2</w:t>
      </w:r>
      <w:bookmarkEnd w:id="11"/>
    </w:p>
    <w:p w:rsidR="00000000" w:rsidRDefault="00000000">
      <w:pPr>
        <w:pStyle w:val="HCh"/>
      </w:pPr>
      <w:bookmarkStart w:id="12" w:name="_Toc30302877"/>
      <w:r>
        <w:t>Антидискриминационные меры</w:t>
      </w:r>
      <w:bookmarkEnd w:id="12"/>
    </w:p>
    <w:p w:rsidR="00000000" w:rsidRDefault="00000000">
      <w:pPr>
        <w:pStyle w:val="SingleTxt"/>
        <w:ind w:left="1740" w:hanging="476"/>
        <w:rPr>
          <w:i/>
        </w:rPr>
      </w:pPr>
      <w:r>
        <w:rPr>
          <w:i/>
        </w:rPr>
        <w:tab/>
      </w:r>
      <w:r>
        <w:rPr>
          <w:i/>
        </w:rPr>
        <w:tab/>
        <w:t>Государства-участники осуждают дискриминацию в отношении женщин во всех ее формах, соглашаются безотлагательно всеми соответству</w:t>
      </w:r>
      <w:r>
        <w:rPr>
          <w:i/>
        </w:rPr>
        <w:t>ю</w:t>
      </w:r>
      <w:r>
        <w:rPr>
          <w:i/>
        </w:rPr>
        <w:t>щими способами проводить политику ликвидации дискриминации в о</w:t>
      </w:r>
      <w:r>
        <w:rPr>
          <w:i/>
        </w:rPr>
        <w:t>т</w:t>
      </w:r>
      <w:r>
        <w:rPr>
          <w:i/>
        </w:rPr>
        <w:t>ношении женщин и с этой целью об</w:t>
      </w:r>
      <w:r>
        <w:rPr>
          <w:i/>
        </w:rPr>
        <w:t>я</w:t>
      </w:r>
      <w:r>
        <w:rPr>
          <w:i/>
        </w:rPr>
        <w:t>зуются:</w:t>
      </w:r>
    </w:p>
    <w:p w:rsidR="00000000" w:rsidRDefault="00000000">
      <w:pPr>
        <w:pStyle w:val="SingleTxt"/>
        <w:ind w:left="2217" w:hanging="953"/>
        <w:rPr>
          <w:i/>
        </w:rPr>
      </w:pPr>
      <w:r>
        <w:tab/>
      </w:r>
      <w:r>
        <w:rPr>
          <w:i/>
        </w:rPr>
        <w:tab/>
        <w:t xml:space="preserve">(а) </w:t>
      </w:r>
      <w:r>
        <w:rPr>
          <w:i/>
        </w:rPr>
        <w:tab/>
        <w:t>Включить принцип равноправия мужчин и женщин в свои наци</w:t>
      </w:r>
      <w:r>
        <w:rPr>
          <w:i/>
        </w:rPr>
        <w:t>о</w:t>
      </w:r>
      <w:r>
        <w:rPr>
          <w:i/>
        </w:rPr>
        <w:t>нальные конституции и другое соответствующее законодательс</w:t>
      </w:r>
      <w:r>
        <w:rPr>
          <w:i/>
        </w:rPr>
        <w:t>т</w:t>
      </w:r>
      <w:r>
        <w:rPr>
          <w:i/>
        </w:rPr>
        <w:t>во, если это еще не было сделано, и обеспечить с помощью закона и других соответствующих средств практическое осуществление этого при</w:t>
      </w:r>
      <w:r>
        <w:rPr>
          <w:i/>
        </w:rPr>
        <w:t>н</w:t>
      </w:r>
      <w:r>
        <w:rPr>
          <w:i/>
        </w:rPr>
        <w:t>ципа;</w:t>
      </w:r>
    </w:p>
    <w:p w:rsidR="00000000" w:rsidRDefault="00000000">
      <w:pPr>
        <w:pStyle w:val="SingleTxt"/>
        <w:ind w:left="2217" w:hanging="953"/>
        <w:rPr>
          <w:i/>
        </w:rPr>
      </w:pPr>
      <w:r>
        <w:rPr>
          <w:i/>
        </w:rPr>
        <w:tab/>
      </w:r>
      <w:r>
        <w:rPr>
          <w:i/>
        </w:rPr>
        <w:tab/>
        <w:t xml:space="preserve">(b) </w:t>
      </w:r>
      <w:r>
        <w:rPr>
          <w:i/>
        </w:rPr>
        <w:tab/>
        <w:t>Принимать соответствующие законодательные и другие меры, включая санкции, там где это необходимо, запрещающие всякую дискриминацию в о</w:t>
      </w:r>
      <w:r>
        <w:rPr>
          <w:i/>
        </w:rPr>
        <w:t>т</w:t>
      </w:r>
      <w:r>
        <w:rPr>
          <w:i/>
        </w:rPr>
        <w:t>ношении женщин;</w:t>
      </w:r>
    </w:p>
    <w:p w:rsidR="00000000" w:rsidRDefault="00000000">
      <w:pPr>
        <w:pStyle w:val="SingleTxt"/>
        <w:ind w:left="2217" w:hanging="953"/>
        <w:rPr>
          <w:i/>
        </w:rPr>
      </w:pPr>
      <w:r>
        <w:rPr>
          <w:i/>
        </w:rPr>
        <w:tab/>
      </w:r>
      <w:r>
        <w:rPr>
          <w:i/>
        </w:rPr>
        <w:tab/>
        <w:t xml:space="preserve">(с) </w:t>
      </w:r>
      <w:r>
        <w:rPr>
          <w:i/>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факта дискриминации;</w:t>
      </w:r>
    </w:p>
    <w:p w:rsidR="00000000" w:rsidRDefault="00000000">
      <w:pPr>
        <w:pStyle w:val="SingleTxt"/>
        <w:ind w:left="2217" w:hanging="953"/>
        <w:rPr>
          <w:i/>
        </w:rPr>
      </w:pPr>
      <w:r>
        <w:rPr>
          <w:i/>
        </w:rPr>
        <w:tab/>
      </w:r>
      <w:r>
        <w:rPr>
          <w:i/>
        </w:rPr>
        <w:tab/>
        <w:t xml:space="preserve">(d) </w:t>
      </w:r>
      <w:r>
        <w:rPr>
          <w:i/>
        </w:rPr>
        <w:tab/>
        <w:t>Воздерживаться от совершения каких-либо дискриминационных а</w:t>
      </w:r>
      <w:r>
        <w:rPr>
          <w:i/>
        </w:rPr>
        <w:t>к</w:t>
      </w:r>
      <w:r>
        <w:rPr>
          <w:i/>
        </w:rPr>
        <w:t>тов или действий в отношении женщин и гарантировать, что г</w:t>
      </w:r>
      <w:r>
        <w:rPr>
          <w:i/>
        </w:rPr>
        <w:t>о</w:t>
      </w:r>
      <w:r>
        <w:rPr>
          <w:i/>
        </w:rPr>
        <w:t>сударственные органы и учреждения будут действовать в соо</w:t>
      </w:r>
      <w:r>
        <w:rPr>
          <w:i/>
        </w:rPr>
        <w:t>т</w:t>
      </w:r>
      <w:r>
        <w:rPr>
          <w:i/>
        </w:rPr>
        <w:t>ветствии с этим обязательс</w:t>
      </w:r>
      <w:r>
        <w:rPr>
          <w:i/>
        </w:rPr>
        <w:t>т</w:t>
      </w:r>
      <w:r>
        <w:rPr>
          <w:i/>
        </w:rPr>
        <w:t>вом;</w:t>
      </w:r>
    </w:p>
    <w:p w:rsidR="00000000" w:rsidRDefault="00000000">
      <w:pPr>
        <w:pStyle w:val="SingleTxt"/>
        <w:ind w:left="2217" w:hanging="953"/>
        <w:rPr>
          <w:i/>
        </w:rPr>
      </w:pPr>
      <w:r>
        <w:rPr>
          <w:i/>
        </w:rPr>
        <w:tab/>
      </w:r>
      <w:r>
        <w:rPr>
          <w:i/>
        </w:rPr>
        <w:tab/>
        <w:t xml:space="preserve">(е) </w:t>
      </w:r>
      <w:r>
        <w:rPr>
          <w:i/>
        </w:rPr>
        <w:tab/>
        <w:t>Принимать все соответствующие меры для ликвидации дискрим</w:t>
      </w:r>
      <w:r>
        <w:rPr>
          <w:i/>
        </w:rPr>
        <w:t>и</w:t>
      </w:r>
      <w:r>
        <w:rPr>
          <w:i/>
        </w:rPr>
        <w:t>нации в отношении женщин со стороны какого-либо лица, организ</w:t>
      </w:r>
      <w:r>
        <w:rPr>
          <w:i/>
        </w:rPr>
        <w:t>а</w:t>
      </w:r>
      <w:r>
        <w:rPr>
          <w:i/>
        </w:rPr>
        <w:t>ции или предпр</w:t>
      </w:r>
      <w:r>
        <w:rPr>
          <w:i/>
        </w:rPr>
        <w:t>и</w:t>
      </w:r>
      <w:r>
        <w:rPr>
          <w:i/>
        </w:rPr>
        <w:t>ятия;</w:t>
      </w:r>
    </w:p>
    <w:p w:rsidR="00000000" w:rsidRDefault="00000000">
      <w:pPr>
        <w:pStyle w:val="SingleTxt"/>
        <w:ind w:left="2217" w:hanging="953"/>
        <w:rPr>
          <w:i/>
        </w:rPr>
      </w:pPr>
      <w:r>
        <w:rPr>
          <w:i/>
        </w:rPr>
        <w:tab/>
      </w:r>
      <w:r>
        <w:rPr>
          <w:i/>
        </w:rPr>
        <w:tab/>
        <w:t xml:space="preserve">(f) </w:t>
      </w:r>
      <w:r>
        <w:rPr>
          <w:i/>
        </w:rPr>
        <w:tab/>
        <w:t>Принимать все соответствующие меры, включая законодательные, для изменения или отмены действующих законов, постановления, обычаев и практики, которые представляют собой дискриминацию в отнош</w:t>
      </w:r>
      <w:r>
        <w:rPr>
          <w:i/>
        </w:rPr>
        <w:t>е</w:t>
      </w:r>
      <w:r>
        <w:rPr>
          <w:i/>
        </w:rPr>
        <w:t>нии женщин;</w:t>
      </w:r>
    </w:p>
    <w:p w:rsidR="00000000" w:rsidRDefault="00000000">
      <w:pPr>
        <w:pStyle w:val="SingleTxt"/>
        <w:ind w:left="2217" w:hanging="953"/>
        <w:rPr>
          <w:i/>
        </w:rPr>
      </w:pPr>
      <w:r>
        <w:rPr>
          <w:i/>
        </w:rPr>
        <w:tab/>
      </w:r>
      <w:r>
        <w:rPr>
          <w:i/>
        </w:rPr>
        <w:tab/>
        <w:t xml:space="preserve">(g) </w:t>
      </w:r>
      <w:r>
        <w:rPr>
          <w:i/>
        </w:rPr>
        <w:tab/>
        <w:t>Отменить все положения своего уголовного законодательства, к</w:t>
      </w:r>
      <w:r>
        <w:rPr>
          <w:i/>
        </w:rPr>
        <w:t>о</w:t>
      </w:r>
      <w:r>
        <w:rPr>
          <w:i/>
        </w:rPr>
        <w:t>торые представляют собой дискр</w:t>
      </w:r>
      <w:r>
        <w:rPr>
          <w:i/>
        </w:rPr>
        <w:t>и</w:t>
      </w:r>
      <w:r>
        <w:rPr>
          <w:i/>
        </w:rPr>
        <w:t>минацию в отношении женщин.</w:t>
      </w:r>
    </w:p>
    <w:p w:rsidR="00000000" w:rsidRDefault="00000000">
      <w:pPr>
        <w:pStyle w:val="H1"/>
      </w:pPr>
      <w:r>
        <w:t>Закон о правах человека 1993 года</w:t>
      </w:r>
    </w:p>
    <w:p w:rsidR="00000000" w:rsidRDefault="00000000">
      <w:pPr>
        <w:pStyle w:val="SingleTxt"/>
      </w:pPr>
      <w:r>
        <w:t>После всеобщих выборов 1999 года новое правительство осуществило п</w:t>
      </w:r>
      <w:r>
        <w:t>е</w:t>
      </w:r>
      <w:r>
        <w:t>ресмотр Закона о правах человека 1993 года и организационных основ ключ</w:t>
      </w:r>
      <w:r>
        <w:t>е</w:t>
      </w:r>
      <w:r>
        <w:t>вых независимых учреждений по правам человека Новой Зеландии. Кроме т</w:t>
      </w:r>
      <w:r>
        <w:t>о</w:t>
      </w:r>
      <w:r>
        <w:t>го, министерство юстиции в консультации с Комиссией по правам человека привлекло правительственные учреждения к участию в проекте соблюдения 2001 года, который обязывает их провести анализ своего собственного регл</w:t>
      </w:r>
      <w:r>
        <w:t>а</w:t>
      </w:r>
      <w:r>
        <w:t>мента, политики и практики и определить пути и средства устранения любых несоответствий положениям Закона о правах человека. Во исполнение этих инициатив и в результате консультаций с общественностью в декабре 2001 года был принят Закон 2001 года о внесении попр</w:t>
      </w:r>
      <w:r>
        <w:t>а</w:t>
      </w:r>
      <w:r>
        <w:t xml:space="preserve">вок в </w:t>
      </w:r>
      <w:r>
        <w:rPr>
          <w:caps/>
        </w:rPr>
        <w:t>з</w:t>
      </w:r>
      <w:r>
        <w:t>акон о правах человека.</w:t>
      </w:r>
    </w:p>
    <w:p w:rsidR="00000000" w:rsidRDefault="00000000">
      <w:pPr>
        <w:pStyle w:val="SingleTxt"/>
      </w:pPr>
      <w:r>
        <w:t>Общая цель этих поправок заключается в содействии дальнейшему разв</w:t>
      </w:r>
      <w:r>
        <w:t>и</w:t>
      </w:r>
      <w:r>
        <w:t>тию современной культуры прав человека в Новой Зеландии. В числе конкре</w:t>
      </w:r>
      <w:r>
        <w:t>т</w:t>
      </w:r>
      <w:r>
        <w:t>ных отличительных особенностей этих поправок следует назвать такие, как у</w:t>
      </w:r>
      <w:r>
        <w:t>с</w:t>
      </w:r>
      <w:r>
        <w:t>тановление нормы для правительства о недопущении дискриминации, подкр</w:t>
      </w:r>
      <w:r>
        <w:t>е</w:t>
      </w:r>
      <w:r>
        <w:t>пляемой доступным и финансируемым за счет государства механизмом ра</w:t>
      </w:r>
      <w:r>
        <w:t>с</w:t>
      </w:r>
      <w:r>
        <w:t>смотрения жалоб, эффективными средствами правовой защиты, а также обе</w:t>
      </w:r>
      <w:r>
        <w:t>с</w:t>
      </w:r>
      <w:r>
        <w:t>печением того, чтобы учреждения по правам человека Новой Зеландии могли эффективно выполнять двойную функцию поощрения и защиты прав человека. По существу эта реформа послужит основой для создания более прочной си</w:t>
      </w:r>
      <w:r>
        <w:t>с</w:t>
      </w:r>
      <w:r>
        <w:t>темы предотвращения дискриминации и защиты от нее, включая дискримин</w:t>
      </w:r>
      <w:r>
        <w:t>а</w:t>
      </w:r>
      <w:r>
        <w:t>цию в отношении женщин. Основные изменения, предусмотренные Законом 2001 года о внесении поправок в Закон о правах человека, сводятся к следу</w:t>
      </w:r>
      <w:r>
        <w:t>ю</w:t>
      </w:r>
      <w:r>
        <w:t>щему.</w:t>
      </w:r>
    </w:p>
    <w:p w:rsidR="00000000" w:rsidRDefault="00000000">
      <w:pPr>
        <w:pStyle w:val="H23"/>
      </w:pPr>
      <w:r>
        <w:t>Соблюдение прав человека правительством</w:t>
      </w:r>
    </w:p>
    <w:p w:rsidR="00000000" w:rsidRDefault="00000000">
      <w:pPr>
        <w:pStyle w:val="SingleTxt"/>
      </w:pPr>
      <w:r>
        <w:t xml:space="preserve">Закон 2001 года о внесении поправок в </w:t>
      </w:r>
      <w:r>
        <w:rPr>
          <w:caps/>
        </w:rPr>
        <w:t>з</w:t>
      </w:r>
      <w:r>
        <w:t>аконодательство о правах челов</w:t>
      </w:r>
      <w:r>
        <w:t>е</w:t>
      </w:r>
      <w:r>
        <w:t>ка предусматривает, что в настоящее время в Комиссию по правам человека можно обращаться с жалобами, касающимися всех видов деятельности прав</w:t>
      </w:r>
      <w:r>
        <w:t>и</w:t>
      </w:r>
      <w:r>
        <w:t>тельства и законодательства. Все виды деятельности правительства (за искл</w:t>
      </w:r>
      <w:r>
        <w:t>ю</w:t>
      </w:r>
      <w:r>
        <w:t>чением политики и практики в области занятости и связанных с ними вопросов расовой неприязни, виктимизации, а также расовых нападок и сексуальных д</w:t>
      </w:r>
      <w:r>
        <w:t>о</w:t>
      </w:r>
      <w:r>
        <w:t>могательств) должны отвечать норме о недопущении дискриминации, соде</w:t>
      </w:r>
      <w:r>
        <w:t>р</w:t>
      </w:r>
      <w:r>
        <w:t>жащейся в Билле о правах 1990 года. Это изменение обусловлено истечением срока действия статьи 151 Закона о правах человека, которая не предусматр</w:t>
      </w:r>
      <w:r>
        <w:t>и</w:t>
      </w:r>
      <w:r>
        <w:t>вает подачу жалоб на действующее законодательство и предусматривает ряд исключений для правительства в связи с применением Закона о правах челов</w:t>
      </w:r>
      <w:r>
        <w:t>е</w:t>
      </w:r>
      <w:r>
        <w:t>ка в части, касающейся подачи жалоб на некоторые виды ди</w:t>
      </w:r>
      <w:r>
        <w:t>с</w:t>
      </w:r>
      <w:r>
        <w:t>криминации.</w:t>
      </w:r>
    </w:p>
    <w:p w:rsidR="00000000" w:rsidRDefault="00000000">
      <w:pPr>
        <w:pStyle w:val="SingleTxt"/>
      </w:pPr>
      <w:r>
        <w:t>Норма Билля о правах предусматривает, что все граждане имеют право не подвергаться дискриминации со стороны правительства и что это право может быть ограничено только в разумных пределах. Закон гласит, что ограничение считается «разумным», если оно может быть «демонстративно оправдано св</w:t>
      </w:r>
      <w:r>
        <w:t>о</w:t>
      </w:r>
      <w:r>
        <w:t>бодным и демократическим обществом».</w:t>
      </w:r>
    </w:p>
    <w:p w:rsidR="00000000" w:rsidRDefault="00000000">
      <w:pPr>
        <w:pStyle w:val="SingleTxt"/>
      </w:pPr>
      <w:r>
        <w:t>Правительство будет по-прежнему нести ответственность за соблюдение нормы о недопущении дискриминации по Закону о правах человека 1993 года в том, что касается таких вопросов, как дискриминация в области занятости, разжигание расовой ненависти, виктимизация, а также расовые нападки и се</w:t>
      </w:r>
      <w:r>
        <w:t>к</w:t>
      </w:r>
      <w:r>
        <w:t>суальные домогательства.</w:t>
      </w:r>
    </w:p>
    <w:p w:rsidR="00000000" w:rsidRDefault="00000000">
      <w:pPr>
        <w:pStyle w:val="H23"/>
      </w:pPr>
      <w:r>
        <w:t>Новая институциональная основа</w:t>
      </w:r>
    </w:p>
    <w:p w:rsidR="00000000" w:rsidRDefault="00000000">
      <w:pPr>
        <w:pStyle w:val="SingleTxt"/>
      </w:pPr>
      <w:r>
        <w:t>Согласно Закону 2001 года о внесении поправок в Закон о правах человека Комиссия по правам человека и Управление посредника по вопросам урегул</w:t>
      </w:r>
      <w:r>
        <w:t>и</w:t>
      </w:r>
      <w:r>
        <w:t>рования расовых отношений объединяются в одно учреждение. Новое объед</w:t>
      </w:r>
      <w:r>
        <w:t>и</w:t>
      </w:r>
      <w:r>
        <w:t>ненное учреждение сохраняет прежнее название – Комиссия по правам челов</w:t>
      </w:r>
      <w:r>
        <w:t>е</w:t>
      </w:r>
      <w:r>
        <w:t>ка. Штатное расписание этого учреждения предусматривает следующие дол</w:t>
      </w:r>
      <w:r>
        <w:t>ж</w:t>
      </w:r>
      <w:r>
        <w:t>ности: работающий полный рабочий день Главный комиссар по правам челов</w:t>
      </w:r>
      <w:r>
        <w:t>е</w:t>
      </w:r>
      <w:r>
        <w:t>ка, Комиссар по вопросам расовых отношений, Комиссар по вопросам равных возможностей в области занятости (еще не назначен) (см. Статья 11: Занятость, стр. 99-100), а также до пяти работающих неполный рабочий день комиссаров. Комиссар по вопросам расовых отношений в своей работе особое внимание уделяет проблемам рас и расовых отношений. Комиссар по РВЗ отвечает за развертывание дискуссий, связанных с равными возможностями в области з</w:t>
      </w:r>
      <w:r>
        <w:t>а</w:t>
      </w:r>
      <w:r>
        <w:t>нятости, включая равенство в оплате труда, а также консультирование по в</w:t>
      </w:r>
      <w:r>
        <w:t>о</w:t>
      </w:r>
      <w:r>
        <w:t>просам равных возможностей в области занятости и руководство по их обесп</w:t>
      </w:r>
      <w:r>
        <w:t>е</w:t>
      </w:r>
      <w:r>
        <w:t>ч</w:t>
      </w:r>
      <w:r>
        <w:t>е</w:t>
      </w:r>
      <w:r>
        <w:t>нию в рамках функций, выполняемых Комиссией.</w:t>
      </w:r>
    </w:p>
    <w:p w:rsidR="00000000" w:rsidRDefault="00000000">
      <w:pPr>
        <w:pStyle w:val="SingleTxt"/>
      </w:pPr>
      <w:r>
        <w:t>Названные выше комиссары назначаются для выполнения таких задач, как стратегическое руководство, консультирование и просветительская работа в области прав человека, а также осуществление руководства над деятельностью Комиссии и ее направлениями. Комиссары работают под началом Главного управля</w:t>
      </w:r>
      <w:r>
        <w:t>ю</w:t>
      </w:r>
      <w:r>
        <w:t>щего и в тесном контакте с сотрудниками Комиссии.</w:t>
      </w:r>
    </w:p>
    <w:p w:rsidR="00000000" w:rsidRDefault="00000000">
      <w:pPr>
        <w:pStyle w:val="SingleTxt"/>
      </w:pPr>
      <w:r>
        <w:t>При Комиссии по правам человека было создано независимое Управление по рассмотрению жалоб на нарушения прав человека, которое возглавляет д</w:t>
      </w:r>
      <w:r>
        <w:t>и</w:t>
      </w:r>
      <w:r>
        <w:t>ректор по вопросам рассмотрения жалоб на нарушение прав человека. Ранее пост директора занимал комиссар по рассмотрению жалоб на нарушения прав человека. В задачи этого Управления входит представление за счет государс</w:t>
      </w:r>
      <w:r>
        <w:t>т</w:t>
      </w:r>
      <w:r>
        <w:t>венных средств жалоб в ходе судебных разбирательств дел, предусмотренных Законом о правах человека, причем решение о вариантах представления жалоб прин</w:t>
      </w:r>
      <w:r>
        <w:t>и</w:t>
      </w:r>
      <w:r>
        <w:t>маются с учетом критериев, изложенных в упомянутом Законе.</w:t>
      </w:r>
    </w:p>
    <w:p w:rsidR="00000000" w:rsidRDefault="00000000">
      <w:pPr>
        <w:pStyle w:val="SingleTxt"/>
      </w:pPr>
      <w:r>
        <w:t>На Комиссию по правам человека была возложена одна новая важная функция, а именно пропаганда, соблюдение и поощрение прав человека в Н</w:t>
      </w:r>
      <w:r>
        <w:t>о</w:t>
      </w:r>
      <w:r>
        <w:t>вой Зеландии и поощрение поддержания и развития гармоничных отношений между о</w:t>
      </w:r>
      <w:r>
        <w:t>т</w:t>
      </w:r>
      <w:r>
        <w:t>дельными членами и между различными группами общества.</w:t>
      </w:r>
    </w:p>
    <w:p w:rsidR="00000000" w:rsidRDefault="00000000">
      <w:pPr>
        <w:pStyle w:val="H23"/>
      </w:pPr>
      <w:r>
        <w:t>Процедуры разрешения споров</w:t>
      </w:r>
    </w:p>
    <w:p w:rsidR="00000000" w:rsidRDefault="00000000">
      <w:pPr>
        <w:pStyle w:val="SingleTxt"/>
      </w:pPr>
      <w:r>
        <w:t>Все проблемы или жалобы, связанные с дискриминацией со стороны пр</w:t>
      </w:r>
      <w:r>
        <w:t>а</w:t>
      </w:r>
      <w:r>
        <w:t>вительства и неправительственных субъектов, будут рассматриваться с пом</w:t>
      </w:r>
      <w:r>
        <w:t>о</w:t>
      </w:r>
      <w:r>
        <w:t>щью финансируемого государством механизма решения проблем и урегулир</w:t>
      </w:r>
      <w:r>
        <w:t>о</w:t>
      </w:r>
      <w:r>
        <w:t>вания споров в соотве</w:t>
      </w:r>
      <w:r>
        <w:t>т</w:t>
      </w:r>
      <w:r>
        <w:t>ствии с положениями Закона о правах человека.</w:t>
      </w:r>
    </w:p>
    <w:p w:rsidR="00000000" w:rsidRDefault="00000000">
      <w:pPr>
        <w:pStyle w:val="SingleTxt"/>
      </w:pPr>
      <w:r>
        <w:t>Первоначальный этап процесса разрешения споров разработан так, чтобы этот процесс занимал меньше времени и отличался меньшей степенью фо</w:t>
      </w:r>
      <w:r>
        <w:t>р</w:t>
      </w:r>
      <w:r>
        <w:t>мальности и в большей мере находился под контролем самих сторон в споре. Роль Комиссии заключается в обеспечении услуг для разрешения споров, включая сбор информации, консультации экспертов и посредничество.</w:t>
      </w:r>
    </w:p>
    <w:p w:rsidR="00000000" w:rsidRDefault="00000000">
      <w:pPr>
        <w:pStyle w:val="SingleTxt"/>
      </w:pPr>
      <w:r>
        <w:t>Если спор не удается решить в рамках этого процесса или он выходит за его рамки, то истец может передать спор на рассмотрение Суда по делам прав человека. Истец может просить директора по рассмотрению жалоб на наруш</w:t>
      </w:r>
      <w:r>
        <w:t>е</w:t>
      </w:r>
      <w:r>
        <w:t>ние прав человека представлять его интересы в качестве адвоката в ходе суде</w:t>
      </w:r>
      <w:r>
        <w:t>б</w:t>
      </w:r>
      <w:r>
        <w:t>ного разбирательства. Кроме того, названный директор может представлять в этом суде интересы самой Комиссии (например, после завершения рассмотр</w:t>
      </w:r>
      <w:r>
        <w:t>е</w:t>
      </w:r>
      <w:r>
        <w:t>ния д</w:t>
      </w:r>
      <w:r>
        <w:t>е</w:t>
      </w:r>
      <w:r>
        <w:t>ла самой Комиссией).</w:t>
      </w:r>
    </w:p>
    <w:p w:rsidR="00000000" w:rsidRDefault="00000000">
      <w:pPr>
        <w:pStyle w:val="SingleTxt"/>
      </w:pPr>
      <w:r>
        <w:t>В тех случаях, когда жалоба касается законодательства, политики или практики правительства, предусматриваются соответствующие меры правовой защиты:</w:t>
      </w:r>
    </w:p>
    <w:p w:rsidR="00000000" w:rsidRDefault="00000000">
      <w:pPr>
        <w:pStyle w:val="dot"/>
      </w:pPr>
      <w:r>
        <w:tab/>
      </w:r>
      <w:r>
        <w:tab/>
        <w:t>•</w:t>
      </w:r>
      <w:r>
        <w:tab/>
        <w:t>если названный выше Суд или иные суды выявляют в политике или пра</w:t>
      </w:r>
      <w:r>
        <w:t>к</w:t>
      </w:r>
      <w:r>
        <w:t>тике правительстве признаки необоснованной дискриминации, то согла</w:t>
      </w:r>
      <w:r>
        <w:t>с</w:t>
      </w:r>
      <w:r>
        <w:t>но Закону о правах человека будет обеспечен весь диапазон средств пр</w:t>
      </w:r>
      <w:r>
        <w:t>а</w:t>
      </w:r>
      <w:r>
        <w:t>вовой защиты (например, возмещение денежного ущерба, постановление о совершении действий, направленных на компенсацию убытков, пон</w:t>
      </w:r>
      <w:r>
        <w:t>е</w:t>
      </w:r>
      <w:r>
        <w:t>сенных истцом, постановление, предписывающее воздерживаться от п</w:t>
      </w:r>
      <w:r>
        <w:t>о</w:t>
      </w:r>
      <w:r>
        <w:t>вторения дискриминационных актов, заявления о нарушениях правител</w:t>
      </w:r>
      <w:r>
        <w:t>ь</w:t>
      </w:r>
      <w:r>
        <w:t>ством Закона о правах человека).</w:t>
      </w:r>
    </w:p>
    <w:p w:rsidR="00000000" w:rsidRDefault="00000000">
      <w:pPr>
        <w:pStyle w:val="dot"/>
      </w:pPr>
      <w:r>
        <w:tab/>
      </w:r>
      <w:r>
        <w:tab/>
        <w:t>•</w:t>
      </w:r>
      <w:r>
        <w:tab/>
        <w:t>если в статутах или законоположениях будут выявлены элементы, соде</w:t>
      </w:r>
      <w:r>
        <w:t>р</w:t>
      </w:r>
      <w:r>
        <w:t>жащие необоснованную дискриминацию, то они будут объявлены не с</w:t>
      </w:r>
      <w:r>
        <w:t>о</w:t>
      </w:r>
      <w:r>
        <w:t>ответствующими закону. Министр, ответственный за выполнение ко</w:t>
      </w:r>
      <w:r>
        <w:t>н</w:t>
      </w:r>
      <w:r>
        <w:t>кретного законодательства, обязан довести заявление о несоответствии до сведения па</w:t>
      </w:r>
      <w:r>
        <w:t>р</w:t>
      </w:r>
      <w:r>
        <w:t>ламента и дать ответ правительства на это заявление.</w:t>
      </w:r>
    </w:p>
    <w:p w:rsidR="00000000" w:rsidRDefault="00000000">
      <w:pPr>
        <w:pStyle w:val="SingleTxt"/>
      </w:pPr>
      <w:r>
        <w:t>Пока неясно, как введение нового процесса, в рамках которого Комиссия уже не занимается расследованием, а осуществляет сбор информации и оказ</w:t>
      </w:r>
      <w:r>
        <w:t>ы</w:t>
      </w:r>
      <w:r>
        <w:t>вает посреднические услуги, повлияет на рассмотрение жалоб о сексуальных дом</w:t>
      </w:r>
      <w:r>
        <w:t>о</w:t>
      </w:r>
      <w:r>
        <w:t>гательствах.</w:t>
      </w:r>
    </w:p>
    <w:p w:rsidR="00000000" w:rsidRDefault="00000000">
      <w:pPr>
        <w:pStyle w:val="H1"/>
      </w:pPr>
      <w:r>
        <w:t>Национальный план действий</w:t>
      </w:r>
    </w:p>
    <w:p w:rsidR="00000000" w:rsidRDefault="00000000">
      <w:pPr>
        <w:pStyle w:val="SingleTxt"/>
      </w:pPr>
      <w:r>
        <w:t>Закон о правах человека с внесенными в него поправками предусматрив</w:t>
      </w:r>
      <w:r>
        <w:t>а</w:t>
      </w:r>
      <w:r>
        <w:t>ет, что Комиссия «разрабатывает национальный план действий в консультации с заинтересованными сторонами для поощрения и защиты прав человека в Н</w:t>
      </w:r>
      <w:r>
        <w:t>о</w:t>
      </w:r>
      <w:r>
        <w:t>вой Зеландии». Комиссия будет разрабатывать национальный план действия в течение двух-трех лет в тесной консультации с правительством, государстве</w:t>
      </w:r>
      <w:r>
        <w:t>н</w:t>
      </w:r>
      <w:r>
        <w:t>ным сектором и гражда</w:t>
      </w:r>
      <w:r>
        <w:t>н</w:t>
      </w:r>
      <w:r>
        <w:t>ским обществом.</w:t>
      </w:r>
    </w:p>
    <w:p w:rsidR="00000000" w:rsidRDefault="00000000">
      <w:pPr>
        <w:pStyle w:val="H1"/>
      </w:pPr>
      <w:r>
        <w:t>Актуализация вопроса прав человека</w:t>
      </w:r>
    </w:p>
    <w:p w:rsidR="00000000" w:rsidRDefault="00000000">
      <w:pPr>
        <w:pStyle w:val="SingleTxt"/>
      </w:pPr>
      <w:r>
        <w:t>Правительство поручило министерству юстиции возглавить одну межв</w:t>
      </w:r>
      <w:r>
        <w:t>е</w:t>
      </w:r>
      <w:r>
        <w:t>домственную группу по вопросу содействия включению вопросов прав челов</w:t>
      </w:r>
      <w:r>
        <w:t>е</w:t>
      </w:r>
      <w:r>
        <w:t>ка в процесс разработки политики всеми правительственными учреждениями. По мнению министерства юстиции, этой группе следует поручить координ</w:t>
      </w:r>
      <w:r>
        <w:t>а</w:t>
      </w:r>
      <w:r>
        <w:t>цию деятельности различных ведомств в области прав человека с упором на ее эффективность, включая выполнение обязательств по международным догов</w:t>
      </w:r>
      <w:r>
        <w:t>о</w:t>
      </w:r>
      <w:r>
        <w:t>рам. В рамках этой работы министерство юстиции недавно опубликовало рук</w:t>
      </w:r>
      <w:r>
        <w:t>о</w:t>
      </w:r>
      <w:r>
        <w:t>водящие принципы применения двух норм о недопущении дискриминации, к</w:t>
      </w:r>
      <w:r>
        <w:t>о</w:t>
      </w:r>
      <w:r>
        <w:t>торые содержатся в Законе о правах человека 1993 года. Эти руководящие принципы, ориентированные на государственный сектор, будут служить осн</w:t>
      </w:r>
      <w:r>
        <w:t>о</w:t>
      </w:r>
      <w:r>
        <w:t>вой для разработки и анализа законодательства, а также политики, практики и услуг государственного сектора в Новой Зеландии. Кроме того, министерство юстиции осуществляет разработку общих руководящих принципов применения Билля о правах для государственного сектора, которая будет завершена к нач</w:t>
      </w:r>
      <w:r>
        <w:t>а</w:t>
      </w:r>
      <w:r>
        <w:t>лу 2003 года.</w:t>
      </w:r>
    </w:p>
    <w:p w:rsidR="00000000" w:rsidRDefault="00000000">
      <w:pPr>
        <w:pStyle w:val="H1"/>
      </w:pPr>
      <w:r>
        <w:t>Статистика жалоб</w:t>
      </w:r>
    </w:p>
    <w:p w:rsidR="00000000" w:rsidRDefault="00000000">
      <w:pPr>
        <w:pStyle w:val="SingleTxt"/>
      </w:pPr>
      <w:r>
        <w:t>Согласно положениям Закона о правах человека дискриминация по пр</w:t>
      </w:r>
      <w:r>
        <w:t>и</w:t>
      </w:r>
      <w:r>
        <w:t>знаку пола и сексуальное домогательство квалифицируются как противопра</w:t>
      </w:r>
      <w:r>
        <w:t>в</w:t>
      </w:r>
      <w:r>
        <w:t>ные деяния. Лица, подвергшиеся дискриминации или сексуальному домог</w:t>
      </w:r>
      <w:r>
        <w:t>а</w:t>
      </w:r>
      <w:r>
        <w:t>тельству, могут подать жалобу в Комиссию по правам человека (КПЧ). В пер</w:t>
      </w:r>
      <w:r>
        <w:t>и</w:t>
      </w:r>
      <w:r>
        <w:t>од 1998-2001 годов на долю жалоб на дискриминацию по признаку пола и в связи с сексуальными домогательствами приходилось в общей сложности 33 процента всех жалоб, полученных КПЧ. Число случаев сексуальных домог</w:t>
      </w:r>
      <w:r>
        <w:t>а</w:t>
      </w:r>
      <w:r>
        <w:t>тельств варьировалось от 77 случаев в 1998/1999 годах до 61 случая в 1999/2000 годах. Рассмотрение жалоб по фактам сексуальных домогательств зачастую завершалось примирением сторон. Соглашения о примирении сторон могут включать обязательство организации, на которую поступила жалоба, проводить профилактические мероприятия по предотвращению сексуальных домогательств на рабочих местах и заверение в том, что в будущем подобное поведение будет всячески пресекаться.</w:t>
      </w:r>
    </w:p>
    <w:p w:rsidR="00000000" w:rsidRDefault="00000000">
      <w:pPr>
        <w:pStyle w:val="H1"/>
      </w:pPr>
      <w:r>
        <w:t>Сексуальные домогательства</w:t>
      </w:r>
    </w:p>
    <w:p w:rsidR="00000000" w:rsidRDefault="00000000">
      <w:pPr>
        <w:pStyle w:val="SingleTxt"/>
      </w:pPr>
      <w:r>
        <w:t>Кроме того, КПЧ провело обследование по вопросам сексуальных домог</w:t>
      </w:r>
      <w:r>
        <w:t>а</w:t>
      </w:r>
      <w:r>
        <w:t>тельств, в ходе которого было выявлено, что сексуальным домогательствам подвергалась одна треть всех женщин. В ходе этого обследования было уст</w:t>
      </w:r>
      <w:r>
        <w:t>а</w:t>
      </w:r>
      <w:r>
        <w:t>новлено, что чаще других сексуальным домогательствам подвергаются мол</w:t>
      </w:r>
      <w:r>
        <w:t>о</w:t>
      </w:r>
      <w:r>
        <w:t>дые женщины. Статистические данные в разбивке по возрастным группам св</w:t>
      </w:r>
      <w:r>
        <w:t>и</w:t>
      </w:r>
      <w:r>
        <w:t>детельствуют, что 37 процентов женщин в возрасте от 18 до 20 лет подверг</w:t>
      </w:r>
      <w:r>
        <w:t>а</w:t>
      </w:r>
      <w:r>
        <w:t>лись сексуальным домогательствам. Кроме того, в ходе обследования было у</w:t>
      </w:r>
      <w:r>
        <w:t>с</w:t>
      </w:r>
      <w:r>
        <w:t>тановлено, что случаи сексуальных домогательств чаще всего встречаются на рабочих местах. Из 218 респондентов, сообщивших о том, что они подверг</w:t>
      </w:r>
      <w:r>
        <w:t>а</w:t>
      </w:r>
      <w:r>
        <w:t>лись сексуальным домогательствам, большинство респондентов (67 процентов) подвергались этим домогательствам на рабочем месте. 70 респондентов из чи</w:t>
      </w:r>
      <w:r>
        <w:t>с</w:t>
      </w:r>
      <w:r>
        <w:t>ла женщин сообщили, что они подвергались сексуальным домогательствам на рабочем месте. Кроме того, обследование выявило, что 37 процентов женщин, работающих менее 20 часов в неделю, подвергались сексуальным домогател</w:t>
      </w:r>
      <w:r>
        <w:t>ь</w:t>
      </w:r>
      <w:r>
        <w:t xml:space="preserve">ствам. </w:t>
      </w:r>
    </w:p>
    <w:p w:rsidR="00000000" w:rsidRDefault="00000000">
      <w:pPr>
        <w:pStyle w:val="SingleTxt"/>
      </w:pPr>
      <w:r>
        <w:t>Впоследствии, в октябре 2000 года и сентябре 2001 года, КПЧ проводила недели борьбы с сексуальными домогательствами, в ходе которых было выя</w:t>
      </w:r>
      <w:r>
        <w:t>в</w:t>
      </w:r>
      <w:r>
        <w:t>лено беспрецедентное число случаев сексуальных домогательств. Во время и после кампании 2000 года число сообщений о случаях сексуальных домог</w:t>
      </w:r>
      <w:r>
        <w:t>а</w:t>
      </w:r>
      <w:r>
        <w:t>тельств в КПЧ увеличилось более чем в два раза, активность веб-сайта КПЧ увеличилась более чем на 60 процентов, а количество просьб о професси</w:t>
      </w:r>
      <w:r>
        <w:t>о</w:t>
      </w:r>
      <w:r>
        <w:t>нальной подготовке в области профилактики сексуальных домогательств до</w:t>
      </w:r>
      <w:r>
        <w:t>с</w:t>
      </w:r>
      <w:r>
        <w:t>тигло 60. Кроме того, заметно увеличилось число жалоб на сексуальные дом</w:t>
      </w:r>
      <w:r>
        <w:t>о</w:t>
      </w:r>
      <w:r>
        <w:t>гательства, кот</w:t>
      </w:r>
      <w:r>
        <w:t>о</w:t>
      </w:r>
      <w:r>
        <w:t>рые подавалась в КПЧ.</w:t>
      </w:r>
    </w:p>
    <w:p w:rsidR="00000000" w:rsidRDefault="00000000">
      <w:pPr>
        <w:pStyle w:val="SingleTxt"/>
      </w:pPr>
      <w:r>
        <w:t>В центре внимания кампании 2001 года были предприятия по производс</w:t>
      </w:r>
      <w:r>
        <w:t>т</w:t>
      </w:r>
      <w:r>
        <w:t>ву продуктов питания и напитков, то есть те предприятия, работники которых чаще всего обращаются в КПЧ с жалобами на сексуальные домогательства. Мероприятия по профилактике сексуальных домогательств в рамках этой ка</w:t>
      </w:r>
      <w:r>
        <w:t>м</w:t>
      </w:r>
      <w:r>
        <w:t>пании включали распространение материалов по предотвращению сексуальных домогательств на более чем 5000 предприятий сферы услуг; пропаганду идей недопущения сексуальных домогательств на радио; расклеивание плакатов на улицах и распространение брошюр в районах размещения кафе и в районах учебных заведений; проведение обследования по вопросам сексуальных дом</w:t>
      </w:r>
      <w:r>
        <w:t>о</w:t>
      </w:r>
      <w:r>
        <w:t>гательств в ресторанах и барах и публикацию его результатов; а также орган</w:t>
      </w:r>
      <w:r>
        <w:t>и</w:t>
      </w:r>
      <w:r>
        <w:t>зацию профилактических мероприятий по недопущению сексуальных домог</w:t>
      </w:r>
      <w:r>
        <w:t>а</w:t>
      </w:r>
      <w:r>
        <w:t>тельств на предприятиях сферы обслуживания. Кампания получила весьма п</w:t>
      </w:r>
      <w:r>
        <w:t>о</w:t>
      </w:r>
      <w:r>
        <w:t>ложительные отклики, в частности со стороны целевых групп молодых рабо</w:t>
      </w:r>
      <w:r>
        <w:t>т</w:t>
      </w:r>
      <w:r>
        <w:t>ников ресторанов и баров и привела также к увеличению просьб и вопросов о предоставлении информации, связанной с сексуал</w:t>
      </w:r>
      <w:r>
        <w:t>ь</w:t>
      </w:r>
      <w:r>
        <w:t>ными домогательствами.</w:t>
      </w:r>
    </w:p>
    <w:p w:rsidR="00000000" w:rsidRDefault="00000000">
      <w:pPr>
        <w:pStyle w:val="SingleTxt"/>
      </w:pPr>
      <w:r>
        <w:t>КПЧ подготовила список официальных служб по оказанию услуг в обла</w:t>
      </w:r>
      <w:r>
        <w:t>с</w:t>
      </w:r>
      <w:r>
        <w:t>ти предотвращения сексуальных домогательств. Кроме того, она финансиров</w:t>
      </w:r>
      <w:r>
        <w:t>а</w:t>
      </w:r>
      <w:r>
        <w:t>ла проведение семинаров по вопросам предотвращения сексуальных домог</w:t>
      </w:r>
      <w:r>
        <w:t>а</w:t>
      </w:r>
      <w:r>
        <w:t>тельств в ряде целевых организаций с низким доходом.</w:t>
      </w:r>
    </w:p>
    <w:p w:rsidR="00000000" w:rsidRDefault="00000000">
      <w:pPr>
        <w:pStyle w:val="H1"/>
      </w:pPr>
      <w:r>
        <w:t>Вопросы заключения браков</w:t>
      </w:r>
    </w:p>
    <w:p w:rsidR="00000000" w:rsidRDefault="00000000">
      <w:pPr>
        <w:pStyle w:val="SingleTxt"/>
      </w:pPr>
      <w:r>
        <w:rPr>
          <w:caps/>
        </w:rPr>
        <w:t>в</w:t>
      </w:r>
      <w:r>
        <w:t xml:space="preserve"> настоящее время министерство юстиции проводит масштабное обсл</w:t>
      </w:r>
      <w:r>
        <w:t>е</w:t>
      </w:r>
      <w:r>
        <w:t>дование всех законоположений, кроме тех, которые касаются социальной п</w:t>
      </w:r>
      <w:r>
        <w:t>о</w:t>
      </w:r>
      <w:r>
        <w:t>мощи, действующих в отношении брачных пар одного и того же пола и бра</w:t>
      </w:r>
      <w:r>
        <w:t>ч</w:t>
      </w:r>
      <w:r>
        <w:t>ных пар различного пола де-факто в порядке, ином чем в отношении пар, з</w:t>
      </w:r>
      <w:r>
        <w:t>а</w:t>
      </w:r>
      <w:r>
        <w:t>ключивших свой брак на законных основаниях. Этот обзор предусматривает выявление законов, которые необходимо изменить, с тем чтобы пары одного и того же пола и пары разного пола де-факто располагали в принципе теми же правами, защитой и несли те же обязанности, что и пары, заключившие свой брачный союз на законном основании. Министерство социального развития п</w:t>
      </w:r>
      <w:r>
        <w:t>а</w:t>
      </w:r>
      <w:r>
        <w:t>раллельно осуществляет проект, направленный на обеспечение того, чтобы для целей социальной помощи пары одного и того же пола пользовались теми же правами, что и лица, находящиеся в законном браке и находящиеся в браке л</w:t>
      </w:r>
      <w:r>
        <w:t>и</w:t>
      </w:r>
      <w:r>
        <w:t xml:space="preserve">ца противоположного пола </w:t>
      </w:r>
      <w:r>
        <w:rPr>
          <w:i/>
        </w:rPr>
        <w:t>де-факто</w:t>
      </w:r>
      <w:r>
        <w:t>. Министерство рассматривает вопрос о том, какие поправки могут потребоваться для юридического признания супр</w:t>
      </w:r>
      <w:r>
        <w:t>у</w:t>
      </w:r>
      <w:r>
        <w:t>жеских пар одного и того же пола в плане оказания им социальной помощи.</w:t>
      </w:r>
    </w:p>
    <w:p w:rsidR="00000000" w:rsidRDefault="00000000">
      <w:pPr>
        <w:pStyle w:val="H1"/>
      </w:pPr>
      <w:r>
        <w:t>Дискриминация беременных женщин</w:t>
      </w:r>
    </w:p>
    <w:p w:rsidR="00000000" w:rsidRDefault="00000000">
      <w:pPr>
        <w:pStyle w:val="SingleTxt"/>
      </w:pPr>
      <w:r>
        <w:t>Вследствие увеличения числа наведения справок и жалоб, связанных с дискриминацией беременных женщин, КПЧ разрабатывает руководящие при</w:t>
      </w:r>
      <w:r>
        <w:t>н</w:t>
      </w:r>
      <w:r>
        <w:t>ципы отношения к беременным женщинам. Такими принципами должны рук</w:t>
      </w:r>
      <w:r>
        <w:t>о</w:t>
      </w:r>
      <w:r>
        <w:t>водствоваться работодатели, владельцы мелких и средних предприятий, сп</w:t>
      </w:r>
      <w:r>
        <w:t>е</w:t>
      </w:r>
      <w:r>
        <w:t>циалисты в области людских ресурсов и представители профессиональных союзов. Эти руководящие принципы будут содержать информацию о правовых требованиях и консультативные советы по вопросам наилучшей практики.</w:t>
      </w:r>
    </w:p>
    <w:p w:rsidR="00000000" w:rsidRDefault="00000000">
      <w:pPr>
        <w:pStyle w:val="H1"/>
        <w:ind w:left="1264" w:firstLine="0"/>
      </w:pPr>
      <w:r>
        <w:t>Комиссар по вопросам защиты прав женщин</w:t>
      </w:r>
    </w:p>
    <w:p w:rsidR="00000000" w:rsidRDefault="00000000">
      <w:pPr>
        <w:pStyle w:val="SingleTxt"/>
      </w:pPr>
      <w:r>
        <w:t>В рамках использования специальных средств для финансирования поо</w:t>
      </w:r>
      <w:r>
        <w:t>щ</w:t>
      </w:r>
      <w:r>
        <w:t>рения прав женщин в 2000 году КПЧ учредило должность Комиссар по вопр</w:t>
      </w:r>
      <w:r>
        <w:t>о</w:t>
      </w:r>
      <w:r>
        <w:t>сам защиты прав женщин с целью создания координационного механизма для групп женщин, и оказания им помощи в получении услуг, направленных на п</w:t>
      </w:r>
      <w:r>
        <w:t>о</w:t>
      </w:r>
      <w:r>
        <w:t>вышение качества жизни женщин. Комиссар по вопросам защиты прав женщин выполняет сл</w:t>
      </w:r>
      <w:r>
        <w:t>е</w:t>
      </w:r>
      <w:r>
        <w:t>дующие функции:</w:t>
      </w:r>
    </w:p>
    <w:p w:rsidR="00000000" w:rsidRDefault="00000000">
      <w:pPr>
        <w:pStyle w:val="dot"/>
      </w:pPr>
      <w:r>
        <w:tab/>
      </w:r>
      <w:r>
        <w:tab/>
        <w:t>•</w:t>
      </w:r>
      <w:r>
        <w:tab/>
        <w:t>обеспечение женщин Новой Зеландии соответствующей и исчерпыва</w:t>
      </w:r>
      <w:r>
        <w:t>ю</w:t>
      </w:r>
      <w:r>
        <w:t>щей информацией об своих правах и путях обеспечения их практической реализации в важные моменты их жизни.</w:t>
      </w:r>
    </w:p>
    <w:p w:rsidR="00000000" w:rsidRDefault="00000000">
      <w:pPr>
        <w:pStyle w:val="dot"/>
      </w:pPr>
      <w:r>
        <w:tab/>
      </w:r>
      <w:r>
        <w:tab/>
        <w:t>•</w:t>
      </w:r>
      <w:r>
        <w:tab/>
        <w:t>сокращение случаев сексуальных домогательств в новозеландском общ</w:t>
      </w:r>
      <w:r>
        <w:t>е</w:t>
      </w:r>
      <w:r>
        <w:t>стве, в том числе на малых и средних предприятиях, в общинах и учебных заведениях</w:t>
      </w:r>
    </w:p>
    <w:p w:rsidR="00000000" w:rsidRDefault="00000000">
      <w:pPr>
        <w:pStyle w:val="dot"/>
      </w:pPr>
      <w:r>
        <w:tab/>
      </w:r>
      <w:r>
        <w:tab/>
        <w:t>•</w:t>
      </w:r>
      <w:r>
        <w:tab/>
        <w:t>оказание помощи женщинам в отстаивании своих прав путем укрепления или содействия деятельности других организаций, занимающихся этими вопросами</w:t>
      </w:r>
    </w:p>
    <w:p w:rsidR="00000000" w:rsidRDefault="00000000">
      <w:pPr>
        <w:pStyle w:val="dot"/>
      </w:pPr>
      <w:r>
        <w:tab/>
      </w:r>
      <w:r>
        <w:tab/>
        <w:t>•</w:t>
      </w:r>
      <w:r>
        <w:tab/>
        <w:t>повышение качества гендерных анализов в рамках всех мероприятий КПЧ</w:t>
      </w:r>
    </w:p>
    <w:p w:rsidR="00000000" w:rsidRDefault="00000000">
      <w:pPr>
        <w:pStyle w:val="dot"/>
      </w:pPr>
      <w:r>
        <w:tab/>
      </w:r>
      <w:r>
        <w:tab/>
        <w:t>•</w:t>
      </w:r>
      <w:r>
        <w:tab/>
        <w:t>информирование КПЧ и общества по актуальным текущим вопросам, к</w:t>
      </w:r>
      <w:r>
        <w:t>а</w:t>
      </w:r>
      <w:r>
        <w:t>сающимся общеч</w:t>
      </w:r>
      <w:r>
        <w:t>е</w:t>
      </w:r>
      <w:r>
        <w:t>ловеческих прав женщин.</w:t>
      </w:r>
    </w:p>
    <w:p w:rsidR="00000000" w:rsidRDefault="00000000">
      <w:pPr>
        <w:pStyle w:val="SingleTxt"/>
      </w:pPr>
      <w:r>
        <w:t>Вследствие истечения срока ассигнования специальных средств на цели улучшения положения в области соблюдения прав человека женщин должность Уполномоченного по вопросам защиты прав женщин будет упразднена в 2002 году. Однако при условии наличия средств общего назначения Комиссия намерена возродить такую должность с функциями, связанными с улучшением положения женщин. Один из уполномоченных по правам человека, работа</w:t>
      </w:r>
      <w:r>
        <w:t>ю</w:t>
      </w:r>
      <w:r>
        <w:t>щий на условиях неполного рабочего дня, будет также выполнять функции, связанные с улучшением положения женщин.</w:t>
      </w:r>
    </w:p>
    <w:p w:rsidR="00000000" w:rsidRDefault="00000000">
      <w:pPr>
        <w:pStyle w:val="H1"/>
      </w:pPr>
      <w:r>
        <w:t>Образование</w:t>
      </w:r>
    </w:p>
    <w:p w:rsidR="00000000" w:rsidRDefault="00000000">
      <w:pPr>
        <w:pStyle w:val="SingleTxt"/>
      </w:pPr>
      <w:r>
        <w:t xml:space="preserve">КПЧ опубликовала новую серию изданий на английском языке и языке маори по вопросам пропаганды КЛДЖ. КПЧ опубликовала серию брошюр под названием </w:t>
      </w:r>
      <w:r>
        <w:rPr>
          <w:i/>
        </w:rPr>
        <w:t>«Жизненный цикл женщин»</w:t>
      </w:r>
      <w:r>
        <w:t xml:space="preserve"> и в 2002 году провела Международный день женщин с уделением особого внимания таким вопросам, как береме</w:t>
      </w:r>
      <w:r>
        <w:t>н</w:t>
      </w:r>
      <w:r>
        <w:t>ность, трудоустройство женщин, возвращение на работу и жизнь в пожилом возрасте.</w:t>
      </w:r>
    </w:p>
    <w:p w:rsidR="00000000" w:rsidRDefault="00000000">
      <w:pPr>
        <w:pStyle w:val="H1"/>
      </w:pPr>
      <w:r>
        <w:t>Судебные разбирательства</w:t>
      </w:r>
    </w:p>
    <w:p w:rsidR="00000000" w:rsidRDefault="00000000">
      <w:pPr>
        <w:pStyle w:val="SingleTxt"/>
      </w:pPr>
      <w:r>
        <w:t>В течение многих лет КПЧ, помимо своих других функций и полномочий, выполняет функцию участия в судебных разбирательствах в связи с индивид</w:t>
      </w:r>
      <w:r>
        <w:t>у</w:t>
      </w:r>
      <w:r>
        <w:t>альными жалобами на дискриминацию и иными правонарушениями в области прав человека. Это означает, что КПЧ может принимать к рассмотрению в</w:t>
      </w:r>
      <w:r>
        <w:t>о</w:t>
      </w:r>
      <w:r>
        <w:t>просы дискриминации в отношении женщин в рамках финансируемых гос</w:t>
      </w:r>
      <w:r>
        <w:t>у</w:t>
      </w:r>
      <w:r>
        <w:t>дарством процессов судебного разбирательства. За последние 5 лет из общего числа жалоб на незаконную дискриминацию, которые подавались Комиссару по рассмотрению жалоб, доля жалоб на сексуальные домогательства составл</w:t>
      </w:r>
      <w:r>
        <w:t>я</w:t>
      </w:r>
      <w:r>
        <w:t>ла 48 процентов, дискриминацию в отношении женщин (включая дискримин</w:t>
      </w:r>
      <w:r>
        <w:t>а</w:t>
      </w:r>
      <w:r>
        <w:t>цию беременных женщин) – 9 процентов, и дискриминацию женщин в семье – 7 процентов.</w:t>
      </w:r>
    </w:p>
    <w:p w:rsidR="00000000" w:rsidRDefault="00000000">
      <w:pPr>
        <w:pStyle w:val="H1"/>
      </w:pPr>
      <w:r>
        <w:t>Управление Комиссара по делам детей</w:t>
      </w:r>
    </w:p>
    <w:p w:rsidR="00000000" w:rsidRDefault="00000000">
      <w:pPr>
        <w:pStyle w:val="SingleTxt"/>
      </w:pPr>
      <w:r>
        <w:t>Недавно правительство представило на рассмотрение парламента закон</w:t>
      </w:r>
      <w:r>
        <w:t>о</w:t>
      </w:r>
      <w:r>
        <w:t>проект о правах детей с целью расширения полномочий Комиссара по делам детей в деле защиты их интересов, прав и материального обеспечения. С пр</w:t>
      </w:r>
      <w:r>
        <w:t>и</w:t>
      </w:r>
      <w:r>
        <w:t>нятием этого законопроекта о правах детей Комиссар по делам детей будет в</w:t>
      </w:r>
      <w:r>
        <w:t>ы</w:t>
      </w:r>
      <w:r>
        <w:t>полнять дополнительные предусмотренные законом функции и осуществлять прямо оговоренные законом полномочия, что позволит более эффективно в</w:t>
      </w:r>
      <w:r>
        <w:t>ы</w:t>
      </w:r>
      <w:r>
        <w:t>полнять положения Конвенции Организации Объединенных Наций о правах ребенка (КПРООН), в частности путем:</w:t>
      </w:r>
    </w:p>
    <w:p w:rsidR="00000000" w:rsidRDefault="00000000">
      <w:pPr>
        <w:pStyle w:val="dot"/>
      </w:pPr>
      <w:r>
        <w:tab/>
      </w:r>
      <w:r>
        <w:tab/>
        <w:t>•</w:t>
      </w:r>
      <w:r>
        <w:tab/>
        <w:t>содействия созданию доступных и эффективных механизмов рассмотр</w:t>
      </w:r>
      <w:r>
        <w:t>е</w:t>
      </w:r>
      <w:r>
        <w:t>ния жалоб и наблюдения за рассмотрением жалоб, касающихся ущемл</w:t>
      </w:r>
      <w:r>
        <w:t>е</w:t>
      </w:r>
      <w:r>
        <w:t>ния прав детей</w:t>
      </w:r>
    </w:p>
    <w:p w:rsidR="00000000" w:rsidRDefault="00000000">
      <w:pPr>
        <w:pStyle w:val="dot"/>
      </w:pPr>
      <w:r>
        <w:tab/>
      </w:r>
      <w:r>
        <w:tab/>
        <w:t>•</w:t>
      </w:r>
      <w:r>
        <w:tab/>
        <w:t>повышения информированности об интересах, правах и материальном п</w:t>
      </w:r>
      <w:r>
        <w:t>о</w:t>
      </w:r>
      <w:r>
        <w:t>лож</w:t>
      </w:r>
      <w:r>
        <w:t>е</w:t>
      </w:r>
      <w:r>
        <w:t>нии детей и достижения более глубокого понимания этих вопросов</w:t>
      </w:r>
    </w:p>
    <w:p w:rsidR="00000000" w:rsidRDefault="00000000">
      <w:pPr>
        <w:pStyle w:val="dot"/>
      </w:pPr>
      <w:r>
        <w:tab/>
      </w:r>
      <w:r>
        <w:tab/>
        <w:t>•</w:t>
      </w:r>
      <w:r>
        <w:tab/>
        <w:t>повышения информированности о положениях КПРООН и достижения более глубокого ее понимания</w:t>
      </w:r>
    </w:p>
    <w:p w:rsidR="00000000" w:rsidRDefault="00000000">
      <w:pPr>
        <w:pStyle w:val="dot"/>
      </w:pPr>
      <w:r>
        <w:tab/>
      </w:r>
      <w:r>
        <w:tab/>
        <w:t>•</w:t>
      </w:r>
      <w:r>
        <w:tab/>
        <w:t>выполнения функций защитника интересов, прав и материального обесп</w:t>
      </w:r>
      <w:r>
        <w:t>е</w:t>
      </w:r>
      <w:r>
        <w:t>чения детей в целом (но не в судах или трибуналах) и, в этой связи, с</w:t>
      </w:r>
      <w:r>
        <w:t>о</w:t>
      </w:r>
      <w:r>
        <w:t>действие осуществлению КПРООН и других документов Короны разли</w:t>
      </w:r>
      <w:r>
        <w:t>ч</w:t>
      </w:r>
      <w:r>
        <w:t>ными государственными учреждениями и наблюдению за их осуществл</w:t>
      </w:r>
      <w:r>
        <w:t>е</w:t>
      </w:r>
      <w:r>
        <w:t>нием</w:t>
      </w:r>
    </w:p>
    <w:p w:rsidR="00000000" w:rsidRDefault="00000000">
      <w:pPr>
        <w:pStyle w:val="dot"/>
      </w:pPr>
      <w:r>
        <w:tab/>
      </w:r>
      <w:r>
        <w:tab/>
        <w:t>•</w:t>
      </w:r>
      <w:r>
        <w:tab/>
        <w:t>представления докладов в любых судах по их просьбе, если судопрои</w:t>
      </w:r>
      <w:r>
        <w:t>з</w:t>
      </w:r>
      <w:r>
        <w:t>водство связано с КПРООН или интересами, правами и материальным обеспеч</w:t>
      </w:r>
      <w:r>
        <w:t>е</w:t>
      </w:r>
      <w:r>
        <w:t>нием детей</w:t>
      </w:r>
    </w:p>
    <w:p w:rsidR="00000000" w:rsidRDefault="00000000">
      <w:pPr>
        <w:pStyle w:val="dot"/>
      </w:pPr>
      <w:r>
        <w:tab/>
      </w:r>
      <w:r>
        <w:tab/>
        <w:t>•</w:t>
      </w:r>
      <w:r>
        <w:tab/>
        <w:t>содействия участию детей в процессе принятия решений, затрагивающих их жизнь, а также избрание подхода, учитывающего их мнение.</w:t>
      </w:r>
    </w:p>
    <w:p w:rsidR="00000000" w:rsidRDefault="00000000">
      <w:pPr>
        <w:pStyle w:val="SingleTxt"/>
      </w:pPr>
      <w:r>
        <w:t>Кроме того, нынешние функции Комиссара по рассмотрению жалоб были изменены с тем, чтобы он мог принимать к рассмотрению любое решение или рекомендацию, а также действие или бездействие, касающиеся детей, причем не только те, которые предусмотрены Законом о детях, молодых людях и их семьях 1989 года. КПРООН включена в этот Закон в качестве приложения, что свидетельствует о поддержке этой Конвенции правительством. Следует также отметить, что правительство за четыре года выделило дополнительно 2,8 млн. долл. США на поддержку выполнения этих функций.</w:t>
      </w:r>
    </w:p>
    <w:p w:rsidR="00000000" w:rsidRDefault="00000000">
      <w:pPr>
        <w:pStyle w:val="H1"/>
      </w:pPr>
      <w:r>
        <w:t>Обследование использования времени</w:t>
      </w:r>
    </w:p>
    <w:p w:rsidR="00000000" w:rsidRDefault="00000000">
      <w:pPr>
        <w:pStyle w:val="SingleTxt"/>
      </w:pPr>
      <w:r>
        <w:t>В 1998/1999 годах в Новой Зеландии было проведено обследование и</w:t>
      </w:r>
      <w:r>
        <w:t>с</w:t>
      </w:r>
      <w:r>
        <w:t>пользования времени, результаты которого были совместно опубликованы Ст</w:t>
      </w:r>
      <w:r>
        <w:t>а</w:t>
      </w:r>
      <w:r>
        <w:t>тистическим управлением Новой Зеландии и министерством по делам женщин в мае 2001 года. В ходе этого обследования было выявлено время, затрачива</w:t>
      </w:r>
      <w:r>
        <w:t>е</w:t>
      </w:r>
      <w:r>
        <w:t>мое на различные виды деятельности, включая оплачиваемую работу, добр</w:t>
      </w:r>
      <w:r>
        <w:t>о</w:t>
      </w:r>
      <w:r>
        <w:t>вольную работу, работу по дому, уходу за детьми и отдых. Возраст респонде</w:t>
      </w:r>
      <w:r>
        <w:t>н</w:t>
      </w:r>
      <w:r>
        <w:t>тов обследования, являвшихся членами частных домашних хозяйств, составлял 12 лет и старше. В докладе по итогам этого обследования приводятся результ</w:t>
      </w:r>
      <w:r>
        <w:t>а</w:t>
      </w:r>
      <w:r>
        <w:t>ты, отражающие время, затрачиваемое на участие в экономической деятельн</w:t>
      </w:r>
      <w:r>
        <w:t>о</w:t>
      </w:r>
      <w:r>
        <w:t>сти, выполнение оплачиваемого и неоплачиваемого труда, и участие в социал</w:t>
      </w:r>
      <w:r>
        <w:t>ь</w:t>
      </w:r>
      <w:r>
        <w:t>ной жизни, то есть участие в деятельности, способствующей наращиванию с</w:t>
      </w:r>
      <w:r>
        <w:t>о</w:t>
      </w:r>
      <w:r>
        <w:t>циального, человеческого и культурного капитала.</w:t>
      </w:r>
    </w:p>
    <w:p w:rsidR="00000000" w:rsidRDefault="00000000">
      <w:pPr>
        <w:pStyle w:val="H23"/>
      </w:pPr>
      <w:r>
        <w:t>Оплачиваемая работа</w:t>
      </w:r>
    </w:p>
    <w:p w:rsidR="00000000" w:rsidRDefault="00000000">
      <w:pPr>
        <w:pStyle w:val="SingleTxt"/>
      </w:pPr>
      <w:r>
        <w:t>Мужчины и женщины, как правило, по разному сочетают оплачиваемую и неоплачиваемую работу. В среднем женщины затрачивают в день приблиз</w:t>
      </w:r>
      <w:r>
        <w:t>и</w:t>
      </w:r>
      <w:r>
        <w:t>тельно на два часа больше, чем мужчины, на выполнение неоплачиваемой р</w:t>
      </w:r>
      <w:r>
        <w:t>а</w:t>
      </w:r>
      <w:r>
        <w:t>боты, тогда как мужчины затрачивают в день приблизительно на два часа больше, чем женщина, на выполн</w:t>
      </w:r>
      <w:r>
        <w:t>е</w:t>
      </w:r>
      <w:r>
        <w:t>ние оплачиваемой работы.</w:t>
      </w:r>
    </w:p>
    <w:p w:rsidR="00000000" w:rsidRDefault="00000000">
      <w:pPr>
        <w:pStyle w:val="SingleTxt"/>
      </w:pPr>
      <w:r>
        <w:t>Объем времени, которое люди затрачивают на выполнение оплачиваемой работы, зависит от таких факторов, как пол, возраст, этническая принадле</w:t>
      </w:r>
      <w:r>
        <w:t>ж</w:t>
      </w:r>
      <w:r>
        <w:t>ность и статус на рынке рабочей силы. Лица мужского пола в возрастной гру</w:t>
      </w:r>
      <w:r>
        <w:t>п</w:t>
      </w:r>
      <w:r>
        <w:t>пе от 12 лет и старше затрачивают 29 часов в неделю на выполнение оплач</w:t>
      </w:r>
      <w:r>
        <w:t>и</w:t>
      </w:r>
      <w:r>
        <w:t>ваемой работы в сравнении с 16 часами в неделю, которые затрачивают же</w:t>
      </w:r>
      <w:r>
        <w:t>н</w:t>
      </w:r>
      <w:r>
        <w:t>щины на выполнение такой же работы. Наибольшее время на выполнение о</w:t>
      </w:r>
      <w:r>
        <w:t>п</w:t>
      </w:r>
      <w:r>
        <w:t>лачиваемой работы затрачивают представители одной возрастной группы му</w:t>
      </w:r>
      <w:r>
        <w:t>ж</w:t>
      </w:r>
      <w:r>
        <w:t>чин и женщин в возрасте от 45 до 54 лет, причем в этой группе женщины раб</w:t>
      </w:r>
      <w:r>
        <w:t>о</w:t>
      </w:r>
      <w:r>
        <w:t>тают 33 часа в неделю, а мужчины – 47 часов. Наименьшее количество часов на выполнение оплачиваемой работы, 22 часа, затрачивают работающие род</w:t>
      </w:r>
      <w:r>
        <w:t>и</w:t>
      </w:r>
      <w:r>
        <w:t>тели, имеющие на своем иждивении детей и матери с маленькими детьми в возрасте младше 5 лет.</w:t>
      </w:r>
    </w:p>
    <w:p w:rsidR="00000000" w:rsidRDefault="00000000">
      <w:pPr>
        <w:pStyle w:val="H23"/>
      </w:pPr>
      <w:r>
        <w:t>Неоплачиваемая работа</w:t>
      </w:r>
    </w:p>
    <w:p w:rsidR="00000000" w:rsidRDefault="00000000">
      <w:pPr>
        <w:pStyle w:val="SingleTxt"/>
      </w:pPr>
      <w:r>
        <w:t>На основе упомянутого обследования был сделан анализ выполнения н</w:t>
      </w:r>
      <w:r>
        <w:t>е</w:t>
      </w:r>
      <w:r>
        <w:t>оплачиваемой работы д</w:t>
      </w:r>
      <w:r>
        <w:t>о</w:t>
      </w:r>
      <w:r>
        <w:t>ма и вне дома.</w:t>
      </w:r>
    </w:p>
    <w:p w:rsidR="00000000" w:rsidRDefault="00000000">
      <w:pPr>
        <w:pStyle w:val="SingleTxt"/>
      </w:pPr>
      <w:r>
        <w:t>Женщины затрачивают в среднем 4,8 часа в день на выполнение неопл</w:t>
      </w:r>
      <w:r>
        <w:t>а</w:t>
      </w:r>
      <w:r>
        <w:t>чиваемой работы, тогда как мужчины – 2,8 часа. Количество времени, затрач</w:t>
      </w:r>
      <w:r>
        <w:t>и</w:t>
      </w:r>
      <w:r>
        <w:t>ваемое на неоплачиваемую работу, зависит прежде всего от возраста людей, то есть от одного из факторов жизненного цикла. Женщины в возрасте от 24 до 44 лет чаще мужчин выполняют неоплачиваемую работу, то есть в возрасте, к</w:t>
      </w:r>
      <w:r>
        <w:t>о</w:t>
      </w:r>
      <w:r>
        <w:t>гда большинство людей создают семьи. Матери затрачивают больше времени на неоплачиваемую работу, чем отцы, причем независимо от возраста самого младшего находящегося на иждивении ребенка.</w:t>
      </w:r>
    </w:p>
    <w:p w:rsidR="00000000" w:rsidRDefault="00000000">
      <w:pPr>
        <w:pStyle w:val="SingleTxt"/>
      </w:pPr>
      <w:r>
        <w:t>В среднем женщины затрачивают больше времени, чем мужчины на в</w:t>
      </w:r>
      <w:r>
        <w:t>ы</w:t>
      </w:r>
      <w:r>
        <w:t>полнение всех четырех видов неоплачиваемой работы, как то: работа по дому, уход за членами семьи, приобретение товаров и услуг для семьи, а также нео</w:t>
      </w:r>
      <w:r>
        <w:t>п</w:t>
      </w:r>
      <w:r>
        <w:t>лачиваемая работа вне дома. Большую часть времени работы по дому занимает приготовление пищи, мытье посуды, уборка дома и стирка. Женщины затрач</w:t>
      </w:r>
      <w:r>
        <w:t>и</w:t>
      </w:r>
      <w:r>
        <w:t>вают в два раза больше времени на выполнение этой работы, чем мужчины, т</w:t>
      </w:r>
      <w:r>
        <w:t>о</w:t>
      </w:r>
      <w:r>
        <w:t>гда как мужчины затрачивают больше времени, чем женщины на различные ремонтные работы в доме.</w:t>
      </w:r>
    </w:p>
    <w:p w:rsidR="00000000" w:rsidRDefault="00000000">
      <w:pPr>
        <w:pStyle w:val="SingleTxt"/>
      </w:pPr>
      <w:r>
        <w:t>Работающие полный рабочий день мужчины и женщины затрачивают приблизительно равное время на уход за членами семьи, тогда как не входящие в эту категорию женщины затрачивают гораздо больше времени на такой уход. Количество времени, затрачиваемое на уход за членами семьи, зависит также от возраста воспитываемых детей. До 65 лет женщины затрачивают больше времени, чем мужчины на неоплачиваемую работу вне дома, в частности на оказ</w:t>
      </w:r>
      <w:r>
        <w:t>а</w:t>
      </w:r>
      <w:r>
        <w:t>ние помощи друзьям и соседям.</w:t>
      </w:r>
    </w:p>
    <w:p w:rsidR="00000000" w:rsidRDefault="00000000">
      <w:pPr>
        <w:pStyle w:val="SingleTxt"/>
      </w:pPr>
      <w:r>
        <w:t>Женщины-маори затрачивают больше времени на уход за членами семьи, чем другие женщины. Мужчины-маори затрачивают больше времени на нео</w:t>
      </w:r>
      <w:r>
        <w:t>п</w:t>
      </w:r>
      <w:r>
        <w:t>лачиваемую работу вне дома, чем другие мужчины и женщ</w:t>
      </w:r>
      <w:r>
        <w:t>и</w:t>
      </w:r>
      <w:r>
        <w:t>ны.</w:t>
      </w:r>
    </w:p>
    <w:p w:rsidR="00000000" w:rsidRDefault="00000000">
      <w:pPr>
        <w:pStyle w:val="SingleTxt"/>
      </w:pPr>
      <w:r>
        <w:t>Неоплачиваемая работа вне дома включает неоплачиваемую продукти</w:t>
      </w:r>
      <w:r>
        <w:t>в</w:t>
      </w:r>
      <w:r>
        <w:t>ную деятельность, которая координируется в рамках той или иной организ</w:t>
      </w:r>
      <w:r>
        <w:t>о</w:t>
      </w:r>
      <w:r>
        <w:t>ванной группы, такой, как служба доставки готовых блюд или женский приют. Анализ выполнения неоплачиваемой работы в разбивке по возрасту показыв</w:t>
      </w:r>
      <w:r>
        <w:t>а</w:t>
      </w:r>
      <w:r>
        <w:t>ет, что такую работу мужчины и женщины выполняют до наступления 75 лет.</w:t>
      </w:r>
    </w:p>
    <w:p w:rsidR="00000000" w:rsidRDefault="00000000">
      <w:pPr>
        <w:pStyle w:val="H23"/>
      </w:pPr>
      <w:r>
        <w:t>Общая продолжительность рабочего времени</w:t>
      </w:r>
    </w:p>
    <w:p w:rsidR="00000000" w:rsidRDefault="00000000">
      <w:pPr>
        <w:pStyle w:val="SingleTxt"/>
      </w:pPr>
      <w:r>
        <w:t>Понятие общей продолжительности рабочего времени означает время, з</w:t>
      </w:r>
      <w:r>
        <w:t>а</w:t>
      </w:r>
      <w:r>
        <w:t>трачиваемое на оплачиваемую работу наряду с неоплачиваемой работой, кот</w:t>
      </w:r>
      <w:r>
        <w:t>о</w:t>
      </w:r>
      <w:r>
        <w:t>рое служит показателем общей продолжительности продуктивной деятельн</w:t>
      </w:r>
      <w:r>
        <w:t>о</w:t>
      </w:r>
      <w:r>
        <w:t>сти. Общая продолжительность трудовой деятельности мужчин и женщин по</w:t>
      </w:r>
      <w:r>
        <w:t>ч</w:t>
      </w:r>
      <w:r>
        <w:t>ти одинакова и составляет 7 часов в день. Однако 60 процентов трудовой де</w:t>
      </w:r>
      <w:r>
        <w:t>я</w:t>
      </w:r>
      <w:r>
        <w:t xml:space="preserve">тельности мужчин оплачивается, тогда как почти 70 процентов труда женщин не оплачивается. Общая продолжительность рабочего времени маори несколько ниже в сравнении с другим населением. Общая продолжительность рабочего времени людей в возрасте от 25 до 54 лет достигает наибольшей величины в тех случаях, когда они воспитывают детей и заняты на оплачиваемой работе. Анализ сочетания трудовой деятельности и работы по дому показывает, что общая продолжительность рабочего времени женщин намного превосходит аналогичный показатель для мужчин. </w:t>
      </w:r>
    </w:p>
    <w:p w:rsidR="00000000" w:rsidRDefault="00000000">
      <w:pPr>
        <w:pStyle w:val="SingleTxt"/>
      </w:pPr>
      <w:r>
        <w:t>Обследование использования времени можно использовать для выработки государственной политики, и в настоящее время оно широко используется для определения политики на рынке труда.</w:t>
      </w:r>
    </w:p>
    <w:p w:rsidR="00000000" w:rsidRDefault="00000000">
      <w:pPr>
        <w:pStyle w:val="SingleTxt"/>
      </w:pPr>
      <w:r>
        <w:t>См. Статья 11: Занятость и сочетание трудовой деятельности и семейной жи</w:t>
      </w:r>
      <w:r>
        <w:t>з</w:t>
      </w:r>
      <w:r>
        <w:t>ни, стр. 92.</w:t>
      </w:r>
    </w:p>
    <w:p w:rsidR="00000000" w:rsidRDefault="00000000">
      <w:pPr>
        <w:pStyle w:val="H1"/>
      </w:pPr>
      <w:r>
        <w:t>Инвалидность</w:t>
      </w:r>
    </w:p>
    <w:p w:rsidR="00000000" w:rsidRDefault="00000000">
      <w:pPr>
        <w:pStyle w:val="SingleTxt"/>
      </w:pPr>
      <w:r>
        <w:t>См. Статья 3: Развитие и улучшение положения женщин, стр. 36-38.</w:t>
      </w:r>
    </w:p>
    <w:p w:rsidR="00000000" w:rsidRDefault="00000000">
      <w:pPr>
        <w:pStyle w:val="H1"/>
      </w:pPr>
      <w:r>
        <w:t>Молодые женщины</w:t>
      </w:r>
    </w:p>
    <w:p w:rsidR="00000000" w:rsidRDefault="00000000">
      <w:pPr>
        <w:pStyle w:val="SingleTxt"/>
      </w:pPr>
      <w:r>
        <w:t>См. Статья 3: Развитие и улучшения положения женщин, стр. 38-39.</w:t>
      </w:r>
    </w:p>
    <w:p w:rsidR="00000000" w:rsidRDefault="00000000">
      <w:pPr>
        <w:pStyle w:val="H1"/>
      </w:pPr>
      <w:r>
        <w:t>Престарелые женщины</w:t>
      </w:r>
    </w:p>
    <w:p w:rsidR="00000000" w:rsidRDefault="00000000">
      <w:pPr>
        <w:pStyle w:val="SingleTxt"/>
      </w:pPr>
      <w:r>
        <w:t>См. Статья 3: Развитие и улучшение положения женщин, стр. 39-41.</w:t>
      </w:r>
    </w:p>
    <w:p w:rsidR="00000000" w:rsidRDefault="00000000">
      <w:pPr>
        <w:pStyle w:val="H1"/>
      </w:pPr>
      <w:r>
        <w:t>Библиография</w:t>
      </w:r>
    </w:p>
    <w:p w:rsidR="00000000" w:rsidRDefault="00000000">
      <w:pPr>
        <w:pStyle w:val="SingleTxt"/>
        <w:ind w:left="1740" w:hanging="476"/>
      </w:pPr>
      <w:r>
        <w:t xml:space="preserve">Human Rights Commission, 2001, </w:t>
      </w:r>
      <w:r>
        <w:rPr>
          <w:i/>
        </w:rPr>
        <w:t>Unwelcome and Offensive: A Study of Sexual Harassment Complaints to the Human Rights Commission 1995-2000</w:t>
      </w:r>
      <w:r>
        <w:t>, Wellington.</w:t>
      </w:r>
    </w:p>
    <w:p w:rsidR="00000000" w:rsidRDefault="00000000">
      <w:pPr>
        <w:pStyle w:val="SingleTxt"/>
        <w:ind w:left="1740" w:hanging="476"/>
      </w:pPr>
      <w:r>
        <w:t xml:space="preserve">Ministry of Women’s Affairs and Statistics New Zealand, 2001, </w:t>
      </w:r>
      <w:r>
        <w:rPr>
          <w:i/>
        </w:rPr>
        <w:t>Around the Clock: Findings from the New Ze</w:t>
      </w:r>
      <w:r>
        <w:rPr>
          <w:i/>
        </w:rPr>
        <w:t>a</w:t>
      </w:r>
      <w:r>
        <w:rPr>
          <w:i/>
        </w:rPr>
        <w:t>land Time Use Survey 1998-99,</w:t>
      </w:r>
      <w:r>
        <w:t xml:space="preserve"> Wellington.</w:t>
      </w:r>
    </w:p>
    <w:p w:rsidR="00000000" w:rsidRDefault="00000000">
      <w:pPr>
        <w:pStyle w:val="SingleTxt"/>
        <w:ind w:left="1740" w:hanging="476"/>
      </w:pPr>
      <w:r>
        <w:t xml:space="preserve">NFO-CM Research, 2000, </w:t>
      </w:r>
      <w:r>
        <w:rPr>
          <w:i/>
        </w:rPr>
        <w:t>Investigation into Sexual Harassment</w:t>
      </w:r>
      <w:r>
        <w:t>, Auckland.</w:t>
      </w:r>
    </w:p>
    <w:p w:rsidR="00000000" w:rsidRDefault="00000000">
      <w:pPr>
        <w:pStyle w:val="SingleTxt"/>
        <w:ind w:left="1740" w:hanging="476"/>
      </w:pPr>
      <w:r>
        <w:t xml:space="preserve">Statistics New Zealand, 2001, </w:t>
      </w:r>
      <w:r>
        <w:rPr>
          <w:i/>
        </w:rPr>
        <w:t>Measuring Unpaid Work in New Zealand 1999</w:t>
      </w:r>
      <w:r>
        <w:t>, Wellington.</w:t>
      </w:r>
    </w:p>
    <w:p w:rsidR="00000000" w:rsidRDefault="00000000">
      <w:pPr>
        <w:pStyle w:val="HCh"/>
      </w:pPr>
      <w:r>
        <w:br w:type="page"/>
      </w:r>
      <w:bookmarkStart w:id="13" w:name="_Toc30302878"/>
      <w:r>
        <w:t>Статья 3</w:t>
      </w:r>
      <w:bookmarkEnd w:id="13"/>
    </w:p>
    <w:p w:rsidR="00000000" w:rsidRDefault="00000000">
      <w:pPr>
        <w:pStyle w:val="HCh"/>
      </w:pPr>
      <w:bookmarkStart w:id="14" w:name="_Toc30302879"/>
      <w:r>
        <w:t>Развитие и улучшение положения женщин</w:t>
      </w:r>
      <w:bookmarkEnd w:id="14"/>
    </w:p>
    <w:p w:rsidR="00000000" w:rsidRDefault="00000000">
      <w:pPr>
        <w:pStyle w:val="SingleTxt"/>
        <w:ind w:left="1740" w:hanging="476"/>
        <w:rPr>
          <w:i/>
        </w:rPr>
      </w:pPr>
      <w:r>
        <w:rPr>
          <w:i/>
        </w:rPr>
        <w:tab/>
      </w:r>
      <w:r>
        <w:rPr>
          <w:i/>
        </w:rPr>
        <w:tab/>
        <w:t>Государства-участники принимают во всех областях, и в частности в политической, социальной, экономической и культурной областях, все с</w:t>
      </w:r>
      <w:r>
        <w:rPr>
          <w:i/>
        </w:rPr>
        <w:t>о</w:t>
      </w:r>
      <w:r>
        <w:rPr>
          <w:i/>
        </w:rPr>
        <w:t>ответствующие меры, включая законодательные, для обеспечения вс</w:t>
      </w:r>
      <w:r>
        <w:rPr>
          <w:i/>
        </w:rPr>
        <w:t>е</w:t>
      </w:r>
      <w:r>
        <w:rPr>
          <w:i/>
        </w:rPr>
        <w:t>стороннего развития и прогресса женщин, с тем чтобы гарантировать им осуществление и пользование правами человека и основными свобод</w:t>
      </w:r>
      <w:r>
        <w:rPr>
          <w:i/>
        </w:rPr>
        <w:t>а</w:t>
      </w:r>
      <w:r>
        <w:rPr>
          <w:i/>
        </w:rPr>
        <w:t>ми на основе равенства с мужчинами.</w:t>
      </w:r>
    </w:p>
    <w:p w:rsidR="00000000" w:rsidRDefault="00000000">
      <w:pPr>
        <w:pStyle w:val="H1"/>
        <w:ind w:left="1264" w:firstLine="0"/>
      </w:pPr>
      <w:r>
        <w:t>Гендерный анализ в различных правительственных учреждениях</w:t>
      </w:r>
    </w:p>
    <w:p w:rsidR="00000000" w:rsidRDefault="00000000">
      <w:pPr>
        <w:pStyle w:val="SingleTxt"/>
      </w:pPr>
      <w:r>
        <w:rPr>
          <w:caps/>
        </w:rPr>
        <w:t>п</w:t>
      </w:r>
      <w:r>
        <w:t>о постановлениям правительства, начиная с января 2002 года, все док</w:t>
      </w:r>
      <w:r>
        <w:t>у</w:t>
      </w:r>
      <w:r>
        <w:t>менты, представляемые его Комитету по вопросам социального равенства (КСР), должны включать заявление о гендерных последствиях, а также генде</w:t>
      </w:r>
      <w:r>
        <w:t>р</w:t>
      </w:r>
      <w:r>
        <w:t>ный анализ. Цель этого постановления заключается в обеспечении того, чтобы рекомендации в области социальной политики соответствующим министрам содержали гендерный анализ и оценку воздействия предлагаемых и сущес</w:t>
      </w:r>
      <w:r>
        <w:t>т</w:t>
      </w:r>
      <w:r>
        <w:t>вующих мер политики и программ на положение женщин и мужчин, а также заключение о том приносят ли они пользу или вред мужчинам и женщинам. В этом заявлении должен быть четко указан факт проведения гендерного анализа, и, если он не проводился, то в заявлении следует указать сопутствующие тому причины, например отсутствие соответствующих данных или отсутствие у того или иного ведомства опыта в области проведения гендерных анализов. Если гендерные последствия предложения в отношении мер политики имеют сущ</w:t>
      </w:r>
      <w:r>
        <w:t>е</w:t>
      </w:r>
      <w:r>
        <w:t>ственное значение, они будут положены в основу всего содержания предлож</w:t>
      </w:r>
      <w:r>
        <w:t>е</w:t>
      </w:r>
      <w:r>
        <w:t>ния.</w:t>
      </w:r>
    </w:p>
    <w:p w:rsidR="00000000" w:rsidRDefault="00000000">
      <w:pPr>
        <w:pStyle w:val="SingleTxt"/>
      </w:pPr>
      <w:r>
        <w:t>В соответствующих случаях такое заявление может включать также сл</w:t>
      </w:r>
      <w:r>
        <w:t>е</w:t>
      </w:r>
      <w:r>
        <w:t>дующее:</w:t>
      </w:r>
    </w:p>
    <w:p w:rsidR="00000000" w:rsidRDefault="00000000">
      <w:pPr>
        <w:pStyle w:val="dot"/>
      </w:pPr>
      <w:r>
        <w:tab/>
      </w:r>
      <w:r>
        <w:tab/>
        <w:t>•</w:t>
      </w:r>
      <w:r>
        <w:tab/>
        <w:t>резюме результатов анализа</w:t>
      </w:r>
    </w:p>
    <w:p w:rsidR="00000000" w:rsidRDefault="00000000">
      <w:pPr>
        <w:pStyle w:val="dot"/>
      </w:pPr>
      <w:r>
        <w:tab/>
      </w:r>
      <w:r>
        <w:tab/>
        <w:t>•</w:t>
      </w:r>
      <w:r>
        <w:tab/>
        <w:t>особое внимание воздействию мер политики на женщин-маори</w:t>
      </w:r>
    </w:p>
    <w:p w:rsidR="00000000" w:rsidRDefault="00000000">
      <w:pPr>
        <w:pStyle w:val="dot"/>
      </w:pPr>
      <w:r>
        <w:tab/>
      </w:r>
      <w:r>
        <w:tab/>
        <w:t>•</w:t>
      </w:r>
      <w:r>
        <w:tab/>
        <w:t>особое внимание воздействию мер политики на женщин тихоокеанских остр</w:t>
      </w:r>
      <w:r>
        <w:t>о</w:t>
      </w:r>
      <w:r>
        <w:t>вов</w:t>
      </w:r>
    </w:p>
    <w:p w:rsidR="00000000" w:rsidRDefault="00000000">
      <w:pPr>
        <w:pStyle w:val="dot"/>
      </w:pPr>
      <w:r>
        <w:tab/>
      </w:r>
      <w:r>
        <w:tab/>
        <w:t>•</w:t>
      </w:r>
      <w:r>
        <w:tab/>
        <w:t>масштабы, в которых предложение в отношении мер политики прямо или косвенно затрагивает же</w:t>
      </w:r>
      <w:r>
        <w:t>н</w:t>
      </w:r>
      <w:r>
        <w:t>щин и мужчин</w:t>
      </w:r>
    </w:p>
    <w:p w:rsidR="00000000" w:rsidRDefault="00000000">
      <w:pPr>
        <w:pStyle w:val="dot"/>
      </w:pPr>
      <w:r>
        <w:tab/>
      </w:r>
      <w:r>
        <w:tab/>
        <w:t>•</w:t>
      </w:r>
      <w:r>
        <w:tab/>
        <w:t>желаемые результаты мер политики для женщин с указанием того, один</w:t>
      </w:r>
      <w:r>
        <w:t>а</w:t>
      </w:r>
      <w:r>
        <w:t>ковы ли они для мужчин и женщин или же они должны отличаться</w:t>
      </w:r>
    </w:p>
    <w:p w:rsidR="00000000" w:rsidRDefault="00000000">
      <w:pPr>
        <w:pStyle w:val="dot"/>
      </w:pPr>
      <w:r>
        <w:tab/>
      </w:r>
      <w:r>
        <w:tab/>
        <w:t>•</w:t>
      </w:r>
      <w:r>
        <w:tab/>
        <w:t>варианты решения проблем, если таковые имеются, в интересах женщин и мужчин с указанием воздействия таких вариантов на женщин и мужчин и о</w:t>
      </w:r>
      <w:r>
        <w:t>т</w:t>
      </w:r>
      <w:r>
        <w:t>ражением приемлемости этого различия</w:t>
      </w:r>
    </w:p>
    <w:p w:rsidR="00000000" w:rsidRDefault="00000000">
      <w:pPr>
        <w:pStyle w:val="dot"/>
      </w:pPr>
      <w:r>
        <w:tab/>
      </w:r>
      <w:r>
        <w:tab/>
        <w:t>•</w:t>
      </w:r>
      <w:r>
        <w:tab/>
        <w:t>международные и внутренние юридические обязательства правительства, касающиеся пол</w:t>
      </w:r>
      <w:r>
        <w:t>о</w:t>
      </w:r>
      <w:r>
        <w:t>жения женщин и мужчин</w:t>
      </w:r>
    </w:p>
    <w:p w:rsidR="00000000" w:rsidRDefault="00000000">
      <w:pPr>
        <w:pStyle w:val="dot"/>
      </w:pPr>
      <w:r>
        <w:tab/>
      </w:r>
      <w:r>
        <w:tab/>
        <w:t>•</w:t>
      </w:r>
      <w:r>
        <w:tab/>
        <w:t>подтверждение того, что в целях обеспечения информированности же</w:t>
      </w:r>
      <w:r>
        <w:t>н</w:t>
      </w:r>
      <w:r>
        <w:t>щин и мужчин об изменениях в области политики или услуг или предо</w:t>
      </w:r>
      <w:r>
        <w:t>с</w:t>
      </w:r>
      <w:r>
        <w:t>тавления новых услуг требуется различный по</w:t>
      </w:r>
      <w:r>
        <w:t>д</w:t>
      </w:r>
      <w:r>
        <w:t>ход</w:t>
      </w:r>
    </w:p>
    <w:p w:rsidR="00000000" w:rsidRDefault="00000000">
      <w:pPr>
        <w:pStyle w:val="dot"/>
      </w:pPr>
      <w:r>
        <w:tab/>
      </w:r>
      <w:r>
        <w:tab/>
        <w:t>•</w:t>
      </w:r>
      <w:r>
        <w:tab/>
        <w:t>подтверждение того, что для сбора данных о ходе осуществления полит</w:t>
      </w:r>
      <w:r>
        <w:t>и</w:t>
      </w:r>
      <w:r>
        <w:t>ки и ее результатах в разбивке по полу и этнической принадлежности с</w:t>
      </w:r>
      <w:r>
        <w:t>у</w:t>
      </w:r>
      <w:r>
        <w:t>ществует система мониторинга.</w:t>
      </w:r>
    </w:p>
    <w:p w:rsidR="00000000" w:rsidRDefault="00000000">
      <w:pPr>
        <w:pStyle w:val="SingleTxt"/>
      </w:pPr>
      <w:r>
        <w:t>Министерство по делам женщин (МДЖ) осуществляет контроль за эффе</w:t>
      </w:r>
      <w:r>
        <w:t>к</w:t>
      </w:r>
      <w:r>
        <w:t>тивностью заявлений о гендерных последствиях. Предварительные результаты показывают, что качество гендерных анализов, содержащихся в документах по социальной политике и представляемых кабинету министров, имеет свои ра</w:t>
      </w:r>
      <w:r>
        <w:t>з</w:t>
      </w:r>
      <w:r>
        <w:t>личия, обусловленные преимущественно отсутствием гендерного анализа на этапе постановки проблем в рамках процесса разработки политики. В этой св</w:t>
      </w:r>
      <w:r>
        <w:t>я</w:t>
      </w:r>
      <w:r>
        <w:t>зи персоналу Комитета по вопросам социального равенства было дано указание осуществлять контроль за применением результатов гендерного анализа и включением заявлений о гендерных последствиях в предложения по формул</w:t>
      </w:r>
      <w:r>
        <w:t>и</w:t>
      </w:r>
      <w:r>
        <w:t>рованию политики с целью выполнения требований кабинета министров и обеспечения проведения гендерных анализов на этапе разработки пол</w:t>
      </w:r>
      <w:r>
        <w:t>и</w:t>
      </w:r>
      <w:r>
        <w:t>тики.</w:t>
      </w:r>
    </w:p>
    <w:p w:rsidR="00000000" w:rsidRDefault="00000000">
      <w:pPr>
        <w:pStyle w:val="SingleTxt"/>
      </w:pPr>
      <w:r>
        <w:t>МДЖ будет и впредь консультировать правительственные учреждения по вопросам включения результатов гендерных анализов в процесс разработки своей политики, давать руководящие указания относительно характера и объ</w:t>
      </w:r>
      <w:r>
        <w:t>е</w:t>
      </w:r>
      <w:r>
        <w:t>ма анализа, необходимого для решения конкретных вопросов политики и уч</w:t>
      </w:r>
      <w:r>
        <w:t>а</w:t>
      </w:r>
      <w:r>
        <w:t>стия в официальных группах. Однако правительственные учреждения в коне</w:t>
      </w:r>
      <w:r>
        <w:t>ч</w:t>
      </w:r>
      <w:r>
        <w:t>ном итоге сами несут ответственность за включение результатов гендерных анализов в процесс разработки своей п</w:t>
      </w:r>
      <w:r>
        <w:t>о</w:t>
      </w:r>
      <w:r>
        <w:t>литики.</w:t>
      </w:r>
    </w:p>
    <w:p w:rsidR="00000000" w:rsidRDefault="00000000">
      <w:pPr>
        <w:pStyle w:val="SingleTxt"/>
      </w:pPr>
      <w:r>
        <w:t>Кроме того, МДЖ организовало ряд семинаров-практикумов по вопросам проведения гендерных анализов и составило список ключевых вопросов, к</w:t>
      </w:r>
      <w:r>
        <w:t>а</w:t>
      </w:r>
      <w:r>
        <w:t>сающихся в частности женщин-маори и женщин тихоокеанских островов, в ц</w:t>
      </w:r>
      <w:r>
        <w:t>е</w:t>
      </w:r>
      <w:r>
        <w:t>лях содействия правительственным учреждениям в деле укрепления своих п</w:t>
      </w:r>
      <w:r>
        <w:t>о</w:t>
      </w:r>
      <w:r>
        <w:t>тенциалов по включению результатов гендерных анализов в свои рекоменд</w:t>
      </w:r>
      <w:r>
        <w:t>а</w:t>
      </w:r>
      <w:r>
        <w:t>ции, касающиеся мер политики. Ресурс обучения гендерному анализу и и</w:t>
      </w:r>
      <w:r>
        <w:t>н</w:t>
      </w:r>
      <w:r>
        <w:t xml:space="preserve">формационный блок по вопросам проведения гендерных анализов размещены на веб-сайте министерства по адресу </w:t>
      </w:r>
      <w:hyperlink r:id="rId16" w:history="1">
        <w:r>
          <w:rPr>
            <w:rStyle w:val="Hyperlink"/>
          </w:rPr>
          <w:t>www.mwa.govt.nz</w:t>
        </w:r>
      </w:hyperlink>
      <w:r>
        <w:t>.</w:t>
      </w:r>
    </w:p>
    <w:p w:rsidR="00000000" w:rsidRDefault="00000000">
      <w:pPr>
        <w:pStyle w:val="H23"/>
      </w:pPr>
      <w:r>
        <w:t>Представление докладов о гендерном неравенстве</w:t>
      </w:r>
    </w:p>
    <w:p w:rsidR="00000000" w:rsidRDefault="00000000">
      <w:pPr>
        <w:pStyle w:val="SingleTxt"/>
      </w:pPr>
      <w:r>
        <w:t>Тринадцати правительственным учреждениям различных сфер компете</w:t>
      </w:r>
      <w:r>
        <w:t>н</w:t>
      </w:r>
      <w:r>
        <w:t>ции предписано включать в свои ежегодные доклады парламенту раздел об их вкладе в сокращение неравенства групп, находящихся в неблагоприятном п</w:t>
      </w:r>
      <w:r>
        <w:t>о</w:t>
      </w:r>
      <w:r>
        <w:t>ложении. Это требование предусматривает, в частности, представление отчетов об эффективности сокращения гендерных неравенств, в первую очередь же</w:t>
      </w:r>
      <w:r>
        <w:t>н</w:t>
      </w:r>
      <w:r>
        <w:t>щин-маори и женщин тихоокеанских островов и мужчин-маори и мужчин т</w:t>
      </w:r>
      <w:r>
        <w:t>и</w:t>
      </w:r>
      <w:r>
        <w:t>хоокеанских островов, а также других мужчин и женщин.</w:t>
      </w:r>
    </w:p>
    <w:p w:rsidR="00000000" w:rsidRDefault="00000000">
      <w:pPr>
        <w:pStyle w:val="H1"/>
      </w:pPr>
      <w:r>
        <w:t>Стратегия улучшения положения женщин</w:t>
      </w:r>
    </w:p>
    <w:p w:rsidR="00000000" w:rsidRDefault="00000000">
      <w:pPr>
        <w:pStyle w:val="SingleTxt"/>
      </w:pPr>
      <w:r>
        <w:t>Кабинет министров дал указание МДЖ разработать стратегию улучшения положения женщин. Одним из ключевых элементов этой стратегии будет опр</w:t>
      </w:r>
      <w:r>
        <w:t>е</w:t>
      </w:r>
      <w:r>
        <w:t>деление первоочередных задач, связанных с улучшением положения женщин, а также принятие мер для их решения. Эта стратегия, которая будет разрабат</w:t>
      </w:r>
      <w:r>
        <w:t>ы</w:t>
      </w:r>
      <w:r>
        <w:t>ваться при всестороннем участии женских организаций и ключевых директи</w:t>
      </w:r>
      <w:r>
        <w:t>в</w:t>
      </w:r>
      <w:r>
        <w:t>ных организаций и организаций по оказанию услуг Новой Зеландии, будет иметь своей целью:</w:t>
      </w:r>
    </w:p>
    <w:p w:rsidR="00000000" w:rsidRDefault="00000000">
      <w:pPr>
        <w:pStyle w:val="dot"/>
      </w:pPr>
      <w:r>
        <w:tab/>
      </w:r>
      <w:r>
        <w:tab/>
        <w:t>•</w:t>
      </w:r>
      <w:r>
        <w:tab/>
        <w:t>создание основы для будущей работы</w:t>
      </w:r>
    </w:p>
    <w:p w:rsidR="00000000" w:rsidRDefault="00000000">
      <w:pPr>
        <w:pStyle w:val="dot"/>
      </w:pPr>
      <w:r>
        <w:tab/>
      </w:r>
      <w:r>
        <w:tab/>
        <w:t>•</w:t>
      </w:r>
      <w:r>
        <w:tab/>
        <w:t>определение перспектив, принципов и целей</w:t>
      </w:r>
    </w:p>
    <w:p w:rsidR="00000000" w:rsidRDefault="00000000">
      <w:pPr>
        <w:pStyle w:val="dot"/>
      </w:pPr>
      <w:r>
        <w:tab/>
      </w:r>
      <w:r>
        <w:tab/>
        <w:t>•</w:t>
      </w:r>
      <w:r>
        <w:tab/>
        <w:t>определение первоочередных задач политики в области улучшения пол</w:t>
      </w:r>
      <w:r>
        <w:t>о</w:t>
      </w:r>
      <w:r>
        <w:t>жения женщин и ко</w:t>
      </w:r>
      <w:r>
        <w:t>н</w:t>
      </w:r>
      <w:r>
        <w:t>кретных групп женщин</w:t>
      </w:r>
    </w:p>
    <w:p w:rsidR="00000000" w:rsidRDefault="00000000">
      <w:pPr>
        <w:pStyle w:val="dot"/>
      </w:pPr>
      <w:r>
        <w:tab/>
      </w:r>
      <w:r>
        <w:tab/>
        <w:t>•</w:t>
      </w:r>
      <w:r>
        <w:tab/>
        <w:t>определение критериев, с помощью которых можно будет структурир</w:t>
      </w:r>
      <w:r>
        <w:t>о</w:t>
      </w:r>
      <w:r>
        <w:t>вать и определить первоочередность мер политики, направленных на р</w:t>
      </w:r>
      <w:r>
        <w:t>е</w:t>
      </w:r>
      <w:r>
        <w:t>шение п</w:t>
      </w:r>
      <w:r>
        <w:t>о</w:t>
      </w:r>
      <w:r>
        <w:t>ставленных первоочередных задач</w:t>
      </w:r>
    </w:p>
    <w:p w:rsidR="00000000" w:rsidRDefault="00000000">
      <w:pPr>
        <w:pStyle w:val="dot"/>
      </w:pPr>
      <w:r>
        <w:tab/>
      </w:r>
      <w:r>
        <w:tab/>
        <w:t>•</w:t>
      </w:r>
      <w:r>
        <w:tab/>
        <w:t>разработку принципов осуществления, мониторинга и оценки.</w:t>
      </w:r>
    </w:p>
    <w:p w:rsidR="00000000" w:rsidRDefault="00000000">
      <w:pPr>
        <w:pStyle w:val="H1"/>
      </w:pPr>
      <w:r>
        <w:t>Инвалидность</w:t>
      </w:r>
    </w:p>
    <w:p w:rsidR="00000000" w:rsidRDefault="00000000">
      <w:pPr>
        <w:pStyle w:val="H23"/>
      </w:pPr>
      <w:r>
        <w:t>Справочная информация</w:t>
      </w:r>
    </w:p>
    <w:p w:rsidR="00000000" w:rsidRDefault="00000000">
      <w:pPr>
        <w:pStyle w:val="SingleTxt"/>
      </w:pPr>
      <w:r>
        <w:t>Анкеты для переписи населения в 2001 году содержали два касающиеся инвалидности вопроса, которые фигурировали в выборочном обследовании членов домохозяйств из числа инвалидов в 2001 году (аналогичное обследов</w:t>
      </w:r>
      <w:r>
        <w:t>а</w:t>
      </w:r>
      <w:r>
        <w:t>ние проводилось в 1996 году). Это обследование было направлено на выявл</w:t>
      </w:r>
      <w:r>
        <w:t>е</w:t>
      </w:r>
      <w:r>
        <w:t>ние преобладающих случаев и характера инвалидности у детей, взрослых и других лиц с уделением особого внимания сбору данных об имеющих инв</w:t>
      </w:r>
      <w:r>
        <w:t>а</w:t>
      </w:r>
      <w:r>
        <w:t>лидность представителей народности маори и этнических групп тихоокеанских островов. Результаты этого обследования были опубликованы в апреле 2002 года, которые, в частности, показали следующее:</w:t>
      </w:r>
    </w:p>
    <w:p w:rsidR="00000000" w:rsidRDefault="00000000">
      <w:pPr>
        <w:pStyle w:val="dot"/>
      </w:pPr>
      <w:r>
        <w:tab/>
      </w:r>
      <w:r>
        <w:tab/>
        <w:t>•</w:t>
      </w:r>
      <w:r>
        <w:tab/>
      </w:r>
      <w:r>
        <w:rPr>
          <w:caps/>
        </w:rPr>
        <w:t>к</w:t>
      </w:r>
      <w:r>
        <w:t>аждый пятый новозеландец имеет инвалидность. По имеющимся да</w:t>
      </w:r>
      <w:r>
        <w:t>н</w:t>
      </w:r>
      <w:r>
        <w:t>ным, численность инвалидов женщин (384 900 человек) превышает чи</w:t>
      </w:r>
      <w:r>
        <w:t>с</w:t>
      </w:r>
      <w:r>
        <w:t>ленность инвалидов мужчин (358 900 человек). Однако общий коэффиц</w:t>
      </w:r>
      <w:r>
        <w:t>и</w:t>
      </w:r>
      <w:r>
        <w:t>ент инвалидности мужчин и женщин одинаков.</w:t>
      </w:r>
    </w:p>
    <w:p w:rsidR="00000000" w:rsidRDefault="00000000">
      <w:pPr>
        <w:pStyle w:val="dot"/>
      </w:pPr>
      <w:r>
        <w:tab/>
      </w:r>
      <w:r>
        <w:tab/>
        <w:t>•</w:t>
      </w:r>
      <w:r>
        <w:tab/>
      </w:r>
      <w:r>
        <w:rPr>
          <w:caps/>
        </w:rPr>
        <w:t>с</w:t>
      </w:r>
      <w:r>
        <w:t xml:space="preserve">лучаи инвалидности увеличиваются с возрастом. </w:t>
      </w:r>
      <w:r>
        <w:rPr>
          <w:caps/>
        </w:rPr>
        <w:t>в</w:t>
      </w:r>
      <w:r>
        <w:t xml:space="preserve"> 2001 году 11 процентов детей (в возрасте до 14 лет) страдали инвалидностью, тогда как численность инвалидов среди взрослых в возрасте от 15 до 44 лет с</w:t>
      </w:r>
      <w:r>
        <w:t>о</w:t>
      </w:r>
      <w:r>
        <w:t>ставляла 13 процентов, в возрасте от 45 до 64 лет – 25 процентов, а людей в возрасте от 65 лет и старше – 54 процента.</w:t>
      </w:r>
    </w:p>
    <w:p w:rsidR="00000000" w:rsidRDefault="00000000">
      <w:pPr>
        <w:pStyle w:val="dot"/>
      </w:pPr>
      <w:r>
        <w:tab/>
      </w:r>
      <w:r>
        <w:tab/>
        <w:t>•</w:t>
      </w:r>
      <w:r>
        <w:tab/>
      </w:r>
      <w:r>
        <w:rPr>
          <w:caps/>
        </w:rPr>
        <w:t>п</w:t>
      </w:r>
      <w:r>
        <w:t>о имеющимся данным 61 процент маори в возрасте 65 лет и старше имеют инвалидность на фоне того, что доля людей этой возрастной гру</w:t>
      </w:r>
      <w:r>
        <w:t>п</w:t>
      </w:r>
      <w:r>
        <w:t>пы в общей численности населения маори соста</w:t>
      </w:r>
      <w:r>
        <w:t>в</w:t>
      </w:r>
      <w:r>
        <w:t>ляет 54 процента.</w:t>
      </w:r>
    </w:p>
    <w:p w:rsidR="00000000" w:rsidRDefault="00000000">
      <w:pPr>
        <w:pStyle w:val="dot"/>
      </w:pPr>
      <w:r>
        <w:tab/>
      </w:r>
      <w:r>
        <w:tab/>
        <w:t>•</w:t>
      </w:r>
      <w:r>
        <w:tab/>
      </w:r>
      <w:r>
        <w:rPr>
          <w:caps/>
        </w:rPr>
        <w:t>б</w:t>
      </w:r>
      <w:r>
        <w:t>ольшинство людей с инвалидностью (60 процентов) имеют несколько видов инвалидности.</w:t>
      </w:r>
    </w:p>
    <w:p w:rsidR="00000000" w:rsidRDefault="00000000">
      <w:pPr>
        <w:pStyle w:val="dot"/>
      </w:pPr>
      <w:r>
        <w:tab/>
      </w:r>
      <w:r>
        <w:tab/>
        <w:t>•</w:t>
      </w:r>
      <w:r>
        <w:tab/>
      </w:r>
      <w:r>
        <w:rPr>
          <w:caps/>
        </w:rPr>
        <w:t>н</w:t>
      </w:r>
      <w:r>
        <w:t>аиболее распространенным видом инвалидности являются физические недостатки; две трети населения, по имеющимся данным, имеют инв</w:t>
      </w:r>
      <w:r>
        <w:t>а</w:t>
      </w:r>
      <w:r>
        <w:t>лидность в виде физических недостатков.</w:t>
      </w:r>
    </w:p>
    <w:p w:rsidR="00000000" w:rsidRDefault="00000000">
      <w:pPr>
        <w:pStyle w:val="H23"/>
      </w:pPr>
      <w:r>
        <w:t>Стратегия Новой Зеландии в области инвалидности</w:t>
      </w:r>
    </w:p>
    <w:p w:rsidR="00000000" w:rsidRDefault="00000000">
      <w:pPr>
        <w:pStyle w:val="SingleTxt"/>
      </w:pPr>
      <w:r>
        <w:t xml:space="preserve">В апреле 2001 года была провозглашена </w:t>
      </w:r>
      <w:r>
        <w:rPr>
          <w:i/>
        </w:rPr>
        <w:t>стратегия Новой Зеландии в о</w:t>
      </w:r>
      <w:r>
        <w:rPr>
          <w:i/>
        </w:rPr>
        <w:t>б</w:t>
      </w:r>
      <w:r>
        <w:rPr>
          <w:i/>
        </w:rPr>
        <w:t>ласти инвалидности под названием «Изменим мир к лучшему»</w:t>
      </w:r>
      <w:r>
        <w:t xml:space="preserve"> («</w:t>
      </w:r>
      <w:r>
        <w:rPr>
          <w:caps/>
        </w:rPr>
        <w:t>в</w:t>
      </w:r>
      <w:r>
        <w:t>акануи ора</w:t>
      </w:r>
      <w:r>
        <w:t>н</w:t>
      </w:r>
      <w:r>
        <w:t>га»). Эта стратегия представляет собой долгосрочный план по предупрежд</w:t>
      </w:r>
      <w:r>
        <w:t>е</w:t>
      </w:r>
      <w:r>
        <w:t>нию инвалидности в Новой Зеландии и созданию общества здоровых людей. Стратегия в области инвалидности Новой Зеландии представляет собой ме</w:t>
      </w:r>
      <w:r>
        <w:t>ж</w:t>
      </w:r>
      <w:r>
        <w:t>секторальный документ, в котором изложены 15 целей в таких областях, как права человека, социальные отношения, образование и занятость, отдых и о</w:t>
      </w:r>
      <w:r>
        <w:t>б</w:t>
      </w:r>
      <w:r>
        <w:t>раз жизни, информация, общественные услуги и системы поддержки. В этом плане содержатся также концептуальные положения, предписывающие прав</w:t>
      </w:r>
      <w:r>
        <w:t>и</w:t>
      </w:r>
      <w:r>
        <w:t>тельственным ведомствам и учреждениям перед принятием решений учитывать положение людей с инвалидностью.</w:t>
      </w:r>
    </w:p>
    <w:p w:rsidR="00000000" w:rsidRDefault="00000000">
      <w:pPr>
        <w:pStyle w:val="SingleTxt"/>
      </w:pPr>
      <w:r>
        <w:rPr>
          <w:caps/>
        </w:rPr>
        <w:t>з</w:t>
      </w:r>
      <w:r>
        <w:t>а осуществление этой стратегии отвечают все правительственные учр</w:t>
      </w:r>
      <w:r>
        <w:t>е</w:t>
      </w:r>
      <w:r>
        <w:t>ждения. 1 июля 2002 года главная ответственность за текущее выполнение этой стратегии была перенесена с министерства здравоохранения на Управление по вопросам инвалидности при министерстве социального развития.</w:t>
      </w:r>
    </w:p>
    <w:p w:rsidR="00000000" w:rsidRDefault="00000000">
      <w:pPr>
        <w:ind w:left="1264" w:right="1264"/>
      </w:pPr>
      <w:r>
        <w:t>Что касается событий, затрагивающих женщин, то стратегия в области инв</w:t>
      </w:r>
      <w:r>
        <w:t>а</w:t>
      </w:r>
      <w:r>
        <w:t>лидности Новой Зеландии предусматривает две ключевые цели, включая меры для их достижения, а именно:</w:t>
      </w:r>
    </w:p>
    <w:p w:rsidR="00000000" w:rsidRDefault="00000000">
      <w:pPr>
        <w:pStyle w:val="H4"/>
      </w:pPr>
      <w:r>
        <w:t>Цель 14</w:t>
      </w:r>
    </w:p>
    <w:p w:rsidR="00000000" w:rsidRDefault="00000000">
      <w:pPr>
        <w:pStyle w:val="SingleTxt"/>
      </w:pPr>
      <w:r>
        <w:t>Содействие участию женщин-инвалидов в жизни общества с целью п</w:t>
      </w:r>
      <w:r>
        <w:t>о</w:t>
      </w:r>
      <w:r>
        <w:t>вышения к</w:t>
      </w:r>
      <w:r>
        <w:t>а</w:t>
      </w:r>
      <w:r>
        <w:t>чества их жизни.</w:t>
      </w:r>
    </w:p>
    <w:p w:rsidR="00000000" w:rsidRDefault="00000000">
      <w:pPr>
        <w:pStyle w:val="H4"/>
      </w:pPr>
      <w:r>
        <w:t>Меры</w:t>
      </w:r>
    </w:p>
    <w:p w:rsidR="00000000" w:rsidRDefault="00000000">
      <w:pPr>
        <w:pStyle w:val="dot"/>
        <w:ind w:left="2217" w:hanging="953"/>
      </w:pPr>
      <w:r>
        <w:tab/>
      </w:r>
      <w:r>
        <w:tab/>
      </w:r>
      <w:r>
        <w:tab/>
        <w:t>14.1</w:t>
      </w:r>
      <w:r>
        <w:tab/>
      </w:r>
      <w:r>
        <w:tab/>
        <w:t>Поощрение прав женщин и предоставление женщинам-инвалидам возможностей для достижения одинакового с мужчинами уровня м</w:t>
      </w:r>
      <w:r>
        <w:t>а</w:t>
      </w:r>
      <w:r>
        <w:t>териал</w:t>
      </w:r>
      <w:r>
        <w:t>ь</w:t>
      </w:r>
      <w:r>
        <w:t>ного обеспечения и образования.</w:t>
      </w:r>
    </w:p>
    <w:p w:rsidR="00000000" w:rsidRDefault="00000000">
      <w:pPr>
        <w:pStyle w:val="dot"/>
        <w:ind w:left="2217" w:hanging="953"/>
      </w:pPr>
      <w:r>
        <w:tab/>
      </w:r>
      <w:r>
        <w:tab/>
      </w:r>
      <w:r>
        <w:tab/>
        <w:t>14.2</w:t>
      </w:r>
      <w:r>
        <w:tab/>
      </w:r>
      <w:r>
        <w:tab/>
        <w:t>Обеспечение равного, надлежащего и открытого доступа к услугам.</w:t>
      </w:r>
    </w:p>
    <w:p w:rsidR="00000000" w:rsidRDefault="00000000">
      <w:pPr>
        <w:pStyle w:val="dot"/>
        <w:ind w:left="2217" w:hanging="953"/>
      </w:pPr>
      <w:r>
        <w:tab/>
      </w:r>
      <w:r>
        <w:tab/>
      </w:r>
      <w:r>
        <w:tab/>
        <w:t>14.3</w:t>
      </w:r>
      <w:r>
        <w:tab/>
      </w:r>
      <w:r>
        <w:tab/>
        <w:t>Оказание поддержки женщинам-инвалидам в реализации права на самостоятельную жизнь и безопасную жизнь в существующем соц</w:t>
      </w:r>
      <w:r>
        <w:t>и</w:t>
      </w:r>
      <w:r>
        <w:t>альном окружении, а также рядом с людьми по их выб</w:t>
      </w:r>
      <w:r>
        <w:t>о</w:t>
      </w:r>
      <w:r>
        <w:t>ру.</w:t>
      </w:r>
    </w:p>
    <w:p w:rsidR="00000000" w:rsidRDefault="00000000">
      <w:pPr>
        <w:pStyle w:val="dot"/>
        <w:ind w:left="2217" w:hanging="953"/>
      </w:pPr>
      <w:r>
        <w:tab/>
      </w:r>
      <w:r>
        <w:tab/>
      </w:r>
      <w:r>
        <w:tab/>
        <w:t>14.4 </w:t>
      </w:r>
      <w:r>
        <w:tab/>
        <w:t>Создание равных условий для женщин-инвалидов и женщин, не имеющих инвалидности, в том, что касается применения критериев и принципов, связанных со здоровьем и репродуктивным здоров</w:t>
      </w:r>
      <w:r>
        <w:t>ь</w:t>
      </w:r>
      <w:r>
        <w:t>ем.</w:t>
      </w:r>
    </w:p>
    <w:p w:rsidR="00000000" w:rsidRDefault="00000000">
      <w:pPr>
        <w:pStyle w:val="dot"/>
        <w:ind w:left="2217" w:hanging="953"/>
      </w:pPr>
      <w:r>
        <w:tab/>
      </w:r>
      <w:r>
        <w:tab/>
      </w:r>
      <w:r>
        <w:tab/>
        <w:t>14.5 </w:t>
      </w:r>
      <w:r>
        <w:tab/>
        <w:t>Включение потребностей женщин-инвалидов во все стратегии ра</w:t>
      </w:r>
      <w:r>
        <w:t>з</w:t>
      </w:r>
      <w:r>
        <w:t>вития.</w:t>
      </w:r>
    </w:p>
    <w:p w:rsidR="00000000" w:rsidRDefault="00000000">
      <w:pPr>
        <w:pStyle w:val="dot"/>
        <w:ind w:left="2217" w:hanging="953"/>
      </w:pPr>
      <w:r>
        <w:tab/>
      </w:r>
      <w:r>
        <w:tab/>
      </w:r>
      <w:r>
        <w:tab/>
        <w:t>14.6 </w:t>
      </w:r>
      <w:r>
        <w:tab/>
        <w:t>Поручить министерству по делам женщин взять на себя руковод</w:t>
      </w:r>
      <w:r>
        <w:t>я</w:t>
      </w:r>
      <w:r>
        <w:t>щую роль в содействии участию женщин-инвалидов в процессе улучшения к</w:t>
      </w:r>
      <w:r>
        <w:t>а</w:t>
      </w:r>
      <w:r>
        <w:t>чества их жизни.</w:t>
      </w:r>
    </w:p>
    <w:p w:rsidR="00000000" w:rsidRDefault="00000000">
      <w:pPr>
        <w:pStyle w:val="H4"/>
      </w:pPr>
      <w:r>
        <w:t>Цель 15</w:t>
      </w:r>
    </w:p>
    <w:p w:rsidR="00000000" w:rsidRDefault="00000000">
      <w:pPr>
        <w:pStyle w:val="SingleTxt"/>
      </w:pPr>
      <w:r>
        <w:rPr>
          <w:caps/>
        </w:rPr>
        <w:t>п</w:t>
      </w:r>
      <w:r>
        <w:t>оощрение семей, «ванау» и лиц, оказывающих текущую поддержку.</w:t>
      </w:r>
    </w:p>
    <w:p w:rsidR="00000000" w:rsidRDefault="00000000">
      <w:pPr>
        <w:pStyle w:val="H4"/>
      </w:pPr>
      <w:r>
        <w:t>Меры</w:t>
      </w:r>
    </w:p>
    <w:p w:rsidR="00000000" w:rsidRDefault="00000000">
      <w:pPr>
        <w:pStyle w:val="dot"/>
        <w:ind w:left="2217" w:hanging="953"/>
      </w:pPr>
      <w:r>
        <w:tab/>
      </w:r>
      <w:r>
        <w:tab/>
      </w:r>
      <w:r>
        <w:tab/>
        <w:t>15.2 </w:t>
      </w:r>
      <w:r>
        <w:tab/>
        <w:t>Расширить поддержку и возможности лиц, оказывающих помощь инвал</w:t>
      </w:r>
      <w:r>
        <w:t>и</w:t>
      </w:r>
      <w:r>
        <w:t>дам.</w:t>
      </w:r>
    </w:p>
    <w:p w:rsidR="00000000" w:rsidRDefault="00000000">
      <w:pPr>
        <w:pStyle w:val="dot"/>
        <w:ind w:left="2217" w:hanging="953"/>
      </w:pPr>
      <w:r>
        <w:tab/>
      </w:r>
      <w:r>
        <w:tab/>
      </w:r>
      <w:r>
        <w:tab/>
        <w:t>15.3 </w:t>
      </w:r>
      <w:r>
        <w:tab/>
        <w:t>Проводить информационно-просветительскую работу в семьях, где есть инвалиды.</w:t>
      </w:r>
    </w:p>
    <w:p w:rsidR="00000000" w:rsidRDefault="00000000">
      <w:pPr>
        <w:pStyle w:val="dot"/>
        <w:ind w:left="2217" w:hanging="953"/>
      </w:pPr>
      <w:r>
        <w:tab/>
      </w:r>
      <w:r>
        <w:tab/>
      </w:r>
      <w:r>
        <w:tab/>
        <w:t>15.7 </w:t>
      </w:r>
      <w:r>
        <w:tab/>
        <w:t>Поощрять дискуссии по вопросам ответственности за уход за член</w:t>
      </w:r>
      <w:r>
        <w:t>а</w:t>
      </w:r>
      <w:r>
        <w:t>ми семьи, оплаты услуг по уходу за членами семьи, а также по в</w:t>
      </w:r>
      <w:r>
        <w:t>о</w:t>
      </w:r>
      <w:r>
        <w:t>просам дальнейшего укрепления и придания большей значимости функции ухода за членами с</w:t>
      </w:r>
      <w:r>
        <w:t>е</w:t>
      </w:r>
      <w:r>
        <w:t>мьи.</w:t>
      </w:r>
    </w:p>
    <w:p w:rsidR="00000000" w:rsidRDefault="00000000">
      <w:pPr>
        <w:pStyle w:val="dot"/>
        <w:ind w:left="2217" w:hanging="953"/>
      </w:pPr>
      <w:r>
        <w:tab/>
      </w:r>
      <w:r>
        <w:tab/>
      </w:r>
      <w:r>
        <w:tab/>
        <w:t>15.8 </w:t>
      </w:r>
      <w:r>
        <w:tab/>
        <w:t>Обеспечение семей и лиц, оказывающих помощь инвалидам, дост</w:t>
      </w:r>
      <w:r>
        <w:t>о</w:t>
      </w:r>
      <w:r>
        <w:t>верной и легко доступной и</w:t>
      </w:r>
      <w:r>
        <w:t>н</w:t>
      </w:r>
      <w:r>
        <w:t>формацией.</w:t>
      </w:r>
    </w:p>
    <w:p w:rsidR="00000000" w:rsidRDefault="00000000">
      <w:pPr>
        <w:pStyle w:val="SingleTxt"/>
      </w:pPr>
      <w:r>
        <w:t>МДЖ является одним из одиннадцати ключевых министерств, которые разработали первоначальный план осуществления на период с июля 2001 года по июнь 2002 года. Наблюдение за ходом выполнения поставленных задач б</w:t>
      </w:r>
      <w:r>
        <w:t>у</w:t>
      </w:r>
      <w:r>
        <w:t>дет осуществляться на ежегодной основе, и полученные результаты будут д</w:t>
      </w:r>
      <w:r>
        <w:t>о</w:t>
      </w:r>
      <w:r>
        <w:t>водиться до сведения парламента. Доклады о ходе осуществления за первый квартал показывают, что большинство министерств, похоже, достигло прогре</w:t>
      </w:r>
      <w:r>
        <w:t>с</w:t>
      </w:r>
      <w:r>
        <w:t>са в деле выполнения поставленных перед ними задач. Однако лишь в очень немногих таких докладах говорится о том, какое внимание уделяется женщ</w:t>
      </w:r>
      <w:r>
        <w:t>и</w:t>
      </w:r>
      <w:r>
        <w:t>нам-инвалидам в рамках отдельных проектов.</w:t>
      </w:r>
    </w:p>
    <w:p w:rsidR="00000000" w:rsidRDefault="00000000">
      <w:pPr>
        <w:pStyle w:val="SingleTxt"/>
      </w:pPr>
      <w:r>
        <w:t>В августе 2001 года министерство социальной политики представило м</w:t>
      </w:r>
      <w:r>
        <w:t>и</w:t>
      </w:r>
      <w:r>
        <w:t>нистру по делам инвалидов доклад, в котором выявлены факты неравенства в доступе инвалидов к услугам и помощи, финансируемых правительством. В этом документе говорится о серьезных проблемах женщин-инвалидов в том, что кас</w:t>
      </w:r>
      <w:r>
        <w:t>а</w:t>
      </w:r>
      <w:r>
        <w:t>ется доступа к услугам:</w:t>
      </w:r>
    </w:p>
    <w:p w:rsidR="00000000" w:rsidRDefault="00000000">
      <w:pPr>
        <w:pStyle w:val="dot"/>
      </w:pPr>
      <w:r>
        <w:tab/>
      </w:r>
      <w:r>
        <w:tab/>
        <w:t>•</w:t>
      </w:r>
      <w:r>
        <w:tab/>
        <w:t>женщины-инвалиды получают меньшую помощь на дому, чем мужчины-инвалиды, поскольку предполагается, что они смогут изыскать возможн</w:t>
      </w:r>
      <w:r>
        <w:t>о</w:t>
      </w:r>
      <w:r>
        <w:t>сти выполнять отведенную им традицио</w:t>
      </w:r>
      <w:r>
        <w:t>н</w:t>
      </w:r>
      <w:r>
        <w:t>ную роль</w:t>
      </w:r>
    </w:p>
    <w:p w:rsidR="00000000" w:rsidRDefault="00000000">
      <w:pPr>
        <w:pStyle w:val="dot"/>
      </w:pPr>
      <w:r>
        <w:tab/>
      </w:r>
      <w:r>
        <w:tab/>
        <w:t>•</w:t>
      </w:r>
      <w:r>
        <w:tab/>
        <w:t>недостаточная помощь оказывается инвалидам в уходе за детьми, напр</w:t>
      </w:r>
      <w:r>
        <w:t>и</w:t>
      </w:r>
      <w:r>
        <w:t>мер в субсидировании прие</w:t>
      </w:r>
      <w:r>
        <w:t>м</w:t>
      </w:r>
      <w:r>
        <w:t>лемых услуг по уходу за детьми</w:t>
      </w:r>
    </w:p>
    <w:p w:rsidR="00000000" w:rsidRDefault="00000000">
      <w:pPr>
        <w:pStyle w:val="dot"/>
      </w:pPr>
      <w:r>
        <w:tab/>
      </w:r>
      <w:r>
        <w:tab/>
        <w:t>•</w:t>
      </w:r>
      <w:r>
        <w:tab/>
        <w:t>женщины получают сравнительно низкие доходы, в частности, если они явл</w:t>
      </w:r>
      <w:r>
        <w:t>я</w:t>
      </w:r>
      <w:r>
        <w:t>ются матерями-одиночками</w:t>
      </w:r>
      <w:r>
        <w:rPr>
          <w:rStyle w:val="FootnoteReference"/>
        </w:rPr>
        <w:footnoteReference w:id="3"/>
        <w:t>2</w:t>
      </w:r>
      <w:r>
        <w:t>.</w:t>
      </w:r>
    </w:p>
    <w:p w:rsidR="00000000" w:rsidRDefault="00000000">
      <w:pPr>
        <w:pStyle w:val="SingleTxt"/>
      </w:pPr>
      <w:r>
        <w:t>Изменение структуры новозеландской семьи и выход женщин на рынок рабочей силы уменьшили вероятность того, что члены семьи автоматически будут ухаживать за инвалидами на постоянной, ежедневной основе. Кроме т</w:t>
      </w:r>
      <w:r>
        <w:t>о</w:t>
      </w:r>
      <w:r>
        <w:t>го, более не существует консенсуса относительно того, что женщины должны выполнять неоплачиваемую работу по уходу за членами семьи, имеющими и</w:t>
      </w:r>
      <w:r>
        <w:t>н</w:t>
      </w:r>
      <w:r>
        <w:t>валидность</w:t>
      </w:r>
      <w:r>
        <w:rPr>
          <w:rStyle w:val="FootnoteReference"/>
        </w:rPr>
        <w:footnoteReference w:id="4"/>
        <w:t>3</w:t>
      </w:r>
      <w:r>
        <w:t>. Эти изменения обусловлены повышением спроса на существу</w:t>
      </w:r>
      <w:r>
        <w:t>ю</w:t>
      </w:r>
      <w:r>
        <w:t>щие услуги и, когда испытывается нехватка услуг для оказания альтернативной помощи, увеличением нагрузки на лиц, ухаживающих за членами семьи. Н</w:t>
      </w:r>
      <w:r>
        <w:t>е</w:t>
      </w:r>
      <w:r>
        <w:t>смотря на эти социальные изменения, во многих случаях за членами семьи с инвалидностью по-прежнему в первую оч</w:t>
      </w:r>
      <w:r>
        <w:t>е</w:t>
      </w:r>
      <w:r>
        <w:t>редь ухаживают женщины.</w:t>
      </w:r>
    </w:p>
    <w:p w:rsidR="00000000" w:rsidRDefault="00000000">
      <w:pPr>
        <w:pStyle w:val="SingleTxt"/>
      </w:pPr>
      <w:r>
        <w:t>Министерство социального развития в настоящее время рассматривает пути решения назревших проблем неравенства в области доступа к услугам и их раздробленности.</w:t>
      </w:r>
    </w:p>
    <w:p w:rsidR="00000000" w:rsidRDefault="00000000">
      <w:pPr>
        <w:pStyle w:val="H1"/>
      </w:pPr>
      <w:r>
        <w:t>Молодые женщины</w:t>
      </w:r>
    </w:p>
    <w:p w:rsidR="00000000" w:rsidRDefault="00000000">
      <w:pPr>
        <w:pStyle w:val="H23"/>
      </w:pPr>
      <w:r>
        <w:t>Стратегия улучшения положения молодежи «Аотеароа»</w:t>
      </w:r>
    </w:p>
    <w:p w:rsidR="00000000" w:rsidRDefault="00000000">
      <w:pPr>
        <w:pStyle w:val="SingleTxt"/>
      </w:pPr>
      <w:r>
        <w:t>Стратегия улучшения положения молодежи «Аотеароа» (СУПМ) была о</w:t>
      </w:r>
      <w:r>
        <w:t>б</w:t>
      </w:r>
      <w:r>
        <w:t>народована в феврале 2002 года после обширных консультаций. Эта стратегия представляет собой механизм политики, который применяется на всех уровнях, а именно: на уровне центра и на местах, в школах и высших учебных заведен</w:t>
      </w:r>
      <w:r>
        <w:t>и</w:t>
      </w:r>
      <w:r>
        <w:t>ях, медицинских учреждениях, общинах и добровольных группах, церквях, на рабочих местах, в семьях и «ванау», а также в рамках осуществления иници</w:t>
      </w:r>
      <w:r>
        <w:t>а</w:t>
      </w:r>
      <w:r>
        <w:t>тив под началом молодежи.</w:t>
      </w:r>
    </w:p>
    <w:p w:rsidR="00000000" w:rsidRDefault="00000000">
      <w:pPr>
        <w:pStyle w:val="SingleTxt"/>
      </w:pPr>
      <w:r>
        <w:t>В стратегии улучшения положения молодежи содержатся концепции, принципы, цели и задачи и приводятся рекомендации для принятия мер в кл</w:t>
      </w:r>
      <w:r>
        <w:t>ю</w:t>
      </w:r>
      <w:r>
        <w:t>чевых социальных сферах как центральными, так и местными органами власти. Шесть принципов СУПМ можно использовать в качестве контрольных элеме</w:t>
      </w:r>
      <w:r>
        <w:t>н</w:t>
      </w:r>
      <w:r>
        <w:t>тов в процессе разработки политики и программ и в работе с молодежью, а именно:</w:t>
      </w:r>
    </w:p>
    <w:p w:rsidR="00000000" w:rsidRDefault="00000000">
      <w:pPr>
        <w:pStyle w:val="dot"/>
        <w:ind w:left="2217" w:hanging="953"/>
      </w:pPr>
      <w:r>
        <w:tab/>
      </w:r>
      <w:r>
        <w:tab/>
      </w:r>
      <w:r>
        <w:tab/>
        <w:t>1</w:t>
      </w:r>
      <w:r>
        <w:tab/>
      </w:r>
      <w:r>
        <w:tab/>
        <w:t>Улучшение положения должно рассматриваться крупным планом.</w:t>
      </w:r>
    </w:p>
    <w:p w:rsidR="00000000" w:rsidRDefault="00000000">
      <w:pPr>
        <w:pStyle w:val="dot"/>
        <w:ind w:left="2217" w:hanging="953"/>
      </w:pPr>
      <w:r>
        <w:tab/>
      </w:r>
      <w:r>
        <w:tab/>
      </w:r>
      <w:r>
        <w:tab/>
        <w:t>2</w:t>
      </w:r>
      <w:r>
        <w:tab/>
      </w:r>
      <w:r>
        <w:tab/>
        <w:t>Улучшение положения молодежи связано с установлением контактов с мол</w:t>
      </w:r>
      <w:r>
        <w:t>о</w:t>
      </w:r>
      <w:r>
        <w:t>дежью.</w:t>
      </w:r>
    </w:p>
    <w:p w:rsidR="00000000" w:rsidRDefault="00000000">
      <w:pPr>
        <w:pStyle w:val="dot"/>
        <w:ind w:left="2217" w:hanging="953"/>
      </w:pPr>
      <w:r>
        <w:tab/>
      </w:r>
      <w:r>
        <w:tab/>
      </w:r>
      <w:r>
        <w:tab/>
        <w:t>3</w:t>
      </w:r>
      <w:r>
        <w:tab/>
      </w:r>
      <w:r>
        <w:tab/>
        <w:t>Улучшение положения молодежи основано на последовательном э</w:t>
      </w:r>
      <w:r>
        <w:t>ф</w:t>
      </w:r>
      <w:r>
        <w:t>фе</w:t>
      </w:r>
      <w:r>
        <w:t>к</w:t>
      </w:r>
      <w:r>
        <w:t>тивном подходе.</w:t>
      </w:r>
    </w:p>
    <w:p w:rsidR="00000000" w:rsidRDefault="00000000">
      <w:pPr>
        <w:pStyle w:val="dot"/>
        <w:ind w:left="2217" w:hanging="953"/>
      </w:pPr>
      <w:r>
        <w:tab/>
      </w:r>
      <w:r>
        <w:tab/>
      </w:r>
      <w:r>
        <w:tab/>
        <w:t>4</w:t>
      </w:r>
      <w:r>
        <w:tab/>
      </w:r>
      <w:r>
        <w:tab/>
        <w:t>Улучшение положения молодежи осуществляется с помощью уст</w:t>
      </w:r>
      <w:r>
        <w:t>а</w:t>
      </w:r>
      <w:r>
        <w:t>новления прочных отн</w:t>
      </w:r>
      <w:r>
        <w:t>о</w:t>
      </w:r>
      <w:r>
        <w:t>шений.</w:t>
      </w:r>
    </w:p>
    <w:p w:rsidR="00000000" w:rsidRDefault="00000000">
      <w:pPr>
        <w:pStyle w:val="dot"/>
        <w:ind w:left="2217" w:hanging="953"/>
      </w:pPr>
      <w:r>
        <w:tab/>
      </w:r>
      <w:r>
        <w:tab/>
      </w:r>
      <w:r>
        <w:tab/>
        <w:t>5</w:t>
      </w:r>
      <w:r>
        <w:tab/>
      </w:r>
      <w:r>
        <w:tab/>
        <w:t>Улучшение положения молодежи получает новый импульс, когда в этом процессе всесторонне учас</w:t>
      </w:r>
      <w:r>
        <w:t>т</w:t>
      </w:r>
      <w:r>
        <w:t>вует сама молодежь.</w:t>
      </w:r>
    </w:p>
    <w:p w:rsidR="00000000" w:rsidRDefault="00000000">
      <w:pPr>
        <w:pStyle w:val="dot"/>
        <w:ind w:left="2217" w:hanging="953"/>
      </w:pPr>
      <w:r>
        <w:tab/>
      </w:r>
      <w:r>
        <w:tab/>
      </w:r>
      <w:r>
        <w:tab/>
        <w:t>6</w:t>
      </w:r>
      <w:r>
        <w:tab/>
      </w:r>
      <w:r>
        <w:tab/>
        <w:t>Улучшение положения молодежи нуждается в обеспечении исчерп</w:t>
      </w:r>
      <w:r>
        <w:t>ы</w:t>
      </w:r>
      <w:r>
        <w:t>ва</w:t>
      </w:r>
      <w:r>
        <w:t>ю</w:t>
      </w:r>
      <w:r>
        <w:t>щей информации.</w:t>
      </w:r>
    </w:p>
    <w:p w:rsidR="00000000" w:rsidRDefault="00000000">
      <w:pPr>
        <w:pStyle w:val="SingleTxt"/>
      </w:pPr>
      <w:r>
        <w:t>С помощью применения этих принципов и выполнения более широких задач в области улучшения положения молодежи Новая Зеландия будет оказ</w:t>
      </w:r>
      <w:r>
        <w:t>ы</w:t>
      </w:r>
      <w:r>
        <w:t>вать помощь молодым людям для достижения сл</w:t>
      </w:r>
      <w:r>
        <w:t>е</w:t>
      </w:r>
      <w:r>
        <w:t>дующих целей:</w:t>
      </w:r>
    </w:p>
    <w:p w:rsidR="00000000" w:rsidRDefault="00000000">
      <w:pPr>
        <w:pStyle w:val="dot"/>
      </w:pPr>
      <w:r>
        <w:tab/>
      </w:r>
      <w:r>
        <w:tab/>
        <w:t>•</w:t>
      </w:r>
      <w:r>
        <w:tab/>
        <w:t>выработать у молодых людей желание внести определенный вклад в ра</w:t>
      </w:r>
      <w:r>
        <w:t>з</w:t>
      </w:r>
      <w:r>
        <w:t>витие общества</w:t>
      </w:r>
    </w:p>
    <w:p w:rsidR="00000000" w:rsidRDefault="00000000">
      <w:pPr>
        <w:pStyle w:val="dot"/>
      </w:pPr>
      <w:r>
        <w:tab/>
      </w:r>
      <w:r>
        <w:tab/>
        <w:t>•</w:t>
      </w:r>
      <w:r>
        <w:tab/>
        <w:t>выработать желание контактировать с другими людьми и с обществом в целом</w:t>
      </w:r>
    </w:p>
    <w:p w:rsidR="00000000" w:rsidRDefault="00000000">
      <w:pPr>
        <w:pStyle w:val="dot"/>
      </w:pPr>
      <w:r>
        <w:tab/>
      </w:r>
      <w:r>
        <w:tab/>
        <w:t>•</w:t>
      </w:r>
      <w:r>
        <w:tab/>
        <w:t>выработать веру в то, что они могут выбрать свое будущее</w:t>
      </w:r>
    </w:p>
    <w:p w:rsidR="00000000" w:rsidRDefault="00000000">
      <w:pPr>
        <w:pStyle w:val="dot"/>
      </w:pPr>
      <w:r>
        <w:tab/>
      </w:r>
      <w:r>
        <w:tab/>
        <w:t>•</w:t>
      </w:r>
      <w:r>
        <w:tab/>
        <w:t>выработать чувство уверенности в своем будущем.</w:t>
      </w:r>
    </w:p>
    <w:p w:rsidR="00000000" w:rsidRDefault="00000000">
      <w:pPr>
        <w:pStyle w:val="SingleTxt"/>
      </w:pPr>
      <w:r>
        <w:t>СУПМ предусматривает также выполнение некоторых важных задач в и</w:t>
      </w:r>
      <w:r>
        <w:t>н</w:t>
      </w:r>
      <w:r>
        <w:t>тересах конкретных групп молодежи, включая "рангатахи" (молодежь народн</w:t>
      </w:r>
      <w:r>
        <w:t>о</w:t>
      </w:r>
      <w:r>
        <w:t>сти маори), молодежь тихоокеанских островов, молодежь этнических мен</w:t>
      </w:r>
      <w:r>
        <w:t>ь</w:t>
      </w:r>
      <w:r>
        <w:t>шинств, молодежь с физическими, психическими и умственными недостатк</w:t>
      </w:r>
      <w:r>
        <w:t>а</w:t>
      </w:r>
      <w:r>
        <w:t>ми, молодых лесбиянок, гомосексуалистов, бисексуалов и транссексуалов, из</w:t>
      </w:r>
      <w:r>
        <w:t>о</w:t>
      </w:r>
      <w:r>
        <w:t>лированную сельскую мол</w:t>
      </w:r>
      <w:r>
        <w:t>о</w:t>
      </w:r>
      <w:r>
        <w:t>дежь, а также молодых родителей.</w:t>
      </w:r>
    </w:p>
    <w:p w:rsidR="00000000" w:rsidRDefault="00000000">
      <w:pPr>
        <w:pStyle w:val="SingleTxt"/>
      </w:pPr>
      <w:r>
        <w:t>Работа по осуществлению СУПМ осуществляется под руководством м</w:t>
      </w:r>
      <w:r>
        <w:t>и</w:t>
      </w:r>
      <w:r>
        <w:t>нистерства по делам молодежи. Эта работа тесно связана с осуществлением Повестки дня Новой Зеландии для детей: сделаем жизнь детей лучше, которая осуществляется в рамках программы работы под названием «Действия в инт</w:t>
      </w:r>
      <w:r>
        <w:t>е</w:t>
      </w:r>
      <w:r>
        <w:t>ресах детей и улучшения положения молодежи». Осуществление этой пр</w:t>
      </w:r>
      <w:r>
        <w:t>о</w:t>
      </w:r>
      <w:r>
        <w:t>граммы предусматривает налаживание и поддержание отношений взаимной поддержки с организациями и отдельными лицами, которые работают с мол</w:t>
      </w:r>
      <w:r>
        <w:t>о</w:t>
      </w:r>
      <w:r>
        <w:t>дежью и сем</w:t>
      </w:r>
      <w:r>
        <w:t>ь</w:t>
      </w:r>
      <w:r>
        <w:t>ями.</w:t>
      </w:r>
    </w:p>
    <w:p w:rsidR="00000000" w:rsidRDefault="00000000">
      <w:pPr>
        <w:pStyle w:val="H1"/>
      </w:pPr>
      <w:r>
        <w:t>Престарелые женщины</w:t>
      </w:r>
    </w:p>
    <w:p w:rsidR="00000000" w:rsidRDefault="00000000">
      <w:pPr>
        <w:pStyle w:val="SingleTxt"/>
      </w:pPr>
      <w:r>
        <w:t>Данные переписи населения 2001 года показывают, что большинство н</w:t>
      </w:r>
      <w:r>
        <w:t>а</w:t>
      </w:r>
      <w:r>
        <w:t>селения Новой Зеландии по-прежнему составляют молодые люди, причем вс</w:t>
      </w:r>
      <w:r>
        <w:t>е</w:t>
      </w:r>
      <w:r>
        <w:t>го лишь 12 процентов населения находятся в возрасте 65 лет и старше (ди</w:t>
      </w:r>
      <w:r>
        <w:t>а</w:t>
      </w:r>
      <w:r>
        <w:t>грамма 1). По имеющимся прогнозам, к 2011 году приблизительно 14 процентов населения будет в возрасте 65 лет и старше, а впоследствии доля престарелых людей в общей численности населения существенно возрастет – до 23 процентов к 2031 году и 26 процентов к 2051 году соответственно. После 2051 года, однако, темпы увеличения численности престарелых замедлятся, поскольку подрастающее поколение заменит поколение пожилых людей, жи</w:t>
      </w:r>
      <w:r>
        <w:t>в</w:t>
      </w:r>
      <w:r>
        <w:t>ших в эпоху резкого подъема деторождения. Приведенные ниже диаграммы н</w:t>
      </w:r>
      <w:r>
        <w:t>а</w:t>
      </w:r>
      <w:r>
        <w:t>глядно показывают эти прогнозы с разбивкой по полу и этнической прина</w:t>
      </w:r>
      <w:r>
        <w:t>д</w:t>
      </w:r>
      <w:r>
        <w:t>лежности. Кроме того, эти диаграммы свидетельствуют о преобладающей доле женщин в возрасте 65 лет и старше.</w:t>
      </w:r>
    </w:p>
    <w:p w:rsidR="00000000" w:rsidRDefault="00000000">
      <w:pPr>
        <w:pStyle w:val="SingleTxt"/>
        <w:spacing w:line="200" w:lineRule="exact"/>
        <w:ind w:firstLine="0"/>
        <w:jc w:val="left"/>
        <w:rPr>
          <w:b/>
        </w:rPr>
      </w:pPr>
      <w:r>
        <w:rPr>
          <w:b/>
        </w:rPr>
        <w:br w:type="page"/>
        <w:t>Диаграмма 1: Динамика численности населения Новой Зеландии в 2001 </w:t>
      </w:r>
      <w:r>
        <w:rPr>
          <w:b/>
        </w:rPr>
        <w:br/>
        <w:t>и 2051 годах с разбивкой по возрасту и п</w:t>
      </w:r>
      <w:r>
        <w:rPr>
          <w:b/>
        </w:rPr>
        <w:t>о</w:t>
      </w:r>
      <w:r>
        <w:rPr>
          <w:b/>
        </w:rPr>
        <w:t>лу</w:t>
      </w:r>
    </w:p>
    <w:p w:rsidR="00000000" w:rsidRDefault="00000000">
      <w:pPr>
        <w:pStyle w:val="SingleTxt"/>
        <w:spacing w:line="200" w:lineRule="exact"/>
        <w:ind w:firstLine="0"/>
        <w:jc w:val="left"/>
        <w:rPr>
          <w:b/>
        </w:rPr>
      </w:pPr>
    </w:p>
    <w:p w:rsidR="00000000" w:rsidRDefault="00000000">
      <w:pPr>
        <w:pStyle w:val="SingleTxt"/>
        <w:spacing w:line="200" w:lineRule="exact"/>
        <w:ind w:firstLine="0"/>
        <w:jc w:val="left"/>
        <w:rPr>
          <w:b/>
        </w:rPr>
        <w:sectPr w:rsidR="00000000">
          <w:headerReference w:type="even" r:id="rId17"/>
          <w:headerReference w:type="default" r:id="rId18"/>
          <w:footerReference w:type="even" r:id="rId19"/>
          <w:footerReference w:type="default" r:id="rId20"/>
          <w:endnotePr>
            <w:numFmt w:val="decimal"/>
          </w:endnotePr>
          <w:type w:val="continuous"/>
          <w:pgSz w:w="12240" w:h="15840" w:code="1"/>
          <w:pgMar w:top="1742" w:right="1195" w:bottom="1901" w:left="1195" w:header="576" w:footer="1037" w:gutter="0"/>
          <w:cols w:space="720"/>
          <w:noEndnote/>
        </w:sectPr>
      </w:pPr>
    </w:p>
    <w:p w:rsidR="00000000" w:rsidRDefault="00000000">
      <w:pPr>
        <w:pStyle w:val="SingleTxt"/>
        <w:spacing w:after="0" w:line="240" w:lineRule="auto"/>
        <w:ind w:firstLine="0"/>
        <w:rPr>
          <w:b/>
        </w:rPr>
      </w:pPr>
      <w:r>
        <w:rPr>
          <w:b/>
        </w:rPr>
        <w:t>2001 год</w:t>
      </w:r>
      <w:r>
        <w:rPr>
          <w:b/>
          <w:vertAlign w:val="superscript"/>
        </w:rPr>
        <w:t>(1)</w:t>
      </w:r>
    </w:p>
    <w:p w:rsidR="00000000" w:rsidRDefault="00000000">
      <w:pPr>
        <w:spacing w:line="240" w:lineRule="auto"/>
        <w:ind w:left="1264"/>
      </w:pPr>
      <w:r>
        <w:object w:dxaOrig="3555" w:dyaOrig="37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7.75pt;height:189.75pt" o:ole="">
            <v:imagedata r:id="rId21" o:title=""/>
          </v:shape>
          <o:OLEObject Type="Embed" ProgID="MSGraph.Chart.8" ShapeID="_x0000_i1025" DrawAspect="Content" ObjectID="_1395247596" r:id="rId22">
            <o:FieldCodes>\s</o:FieldCodes>
          </o:OLEObject>
        </w:object>
      </w:r>
    </w:p>
    <w:p w:rsidR="00000000" w:rsidRDefault="00000000">
      <w:pPr>
        <w:pStyle w:val="BodyTextIndent2"/>
        <w:spacing w:line="180" w:lineRule="exact"/>
        <w:ind w:left="1559" w:hanging="295"/>
        <w:jc w:val="both"/>
        <w:rPr>
          <w:sz w:val="17"/>
        </w:rPr>
      </w:pPr>
      <w:r>
        <w:rPr>
          <w:sz w:val="17"/>
        </w:rPr>
        <w:t>(1)</w:t>
      </w:r>
      <w:r>
        <w:rPr>
          <w:sz w:val="17"/>
        </w:rPr>
        <w:tab/>
        <w:t>Перепись населения и жилого фонда 2001 года; перепись преимущественно охватывает постоянных ж</w:t>
      </w:r>
      <w:r>
        <w:rPr>
          <w:sz w:val="17"/>
        </w:rPr>
        <w:t>и</w:t>
      </w:r>
      <w:r>
        <w:rPr>
          <w:sz w:val="17"/>
        </w:rPr>
        <w:t>телей</w:t>
      </w:r>
    </w:p>
    <w:p w:rsidR="00000000" w:rsidRDefault="00000000">
      <w:pPr>
        <w:pStyle w:val="SingleTxt"/>
        <w:spacing w:after="0" w:line="240" w:lineRule="auto"/>
        <w:ind w:left="0" w:right="0" w:firstLine="0"/>
        <w:rPr>
          <w:b/>
        </w:rPr>
      </w:pPr>
      <w:r>
        <w:rPr>
          <w:sz w:val="16"/>
        </w:rPr>
        <w:br w:type="column"/>
      </w:r>
      <w:r>
        <w:rPr>
          <w:b/>
        </w:rPr>
        <w:t>2051 год</w:t>
      </w:r>
      <w:r>
        <w:rPr>
          <w:b/>
          <w:vertAlign w:val="superscript"/>
        </w:rPr>
        <w:t>(2)</w:t>
      </w:r>
    </w:p>
    <w:p w:rsidR="00000000" w:rsidRDefault="00000000">
      <w:pPr>
        <w:spacing w:line="240" w:lineRule="auto"/>
      </w:pPr>
      <w:r>
        <w:object w:dxaOrig="3557" w:dyaOrig="3794">
          <v:shape id="_x0000_i1026" type="#_x0000_t75" style="width:177.75pt;height:189.75pt" o:ole="">
            <v:imagedata r:id="rId23" o:title=""/>
          </v:shape>
          <o:OLEObject Type="Embed" ProgID="MSGraph.Chart.8" ShapeID="_x0000_i1026" DrawAspect="Content" ObjectID="_1395247597" r:id="rId24">
            <o:FieldCodes>\s</o:FieldCodes>
          </o:OLEObject>
        </w:object>
      </w:r>
    </w:p>
    <w:p w:rsidR="00000000" w:rsidRDefault="00000000">
      <w:pPr>
        <w:pStyle w:val="BlockText"/>
        <w:spacing w:line="180" w:lineRule="exact"/>
      </w:pPr>
      <w:r>
        <w:t>(2)</w:t>
      </w:r>
      <w:r>
        <w:tab/>
        <w:t>Прогнозируемая численность постоя</w:t>
      </w:r>
      <w:r>
        <w:t>н</w:t>
      </w:r>
      <w:r>
        <w:t>но проживающего населения (Серия 4: исходя из средних показателей фе</w:t>
      </w:r>
      <w:r>
        <w:t>р</w:t>
      </w:r>
      <w:r>
        <w:t>тильности, смертности и долгосрочной ежегодной миграции численностью 5000 человек). В основу этого прогноза положены ориентировочные данные о численности постоянных жителей по состо</w:t>
      </w:r>
      <w:r>
        <w:t>я</w:t>
      </w:r>
      <w:r>
        <w:t>нию на 30 июня 1999 года</w:t>
      </w:r>
    </w:p>
    <w:p w:rsidR="00000000" w:rsidRDefault="00000000">
      <w:pPr>
        <w:spacing w:line="240" w:lineRule="auto"/>
        <w:ind w:left="1264" w:right="1264"/>
        <w:sectPr w:rsidR="00000000">
          <w:endnotePr>
            <w:numFmt w:val="decimal"/>
          </w:endnotePr>
          <w:type w:val="continuous"/>
          <w:pgSz w:w="12240" w:h="15840" w:code="1"/>
          <w:pgMar w:top="1742" w:right="1195" w:bottom="1901" w:left="1195" w:header="576" w:footer="1037" w:gutter="0"/>
          <w:cols w:num="2" w:space="170"/>
          <w:noEndnote/>
        </w:sectPr>
      </w:pPr>
    </w:p>
    <w:p w:rsidR="00000000" w:rsidRDefault="00000000">
      <w:pPr>
        <w:spacing w:line="240" w:lineRule="auto"/>
        <w:ind w:left="1264" w:right="1264"/>
      </w:pPr>
      <w:r>
        <w:rPr>
          <w:i/>
        </w:rPr>
        <w:t>Источник:</w:t>
      </w:r>
      <w:r>
        <w:t xml:space="preserve"> Статистическое управление Новой Зеландии</w:t>
      </w:r>
    </w:p>
    <w:p w:rsidR="00000000" w:rsidRDefault="00000000">
      <w:pPr>
        <w:pStyle w:val="SingleTxt"/>
      </w:pPr>
    </w:p>
    <w:p w:rsidR="00000000" w:rsidRDefault="00000000">
      <w:pPr>
        <w:pStyle w:val="SingleTxt"/>
      </w:pPr>
      <w:r>
        <w:t>Увеличение численности престарелых маори будет особенно заметным в последующие 50 лет, причем доля маори в возрасте 65 лет и старше увеличится на 290 процентов. Численность маори в возрасте 65 лет и старше составит приблизительно 13 процентов от общей численности населения маори к 2051 году в сравнении с 3 процентами согласно данным переписи населения 2001 года (диаграмма 2).</w:t>
      </w:r>
    </w:p>
    <w:p w:rsidR="00000000" w:rsidRDefault="00000000">
      <w:pPr>
        <w:pStyle w:val="SingleTxt"/>
        <w:ind w:firstLine="0"/>
        <w:rPr>
          <w:b/>
        </w:rPr>
      </w:pPr>
      <w:r>
        <w:rPr>
          <w:b/>
        </w:rPr>
        <w:br w:type="page"/>
        <w:t>Диаграмма 2: Динамика численности населения маори в 2001 и 2051 годах в разбивке по возрасту и п</w:t>
      </w:r>
      <w:r>
        <w:rPr>
          <w:b/>
        </w:rPr>
        <w:t>о</w:t>
      </w:r>
      <w:r>
        <w:rPr>
          <w:b/>
        </w:rPr>
        <w:t>лу</w:t>
      </w:r>
    </w:p>
    <w:p w:rsidR="00000000" w:rsidRDefault="00000000">
      <w:pPr>
        <w:pStyle w:val="SingleTxt"/>
        <w:spacing w:line="200" w:lineRule="exact"/>
        <w:ind w:firstLine="0"/>
        <w:jc w:val="left"/>
        <w:rPr>
          <w:b/>
        </w:rPr>
      </w:pPr>
    </w:p>
    <w:p w:rsidR="00000000" w:rsidRDefault="00000000">
      <w:pPr>
        <w:pStyle w:val="SingleTxt"/>
        <w:spacing w:line="200" w:lineRule="exact"/>
        <w:ind w:firstLine="0"/>
        <w:jc w:val="left"/>
        <w:rPr>
          <w:b/>
        </w:rPr>
        <w:sectPr w:rsidR="00000000">
          <w:headerReference w:type="even" r:id="rId25"/>
          <w:headerReference w:type="default" r:id="rId26"/>
          <w:footerReference w:type="even" r:id="rId27"/>
          <w:footerReference w:type="default" r:id="rId28"/>
          <w:endnotePr>
            <w:numFmt w:val="decimal"/>
          </w:endnotePr>
          <w:type w:val="continuous"/>
          <w:pgSz w:w="12240" w:h="15840" w:code="1"/>
          <w:pgMar w:top="1742" w:right="1195" w:bottom="1901" w:left="1195" w:header="576" w:footer="1037" w:gutter="0"/>
          <w:cols w:space="720"/>
          <w:noEndnote/>
        </w:sectPr>
      </w:pPr>
    </w:p>
    <w:p w:rsidR="00000000" w:rsidRDefault="00000000">
      <w:pPr>
        <w:pStyle w:val="SingleTxt"/>
        <w:spacing w:after="0" w:line="240" w:lineRule="auto"/>
        <w:ind w:firstLine="0"/>
        <w:rPr>
          <w:b/>
        </w:rPr>
      </w:pPr>
      <w:r>
        <w:rPr>
          <w:b/>
        </w:rPr>
        <w:t>2001 год</w:t>
      </w:r>
      <w:r>
        <w:rPr>
          <w:b/>
          <w:vertAlign w:val="superscript"/>
        </w:rPr>
        <w:t>(1)</w:t>
      </w:r>
    </w:p>
    <w:p w:rsidR="00000000" w:rsidRDefault="00000000">
      <w:pPr>
        <w:spacing w:line="240" w:lineRule="auto"/>
        <w:ind w:left="1264"/>
      </w:pPr>
      <w:r>
        <w:object w:dxaOrig="3557" w:dyaOrig="3794">
          <v:shape id="_x0000_i1027" type="#_x0000_t75" style="width:177.75pt;height:189.75pt" o:ole="">
            <v:imagedata r:id="rId29" o:title=""/>
          </v:shape>
          <o:OLEObject Type="Embed" ProgID="MSGraph.Chart.8" ShapeID="_x0000_i1027" DrawAspect="Content" ObjectID="_1395247598" r:id="rId30">
            <o:FieldCodes>\s</o:FieldCodes>
          </o:OLEObject>
        </w:object>
      </w:r>
    </w:p>
    <w:p w:rsidR="00000000" w:rsidRDefault="00000000">
      <w:pPr>
        <w:pStyle w:val="BodyTextIndent3"/>
        <w:jc w:val="both"/>
      </w:pPr>
      <w:r>
        <w:t>(1)</w:t>
      </w:r>
      <w:r>
        <w:tab/>
        <w:t>Перепись населения и жилого фонда 2001 года; перепись преимущественно охватывает постоянно проживающую э</w:t>
      </w:r>
      <w:r>
        <w:t>т</w:t>
      </w:r>
      <w:r>
        <w:t>ническую группу маори</w:t>
      </w:r>
    </w:p>
    <w:p w:rsidR="00000000" w:rsidRDefault="00000000">
      <w:pPr>
        <w:pStyle w:val="BodyTextIndent2"/>
        <w:spacing w:line="180" w:lineRule="exact"/>
        <w:ind w:left="1559" w:hanging="295"/>
        <w:rPr>
          <w:sz w:val="17"/>
        </w:rPr>
      </w:pPr>
    </w:p>
    <w:p w:rsidR="00000000" w:rsidRDefault="00000000">
      <w:pPr>
        <w:pStyle w:val="SingleTxt"/>
        <w:spacing w:after="0" w:line="240" w:lineRule="auto"/>
        <w:ind w:left="0" w:right="0" w:firstLine="0"/>
        <w:rPr>
          <w:b/>
        </w:rPr>
      </w:pPr>
      <w:r>
        <w:rPr>
          <w:sz w:val="16"/>
        </w:rPr>
        <w:br w:type="column"/>
      </w:r>
      <w:r>
        <w:rPr>
          <w:b/>
        </w:rPr>
        <w:t>2051 год</w:t>
      </w:r>
      <w:r>
        <w:rPr>
          <w:b/>
          <w:vertAlign w:val="superscript"/>
        </w:rPr>
        <w:t>(2)</w:t>
      </w:r>
    </w:p>
    <w:p w:rsidR="00000000" w:rsidRDefault="00000000">
      <w:pPr>
        <w:spacing w:line="240" w:lineRule="auto"/>
      </w:pPr>
      <w:r>
        <w:object w:dxaOrig="3557" w:dyaOrig="3794">
          <v:shape id="_x0000_i1028" type="#_x0000_t75" style="width:177.75pt;height:189.75pt" o:ole="">
            <v:imagedata r:id="rId31" o:title=""/>
          </v:shape>
          <o:OLEObject Type="Embed" ProgID="MSGraph.Chart.8" ShapeID="_x0000_i1028" DrawAspect="Content" ObjectID="_1395247599" r:id="rId32">
            <o:FieldCodes>\s</o:FieldCodes>
          </o:OLEObject>
        </w:object>
      </w:r>
    </w:p>
    <w:p w:rsidR="00000000" w:rsidRDefault="00000000">
      <w:pPr>
        <w:pStyle w:val="BlockText"/>
        <w:spacing w:line="180" w:lineRule="exact"/>
      </w:pPr>
      <w:r>
        <w:t>(1)</w:t>
      </w:r>
      <w:r>
        <w:tab/>
        <w:t>Прогноз постоянно проживающего н</w:t>
      </w:r>
      <w:r>
        <w:t>а</w:t>
      </w:r>
      <w:r>
        <w:t>селения (Серия 5: исходя из средних показателей фертильности, смертности, межэтнической мобильности и ежего</w:t>
      </w:r>
      <w:r>
        <w:t>д</w:t>
      </w:r>
      <w:r>
        <w:t>но чистой миграции численности 5000 человек). Этот прогноз основан на оценочной численности постоянно проживающих представителей народн</w:t>
      </w:r>
      <w:r>
        <w:t>о</w:t>
      </w:r>
      <w:r>
        <w:t>сти маори по состоянию на 30 июня 1996 года</w:t>
      </w:r>
    </w:p>
    <w:p w:rsidR="00000000" w:rsidRDefault="00000000">
      <w:pPr>
        <w:spacing w:line="240" w:lineRule="auto"/>
        <w:ind w:left="1264" w:right="1264"/>
        <w:sectPr w:rsidR="00000000">
          <w:endnotePr>
            <w:numFmt w:val="decimal"/>
          </w:endnotePr>
          <w:type w:val="continuous"/>
          <w:pgSz w:w="12240" w:h="15840" w:code="1"/>
          <w:pgMar w:top="1742" w:right="1195" w:bottom="1901" w:left="1195" w:header="576" w:footer="1037" w:gutter="0"/>
          <w:cols w:num="2" w:space="170"/>
          <w:noEndnote/>
        </w:sectPr>
      </w:pPr>
    </w:p>
    <w:p w:rsidR="00000000" w:rsidRDefault="00000000">
      <w:pPr>
        <w:spacing w:line="240" w:lineRule="auto"/>
        <w:ind w:left="1264" w:right="1264"/>
      </w:pPr>
      <w:r>
        <w:rPr>
          <w:i/>
        </w:rPr>
        <w:t>Источник:</w:t>
      </w:r>
      <w:r>
        <w:t xml:space="preserve"> Статистическое управление Новой Зеландии</w:t>
      </w:r>
    </w:p>
    <w:p w:rsidR="00000000" w:rsidRDefault="00000000">
      <w:pPr>
        <w:ind w:left="1264" w:right="1264"/>
      </w:pPr>
    </w:p>
    <w:p w:rsidR="00000000" w:rsidRDefault="00000000">
      <w:pPr>
        <w:pStyle w:val="SingleTxt"/>
      </w:pPr>
      <w:r>
        <w:t>Увеличение численности престарелых из числа этнических групп тих</w:t>
      </w:r>
      <w:r>
        <w:t>о</w:t>
      </w:r>
      <w:r>
        <w:t>океанских остров будет также весьма значительным в течение последующих 50 лет, причем доля населения тихоокеанских островов в возрасте 65 лет и старше увеличится более чем на 230 процентов. По имеющимся прогнозам, к 2051 году численность лиц в возрасте 65 лет и старше достигнет 11 процентов от общей численности населения тихоокеанских островов по сравнению с 3 процентами в период переписи населения в 2001 году (Диагра</w:t>
      </w:r>
      <w:r>
        <w:t>м</w:t>
      </w:r>
      <w:r>
        <w:t>ма 3).</w:t>
      </w:r>
    </w:p>
    <w:p w:rsidR="00000000" w:rsidRDefault="00000000">
      <w:pPr>
        <w:pStyle w:val="SingleTxt"/>
        <w:ind w:firstLine="0"/>
        <w:rPr>
          <w:b/>
        </w:rPr>
      </w:pPr>
      <w:r>
        <w:br w:type="page"/>
      </w:r>
      <w:r>
        <w:rPr>
          <w:b/>
        </w:rPr>
        <w:t xml:space="preserve">Диаграмма 3: Динамика численности населения тихоокеанских островов </w:t>
      </w:r>
      <w:r>
        <w:rPr>
          <w:b/>
        </w:rPr>
        <w:br/>
        <w:t>в 2001 и 2051 годах в разбивке по во</w:t>
      </w:r>
      <w:r>
        <w:rPr>
          <w:b/>
        </w:rPr>
        <w:t>з</w:t>
      </w:r>
      <w:r>
        <w:rPr>
          <w:b/>
        </w:rPr>
        <w:t>расту и полу</w:t>
      </w:r>
    </w:p>
    <w:p w:rsidR="00000000" w:rsidRDefault="00000000">
      <w:pPr>
        <w:pStyle w:val="SingleTxt"/>
        <w:spacing w:line="200" w:lineRule="exact"/>
        <w:ind w:firstLine="0"/>
        <w:jc w:val="left"/>
        <w:rPr>
          <w:b/>
        </w:rPr>
      </w:pPr>
    </w:p>
    <w:p w:rsidR="00000000" w:rsidRDefault="00000000">
      <w:pPr>
        <w:pStyle w:val="SingleTxt"/>
        <w:spacing w:line="200" w:lineRule="exact"/>
        <w:ind w:firstLine="0"/>
        <w:jc w:val="left"/>
        <w:rPr>
          <w:b/>
        </w:rPr>
        <w:sectPr w:rsidR="00000000">
          <w:headerReference w:type="even" r:id="rId33"/>
          <w:headerReference w:type="default" r:id="rId34"/>
          <w:footerReference w:type="even" r:id="rId35"/>
          <w:footerReference w:type="default" r:id="rId36"/>
          <w:endnotePr>
            <w:numFmt w:val="decimal"/>
          </w:endnotePr>
          <w:type w:val="continuous"/>
          <w:pgSz w:w="12240" w:h="15840" w:code="1"/>
          <w:pgMar w:top="1742" w:right="1195" w:bottom="1901" w:left="1195" w:header="576" w:footer="1037" w:gutter="0"/>
          <w:cols w:space="720"/>
          <w:noEndnote/>
        </w:sectPr>
      </w:pPr>
    </w:p>
    <w:p w:rsidR="00000000" w:rsidRDefault="00000000">
      <w:pPr>
        <w:pStyle w:val="SingleTxt"/>
        <w:spacing w:after="0" w:line="240" w:lineRule="auto"/>
        <w:ind w:firstLine="0"/>
        <w:rPr>
          <w:b/>
        </w:rPr>
      </w:pPr>
      <w:r>
        <w:rPr>
          <w:b/>
        </w:rPr>
        <w:t>2001 год</w:t>
      </w:r>
      <w:r>
        <w:rPr>
          <w:b/>
          <w:vertAlign w:val="superscript"/>
        </w:rPr>
        <w:t>(1)</w:t>
      </w:r>
    </w:p>
    <w:p w:rsidR="00000000" w:rsidRDefault="00000000">
      <w:pPr>
        <w:spacing w:line="240" w:lineRule="auto"/>
        <w:ind w:left="1264"/>
      </w:pPr>
      <w:r>
        <w:object w:dxaOrig="3557" w:dyaOrig="3794">
          <v:shape id="_x0000_i1029" type="#_x0000_t75" style="width:177.75pt;height:189.75pt" o:ole="">
            <v:imagedata r:id="rId37" o:title=""/>
          </v:shape>
          <o:OLEObject Type="Embed" ProgID="MSGraph.Chart.8" ShapeID="_x0000_i1029" DrawAspect="Content" ObjectID="_1395247600" r:id="rId38">
            <o:FieldCodes>\s</o:FieldCodes>
          </o:OLEObject>
        </w:object>
      </w:r>
    </w:p>
    <w:p w:rsidR="00000000" w:rsidRDefault="00000000">
      <w:pPr>
        <w:spacing w:line="180" w:lineRule="exact"/>
        <w:ind w:left="1560" w:hanging="296"/>
        <w:jc w:val="both"/>
        <w:rPr>
          <w:sz w:val="17"/>
        </w:rPr>
      </w:pPr>
      <w:r>
        <w:t>(1)</w:t>
      </w:r>
      <w:r>
        <w:tab/>
      </w:r>
      <w:r>
        <w:rPr>
          <w:sz w:val="17"/>
        </w:rPr>
        <w:t>Перепись населения и жилого фонда 2001 года, охватывающая преимущес</w:t>
      </w:r>
      <w:r>
        <w:rPr>
          <w:sz w:val="17"/>
        </w:rPr>
        <w:t>т</w:t>
      </w:r>
      <w:r>
        <w:rPr>
          <w:sz w:val="17"/>
        </w:rPr>
        <w:t>венно постоянных жителей этнических групп тихоокеа</w:t>
      </w:r>
      <w:r>
        <w:rPr>
          <w:sz w:val="17"/>
        </w:rPr>
        <w:t>н</w:t>
      </w:r>
      <w:r>
        <w:rPr>
          <w:sz w:val="17"/>
        </w:rPr>
        <w:t>ских островов</w:t>
      </w:r>
    </w:p>
    <w:p w:rsidR="00000000" w:rsidRDefault="00000000">
      <w:pPr>
        <w:pStyle w:val="BodyTextIndent2"/>
        <w:spacing w:line="180" w:lineRule="exact"/>
        <w:ind w:left="1559" w:hanging="295"/>
        <w:rPr>
          <w:sz w:val="17"/>
        </w:rPr>
      </w:pPr>
    </w:p>
    <w:p w:rsidR="00000000" w:rsidRDefault="00000000">
      <w:pPr>
        <w:pStyle w:val="SingleTxt"/>
        <w:spacing w:after="0" w:line="240" w:lineRule="auto"/>
        <w:ind w:left="0" w:right="0" w:firstLine="0"/>
        <w:rPr>
          <w:b/>
        </w:rPr>
      </w:pPr>
      <w:r>
        <w:rPr>
          <w:sz w:val="16"/>
        </w:rPr>
        <w:br w:type="column"/>
      </w:r>
      <w:r>
        <w:rPr>
          <w:b/>
        </w:rPr>
        <w:t>2051 год</w:t>
      </w:r>
      <w:r>
        <w:rPr>
          <w:b/>
          <w:vertAlign w:val="superscript"/>
        </w:rPr>
        <w:t>(2)</w:t>
      </w:r>
    </w:p>
    <w:p w:rsidR="00000000" w:rsidRDefault="00000000">
      <w:pPr>
        <w:spacing w:line="240" w:lineRule="auto"/>
      </w:pPr>
      <w:r>
        <w:object w:dxaOrig="3557" w:dyaOrig="3794">
          <v:shape id="_x0000_i1030" type="#_x0000_t75" style="width:177.75pt;height:189.75pt" o:ole="">
            <v:imagedata r:id="rId39" o:title=""/>
          </v:shape>
          <o:OLEObject Type="Embed" ProgID="MSGraph.Chart.8" ShapeID="_x0000_i1030" DrawAspect="Content" ObjectID="_1395247601" r:id="rId40">
            <o:FieldCodes>\s</o:FieldCodes>
          </o:OLEObject>
        </w:object>
      </w:r>
    </w:p>
    <w:p w:rsidR="00000000" w:rsidRDefault="00000000">
      <w:pPr>
        <w:spacing w:line="180" w:lineRule="exact"/>
        <w:ind w:left="284" w:right="1264" w:hanging="284"/>
        <w:jc w:val="both"/>
        <w:rPr>
          <w:sz w:val="17"/>
        </w:rPr>
      </w:pPr>
      <w:r>
        <w:t>(2)</w:t>
      </w:r>
      <w:r>
        <w:tab/>
      </w:r>
      <w:r>
        <w:rPr>
          <w:sz w:val="17"/>
        </w:rPr>
        <w:t>Прогнозируемая численность постоянно проживающего населения (Серия 5: и</w:t>
      </w:r>
      <w:r>
        <w:rPr>
          <w:sz w:val="17"/>
        </w:rPr>
        <w:t>с</w:t>
      </w:r>
      <w:r>
        <w:rPr>
          <w:sz w:val="17"/>
        </w:rPr>
        <w:t>ходя из средних показателей фертильн</w:t>
      </w:r>
      <w:r>
        <w:rPr>
          <w:sz w:val="17"/>
        </w:rPr>
        <w:t>о</w:t>
      </w:r>
      <w:r>
        <w:rPr>
          <w:sz w:val="17"/>
        </w:rPr>
        <w:t>сти, смертности, межэтнической мобил</w:t>
      </w:r>
      <w:r>
        <w:rPr>
          <w:sz w:val="17"/>
        </w:rPr>
        <w:t>ь</w:t>
      </w:r>
      <w:r>
        <w:rPr>
          <w:sz w:val="17"/>
        </w:rPr>
        <w:t>ности, ежегодной чистой миграции чи</w:t>
      </w:r>
      <w:r>
        <w:rPr>
          <w:sz w:val="17"/>
        </w:rPr>
        <w:t>с</w:t>
      </w:r>
      <w:r>
        <w:rPr>
          <w:sz w:val="17"/>
        </w:rPr>
        <w:t>ленностью 5000 человек). Этот прогноз основан на оценочной численности этн</w:t>
      </w:r>
      <w:r>
        <w:rPr>
          <w:sz w:val="17"/>
        </w:rPr>
        <w:t>и</w:t>
      </w:r>
      <w:r>
        <w:rPr>
          <w:sz w:val="17"/>
        </w:rPr>
        <w:t>ческих групп, постоянно проживающих на островах Тихого океана, по состоянию на 30 июня 1996 года.</w:t>
      </w:r>
    </w:p>
    <w:p w:rsidR="00000000" w:rsidRDefault="00000000">
      <w:pPr>
        <w:pStyle w:val="BlockText"/>
        <w:spacing w:line="180" w:lineRule="exact"/>
        <w:jc w:val="left"/>
      </w:pPr>
    </w:p>
    <w:p w:rsidR="00000000" w:rsidRDefault="00000000">
      <w:pPr>
        <w:spacing w:line="240" w:lineRule="auto"/>
        <w:ind w:left="1264" w:right="1264"/>
        <w:sectPr w:rsidR="00000000">
          <w:endnotePr>
            <w:numFmt w:val="decimal"/>
          </w:endnotePr>
          <w:type w:val="continuous"/>
          <w:pgSz w:w="12240" w:h="15840" w:code="1"/>
          <w:pgMar w:top="1742" w:right="1195" w:bottom="1901" w:left="1195" w:header="576" w:footer="1037" w:gutter="0"/>
          <w:cols w:num="2" w:space="170"/>
          <w:noEndnote/>
        </w:sectPr>
      </w:pPr>
    </w:p>
    <w:p w:rsidR="00000000" w:rsidRDefault="00000000">
      <w:pPr>
        <w:spacing w:line="240" w:lineRule="auto"/>
        <w:ind w:left="1264" w:right="1264"/>
      </w:pPr>
      <w:r>
        <w:rPr>
          <w:i/>
        </w:rPr>
        <w:t>Источник:</w:t>
      </w:r>
      <w:r>
        <w:t xml:space="preserve"> Статистическое управление Новой Зеландии</w:t>
      </w:r>
    </w:p>
    <w:p w:rsidR="00000000" w:rsidRDefault="00000000">
      <w:pPr>
        <w:ind w:left="1264" w:right="1264"/>
      </w:pPr>
    </w:p>
    <w:p w:rsidR="00000000" w:rsidRDefault="00000000">
      <w:pPr>
        <w:pStyle w:val="H23"/>
      </w:pPr>
      <w:r>
        <w:t>Новозеландская стратегия улучшения положения престарелых</w:t>
      </w:r>
    </w:p>
    <w:p w:rsidR="00000000" w:rsidRDefault="00000000">
      <w:pPr>
        <w:pStyle w:val="SingleTxt"/>
      </w:pPr>
      <w:r>
        <w:t>Стратегия улучшения положения престарелых, осуществление которой было развернуто правительством в апреле 2001 года, направлена на расшир</w:t>
      </w:r>
      <w:r>
        <w:t>е</w:t>
      </w:r>
      <w:r>
        <w:t>ние возможностей престарелых участвовать в жизни общества по своему в</w:t>
      </w:r>
      <w:r>
        <w:t>ы</w:t>
      </w:r>
      <w:r>
        <w:t>бору. Такая задача будет решаться путем выявления барьеров на пути участия и сотрудничества со всеми секторами с целью разработки мер, направленных на устранение этих барьеров, с учетом баланса потребностей престарелых и п</w:t>
      </w:r>
      <w:r>
        <w:t>о</w:t>
      </w:r>
      <w:r>
        <w:t>требностей молодежи и будущих пок</w:t>
      </w:r>
      <w:r>
        <w:t>о</w:t>
      </w:r>
      <w:r>
        <w:t>лений.</w:t>
      </w:r>
    </w:p>
    <w:p w:rsidR="00000000" w:rsidRDefault="00000000">
      <w:pPr>
        <w:pStyle w:val="SingleTxt"/>
      </w:pPr>
      <w:r>
        <w:t>В этой стратегии содержится концептуальная основа разработки всех н</w:t>
      </w:r>
      <w:r>
        <w:t>а</w:t>
      </w:r>
      <w:r>
        <w:t>правлений политики с вытекающими последствиями для престарелых. Эта концептуальная основа включает целый ряд принципов, в том числе учет ра</w:t>
      </w:r>
      <w:r>
        <w:t>з</w:t>
      </w:r>
      <w:r>
        <w:t>личных проблем, с которыми сталкиваются мужчины и женщины, с тем чтобы различные правительственные учреждения ориентировались на них при разр</w:t>
      </w:r>
      <w:r>
        <w:t>а</w:t>
      </w:r>
      <w:r>
        <w:t>ботке направлений политики и услуг. Кроме того, в ней определены ключевые области, которые обладают потенциалом для улучшения положения престар</w:t>
      </w:r>
      <w:r>
        <w:t>е</w:t>
      </w:r>
      <w:r>
        <w:t>лых.</w:t>
      </w:r>
    </w:p>
    <w:p w:rsidR="00000000" w:rsidRDefault="00000000">
      <w:pPr>
        <w:pStyle w:val="SingleTxt"/>
      </w:pPr>
      <w:r>
        <w:t>Для осуществления стратегии улучшения положения престарелых был разработан план действий на период 2001-2002 годов. Этот план действий пр</w:t>
      </w:r>
      <w:r>
        <w:t>е</w:t>
      </w:r>
      <w:r>
        <w:t>дусматривает выполнение различных элементов работы, которые согласованы руководителями различных правительственных учреждений, и направлены на решение вопросов, возникших в ходе консультаций с общественностью по в</w:t>
      </w:r>
      <w:r>
        <w:t>о</w:t>
      </w:r>
      <w:r>
        <w:t>просам выполнения этой стратегии, а также на удовлетворение потребностей престарелых. В настоящее время министерство социального развития подг</w:t>
      </w:r>
      <w:r>
        <w:t>о</w:t>
      </w:r>
      <w:r>
        <w:t>тавливает годовой доклад о ходе осуществления каждого элемента работы эт</w:t>
      </w:r>
      <w:r>
        <w:t>о</w:t>
      </w:r>
      <w:r>
        <w:t>го плана. Кроме т</w:t>
      </w:r>
      <w:r>
        <w:t>о</w:t>
      </w:r>
      <w:r>
        <w:t>го, разрабатывается план действий на период 2002-2003 годов, включая элементы работы, которые направлены на решение ко</w:t>
      </w:r>
      <w:r>
        <w:t>н</w:t>
      </w:r>
      <w:r>
        <w:t>кретных вопросов, связанных с положением престарелых женщин.</w:t>
      </w:r>
    </w:p>
    <w:p w:rsidR="00000000" w:rsidRDefault="00000000">
      <w:pPr>
        <w:pStyle w:val="H1"/>
      </w:pPr>
      <w:r>
        <w:t>Библиография</w:t>
      </w:r>
    </w:p>
    <w:p w:rsidR="00000000" w:rsidRDefault="00000000">
      <w:pPr>
        <w:pStyle w:val="SingleTxt"/>
        <w:ind w:left="1740" w:hanging="476"/>
      </w:pPr>
      <w:r>
        <w:rPr>
          <w:i/>
        </w:rPr>
        <w:t>Cabinet Office Circular,</w:t>
      </w:r>
      <w:r>
        <w:t xml:space="preserve"> CO (02) 2, 2002, Wellington.</w:t>
      </w:r>
    </w:p>
    <w:p w:rsidR="00000000" w:rsidRDefault="00000000">
      <w:pPr>
        <w:pStyle w:val="SingleTxt"/>
        <w:ind w:left="1740" w:hanging="476"/>
      </w:pPr>
      <w:r>
        <w:t xml:space="preserve">Ministry of Health, 2001. </w:t>
      </w:r>
      <w:r>
        <w:rPr>
          <w:i/>
        </w:rPr>
        <w:t>The New Zealand Disability Strategy, Making a World of Difference: Whakanui Oranga,</w:t>
      </w:r>
      <w:r>
        <w:t xml:space="preserve"> Wellington.</w:t>
      </w:r>
    </w:p>
    <w:p w:rsidR="00000000" w:rsidRDefault="00000000">
      <w:pPr>
        <w:pStyle w:val="SingleTxt"/>
        <w:ind w:left="1740" w:hanging="476"/>
      </w:pPr>
      <w:r>
        <w:t xml:space="preserve">Ministry of Social Policy, 2001, </w:t>
      </w:r>
      <w:r>
        <w:rPr>
          <w:i/>
        </w:rPr>
        <w:t>The New Zealand Positive Ageing Strategy,</w:t>
      </w:r>
      <w:r>
        <w:t xml:space="preserve"> Wellington.</w:t>
      </w:r>
    </w:p>
    <w:p w:rsidR="00000000" w:rsidRDefault="00000000">
      <w:pPr>
        <w:pStyle w:val="SingleTxt"/>
        <w:ind w:left="1740" w:hanging="476"/>
      </w:pPr>
      <w:r>
        <w:t xml:space="preserve">Ministry of Social Policy, 2001, </w:t>
      </w:r>
      <w:r>
        <w:rPr>
          <w:i/>
        </w:rPr>
        <w:t>The New Zealand Positive Ageing Strategy: Action Plan 1 July 2001 to 30 June 2002,</w:t>
      </w:r>
      <w:r>
        <w:t xml:space="preserve"> Wellington.</w:t>
      </w:r>
    </w:p>
    <w:p w:rsidR="00000000" w:rsidRDefault="00000000">
      <w:pPr>
        <w:pStyle w:val="SingleTxt"/>
        <w:ind w:left="1740" w:hanging="476"/>
      </w:pPr>
      <w:r>
        <w:t xml:space="preserve">Ministry of Women’s Affairs, 2001, </w:t>
      </w:r>
      <w:r>
        <w:rPr>
          <w:i/>
        </w:rPr>
        <w:t xml:space="preserve">Statement of Intent 2002-2005, </w:t>
      </w:r>
      <w:r>
        <w:t>Wellington.</w:t>
      </w:r>
    </w:p>
    <w:p w:rsidR="00000000" w:rsidRDefault="00000000">
      <w:pPr>
        <w:pStyle w:val="SingleTxt"/>
        <w:ind w:left="1740" w:hanging="476"/>
      </w:pPr>
      <w:r>
        <w:t xml:space="preserve">Ministry of Women’s Affairs, 2001, </w:t>
      </w:r>
      <w:r>
        <w:rPr>
          <w:i/>
        </w:rPr>
        <w:t xml:space="preserve">Pänui, </w:t>
      </w:r>
      <w:r>
        <w:t>September, Wellington.</w:t>
      </w:r>
    </w:p>
    <w:p w:rsidR="00000000" w:rsidRDefault="00000000">
      <w:pPr>
        <w:pStyle w:val="HCh"/>
      </w:pPr>
      <w:r>
        <w:br w:type="page"/>
      </w:r>
      <w:bookmarkStart w:id="15" w:name="_Toc30302880"/>
      <w:r>
        <w:t>Статья 4</w:t>
      </w:r>
      <w:bookmarkEnd w:id="15"/>
    </w:p>
    <w:p w:rsidR="00000000" w:rsidRDefault="00000000">
      <w:pPr>
        <w:pStyle w:val="HCh"/>
      </w:pPr>
      <w:bookmarkStart w:id="16" w:name="_Toc30302881"/>
      <w:r>
        <w:t>Ускорение установления равенства между мужчинами и женщинами</w:t>
      </w:r>
      <w:bookmarkEnd w:id="16"/>
    </w:p>
    <w:p w:rsidR="00000000" w:rsidRDefault="00000000">
      <w:pPr>
        <w:pStyle w:val="SingleTxt"/>
        <w:ind w:left="1740" w:hanging="476"/>
        <w:rPr>
          <w:i/>
        </w:rPr>
      </w:pPr>
      <w:r>
        <w:tab/>
      </w:r>
      <w:r>
        <w:rPr>
          <w:i/>
        </w:rPr>
        <w:t>1.</w:t>
      </w:r>
      <w:r>
        <w:rPr>
          <w:i/>
        </w:rPr>
        <w:tab/>
        <w:t>Принятие Государствами-участниками временных специальных мер, н</w:t>
      </w:r>
      <w:r>
        <w:rPr>
          <w:i/>
        </w:rPr>
        <w:t>а</w:t>
      </w:r>
      <w:r>
        <w:rPr>
          <w:i/>
        </w:rPr>
        <w:t>правленных на ускорение установления фактического равенства между мужчинами и женщинами, не считается, как это определяется насто</w:t>
      </w:r>
      <w:r>
        <w:rPr>
          <w:i/>
        </w:rPr>
        <w:t>я</w:t>
      </w:r>
      <w:r>
        <w:rPr>
          <w:i/>
        </w:rPr>
        <w:t>щей Конвенцией, дискриминационным, однако оно ни в коей мере не должно влечь за собой сохранение неравноправных или дифференцирова</w:t>
      </w:r>
      <w:r>
        <w:rPr>
          <w:i/>
        </w:rPr>
        <w:t>н</w:t>
      </w:r>
      <w:r>
        <w:rPr>
          <w:i/>
        </w:rPr>
        <w:t>ных стандартов; эти меры должны быть отменены, когда будут до</w:t>
      </w:r>
      <w:r>
        <w:rPr>
          <w:i/>
        </w:rPr>
        <w:t>с</w:t>
      </w:r>
      <w:r>
        <w:rPr>
          <w:i/>
        </w:rPr>
        <w:t>тигнуты цели равенства возможностей и ра</w:t>
      </w:r>
      <w:r>
        <w:rPr>
          <w:i/>
        </w:rPr>
        <w:t>в</w:t>
      </w:r>
      <w:r>
        <w:rPr>
          <w:i/>
        </w:rPr>
        <w:t>ноправного отношения.</w:t>
      </w:r>
    </w:p>
    <w:p w:rsidR="00000000" w:rsidRDefault="00000000">
      <w:pPr>
        <w:pStyle w:val="SingleTxt"/>
        <w:ind w:left="1740" w:hanging="476"/>
        <w:rPr>
          <w:i/>
        </w:rPr>
      </w:pPr>
      <w:r>
        <w:rPr>
          <w:i/>
        </w:rPr>
        <w:t>2.</w:t>
      </w:r>
      <w:r>
        <w:rPr>
          <w:i/>
        </w:rPr>
        <w:tab/>
        <w:t>Принятие Государствами-участниками специальных мер, направленных на охрану материнства, включая меры, содержащиеся в настоящей Ко</w:t>
      </w:r>
      <w:r>
        <w:rPr>
          <w:i/>
        </w:rPr>
        <w:t>н</w:t>
      </w:r>
      <w:r>
        <w:rPr>
          <w:i/>
        </w:rPr>
        <w:t>ве</w:t>
      </w:r>
      <w:r>
        <w:rPr>
          <w:i/>
        </w:rPr>
        <w:t>н</w:t>
      </w:r>
      <w:r>
        <w:rPr>
          <w:i/>
        </w:rPr>
        <w:t>ции, не считается дискриминационным.</w:t>
      </w:r>
    </w:p>
    <w:p w:rsidR="00000000" w:rsidRDefault="00000000">
      <w:pPr>
        <w:pStyle w:val="H1"/>
      </w:pPr>
      <w:r>
        <w:t>Равные возможности в области занятости</w:t>
      </w:r>
    </w:p>
    <w:p w:rsidR="00000000" w:rsidRDefault="00000000">
      <w:pPr>
        <w:pStyle w:val="SingleTxt"/>
      </w:pPr>
      <w:r>
        <w:t>Подробная информация о равных возможностях в области занятости для снижения уровня систематически практикуемой дискриминации в отношении ряда групп, включая женщин, приводится в связи со статьей 11: Занятость, стр. 99-101.</w:t>
      </w:r>
    </w:p>
    <w:p w:rsidR="00000000" w:rsidRDefault="00000000">
      <w:pPr>
        <w:pStyle w:val="H1"/>
      </w:pPr>
      <w:r>
        <w:t>Временные меры</w:t>
      </w:r>
    </w:p>
    <w:p w:rsidR="00000000" w:rsidRDefault="00000000">
      <w:pPr>
        <w:pStyle w:val="SingleTxt"/>
      </w:pPr>
      <w:r>
        <w:t>Закон 1993 года о правах человека предусматривает защиту временных мер, при условии, что они принимаются для оказания содействия лицам или группам лиц, в отношении которых дискриминация была бы незаконной и к</w:t>
      </w:r>
      <w:r>
        <w:t>о</w:t>
      </w:r>
      <w:r>
        <w:t xml:space="preserve">торые могут нуждаться в помощи или поддержке, для того чтобы добиться равных с другими членами общества прав. Кроме того, </w:t>
      </w:r>
      <w:r>
        <w:rPr>
          <w:caps/>
        </w:rPr>
        <w:t>з</w:t>
      </w:r>
      <w:r>
        <w:t>акон гласит, что пр</w:t>
      </w:r>
      <w:r>
        <w:t>е</w:t>
      </w:r>
      <w:r>
        <w:t>ференциальный режим для женщин в связи с беременностью или родами или лиц, присматривающих за детьми или другими иждивенцами в течение полного или неполного рабочего дня, не квалифицируется дискриминацией в наруш</w:t>
      </w:r>
      <w:r>
        <w:t>е</w:t>
      </w:r>
      <w:r>
        <w:t>ние части II Закона с момента представления последнего периодического до</w:t>
      </w:r>
      <w:r>
        <w:t>к</w:t>
      </w:r>
      <w:r>
        <w:t xml:space="preserve">лада. Эти положения рассматриваемого </w:t>
      </w:r>
      <w:r>
        <w:rPr>
          <w:caps/>
        </w:rPr>
        <w:t>з</w:t>
      </w:r>
      <w:r>
        <w:t>акона не претерпели каких-либо и</w:t>
      </w:r>
      <w:r>
        <w:t>з</w:t>
      </w:r>
      <w:r>
        <w:t>менений.</w:t>
      </w:r>
    </w:p>
    <w:p w:rsidR="00000000" w:rsidRDefault="00000000">
      <w:pPr>
        <w:pStyle w:val="H1"/>
      </w:pPr>
      <w:r>
        <w:t>Охрана материнства</w:t>
      </w:r>
    </w:p>
    <w:p w:rsidR="00000000" w:rsidRDefault="00000000">
      <w:pPr>
        <w:pStyle w:val="SingleTxt"/>
      </w:pPr>
      <w:r>
        <w:t>Более подробно о системе оплачиваемого отпуска по уходу за детьми см. Статья 11: Занятость, стр. 99.</w:t>
      </w:r>
    </w:p>
    <w:p w:rsidR="00000000" w:rsidRDefault="00000000">
      <w:pPr>
        <w:pStyle w:val="H1"/>
        <w:ind w:left="1264" w:firstLine="0"/>
      </w:pPr>
      <w:r>
        <w:t>Меры по устранению барьеров на пути обеспечения равенства в области занятости</w:t>
      </w:r>
    </w:p>
    <w:p w:rsidR="00000000" w:rsidRDefault="00000000">
      <w:pPr>
        <w:ind w:left="1264" w:right="1264"/>
      </w:pPr>
      <w:r>
        <w:t>См. Статья 11: Занятость, стр. 99-102.</w:t>
      </w:r>
    </w:p>
    <w:p w:rsidR="00000000" w:rsidRDefault="00000000">
      <w:pPr>
        <w:pStyle w:val="HCh"/>
      </w:pPr>
      <w:bookmarkStart w:id="17" w:name="_Toc30302882"/>
      <w:r>
        <w:t>Статья 5</w:t>
      </w:r>
      <w:bookmarkEnd w:id="17"/>
    </w:p>
    <w:p w:rsidR="00000000" w:rsidRDefault="00000000">
      <w:pPr>
        <w:pStyle w:val="HCh"/>
      </w:pPr>
      <w:bookmarkStart w:id="18" w:name="_Toc30302883"/>
      <w:r>
        <w:t>Роль мужчин и женщин и ее стереотипное изображение</w:t>
      </w:r>
      <w:bookmarkEnd w:id="18"/>
    </w:p>
    <w:p w:rsidR="00000000" w:rsidRDefault="00000000">
      <w:pPr>
        <w:pStyle w:val="SingleTxt"/>
        <w:ind w:left="1740" w:hanging="476"/>
        <w:rPr>
          <w:i/>
        </w:rPr>
      </w:pPr>
      <w:r>
        <w:tab/>
      </w:r>
      <w:r>
        <w:rPr>
          <w:i/>
        </w:rPr>
        <w:tab/>
        <w:t>Государства-участники принимают все соответствующие меры с целью:</w:t>
      </w:r>
    </w:p>
    <w:p w:rsidR="00000000" w:rsidRDefault="00000000">
      <w:pPr>
        <w:pStyle w:val="SingleTxt"/>
        <w:ind w:left="2217" w:hanging="953"/>
        <w:rPr>
          <w:i/>
        </w:rPr>
      </w:pPr>
      <w:r>
        <w:rPr>
          <w:i/>
        </w:rPr>
        <w:tab/>
      </w:r>
      <w:r>
        <w:rPr>
          <w:i/>
        </w:rPr>
        <w:tab/>
        <w:t xml:space="preserve">a) </w:t>
      </w:r>
      <w:r>
        <w:rPr>
          <w:i/>
        </w:rPr>
        <w:tab/>
        <w:t>изменить социальные и культурные модели поведения мужчин и женщин и достижения искоренения предрассудков, упразднения обычаев и все прочей практики, которые основаны на идее неполн</w:t>
      </w:r>
      <w:r>
        <w:rPr>
          <w:i/>
        </w:rPr>
        <w:t>о</w:t>
      </w:r>
      <w:r>
        <w:rPr>
          <w:i/>
        </w:rPr>
        <w:t>ценности и превосходства одного из полов или стереотипности р</w:t>
      </w:r>
      <w:r>
        <w:rPr>
          <w:i/>
        </w:rPr>
        <w:t>о</w:t>
      </w:r>
      <w:r>
        <w:rPr>
          <w:i/>
        </w:rPr>
        <w:t>ли мужчин и женщин;</w:t>
      </w:r>
    </w:p>
    <w:p w:rsidR="00000000" w:rsidRDefault="00000000">
      <w:pPr>
        <w:pStyle w:val="SingleTxt"/>
        <w:ind w:left="2217" w:hanging="953"/>
        <w:rPr>
          <w:i/>
        </w:rPr>
      </w:pPr>
      <w:r>
        <w:rPr>
          <w:i/>
        </w:rPr>
        <w:tab/>
      </w:r>
      <w:r>
        <w:rPr>
          <w:i/>
        </w:rPr>
        <w:tab/>
        <w:t xml:space="preserve">b) </w:t>
      </w:r>
      <w:r>
        <w:rPr>
          <w:i/>
        </w:rPr>
        <w:tab/>
        <w:t>обеспечить, чтобы семейное воспитание включало правильное п</w:t>
      </w:r>
      <w:r>
        <w:rPr>
          <w:i/>
        </w:rPr>
        <w:t>о</w:t>
      </w:r>
      <w:r>
        <w:rPr>
          <w:i/>
        </w:rPr>
        <w:t>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w:t>
      </w:r>
      <w:r>
        <w:rPr>
          <w:i/>
        </w:rPr>
        <w:t>я</w:t>
      </w:r>
      <w:r>
        <w:rPr>
          <w:i/>
        </w:rPr>
        <w:t>ются преобладающими.</w:t>
      </w:r>
    </w:p>
    <w:p w:rsidR="00000000" w:rsidRDefault="00000000">
      <w:pPr>
        <w:pStyle w:val="H1"/>
      </w:pPr>
      <w:r>
        <w:t>Семейная жизнь</w:t>
      </w:r>
    </w:p>
    <w:p w:rsidR="00000000" w:rsidRDefault="00000000">
      <w:pPr>
        <w:pStyle w:val="SingleTxt"/>
      </w:pPr>
      <w:r>
        <w:t>Более подробно о неоплачиваемом труде женщин в семье см. Статья 2: Ант</w:t>
      </w:r>
      <w:r>
        <w:t>и</w:t>
      </w:r>
      <w:r>
        <w:t>дискриминационные меры, стр. 32-34.</w:t>
      </w:r>
    </w:p>
    <w:p w:rsidR="00000000" w:rsidRDefault="00000000">
      <w:pPr>
        <w:pStyle w:val="H1"/>
      </w:pPr>
      <w:r>
        <w:t>Цензура</w:t>
      </w:r>
    </w:p>
    <w:p w:rsidR="00000000" w:rsidRDefault="00000000">
      <w:pPr>
        <w:pStyle w:val="SingleTxt"/>
      </w:pPr>
      <w:r>
        <w:t>Вопросами цензуры в Новой Зеландии занимается ряд неправительстве</w:t>
      </w:r>
      <w:r>
        <w:t>н</w:t>
      </w:r>
      <w:r>
        <w:t>ных и правительственных учреждений. Каждое учреждение несет ответстве</w:t>
      </w:r>
      <w:r>
        <w:t>н</w:t>
      </w:r>
      <w:r>
        <w:t>ность за конкретный участок работы в области цензуры. Ниже приводится и</w:t>
      </w:r>
      <w:r>
        <w:t>н</w:t>
      </w:r>
      <w:r>
        <w:t>формация об основных учреждениях, занимающихся вопросами цензуры, а также об их функциях.</w:t>
      </w:r>
    </w:p>
    <w:p w:rsidR="00000000" w:rsidRDefault="00000000">
      <w:pPr>
        <w:pStyle w:val="H23"/>
      </w:pPr>
      <w:r>
        <w:t>Управление по классификации кинофильмов и произведений литературы</w:t>
      </w:r>
    </w:p>
    <w:p w:rsidR="00000000" w:rsidRDefault="00000000">
      <w:pPr>
        <w:pStyle w:val="SingleTxt"/>
      </w:pPr>
      <w:r>
        <w:t>На основании Закона 1993 года о классификации кинофильмов, видеоз</w:t>
      </w:r>
      <w:r>
        <w:t>а</w:t>
      </w:r>
      <w:r>
        <w:t>писей и публикаций было учреждено Управление по вопросам классификации для категоризации представляемых ему публикаций. Публикации могут пре</w:t>
      </w:r>
      <w:r>
        <w:t>д</w:t>
      </w:r>
      <w:r>
        <w:t>ставлять печатные издания, работники правоохранительных органов или пре</w:t>
      </w:r>
      <w:r>
        <w:t>д</w:t>
      </w:r>
      <w:r>
        <w:t>ставители общественности. Помимо своей основной функции, Управление проводит исследования и консультации с представителями общественности и экспертами с целью их информирования о процессе классификации.</w:t>
      </w:r>
    </w:p>
    <w:p w:rsidR="00000000" w:rsidRDefault="00000000">
      <w:pPr>
        <w:pStyle w:val="SingleTxt"/>
      </w:pPr>
      <w:r>
        <w:t>По состоянию на 28 февраля 2002 года штат сотрудников Управления с</w:t>
      </w:r>
      <w:r>
        <w:t>о</w:t>
      </w:r>
      <w:r>
        <w:t>стоял из 21 женщины и 11 мужчин. Вопросами классификации занимаются д</w:t>
      </w:r>
      <w:r>
        <w:t>е</w:t>
      </w:r>
      <w:r>
        <w:t>вять женщин и пять мужчин. Группа управления состоит из четырех женщин и о</w:t>
      </w:r>
      <w:r>
        <w:t>д</w:t>
      </w:r>
      <w:r>
        <w:t>ного мужчины, который является главным цензором.</w:t>
      </w:r>
    </w:p>
    <w:p w:rsidR="00000000" w:rsidRDefault="00000000">
      <w:pPr>
        <w:pStyle w:val="SingleTxt"/>
      </w:pPr>
      <w:r>
        <w:t>Управление проводит исследования, направленные на ознакомление с мнениями новозеландцев по широкому кругу вопросов цензуры, в частности, выясняет, как люди относятся к материалам, которые классифицирует Управл</w:t>
      </w:r>
      <w:r>
        <w:t>е</w:t>
      </w:r>
      <w:r>
        <w:t>ние, как, по их мнению, должны классифицироваться материалы, и какие огр</w:t>
      </w:r>
      <w:r>
        <w:t>а</w:t>
      </w:r>
      <w:r>
        <w:t>ничения должны вводиться в отношении публикации материалов и стоит ли вводить такие ограничения. В период после представления последнего пери</w:t>
      </w:r>
      <w:r>
        <w:t>о</w:t>
      </w:r>
      <w:r>
        <w:t>дического доклада Управление провело следующие иссл</w:t>
      </w:r>
      <w:r>
        <w:t>е</w:t>
      </w:r>
      <w:r>
        <w:t>дования:</w:t>
      </w:r>
    </w:p>
    <w:p w:rsidR="00000000" w:rsidRDefault="00000000">
      <w:pPr>
        <w:pStyle w:val="dot"/>
      </w:pPr>
      <w:r>
        <w:tab/>
      </w:r>
      <w:r>
        <w:tab/>
        <w:t>•</w:t>
      </w:r>
      <w:r>
        <w:tab/>
        <w:t>отношение общества к широкому распространению не прошедших ценз</w:t>
      </w:r>
      <w:r>
        <w:t>у</w:t>
      </w:r>
      <w:r>
        <w:t>ру публикаций (1998/1999 годы);</w:t>
      </w:r>
    </w:p>
    <w:p w:rsidR="00000000" w:rsidRDefault="00000000">
      <w:pPr>
        <w:pStyle w:val="dot"/>
      </w:pPr>
      <w:r>
        <w:tab/>
      </w:r>
      <w:r>
        <w:tab/>
        <w:t>•</w:t>
      </w:r>
      <w:r>
        <w:tab/>
        <w:t>мнение общественности и специалистов о классификации фильмов и в</w:t>
      </w:r>
      <w:r>
        <w:t>и</w:t>
      </w:r>
      <w:r>
        <w:t>деозаписей и присвоении им соответствующих категорий (1999/2000 годы);</w:t>
      </w:r>
    </w:p>
    <w:p w:rsidR="00000000" w:rsidRDefault="00000000">
      <w:pPr>
        <w:pStyle w:val="dot"/>
      </w:pPr>
      <w:r>
        <w:tab/>
      </w:r>
      <w:r>
        <w:tab/>
        <w:t>•</w:t>
      </w:r>
      <w:r>
        <w:tab/>
        <w:t>отношение общественности к видеозаписям открытого сексуального х</w:t>
      </w:r>
      <w:r>
        <w:t>а</w:t>
      </w:r>
      <w:r>
        <w:t>ракт</w:t>
      </w:r>
      <w:r>
        <w:t>е</w:t>
      </w:r>
      <w:r>
        <w:t>ра (2000/2001 годы).</w:t>
      </w:r>
    </w:p>
    <w:p w:rsidR="00000000" w:rsidRDefault="00000000">
      <w:pPr>
        <w:pStyle w:val="SingleTxt"/>
      </w:pPr>
      <w:r>
        <w:t>В ходе проведения этих исследований была предпринята попытка изучить мнения широких слоев общес</w:t>
      </w:r>
      <w:r>
        <w:t>т</w:t>
      </w:r>
      <w:r>
        <w:t>венности с учетом пола, возраста, социально-экономического положения, структуры семьи и, в ряде случаев, географическ</w:t>
      </w:r>
      <w:r>
        <w:t>о</w:t>
      </w:r>
      <w:r>
        <w:t>го района.</w:t>
      </w:r>
    </w:p>
    <w:p w:rsidR="00000000" w:rsidRDefault="00000000">
      <w:pPr>
        <w:pStyle w:val="SingleTxt"/>
      </w:pPr>
      <w:r>
        <w:rPr>
          <w:caps/>
        </w:rPr>
        <w:t>в</w:t>
      </w:r>
      <w:r>
        <w:t xml:space="preserve"> этих исследованиях отражены как расходящиеся, так и совпадающие мнения общественности. Кроме того, в них проводится различие между мн</w:t>
      </w:r>
      <w:r>
        <w:t>е</w:t>
      </w:r>
      <w:r>
        <w:t>ниями различных групп населения (например, женщин, мужчин, культурных и этнических меньшинств) с целью определения точек зрения или преоблада</w:t>
      </w:r>
      <w:r>
        <w:t>ю</w:t>
      </w:r>
      <w:r>
        <w:t>щих мн</w:t>
      </w:r>
      <w:r>
        <w:t>е</w:t>
      </w:r>
      <w:r>
        <w:t>ний конкретных групп населения.</w:t>
      </w:r>
    </w:p>
    <w:p w:rsidR="00000000" w:rsidRDefault="00000000">
      <w:pPr>
        <w:pStyle w:val="SingleTxt"/>
      </w:pPr>
      <w:r>
        <w:t>В докладе о результатах этих исследований 2000 года указывается, что респонденты из числа женщин и престарелых склонны считать, что некоторые образы или сцены следует запретить. Кроме того, было выявлено, что большая часть мужчин и женщин при незначительных разногласиях считают, что нео</w:t>
      </w:r>
      <w:r>
        <w:t>б</w:t>
      </w:r>
      <w:r>
        <w:t>ходимо применять более жесткие ограничения в отношении изображения се</w:t>
      </w:r>
      <w:r>
        <w:t>к</w:t>
      </w:r>
      <w:r>
        <w:t>суальных отношений, прежде всего в отношении сцен сексуального насилия, по сравнению со сценами злоупотребления на</w:t>
      </w:r>
      <w:r>
        <w:t>р</w:t>
      </w:r>
      <w:r>
        <w:t>котиками и насилия.</w:t>
      </w:r>
    </w:p>
    <w:p w:rsidR="00000000" w:rsidRDefault="00000000">
      <w:pPr>
        <w:pStyle w:val="SingleTxt"/>
      </w:pPr>
      <w:r>
        <w:t>В докладе о результатах исследований 2001 года говорится, что, по общ</w:t>
      </w:r>
      <w:r>
        <w:t>е</w:t>
      </w:r>
      <w:r>
        <w:t>му мнению респондентов, по крайней мере некоторые сцены или образы в</w:t>
      </w:r>
      <w:r>
        <w:t>и</w:t>
      </w:r>
      <w:r>
        <w:t>деофильмов унижают достоинство и честь женщин и пронизаны негуманным к ним отношением. В отношении самых унизительных, по мнению респонде</w:t>
      </w:r>
      <w:r>
        <w:t>н</w:t>
      </w:r>
      <w:r>
        <w:t>тов, сцен расхождений во мнениях между женщинами и мужчинами практич</w:t>
      </w:r>
      <w:r>
        <w:t>е</w:t>
      </w:r>
      <w:r>
        <w:t>ски не было. Кроме того, широко признавалось, что определенные видеофил</w:t>
      </w:r>
      <w:r>
        <w:t>ь</w:t>
      </w:r>
      <w:r>
        <w:t>мы могут причинять вред, прежде всего создавая и усиливая искаженную ст</w:t>
      </w:r>
      <w:r>
        <w:t>е</w:t>
      </w:r>
      <w:r>
        <w:t>реотипную роль женщин. Такие видеофильмы могут порождать у мужчин пр</w:t>
      </w:r>
      <w:r>
        <w:t>е</w:t>
      </w:r>
      <w:r>
        <w:t>небрежительное отношение к женщинам в силу искаженного о них предста</w:t>
      </w:r>
      <w:r>
        <w:t>в</w:t>
      </w:r>
      <w:r>
        <w:t>ления. Результаты этих исследований позволят информировать лиц, ответс</w:t>
      </w:r>
      <w:r>
        <w:t>т</w:t>
      </w:r>
      <w:r>
        <w:t>венных за принятие решений, о мнениях общественности по различным вопр</w:t>
      </w:r>
      <w:r>
        <w:t>о</w:t>
      </w:r>
      <w:r>
        <w:t>сам цензуры. Подобные исследования будут продолжены.</w:t>
      </w:r>
    </w:p>
    <w:p w:rsidR="00000000" w:rsidRDefault="00000000">
      <w:pPr>
        <w:pStyle w:val="SingleTxt"/>
      </w:pPr>
      <w:r>
        <w:t>Управление также консультируется с представителями общественности и отдельными специалистами с целью выяснения их мнений относительно ко</w:t>
      </w:r>
      <w:r>
        <w:t>н</w:t>
      </w:r>
      <w:r>
        <w:t>кретных представляемых ему публикаций, в частности, в отношении тех пу</w:t>
      </w:r>
      <w:r>
        <w:t>б</w:t>
      </w:r>
      <w:r>
        <w:t>ликаций, которые порождают проблемы, связанные с изображением роли же</w:t>
      </w:r>
      <w:r>
        <w:t>н</w:t>
      </w:r>
      <w:r>
        <w:t>щин, пр</w:t>
      </w:r>
      <w:r>
        <w:t>е</w:t>
      </w:r>
      <w:r>
        <w:t>жде всего их сексуальности и насилия над женщинами.</w:t>
      </w:r>
    </w:p>
    <w:p w:rsidR="00000000" w:rsidRDefault="00000000">
      <w:pPr>
        <w:pStyle w:val="H23"/>
      </w:pPr>
      <w:r>
        <w:t>Совет по рассмотрению кинофильмов и произведений литературы</w:t>
      </w:r>
    </w:p>
    <w:p w:rsidR="00000000" w:rsidRDefault="00000000">
      <w:pPr>
        <w:pStyle w:val="SingleTxt"/>
      </w:pPr>
      <w:r>
        <w:t>Совет, состоящий из четырех женщин и пяти мужчин, рассматривает р</w:t>
      </w:r>
      <w:r>
        <w:t>е</w:t>
      </w:r>
      <w:r>
        <w:t>шения, принятые Управлением по классификации кинофильмов и произвед</w:t>
      </w:r>
      <w:r>
        <w:t>е</w:t>
      </w:r>
      <w:r>
        <w:t>ний литературы. В настоящее время президентом этого Совета является же</w:t>
      </w:r>
      <w:r>
        <w:t>н</w:t>
      </w:r>
      <w:r>
        <w:t>щина.</w:t>
      </w:r>
    </w:p>
    <w:p w:rsidR="00000000" w:rsidRDefault="00000000">
      <w:pPr>
        <w:pStyle w:val="H23"/>
      </w:pPr>
      <w:r>
        <w:t>Комитет по присвоению категорий кинофильмам и видеофильмам</w:t>
      </w:r>
    </w:p>
    <w:p w:rsidR="00000000" w:rsidRDefault="00000000">
      <w:pPr>
        <w:pStyle w:val="SingleTxt"/>
      </w:pPr>
      <w:r>
        <w:t>Этот комитет уполномочен правительством присваивать кинофильмам и видеофильмам категорию "без ограничений" и обеспечивать распространит</w:t>
      </w:r>
      <w:r>
        <w:t>е</w:t>
      </w:r>
      <w:r>
        <w:t>лей соответствующими обозначениями в виде наклеек. Все члены этого ком</w:t>
      </w:r>
      <w:r>
        <w:t>и</w:t>
      </w:r>
      <w:r>
        <w:t>тета – женщины.</w:t>
      </w:r>
    </w:p>
    <w:p w:rsidR="00000000" w:rsidRDefault="00000000">
      <w:pPr>
        <w:pStyle w:val="H23"/>
      </w:pPr>
      <w:r>
        <w:t>Таможенная служба Новой Зеландии</w:t>
      </w:r>
    </w:p>
    <w:p w:rsidR="00000000" w:rsidRDefault="00000000">
      <w:pPr>
        <w:pStyle w:val="SingleTxt"/>
      </w:pPr>
      <w:r>
        <w:t>Таможенная служба обеспечивает выполнение Закона о классификации на границах Новой Зеландии путем запрета на ввоз запрещенных и потенциально запрещенных публикаций. Под категорию таких публикаций подпадают публ</w:t>
      </w:r>
      <w:r>
        <w:t>и</w:t>
      </w:r>
      <w:r>
        <w:t>кации, которые поощряют или пропагандируют:</w:t>
      </w:r>
    </w:p>
    <w:p w:rsidR="00000000" w:rsidRDefault="00000000">
      <w:pPr>
        <w:pStyle w:val="dot"/>
      </w:pPr>
      <w:r>
        <w:tab/>
      </w:r>
      <w:r>
        <w:tab/>
        <w:t>•</w:t>
      </w:r>
      <w:r>
        <w:tab/>
        <w:t>сексуальную эксплуатацию детей или молодежь;</w:t>
      </w:r>
    </w:p>
    <w:p w:rsidR="00000000" w:rsidRDefault="00000000">
      <w:pPr>
        <w:pStyle w:val="dot"/>
      </w:pPr>
      <w:r>
        <w:tab/>
      </w:r>
      <w:r>
        <w:tab/>
        <w:t>•</w:t>
      </w:r>
      <w:r>
        <w:tab/>
        <w:t>применение насилия или принуждение любого лица к вступлению или к предложению себя к вст</w:t>
      </w:r>
      <w:r>
        <w:t>у</w:t>
      </w:r>
      <w:r>
        <w:t>плению в половые сношения;</w:t>
      </w:r>
    </w:p>
    <w:p w:rsidR="00000000" w:rsidRDefault="00000000">
      <w:pPr>
        <w:pStyle w:val="dot"/>
      </w:pPr>
      <w:r>
        <w:tab/>
      </w:r>
      <w:r>
        <w:tab/>
        <w:t>•</w:t>
      </w:r>
      <w:r>
        <w:tab/>
        <w:t>сексуальные половые сношения с телом умершего лица;</w:t>
      </w:r>
    </w:p>
    <w:p w:rsidR="00000000" w:rsidRDefault="00000000">
      <w:pPr>
        <w:pStyle w:val="dot"/>
      </w:pPr>
      <w:r>
        <w:tab/>
      </w:r>
      <w:r>
        <w:tab/>
        <w:t>•</w:t>
      </w:r>
      <w:r>
        <w:tab/>
        <w:t>использование мочи или экскрементов для показа унижающих достоинс</w:t>
      </w:r>
      <w:r>
        <w:t>т</w:t>
      </w:r>
      <w:r>
        <w:t>во или антигуманных в</w:t>
      </w:r>
      <w:r>
        <w:t>и</w:t>
      </w:r>
      <w:r>
        <w:t>дов поведения или сексуального поведения;</w:t>
      </w:r>
    </w:p>
    <w:p w:rsidR="00000000" w:rsidRDefault="00000000">
      <w:pPr>
        <w:pStyle w:val="dot"/>
      </w:pPr>
      <w:r>
        <w:tab/>
      </w:r>
      <w:r>
        <w:tab/>
        <w:t>•</w:t>
      </w:r>
      <w:r>
        <w:tab/>
        <w:t>скотоложство;</w:t>
      </w:r>
    </w:p>
    <w:p w:rsidR="00000000" w:rsidRDefault="00000000">
      <w:pPr>
        <w:pStyle w:val="dot"/>
      </w:pPr>
      <w:r>
        <w:tab/>
      </w:r>
      <w:r>
        <w:tab/>
        <w:t>•</w:t>
      </w:r>
      <w:r>
        <w:tab/>
        <w:t>акты пыток или подстрекательство к насилию или жестокости в их кра</w:t>
      </w:r>
      <w:r>
        <w:t>й</w:t>
      </w:r>
      <w:r>
        <w:t>ней форме.</w:t>
      </w:r>
    </w:p>
    <w:p w:rsidR="00000000" w:rsidRDefault="00000000">
      <w:pPr>
        <w:pStyle w:val="SingleTxt"/>
      </w:pPr>
      <w:r>
        <w:t>Служба ведет статистику конфискации запрещенных публикаций. Однако в особую категорию выделяются только случаи конфискации материалов, к</w:t>
      </w:r>
      <w:r>
        <w:t>а</w:t>
      </w:r>
      <w:r>
        <w:t>сающихся детской порнографии; все другие категории запрещенных публик</w:t>
      </w:r>
      <w:r>
        <w:t>а</w:t>
      </w:r>
      <w:r>
        <w:t>ций объединяются. Это означает, в частности, что количество конфискаций з</w:t>
      </w:r>
      <w:r>
        <w:t>а</w:t>
      </w:r>
      <w:r>
        <w:t>прещенных публикаций по признаку эксплуатации и порочащего достоинство и честь женщин характера в статистических данных объединяется с количеством конфискаций по другим признакам, например, по признакам содержания в пу</w:t>
      </w:r>
      <w:r>
        <w:t>б</w:t>
      </w:r>
      <w:r>
        <w:t>ликациях сцен насилия или принуждения. Даже если в статистических данных проводилось разграничение между конфискациями по различным признакам, определение количества конфискаций запрещенных публикаций по признаку порочащих достоинство женщин сцен было бы проблематичным, поскольку большинство публикаций, как правило, квалифицируются как запрещенные по нескольким признакам. Так, публикация может быть отнесена к категории з</w:t>
      </w:r>
      <w:r>
        <w:t>а</w:t>
      </w:r>
      <w:r>
        <w:t>прещенных по признаку содержащихся в ней сцен насилия и злоупотребления наркотиками, а также по признаку порочащих достоинство и честь женщин сцен.</w:t>
      </w:r>
    </w:p>
    <w:p w:rsidR="00000000" w:rsidRDefault="00000000">
      <w:pPr>
        <w:pStyle w:val="H23"/>
      </w:pPr>
      <w:r>
        <w:t xml:space="preserve">Министерство внутренних дел – Отдел цензуры и рассмотрения жалоб </w:t>
      </w:r>
    </w:p>
    <w:p w:rsidR="00000000" w:rsidRDefault="00000000">
      <w:pPr>
        <w:pStyle w:val="SingleTxt"/>
      </w:pPr>
      <w:r>
        <w:t>Отдел цензуры и рассмотрения жалоб основное внимание в своей работе уделяет пресечению торговли запрещенными публикациями на основании п</w:t>
      </w:r>
      <w:r>
        <w:t>о</w:t>
      </w:r>
      <w:r>
        <w:t>ложения Закона о классификации. В этом отделе работают шесть мужчин и о</w:t>
      </w:r>
      <w:r>
        <w:t>д</w:t>
      </w:r>
      <w:r>
        <w:t>на женщина. В группе по вопросам политики этого министерства работает один штатный сотрудник, который занимается вопросами политики в области цензуры. Кроме того, министерство внутренних дел сотрудничает с министе</w:t>
      </w:r>
      <w:r>
        <w:t>р</w:t>
      </w:r>
      <w:r>
        <w:t>ством юстиции в вопросах рассмотрения вынесенных наказаний за хранение запр</w:t>
      </w:r>
      <w:r>
        <w:t>е</w:t>
      </w:r>
      <w:r>
        <w:t>щенных публикаций и торговлю ими.</w:t>
      </w:r>
    </w:p>
    <w:p w:rsidR="00000000" w:rsidRDefault="00000000">
      <w:pPr>
        <w:pStyle w:val="SingleTxt"/>
      </w:pPr>
      <w:r>
        <w:t>Как и в случае с Таможенной службой практически невозможно выделить в отдельную категорию статистические данные отдела по публикациям, ко</w:t>
      </w:r>
      <w:r>
        <w:t>н</w:t>
      </w:r>
      <w:r>
        <w:t>кретно затрагивающих женщин. Поэтому ниже приводятся данные о правон</w:t>
      </w:r>
      <w:r>
        <w:t>а</w:t>
      </w:r>
      <w:r>
        <w:t>рушениях, связанных с детской порнографией, многие из которых касаются з</w:t>
      </w:r>
      <w:r>
        <w:t>а</w:t>
      </w:r>
      <w:r>
        <w:t>прещенных публикаций, затрагивающих женщин. Данные приводятся по с</w:t>
      </w:r>
      <w:r>
        <w:t>о</w:t>
      </w:r>
      <w:r>
        <w:t>стоянию на июнь 2002 года:</w:t>
      </w:r>
    </w:p>
    <w:p w:rsidR="00000000" w:rsidRDefault="00000000">
      <w:pPr>
        <w:pStyle w:val="dot"/>
      </w:pPr>
      <w:r>
        <w:tab/>
      </w:r>
      <w:r>
        <w:tab/>
        <w:t>•</w:t>
      </w:r>
      <w:r>
        <w:tab/>
        <w:t>440 новозеландцев были привлечены к ответственности за торговлю з</w:t>
      </w:r>
      <w:r>
        <w:t>а</w:t>
      </w:r>
      <w:r>
        <w:t>прещенными публикаци</w:t>
      </w:r>
      <w:r>
        <w:t>я</w:t>
      </w:r>
      <w:r>
        <w:t>ми;</w:t>
      </w:r>
    </w:p>
    <w:p w:rsidR="00000000" w:rsidRDefault="00000000">
      <w:pPr>
        <w:pStyle w:val="dot"/>
      </w:pPr>
      <w:r>
        <w:tab/>
      </w:r>
      <w:r>
        <w:tab/>
        <w:t>•</w:t>
      </w:r>
      <w:r>
        <w:tab/>
        <w:t>окружные суды рассмотрели свыше 100 дел о запрещенных материалах;</w:t>
      </w:r>
    </w:p>
    <w:p w:rsidR="00000000" w:rsidRDefault="00000000">
      <w:pPr>
        <w:pStyle w:val="dot"/>
      </w:pPr>
      <w:r>
        <w:tab/>
      </w:r>
      <w:r>
        <w:tab/>
        <w:t>•</w:t>
      </w:r>
      <w:r>
        <w:tab/>
        <w:t>в настоящее время на рассмотрении окружных судов находятся 25 дел о запрещенных публикац</w:t>
      </w:r>
      <w:r>
        <w:t>и</w:t>
      </w:r>
      <w:r>
        <w:t>ях;</w:t>
      </w:r>
    </w:p>
    <w:p w:rsidR="00000000" w:rsidRDefault="00000000">
      <w:pPr>
        <w:pStyle w:val="dot"/>
      </w:pPr>
      <w:r>
        <w:tab/>
      </w:r>
      <w:r>
        <w:tab/>
        <w:t>•</w:t>
      </w:r>
      <w:r>
        <w:tab/>
        <w:t>каждые три месяца выявляется до трех новозеландских правонарушит</w:t>
      </w:r>
      <w:r>
        <w:t>е</w:t>
      </w:r>
      <w:r>
        <w:t>лей в сети Интернет.</w:t>
      </w:r>
    </w:p>
    <w:p w:rsidR="00000000" w:rsidRDefault="00000000">
      <w:pPr>
        <w:pStyle w:val="SingleTxt"/>
      </w:pPr>
      <w:r>
        <w:t>Этот отдел является одним из немногих подразделений в международном масштабе, при котором создана специальная группа, занимающаяся предупр</w:t>
      </w:r>
      <w:r>
        <w:t>е</w:t>
      </w:r>
      <w:r>
        <w:t>ждением и раскрытием правонарушений в сети Интернет. Отдел поддерживает связи с зарубежными правоохранительными органами и обеспечивает их оп</w:t>
      </w:r>
      <w:r>
        <w:t>е</w:t>
      </w:r>
      <w:r>
        <w:t>ративно-розыскной информацией для судебного преследования правонаруш</w:t>
      </w:r>
      <w:r>
        <w:t>и</w:t>
      </w:r>
      <w:r>
        <w:t>телей, включая такие организации, как Интерпол, а также власти Соединенных Штатов Америки. Обо всех угрозах любому лицу в сети Интернет или фактах правонарушений сексуального характера, выявленных отделом, сообщается в полицию. Отдел также осуществил следующие проекты.</w:t>
      </w:r>
    </w:p>
    <w:p w:rsidR="00000000" w:rsidRDefault="00000000">
      <w:pPr>
        <w:pStyle w:val="H4"/>
      </w:pPr>
      <w:r>
        <w:t>Экспериментальный проект выявления правонарушителей в сети Инте</w:t>
      </w:r>
      <w:r>
        <w:t>р</w:t>
      </w:r>
      <w:r>
        <w:t>нет</w:t>
      </w:r>
    </w:p>
    <w:p w:rsidR="00000000" w:rsidRDefault="00000000">
      <w:pPr>
        <w:pStyle w:val="SingleTxt"/>
      </w:pPr>
      <w:r>
        <w:t>В настоящее время почти все исследования, касающиеся торговли запр</w:t>
      </w:r>
      <w:r>
        <w:t>е</w:t>
      </w:r>
      <w:r>
        <w:t>щенными материалами через сеть Интернет, касались детей. Рассматриваемый проект также имеет своей целью выявление распространения запрещенных м</w:t>
      </w:r>
      <w:r>
        <w:t>а</w:t>
      </w:r>
      <w:r>
        <w:t>териалов, связанных с физическими и сексуальными злоупотреблениями взрослых, а также деятельностью, порочащей достоинство и честь людей. Р</w:t>
      </w:r>
      <w:r>
        <w:t>е</w:t>
      </w:r>
      <w:r>
        <w:t>зультаты проекта показывают, что большая часть упомянутых материалов з</w:t>
      </w:r>
      <w:r>
        <w:t>а</w:t>
      </w:r>
      <w:r>
        <w:t>трагивает женщин. В ходе осуществления проекта было также выявлено, что характерными особенностями всех подозрительных материалов являются сц</w:t>
      </w:r>
      <w:r>
        <w:t>е</w:t>
      </w:r>
      <w:r>
        <w:t>ны, порочащие достоинство и честь человека. Кроме того, было установлено, что правонарушители проявляют интерес к этим сценам практически во всех запрещенных материалах, что свидетельствует о важности изучения всех таких материалов.</w:t>
      </w:r>
    </w:p>
    <w:p w:rsidR="00000000" w:rsidRDefault="00000000">
      <w:pPr>
        <w:pStyle w:val="SingleTxt"/>
      </w:pPr>
      <w:r>
        <w:t>Работа над этим проектом, который был начат в 2000 году, уже завершена. В настоящее время осуществляется более масштабное исследование с более широкой выборкой. Это исследование позволит глубже понять мотивы прав</w:t>
      </w:r>
      <w:r>
        <w:t>о</w:t>
      </w:r>
      <w:r>
        <w:t>нарушителей, разработать соответствующую политику и внести необходимые изменения в законодательство. Планируется организовать сбор предметной и</w:t>
      </w:r>
      <w:r>
        <w:t>н</w:t>
      </w:r>
      <w:r>
        <w:t>формации о правон</w:t>
      </w:r>
      <w:r>
        <w:t>а</w:t>
      </w:r>
      <w:r>
        <w:t>рушениях на регулярной основе.</w:t>
      </w:r>
    </w:p>
    <w:p w:rsidR="00000000" w:rsidRDefault="00000000">
      <w:pPr>
        <w:pStyle w:val="H4"/>
      </w:pPr>
      <w:r>
        <w:t>Информационно-просветительская работа</w:t>
      </w:r>
    </w:p>
    <w:p w:rsidR="00000000" w:rsidRDefault="00000000">
      <w:pPr>
        <w:pStyle w:val="SingleTxt"/>
      </w:pPr>
      <w:r>
        <w:t>Отдел распространяет информационно-просветительские материалы в школах, касающиеся вопросов безопасного пользования сетью Интернет. И</w:t>
      </w:r>
      <w:r>
        <w:t>н</w:t>
      </w:r>
      <w:r>
        <w:t>тернет-провайдерам было рекомендовано принять кодекс поведения и сотру</w:t>
      </w:r>
      <w:r>
        <w:t>д</w:t>
      </w:r>
      <w:r>
        <w:t>ничать в вопросах предоставления информации и блокировать распростран</w:t>
      </w:r>
      <w:r>
        <w:t>е</w:t>
      </w:r>
      <w:r>
        <w:t>ние запр</w:t>
      </w:r>
      <w:r>
        <w:t>е</w:t>
      </w:r>
      <w:r>
        <w:t>щенных материалов, если таковые будут выявлены.</w:t>
      </w:r>
    </w:p>
    <w:p w:rsidR="00000000" w:rsidRDefault="00000000">
      <w:pPr>
        <w:pStyle w:val="H1"/>
      </w:pPr>
      <w:r>
        <w:t>Реформа политики и законодательства</w:t>
      </w:r>
    </w:p>
    <w:p w:rsidR="00000000" w:rsidRDefault="00000000">
      <w:pPr>
        <w:pStyle w:val="SingleTxt"/>
      </w:pPr>
      <w:r>
        <w:t>За период после представления последнего периодического доклада сущ</w:t>
      </w:r>
      <w:r>
        <w:t>е</w:t>
      </w:r>
      <w:r>
        <w:t>ственных изменений в Закон о классификации внесено не было. Однако Ком</w:t>
      </w:r>
      <w:r>
        <w:t>и</w:t>
      </w:r>
      <w:r>
        <w:t>тет по назначениям сотрудников аппарата правительства в период функцион</w:t>
      </w:r>
      <w:r>
        <w:t>и</w:t>
      </w:r>
      <w:r>
        <w:t>рования парламента предыдущего созыва провел обзор положений этого Закона и связанных с ним вопросов. Комитет не представил доклад о результатах этого обзора до всеобщих выборов 2002 года, и поэтому новый Комитет будет сам решать продолжит ли он это исследование после всеобщих выборов.</w:t>
      </w:r>
    </w:p>
    <w:p w:rsidR="00000000" w:rsidRDefault="00000000">
      <w:pPr>
        <w:pStyle w:val="H1"/>
      </w:pPr>
      <w:r>
        <w:t>Телевидение и радио</w:t>
      </w:r>
    </w:p>
    <w:p w:rsidR="00000000" w:rsidRDefault="00000000">
      <w:pPr>
        <w:pStyle w:val="SingleTxt"/>
      </w:pPr>
      <w:r>
        <w:t>Положения Закона о классификации не распространяются на телевидение и радио, и ни министерство внутренних дел, ни Управление по классификации не имеют полномочий по контролю над вещанием теле- и радиопередач. Тел</w:t>
      </w:r>
      <w:r>
        <w:t>е</w:t>
      </w:r>
      <w:r>
        <w:t>визионные станции находятся в подчинении Управления по стандартам вещ</w:t>
      </w:r>
      <w:r>
        <w:t>а</w:t>
      </w:r>
      <w:r>
        <w:t>ния. Однако телевизионным станциям запрещено без специального разрешения главного цензора показывать запрещенные фильмы или части фильмов, кот</w:t>
      </w:r>
      <w:r>
        <w:t>о</w:t>
      </w:r>
      <w:r>
        <w:t>рые были вырезаны цензурой.</w:t>
      </w:r>
    </w:p>
    <w:p w:rsidR="00000000" w:rsidRDefault="00000000">
      <w:pPr>
        <w:pStyle w:val="H1"/>
      </w:pPr>
      <w:r>
        <w:t>Сексуальные домогательства</w:t>
      </w:r>
    </w:p>
    <w:p w:rsidR="00000000" w:rsidRDefault="00000000">
      <w:pPr>
        <w:ind w:left="1264" w:right="1264"/>
      </w:pPr>
      <w:r>
        <w:t>См. Статья 2: Антидискриминационные меры, стр. 30-31.</w:t>
      </w:r>
    </w:p>
    <w:p w:rsidR="00000000" w:rsidRDefault="00000000">
      <w:pPr>
        <w:pStyle w:val="H1"/>
      </w:pPr>
      <w:r>
        <w:t>Насилие в отношении женщин</w:t>
      </w:r>
    </w:p>
    <w:p w:rsidR="00000000" w:rsidRDefault="00000000">
      <w:pPr>
        <w:ind w:left="1264" w:right="1264"/>
      </w:pPr>
      <w:r>
        <w:t>См. Статья 16: Брак и семейная жизнь, стр. 189-193.</w:t>
      </w:r>
    </w:p>
    <w:p w:rsidR="00000000" w:rsidRDefault="00000000">
      <w:pPr>
        <w:pStyle w:val="HCh"/>
      </w:pPr>
      <w:r>
        <w:br w:type="page"/>
      </w:r>
      <w:bookmarkStart w:id="19" w:name="_Toc30302884"/>
      <w:r>
        <w:t>Статья 6</w:t>
      </w:r>
      <w:bookmarkEnd w:id="19"/>
    </w:p>
    <w:p w:rsidR="00000000" w:rsidRDefault="00000000">
      <w:pPr>
        <w:pStyle w:val="HCh"/>
      </w:pPr>
      <w:bookmarkStart w:id="20" w:name="_Toc30302885"/>
      <w:r>
        <w:t>Пресечение эксплуатации женщин</w:t>
      </w:r>
      <w:bookmarkEnd w:id="20"/>
    </w:p>
    <w:p w:rsidR="00000000" w:rsidRDefault="00000000">
      <w:pPr>
        <w:pStyle w:val="SingleTxt"/>
        <w:ind w:left="1740" w:hanging="476"/>
        <w:rPr>
          <w:i/>
        </w:rPr>
      </w:pPr>
      <w:r>
        <w:rPr>
          <w:i/>
        </w:rPr>
        <w:tab/>
      </w:r>
      <w:r>
        <w:rPr>
          <w:i/>
        </w:rPr>
        <w:tab/>
        <w:t>Государства-участники принимают все соответствующие меры, вкл</w:t>
      </w:r>
      <w:r>
        <w:rPr>
          <w:i/>
        </w:rPr>
        <w:t>ю</w:t>
      </w:r>
      <w:r>
        <w:rPr>
          <w:i/>
        </w:rPr>
        <w:t>чая законодательные, для пресечения всех видов торговли женщинами и эксплуат</w:t>
      </w:r>
      <w:r>
        <w:rPr>
          <w:i/>
        </w:rPr>
        <w:t>а</w:t>
      </w:r>
      <w:r>
        <w:rPr>
          <w:i/>
        </w:rPr>
        <w:t>ции женской проституции</w:t>
      </w:r>
    </w:p>
    <w:p w:rsidR="00000000" w:rsidRDefault="00000000">
      <w:pPr>
        <w:pStyle w:val="H1"/>
        <w:ind w:left="1264" w:firstLine="0"/>
      </w:pPr>
      <w:r>
        <w:t xml:space="preserve">Конвенция мот № 182 о запрещении и немедленных мерах </w:t>
      </w:r>
      <w:r>
        <w:br/>
        <w:t>по искоренению наихудших форм детского труда</w:t>
      </w:r>
    </w:p>
    <w:p w:rsidR="00000000" w:rsidRDefault="00000000">
      <w:pPr>
        <w:pStyle w:val="SingleTxt"/>
      </w:pPr>
      <w:r>
        <w:t>Новая Зеландия ратифицировала Конвенцию МОТ № 182 о запрещении и немедленных мерах по искоренению наихудших форм детского труда 14 июня 2001 года. Эта Конвенция содержит конкретные положения, касающиеся эк</w:t>
      </w:r>
      <w:r>
        <w:t>с</w:t>
      </w:r>
      <w:r>
        <w:t>плуатации детей в форме рабства, проституции, порнографии, использования детей в процессе незаконных видов деятельности и вовлечения детей в де</w:t>
      </w:r>
      <w:r>
        <w:t>я</w:t>
      </w:r>
      <w:r>
        <w:t>тельность, наносящую вред здоровью, безопасности и моральному состоянию ребенка. Правительство Новой Зеландии проделало большой объем работы с целью ратификации этой Конвенции, в частности внесло поправки в соответс</w:t>
      </w:r>
      <w:r>
        <w:t>т</w:t>
      </w:r>
      <w:r>
        <w:t>вующее законодательство, с тем чтобы законодательство Новой Зеландии отв</w:t>
      </w:r>
      <w:r>
        <w:t>е</w:t>
      </w:r>
      <w:r>
        <w:t>чало положениям Конвенции. 3 апреля 2001 года с целью приведения законод</w:t>
      </w:r>
      <w:r>
        <w:t>а</w:t>
      </w:r>
      <w:r>
        <w:t>тельства Новой Зеландии в полное соответствие с упомянутой Конвенции вступил в силу Закон о преступлениях с внесенными в него изменениями. Этот Закон:</w:t>
      </w:r>
    </w:p>
    <w:p w:rsidR="00000000" w:rsidRDefault="00000000">
      <w:pPr>
        <w:pStyle w:val="dot"/>
      </w:pPr>
      <w:r>
        <w:tab/>
      </w:r>
      <w:r>
        <w:tab/>
        <w:t>•</w:t>
      </w:r>
      <w:r>
        <w:tab/>
        <w:t>запрещает заниматься проституцией любым лицам моложе 18 лет;</w:t>
      </w:r>
    </w:p>
    <w:p w:rsidR="00000000" w:rsidRDefault="00000000">
      <w:pPr>
        <w:pStyle w:val="dot"/>
      </w:pPr>
      <w:r>
        <w:tab/>
      </w:r>
      <w:r>
        <w:tab/>
        <w:t>•</w:t>
      </w:r>
      <w:r>
        <w:tab/>
        <w:t>запрещает найм любого лица за денежное вознаграждение для занятия проституцией с другим л</w:t>
      </w:r>
      <w:r>
        <w:t>и</w:t>
      </w:r>
      <w:r>
        <w:t>цом;</w:t>
      </w:r>
    </w:p>
    <w:p w:rsidR="00000000" w:rsidRDefault="00000000">
      <w:pPr>
        <w:pStyle w:val="dot"/>
      </w:pPr>
      <w:r>
        <w:tab/>
      </w:r>
      <w:r>
        <w:tab/>
        <w:t>•</w:t>
      </w:r>
      <w:r>
        <w:tab/>
        <w:t>налагает общий запрет на рабство и долговое рабство.</w:t>
      </w:r>
    </w:p>
    <w:p w:rsidR="00000000" w:rsidRDefault="00000000">
      <w:pPr>
        <w:pStyle w:val="SingleTxt"/>
      </w:pPr>
      <w:r>
        <w:t>Внесенные в законодательство изменения подиктованы необходимость обеспечить особую защиту против сексуальной эксплуатации молодых людей. Изменения отражают также точку зрения о том, что детская проституция явл</w:t>
      </w:r>
      <w:r>
        <w:t>я</w:t>
      </w:r>
      <w:r>
        <w:t>ется одной из наихудших форм детского труда и что все члены общества несут ответс</w:t>
      </w:r>
      <w:r>
        <w:t>т</w:t>
      </w:r>
      <w:r>
        <w:t>венность за недопущение сексуальной эксплуатации детей.</w:t>
      </w:r>
    </w:p>
    <w:p w:rsidR="00000000" w:rsidRDefault="00000000">
      <w:pPr>
        <w:pStyle w:val="H1"/>
        <w:ind w:left="1264" w:firstLine="0"/>
      </w:pPr>
      <w:r>
        <w:t>Факультативный протокол, касающийся торговли детьми, детской проституции и детской порнографии</w:t>
      </w:r>
    </w:p>
    <w:p w:rsidR="00000000" w:rsidRDefault="00000000">
      <w:pPr>
        <w:pStyle w:val="SingleTxt"/>
      </w:pPr>
      <w:r>
        <w:t>В 2000 году Новая Зеландия подписала Факультативный протокол к Ко</w:t>
      </w:r>
      <w:r>
        <w:t>н</w:t>
      </w:r>
      <w:r>
        <w:t>венции о правах ребенка, касающейся торговли детьми, детской проституции и детской порнографии. Этот Факультативный протокол направлен на укрепл</w:t>
      </w:r>
      <w:r>
        <w:t>е</w:t>
      </w:r>
      <w:r>
        <w:t>ние международной правовой защиты детей от сексуальной и других форм эк</w:t>
      </w:r>
      <w:r>
        <w:t>с</w:t>
      </w:r>
      <w:r>
        <w:t>плуатации в различных странах. Протокол обязывает на подписавшее его гос</w:t>
      </w:r>
      <w:r>
        <w:t>у</w:t>
      </w:r>
      <w:r>
        <w:t>дарство обеспечивать, чтобы торговля детьми, детская проституция и детская порнография квалифицировались в качестве преступлений в уголовном закон</w:t>
      </w:r>
      <w:r>
        <w:t>о</w:t>
      </w:r>
      <w:r>
        <w:t>дательстве и чтобы в отношении этих преступлений предусматривалась экстр</w:t>
      </w:r>
      <w:r>
        <w:t>а</w:t>
      </w:r>
      <w:r>
        <w:t>территориальная юрисдикция. В Факультативном протоколе признается, что чаще всего сексуальной эк</w:t>
      </w:r>
      <w:r>
        <w:t>с</w:t>
      </w:r>
      <w:r>
        <w:t>плуатации подвергаются девочки.</w:t>
      </w:r>
    </w:p>
    <w:p w:rsidR="00000000" w:rsidRDefault="00000000">
      <w:pPr>
        <w:pStyle w:val="SingleTxt"/>
      </w:pPr>
      <w:r>
        <w:t>Ратификация со временем этого Факультативного протокола Новой Зела</w:t>
      </w:r>
      <w:r>
        <w:t>н</w:t>
      </w:r>
      <w:r>
        <w:t>дией будет служить подтверждением тому, что правительство придает перв</w:t>
      </w:r>
      <w:r>
        <w:t>о</w:t>
      </w:r>
      <w:r>
        <w:t>очередное значение вопросам прав человека. Работу по обеспечению привед</w:t>
      </w:r>
      <w:r>
        <w:t>е</w:t>
      </w:r>
      <w:r>
        <w:t>ния законодательства и политики Новой Зеландии в соответствие с требов</w:t>
      </w:r>
      <w:r>
        <w:t>а</w:t>
      </w:r>
      <w:r>
        <w:t>ниями Факультативного протокола возглавляет министерство юстиции. Это министерство представило кабинету министров доклад об объеме законод</w:t>
      </w:r>
      <w:r>
        <w:t>а</w:t>
      </w:r>
      <w:r>
        <w:t>тельных изменений, необходимых для ратификации Факультативного проток</w:t>
      </w:r>
      <w:r>
        <w:t>о</w:t>
      </w:r>
      <w:r>
        <w:t>ла в ноябре 2001 года, и его ратификация будет осуществлена после внесения в законод</w:t>
      </w:r>
      <w:r>
        <w:t>а</w:t>
      </w:r>
      <w:r>
        <w:t>тельство соответствующих поправок.</w:t>
      </w:r>
    </w:p>
    <w:p w:rsidR="00000000" w:rsidRDefault="00000000">
      <w:pPr>
        <w:pStyle w:val="H1"/>
        <w:ind w:left="1264" w:firstLine="0"/>
      </w:pPr>
      <w:r>
        <w:t>Национальный план действий Новой Зеландии против сексуальной эксплуатации детей в коммерческих целях</w:t>
      </w:r>
    </w:p>
    <w:p w:rsidR="00000000" w:rsidRDefault="00000000">
      <w:pPr>
        <w:pStyle w:val="SingleTxt"/>
      </w:pPr>
      <w:r>
        <w:t>В 1996 году в Стокгольме проходил Всемирный конгресс против секс</w:t>
      </w:r>
      <w:r>
        <w:t>у</w:t>
      </w:r>
      <w:r>
        <w:t>альной эксплуатации детей в коммерческих целях. Делегаты этого Конгресса единогласно приняли Декларацию и Программу действия, в которых прово</w:t>
      </w:r>
      <w:r>
        <w:t>з</w:t>
      </w:r>
      <w:r>
        <w:t>глаш</w:t>
      </w:r>
      <w:r>
        <w:t>а</w:t>
      </w:r>
      <w:r>
        <w:t>ются комплексные меры, основанные на следующих принципах:</w:t>
      </w:r>
    </w:p>
    <w:p w:rsidR="00000000" w:rsidRDefault="00000000">
      <w:pPr>
        <w:pStyle w:val="dot"/>
      </w:pPr>
      <w:r>
        <w:tab/>
      </w:r>
      <w:r>
        <w:tab/>
        <w:t>•</w:t>
      </w:r>
      <w:r>
        <w:tab/>
        <w:t>координация действий на местном, национальном, региональном и ме</w:t>
      </w:r>
      <w:r>
        <w:t>ж</w:t>
      </w:r>
      <w:r>
        <w:t>дун</w:t>
      </w:r>
      <w:r>
        <w:t>а</w:t>
      </w:r>
      <w:r>
        <w:t>родном уровнях;</w:t>
      </w:r>
    </w:p>
    <w:p w:rsidR="00000000" w:rsidRDefault="00000000">
      <w:pPr>
        <w:pStyle w:val="dot"/>
      </w:pPr>
      <w:r>
        <w:tab/>
      </w:r>
      <w:r>
        <w:tab/>
        <w:t>•</w:t>
      </w:r>
      <w:r>
        <w:tab/>
        <w:t>предотвращение сексуальной эксплуатации детей;</w:t>
      </w:r>
    </w:p>
    <w:p w:rsidR="00000000" w:rsidRDefault="00000000">
      <w:pPr>
        <w:pStyle w:val="dot"/>
      </w:pPr>
      <w:r>
        <w:tab/>
      </w:r>
      <w:r>
        <w:tab/>
        <w:t>•</w:t>
      </w:r>
      <w:r>
        <w:tab/>
        <w:t>защита пострадавших детей;</w:t>
      </w:r>
    </w:p>
    <w:p w:rsidR="00000000" w:rsidRDefault="00000000">
      <w:pPr>
        <w:pStyle w:val="dot"/>
      </w:pPr>
      <w:r>
        <w:tab/>
      </w:r>
      <w:r>
        <w:tab/>
        <w:t>•</w:t>
      </w:r>
      <w:r>
        <w:tab/>
        <w:t>содействие восстановлению здоровья и социальной реинтеграции постр</w:t>
      </w:r>
      <w:r>
        <w:t>а</w:t>
      </w:r>
      <w:r>
        <w:t>давших;</w:t>
      </w:r>
    </w:p>
    <w:p w:rsidR="00000000" w:rsidRDefault="00000000">
      <w:pPr>
        <w:pStyle w:val="dot"/>
      </w:pPr>
      <w:r>
        <w:tab/>
      </w:r>
      <w:r>
        <w:tab/>
        <w:t>•</w:t>
      </w:r>
      <w:r>
        <w:tab/>
        <w:t>участие детей в решении проблемы.</w:t>
      </w:r>
    </w:p>
    <w:p w:rsidR="00000000" w:rsidRDefault="00000000">
      <w:pPr>
        <w:pStyle w:val="SingleTxt"/>
      </w:pPr>
      <w:r>
        <w:t>Правительственные учреждения Новой Зеландии и ключевые неправ</w:t>
      </w:r>
      <w:r>
        <w:t>и</w:t>
      </w:r>
      <w:r>
        <w:t>тельственные организации, а также группа населения, в том числе министерс</w:t>
      </w:r>
      <w:r>
        <w:t>т</w:t>
      </w:r>
      <w:r>
        <w:t>во юстиции, министерство по делам детей, подростков и их семей, полиция Новой Зеландии, департамент внутренних дел, организация "за прекращение детской проституции, порнографии и торговли детьми" (ЭКПАТ), Союз пр</w:t>
      </w:r>
      <w:r>
        <w:t>о</w:t>
      </w:r>
      <w:r>
        <w:t>ституток Новой Зеландии, Комиссия по правам человека совместно разрабат</w:t>
      </w:r>
      <w:r>
        <w:t>ы</w:t>
      </w:r>
      <w:r>
        <w:t>вали Национальный план действий Новой Зеландии против сексуальной эк</w:t>
      </w:r>
      <w:r>
        <w:t>с</w:t>
      </w:r>
      <w:r>
        <w:t>плуатации детей в коммерческих целях. Правительство одобрило План дейс</w:t>
      </w:r>
      <w:r>
        <w:t>т</w:t>
      </w:r>
      <w:r>
        <w:t>вий в октябре 2001 года.</w:t>
      </w:r>
    </w:p>
    <w:p w:rsidR="00000000" w:rsidRDefault="00000000">
      <w:pPr>
        <w:pStyle w:val="SingleTxt"/>
      </w:pPr>
      <w:r>
        <w:t>В Плане действий подробно рассматриваются четыре основные формы эксплуатации детей в коммерческих целях, а именно: детская проституция, детская порнография, детский секс-туризм и торговля детьми в сексуальных целях. В нем изложены меры по предотвращению этих видов деятельности в Новой Зеландии и реагированию на них, которые осуществляются в настоящее время. Кроме того, в нем указаны проблемы, с которыми Новая Зеландия пр</w:t>
      </w:r>
      <w:r>
        <w:t>о</w:t>
      </w:r>
      <w:r>
        <w:t>должает сталкиваться в каждой из названных областей и приводятся рекоме</w:t>
      </w:r>
      <w:r>
        <w:t>н</w:t>
      </w:r>
      <w:r>
        <w:t>дации в отношении будущих действий для решения этих проблем. В Плане действий содержится таблица действий с указанием их целей, соответству</w:t>
      </w:r>
      <w:r>
        <w:t>ю</w:t>
      </w:r>
      <w:r>
        <w:t>щих учреждений по осуществлению и графика осуществления действий.</w:t>
      </w:r>
    </w:p>
    <w:p w:rsidR="00000000" w:rsidRDefault="00000000">
      <w:pPr>
        <w:pStyle w:val="SingleTxt"/>
      </w:pPr>
      <w:r>
        <w:t>Данные о причастности организованных преступных групп к сексуальной эксплуатации детей в коммерческих целях Новой Зеландии отсутствуют. В Плане действий отмечается, что выявление подлинного характера и масштабов такой эксплуатации сопряжено с большими трудностями в силу скрытого х</w:t>
      </w:r>
      <w:r>
        <w:t>а</w:t>
      </w:r>
      <w:r>
        <w:t>рактера этой деятельности. Однако отмечается, что, как и в большинстве др</w:t>
      </w:r>
      <w:r>
        <w:t>у</w:t>
      </w:r>
      <w:r>
        <w:t>гих странах, детский секс-туризм более не практикуется в Новой Зеландии. Кроме того, молодежь Новой Зеландии не участвует в деятельности организ</w:t>
      </w:r>
      <w:r>
        <w:t>о</w:t>
      </w:r>
      <w:r>
        <w:t>ванных групп в сфере сексуальных услуг, которые занимаются сводничеством. Сексуальные услуги коммерческого характера молодых людей в Новой Зела</w:t>
      </w:r>
      <w:r>
        <w:t>н</w:t>
      </w:r>
      <w:r>
        <w:t>дии – это скорее всего "оппортунистическая проституция" или "секс как увл</w:t>
      </w:r>
      <w:r>
        <w:t>е</w:t>
      </w:r>
      <w:r>
        <w:t>чение". Молодые люди, занимающиеся сексуальной эксплуатацией в коммерч</w:t>
      </w:r>
      <w:r>
        <w:t>е</w:t>
      </w:r>
      <w:r>
        <w:t>ских целях, как правило не причисляют себя к лицам сферы сексуальных услуг или лицам, занима</w:t>
      </w:r>
      <w:r>
        <w:t>ю</w:t>
      </w:r>
      <w:r>
        <w:t>щимся проституцией.</w:t>
      </w:r>
    </w:p>
    <w:p w:rsidR="00000000" w:rsidRDefault="00000000">
      <w:pPr>
        <w:pStyle w:val="SingleTxt"/>
      </w:pPr>
      <w:r>
        <w:t>Гендерный анализ Плана действий был осуществлен министерством ю</w:t>
      </w:r>
      <w:r>
        <w:t>с</w:t>
      </w:r>
      <w:r>
        <w:t>тиции, то есть главным исполнителем. Проведенные исследования показывают, что девочки из бедных слоев населения в развивающихся странах в большей степени подвержены сексуальной эксплуатации в коммерческих целях, нежели мальчики. Несмотря на многочисленные исследования в этой области в Новой Зеландии, представляется вероятным, что девочки в Новой Зеландии также в большей степени подвергаются сексуальной эксплуатации в коммерческих ц</w:t>
      </w:r>
      <w:r>
        <w:t>е</w:t>
      </w:r>
      <w:r>
        <w:t>лях, чем мальчики, но страдают от этого и мальчики и девочки.</w:t>
      </w:r>
    </w:p>
    <w:p w:rsidR="00000000" w:rsidRDefault="00000000">
      <w:pPr>
        <w:ind w:left="1264" w:right="1264"/>
      </w:pPr>
      <w:r>
        <w:t>План действий будет распространен среди правительственных учреждений, групп населения и организаций, занимающихся вопросами молодежи, в целях обеспечения их широкой информированности в вопросах сексуальной эксплу</w:t>
      </w:r>
      <w:r>
        <w:t>а</w:t>
      </w:r>
      <w:r>
        <w:t>тации детей в коммерческих целях.</w:t>
      </w:r>
    </w:p>
    <w:p w:rsidR="00000000" w:rsidRDefault="00000000">
      <w:pPr>
        <w:pStyle w:val="H1"/>
      </w:pPr>
      <w:r>
        <w:t>Союз проституток Новой Зеландии (СПНЗ)</w:t>
      </w:r>
    </w:p>
    <w:p w:rsidR="00000000" w:rsidRDefault="00000000">
      <w:pPr>
        <w:pStyle w:val="SingleTxt"/>
      </w:pPr>
      <w:r>
        <w:t>СПНЗ был создан в 1987 году лицами, занятыми в сфере сексуальных у</w:t>
      </w:r>
      <w:r>
        <w:t>с</w:t>
      </w:r>
      <w:r>
        <w:t>луг. Этот Союз сотрудничает с министерством здравоохранения в деле осущ</w:t>
      </w:r>
      <w:r>
        <w:t>е</w:t>
      </w:r>
      <w:r>
        <w:t>ствления информационно-просветительской программы для целевой группы населения с уделением особого внимания вопросам половой жизни и репр</w:t>
      </w:r>
      <w:r>
        <w:t>о</w:t>
      </w:r>
      <w:r>
        <w:t xml:space="preserve">дуктивного здоровья, а также ВИЧ/СПИДу. </w:t>
      </w:r>
      <w:r>
        <w:rPr>
          <w:caps/>
        </w:rPr>
        <w:t>к</w:t>
      </w:r>
      <w:r>
        <w:t>роме того, СПНЗ выступает в з</w:t>
      </w:r>
      <w:r>
        <w:t>а</w:t>
      </w:r>
      <w:r>
        <w:t>щиту прав лиц сферы сексуальных услуг и с помощью мер поддержки стреми</w:t>
      </w:r>
      <w:r>
        <w:t>т</w:t>
      </w:r>
      <w:r>
        <w:t>ся создать для них надлежащие социально-правовые условия. В рамках СПНЗ в шести городах функционируют открытые общинные центры, где лица сферы сексуальных услуг могут воспользоваться широким кругом услуг, связанных с охраной здоровья и профессиональным занятием, включая услуги венеролог</w:t>
      </w:r>
      <w:r>
        <w:t>и</w:t>
      </w:r>
      <w:r>
        <w:t>ческих центров и услуги по линии программы распространения одноразовых шприцов. Кроме того, различные специалисты проводят среди них информац</w:t>
      </w:r>
      <w:r>
        <w:t>и</w:t>
      </w:r>
      <w:r>
        <w:t>онно-просветительскую работу по целому ряду вопросов, касающихся здор</w:t>
      </w:r>
      <w:r>
        <w:t>о</w:t>
      </w:r>
      <w:r>
        <w:t>вья, безопасности и социального обеспечения. Союз оказывает помощь лицам сферы сексуальных услуг в местах их предоставления по всей территории Н</w:t>
      </w:r>
      <w:r>
        <w:t>о</w:t>
      </w:r>
      <w:r>
        <w:t>вой Зеландии.</w:t>
      </w:r>
    </w:p>
    <w:p w:rsidR="00000000" w:rsidRDefault="00000000">
      <w:pPr>
        <w:pStyle w:val="SingleTxt"/>
      </w:pPr>
      <w:r>
        <w:t>На национальном уровне СПНЗ сотрудничает с различными правительс</w:t>
      </w:r>
      <w:r>
        <w:t>т</w:t>
      </w:r>
      <w:r>
        <w:t>венными учреждениями в области разработки соответствующей практики, мер политики и законодательства, в частности с министерством здравоохранения, министерством по делам детей, подростков и их семей, министерством соц</w:t>
      </w:r>
      <w:r>
        <w:t>и</w:t>
      </w:r>
      <w:r>
        <w:t>ального обеспечения, министерством юстиции, министерством по делам же</w:t>
      </w:r>
      <w:r>
        <w:t>н</w:t>
      </w:r>
      <w:r>
        <w:t>щин и полицией Новой Зеландии. Такое сотрудничество осуществляется в форме участия в совещаниях различных рабочих групп, секторальных групп, ряда правительственных комитетом и в других совещаниях. Кроме того, СПНЗ поддерживает контакты с широким кругом НПО, включая организации по в</w:t>
      </w:r>
      <w:r>
        <w:t>о</w:t>
      </w:r>
      <w:r>
        <w:t>просам здравоохранения и женские организации, а также другие соответс</w:t>
      </w:r>
      <w:r>
        <w:t>т</w:t>
      </w:r>
      <w:r>
        <w:t>вующие группы.</w:t>
      </w:r>
    </w:p>
    <w:p w:rsidR="00000000" w:rsidRDefault="00000000">
      <w:pPr>
        <w:pStyle w:val="SingleTxt"/>
      </w:pPr>
      <w:r>
        <w:t>С момента своего основания СПНЗ старается проводить независимую и тщательную оценку своей деятельности. Это привело к тому, что деятельность СПНЗ во многом способствовала поддержанию весьма низкого уровня забол</w:t>
      </w:r>
      <w:r>
        <w:t>е</w:t>
      </w:r>
      <w:r>
        <w:t>ваний ВИЧ и высокому уровню знаний, связанных с практикой безопасных п</w:t>
      </w:r>
      <w:r>
        <w:t>о</w:t>
      </w:r>
      <w:r>
        <w:t>ловых связей среди лиц сферы сексуальных услуг в Новой Зеландии. Кроме т</w:t>
      </w:r>
      <w:r>
        <w:t>о</w:t>
      </w:r>
      <w:r>
        <w:t>го, СПНЗ оказал влияние на формирование политики и дискуссии обществе</w:t>
      </w:r>
      <w:r>
        <w:t>н</w:t>
      </w:r>
      <w:r>
        <w:t>ности, включая дискуссию по вопросу декриминал</w:t>
      </w:r>
      <w:r>
        <w:t>и</w:t>
      </w:r>
      <w:r>
        <w:t>зации проституции.</w:t>
      </w:r>
    </w:p>
    <w:p w:rsidR="00000000" w:rsidRDefault="00000000">
      <w:pPr>
        <w:pStyle w:val="H1"/>
        <w:ind w:left="1264" w:firstLine="0"/>
      </w:pPr>
      <w:r>
        <w:t>Законопроект о реформировании сферы сексуальных услуг</w:t>
      </w:r>
    </w:p>
    <w:p w:rsidR="00000000" w:rsidRDefault="00000000">
      <w:pPr>
        <w:pStyle w:val="SingleTxt"/>
      </w:pPr>
      <w:r>
        <w:t>Законопроект о реформировании сферы сексуальных услуг в настоящее время находится на рассмотрении министерства юстиции и Комитета по выб</w:t>
      </w:r>
      <w:r>
        <w:t>о</w:t>
      </w:r>
      <w:r>
        <w:t>рам, которые должны представить свои доклады парламенту к 29 ноября 2002 года.</w:t>
      </w:r>
    </w:p>
    <w:p w:rsidR="00000000" w:rsidRDefault="00000000">
      <w:pPr>
        <w:pStyle w:val="SingleTxt"/>
      </w:pPr>
      <w:r>
        <w:t>Законопроект о реформировании сферы сексуальных услуг направлен на декриминализацию проституции путем отмены санкций за некоторые правон</w:t>
      </w:r>
      <w:r>
        <w:t>а</w:t>
      </w:r>
      <w:r>
        <w:t>рушения, связанные с проституцией и навязыванием сексуальных услуг. Такая реформа приведет также к тому, что проституция будет прямо подпадать под действие тех же законов и режимов контроля, которые регламентируют другие виды предпринимательской деятельности. Кроме того, названный законопроект имеет своей целью защиту прав человека лиц сферы сексуальных услуг, а та</w:t>
      </w:r>
      <w:r>
        <w:t>к</w:t>
      </w:r>
      <w:r>
        <w:t>же их защиту от эксплуатации, содействие социальному обеспечению и охране здоровья и безопасности лиц сферы сексуальных услуг, создание условий, бл</w:t>
      </w:r>
      <w:r>
        <w:t>а</w:t>
      </w:r>
      <w:r>
        <w:t>гоприятствующих охране здоровья общества, включая защиту детей от секс</w:t>
      </w:r>
      <w:r>
        <w:t>у</w:t>
      </w:r>
      <w:r>
        <w:t>альной эксплуатации путем криминализации деяний, связанных с вовлечением в проституцию детей и подростков моложе 18 лет тем или иным лицом. Зак</w:t>
      </w:r>
      <w:r>
        <w:t>о</w:t>
      </w:r>
      <w:r>
        <w:t>нопроект предусматривает отмену действия законов, предусматривающих с</w:t>
      </w:r>
      <w:r>
        <w:t>у</w:t>
      </w:r>
      <w:r>
        <w:t>дебное преследование детей и подростков моложе 18 лет за занятие простит</w:t>
      </w:r>
      <w:r>
        <w:t>у</w:t>
      </w:r>
      <w:r>
        <w:t>цией.</w:t>
      </w:r>
    </w:p>
    <w:p w:rsidR="00000000" w:rsidRDefault="00000000">
      <w:pPr>
        <w:pStyle w:val="H1"/>
      </w:pPr>
      <w:r>
        <w:t>Незаконные иммигранты и проституция</w:t>
      </w:r>
    </w:p>
    <w:p w:rsidR="00000000" w:rsidRDefault="00000000">
      <w:pPr>
        <w:pStyle w:val="SingleTxt"/>
      </w:pPr>
      <w:r>
        <w:t>В докладе новозеландской полиции по вопросам, связанным со сферой сексуальных услуг, говорится, что по состоянию на середину 1999 года в сфере сексуальных услуг в Новой Зеландии были заняты несколько сотен женщин, не имеющих ни гражданства Новой Зеландии, ни постоянного места жительства в Новой Зеландии. Подавляющее большинство этих женщин (приблизительно 500 женщин в Окленде и порядка 100 женщин в других городах страны) имели гражданство Таиланда. Предполагается, что повторное введение режима гост</w:t>
      </w:r>
      <w:r>
        <w:t>е</w:t>
      </w:r>
      <w:r>
        <w:t>вых виз для граждан Таиланда в начале 2001 года позволит сократить число женщин, прибывающих в страну для работы в сфере сексуальных услуг.</w:t>
      </w:r>
    </w:p>
    <w:p w:rsidR="00000000" w:rsidRDefault="00000000">
      <w:pPr>
        <w:pStyle w:val="SingleTxt"/>
      </w:pPr>
      <w:r>
        <w:t>По имеющимся данным, в последние годы случаи торговли женщинами сократились. Это предполож</w:t>
      </w:r>
      <w:r>
        <w:t>и</w:t>
      </w:r>
      <w:r>
        <w:t>тельно связано с эффективными оперативно-розыскными мероприятиями полиции и Иммиграционной службы Новой З</w:t>
      </w:r>
      <w:r>
        <w:t>е</w:t>
      </w:r>
      <w:r>
        <w:t>ландии в середине 90-х годов, когда по обвинениям в содержании публичных домов и в обращении людей в рабство были осуждены несколько работодат</w:t>
      </w:r>
      <w:r>
        <w:t>е</w:t>
      </w:r>
      <w:r>
        <w:t>лей. Однако отсутствуют данные о том, сколько тайских женщин, прибывших в Новую Зеландию для незаконного трудоустройства, заранее знали, что они в конечном итоге будут работать в массажных салонах, а не в ресторанах, напр</w:t>
      </w:r>
      <w:r>
        <w:t>и</w:t>
      </w:r>
      <w:r>
        <w:t>мер.</w:t>
      </w:r>
    </w:p>
    <w:p w:rsidR="00000000" w:rsidRDefault="00000000">
      <w:pPr>
        <w:pStyle w:val="SingleTxt"/>
      </w:pPr>
      <w:r>
        <w:t>Правительственные учреждения продолжают сотрудничать друг с другом и другими неправительственными организациями, такими, как СПНЗ и "Ша</w:t>
      </w:r>
      <w:r>
        <w:t>к</w:t>
      </w:r>
      <w:r>
        <w:t>ти" (Азиатская благотворительная организация для женщин) в вопросах удел</w:t>
      </w:r>
      <w:r>
        <w:t>е</w:t>
      </w:r>
      <w:r>
        <w:t>ния пристального внимания сфере сексуальных услуг. Особый акцент в этой работе делается на оказание помощи женщинам, подвергающимся эксплуат</w:t>
      </w:r>
      <w:r>
        <w:t>а</w:t>
      </w:r>
      <w:r>
        <w:t>ции, прежде всего иностранным женщинам, находящимся в уязвимом полож</w:t>
      </w:r>
      <w:r>
        <w:t>е</w:t>
      </w:r>
      <w:r>
        <w:t>нии, а также на судебном преследовании лиц, несущих ответственность за о</w:t>
      </w:r>
      <w:r>
        <w:t>р</w:t>
      </w:r>
      <w:r>
        <w:t>ганизацию незаконного въезда этих женщин в Новую Зеландию и их незако</w:t>
      </w:r>
      <w:r>
        <w:t>н</w:t>
      </w:r>
      <w:r>
        <w:t>ное трудоустро</w:t>
      </w:r>
      <w:r>
        <w:t>й</w:t>
      </w:r>
      <w:r>
        <w:t>ство.</w:t>
      </w:r>
    </w:p>
    <w:p w:rsidR="00000000" w:rsidRDefault="00000000">
      <w:pPr>
        <w:pStyle w:val="SingleTxt"/>
      </w:pPr>
      <w:r>
        <w:t>В 1999 году городской совет Окленда и Комиссия по правам человека в сотрудничестве с Иммиграционной службой Новой Зеландии, полицией, СПНЗ, "Шакти", ЭКПАТ и посольством Таиланда разработали проект под названием "Пинк стикер", ориентированный на работающих в Окленде незаконных м</w:t>
      </w:r>
      <w:r>
        <w:t>и</w:t>
      </w:r>
      <w:r>
        <w:t>грантов из числа женщин. Был создан открытый центр помощи и была орган</w:t>
      </w:r>
      <w:r>
        <w:t>и</w:t>
      </w:r>
      <w:r>
        <w:t>зована связь по "горячей" линии, информация о которых распространялась на листовках на английском и тайском языках. За истекший с того времени период Комиссия по правам человека оказала помощь ряду женщин Таиланда в во</w:t>
      </w:r>
      <w:r>
        <w:t>з</w:t>
      </w:r>
      <w:r>
        <w:t>вращении на родину.</w:t>
      </w:r>
    </w:p>
    <w:p w:rsidR="00000000" w:rsidRDefault="00000000">
      <w:pPr>
        <w:pStyle w:val="SingleTxt"/>
      </w:pPr>
      <w:r>
        <w:t>В июне 2002 года парламент принял Закон об организованной трансн</w:t>
      </w:r>
      <w:r>
        <w:t>а</w:t>
      </w:r>
      <w:r>
        <w:t>циональной преступности, на основании которого Новая Зеландия ратифиц</w:t>
      </w:r>
      <w:r>
        <w:t>и</w:t>
      </w:r>
      <w:r>
        <w:t>ровала Конвенцию Организации Объединенных Наций против транснаци</w:t>
      </w:r>
      <w:r>
        <w:t>о</w:t>
      </w:r>
      <w:r>
        <w:t>нальной организованной преступности и протоколы к ней: Протокол о пред</w:t>
      </w:r>
      <w:r>
        <w:t>у</w:t>
      </w:r>
      <w:r>
        <w:t>преждении и пресечении торговли людьми, особенно женщинами и детьми, и наказании за нее и Протокол против незаконного ввоза мигрантов. В этот Закон были включены законодательные поправки, в частности поправки к Закону о преступлениях 1961 года и Закону об иммиграции 1987 года, направленные на сокращение масштабов незаконной иммиграции путем криминализации ряда деяний, которые охватывают не только незаконный ввоз мигрантов и торговлю людьми, но связанные с этим виды деятельности.</w:t>
      </w:r>
    </w:p>
    <w:p w:rsidR="00000000" w:rsidRDefault="00000000">
      <w:pPr>
        <w:pStyle w:val="H1"/>
      </w:pPr>
      <w:r>
        <w:t>Библиография</w:t>
      </w:r>
    </w:p>
    <w:p w:rsidR="00000000" w:rsidRDefault="00000000">
      <w:pPr>
        <w:pStyle w:val="SingleTxt"/>
        <w:ind w:left="1740" w:hanging="476"/>
      </w:pPr>
      <w:r>
        <w:t xml:space="preserve">Chetwynd, J., 1996, "The Prostitutes' Collective: A uniquely New Zealand institution", in Davis, P. (ed.), </w:t>
      </w:r>
      <w:r>
        <w:rPr>
          <w:i/>
        </w:rPr>
        <w:t xml:space="preserve">Intimate Details and Vital Statistics: AIDS, Sexuality, and the Social Order in New Zealand, </w:t>
      </w:r>
      <w:r>
        <w:t>Auckland University Press, Auckland.</w:t>
      </w:r>
    </w:p>
    <w:p w:rsidR="00000000" w:rsidRDefault="00000000">
      <w:pPr>
        <w:pStyle w:val="SingleTxt"/>
        <w:ind w:left="1740" w:hanging="476"/>
      </w:pPr>
      <w:r>
        <w:t xml:space="preserve">Ministry of Justice, 2001, </w:t>
      </w:r>
      <w:r>
        <w:rPr>
          <w:i/>
        </w:rPr>
        <w:t xml:space="preserve">Protecting Our Innocence, </w:t>
      </w:r>
      <w:r>
        <w:t>Wellington.</w:t>
      </w:r>
    </w:p>
    <w:p w:rsidR="00000000" w:rsidRDefault="00000000">
      <w:pPr>
        <w:pStyle w:val="SingleTxt"/>
        <w:ind w:left="1740" w:hanging="476"/>
        <w:rPr>
          <w:u w:val="single"/>
        </w:rPr>
      </w:pPr>
      <w:r>
        <w:rPr>
          <w:b/>
          <w:u w:val="single"/>
        </w:rPr>
        <w:t>www</w:t>
      </w:r>
      <w:r>
        <w:rPr>
          <w:u w:val="single"/>
        </w:rPr>
        <w:t>.hrc.co.nz</w:t>
      </w:r>
    </w:p>
    <w:p w:rsidR="00000000" w:rsidRDefault="00000000">
      <w:pPr>
        <w:pStyle w:val="HCh"/>
      </w:pPr>
      <w:bookmarkStart w:id="21" w:name="_Toc30302886"/>
      <w:r>
        <w:t>Статья 7</w:t>
      </w:r>
      <w:bookmarkEnd w:id="21"/>
    </w:p>
    <w:p w:rsidR="00000000" w:rsidRDefault="00000000">
      <w:pPr>
        <w:pStyle w:val="HCh"/>
      </w:pPr>
      <w:bookmarkStart w:id="22" w:name="_Toc30302887"/>
      <w:r>
        <w:t>Политическая и общественная жизнь</w:t>
      </w:r>
      <w:bookmarkEnd w:id="22"/>
    </w:p>
    <w:p w:rsidR="00000000" w:rsidRDefault="00000000">
      <w:pPr>
        <w:pStyle w:val="SingleTxt"/>
        <w:ind w:left="1740" w:hanging="476"/>
        <w:rPr>
          <w:i/>
        </w:rPr>
      </w:pPr>
      <w:r>
        <w:tab/>
      </w:r>
      <w:r>
        <w:tab/>
      </w:r>
      <w:r>
        <w:rPr>
          <w:i/>
        </w:rPr>
        <w:t>Государства-участники принимают все соответствующие меры по ли</w:t>
      </w:r>
      <w:r>
        <w:rPr>
          <w:i/>
        </w:rPr>
        <w:t>к</w:t>
      </w:r>
      <w:r>
        <w:rPr>
          <w:i/>
        </w:rPr>
        <w:t>видации дискриминации в отношении женщин в политической и общес</w:t>
      </w:r>
      <w:r>
        <w:rPr>
          <w:i/>
        </w:rPr>
        <w:t>т</w:t>
      </w:r>
      <w:r>
        <w:rPr>
          <w:i/>
        </w:rPr>
        <w:t>венной жизни страны и, в частности, обеспечивают женщинам на ра</w:t>
      </w:r>
      <w:r>
        <w:rPr>
          <w:i/>
        </w:rPr>
        <w:t>в</w:t>
      </w:r>
      <w:r>
        <w:rPr>
          <w:i/>
        </w:rPr>
        <w:t>ных условиях с мужчинами право:</w:t>
      </w:r>
    </w:p>
    <w:p w:rsidR="00000000" w:rsidRDefault="00000000">
      <w:pPr>
        <w:pStyle w:val="SingleTxt"/>
        <w:ind w:left="2217" w:hanging="953"/>
        <w:rPr>
          <w:i/>
        </w:rPr>
      </w:pPr>
      <w:r>
        <w:rPr>
          <w:i/>
        </w:rPr>
        <w:tab/>
      </w:r>
      <w:r>
        <w:rPr>
          <w:i/>
        </w:rPr>
        <w:tab/>
        <w:t>a)</w:t>
      </w:r>
      <w:r>
        <w:rPr>
          <w:i/>
        </w:rPr>
        <w:tab/>
        <w:t>голосовать на всех выборах и публичных референдумах и избираться во все публично избираемые о</w:t>
      </w:r>
      <w:r>
        <w:rPr>
          <w:i/>
        </w:rPr>
        <w:t>р</w:t>
      </w:r>
      <w:r>
        <w:rPr>
          <w:i/>
        </w:rPr>
        <w:t>ганы;</w:t>
      </w:r>
    </w:p>
    <w:p w:rsidR="00000000" w:rsidRDefault="00000000">
      <w:pPr>
        <w:pStyle w:val="SingleTxt"/>
        <w:ind w:left="2217" w:hanging="953"/>
        <w:rPr>
          <w:i/>
        </w:rPr>
      </w:pPr>
      <w:r>
        <w:rPr>
          <w:i/>
        </w:rPr>
        <w:tab/>
      </w:r>
      <w:r>
        <w:rPr>
          <w:i/>
        </w:rPr>
        <w:tab/>
        <w:t>b)</w:t>
      </w:r>
      <w:r>
        <w:rPr>
          <w:i/>
        </w:rPr>
        <w:tab/>
        <w:t>участвовать в формулировании и осуществлении политики прав</w:t>
      </w:r>
      <w:r>
        <w:rPr>
          <w:i/>
        </w:rPr>
        <w:t>и</w:t>
      </w:r>
      <w:r>
        <w:rPr>
          <w:i/>
        </w:rPr>
        <w:t>тельства и занимать государственные посты, а также осущест</w:t>
      </w:r>
      <w:r>
        <w:rPr>
          <w:i/>
        </w:rPr>
        <w:t>в</w:t>
      </w:r>
      <w:r>
        <w:rPr>
          <w:i/>
        </w:rPr>
        <w:t>лять все государственные функции на всех уровнях государственн</w:t>
      </w:r>
      <w:r>
        <w:rPr>
          <w:i/>
        </w:rPr>
        <w:t>о</w:t>
      </w:r>
      <w:r>
        <w:rPr>
          <w:i/>
        </w:rPr>
        <w:t>го управления;</w:t>
      </w:r>
    </w:p>
    <w:p w:rsidR="00000000" w:rsidRDefault="00000000">
      <w:pPr>
        <w:pStyle w:val="SingleTxt"/>
        <w:ind w:left="2217" w:hanging="953"/>
        <w:rPr>
          <w:i/>
        </w:rPr>
      </w:pPr>
      <w:r>
        <w:rPr>
          <w:i/>
        </w:rPr>
        <w:tab/>
      </w:r>
      <w:r>
        <w:rPr>
          <w:i/>
        </w:rPr>
        <w:tab/>
        <w:t>c)</w:t>
      </w:r>
      <w:r>
        <w:rPr>
          <w:i/>
        </w:rPr>
        <w:tab/>
        <w:t>принимать участие в деятельности неправительственных орган</w:t>
      </w:r>
      <w:r>
        <w:rPr>
          <w:i/>
        </w:rPr>
        <w:t>и</w:t>
      </w:r>
      <w:r>
        <w:rPr>
          <w:i/>
        </w:rPr>
        <w:t>заций и ассоциаций, занимающихся проблемами общественной и п</w:t>
      </w:r>
      <w:r>
        <w:rPr>
          <w:i/>
        </w:rPr>
        <w:t>о</w:t>
      </w:r>
      <w:r>
        <w:rPr>
          <w:i/>
        </w:rPr>
        <w:t>литической жи</w:t>
      </w:r>
      <w:r>
        <w:rPr>
          <w:i/>
        </w:rPr>
        <w:t>з</w:t>
      </w:r>
      <w:r>
        <w:rPr>
          <w:i/>
        </w:rPr>
        <w:t>ни страны.</w:t>
      </w:r>
    </w:p>
    <w:p w:rsidR="00000000" w:rsidRDefault="00000000">
      <w:pPr>
        <w:pStyle w:val="H1"/>
      </w:pPr>
      <w:r>
        <w:t>Центральное правительство</w:t>
      </w:r>
    </w:p>
    <w:p w:rsidR="00000000" w:rsidRDefault="00000000">
      <w:pPr>
        <w:pStyle w:val="SingleTxt"/>
      </w:pPr>
      <w:r>
        <w:t>В результате всеобщих выборов 2002 года в парламент были избраны 34 женщины, что составляет 28 процентов от общей численности членов па</w:t>
      </w:r>
      <w:r>
        <w:t>р</w:t>
      </w:r>
      <w:r>
        <w:t>ламента в 120 человек. Восемь из 26 министров Короны – женщины. Для сра</w:t>
      </w:r>
      <w:r>
        <w:t>в</w:t>
      </w:r>
      <w:r>
        <w:t>нения следует отметить, что в период представления последнего периодическ</w:t>
      </w:r>
      <w:r>
        <w:t>о</w:t>
      </w:r>
      <w:r>
        <w:t>го доклада 3 из 24 постов министров Короны занимали женщины. Женщины занимают четыре ключевых государственных поста в Новой Зеландии, а име</w:t>
      </w:r>
      <w:r>
        <w:t>н</w:t>
      </w:r>
      <w:r>
        <w:t>но: пост генерал-губернатора, премьер-министра, генерального прокурора и верховного судьи.</w:t>
      </w:r>
    </w:p>
    <w:p w:rsidR="00000000" w:rsidRDefault="00000000">
      <w:pPr>
        <w:pStyle w:val="SingleTxt"/>
      </w:pPr>
      <w:r>
        <w:t>Проведенные исследования показывают, что введение системы смешанн</w:t>
      </w:r>
      <w:r>
        <w:t>о</w:t>
      </w:r>
      <w:r>
        <w:t>го пропорционального представительства (СПП) позволило увеличить числе</w:t>
      </w:r>
      <w:r>
        <w:t>н</w:t>
      </w:r>
      <w:r>
        <w:t>ность женщин, избираемых в парламент. В 1993 году, последнем году, в кот</w:t>
      </w:r>
      <w:r>
        <w:t>о</w:t>
      </w:r>
      <w:r>
        <w:t>ром выборы проводились по системе простого большинства (СПБ), доля же</w:t>
      </w:r>
      <w:r>
        <w:t>н</w:t>
      </w:r>
      <w:r>
        <w:t>щин среди членов парламента составляла 21 процент. В 1996 году эта доля увеличилась до 29 процентов, когда проводились первые выборы по системе СПП, а в 1999 году эта доля составила 31 процент. Хотя в Новой Зеландии не разработаны специальные механизмы для обеспечения представительства женщин, страна занимает четырнадцатое место в мире по представительству женщин в парл</w:t>
      </w:r>
      <w:r>
        <w:t>а</w:t>
      </w:r>
      <w:r>
        <w:t>менте.</w:t>
      </w:r>
    </w:p>
    <w:p w:rsidR="00000000" w:rsidRDefault="00000000">
      <w:pPr>
        <w:pStyle w:val="SingleTxt"/>
      </w:pPr>
      <w:r>
        <w:t>В период с апреля по август 2001 года была проведена регистрации в</w:t>
      </w:r>
      <w:r>
        <w:t>ы</w:t>
      </w:r>
      <w:r>
        <w:t>борщиков из числа маори, причем в ходе этой регистрации выборщики из чи</w:t>
      </w:r>
      <w:r>
        <w:t>с</w:t>
      </w:r>
      <w:r>
        <w:t>ла маори могли зарегистрироваться как в списках маори, так и в общих избир</w:t>
      </w:r>
      <w:r>
        <w:t>а</w:t>
      </w:r>
      <w:r>
        <w:t>тельных списках. Эта система регистрации позволила определить численность представителей народности маори, баллотирующихся в парламент. Выборщики из числа маори были информированы о своем праве выбора по телевизионным каналам, вещающим на двух языках. Кроме того для них был выпущен инфо</w:t>
      </w:r>
      <w:r>
        <w:t>р</w:t>
      </w:r>
      <w:r>
        <w:t>мационный бюллетень, и был создан специальный веб-сайт. В результате пр</w:t>
      </w:r>
      <w:r>
        <w:t>и</w:t>
      </w:r>
      <w:r>
        <w:t>менения такой системы регистрации численность членов парламента из наро</w:t>
      </w:r>
      <w:r>
        <w:t>д</w:t>
      </w:r>
      <w:r>
        <w:t>ности маори увеличились до семи человек, то есть на одного человека больше. Два места в парламенте занимают женщины-маори.</w:t>
      </w:r>
    </w:p>
    <w:p w:rsidR="00000000" w:rsidRDefault="00000000">
      <w:pPr>
        <w:pStyle w:val="H23"/>
      </w:pPr>
      <w:r>
        <w:t>Исследования и оценки</w:t>
      </w:r>
    </w:p>
    <w:p w:rsidR="00000000" w:rsidRDefault="00000000">
      <w:pPr>
        <w:pStyle w:val="SingleTxt"/>
      </w:pPr>
      <w:r>
        <w:t>Недавно парламентский комитет по выборам завершил обзор системы СПП и 8 августа 2001 года представил парламенту доклад о его результатах. Отклики представителей общественности о функционировании этой системы были заслушаны в 2002 году. Комитету было рекомендовано представить до</w:t>
      </w:r>
      <w:r>
        <w:t>к</w:t>
      </w:r>
      <w:r>
        <w:t>лад по следу</w:t>
      </w:r>
      <w:r>
        <w:t>ю</w:t>
      </w:r>
      <w:r>
        <w:t>щим вопросам:</w:t>
      </w:r>
    </w:p>
    <w:p w:rsidR="00000000" w:rsidRDefault="00000000">
      <w:pPr>
        <w:pStyle w:val="dot"/>
      </w:pPr>
      <w:r>
        <w:tab/>
      </w:r>
      <w:r>
        <w:tab/>
        <w:t>•</w:t>
      </w:r>
      <w:r>
        <w:tab/>
        <w:t>следует ли проводить референдум по вопросам изменения избирательной системы, и если да, какие предложения будут высказаны в адрес избир</w:t>
      </w:r>
      <w:r>
        <w:t>а</w:t>
      </w:r>
      <w:r>
        <w:t>телей;</w:t>
      </w:r>
    </w:p>
    <w:p w:rsidR="00000000" w:rsidRDefault="00000000">
      <w:pPr>
        <w:pStyle w:val="dot"/>
      </w:pPr>
      <w:r>
        <w:tab/>
      </w:r>
      <w:r>
        <w:tab/>
        <w:t>•</w:t>
      </w:r>
      <w:r>
        <w:tab/>
        <w:t>эффективность применения партийных списков с точки зрения расшир</w:t>
      </w:r>
      <w:r>
        <w:t>е</w:t>
      </w:r>
      <w:r>
        <w:t>ния представленности женщин;</w:t>
      </w:r>
    </w:p>
    <w:p w:rsidR="00000000" w:rsidRDefault="00000000">
      <w:pPr>
        <w:pStyle w:val="dot"/>
      </w:pPr>
      <w:r>
        <w:tab/>
      </w:r>
      <w:r>
        <w:tab/>
        <w:t>•</w:t>
      </w:r>
      <w:r>
        <w:tab/>
        <w:t>какие изменения следует внести в избирательную систему, чтобы пов</w:t>
      </w:r>
      <w:r>
        <w:t>ы</w:t>
      </w:r>
      <w:r>
        <w:t>сить уровень представле</w:t>
      </w:r>
      <w:r>
        <w:t>н</w:t>
      </w:r>
      <w:r>
        <w:t>ности женщин.</w:t>
      </w:r>
    </w:p>
    <w:p w:rsidR="00000000" w:rsidRDefault="00000000">
      <w:pPr>
        <w:pStyle w:val="SingleTxt"/>
      </w:pPr>
      <w:r>
        <w:t>Комитет единогласно постановил, что нецелесообразно принимать какие-либо законодательные меры для поддержки или укрепления системы предста</w:t>
      </w:r>
      <w:r>
        <w:t>в</w:t>
      </w:r>
      <w:r>
        <w:t>ленности женщин в парламенте. Все партии рассматривают этот вопрос как с</w:t>
      </w:r>
      <w:r>
        <w:t>у</w:t>
      </w:r>
      <w:r>
        <w:t>губо внутренний аспект деятельности политических партий и считают, что партии сами должны разработать свои процедуры для обеспечения адекватной представленности женщин в парламенте. Кроме того, по мнению партий, чле</w:t>
      </w:r>
      <w:r>
        <w:t>н</w:t>
      </w:r>
      <w:r>
        <w:t>ство в парламенте должно отражать разнообразие слоев общества в Новой З</w:t>
      </w:r>
      <w:r>
        <w:t>е</w:t>
      </w:r>
      <w:r>
        <w:t>ла</w:t>
      </w:r>
      <w:r>
        <w:t>н</w:t>
      </w:r>
      <w:r>
        <w:t>дии.</w:t>
      </w:r>
    </w:p>
    <w:p w:rsidR="00000000" w:rsidRDefault="00000000">
      <w:pPr>
        <w:pStyle w:val="H1"/>
      </w:pPr>
      <w:r>
        <w:t>Органы местного самоуправления</w:t>
      </w:r>
    </w:p>
    <w:p w:rsidR="00000000" w:rsidRDefault="00000000">
      <w:pPr>
        <w:pStyle w:val="SingleTxt"/>
      </w:pPr>
      <w:r>
        <w:t>В целом доля представленности женщин в органах местного самоупра</w:t>
      </w:r>
      <w:r>
        <w:t>в</w:t>
      </w:r>
      <w:r>
        <w:t>ления неуклонно увеличивается: с 3,7 процента в 1962 году до 31,5 процента в 1998 году. На выборах в органы местного самоуправления 2001 года на 74 выборные должности 12 женщин были избраны мэрами (16 процентов) в сравнении с 26 процентами в 1998 году и 20 процентами в 1995 году. Доля женщин, избранных в органы местного самоуправления на выборах 2001 года составила 28 процентов, на выборах 1998 года – 29 процентов и 1995 года – 28 процентов</w:t>
      </w:r>
      <w:r>
        <w:rPr>
          <w:rStyle w:val="FootnoteReference"/>
        </w:rPr>
        <w:footnoteReference w:id="5"/>
      </w:r>
      <w:r>
        <w:t>. Доля женщин, избранных в новые окружные медико-санитарные коми</w:t>
      </w:r>
      <w:r>
        <w:t>с</w:t>
      </w:r>
      <w:r>
        <w:t>сии (ОМСК), составила 44 процента.</w:t>
      </w:r>
    </w:p>
    <w:p w:rsidR="00000000" w:rsidRDefault="00000000">
      <w:pPr>
        <w:pStyle w:val="SingleTxt"/>
        <w:keepNext/>
        <w:ind w:firstLine="0"/>
        <w:jc w:val="left"/>
        <w:rPr>
          <w:b/>
        </w:rPr>
      </w:pPr>
      <w:r>
        <w:rPr>
          <w:b/>
        </w:rPr>
        <w:t xml:space="preserve">Численность окружных медико-санитарных комиссий в разбивке </w:t>
      </w:r>
      <w:r>
        <w:rPr>
          <w:b/>
        </w:rPr>
        <w:br/>
        <w:t>по полу и этническому происхо</w:t>
      </w:r>
      <w:r>
        <w:rPr>
          <w:b/>
        </w:rPr>
        <w:t>ж</w:t>
      </w:r>
      <w:r>
        <w:rPr>
          <w:b/>
        </w:rPr>
        <w:t>дению по состоянию на 2001 год</w:t>
      </w:r>
    </w:p>
    <w:tbl>
      <w:tblPr>
        <w:tblW w:w="0" w:type="auto"/>
        <w:tblInd w:w="1278" w:type="dxa"/>
        <w:tblLayout w:type="fixed"/>
        <w:tblLook w:val="01E0" w:firstRow="1" w:lastRow="1" w:firstColumn="1" w:lastColumn="1" w:noHBand="0" w:noVBand="0"/>
      </w:tblPr>
      <w:tblGrid>
        <w:gridCol w:w="4073"/>
        <w:gridCol w:w="3298"/>
      </w:tblGrid>
      <w:tr w:rsidR="00000000">
        <w:tblPrEx>
          <w:tblCellMar>
            <w:top w:w="0" w:type="dxa"/>
            <w:bottom w:w="0" w:type="dxa"/>
          </w:tblCellMar>
        </w:tblPrEx>
        <w:tc>
          <w:tcPr>
            <w:tcW w:w="4073" w:type="dxa"/>
            <w:tcBorders>
              <w:top w:val="single" w:sz="6" w:space="0" w:color="auto"/>
              <w:bottom w:val="single" w:sz="12" w:space="0" w:color="auto"/>
            </w:tcBorders>
          </w:tcPr>
          <w:p w:rsidR="00000000" w:rsidRDefault="00000000">
            <w:pPr>
              <w:keepNext/>
              <w:spacing w:before="40" w:after="40" w:line="180" w:lineRule="exact"/>
              <w:rPr>
                <w:i/>
                <w:sz w:val="17"/>
              </w:rPr>
            </w:pPr>
            <w:r>
              <w:rPr>
                <w:i/>
                <w:sz w:val="17"/>
              </w:rPr>
              <w:t>Пол</w:t>
            </w:r>
          </w:p>
        </w:tc>
        <w:tc>
          <w:tcPr>
            <w:tcW w:w="3298" w:type="dxa"/>
            <w:tcBorders>
              <w:top w:val="single" w:sz="6" w:space="0" w:color="auto"/>
              <w:bottom w:val="single" w:sz="12" w:space="0" w:color="auto"/>
            </w:tcBorders>
          </w:tcPr>
          <w:p w:rsidR="00000000" w:rsidRDefault="00000000">
            <w:pPr>
              <w:keepNext/>
              <w:spacing w:before="40" w:after="40" w:line="180" w:lineRule="exact"/>
              <w:jc w:val="center"/>
              <w:rPr>
                <w:i/>
                <w:sz w:val="17"/>
              </w:rPr>
            </w:pPr>
            <w:r>
              <w:rPr>
                <w:i/>
                <w:sz w:val="17"/>
              </w:rPr>
              <w:t>Численность</w:t>
            </w:r>
          </w:p>
        </w:tc>
      </w:tr>
      <w:tr w:rsidR="00000000">
        <w:tblPrEx>
          <w:tblCellMar>
            <w:top w:w="0" w:type="dxa"/>
            <w:bottom w:w="0" w:type="dxa"/>
          </w:tblCellMar>
        </w:tblPrEx>
        <w:tc>
          <w:tcPr>
            <w:tcW w:w="4073" w:type="dxa"/>
            <w:tcBorders>
              <w:top w:val="single" w:sz="12" w:space="0" w:color="auto"/>
            </w:tcBorders>
          </w:tcPr>
          <w:p w:rsidR="00000000" w:rsidRDefault="00000000">
            <w:pPr>
              <w:pStyle w:val="Header"/>
              <w:keepNext/>
              <w:tabs>
                <w:tab w:val="clear" w:pos="4320"/>
                <w:tab w:val="clear" w:pos="8640"/>
              </w:tabs>
              <w:spacing w:before="40" w:after="40" w:line="180" w:lineRule="exact"/>
              <w:rPr>
                <w:noProof w:val="0"/>
                <w:spacing w:val="4"/>
                <w:w w:val="103"/>
                <w:kern w:val="14"/>
              </w:rPr>
            </w:pPr>
            <w:r>
              <w:rPr>
                <w:noProof w:val="0"/>
                <w:spacing w:val="4"/>
                <w:w w:val="103"/>
                <w:kern w:val="14"/>
              </w:rPr>
              <w:t>Женщины</w:t>
            </w:r>
          </w:p>
        </w:tc>
        <w:tc>
          <w:tcPr>
            <w:tcW w:w="3298" w:type="dxa"/>
            <w:tcBorders>
              <w:top w:val="single" w:sz="12" w:space="0" w:color="auto"/>
            </w:tcBorders>
          </w:tcPr>
          <w:p w:rsidR="00000000" w:rsidRDefault="00000000">
            <w:pPr>
              <w:pStyle w:val="Header"/>
              <w:keepNext/>
              <w:tabs>
                <w:tab w:val="clear" w:pos="4320"/>
                <w:tab w:val="clear" w:pos="8640"/>
              </w:tabs>
              <w:spacing w:before="40" w:after="40" w:line="180" w:lineRule="exact"/>
              <w:ind w:right="1451"/>
              <w:jc w:val="right"/>
              <w:rPr>
                <w:noProof w:val="0"/>
                <w:spacing w:val="4"/>
                <w:w w:val="103"/>
                <w:kern w:val="14"/>
              </w:rPr>
            </w:pPr>
            <w:r>
              <w:rPr>
                <w:noProof w:val="0"/>
                <w:spacing w:val="4"/>
                <w:w w:val="103"/>
                <w:kern w:val="14"/>
              </w:rPr>
              <w:t>66</w:t>
            </w:r>
          </w:p>
        </w:tc>
      </w:tr>
      <w:tr w:rsidR="00000000">
        <w:tblPrEx>
          <w:tblCellMar>
            <w:top w:w="0" w:type="dxa"/>
            <w:bottom w:w="0" w:type="dxa"/>
          </w:tblCellMar>
        </w:tblPrEx>
        <w:tc>
          <w:tcPr>
            <w:tcW w:w="4073" w:type="dxa"/>
          </w:tcPr>
          <w:p w:rsidR="00000000" w:rsidRDefault="00000000">
            <w:pPr>
              <w:keepNext/>
              <w:spacing w:before="40" w:after="40" w:line="180" w:lineRule="exact"/>
              <w:rPr>
                <w:sz w:val="17"/>
              </w:rPr>
            </w:pPr>
            <w:r>
              <w:rPr>
                <w:sz w:val="17"/>
              </w:rPr>
              <w:t>Мужчины</w:t>
            </w:r>
          </w:p>
        </w:tc>
        <w:tc>
          <w:tcPr>
            <w:tcW w:w="3298" w:type="dxa"/>
          </w:tcPr>
          <w:p w:rsidR="00000000" w:rsidRDefault="00000000">
            <w:pPr>
              <w:keepNext/>
              <w:spacing w:before="40" w:after="40" w:line="180" w:lineRule="exact"/>
              <w:ind w:right="1451"/>
              <w:jc w:val="right"/>
              <w:rPr>
                <w:sz w:val="17"/>
              </w:rPr>
            </w:pPr>
            <w:r>
              <w:rPr>
                <w:sz w:val="17"/>
              </w:rPr>
              <w:t>81</w:t>
            </w:r>
          </w:p>
        </w:tc>
      </w:tr>
      <w:tr w:rsidR="00000000">
        <w:tblPrEx>
          <w:tblCellMar>
            <w:top w:w="0" w:type="dxa"/>
            <w:bottom w:w="0" w:type="dxa"/>
          </w:tblCellMar>
        </w:tblPrEx>
        <w:tc>
          <w:tcPr>
            <w:tcW w:w="4073" w:type="dxa"/>
            <w:tcBorders>
              <w:bottom w:val="single" w:sz="6" w:space="0" w:color="auto"/>
            </w:tcBorders>
          </w:tcPr>
          <w:p w:rsidR="00000000" w:rsidRDefault="00000000">
            <w:pPr>
              <w:keepNext/>
              <w:spacing w:before="40" w:after="40" w:line="180" w:lineRule="exact"/>
              <w:rPr>
                <w:sz w:val="17"/>
              </w:rPr>
            </w:pPr>
            <w:r>
              <w:rPr>
                <w:sz w:val="17"/>
              </w:rPr>
              <w:t>Всего</w:t>
            </w:r>
          </w:p>
        </w:tc>
        <w:tc>
          <w:tcPr>
            <w:tcW w:w="3298" w:type="dxa"/>
            <w:tcBorders>
              <w:bottom w:val="single" w:sz="6" w:space="0" w:color="auto"/>
            </w:tcBorders>
          </w:tcPr>
          <w:p w:rsidR="00000000" w:rsidRDefault="00000000">
            <w:pPr>
              <w:keepNext/>
              <w:spacing w:before="40" w:after="40" w:line="180" w:lineRule="exact"/>
              <w:ind w:right="1451"/>
              <w:jc w:val="right"/>
              <w:rPr>
                <w:sz w:val="17"/>
              </w:rPr>
            </w:pPr>
            <w:r>
              <w:rPr>
                <w:sz w:val="17"/>
              </w:rPr>
              <w:t>147</w:t>
            </w:r>
          </w:p>
        </w:tc>
      </w:tr>
      <w:tr w:rsidR="00000000">
        <w:tblPrEx>
          <w:tblCellMar>
            <w:top w:w="0" w:type="dxa"/>
            <w:bottom w:w="0" w:type="dxa"/>
          </w:tblCellMar>
        </w:tblPrEx>
        <w:tc>
          <w:tcPr>
            <w:tcW w:w="4073" w:type="dxa"/>
            <w:tcBorders>
              <w:top w:val="single" w:sz="6" w:space="0" w:color="auto"/>
              <w:bottom w:val="single" w:sz="12" w:space="0" w:color="auto"/>
            </w:tcBorders>
          </w:tcPr>
          <w:p w:rsidR="00000000" w:rsidRDefault="00000000">
            <w:pPr>
              <w:keepNext/>
              <w:spacing w:before="40" w:after="40" w:line="180" w:lineRule="exact"/>
              <w:rPr>
                <w:i/>
                <w:sz w:val="17"/>
              </w:rPr>
            </w:pPr>
            <w:r>
              <w:rPr>
                <w:i/>
                <w:sz w:val="17"/>
              </w:rPr>
              <w:t>Этническое происхожд</w:t>
            </w:r>
            <w:r>
              <w:rPr>
                <w:i/>
                <w:sz w:val="17"/>
              </w:rPr>
              <w:t>е</w:t>
            </w:r>
            <w:r>
              <w:rPr>
                <w:i/>
                <w:sz w:val="17"/>
              </w:rPr>
              <w:t>ние</w:t>
            </w:r>
          </w:p>
        </w:tc>
        <w:tc>
          <w:tcPr>
            <w:tcW w:w="3298" w:type="dxa"/>
            <w:tcBorders>
              <w:top w:val="single" w:sz="6" w:space="0" w:color="auto"/>
              <w:bottom w:val="single" w:sz="12" w:space="0" w:color="auto"/>
            </w:tcBorders>
          </w:tcPr>
          <w:p w:rsidR="00000000" w:rsidRDefault="00000000">
            <w:pPr>
              <w:keepNext/>
              <w:spacing w:before="40" w:after="40" w:line="180" w:lineRule="exact"/>
              <w:jc w:val="center"/>
              <w:rPr>
                <w:i/>
                <w:sz w:val="17"/>
              </w:rPr>
            </w:pPr>
            <w:r>
              <w:rPr>
                <w:i/>
                <w:sz w:val="17"/>
              </w:rPr>
              <w:t>Численность</w:t>
            </w:r>
          </w:p>
        </w:tc>
      </w:tr>
      <w:tr w:rsidR="00000000">
        <w:tblPrEx>
          <w:tblCellMar>
            <w:top w:w="0" w:type="dxa"/>
            <w:bottom w:w="0" w:type="dxa"/>
          </w:tblCellMar>
        </w:tblPrEx>
        <w:tc>
          <w:tcPr>
            <w:tcW w:w="4073" w:type="dxa"/>
            <w:tcBorders>
              <w:top w:val="single" w:sz="12" w:space="0" w:color="auto"/>
            </w:tcBorders>
          </w:tcPr>
          <w:p w:rsidR="00000000" w:rsidRDefault="00000000">
            <w:pPr>
              <w:keepNext/>
              <w:spacing w:before="40" w:after="40" w:line="180" w:lineRule="exact"/>
              <w:rPr>
                <w:sz w:val="17"/>
              </w:rPr>
            </w:pPr>
            <w:r>
              <w:rPr>
                <w:sz w:val="17"/>
              </w:rPr>
              <w:t>Европейцы</w:t>
            </w:r>
          </w:p>
        </w:tc>
        <w:tc>
          <w:tcPr>
            <w:tcW w:w="3298" w:type="dxa"/>
            <w:tcBorders>
              <w:top w:val="single" w:sz="12" w:space="0" w:color="auto"/>
            </w:tcBorders>
          </w:tcPr>
          <w:p w:rsidR="00000000" w:rsidRDefault="00000000">
            <w:pPr>
              <w:keepNext/>
              <w:spacing w:before="40" w:after="40" w:line="180" w:lineRule="exact"/>
              <w:ind w:right="1451"/>
              <w:jc w:val="right"/>
              <w:rPr>
                <w:sz w:val="17"/>
              </w:rPr>
            </w:pPr>
            <w:r>
              <w:rPr>
                <w:sz w:val="17"/>
              </w:rPr>
              <w:t>105</w:t>
            </w:r>
          </w:p>
        </w:tc>
      </w:tr>
      <w:tr w:rsidR="00000000">
        <w:tblPrEx>
          <w:tblCellMar>
            <w:top w:w="0" w:type="dxa"/>
            <w:bottom w:w="0" w:type="dxa"/>
          </w:tblCellMar>
        </w:tblPrEx>
        <w:tc>
          <w:tcPr>
            <w:tcW w:w="4073" w:type="dxa"/>
          </w:tcPr>
          <w:p w:rsidR="00000000" w:rsidRDefault="00000000">
            <w:pPr>
              <w:keepNext/>
              <w:spacing w:before="40" w:after="40" w:line="180" w:lineRule="exact"/>
              <w:rPr>
                <w:sz w:val="17"/>
              </w:rPr>
            </w:pPr>
            <w:r>
              <w:rPr>
                <w:sz w:val="17"/>
              </w:rPr>
              <w:t>Маори</w:t>
            </w:r>
          </w:p>
        </w:tc>
        <w:tc>
          <w:tcPr>
            <w:tcW w:w="3298" w:type="dxa"/>
          </w:tcPr>
          <w:p w:rsidR="00000000" w:rsidRDefault="00000000">
            <w:pPr>
              <w:keepNext/>
              <w:spacing w:before="40" w:after="40" w:line="180" w:lineRule="exact"/>
              <w:ind w:right="1451"/>
              <w:jc w:val="right"/>
              <w:rPr>
                <w:sz w:val="17"/>
              </w:rPr>
            </w:pPr>
            <w:r>
              <w:rPr>
                <w:sz w:val="17"/>
              </w:rPr>
              <w:t>2</w:t>
            </w:r>
          </w:p>
        </w:tc>
      </w:tr>
      <w:tr w:rsidR="00000000">
        <w:tblPrEx>
          <w:tblCellMar>
            <w:top w:w="0" w:type="dxa"/>
            <w:bottom w:w="0" w:type="dxa"/>
          </w:tblCellMar>
        </w:tblPrEx>
        <w:tc>
          <w:tcPr>
            <w:tcW w:w="4073" w:type="dxa"/>
          </w:tcPr>
          <w:p w:rsidR="00000000" w:rsidRDefault="00000000">
            <w:pPr>
              <w:keepNext/>
              <w:spacing w:before="40" w:after="40" w:line="180" w:lineRule="exact"/>
              <w:rPr>
                <w:sz w:val="17"/>
              </w:rPr>
            </w:pPr>
            <w:r>
              <w:rPr>
                <w:sz w:val="17"/>
              </w:rPr>
              <w:t>Новозеландцы</w:t>
            </w:r>
          </w:p>
        </w:tc>
        <w:tc>
          <w:tcPr>
            <w:tcW w:w="3298" w:type="dxa"/>
          </w:tcPr>
          <w:p w:rsidR="00000000" w:rsidRDefault="00000000">
            <w:pPr>
              <w:keepNext/>
              <w:spacing w:before="40" w:after="40" w:line="180" w:lineRule="exact"/>
              <w:ind w:right="1451"/>
              <w:jc w:val="right"/>
              <w:rPr>
                <w:sz w:val="17"/>
              </w:rPr>
            </w:pPr>
            <w:r>
              <w:rPr>
                <w:sz w:val="17"/>
              </w:rPr>
              <w:t>15</w:t>
            </w:r>
          </w:p>
        </w:tc>
      </w:tr>
      <w:tr w:rsidR="00000000">
        <w:tblPrEx>
          <w:tblCellMar>
            <w:top w:w="0" w:type="dxa"/>
            <w:bottom w:w="0" w:type="dxa"/>
          </w:tblCellMar>
        </w:tblPrEx>
        <w:tc>
          <w:tcPr>
            <w:tcW w:w="4073" w:type="dxa"/>
          </w:tcPr>
          <w:p w:rsidR="00000000" w:rsidRDefault="00000000">
            <w:pPr>
              <w:keepNext/>
              <w:spacing w:before="40" w:after="40" w:line="180" w:lineRule="exact"/>
              <w:rPr>
                <w:sz w:val="17"/>
              </w:rPr>
            </w:pPr>
            <w:r>
              <w:rPr>
                <w:sz w:val="17"/>
              </w:rPr>
              <w:t>Не назвали себя</w:t>
            </w:r>
          </w:p>
        </w:tc>
        <w:tc>
          <w:tcPr>
            <w:tcW w:w="3298" w:type="dxa"/>
          </w:tcPr>
          <w:p w:rsidR="00000000" w:rsidRDefault="00000000">
            <w:pPr>
              <w:keepNext/>
              <w:spacing w:before="40" w:after="40" w:line="180" w:lineRule="exact"/>
              <w:ind w:right="1451"/>
              <w:jc w:val="right"/>
              <w:rPr>
                <w:sz w:val="17"/>
              </w:rPr>
            </w:pPr>
            <w:r>
              <w:rPr>
                <w:sz w:val="17"/>
              </w:rPr>
              <w:t>14</w:t>
            </w:r>
          </w:p>
        </w:tc>
      </w:tr>
      <w:tr w:rsidR="00000000">
        <w:tblPrEx>
          <w:tblCellMar>
            <w:top w:w="0" w:type="dxa"/>
            <w:bottom w:w="0" w:type="dxa"/>
          </w:tblCellMar>
        </w:tblPrEx>
        <w:tc>
          <w:tcPr>
            <w:tcW w:w="4073" w:type="dxa"/>
          </w:tcPr>
          <w:p w:rsidR="00000000" w:rsidRDefault="00000000">
            <w:pPr>
              <w:keepNext/>
              <w:spacing w:before="40" w:after="40" w:line="180" w:lineRule="exact"/>
              <w:rPr>
                <w:sz w:val="17"/>
              </w:rPr>
            </w:pPr>
            <w:r>
              <w:rPr>
                <w:sz w:val="17"/>
              </w:rPr>
              <w:t>Не для публ</w:t>
            </w:r>
            <w:r>
              <w:rPr>
                <w:sz w:val="17"/>
              </w:rPr>
              <w:t>и</w:t>
            </w:r>
            <w:r>
              <w:rPr>
                <w:sz w:val="17"/>
              </w:rPr>
              <w:t>кации</w:t>
            </w:r>
          </w:p>
        </w:tc>
        <w:tc>
          <w:tcPr>
            <w:tcW w:w="3298" w:type="dxa"/>
          </w:tcPr>
          <w:p w:rsidR="00000000" w:rsidRDefault="00000000">
            <w:pPr>
              <w:keepNext/>
              <w:spacing w:before="40" w:after="40" w:line="180" w:lineRule="exact"/>
              <w:ind w:right="1451"/>
              <w:jc w:val="right"/>
              <w:rPr>
                <w:sz w:val="17"/>
              </w:rPr>
            </w:pPr>
            <w:r>
              <w:rPr>
                <w:sz w:val="17"/>
              </w:rPr>
              <w:t>4</w:t>
            </w:r>
          </w:p>
        </w:tc>
      </w:tr>
      <w:tr w:rsidR="00000000">
        <w:tblPrEx>
          <w:tblCellMar>
            <w:top w:w="0" w:type="dxa"/>
            <w:bottom w:w="0" w:type="dxa"/>
          </w:tblCellMar>
        </w:tblPrEx>
        <w:tc>
          <w:tcPr>
            <w:tcW w:w="4073" w:type="dxa"/>
          </w:tcPr>
          <w:p w:rsidR="00000000" w:rsidRDefault="00000000">
            <w:pPr>
              <w:keepNext/>
              <w:spacing w:before="40" w:after="40" w:line="180" w:lineRule="exact"/>
              <w:rPr>
                <w:sz w:val="17"/>
              </w:rPr>
            </w:pPr>
            <w:r>
              <w:rPr>
                <w:sz w:val="17"/>
              </w:rPr>
              <w:t>Другие</w:t>
            </w:r>
          </w:p>
        </w:tc>
        <w:tc>
          <w:tcPr>
            <w:tcW w:w="3298" w:type="dxa"/>
          </w:tcPr>
          <w:p w:rsidR="00000000" w:rsidRDefault="00000000">
            <w:pPr>
              <w:keepNext/>
              <w:spacing w:before="40" w:after="40" w:line="180" w:lineRule="exact"/>
              <w:ind w:right="1451"/>
              <w:jc w:val="right"/>
              <w:rPr>
                <w:sz w:val="17"/>
              </w:rPr>
            </w:pPr>
            <w:r>
              <w:rPr>
                <w:sz w:val="17"/>
              </w:rPr>
              <w:t>7</w:t>
            </w:r>
          </w:p>
        </w:tc>
      </w:tr>
      <w:tr w:rsidR="00000000">
        <w:tblPrEx>
          <w:tblCellMar>
            <w:top w:w="0" w:type="dxa"/>
            <w:bottom w:w="0" w:type="dxa"/>
          </w:tblCellMar>
        </w:tblPrEx>
        <w:tc>
          <w:tcPr>
            <w:tcW w:w="4073" w:type="dxa"/>
            <w:tcBorders>
              <w:bottom w:val="single" w:sz="12" w:space="0" w:color="auto"/>
            </w:tcBorders>
          </w:tcPr>
          <w:p w:rsidR="00000000" w:rsidRDefault="00000000">
            <w:pPr>
              <w:keepNext/>
              <w:spacing w:before="40" w:after="40" w:line="180" w:lineRule="exact"/>
              <w:rPr>
                <w:sz w:val="17"/>
              </w:rPr>
            </w:pPr>
            <w:r>
              <w:rPr>
                <w:sz w:val="17"/>
              </w:rPr>
              <w:t>Всего</w:t>
            </w:r>
          </w:p>
        </w:tc>
        <w:tc>
          <w:tcPr>
            <w:tcW w:w="3298" w:type="dxa"/>
            <w:tcBorders>
              <w:bottom w:val="single" w:sz="12" w:space="0" w:color="auto"/>
            </w:tcBorders>
          </w:tcPr>
          <w:p w:rsidR="00000000" w:rsidRDefault="00000000">
            <w:pPr>
              <w:keepNext/>
              <w:spacing w:before="40" w:after="40" w:line="180" w:lineRule="exact"/>
              <w:ind w:right="1451"/>
              <w:jc w:val="right"/>
              <w:rPr>
                <w:sz w:val="17"/>
              </w:rPr>
            </w:pPr>
            <w:r>
              <w:rPr>
                <w:sz w:val="17"/>
              </w:rPr>
              <w:t>147</w:t>
            </w:r>
          </w:p>
        </w:tc>
      </w:tr>
    </w:tbl>
    <w:p w:rsidR="00000000" w:rsidRDefault="00000000">
      <w:pPr>
        <w:pStyle w:val="SingleTxt"/>
        <w:ind w:firstLine="0"/>
      </w:pPr>
      <w:r>
        <w:rPr>
          <w:i/>
        </w:rPr>
        <w:t>Источник</w:t>
      </w:r>
      <w:r>
        <w:t>: Министерство здравоохранения, 2001 год (этническая принадле</w:t>
      </w:r>
      <w:r>
        <w:t>ж</w:t>
      </w:r>
      <w:r>
        <w:t>ность определялась на основе сведений в списке кандидатов)</w:t>
      </w:r>
    </w:p>
    <w:p w:rsidR="00000000" w:rsidRDefault="00000000">
      <w:pPr>
        <w:pStyle w:val="SingleTxt"/>
      </w:pPr>
      <w:r>
        <w:t>ОМСК вменяется в обязанность включать в свой состав по крайней мере двух представителей народности маори и стремится увеличивать эту долю в пропорции, соизмеримой с долей представителей народности маори в своем округе. В случае недостаточной численности маори, избранных в ту или иную комиссию (менее двух), министр здравоохранения может назначить дополн</w:t>
      </w:r>
      <w:r>
        <w:t>и</w:t>
      </w:r>
      <w:r>
        <w:t>тельных членов из числа маори.</w:t>
      </w:r>
    </w:p>
    <w:p w:rsidR="00000000" w:rsidRDefault="00000000">
      <w:pPr>
        <w:pStyle w:val="SingleTxt"/>
      </w:pPr>
      <w:r>
        <w:t>В Законе о выборах в органы местного самоуправления 2001 года соде</w:t>
      </w:r>
      <w:r>
        <w:t>р</w:t>
      </w:r>
      <w:r>
        <w:t>жится ряд новых положений, которые могут способствовать расширению пре</w:t>
      </w:r>
      <w:r>
        <w:t>д</w:t>
      </w:r>
      <w:r>
        <w:t>ставленности женщин в органах местного самоуправления. Согласно нововв</w:t>
      </w:r>
      <w:r>
        <w:t>е</w:t>
      </w:r>
      <w:r>
        <w:t>дениям, кандидаты составляют резюме объемом 150 слов, которые наряду с и</w:t>
      </w:r>
      <w:r>
        <w:t>з</w:t>
      </w:r>
      <w:r>
        <w:t>бирательными документами для выборщиков распространяются среди всех в</w:t>
      </w:r>
      <w:r>
        <w:t>ы</w:t>
      </w:r>
      <w:r>
        <w:t>борщиков. Это положение, поощряющее принцип равных возможностей, было введено в действие на выборах в местные органы самоуправления в 2001 году. В настоящее время представляется преждевременным оценивать его воздейс</w:t>
      </w:r>
      <w:r>
        <w:t>т</w:t>
      </w:r>
      <w:r>
        <w:t>вие на процесс голосования. Департамент внутренних дел по-прежнему осущ</w:t>
      </w:r>
      <w:r>
        <w:t>е</w:t>
      </w:r>
      <w:r>
        <w:t>ствляет сбор информации, к</w:t>
      </w:r>
      <w:r>
        <w:t>а</w:t>
      </w:r>
      <w:r>
        <w:t>сающейся действия этого положения.</w:t>
      </w:r>
    </w:p>
    <w:p w:rsidR="00000000" w:rsidRDefault="00000000">
      <w:pPr>
        <w:pStyle w:val="SingleTxt"/>
      </w:pPr>
      <w:r>
        <w:t>Согласно другому нововведению, устанавливаются ограничения на расх</w:t>
      </w:r>
      <w:r>
        <w:t>о</w:t>
      </w:r>
      <w:r>
        <w:t>ды избирательной компании кандидатов, определяемые численностью насел</w:t>
      </w:r>
      <w:r>
        <w:t>е</w:t>
      </w:r>
      <w:r>
        <w:t>ния конкретного избирательного округа. Это положение поощряет принцип, с</w:t>
      </w:r>
      <w:r>
        <w:t>о</w:t>
      </w:r>
      <w:r>
        <w:t>гласно которому все наделенные соответствующими правами лицами имеют равные и разумные возможности голосовать на выборах и быть избранными. Действенность этого положения в н</w:t>
      </w:r>
      <w:r>
        <w:t>а</w:t>
      </w:r>
      <w:r>
        <w:t>стоящее время изучается.</w:t>
      </w:r>
    </w:p>
    <w:p w:rsidR="00000000" w:rsidRDefault="00000000">
      <w:pPr>
        <w:pStyle w:val="SingleTxt"/>
      </w:pPr>
      <w:r>
        <w:t>Третье важное положение связано с введением системы единого перед</w:t>
      </w:r>
      <w:r>
        <w:t>а</w:t>
      </w:r>
      <w:r>
        <w:t>ваемого голоса (СЕПГ) в качестве альтернативы избирательной системе орг</w:t>
      </w:r>
      <w:r>
        <w:t>а</w:t>
      </w:r>
      <w:r>
        <w:t>нов местного самоуправления начиная с 2004 года и в последующий период. Как одна из форм преференциального голосования, СЕПГ рассматривается многими как более справедливая система, которая может повысить уровень представленности женщин в целом, а также увеличить численность маори и женщин другого этнического происхождения на выборных должностях в орг</w:t>
      </w:r>
      <w:r>
        <w:t>а</w:t>
      </w:r>
      <w:r>
        <w:t>нах местного с</w:t>
      </w:r>
      <w:r>
        <w:t>а</w:t>
      </w:r>
      <w:r>
        <w:t>моуправления.</w:t>
      </w:r>
    </w:p>
    <w:p w:rsidR="00000000" w:rsidRDefault="00000000">
      <w:pPr>
        <w:pStyle w:val="SingleTxt"/>
      </w:pPr>
      <w:r>
        <w:t>В 2001 году было развернуто осуществление кампании под названием "Участие 0800", направленное на поощрение прав выборщиков, права баллот</w:t>
      </w:r>
      <w:r>
        <w:t>и</w:t>
      </w:r>
      <w:r>
        <w:t>роваться в качестве кандидатов и реализацию на практике своего права прин</w:t>
      </w:r>
      <w:r>
        <w:t>и</w:t>
      </w:r>
      <w:r>
        <w:t>мать участие в голосовании. Эта кампания организована совместно органами местного самоуправления и правительственными учреждениями, заинтерес</w:t>
      </w:r>
      <w:r>
        <w:t>о</w:t>
      </w:r>
      <w:r>
        <w:t>ванными в содействии участию и представленности в органах местного сам</w:t>
      </w:r>
      <w:r>
        <w:t>о</w:t>
      </w:r>
      <w:r>
        <w:t>управления и углублению понимания процессов выборов в органы местного самоуправления. Эта кампания осуществляется в интересах женщин, предст</w:t>
      </w:r>
      <w:r>
        <w:t>а</w:t>
      </w:r>
      <w:r>
        <w:t>вителей народности маори, жителей тихоокеанских островов, молодежи и представителей различных этнических групп.</w:t>
      </w:r>
    </w:p>
    <w:p w:rsidR="00000000" w:rsidRDefault="00000000">
      <w:pPr>
        <w:pStyle w:val="H23"/>
      </w:pPr>
      <w:r>
        <w:t>Исследования и оценки</w:t>
      </w:r>
    </w:p>
    <w:p w:rsidR="00000000" w:rsidRDefault="00000000">
      <w:pPr>
        <w:pStyle w:val="SingleTxt"/>
      </w:pPr>
      <w:r>
        <w:t>Департамент внутренних дел осуществил проводимое раз в три года о</w:t>
      </w:r>
      <w:r>
        <w:t>б</w:t>
      </w:r>
      <w:r>
        <w:t>следование процесса выборов в органы местного самоуправления с целью представления статистического доклада о выборах 2001 года. Параметры этого обследования включают численность женщин, которые голосуют и баллотир</w:t>
      </w:r>
      <w:r>
        <w:t>у</w:t>
      </w:r>
      <w:r>
        <w:t>ются на выборах в органы местного самоуправления. Обследование предусма</w:t>
      </w:r>
      <w:r>
        <w:t>т</w:t>
      </w:r>
      <w:r>
        <w:t>ривает разбивку численности женщин, избранных на должности в органы м</w:t>
      </w:r>
      <w:r>
        <w:t>е</w:t>
      </w:r>
      <w:r>
        <w:t>стного самоуправления.</w:t>
      </w:r>
    </w:p>
    <w:p w:rsidR="00000000" w:rsidRDefault="00000000">
      <w:pPr>
        <w:pStyle w:val="SingleTxt"/>
      </w:pPr>
      <w:r>
        <w:t>Было проведено также обследование кандидатов избирательной кампании в органы местного самоуправления 2001 года, как и в случае избирательной кампании 1998 года. В это обследование включены сопоставительные данные, касающиеся половой принадлежности кандидатов. Одна из целей обследования заключалась в определении представленности и шансов различных кандидатов на успешные результаты голосования. Кроме того, оно было направлено на создание основы для изучения таких вопросов, как существующие барьеры на пути получения статуса кандидата и пути и средства их преодоления.</w:t>
      </w:r>
    </w:p>
    <w:p w:rsidR="00000000" w:rsidRDefault="00000000">
      <w:pPr>
        <w:pStyle w:val="H1"/>
      </w:pPr>
      <w:r>
        <w:t>Женщины и законодательство</w:t>
      </w:r>
    </w:p>
    <w:p w:rsidR="00000000" w:rsidRDefault="00000000">
      <w:pPr>
        <w:pStyle w:val="SingleTxt"/>
      </w:pPr>
      <w:r>
        <w:t>В таблице ниже приводится численность женщин, назначенных на дол</w:t>
      </w:r>
      <w:r>
        <w:t>ж</w:t>
      </w:r>
      <w:r>
        <w:t>ности в судебной системе с февраля 1998 года, а также общая численность с</w:t>
      </w:r>
      <w:r>
        <w:t>у</w:t>
      </w:r>
      <w:r>
        <w:t>дей из числа женщин и мужчин. В этой связи следует отметить следующие факты: в 1999 году впервые женщина была назначена Верховным судьей Новой Зеландии; впервые женщина была назначена постоянным членом Апелляцио</w:t>
      </w:r>
      <w:r>
        <w:t>н</w:t>
      </w:r>
      <w:r>
        <w:t>ного суда (иного, чем Верховный суд) в 2002 году; впервые женщина была н</w:t>
      </w:r>
      <w:r>
        <w:t>а</w:t>
      </w:r>
      <w:r>
        <w:t>значена Главным судьей Суда по экологическим вопросам; впервые женщины были назначены судьями Земельного суда Маори. Кроме того, в феврале 1998 года 11 женщин были назначены судьями окружных судов из числа 24 кандид</w:t>
      </w:r>
      <w:r>
        <w:t>а</w:t>
      </w:r>
      <w:r>
        <w:t>тов на эти должности.</w:t>
      </w:r>
    </w:p>
    <w:tbl>
      <w:tblPr>
        <w:tblW w:w="0" w:type="auto"/>
        <w:tblInd w:w="1278" w:type="dxa"/>
        <w:tblLayout w:type="fixed"/>
        <w:tblLook w:val="01E0" w:firstRow="1" w:lastRow="1" w:firstColumn="1" w:lastColumn="1" w:noHBand="0" w:noVBand="0"/>
      </w:tblPr>
      <w:tblGrid>
        <w:gridCol w:w="2491"/>
        <w:gridCol w:w="1626"/>
        <w:gridCol w:w="1627"/>
        <w:gridCol w:w="1627"/>
      </w:tblGrid>
      <w:tr w:rsidR="00000000">
        <w:tblPrEx>
          <w:tblCellMar>
            <w:top w:w="0" w:type="dxa"/>
            <w:bottom w:w="0" w:type="dxa"/>
          </w:tblCellMar>
        </w:tblPrEx>
        <w:trPr>
          <w:tblHeader/>
        </w:trPr>
        <w:tc>
          <w:tcPr>
            <w:tcW w:w="2491" w:type="dxa"/>
            <w:tcBorders>
              <w:top w:val="single" w:sz="6" w:space="0" w:color="auto"/>
              <w:bottom w:val="single" w:sz="12" w:space="0" w:color="auto"/>
            </w:tcBorders>
            <w:vAlign w:val="center"/>
          </w:tcPr>
          <w:p w:rsidR="00000000" w:rsidRDefault="00000000">
            <w:pPr>
              <w:keepNext/>
              <w:spacing w:before="40" w:after="40" w:line="180" w:lineRule="exact"/>
              <w:rPr>
                <w:i/>
                <w:sz w:val="17"/>
              </w:rPr>
            </w:pPr>
            <w:r>
              <w:rPr>
                <w:i/>
                <w:sz w:val="17"/>
              </w:rPr>
              <w:t>Суд</w:t>
            </w:r>
          </w:p>
        </w:tc>
        <w:tc>
          <w:tcPr>
            <w:tcW w:w="1626" w:type="dxa"/>
            <w:tcBorders>
              <w:top w:val="single" w:sz="6" w:space="0" w:color="auto"/>
              <w:bottom w:val="single" w:sz="12" w:space="0" w:color="auto"/>
            </w:tcBorders>
            <w:vAlign w:val="center"/>
          </w:tcPr>
          <w:p w:rsidR="00000000" w:rsidRDefault="00000000">
            <w:pPr>
              <w:pStyle w:val="Footer"/>
              <w:keepNext/>
              <w:tabs>
                <w:tab w:val="clear" w:pos="4320"/>
                <w:tab w:val="clear" w:pos="8640"/>
              </w:tabs>
              <w:spacing w:before="40" w:after="40" w:line="180" w:lineRule="exact"/>
              <w:jc w:val="center"/>
              <w:rPr>
                <w:b w:val="0"/>
                <w:i/>
                <w:noProof w:val="0"/>
                <w:spacing w:val="4"/>
                <w:w w:val="103"/>
                <w:kern w:val="14"/>
              </w:rPr>
            </w:pPr>
            <w:r>
              <w:rPr>
                <w:b w:val="0"/>
                <w:i/>
                <w:noProof w:val="0"/>
                <w:spacing w:val="4"/>
                <w:w w:val="103"/>
                <w:kern w:val="14"/>
              </w:rPr>
              <w:t>Новые назнач</w:t>
            </w:r>
            <w:r>
              <w:rPr>
                <w:b w:val="0"/>
                <w:i/>
                <w:noProof w:val="0"/>
                <w:spacing w:val="4"/>
                <w:w w:val="103"/>
                <w:kern w:val="14"/>
              </w:rPr>
              <w:t>е</w:t>
            </w:r>
            <w:r>
              <w:rPr>
                <w:b w:val="0"/>
                <w:i/>
                <w:noProof w:val="0"/>
                <w:spacing w:val="4"/>
                <w:w w:val="103"/>
                <w:kern w:val="14"/>
              </w:rPr>
              <w:t>ния женщин с февраля 1998 года</w:t>
            </w:r>
          </w:p>
        </w:tc>
        <w:tc>
          <w:tcPr>
            <w:tcW w:w="1627" w:type="dxa"/>
            <w:tcBorders>
              <w:top w:val="single" w:sz="6" w:space="0" w:color="auto"/>
              <w:bottom w:val="single" w:sz="12" w:space="0" w:color="auto"/>
            </w:tcBorders>
            <w:vAlign w:val="center"/>
          </w:tcPr>
          <w:p w:rsidR="00000000" w:rsidRDefault="00000000">
            <w:pPr>
              <w:keepNext/>
              <w:spacing w:before="40" w:after="40" w:line="180" w:lineRule="exact"/>
              <w:jc w:val="center"/>
              <w:rPr>
                <w:i/>
                <w:sz w:val="17"/>
              </w:rPr>
            </w:pPr>
            <w:r>
              <w:rPr>
                <w:i/>
                <w:sz w:val="17"/>
              </w:rPr>
              <w:t>Общее количес</w:t>
            </w:r>
            <w:r>
              <w:rPr>
                <w:i/>
                <w:sz w:val="17"/>
              </w:rPr>
              <w:t>т</w:t>
            </w:r>
            <w:r>
              <w:rPr>
                <w:i/>
                <w:sz w:val="17"/>
              </w:rPr>
              <w:t>во судей из числа же</w:t>
            </w:r>
            <w:r>
              <w:rPr>
                <w:i/>
                <w:sz w:val="17"/>
              </w:rPr>
              <w:t>н</w:t>
            </w:r>
            <w:r>
              <w:rPr>
                <w:i/>
                <w:sz w:val="17"/>
              </w:rPr>
              <w:t>щин</w:t>
            </w:r>
          </w:p>
        </w:tc>
        <w:tc>
          <w:tcPr>
            <w:tcW w:w="1627" w:type="dxa"/>
            <w:tcBorders>
              <w:top w:val="single" w:sz="6" w:space="0" w:color="auto"/>
              <w:bottom w:val="single" w:sz="12" w:space="0" w:color="auto"/>
            </w:tcBorders>
            <w:vAlign w:val="center"/>
          </w:tcPr>
          <w:p w:rsidR="00000000" w:rsidRDefault="00000000">
            <w:pPr>
              <w:keepNext/>
              <w:spacing w:before="40" w:after="40" w:line="180" w:lineRule="exact"/>
              <w:jc w:val="center"/>
              <w:rPr>
                <w:i/>
                <w:sz w:val="17"/>
              </w:rPr>
            </w:pPr>
            <w:r>
              <w:rPr>
                <w:i/>
                <w:sz w:val="17"/>
              </w:rPr>
              <w:t>Общее количес</w:t>
            </w:r>
            <w:r>
              <w:rPr>
                <w:i/>
                <w:sz w:val="17"/>
              </w:rPr>
              <w:t>т</w:t>
            </w:r>
            <w:r>
              <w:rPr>
                <w:i/>
                <w:sz w:val="17"/>
              </w:rPr>
              <w:t>во судей из числа му</w:t>
            </w:r>
            <w:r>
              <w:rPr>
                <w:i/>
                <w:sz w:val="17"/>
              </w:rPr>
              <w:t>ж</w:t>
            </w:r>
            <w:r>
              <w:rPr>
                <w:i/>
                <w:sz w:val="17"/>
              </w:rPr>
              <w:t>чин</w:t>
            </w:r>
          </w:p>
        </w:tc>
      </w:tr>
      <w:tr w:rsidR="00000000">
        <w:tblPrEx>
          <w:tblCellMar>
            <w:top w:w="0" w:type="dxa"/>
            <w:bottom w:w="0" w:type="dxa"/>
          </w:tblCellMar>
        </w:tblPrEx>
        <w:tc>
          <w:tcPr>
            <w:tcW w:w="2491" w:type="dxa"/>
            <w:tcBorders>
              <w:top w:val="single" w:sz="12" w:space="0" w:color="auto"/>
            </w:tcBorders>
          </w:tcPr>
          <w:p w:rsidR="00000000" w:rsidRDefault="00000000">
            <w:pPr>
              <w:keepNext/>
              <w:spacing w:before="40" w:after="40" w:line="180" w:lineRule="exact"/>
              <w:rPr>
                <w:sz w:val="17"/>
              </w:rPr>
            </w:pPr>
            <w:r>
              <w:rPr>
                <w:sz w:val="17"/>
              </w:rPr>
              <w:t>Верховный суд</w:t>
            </w:r>
          </w:p>
        </w:tc>
        <w:tc>
          <w:tcPr>
            <w:tcW w:w="1626" w:type="dxa"/>
            <w:tcBorders>
              <w:top w:val="single" w:sz="12" w:space="0" w:color="auto"/>
            </w:tcBorders>
          </w:tcPr>
          <w:p w:rsidR="00000000" w:rsidRDefault="00000000">
            <w:pPr>
              <w:keepNext/>
              <w:tabs>
                <w:tab w:val="decimal" w:pos="803"/>
              </w:tabs>
              <w:spacing w:before="40" w:after="40" w:line="180" w:lineRule="exact"/>
              <w:rPr>
                <w:sz w:val="17"/>
              </w:rPr>
            </w:pPr>
            <w:r>
              <w:rPr>
                <w:sz w:val="17"/>
              </w:rPr>
              <w:t>1</w:t>
            </w:r>
          </w:p>
        </w:tc>
        <w:tc>
          <w:tcPr>
            <w:tcW w:w="1627" w:type="dxa"/>
            <w:tcBorders>
              <w:top w:val="single" w:sz="12" w:space="0" w:color="auto"/>
            </w:tcBorders>
          </w:tcPr>
          <w:p w:rsidR="00000000" w:rsidRDefault="00000000">
            <w:pPr>
              <w:keepNext/>
              <w:tabs>
                <w:tab w:val="decimal" w:pos="803"/>
              </w:tabs>
              <w:spacing w:before="40" w:after="40" w:line="180" w:lineRule="exact"/>
              <w:rPr>
                <w:sz w:val="17"/>
              </w:rPr>
            </w:pPr>
            <w:r>
              <w:rPr>
                <w:sz w:val="17"/>
              </w:rPr>
              <w:t>1</w:t>
            </w:r>
          </w:p>
        </w:tc>
        <w:tc>
          <w:tcPr>
            <w:tcW w:w="1627" w:type="dxa"/>
            <w:tcBorders>
              <w:top w:val="single" w:sz="12" w:space="0" w:color="auto"/>
            </w:tcBorders>
          </w:tcPr>
          <w:p w:rsidR="00000000" w:rsidRDefault="00000000">
            <w:pPr>
              <w:keepNext/>
              <w:tabs>
                <w:tab w:val="decimal" w:pos="803"/>
              </w:tabs>
              <w:spacing w:before="40" w:after="40" w:line="180" w:lineRule="exact"/>
              <w:rPr>
                <w:sz w:val="17"/>
              </w:rPr>
            </w:pPr>
            <w:r>
              <w:rPr>
                <w:sz w:val="17"/>
              </w:rPr>
              <w:t>0</w:t>
            </w:r>
          </w:p>
        </w:tc>
      </w:tr>
      <w:tr w:rsidR="00000000">
        <w:tblPrEx>
          <w:tblCellMar>
            <w:top w:w="0" w:type="dxa"/>
            <w:bottom w:w="0" w:type="dxa"/>
          </w:tblCellMar>
        </w:tblPrEx>
        <w:tc>
          <w:tcPr>
            <w:tcW w:w="2491" w:type="dxa"/>
          </w:tcPr>
          <w:p w:rsidR="00000000" w:rsidRDefault="00000000">
            <w:pPr>
              <w:keepNext/>
              <w:spacing w:before="40" w:after="40" w:line="180" w:lineRule="exact"/>
              <w:rPr>
                <w:sz w:val="17"/>
              </w:rPr>
            </w:pPr>
            <w:r>
              <w:rPr>
                <w:sz w:val="17"/>
              </w:rPr>
              <w:t>Апелляционный суд</w:t>
            </w:r>
          </w:p>
        </w:tc>
        <w:tc>
          <w:tcPr>
            <w:tcW w:w="1626" w:type="dxa"/>
          </w:tcPr>
          <w:p w:rsidR="00000000" w:rsidRDefault="00000000">
            <w:pPr>
              <w:keepNext/>
              <w:tabs>
                <w:tab w:val="decimal" w:pos="803"/>
              </w:tabs>
              <w:spacing w:before="40" w:after="40" w:line="180" w:lineRule="exact"/>
              <w:rPr>
                <w:sz w:val="17"/>
              </w:rPr>
            </w:pPr>
            <w:r>
              <w:rPr>
                <w:sz w:val="17"/>
              </w:rPr>
              <w:t>1</w:t>
            </w:r>
          </w:p>
        </w:tc>
        <w:tc>
          <w:tcPr>
            <w:tcW w:w="1627" w:type="dxa"/>
          </w:tcPr>
          <w:p w:rsidR="00000000" w:rsidRDefault="00000000">
            <w:pPr>
              <w:keepNext/>
              <w:tabs>
                <w:tab w:val="decimal" w:pos="803"/>
              </w:tabs>
              <w:spacing w:before="40" w:after="40" w:line="180" w:lineRule="exact"/>
              <w:rPr>
                <w:sz w:val="17"/>
              </w:rPr>
            </w:pPr>
            <w:r>
              <w:rPr>
                <w:sz w:val="17"/>
              </w:rPr>
              <w:t>1</w:t>
            </w:r>
          </w:p>
        </w:tc>
        <w:tc>
          <w:tcPr>
            <w:tcW w:w="1627" w:type="dxa"/>
          </w:tcPr>
          <w:p w:rsidR="00000000" w:rsidRDefault="00000000">
            <w:pPr>
              <w:keepNext/>
              <w:tabs>
                <w:tab w:val="decimal" w:pos="803"/>
              </w:tabs>
              <w:spacing w:before="40" w:after="40" w:line="180" w:lineRule="exact"/>
              <w:rPr>
                <w:sz w:val="17"/>
              </w:rPr>
            </w:pPr>
            <w:r>
              <w:rPr>
                <w:sz w:val="17"/>
              </w:rPr>
              <w:t>6</w:t>
            </w:r>
          </w:p>
        </w:tc>
      </w:tr>
      <w:tr w:rsidR="00000000">
        <w:tblPrEx>
          <w:tblCellMar>
            <w:top w:w="0" w:type="dxa"/>
            <w:bottom w:w="0" w:type="dxa"/>
          </w:tblCellMar>
        </w:tblPrEx>
        <w:tc>
          <w:tcPr>
            <w:tcW w:w="2491" w:type="dxa"/>
          </w:tcPr>
          <w:p w:rsidR="00000000" w:rsidRDefault="00000000">
            <w:pPr>
              <w:keepNext/>
              <w:spacing w:before="40" w:after="40" w:line="180" w:lineRule="exact"/>
              <w:rPr>
                <w:sz w:val="17"/>
              </w:rPr>
            </w:pPr>
            <w:r>
              <w:rPr>
                <w:sz w:val="17"/>
              </w:rPr>
              <w:t>Высокий суд</w:t>
            </w:r>
          </w:p>
        </w:tc>
        <w:tc>
          <w:tcPr>
            <w:tcW w:w="1626" w:type="dxa"/>
          </w:tcPr>
          <w:p w:rsidR="00000000" w:rsidRDefault="00000000">
            <w:pPr>
              <w:keepNext/>
              <w:tabs>
                <w:tab w:val="decimal" w:pos="803"/>
              </w:tabs>
              <w:spacing w:before="40" w:after="40" w:line="180" w:lineRule="exact"/>
              <w:rPr>
                <w:sz w:val="17"/>
              </w:rPr>
            </w:pPr>
            <w:r>
              <w:rPr>
                <w:sz w:val="17"/>
              </w:rPr>
              <w:t>1</w:t>
            </w:r>
          </w:p>
        </w:tc>
        <w:tc>
          <w:tcPr>
            <w:tcW w:w="1627" w:type="dxa"/>
          </w:tcPr>
          <w:p w:rsidR="00000000" w:rsidRDefault="00000000">
            <w:pPr>
              <w:keepNext/>
              <w:tabs>
                <w:tab w:val="decimal" w:pos="803"/>
              </w:tabs>
              <w:spacing w:before="40" w:after="40" w:line="180" w:lineRule="exact"/>
              <w:rPr>
                <w:sz w:val="17"/>
              </w:rPr>
            </w:pPr>
            <w:r>
              <w:rPr>
                <w:sz w:val="17"/>
              </w:rPr>
              <w:t>3</w:t>
            </w:r>
          </w:p>
        </w:tc>
        <w:tc>
          <w:tcPr>
            <w:tcW w:w="1627" w:type="dxa"/>
          </w:tcPr>
          <w:p w:rsidR="00000000" w:rsidRDefault="00000000">
            <w:pPr>
              <w:keepNext/>
              <w:tabs>
                <w:tab w:val="decimal" w:pos="803"/>
              </w:tabs>
              <w:spacing w:before="40" w:after="40" w:line="180" w:lineRule="exact"/>
              <w:rPr>
                <w:sz w:val="17"/>
              </w:rPr>
            </w:pPr>
            <w:r>
              <w:rPr>
                <w:sz w:val="17"/>
              </w:rPr>
              <w:t>26</w:t>
            </w:r>
          </w:p>
        </w:tc>
      </w:tr>
      <w:tr w:rsidR="00000000">
        <w:tblPrEx>
          <w:tblCellMar>
            <w:top w:w="0" w:type="dxa"/>
            <w:bottom w:w="0" w:type="dxa"/>
          </w:tblCellMar>
        </w:tblPrEx>
        <w:tc>
          <w:tcPr>
            <w:tcW w:w="2491" w:type="dxa"/>
          </w:tcPr>
          <w:p w:rsidR="00000000" w:rsidRDefault="00000000">
            <w:pPr>
              <w:keepNext/>
              <w:spacing w:before="40" w:after="40" w:line="180" w:lineRule="exact"/>
              <w:rPr>
                <w:sz w:val="17"/>
              </w:rPr>
            </w:pPr>
            <w:r>
              <w:rPr>
                <w:sz w:val="17"/>
              </w:rPr>
              <w:t>Окружной суд</w:t>
            </w:r>
            <w:r>
              <w:rPr>
                <w:sz w:val="17"/>
                <w:vertAlign w:val="superscript"/>
              </w:rPr>
              <w:t>*</w:t>
            </w:r>
          </w:p>
        </w:tc>
        <w:tc>
          <w:tcPr>
            <w:tcW w:w="1626" w:type="dxa"/>
          </w:tcPr>
          <w:p w:rsidR="00000000" w:rsidRDefault="00000000">
            <w:pPr>
              <w:keepNext/>
              <w:tabs>
                <w:tab w:val="decimal" w:pos="803"/>
              </w:tabs>
              <w:spacing w:before="40" w:after="40" w:line="180" w:lineRule="exact"/>
              <w:rPr>
                <w:sz w:val="17"/>
              </w:rPr>
            </w:pPr>
            <w:r>
              <w:rPr>
                <w:sz w:val="17"/>
              </w:rPr>
              <w:t>11</w:t>
            </w:r>
            <w:r>
              <w:rPr>
                <w:sz w:val="17"/>
                <w:vertAlign w:val="superscript"/>
              </w:rPr>
              <w:t>**</w:t>
            </w:r>
          </w:p>
        </w:tc>
        <w:tc>
          <w:tcPr>
            <w:tcW w:w="1627" w:type="dxa"/>
          </w:tcPr>
          <w:p w:rsidR="00000000" w:rsidRDefault="00000000">
            <w:pPr>
              <w:keepNext/>
              <w:tabs>
                <w:tab w:val="decimal" w:pos="803"/>
              </w:tabs>
              <w:spacing w:before="40" w:after="40" w:line="180" w:lineRule="exact"/>
              <w:rPr>
                <w:sz w:val="17"/>
              </w:rPr>
            </w:pPr>
            <w:r>
              <w:rPr>
                <w:sz w:val="17"/>
              </w:rPr>
              <w:t>27</w:t>
            </w:r>
            <w:r>
              <w:rPr>
                <w:sz w:val="17"/>
                <w:vertAlign w:val="superscript"/>
              </w:rPr>
              <w:t>**</w:t>
            </w:r>
          </w:p>
        </w:tc>
        <w:tc>
          <w:tcPr>
            <w:tcW w:w="1627" w:type="dxa"/>
          </w:tcPr>
          <w:p w:rsidR="00000000" w:rsidRDefault="00000000">
            <w:pPr>
              <w:keepNext/>
              <w:tabs>
                <w:tab w:val="decimal" w:pos="803"/>
              </w:tabs>
              <w:spacing w:before="40" w:after="40" w:line="180" w:lineRule="exact"/>
              <w:rPr>
                <w:sz w:val="17"/>
              </w:rPr>
            </w:pPr>
            <w:r>
              <w:rPr>
                <w:sz w:val="17"/>
              </w:rPr>
              <w:t>93</w:t>
            </w:r>
          </w:p>
        </w:tc>
      </w:tr>
      <w:tr w:rsidR="00000000">
        <w:tblPrEx>
          <w:tblCellMar>
            <w:top w:w="0" w:type="dxa"/>
            <w:bottom w:w="0" w:type="dxa"/>
          </w:tblCellMar>
        </w:tblPrEx>
        <w:tc>
          <w:tcPr>
            <w:tcW w:w="2491" w:type="dxa"/>
          </w:tcPr>
          <w:p w:rsidR="00000000" w:rsidRDefault="00000000">
            <w:pPr>
              <w:keepNext/>
              <w:spacing w:before="40" w:after="40" w:line="180" w:lineRule="exact"/>
              <w:rPr>
                <w:sz w:val="17"/>
              </w:rPr>
            </w:pPr>
            <w:r>
              <w:rPr>
                <w:sz w:val="17"/>
              </w:rPr>
              <w:t>Земельный суд Маори</w:t>
            </w:r>
          </w:p>
        </w:tc>
        <w:tc>
          <w:tcPr>
            <w:tcW w:w="1626" w:type="dxa"/>
          </w:tcPr>
          <w:p w:rsidR="00000000" w:rsidRDefault="00000000">
            <w:pPr>
              <w:keepNext/>
              <w:tabs>
                <w:tab w:val="decimal" w:pos="803"/>
              </w:tabs>
              <w:spacing w:before="40" w:after="40" w:line="180" w:lineRule="exact"/>
              <w:rPr>
                <w:sz w:val="17"/>
              </w:rPr>
            </w:pPr>
            <w:r>
              <w:rPr>
                <w:sz w:val="17"/>
              </w:rPr>
              <w:t>2</w:t>
            </w:r>
          </w:p>
        </w:tc>
        <w:tc>
          <w:tcPr>
            <w:tcW w:w="1627" w:type="dxa"/>
          </w:tcPr>
          <w:p w:rsidR="00000000" w:rsidRDefault="00000000">
            <w:pPr>
              <w:keepNext/>
              <w:tabs>
                <w:tab w:val="decimal" w:pos="803"/>
              </w:tabs>
              <w:spacing w:before="40" w:after="40" w:line="180" w:lineRule="exact"/>
              <w:rPr>
                <w:sz w:val="17"/>
              </w:rPr>
            </w:pPr>
            <w:r>
              <w:rPr>
                <w:sz w:val="17"/>
              </w:rPr>
              <w:t>2</w:t>
            </w:r>
          </w:p>
        </w:tc>
        <w:tc>
          <w:tcPr>
            <w:tcW w:w="1627" w:type="dxa"/>
          </w:tcPr>
          <w:p w:rsidR="00000000" w:rsidRDefault="00000000">
            <w:pPr>
              <w:keepNext/>
              <w:tabs>
                <w:tab w:val="decimal" w:pos="803"/>
              </w:tabs>
              <w:spacing w:before="40" w:after="40" w:line="180" w:lineRule="exact"/>
              <w:rPr>
                <w:sz w:val="17"/>
              </w:rPr>
            </w:pPr>
            <w:r>
              <w:rPr>
                <w:sz w:val="17"/>
              </w:rPr>
              <w:t>6</w:t>
            </w:r>
          </w:p>
        </w:tc>
      </w:tr>
      <w:tr w:rsidR="00000000">
        <w:tblPrEx>
          <w:tblCellMar>
            <w:top w:w="0" w:type="dxa"/>
            <w:bottom w:w="0" w:type="dxa"/>
          </w:tblCellMar>
        </w:tblPrEx>
        <w:tc>
          <w:tcPr>
            <w:tcW w:w="2491" w:type="dxa"/>
            <w:tcBorders>
              <w:bottom w:val="single" w:sz="12" w:space="0" w:color="auto"/>
            </w:tcBorders>
          </w:tcPr>
          <w:p w:rsidR="00000000" w:rsidRDefault="00000000">
            <w:pPr>
              <w:pStyle w:val="Header"/>
              <w:keepNext/>
              <w:tabs>
                <w:tab w:val="clear" w:pos="4320"/>
                <w:tab w:val="clear" w:pos="8640"/>
              </w:tabs>
              <w:spacing w:before="40" w:after="40" w:line="180" w:lineRule="exact"/>
              <w:rPr>
                <w:noProof w:val="0"/>
                <w:spacing w:val="4"/>
                <w:w w:val="103"/>
                <w:kern w:val="14"/>
              </w:rPr>
            </w:pPr>
            <w:r>
              <w:rPr>
                <w:noProof w:val="0"/>
                <w:spacing w:val="4"/>
                <w:w w:val="103"/>
                <w:kern w:val="14"/>
              </w:rPr>
              <w:t>Суд по вопросам зан</w:t>
            </w:r>
            <w:r>
              <w:rPr>
                <w:noProof w:val="0"/>
                <w:spacing w:val="4"/>
                <w:w w:val="103"/>
                <w:kern w:val="14"/>
              </w:rPr>
              <w:t>я</w:t>
            </w:r>
            <w:r>
              <w:rPr>
                <w:noProof w:val="0"/>
                <w:spacing w:val="4"/>
                <w:w w:val="103"/>
                <w:kern w:val="14"/>
              </w:rPr>
              <w:t>тости</w:t>
            </w:r>
          </w:p>
        </w:tc>
        <w:tc>
          <w:tcPr>
            <w:tcW w:w="1626" w:type="dxa"/>
            <w:tcBorders>
              <w:bottom w:val="single" w:sz="12" w:space="0" w:color="auto"/>
            </w:tcBorders>
          </w:tcPr>
          <w:p w:rsidR="00000000" w:rsidRDefault="00000000">
            <w:pPr>
              <w:keepNext/>
              <w:tabs>
                <w:tab w:val="decimal" w:pos="803"/>
              </w:tabs>
              <w:spacing w:before="40" w:after="40" w:line="180" w:lineRule="exact"/>
              <w:rPr>
                <w:sz w:val="17"/>
              </w:rPr>
            </w:pPr>
            <w:r>
              <w:rPr>
                <w:sz w:val="17"/>
              </w:rPr>
              <w:t>1</w:t>
            </w:r>
          </w:p>
        </w:tc>
        <w:tc>
          <w:tcPr>
            <w:tcW w:w="1627" w:type="dxa"/>
            <w:tcBorders>
              <w:bottom w:val="single" w:sz="12" w:space="0" w:color="auto"/>
            </w:tcBorders>
          </w:tcPr>
          <w:p w:rsidR="00000000" w:rsidRDefault="00000000">
            <w:pPr>
              <w:keepNext/>
              <w:tabs>
                <w:tab w:val="decimal" w:pos="803"/>
              </w:tabs>
              <w:spacing w:before="40" w:after="40" w:line="180" w:lineRule="exact"/>
              <w:rPr>
                <w:sz w:val="17"/>
              </w:rPr>
            </w:pPr>
            <w:r>
              <w:rPr>
                <w:sz w:val="17"/>
              </w:rPr>
              <w:t>1</w:t>
            </w:r>
          </w:p>
        </w:tc>
        <w:tc>
          <w:tcPr>
            <w:tcW w:w="1627" w:type="dxa"/>
            <w:tcBorders>
              <w:bottom w:val="single" w:sz="12" w:space="0" w:color="auto"/>
            </w:tcBorders>
          </w:tcPr>
          <w:p w:rsidR="00000000" w:rsidRDefault="00000000">
            <w:pPr>
              <w:keepNext/>
              <w:tabs>
                <w:tab w:val="decimal" w:pos="803"/>
              </w:tabs>
              <w:spacing w:before="40" w:after="40" w:line="180" w:lineRule="exact"/>
              <w:rPr>
                <w:sz w:val="17"/>
              </w:rPr>
            </w:pPr>
            <w:r>
              <w:rPr>
                <w:sz w:val="17"/>
              </w:rPr>
              <w:t>4</w:t>
            </w:r>
          </w:p>
        </w:tc>
      </w:tr>
    </w:tbl>
    <w:p w:rsidR="00000000" w:rsidRDefault="00000000">
      <w:pPr>
        <w:pStyle w:val="SingleTxt"/>
        <w:keepNext/>
        <w:ind w:firstLine="0"/>
      </w:pPr>
      <w:r>
        <w:rPr>
          <w:i/>
        </w:rPr>
        <w:t>Источник</w:t>
      </w:r>
      <w:r>
        <w:t>: Министерство юстиции, 2002 год.</w:t>
      </w:r>
    </w:p>
    <w:p w:rsidR="00000000" w:rsidRDefault="00000000">
      <w:pPr>
        <w:keepNext/>
        <w:ind w:left="1560" w:right="1264" w:hanging="296"/>
        <w:rPr>
          <w:sz w:val="17"/>
        </w:rPr>
      </w:pPr>
      <w:r>
        <w:rPr>
          <w:sz w:val="17"/>
          <w:vertAlign w:val="superscript"/>
        </w:rPr>
        <w:t xml:space="preserve">* </w:t>
      </w:r>
      <w:r>
        <w:rPr>
          <w:sz w:val="17"/>
        </w:rPr>
        <w:tab/>
        <w:t>Включая суды по делам семьи, молодежи и окружающей среды.</w:t>
      </w:r>
    </w:p>
    <w:p w:rsidR="00000000" w:rsidRDefault="00000000">
      <w:pPr>
        <w:ind w:left="1559" w:right="1264" w:hanging="295"/>
        <w:rPr>
          <w:sz w:val="17"/>
        </w:rPr>
      </w:pPr>
      <w:r>
        <w:rPr>
          <w:sz w:val="17"/>
          <w:vertAlign w:val="superscript"/>
        </w:rPr>
        <w:t xml:space="preserve">** </w:t>
      </w:r>
      <w:r>
        <w:rPr>
          <w:sz w:val="17"/>
        </w:rPr>
        <w:tab/>
        <w:t>Включая два назначения судей, которые еще не были приведены к присяге.</w:t>
      </w:r>
    </w:p>
    <w:p w:rsidR="00000000" w:rsidRDefault="00000000">
      <w:pPr>
        <w:pStyle w:val="H1"/>
      </w:pPr>
      <w:r>
        <w:t>Женщины на руководящей работе</w:t>
      </w:r>
    </w:p>
    <w:p w:rsidR="00000000" w:rsidRDefault="00000000">
      <w:pPr>
        <w:pStyle w:val="H23"/>
      </w:pPr>
      <w:r>
        <w:t>Государственная служба</w:t>
      </w:r>
    </w:p>
    <w:p w:rsidR="00000000" w:rsidRDefault="00000000">
      <w:pPr>
        <w:pStyle w:val="SingleTxt"/>
      </w:pPr>
      <w:r>
        <w:t>По состоянию на 28 февраля 2002 года 7 из 37 руководителей старшего звена на государственной службе – женщины. Никаких изменений этих данных с момента представления последнего доклада не произошло. По состоянию на 30 июня 2000 года штат государственной службы трех верхних уровней упра</w:t>
      </w:r>
      <w:r>
        <w:t>в</w:t>
      </w:r>
      <w:r>
        <w:t>ленческого звена состоял из 1 162 должностей. 33 процента этих должностей занимали женщины, тогда как в 1999 году их доля на этих должностях соста</w:t>
      </w:r>
      <w:r>
        <w:t>в</w:t>
      </w:r>
      <w:r>
        <w:t>ляла 32 процента</w:t>
      </w:r>
      <w:r>
        <w:rPr>
          <w:rStyle w:val="FootnoteReference"/>
        </w:rPr>
        <w:footnoteReference w:id="6"/>
      </w:r>
      <w:r>
        <w:t>.</w:t>
      </w:r>
    </w:p>
    <w:p w:rsidR="00000000" w:rsidRDefault="00000000">
      <w:pPr>
        <w:pStyle w:val="SingleTxt"/>
      </w:pPr>
      <w:r>
        <w:t>Женщины, занятые на государственной службе, как правило, получают заработную плату, которая на 17 процентов меньше заработной платы мужчин. Заметное влияние на разрыв в заработной плате между мужчинами и женщ</w:t>
      </w:r>
      <w:r>
        <w:t>и</w:t>
      </w:r>
      <w:r>
        <w:t>нами оказывает род профессии. Так, мужчина практически любой профессии зарабатывает на 10 процентов больше женщин таких же профессий. В то же время разница в заработной плате мужчин и женщин на руководящих должн</w:t>
      </w:r>
      <w:r>
        <w:t>о</w:t>
      </w:r>
      <w:r>
        <w:t>стях с</w:t>
      </w:r>
      <w:r>
        <w:t>о</w:t>
      </w:r>
      <w:r>
        <w:t>ставляет 16 процентов</w:t>
      </w:r>
      <w:r>
        <w:rPr>
          <w:rStyle w:val="FootnoteReference"/>
        </w:rPr>
        <w:footnoteReference w:id="7"/>
      </w:r>
      <w:r>
        <w:t>.</w:t>
      </w:r>
    </w:p>
    <w:p w:rsidR="00000000" w:rsidRDefault="00000000">
      <w:pPr>
        <w:pStyle w:val="SingleTxt"/>
      </w:pPr>
      <w:r>
        <w:t>В конце 2000 года в Новой Зеландии было проведено обследование по в</w:t>
      </w:r>
      <w:r>
        <w:t>о</w:t>
      </w:r>
      <w:r>
        <w:t>просам профессионального роста и повышения квалификации среди госуда</w:t>
      </w:r>
      <w:r>
        <w:t>р</w:t>
      </w:r>
      <w:r>
        <w:t>ственных служащих, результаты которого были опубликованы в апреле 2002 года. В ходе этого обследования выявлялось отношение государственных служащих к своей работе и ее условиям, а также их возможности в области продвижения по службе. Осуществление этого проекта было отчасти обусло</w:t>
      </w:r>
      <w:r>
        <w:t>в</w:t>
      </w:r>
      <w:r>
        <w:t xml:space="preserve">лено озабоченностями по поводу того, что женщины недопредставленные на руководящем уровне старшего звена государственной службы. </w:t>
      </w:r>
      <w:r>
        <w:rPr>
          <w:caps/>
        </w:rPr>
        <w:t>в</w:t>
      </w:r>
      <w:r>
        <w:t xml:space="preserve"> докладе о р</w:t>
      </w:r>
      <w:r>
        <w:t>е</w:t>
      </w:r>
      <w:r>
        <w:t>зультатах обследования содержится глава, посвященная положению женщин на государственной службе, а также анализ ответов респондентов под углом ге</w:t>
      </w:r>
      <w:r>
        <w:t>н</w:t>
      </w:r>
      <w:r>
        <w:t>дерных различий. Было выявлено, что многие гендерные различия определяют факторы, затрагивающие возможность работодателя обеспечивать баланс тр</w:t>
      </w:r>
      <w:r>
        <w:t>у</w:t>
      </w:r>
      <w:r>
        <w:t>довой деятельности и других обязанностей. Хотя эти факторы не затрагивают исключительно женщин, они в то же время влияют больше на женщин, чем на мужчин.</w:t>
      </w:r>
    </w:p>
    <w:p w:rsidR="00000000" w:rsidRDefault="00000000">
      <w:pPr>
        <w:pStyle w:val="SingleTxt"/>
      </w:pPr>
      <w:r>
        <w:t>В 2000 году из всех маори, занятых на государственной службе, 63 процента составляли женщины. В целом, маори, доля которых на государс</w:t>
      </w:r>
      <w:r>
        <w:t>т</w:t>
      </w:r>
      <w:r>
        <w:t>венной службе составляет 17 процентов, похоже, сталкиваются на работе с т</w:t>
      </w:r>
      <w:r>
        <w:t>е</w:t>
      </w:r>
      <w:r>
        <w:t>ми же проблемами, что и другие сотрудники. Так, их не удовлетворяют зар</w:t>
      </w:r>
      <w:r>
        <w:t>а</w:t>
      </w:r>
      <w:r>
        <w:t>ботная плата и имеющиеся льготы. Кроме того, по имеющимся данным, маори придают большее значение балансу между обычной жизнью или работой, н</w:t>
      </w:r>
      <w:r>
        <w:t>е</w:t>
      </w:r>
      <w:r>
        <w:t>жели другие новозеландцы. Статистика показывает, что маори чаще испыт</w:t>
      </w:r>
      <w:r>
        <w:t>ы</w:t>
      </w:r>
      <w:r>
        <w:t>вают неспр</w:t>
      </w:r>
      <w:r>
        <w:t>а</w:t>
      </w:r>
      <w:r>
        <w:t>ведливое и недоброжелательное к ним отношение.</w:t>
      </w:r>
    </w:p>
    <w:p w:rsidR="00000000" w:rsidRDefault="00000000">
      <w:pPr>
        <w:pStyle w:val="SingleTxt"/>
      </w:pPr>
      <w:r>
        <w:t>Как маори, так и жители тихоокеанских островов, проявляют большое желание получить повыш</w:t>
      </w:r>
      <w:r>
        <w:t>е</w:t>
      </w:r>
      <w:r>
        <w:t>ние по службе.</w:t>
      </w:r>
    </w:p>
    <w:p w:rsidR="00000000" w:rsidRDefault="00000000">
      <w:pPr>
        <w:pStyle w:val="SingleTxt"/>
      </w:pPr>
      <w:r>
        <w:t>Доля жителей тихоокеанских островов на государственной службе с</w:t>
      </w:r>
      <w:r>
        <w:t>о</w:t>
      </w:r>
      <w:r>
        <w:t>ставляет 7 процентов (без разбивки по половой принадлежности вследствие незначительных масштабов выборки). Жители тихоокеанских островов, как правило, чаще других сетуют на свою заработную плату и имеющиеся у них льготы. Они меньше других удовлетворены своим положением в том, что кас</w:t>
      </w:r>
      <w:r>
        <w:t>а</w:t>
      </w:r>
      <w:r>
        <w:t>ется поощрений по работе, справедливого к ним отношения и придания веса их высказываниям. Они больше других обременены семейными обязанностями и, как правило, придают большее значение равновесию между повседневной жи</w:t>
      </w:r>
      <w:r>
        <w:t>з</w:t>
      </w:r>
      <w:r>
        <w:t>нью и раб</w:t>
      </w:r>
      <w:r>
        <w:t>о</w:t>
      </w:r>
      <w:r>
        <w:t>той, чем другие государственные служащие.</w:t>
      </w:r>
    </w:p>
    <w:p w:rsidR="00000000" w:rsidRDefault="00000000">
      <w:pPr>
        <w:pStyle w:val="H23"/>
      </w:pPr>
      <w:r>
        <w:t>Руководящие советы</w:t>
      </w:r>
    </w:p>
    <w:p w:rsidR="00000000" w:rsidRDefault="00000000">
      <w:pPr>
        <w:pStyle w:val="SingleTxt"/>
      </w:pPr>
      <w:r>
        <w:t>В 2001 году на долю женщин приходилось 39 процентов всех назначений или повторных назначений в руководящие советы по сравнению с соответс</w:t>
      </w:r>
      <w:r>
        <w:t>т</w:t>
      </w:r>
      <w:r>
        <w:t>вующим показателем в 31,4 процента в период представления последнего п</w:t>
      </w:r>
      <w:r>
        <w:t>е</w:t>
      </w:r>
      <w:r>
        <w:t>риодического доклада. Эти данные приводятся без разбивки по этнической прина</w:t>
      </w:r>
      <w:r>
        <w:t>д</w:t>
      </w:r>
      <w:r>
        <w:t>лежности.</w:t>
      </w:r>
    </w:p>
    <w:p w:rsidR="00000000" w:rsidRDefault="00000000">
      <w:pPr>
        <w:pStyle w:val="SingleTxt"/>
      </w:pPr>
      <w:r>
        <w:t>Данные, собранные Консультативной мониторинговой группой государс</w:t>
      </w:r>
      <w:r>
        <w:t>т</w:t>
      </w:r>
      <w:r>
        <w:t>венных корпораций, свидетельствуют о том, что женщины по-прежнему нед</w:t>
      </w:r>
      <w:r>
        <w:t>о</w:t>
      </w:r>
      <w:r>
        <w:t>представлены в государственных корпоративных советах. В демографических докладах Группы, опубликованных в феврале 2002 года, говорится, что доля женщин на должностях директоров государственных корпоративных советов составляла 32 процента, причем этот п</w:t>
      </w:r>
      <w:r>
        <w:t>о</w:t>
      </w:r>
      <w:r>
        <w:t>казатель не меняется с 1996 года.</w:t>
      </w:r>
    </w:p>
    <w:p w:rsidR="00000000" w:rsidRDefault="00000000">
      <w:pPr>
        <w:pStyle w:val="SingleTxt"/>
      </w:pPr>
      <w:r>
        <w:t>В настоящее время проводится дальнейшая работа по составлению дем</w:t>
      </w:r>
      <w:r>
        <w:t>о</w:t>
      </w:r>
      <w:r>
        <w:t>графических докладов Группы с приведением данных в разбивке по половой и этнической принадлежности в целях повышения качества мониторинга в сл</w:t>
      </w:r>
      <w:r>
        <w:t>е</w:t>
      </w:r>
      <w:r>
        <w:t>дующих областях:</w:t>
      </w:r>
    </w:p>
    <w:p w:rsidR="00000000" w:rsidRDefault="00000000">
      <w:pPr>
        <w:pStyle w:val="dot"/>
      </w:pPr>
      <w:r>
        <w:tab/>
      </w:r>
      <w:r>
        <w:tab/>
        <w:t>•</w:t>
      </w:r>
      <w:r>
        <w:tab/>
        <w:t>уровень прогресса, достигнутый в расширении представленности женщин в советах;</w:t>
      </w:r>
    </w:p>
    <w:p w:rsidR="00000000" w:rsidRDefault="00000000">
      <w:pPr>
        <w:pStyle w:val="dot"/>
      </w:pPr>
      <w:r>
        <w:tab/>
      </w:r>
      <w:r>
        <w:tab/>
        <w:t>•</w:t>
      </w:r>
      <w:r>
        <w:tab/>
        <w:t>данные о составе советов в разбивке по половой и этнической прина</w:t>
      </w:r>
      <w:r>
        <w:t>д</w:t>
      </w:r>
      <w:r>
        <w:t>лежности и отдельным се</w:t>
      </w:r>
      <w:r>
        <w:t>к</w:t>
      </w:r>
      <w:r>
        <w:t>торам;</w:t>
      </w:r>
    </w:p>
    <w:p w:rsidR="00000000" w:rsidRDefault="00000000">
      <w:pPr>
        <w:pStyle w:val="dot"/>
      </w:pPr>
      <w:r>
        <w:tab/>
      </w:r>
      <w:r>
        <w:tab/>
        <w:t>•</w:t>
      </w:r>
      <w:r>
        <w:tab/>
        <w:t>эффективность нынешних стратегий по расширению гендерной предста</w:t>
      </w:r>
      <w:r>
        <w:t>в</w:t>
      </w:r>
      <w:r>
        <w:t>ле</w:t>
      </w:r>
      <w:r>
        <w:t>н</w:t>
      </w:r>
      <w:r>
        <w:t>ности в советах.</w:t>
      </w:r>
    </w:p>
    <w:p w:rsidR="00000000" w:rsidRDefault="00000000">
      <w:pPr>
        <w:pStyle w:val="SingleTxt"/>
      </w:pPr>
      <w:r>
        <w:t>В рамках оказания поддержки стратегии правительства по расширению гендерной представленности в советах МДЖ сотрудничает с Консультативной мониторинговой группой государственных корпораций, «те пуни кокири», м</w:t>
      </w:r>
      <w:r>
        <w:t>и</w:t>
      </w:r>
      <w:r>
        <w:t>нистерством по делам тихоокеанских островов, Комиссией по вопросам гос</w:t>
      </w:r>
      <w:r>
        <w:t>у</w:t>
      </w:r>
      <w:r>
        <w:t>дарственной службы и другими ведомствами с целью повышения уровня мон</w:t>
      </w:r>
      <w:r>
        <w:t>и</w:t>
      </w:r>
      <w:r>
        <w:t>т</w:t>
      </w:r>
      <w:r>
        <w:t>о</w:t>
      </w:r>
      <w:r>
        <w:t>ринга за членским составом советов.</w:t>
      </w:r>
    </w:p>
    <w:p w:rsidR="00000000" w:rsidRDefault="00000000">
      <w:pPr>
        <w:pStyle w:val="SingleTxt"/>
      </w:pPr>
      <w:r>
        <w:t>Кроме того, Группа проводит ряд курсов профессиональной подготовки руководящего состава, на которых, отобранные в ходе конкурсного экзамена кандидаты с соответствующим опытом работы повышают свою квалификацию. Большая часть слушателей этих курсов представлена женщинами.</w:t>
      </w:r>
    </w:p>
    <w:p w:rsidR="00000000" w:rsidRDefault="00000000">
      <w:pPr>
        <w:pStyle w:val="H23"/>
      </w:pPr>
      <w:r>
        <w:t>Служба по вопросам назначений</w:t>
      </w:r>
    </w:p>
    <w:p w:rsidR="00000000" w:rsidRDefault="00000000">
      <w:pPr>
        <w:pStyle w:val="SingleTxt"/>
      </w:pPr>
      <w:r>
        <w:t>Правительство по-прежнему считает, что Служба по вопросам назначений должна находиться под управлением МДЖ. Эта служба была создана с целью улучшения гендерной сбалансированности в государственных советах и ком</w:t>
      </w:r>
      <w:r>
        <w:t>и</w:t>
      </w:r>
      <w:r>
        <w:t>тетах для обеспечения того, чтобы их членство отражало разнообразие новоз</w:t>
      </w:r>
      <w:r>
        <w:t>е</w:t>
      </w:r>
      <w:r>
        <w:t>ландского общества. Служба намерена расширить масштабы участия женщин в процессе принятия решений путем представления женщин, обладающих соо</w:t>
      </w:r>
      <w:r>
        <w:t>т</w:t>
      </w:r>
      <w:r>
        <w:t>ветствующей специальностью, квалификацией и опытом, в качестве кандид</w:t>
      </w:r>
      <w:r>
        <w:t>а</w:t>
      </w:r>
      <w:r>
        <w:t>тов для заполнения различных должностей в министерствах и ведомствах, в ч</w:t>
      </w:r>
      <w:r>
        <w:t>а</w:t>
      </w:r>
      <w:r>
        <w:t>стности для назначений на должности в руководящие совета и комитеты. Эти комитеты выполняют широкие государственные функции и работают как на национальном, так и на региональном уровнях.</w:t>
      </w:r>
    </w:p>
    <w:p w:rsidR="00000000" w:rsidRDefault="00000000">
      <w:pPr>
        <w:pStyle w:val="SingleTxt"/>
      </w:pPr>
      <w:r>
        <w:t>В феврале 2002 года Служба по вопросам назначений располагала инфо</w:t>
      </w:r>
      <w:r>
        <w:t>р</w:t>
      </w:r>
      <w:r>
        <w:t>мацией о свыше 1 800 новозеландских женщинах, отвечающих требованиям для назначения в органы, ответственные за принятие решений</w:t>
      </w:r>
      <w:r>
        <w:rPr>
          <w:rStyle w:val="FootnoteReference"/>
        </w:rPr>
        <w:footnoteReference w:id="8"/>
      </w:r>
      <w:r>
        <w:t>. В 2000/2001 финансовом году Служба определила 1 012 кандидатов из числа женщин для назначения на должности в 229 советов; из них 99 женщин пол</w:t>
      </w:r>
      <w:r>
        <w:t>у</w:t>
      </w:r>
      <w:r>
        <w:t>чили такие назначения. В числе кандидатов фигурировали женщины-маори, численность которых составляла 270 человек. Примечательно, что впервые в Совет следователей Окленда была назначена следователь женщина из числа жителей тихоокеанских островов. База данных Службы по вопросам назнач</w:t>
      </w:r>
      <w:r>
        <w:t>е</w:t>
      </w:r>
      <w:r>
        <w:t>ний совершенствуется, и этот процесс, как ожидается, будет завершен к октя</w:t>
      </w:r>
      <w:r>
        <w:t>б</w:t>
      </w:r>
      <w:r>
        <w:t>рю 2002 года. В результате такого усовершенствования можно будет проводить ра</w:t>
      </w:r>
      <w:r>
        <w:t>з</w:t>
      </w:r>
      <w:r>
        <w:t>бивку данных о назначениях по признаку этнической принадлежности.</w:t>
      </w:r>
    </w:p>
    <w:p w:rsidR="00000000" w:rsidRDefault="00000000">
      <w:pPr>
        <w:pStyle w:val="SingleTxt"/>
      </w:pPr>
      <w:r>
        <w:t>Исключительно важная роль в увеличении численности женщин на ра</w:t>
      </w:r>
      <w:r>
        <w:t>з</w:t>
      </w:r>
      <w:r>
        <w:t>личных должностях в различных советах принадлежит сотрудничеству Службы с представителями общественности, профессиональными и предпринимател</w:t>
      </w:r>
      <w:r>
        <w:t>ь</w:t>
      </w:r>
      <w:r>
        <w:t>скими организациями. МДЖ осуществляет координацию работы региональных совещаний, которые проводятся в западном Окленде, Манавату и Дунедине с участием представителей женских организаций. Основное внимание на этих региональных совещаниях будет уделяться определению потребностей в пр</w:t>
      </w:r>
      <w:r>
        <w:t>о</w:t>
      </w:r>
      <w:r>
        <w:t>фессиональной подготовке потенциальных членов советов, а также вопросу с</w:t>
      </w:r>
      <w:r>
        <w:t>о</w:t>
      </w:r>
      <w:r>
        <w:t>действия женщинам тихоокеанских островов в получении доступа к деятел</w:t>
      </w:r>
      <w:r>
        <w:t>ь</w:t>
      </w:r>
      <w:r>
        <w:t>ности Службы по вопросам назначений. Кроме того, Служба осуществила сл</w:t>
      </w:r>
      <w:r>
        <w:t>е</w:t>
      </w:r>
      <w:r>
        <w:t>ду</w:t>
      </w:r>
      <w:r>
        <w:t>ю</w:t>
      </w:r>
      <w:r>
        <w:t>щие мероприятия:</w:t>
      </w:r>
    </w:p>
    <w:p w:rsidR="00000000" w:rsidRDefault="00000000">
      <w:pPr>
        <w:pStyle w:val="dot"/>
      </w:pPr>
      <w:r>
        <w:tab/>
      </w:r>
      <w:r>
        <w:tab/>
        <w:t>•</w:t>
      </w:r>
      <w:r>
        <w:tab/>
        <w:t>публикация издания под названием «</w:t>
      </w:r>
      <w:r>
        <w:rPr>
          <w:i/>
        </w:rPr>
        <w:t>Женщины в советах: руководство по вопросам членства в правительственных советах и комитетах</w:t>
      </w:r>
      <w:r>
        <w:t>» (октябрь 2001 г</w:t>
      </w:r>
      <w:r>
        <w:t>о</w:t>
      </w:r>
      <w:r>
        <w:t>да);</w:t>
      </w:r>
    </w:p>
    <w:p w:rsidR="00000000" w:rsidRDefault="00000000">
      <w:pPr>
        <w:pStyle w:val="dot"/>
      </w:pPr>
      <w:r>
        <w:tab/>
      </w:r>
      <w:r>
        <w:tab/>
        <w:t>•</w:t>
      </w:r>
      <w:r>
        <w:tab/>
        <w:t>публикация в этом издании, в номере за февраль 2001 года, материалов для журнала «</w:t>
      </w:r>
      <w:r>
        <w:rPr>
          <w:i/>
        </w:rPr>
        <w:t>Мана</w:t>
      </w:r>
      <w:r>
        <w:t>» о женщинах-маори, добившихся успехов на профе</w:t>
      </w:r>
      <w:r>
        <w:t>с</w:t>
      </w:r>
      <w:r>
        <w:t>сионал</w:t>
      </w:r>
      <w:r>
        <w:t>ь</w:t>
      </w:r>
      <w:r>
        <w:t>ной ниве.</w:t>
      </w:r>
    </w:p>
    <w:p w:rsidR="00000000" w:rsidRDefault="00000000">
      <w:pPr>
        <w:pStyle w:val="SingleTxt"/>
      </w:pPr>
      <w:r>
        <w:t>Эта работа способствовала повышению интереса к базе данных по вопр</w:t>
      </w:r>
      <w:r>
        <w:t>о</w:t>
      </w:r>
      <w:r>
        <w:t>сам назначений и расш</w:t>
      </w:r>
      <w:r>
        <w:t>и</w:t>
      </w:r>
      <w:r>
        <w:t>рению участия в ее составлении.</w:t>
      </w:r>
    </w:p>
    <w:p w:rsidR="00000000" w:rsidRDefault="00000000">
      <w:pPr>
        <w:pStyle w:val="H23"/>
      </w:pPr>
      <w:r>
        <w:t>Профессиональные союзы</w:t>
      </w:r>
    </w:p>
    <w:p w:rsidR="00000000" w:rsidRDefault="00000000">
      <w:pPr>
        <w:pStyle w:val="SingleTxt"/>
      </w:pPr>
      <w:r>
        <w:t>В настоящее время идет процесс создания ряда новых профессиональных союзов. Совет профессиональных союзов Новой Зеландии берет под свое нач</w:t>
      </w:r>
      <w:r>
        <w:t>а</w:t>
      </w:r>
      <w:r>
        <w:t>ло ряд новых профессиональных союзов, которые прежде входили в Федер</w:t>
      </w:r>
      <w:r>
        <w:t>а</w:t>
      </w:r>
      <w:r>
        <w:t>цию профессиональных союзов. Поэтому четкая статистика по этому вопросу в настоящее время отсутствует. Однако определенная информация была собрана Университетом Виктории. По состоянию на 30 декабря 2000 года членский с</w:t>
      </w:r>
      <w:r>
        <w:t>о</w:t>
      </w:r>
      <w:r>
        <w:t>став 134 зарегистрированных профессиональных союзов насчитывал 319 518 членов, или приблизительно 50 процентов от общей численности чл</w:t>
      </w:r>
      <w:r>
        <w:t>е</w:t>
      </w:r>
      <w:r>
        <w:t>нов профессиональных союзов. Разбивка по отраслям производства не пров</w:t>
      </w:r>
      <w:r>
        <w:t>о</w:t>
      </w:r>
      <w:r>
        <w:t>дилась.</w:t>
      </w:r>
    </w:p>
    <w:p w:rsidR="00000000" w:rsidRDefault="00000000">
      <w:pPr>
        <w:pStyle w:val="H23"/>
      </w:pPr>
      <w:r>
        <w:t>Неправительственных организации (НПО)</w:t>
      </w:r>
    </w:p>
    <w:p w:rsidR="00000000" w:rsidRDefault="00000000">
      <w:pPr>
        <w:pStyle w:val="SingleTxt"/>
      </w:pPr>
      <w:r>
        <w:t>В Справочнике женских организаций и групп МДЖ, который был перер</w:t>
      </w:r>
      <w:r>
        <w:t>а</w:t>
      </w:r>
      <w:r>
        <w:t>ботан в 2001 году, содержится перечень 85 национальных женских организ</w:t>
      </w:r>
      <w:r>
        <w:t>а</w:t>
      </w:r>
      <w:r>
        <w:t>ций, 26 организаций женщин-маори и нескольких сотен региональных женских групп.</w:t>
      </w:r>
    </w:p>
    <w:p w:rsidR="00000000" w:rsidRDefault="00000000">
      <w:pPr>
        <w:pStyle w:val="SingleTxt"/>
      </w:pPr>
      <w:r>
        <w:t>Ряд правительственных департаментов и министерств регулярно проводят консультации с НПО, с тем чтобы обеспечить учет их мнений при оказании консультативных услуг министрам. Такие организации, как Национальный женский совет, регулярно представляют свои замечания парламентским ком</w:t>
      </w:r>
      <w:r>
        <w:t>и</w:t>
      </w:r>
      <w:r>
        <w:t>тетам, рассматривающим вопросы законодательства. Министерство по делам женщин регулярно консультируется с женскими организациями по общим в</w:t>
      </w:r>
      <w:r>
        <w:t>о</w:t>
      </w:r>
      <w:r>
        <w:t>просам, а также по вопросам политики, по которым неправительственные о</w:t>
      </w:r>
      <w:r>
        <w:t>р</w:t>
      </w:r>
      <w:r>
        <w:t>ганизации обладают специальными знаниями. В 1999 году МДЖ учредило ко</w:t>
      </w:r>
      <w:r>
        <w:t>н</w:t>
      </w:r>
      <w:r>
        <w:t>сультативную группу в составе авторитетных женщин-маори, «Те короваи в</w:t>
      </w:r>
      <w:r>
        <w:t>а</w:t>
      </w:r>
      <w:r>
        <w:t>сине», с тем чтобы укрепить свой механизм консультаций по вопросам полит</w:t>
      </w:r>
      <w:r>
        <w:t>и</w:t>
      </w:r>
      <w:r>
        <w:t>ки с целью повышения ее эффективности для улучш</w:t>
      </w:r>
      <w:r>
        <w:t>е</w:t>
      </w:r>
      <w:r>
        <w:t>ния положения женщин-маори. Представители НПО также регулярно встречаются с министрами.</w:t>
      </w:r>
    </w:p>
    <w:p w:rsidR="00000000" w:rsidRDefault="00000000">
      <w:pPr>
        <w:pStyle w:val="H1"/>
      </w:pPr>
      <w:r>
        <w:t>Библиография</w:t>
      </w:r>
    </w:p>
    <w:p w:rsidR="00000000" w:rsidRDefault="00000000">
      <w:pPr>
        <w:pStyle w:val="SingleTxt"/>
        <w:ind w:left="1740" w:hanging="476"/>
      </w:pPr>
      <w:r>
        <w:t xml:space="preserve">Ministry of </w:t>
      </w:r>
      <w:r>
        <w:rPr>
          <w:i/>
        </w:rPr>
        <w:t>Women’s Affairs, 2001, Women of Board: An Introductory Guide to membership of Government Boards and Committees</w:t>
      </w:r>
      <w:r>
        <w:t>, Wellington.</w:t>
      </w:r>
    </w:p>
    <w:p w:rsidR="00000000" w:rsidRDefault="00000000">
      <w:pPr>
        <w:pStyle w:val="SingleTxt"/>
        <w:ind w:left="1740" w:hanging="476"/>
      </w:pPr>
      <w:r>
        <w:t xml:space="preserve">Ministry of Women’s Affairs, 2001, </w:t>
      </w:r>
      <w:r>
        <w:rPr>
          <w:i/>
        </w:rPr>
        <w:t>Annual Report</w:t>
      </w:r>
      <w:r>
        <w:t xml:space="preserve"> 2000-2001, Wellington.</w:t>
      </w:r>
    </w:p>
    <w:p w:rsidR="00000000" w:rsidRDefault="00000000">
      <w:pPr>
        <w:pStyle w:val="SingleTxt"/>
        <w:ind w:left="1740" w:hanging="476"/>
      </w:pPr>
      <w:r>
        <w:t xml:space="preserve">Ministry of Women’s Affairs, 2001, The Women’s Directory – </w:t>
      </w:r>
      <w:r>
        <w:rPr>
          <w:i/>
        </w:rPr>
        <w:t>Te Rärangi Take Wähine</w:t>
      </w:r>
      <w:r>
        <w:t>, Wellington.</w:t>
      </w:r>
    </w:p>
    <w:p w:rsidR="00000000" w:rsidRDefault="00000000">
      <w:pPr>
        <w:pStyle w:val="SingleTxt"/>
        <w:ind w:left="1740" w:hanging="476"/>
      </w:pPr>
      <w:r>
        <w:t xml:space="preserve">State Services Commission, 2002, </w:t>
      </w:r>
      <w:r>
        <w:rPr>
          <w:i/>
        </w:rPr>
        <w:t>Career Progression and Development Survey, 2000: Results for the New Ze</w:t>
      </w:r>
      <w:r>
        <w:rPr>
          <w:i/>
        </w:rPr>
        <w:t>a</w:t>
      </w:r>
      <w:r>
        <w:rPr>
          <w:i/>
        </w:rPr>
        <w:t>land Public Service</w:t>
      </w:r>
      <w:r>
        <w:t>, Wellington.</w:t>
      </w:r>
    </w:p>
    <w:p w:rsidR="00000000" w:rsidRDefault="00000000">
      <w:pPr>
        <w:pStyle w:val="SingleTxt"/>
        <w:ind w:left="1740" w:hanging="476"/>
      </w:pPr>
      <w:r>
        <w:rPr>
          <w:b/>
        </w:rPr>
        <w:t>www</w:t>
      </w:r>
      <w:r>
        <w:t>.dpmc.govt.zn</w:t>
      </w:r>
    </w:p>
    <w:p w:rsidR="00000000" w:rsidRDefault="00000000">
      <w:pPr>
        <w:pStyle w:val="HCh"/>
        <w:pageBreakBefore/>
        <w:spacing w:before="0"/>
      </w:pPr>
      <w:bookmarkStart w:id="23" w:name="_Toc30302888"/>
      <w:r>
        <w:t>Статья 8</w:t>
      </w:r>
      <w:bookmarkEnd w:id="23"/>
    </w:p>
    <w:p w:rsidR="00000000" w:rsidRDefault="00000000">
      <w:pPr>
        <w:pStyle w:val="HCh"/>
      </w:pPr>
      <w:bookmarkStart w:id="24" w:name="_Toc30302889"/>
      <w:r>
        <w:t xml:space="preserve">Представительские функции на международном уровне </w:t>
      </w:r>
      <w:r>
        <w:br/>
        <w:t>и участие в работе международных организаций</w:t>
      </w:r>
      <w:bookmarkEnd w:id="24"/>
    </w:p>
    <w:p w:rsidR="00000000" w:rsidRDefault="00000000">
      <w:pPr>
        <w:pStyle w:val="SingleTxt"/>
        <w:ind w:left="1740" w:hanging="476"/>
        <w:rPr>
          <w:i/>
        </w:rPr>
      </w:pPr>
      <w:r>
        <w:tab/>
      </w:r>
      <w:r>
        <w:tab/>
      </w:r>
      <w:r>
        <w:rPr>
          <w:i/>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w:t>
      </w:r>
      <w:r>
        <w:rPr>
          <w:i/>
        </w:rPr>
        <w:t>е</w:t>
      </w:r>
      <w:r>
        <w:rPr>
          <w:i/>
        </w:rPr>
        <w:t>ждународном уровне и участвовать в работе международных организ</w:t>
      </w:r>
      <w:r>
        <w:rPr>
          <w:i/>
        </w:rPr>
        <w:t>а</w:t>
      </w:r>
      <w:r>
        <w:rPr>
          <w:i/>
        </w:rPr>
        <w:t>ций.</w:t>
      </w:r>
    </w:p>
    <w:p w:rsidR="00000000" w:rsidRDefault="00000000">
      <w:pPr>
        <w:pStyle w:val="H1"/>
      </w:pPr>
      <w:r>
        <w:t>Женщины на дипломатической службе</w:t>
      </w:r>
    </w:p>
    <w:p w:rsidR="00000000" w:rsidRDefault="00000000">
      <w:pPr>
        <w:pStyle w:val="SingleTxt"/>
      </w:pPr>
      <w:r>
        <w:t>В 2001 году Министерство иностранных дел и торговли (МИДТ) провело всеобъемлющую проверку положения женщин в этом министерстве. В насто</w:t>
      </w:r>
      <w:r>
        <w:t>я</w:t>
      </w:r>
      <w:r>
        <w:t>щее время женщины составляют 48,8 процента сотрудников министерства всех уровней. Министерство поставило задачу – довести к 2005 году представле</w:t>
      </w:r>
      <w:r>
        <w:t>н</w:t>
      </w:r>
      <w:r>
        <w:t>ность женщин на всех уровнях до 50 процентов. Три последние кадровые ка</w:t>
      </w:r>
      <w:r>
        <w:t>м</w:t>
      </w:r>
      <w:r>
        <w:t xml:space="preserve">пании по набору сотрудников внешнеполитических органов, проведенные в 1999, 2000 и 2001 годах, привели к тому, что среди вновь принятых работников женщины составляли 44, 68 и 61 процент соответственно. </w:t>
      </w:r>
    </w:p>
    <w:p w:rsidR="00000000" w:rsidRDefault="00000000">
      <w:pPr>
        <w:pStyle w:val="SingleTxt"/>
      </w:pPr>
      <w:r>
        <w:t>После первого назначения женщины на должность заместителя министра в 1997 году, в декабре 2000 года в МИДТ была назначена вторая женщина – бывший руководитель отдела Новозеландского агентства по оказанию офиц</w:t>
      </w:r>
      <w:r>
        <w:t>и</w:t>
      </w:r>
      <w:r>
        <w:t>альной помощи в целях развития (НЗОДА). В результате доля женщин на вы</w:t>
      </w:r>
      <w:r>
        <w:t>с</w:t>
      </w:r>
      <w:r>
        <w:t>ших руководящих должностях составила 40 процентов, поскольку в министе</w:t>
      </w:r>
      <w:r>
        <w:t>р</w:t>
      </w:r>
      <w:r>
        <w:t>стве всего насчитывается пять з</w:t>
      </w:r>
      <w:r>
        <w:t>а</w:t>
      </w:r>
      <w:r>
        <w:t>местителей министра.</w:t>
      </w:r>
    </w:p>
    <w:p w:rsidR="00000000" w:rsidRDefault="00000000">
      <w:pPr>
        <w:pStyle w:val="SingleTxt"/>
      </w:pPr>
      <w:r>
        <w:t>Женщины занимают 26 из 70 старших должностей на уровне директоров или заместителей директоров в Веллингтоне. В загранучреждениях из 47 постов женщины занимают девять должностей руководителей дипломатич</w:t>
      </w:r>
      <w:r>
        <w:t>е</w:t>
      </w:r>
      <w:r>
        <w:t>ских представительств: в Апии, Бразилиа, Брюсселе, Хониаре, Дели, Мадриде, Нумее, Шанхае и Вене. Кроме того, 17 женщин работают на должностях заме</w:t>
      </w:r>
      <w:r>
        <w:t>с</w:t>
      </w:r>
      <w:r>
        <w:t>тителей диппредставительств за границей. Это говорит о том, что по сравн</w:t>
      </w:r>
      <w:r>
        <w:t>е</w:t>
      </w:r>
      <w:r>
        <w:t>нию с пр</w:t>
      </w:r>
      <w:r>
        <w:t>е</w:t>
      </w:r>
      <w:r>
        <w:t xml:space="preserve">дыдущим периодическим докладом изменений нет. </w:t>
      </w:r>
    </w:p>
    <w:p w:rsidR="00000000" w:rsidRDefault="00000000">
      <w:pPr>
        <w:pStyle w:val="SingleTxt"/>
      </w:pPr>
      <w:r>
        <w:tab/>
        <w:t>По состоянию на сентябрь 2002 года 42 сотрудницы МИДТ указали, что они относятся к маори (в прошлом периодическом докладе 30), а 19 – к тих</w:t>
      </w:r>
      <w:r>
        <w:t>о</w:t>
      </w:r>
      <w:r>
        <w:t>океанским народностям. На работу в министерство поступают также все бол</w:t>
      </w:r>
      <w:r>
        <w:t>ь</w:t>
      </w:r>
      <w:r>
        <w:t>ше женщин азиатского происхождения. Министерство продолжает предприн</w:t>
      </w:r>
      <w:r>
        <w:t>и</w:t>
      </w:r>
      <w:r>
        <w:t>мать активные усилия по подбору кадров из этих групп населения. Оно расп</w:t>
      </w:r>
      <w:r>
        <w:t>о</w:t>
      </w:r>
      <w:r>
        <w:t>лагает давно действующим планом предоставления стипендий учащимся из числа маори или тихоокеанских народностей, и в 2001 году оно ввело интерн</w:t>
      </w:r>
      <w:r>
        <w:t>а</w:t>
      </w:r>
      <w:r>
        <w:t>туру для представителей маори и тихоокеанских народностей. В 2002 году м</w:t>
      </w:r>
      <w:r>
        <w:t>и</w:t>
      </w:r>
      <w:r>
        <w:t>нистерство предоставило шесть стипендий – три для маори и три для предст</w:t>
      </w:r>
      <w:r>
        <w:t>а</w:t>
      </w:r>
      <w:r>
        <w:t>вителей тихоокеанских народностей. Пять из этих стипендий были предоста</w:t>
      </w:r>
      <w:r>
        <w:t>в</w:t>
      </w:r>
      <w:r>
        <w:t>лены женщ</w:t>
      </w:r>
      <w:r>
        <w:t>и</w:t>
      </w:r>
      <w:r>
        <w:t>нам.</w:t>
      </w:r>
    </w:p>
    <w:p w:rsidR="00000000" w:rsidRDefault="00000000">
      <w:pPr>
        <w:pStyle w:val="SingleTxt"/>
      </w:pPr>
      <w:r>
        <w:tab/>
        <w:t>Министерство имеет целый ряд программ предоставления помощи же</w:t>
      </w:r>
      <w:r>
        <w:t>н</w:t>
      </w:r>
      <w:r>
        <w:t>щинам, в том числе шестинедельный оплачиваемый отпуск матерям, услуги координатора по вопросам семейных связей, гибкие рабочие часы, план ко</w:t>
      </w:r>
      <w:r>
        <w:t>м</w:t>
      </w:r>
      <w:r>
        <w:t>пенсации расходов по уходу за ребенком, программа наставничества. Кроме т</w:t>
      </w:r>
      <w:r>
        <w:t>о</w:t>
      </w:r>
      <w:r>
        <w:t>го, министерство оказывает материальную помощь Женской сети (одной из п</w:t>
      </w:r>
      <w:r>
        <w:t>я</w:t>
      </w:r>
      <w:r>
        <w:t>ти групп персонала за развитие и поддержку равных возможностей в области трудоустройства). Эта группа способствует проведению в жизнь политики м</w:t>
      </w:r>
      <w:r>
        <w:t>и</w:t>
      </w:r>
      <w:r>
        <w:t>нистерства через ежегодный план обеспечения равных возможностей в области трудоустройства. Кроме того, с ней проводятся консультации по различным а</w:t>
      </w:r>
      <w:r>
        <w:t>с</w:t>
      </w:r>
      <w:r>
        <w:t>пектам кадровой политики, затр</w:t>
      </w:r>
      <w:r>
        <w:t>а</w:t>
      </w:r>
      <w:r>
        <w:t>гивающим интересы женщин.</w:t>
      </w:r>
    </w:p>
    <w:p w:rsidR="00000000" w:rsidRDefault="00000000">
      <w:pPr>
        <w:pStyle w:val="H1"/>
      </w:pPr>
      <w:r>
        <w:t>Международные конференции</w:t>
      </w:r>
    </w:p>
    <w:p w:rsidR="00000000" w:rsidRDefault="00000000">
      <w:pPr>
        <w:pStyle w:val="SingleTxt"/>
      </w:pPr>
      <w:r>
        <w:tab/>
        <w:t>Женщины по-прежнему представлены на крупных международных ко</w:t>
      </w:r>
      <w:r>
        <w:t>н</w:t>
      </w:r>
      <w:r>
        <w:t>ференциях, в том числе конференциях Организации Объединенных Наций, без какой-либо дискриминации по признаку пола. Пр</w:t>
      </w:r>
      <w:r>
        <w:t>е</w:t>
      </w:r>
      <w:r>
        <w:t>мьер-министр (оба премьер-министра в отчетный период были женщинами), женщины-министры и члены парламента возглавляли многие делегации Новой Зеландии на этих конфере</w:t>
      </w:r>
      <w:r>
        <w:t>н</w:t>
      </w:r>
      <w:r>
        <w:t>циях. В число официальных членов делегаций Новой Зеландии на междун</w:t>
      </w:r>
      <w:r>
        <w:t>а</w:t>
      </w:r>
      <w:r>
        <w:t>родных совещаниях нередко входят женщины, представляющие либо МИДТ, либо иное государственное ведомство.</w:t>
      </w:r>
    </w:p>
    <w:p w:rsidR="00000000" w:rsidRDefault="00000000">
      <w:pPr>
        <w:pStyle w:val="SingleTxt"/>
      </w:pPr>
      <w:r>
        <w:tab/>
        <w:t>К конференциям Организации Объединенных Наций, в которых участв</w:t>
      </w:r>
      <w:r>
        <w:t>о</w:t>
      </w:r>
      <w:r>
        <w:t>вали делегации Новой Зеландии, возглавляемые премьер-министром, женщ</w:t>
      </w:r>
      <w:r>
        <w:t>и</w:t>
      </w:r>
      <w:r>
        <w:t>нами-министрами или членами парламента, относятся специальная сессия по положению женщин (июнь 2002 года), Саммит тысячелетия (сентябрь 2000 года), специальная сессия Генеральной Ассамблеи по ВИЧ/СПИДу (июнь 2001 года) и Всемирная конференция по борьбе против расизма (сентябрь 2001 года). Аналогичным образом женщины возглавляли делегации Новой З</w:t>
      </w:r>
      <w:r>
        <w:t>е</w:t>
      </w:r>
      <w:r>
        <w:t>ландии на других крупных международных совещаниях, включая встречу на высшем уровне лидеров стран АТЭС, совещание глав правительств Содружес</w:t>
      </w:r>
      <w:r>
        <w:t>т</w:t>
      </w:r>
      <w:r>
        <w:t>ва, совещание Международной китобойной комиссии (2001 год), сессию Ме</w:t>
      </w:r>
      <w:r>
        <w:t>ж</w:t>
      </w:r>
      <w:r>
        <w:t>дународной конференции труда (2001 год), Всемирную ассамблею здравоохр</w:t>
      </w:r>
      <w:r>
        <w:t>а</w:t>
      </w:r>
      <w:r>
        <w:t>нения (2001 год) и Всемирный конгресс против сексуальной эксплуатации женщин в коммерч</w:t>
      </w:r>
      <w:r>
        <w:t>е</w:t>
      </w:r>
      <w:r>
        <w:t>ских целях (2001 год).</w:t>
      </w:r>
    </w:p>
    <w:p w:rsidR="00000000" w:rsidRDefault="00000000">
      <w:pPr>
        <w:pStyle w:val="SingleTxt"/>
      </w:pPr>
      <w:r>
        <w:tab/>
        <w:t>Правительство учредило процедуры включения в состав официальных д</w:t>
      </w:r>
      <w:r>
        <w:t>е</w:t>
      </w:r>
      <w:r>
        <w:t>легаций на международных конференциях неофициальных представителей в знак признания тех широких специальных знаний, которыми они обладают. Как правило, предполагается, что неофициальные члены официальных делегаций сами покрывают свои расходы. Однако в тех случаях, когда правительство само добивается их включения, учитывая специальные знания, которые могут ок</w:t>
      </w:r>
      <w:r>
        <w:t>а</w:t>
      </w:r>
      <w:r>
        <w:t>заться необходимыми для делегаций, может быть рассмотрен вопрос о покр</w:t>
      </w:r>
      <w:r>
        <w:t>ы</w:t>
      </w:r>
      <w:r>
        <w:t>тии их расходов.</w:t>
      </w:r>
    </w:p>
    <w:p w:rsidR="00000000" w:rsidRDefault="00000000">
      <w:pPr>
        <w:pStyle w:val="SingleTxt"/>
      </w:pPr>
      <w:r>
        <w:tab/>
        <w:t>Поэтому женщины-представители НПО участвовали во многих междун</w:t>
      </w:r>
      <w:r>
        <w:t>а</w:t>
      </w:r>
      <w:r>
        <w:t>родных совещаниях либо в качестве членов официальных делегаций, либо в личном качестве. К ним относятся представительницы НПО, участвовавшие в специальной сессии Организации Объединенных Наций по положению же</w:t>
      </w:r>
      <w:r>
        <w:t>н</w:t>
      </w:r>
      <w:r>
        <w:t>щин (июнь 2000 года), подготовительном совещании специальной сессии О</w:t>
      </w:r>
      <w:r>
        <w:t>р</w:t>
      </w:r>
      <w:r>
        <w:t>ганизации Объединенных Наций по положению детей (июнь 2001 года) и в собственно специальной сессии (май 2002 года), различных сессиях Рабочей группы по коренным народам и других международных форумах по этой пр</w:t>
      </w:r>
      <w:r>
        <w:t>о</w:t>
      </w:r>
      <w:r>
        <w:t>блематике, ежегодных совещаниях руководителей сети женских организаций АТЭС, всемирной конференции ЮНЕСКО по науке (1999 год) и совещаниях в рамках Конференции по биологическому разнообразию (1998 год). Нынешний Комиссар по правам человека, Росслин Нуунан, участвовала в работе междун</w:t>
      </w:r>
      <w:r>
        <w:t>а</w:t>
      </w:r>
      <w:r>
        <w:t>родных совещаний по правам человека и правозащитным организациям, вкл</w:t>
      </w:r>
      <w:r>
        <w:t>ю</w:t>
      </w:r>
      <w:r>
        <w:t>чая Комиссию по правам человека и Азиатско-тихоокеанский форум по наци</w:t>
      </w:r>
      <w:r>
        <w:t>о</w:t>
      </w:r>
      <w:r>
        <w:t>нальным правозащитным организациям.</w:t>
      </w:r>
    </w:p>
    <w:p w:rsidR="00000000" w:rsidRDefault="00000000">
      <w:pPr>
        <w:pStyle w:val="SingleTxt"/>
      </w:pPr>
      <w:r>
        <w:tab/>
        <w:t>Кроме того, в рамках более широкого процесса консультаций с гражда</w:t>
      </w:r>
      <w:r>
        <w:t>н</w:t>
      </w:r>
      <w:r>
        <w:t>ским обществом по международным вопросам женщины получили возмо</w:t>
      </w:r>
      <w:r>
        <w:t>ж</w:t>
      </w:r>
      <w:r>
        <w:t>ность высказаться по интересующим их проблемам. Они также вовлечены в решение международных проблем в качестве консультантов, например, в Гос</w:t>
      </w:r>
      <w:r>
        <w:t>у</w:t>
      </w:r>
      <w:r>
        <w:t>дарственном консультативном комитете по разоружению и контролю над во</w:t>
      </w:r>
      <w:r>
        <w:t>о</w:t>
      </w:r>
      <w:r>
        <w:t>ружениями представлены три женщ</w:t>
      </w:r>
      <w:r>
        <w:t>и</w:t>
      </w:r>
      <w:r>
        <w:t>ны.</w:t>
      </w:r>
    </w:p>
    <w:p w:rsidR="00000000" w:rsidRDefault="00000000">
      <w:pPr>
        <w:pStyle w:val="SingleTxt"/>
      </w:pPr>
      <w:r>
        <w:tab/>
        <w:t>В июне 2000 года Министерство по делам женщин составило и распр</w:t>
      </w:r>
      <w:r>
        <w:t>о</w:t>
      </w:r>
      <w:r>
        <w:t>странило доклад и резюме материалов специальной сессии Организации Объ</w:t>
      </w:r>
      <w:r>
        <w:t>е</w:t>
      </w:r>
      <w:r>
        <w:t>д</w:t>
      </w:r>
      <w:r>
        <w:t>и</w:t>
      </w:r>
      <w:r>
        <w:t>ненных Наций по положению женщин.</w:t>
      </w:r>
    </w:p>
    <w:p w:rsidR="00000000" w:rsidRDefault="00000000">
      <w:pPr>
        <w:pStyle w:val="H1"/>
      </w:pPr>
      <w:r>
        <w:t>Международные организации</w:t>
      </w:r>
    </w:p>
    <w:p w:rsidR="00000000" w:rsidRDefault="00000000">
      <w:pPr>
        <w:pStyle w:val="SingleTxt"/>
      </w:pPr>
      <w:r>
        <w:tab/>
        <w:t>Женщины Новой Зеландии представлены в ряде международных орган</w:t>
      </w:r>
      <w:r>
        <w:t>и</w:t>
      </w:r>
      <w:r>
        <w:t>заций. Среди них Специальный представитель Генерального секретаря Орган</w:t>
      </w:r>
      <w:r>
        <w:t>и</w:t>
      </w:r>
      <w:r>
        <w:t>зации Объединенных Наций по Кипру в период с мая 1998 года по сентябрь 1999 года (г-жа Энн Херкус) и эксперт Международного комитета по биоэтике (профессор Сильвия Румбаль).</w:t>
      </w:r>
    </w:p>
    <w:p w:rsidR="00000000" w:rsidRDefault="00000000">
      <w:pPr>
        <w:pStyle w:val="SingleTxt"/>
      </w:pPr>
      <w:r>
        <w:tab/>
        <w:t>Кроме того, в 2000 году Новая Зеландия выдвинула г-жу Сильвию Кэ</w:t>
      </w:r>
      <w:r>
        <w:t>т</w:t>
      </w:r>
      <w:r>
        <w:t>райт на переизбрание в состав Комитета по ликвидации дискриминации в о</w:t>
      </w:r>
      <w:r>
        <w:t>т</w:t>
      </w:r>
      <w:r>
        <w:t>ношении женщин, однако, она сняла свою кандидатуру, после ее назначения Генерал-губернатором Новой Зеландии. В настоящее время пересматриваются процедуры выдвижения кандидатов в экспертные органы, и вводится более транспарентный порядок. Представленность мужчин и женщин в экспертных органах является фактором, который учитывается правительством Новой З</w:t>
      </w:r>
      <w:r>
        <w:t>е</w:t>
      </w:r>
      <w:r>
        <w:t>ландии при выдвижении кандидатов.</w:t>
      </w:r>
    </w:p>
    <w:p w:rsidR="00000000" w:rsidRDefault="00000000">
      <w:pPr>
        <w:pStyle w:val="H1"/>
      </w:pPr>
      <w:r>
        <w:t>Внешняя политика и женская проблематика</w:t>
      </w:r>
    </w:p>
    <w:p w:rsidR="00000000" w:rsidRDefault="00000000">
      <w:pPr>
        <w:pStyle w:val="SingleTxt"/>
      </w:pPr>
      <w:r>
        <w:tab/>
        <w:t>Поощрение и защита прав женщин являются приоритетными областями международной правозащитной политики Новой Зеландии. Новая Зеландия участвует в деятельности Комиссии по положению женщин и активно подде</w:t>
      </w:r>
      <w:r>
        <w:t>р</w:t>
      </w:r>
      <w:r>
        <w:t>живает резолюции по женским и гендерным вопросам в Комиссии по правам чел</w:t>
      </w:r>
      <w:r>
        <w:t>о</w:t>
      </w:r>
      <w:r>
        <w:t>века и Третьем комитете Генеральной Ассамблеи.</w:t>
      </w:r>
    </w:p>
    <w:p w:rsidR="00000000" w:rsidRDefault="00000000">
      <w:pPr>
        <w:pStyle w:val="H1"/>
      </w:pPr>
      <w:r>
        <w:t>Помощь в целях развития</w:t>
      </w:r>
    </w:p>
    <w:p w:rsidR="00000000" w:rsidRDefault="00000000">
      <w:pPr>
        <w:pStyle w:val="SingleTxt"/>
      </w:pPr>
      <w:r>
        <w:tab/>
        <w:t>Новозеландское агентство международного развития (НЗАИД) добивается достижения равенства полов и предоставления женщинам соответствующих прав во всех аспектах его работы. Оно стремится к обеспечению того, чтобы женщины, мужчины, девочки и мальчики могли в полной мере содействовать своему собственному социально-экономическому развитию и чтобы процесс развития служил на благо всех. Основой усилий НЗАИД в этой области являе</w:t>
      </w:r>
      <w:r>
        <w:t>т</w:t>
      </w:r>
      <w:r>
        <w:t xml:space="preserve">ся полная реализация КЛДЖ. Международные обязательства, вытекающие из </w:t>
      </w:r>
      <w:r>
        <w:rPr>
          <w:i/>
        </w:rPr>
        <w:t>Пекинской платформы действий</w:t>
      </w:r>
      <w:r>
        <w:t xml:space="preserve"> (1995 год) и </w:t>
      </w:r>
      <w:r>
        <w:rPr>
          <w:i/>
        </w:rPr>
        <w:t>Тихоокеанской платформы де</w:t>
      </w:r>
      <w:r>
        <w:rPr>
          <w:i/>
        </w:rPr>
        <w:t>й</w:t>
      </w:r>
      <w:r>
        <w:rPr>
          <w:i/>
        </w:rPr>
        <w:t>ствий</w:t>
      </w:r>
      <w:r>
        <w:t xml:space="preserve"> (1994 год), служат полезным руководством по таким стратегическим подходам.</w:t>
      </w:r>
    </w:p>
    <w:p w:rsidR="00000000" w:rsidRDefault="00000000">
      <w:pPr>
        <w:pStyle w:val="SingleTxt"/>
      </w:pPr>
      <w:r>
        <w:tab/>
        <w:t>НЗАИД будет и впредь поддерживать программы и проекты, сориентир</w:t>
      </w:r>
      <w:r>
        <w:t>о</w:t>
      </w:r>
      <w:r>
        <w:t>ванные на конкретную гендерную проблематику, если они необходимы для устранения разницы в положении или неравенства между женщинами и му</w:t>
      </w:r>
      <w:r>
        <w:t>ж</w:t>
      </w:r>
      <w:r>
        <w:t>чинами, девочками и мальчиками.</w:t>
      </w:r>
    </w:p>
    <w:p w:rsidR="00000000" w:rsidRDefault="00000000">
      <w:pPr>
        <w:pStyle w:val="H23"/>
      </w:pPr>
      <w:r>
        <w:t>Практикумы КЛДЖ для Тихоокеанского региона</w:t>
      </w:r>
    </w:p>
    <w:p w:rsidR="00000000" w:rsidRDefault="00000000">
      <w:pPr>
        <w:pStyle w:val="SingleTxt"/>
      </w:pPr>
      <w:r>
        <w:tab/>
        <w:t>В феврале 2001 года Новая Зеландия выступила в качестве принимающей стороны практикума для 14 тихоокеанских островных стран по подготовке докладов Комитету по ликвидации дискриминации в отношении женщин. В р</w:t>
      </w:r>
      <w:r>
        <w:t>а</w:t>
      </w:r>
      <w:r>
        <w:t>боте практикума приняли участие представители правительства и НПО, причем участие большинства представителей НПО финансировала Новая Зеландия. Преподавателями практикума были г-жа Сильвия Кэтрайт, бывший член Ком</w:t>
      </w:r>
      <w:r>
        <w:t>и</w:t>
      </w:r>
      <w:r>
        <w:t>тета по ликвидации дискриминации в отношении женщин, и Джейн Коннорс, начальник Группы по правам женщин Отдела Организации Объединенных Н</w:t>
      </w:r>
      <w:r>
        <w:t>а</w:t>
      </w:r>
      <w:r>
        <w:t>ций по улучшению положения женщин. Впоследствии Новая Зеландия оказала также финансовую поддержку Северотихоокеанскому практикуму по ликвид</w:t>
      </w:r>
      <w:r>
        <w:t>а</w:t>
      </w:r>
      <w:r>
        <w:t>ции дискриминации в отношении женщин и поддержала через двусторонние программы страны, находящиеся в процессе ратификации Конвенции или по</w:t>
      </w:r>
      <w:r>
        <w:t>д</w:t>
      </w:r>
      <w:r>
        <w:t>готовки докладов о ходе ее реализации. К числу разовых мероприятий относ</w:t>
      </w:r>
      <w:r>
        <w:t>и</w:t>
      </w:r>
      <w:r>
        <w:t>лись оказание помощи в переводе Конвенции на местные языки и обеспечении соответствия законодательства стран п</w:t>
      </w:r>
      <w:r>
        <w:t>о</w:t>
      </w:r>
      <w:r>
        <w:t>ложениям Конвенции.</w:t>
      </w:r>
    </w:p>
    <w:p w:rsidR="00000000" w:rsidRDefault="00000000">
      <w:pPr>
        <w:pStyle w:val="H23"/>
      </w:pPr>
      <w:r>
        <w:t>Региональная деятельность</w:t>
      </w:r>
    </w:p>
    <w:p w:rsidR="00000000" w:rsidRDefault="00000000">
      <w:pPr>
        <w:pStyle w:val="SingleTxt"/>
      </w:pPr>
      <w:r>
        <w:tab/>
        <w:t>Новая Зеландия стремилась также улучшить положение женщин через р</w:t>
      </w:r>
      <w:r>
        <w:t>е</w:t>
      </w:r>
      <w:r>
        <w:t>гиональные программы НЗАИД и деятельность многосторонних и регионал</w:t>
      </w:r>
      <w:r>
        <w:t>ь</w:t>
      </w:r>
      <w:r>
        <w:t>ных организаций. В их числе можно назвать следу</w:t>
      </w:r>
      <w:r>
        <w:t>ю</w:t>
      </w:r>
      <w:r>
        <w:t>щие:</w:t>
      </w:r>
    </w:p>
    <w:p w:rsidR="00000000" w:rsidRDefault="00000000">
      <w:pPr>
        <w:pStyle w:val="dot"/>
      </w:pPr>
      <w:r>
        <w:tab/>
      </w:r>
      <w:r>
        <w:tab/>
        <w:t>•</w:t>
      </w:r>
      <w:r>
        <w:tab/>
        <w:t>постоянная финансовая поддержка Тихоокеанского женского бюро, секр</w:t>
      </w:r>
      <w:r>
        <w:t>е</w:t>
      </w:r>
      <w:r>
        <w:t>тариата Тихоокеанского с</w:t>
      </w:r>
      <w:r>
        <w:t>о</w:t>
      </w:r>
      <w:r>
        <w:t>общества (СТС);</w:t>
      </w:r>
    </w:p>
    <w:p w:rsidR="00000000" w:rsidRDefault="00000000">
      <w:pPr>
        <w:pStyle w:val="dot"/>
      </w:pPr>
      <w:r>
        <w:tab/>
      </w:r>
      <w:r>
        <w:tab/>
        <w:t>•</w:t>
      </w:r>
      <w:r>
        <w:tab/>
        <w:t>финансирование восьмого проводимого раз в три года совещания женщин т</w:t>
      </w:r>
      <w:r>
        <w:t>и</w:t>
      </w:r>
      <w:r>
        <w:t>хоокеанского региона в сентябре 2001 года;</w:t>
      </w:r>
    </w:p>
    <w:p w:rsidR="00000000" w:rsidRDefault="00000000">
      <w:pPr>
        <w:pStyle w:val="dot"/>
      </w:pPr>
      <w:r>
        <w:tab/>
      </w:r>
      <w:r>
        <w:tab/>
        <w:t>•</w:t>
      </w:r>
      <w:r>
        <w:tab/>
        <w:t>подготовка сотрудников полиции по проблемам бытового насилия в вос</w:t>
      </w:r>
      <w:r>
        <w:t>ь</w:t>
      </w:r>
      <w:r>
        <w:t>ми т</w:t>
      </w:r>
      <w:r>
        <w:t>и</w:t>
      </w:r>
      <w:r>
        <w:t>хоокеанских островных странах;</w:t>
      </w:r>
    </w:p>
    <w:p w:rsidR="00000000" w:rsidRDefault="00000000">
      <w:pPr>
        <w:pStyle w:val="dot"/>
      </w:pPr>
      <w:r>
        <w:tab/>
      </w:r>
      <w:r>
        <w:tab/>
        <w:t>•</w:t>
      </w:r>
      <w:r>
        <w:tab/>
        <w:t>финансирование участия лидеров шести женских тихоокеанских орган</w:t>
      </w:r>
      <w:r>
        <w:t>и</w:t>
      </w:r>
      <w:r>
        <w:t>заций в кратком курсе Школы имени Джона Ф. Кеннеди Гарвардского университета;</w:t>
      </w:r>
    </w:p>
    <w:p w:rsidR="00000000" w:rsidRDefault="00000000">
      <w:pPr>
        <w:pStyle w:val="dot"/>
      </w:pPr>
      <w:r>
        <w:tab/>
      </w:r>
      <w:r>
        <w:tab/>
        <w:t>•</w:t>
      </w:r>
      <w:r>
        <w:tab/>
        <w:t>поддержка деятельности Фонда Организации Объединенных Наций в о</w:t>
      </w:r>
      <w:r>
        <w:t>б</w:t>
      </w:r>
      <w:r>
        <w:t>ласти народонаселения в т</w:t>
      </w:r>
      <w:r>
        <w:t>и</w:t>
      </w:r>
      <w:r>
        <w:t>хоокеанском регионе.</w:t>
      </w:r>
    </w:p>
    <w:p w:rsidR="00000000" w:rsidRDefault="00000000">
      <w:pPr>
        <w:pStyle w:val="H23"/>
      </w:pPr>
      <w:r>
        <w:t>Страновые программы</w:t>
      </w:r>
    </w:p>
    <w:p w:rsidR="00000000" w:rsidRDefault="00000000">
      <w:pPr>
        <w:pStyle w:val="SingleTxt"/>
      </w:pPr>
      <w:r>
        <w:rPr>
          <w:b/>
        </w:rPr>
        <w:tab/>
      </w:r>
      <w:r>
        <w:t>Около 54 процентов помощи Новой Зеландии в целях развития предоста</w:t>
      </w:r>
      <w:r>
        <w:t>в</w:t>
      </w:r>
      <w:r>
        <w:t>ляется с «полным учетом гендерной проблематики». Кроме того, Новая Зела</w:t>
      </w:r>
      <w:r>
        <w:t>н</w:t>
      </w:r>
      <w:r>
        <w:t>дия намерена добиться соотношения 50 на 50 между мужчинами и женщинами в составе студентов и практикантов, финансируемых по линии НЗОДА. К числу примеров конкретных мероприятий в интересах женщин в рамках отдельных двусторо</w:t>
      </w:r>
      <w:r>
        <w:t>н</w:t>
      </w:r>
      <w:r>
        <w:t>них страновых программ относятся следующие:</w:t>
      </w:r>
    </w:p>
    <w:p w:rsidR="00000000" w:rsidRDefault="00000000">
      <w:pPr>
        <w:pStyle w:val="dot"/>
      </w:pPr>
      <w:r>
        <w:tab/>
      </w:r>
      <w:r>
        <w:tab/>
        <w:t>•</w:t>
      </w:r>
      <w:r>
        <w:tab/>
        <w:t>долгосрочные программы в области развития и регулирования соотнош</w:t>
      </w:r>
      <w:r>
        <w:t>е</w:t>
      </w:r>
      <w:r>
        <w:t>ния полов в Кириб</w:t>
      </w:r>
      <w:r>
        <w:t>а</w:t>
      </w:r>
      <w:r>
        <w:t>ти и на Островах Кука;</w:t>
      </w:r>
    </w:p>
    <w:p w:rsidR="00000000" w:rsidRDefault="00000000">
      <w:pPr>
        <w:pStyle w:val="dot"/>
      </w:pPr>
      <w:r>
        <w:tab/>
      </w:r>
      <w:r>
        <w:tab/>
        <w:t>•</w:t>
      </w:r>
      <w:r>
        <w:tab/>
        <w:t>поддержка общинных групп и государственных организаций, занима</w:t>
      </w:r>
      <w:r>
        <w:t>ю</w:t>
      </w:r>
      <w:r>
        <w:t>щихся борьбой с насилием пр</w:t>
      </w:r>
      <w:r>
        <w:t>о</w:t>
      </w:r>
      <w:r>
        <w:t>тив женщин и детей;</w:t>
      </w:r>
    </w:p>
    <w:p w:rsidR="00000000" w:rsidRDefault="00000000">
      <w:pPr>
        <w:pStyle w:val="dot"/>
      </w:pPr>
      <w:r>
        <w:tab/>
      </w:r>
      <w:r>
        <w:tab/>
        <w:t>•</w:t>
      </w:r>
      <w:r>
        <w:tab/>
        <w:t>поддержка организаций и деятельности по поощрению развития женщин в области эконом</w:t>
      </w:r>
      <w:r>
        <w:t>и</w:t>
      </w:r>
      <w:r>
        <w:t>ческой и предпринимательской активности;</w:t>
      </w:r>
    </w:p>
    <w:p w:rsidR="00000000" w:rsidRDefault="00000000">
      <w:pPr>
        <w:pStyle w:val="dot"/>
      </w:pPr>
      <w:r>
        <w:tab/>
      </w:r>
      <w:r>
        <w:tab/>
        <w:t>•</w:t>
      </w:r>
      <w:r>
        <w:tab/>
        <w:t>укрепление потенциала женских НПО.</w:t>
      </w:r>
    </w:p>
    <w:p w:rsidR="00000000" w:rsidRDefault="00000000">
      <w:pPr>
        <w:pStyle w:val="SingleTxt"/>
      </w:pPr>
      <w:r>
        <w:tab/>
        <w:t>Новая Зеландия играет активную роль в деятельности Рабочей группы по гендерной проблематике и вопросам развития Комитета содействия развитию ОЭСР и тесно взаимодействует с региональными тихоокеанскими структурами в координации деятельности доноров по улучшению положения женщин.</w:t>
      </w:r>
    </w:p>
    <w:p w:rsidR="00000000" w:rsidRDefault="00000000">
      <w:pPr>
        <w:pStyle w:val="H1"/>
      </w:pPr>
      <w:r>
        <w:t>Библиография</w:t>
      </w:r>
    </w:p>
    <w:p w:rsidR="00000000" w:rsidRDefault="00000000">
      <w:pPr>
        <w:pStyle w:val="SingleTxt"/>
        <w:ind w:left="1740" w:hanging="476"/>
      </w:pPr>
      <w:r>
        <w:t xml:space="preserve">Ministry of Women’s Affairs, 2001, </w:t>
      </w:r>
      <w:r>
        <w:rPr>
          <w:i/>
        </w:rPr>
        <w:t>Beijing +5, Women 2000: Gender Equity, Development and Peace for the 21th Century</w:t>
      </w:r>
      <w:r>
        <w:t>, Wellington.</w:t>
      </w:r>
    </w:p>
    <w:p w:rsidR="00000000" w:rsidRDefault="00000000">
      <w:pPr>
        <w:pStyle w:val="SingleTxt"/>
        <w:ind w:left="1740" w:hanging="476"/>
      </w:pPr>
      <w:r>
        <w:t xml:space="preserve">Ministry of Woman’s Affairs, 2001, </w:t>
      </w:r>
      <w:r>
        <w:rPr>
          <w:i/>
        </w:rPr>
        <w:t>Beijing +5 Summary</w:t>
      </w:r>
      <w:r>
        <w:t>, Wellington.</w:t>
      </w:r>
    </w:p>
    <w:p w:rsidR="00000000" w:rsidRDefault="00000000">
      <w:pPr>
        <w:pStyle w:val="HCh"/>
      </w:pPr>
      <w:r>
        <w:br w:type="page"/>
      </w:r>
      <w:bookmarkStart w:id="25" w:name="_Toc30302890"/>
      <w:r>
        <w:t>Статья 9</w:t>
      </w:r>
      <w:bookmarkEnd w:id="25"/>
    </w:p>
    <w:p w:rsidR="00000000" w:rsidRDefault="00000000">
      <w:pPr>
        <w:pStyle w:val="HCh"/>
      </w:pPr>
      <w:bookmarkStart w:id="26" w:name="_Toc30302891"/>
      <w:r>
        <w:t>Гражданство</w:t>
      </w:r>
      <w:bookmarkEnd w:id="26"/>
    </w:p>
    <w:p w:rsidR="00000000" w:rsidRDefault="00000000">
      <w:pPr>
        <w:pStyle w:val="SingleTxt"/>
        <w:ind w:left="2217" w:hanging="953"/>
        <w:rPr>
          <w:i/>
        </w:rPr>
      </w:pPr>
      <w:r>
        <w:tab/>
      </w:r>
      <w:r>
        <w:tab/>
      </w:r>
      <w:r>
        <w:rPr>
          <w:i/>
        </w:rPr>
        <w:t>1.</w:t>
      </w:r>
      <w:r>
        <w:rPr>
          <w:i/>
        </w:rPr>
        <w:tab/>
        <w:t>Государства-участники предоставляют женщинам равные с му</w:t>
      </w:r>
      <w:r>
        <w:rPr>
          <w:i/>
        </w:rPr>
        <w:t>ж</w:t>
      </w:r>
      <w:r>
        <w:rPr>
          <w:i/>
        </w:rPr>
        <w:t>чинами права в отношении приобретения, изменения или сохранения их гражданства. Они, в частности, обеспечивают, что ни вступл</w:t>
      </w:r>
      <w:r>
        <w:rPr>
          <w:i/>
        </w:rPr>
        <w:t>е</w:t>
      </w:r>
      <w:r>
        <w:rPr>
          <w:i/>
        </w:rPr>
        <w:t>ние в брак с иностранцем, ни изменение гражданства мужа во вр</w:t>
      </w:r>
      <w:r>
        <w:rPr>
          <w:i/>
        </w:rPr>
        <w:t>е</w:t>
      </w:r>
      <w:r>
        <w:rPr>
          <w:i/>
        </w:rPr>
        <w:t>мя брака не влекут за собой автоматического изменения гражда</w:t>
      </w:r>
      <w:r>
        <w:rPr>
          <w:i/>
        </w:rPr>
        <w:t>н</w:t>
      </w:r>
      <w:r>
        <w:rPr>
          <w:i/>
        </w:rPr>
        <w:t>ства жены, не превращают ее в лицо без гражданства и не могут заставить ее принять гражданство мужа.</w:t>
      </w:r>
    </w:p>
    <w:p w:rsidR="00000000" w:rsidRDefault="00000000">
      <w:pPr>
        <w:pStyle w:val="SingleTxt"/>
        <w:ind w:left="2217" w:hanging="953"/>
        <w:rPr>
          <w:i/>
        </w:rPr>
      </w:pPr>
      <w:r>
        <w:rPr>
          <w:i/>
        </w:rPr>
        <w:tab/>
      </w:r>
      <w:r>
        <w:rPr>
          <w:i/>
        </w:rPr>
        <w:tab/>
        <w:t>2.</w:t>
      </w:r>
      <w:r>
        <w:rPr>
          <w:i/>
        </w:rPr>
        <w:tab/>
        <w:t>Государства-участники предоставляют женщинам равные с му</w:t>
      </w:r>
      <w:r>
        <w:rPr>
          <w:i/>
        </w:rPr>
        <w:t>ж</w:t>
      </w:r>
      <w:r>
        <w:rPr>
          <w:i/>
        </w:rPr>
        <w:t>чинами права в отношении гра</w:t>
      </w:r>
      <w:r>
        <w:rPr>
          <w:i/>
        </w:rPr>
        <w:t>ж</w:t>
      </w:r>
      <w:r>
        <w:rPr>
          <w:i/>
        </w:rPr>
        <w:t>данства их детей.</w:t>
      </w:r>
    </w:p>
    <w:p w:rsidR="00000000" w:rsidRDefault="00000000">
      <w:pPr>
        <w:pStyle w:val="H1"/>
      </w:pPr>
      <w:r>
        <w:t>Гражданство</w:t>
      </w:r>
    </w:p>
    <w:p w:rsidR="00000000" w:rsidRDefault="00000000">
      <w:pPr>
        <w:pStyle w:val="SingleTxt"/>
      </w:pPr>
      <w:r>
        <w:tab/>
        <w:t>В этом вопросе в Новой Зеландии не произошло никаких изменений со времени представления п</w:t>
      </w:r>
      <w:r>
        <w:t>о</w:t>
      </w:r>
      <w:r>
        <w:t>следнего периодического доклада.</w:t>
      </w:r>
    </w:p>
    <w:p w:rsidR="00000000" w:rsidRDefault="00000000">
      <w:pPr>
        <w:pStyle w:val="SingleTxt"/>
      </w:pPr>
      <w:r>
        <w:tab/>
        <w:t>В Новой Зеландии «гражданство» является юридическим термином, не совпадающим по значению с понятием «иммиграционный статус». Поэтому вопросы, касающиеся иммиграционного стат</w:t>
      </w:r>
      <w:r>
        <w:t>у</w:t>
      </w:r>
      <w:r>
        <w:t>са, беженцев и женщин-мигрантов, рассматриваются применительно к другим статьям. Информацию о лицах взрослого возраста смотрите в разделе «Статья 10: Образование», стр. 81 и «Статья 11: Занятость», стр. 99, а сведения о беженцах и же</w:t>
      </w:r>
      <w:r>
        <w:t>н</w:t>
      </w:r>
      <w:r>
        <w:t>щинах-мигрантах смотрите в разделе «Статья 12: Здравоохранение», стр. 124 и «Ст</w:t>
      </w:r>
      <w:r>
        <w:t>а</w:t>
      </w:r>
      <w:r>
        <w:t>тья 16: Брак и семейная жизнь», стр. 189.</w:t>
      </w:r>
    </w:p>
    <w:p w:rsidR="00000000" w:rsidRDefault="00000000">
      <w:pPr>
        <w:pStyle w:val="HCh"/>
      </w:pPr>
      <w:r>
        <w:br w:type="page"/>
      </w:r>
      <w:bookmarkStart w:id="27" w:name="_Toc30302892"/>
      <w:r>
        <w:t>Статья 10</w:t>
      </w:r>
      <w:bookmarkEnd w:id="27"/>
    </w:p>
    <w:p w:rsidR="00000000" w:rsidRDefault="00000000">
      <w:pPr>
        <w:pStyle w:val="HCh"/>
      </w:pPr>
      <w:bookmarkStart w:id="28" w:name="_Toc30302893"/>
      <w:r>
        <w:t>Образование</w:t>
      </w:r>
      <w:bookmarkEnd w:id="28"/>
    </w:p>
    <w:p w:rsidR="00000000" w:rsidRDefault="00000000">
      <w:pPr>
        <w:pStyle w:val="SingleTxt"/>
        <w:ind w:left="1740" w:hanging="476"/>
        <w:rPr>
          <w:i/>
        </w:rPr>
      </w:pPr>
      <w:r>
        <w:tab/>
      </w:r>
      <w:r>
        <w:tab/>
      </w:r>
      <w:r>
        <w:rPr>
          <w:i/>
        </w:rPr>
        <w:t>Государства-участники принимают все соответствующие меры для т</w:t>
      </w:r>
      <w:r>
        <w:rPr>
          <w:i/>
        </w:rPr>
        <w:t>о</w:t>
      </w:r>
      <w:r>
        <w:rPr>
          <w:i/>
        </w:rPr>
        <w:t>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w:t>
      </w:r>
      <w:r>
        <w:rPr>
          <w:i/>
        </w:rPr>
        <w:t>н</w:t>
      </w:r>
      <w:r>
        <w:rPr>
          <w:i/>
        </w:rPr>
        <w:t>щин:</w:t>
      </w:r>
    </w:p>
    <w:p w:rsidR="00000000" w:rsidRDefault="00000000">
      <w:pPr>
        <w:pStyle w:val="SingleTxt"/>
        <w:ind w:left="2217" w:hanging="953"/>
        <w:rPr>
          <w:i/>
        </w:rPr>
      </w:pPr>
      <w:r>
        <w:rPr>
          <w:i/>
        </w:rPr>
        <w:tab/>
      </w:r>
      <w:r>
        <w:rPr>
          <w:i/>
        </w:rPr>
        <w:tab/>
        <w:t xml:space="preserve">а) </w:t>
      </w:r>
      <w:r>
        <w:rPr>
          <w:i/>
        </w:rPr>
        <w:tab/>
        <w:t>одинаковые условия для ориентации в выборе профессии или спец</w:t>
      </w:r>
      <w:r>
        <w:rPr>
          <w:i/>
        </w:rPr>
        <w:t>и</w:t>
      </w:r>
      <w:r>
        <w:rPr>
          <w:i/>
        </w:rPr>
        <w:t>альности, для доступа к образованию и получению дипломов в уче</w:t>
      </w:r>
      <w:r>
        <w:rPr>
          <w:i/>
        </w:rPr>
        <w:t>б</w:t>
      </w:r>
      <w:r>
        <w:rPr>
          <w:i/>
        </w:rPr>
        <w:t>ных заведениях всех категорий как в сельских, так и в городских районах; это равенство обеспечивается в дошкольном, общем, сп</w:t>
      </w:r>
      <w:r>
        <w:rPr>
          <w:i/>
        </w:rPr>
        <w:t>е</w:t>
      </w:r>
      <w:r>
        <w:rPr>
          <w:i/>
        </w:rPr>
        <w:t>циальном и высшем техническом образовании, а также во всех видах профессионал</w:t>
      </w:r>
      <w:r>
        <w:rPr>
          <w:i/>
        </w:rPr>
        <w:t>ь</w:t>
      </w:r>
      <w:r>
        <w:rPr>
          <w:i/>
        </w:rPr>
        <w:t>ной подготовки;</w:t>
      </w:r>
    </w:p>
    <w:p w:rsidR="00000000" w:rsidRDefault="00000000">
      <w:pPr>
        <w:pStyle w:val="SingleTxt"/>
        <w:ind w:left="2217" w:hanging="953"/>
        <w:rPr>
          <w:i/>
        </w:rPr>
      </w:pPr>
      <w:r>
        <w:rPr>
          <w:i/>
        </w:rPr>
        <w:tab/>
      </w:r>
      <w:r>
        <w:rPr>
          <w:i/>
        </w:rPr>
        <w:tab/>
        <w:t xml:space="preserve">b) </w:t>
      </w:r>
      <w:r>
        <w:rPr>
          <w:i/>
        </w:rPr>
        <w:tab/>
        <w:t>доступ к одинаковым программам обучения, одинаковым экзаменам, преподавательскому составу одинаковой квалификации, школьным помещен</w:t>
      </w:r>
      <w:r>
        <w:rPr>
          <w:i/>
        </w:rPr>
        <w:t>и</w:t>
      </w:r>
      <w:r>
        <w:rPr>
          <w:i/>
        </w:rPr>
        <w:t xml:space="preserve">ям и оборудованию равного качества; </w:t>
      </w:r>
    </w:p>
    <w:p w:rsidR="00000000" w:rsidRDefault="00000000">
      <w:pPr>
        <w:pStyle w:val="SingleTxt"/>
        <w:ind w:left="2217" w:hanging="953"/>
        <w:rPr>
          <w:i/>
        </w:rPr>
      </w:pPr>
      <w:r>
        <w:rPr>
          <w:i/>
        </w:rPr>
        <w:tab/>
      </w:r>
      <w:r>
        <w:rPr>
          <w:i/>
        </w:rPr>
        <w:tab/>
        <w:t xml:space="preserve">с) </w:t>
      </w:r>
      <w:r>
        <w:rPr>
          <w:i/>
        </w:rPr>
        <w:tab/>
        <w:t>устранение любой стереотипной концепции роли мужчин и женщин на всех уровнях и во всех формах обучения путем поощрения совм</w:t>
      </w:r>
      <w:r>
        <w:rPr>
          <w:i/>
        </w:rPr>
        <w:t>е</w:t>
      </w:r>
      <w:r>
        <w:rPr>
          <w:i/>
        </w:rPr>
        <w:t>стного обучения и других видов обучения, которые будут содейс</w:t>
      </w:r>
      <w:r>
        <w:rPr>
          <w:i/>
        </w:rPr>
        <w:t>т</w:t>
      </w:r>
      <w:r>
        <w:rPr>
          <w:i/>
        </w:rPr>
        <w:t>вовать достижению этой цели, и, в частности, путем пересмотра учебных пособий и школьных программ и адаптации методов обуч</w:t>
      </w:r>
      <w:r>
        <w:rPr>
          <w:i/>
        </w:rPr>
        <w:t>е</w:t>
      </w:r>
      <w:r>
        <w:rPr>
          <w:i/>
        </w:rPr>
        <w:t xml:space="preserve">ния; </w:t>
      </w:r>
    </w:p>
    <w:p w:rsidR="00000000" w:rsidRDefault="00000000">
      <w:pPr>
        <w:pStyle w:val="SingleTxt"/>
        <w:ind w:left="2217" w:hanging="953"/>
        <w:rPr>
          <w:i/>
        </w:rPr>
      </w:pPr>
      <w:r>
        <w:rPr>
          <w:i/>
        </w:rPr>
        <w:tab/>
      </w:r>
      <w:r>
        <w:rPr>
          <w:i/>
        </w:rPr>
        <w:tab/>
        <w:t xml:space="preserve">d) </w:t>
      </w:r>
      <w:r>
        <w:rPr>
          <w:i/>
        </w:rPr>
        <w:tab/>
        <w:t>одинаковые возможности получения стипендий и других пособий на образ</w:t>
      </w:r>
      <w:r>
        <w:rPr>
          <w:i/>
        </w:rPr>
        <w:t>о</w:t>
      </w:r>
      <w:r>
        <w:rPr>
          <w:i/>
        </w:rPr>
        <w:t xml:space="preserve">вание; </w:t>
      </w:r>
    </w:p>
    <w:p w:rsidR="00000000" w:rsidRDefault="00000000">
      <w:pPr>
        <w:pStyle w:val="SingleTxt"/>
        <w:ind w:left="2217" w:hanging="953"/>
        <w:rPr>
          <w:i/>
        </w:rPr>
      </w:pPr>
      <w:r>
        <w:rPr>
          <w:i/>
        </w:rPr>
        <w:tab/>
      </w:r>
      <w:r>
        <w:rPr>
          <w:i/>
        </w:rPr>
        <w:tab/>
        <w:t xml:space="preserve">е) </w:t>
      </w:r>
      <w:r>
        <w:rPr>
          <w:i/>
        </w:rPr>
        <w:tab/>
        <w:t>одинаковые возможности доступа к программам продолжения о</w:t>
      </w:r>
      <w:r>
        <w:rPr>
          <w:i/>
        </w:rPr>
        <w:t>б</w:t>
      </w:r>
      <w:r>
        <w:rPr>
          <w:i/>
        </w:rPr>
        <w:t>разования, включая программы распространения грамотности ср</w:t>
      </w:r>
      <w:r>
        <w:rPr>
          <w:i/>
        </w:rPr>
        <w:t>е</w:t>
      </w:r>
      <w:r>
        <w:rPr>
          <w:i/>
        </w:rPr>
        <w:t>ди взрослых и программы функциональной грамотности, направле</w:t>
      </w:r>
      <w:r>
        <w:rPr>
          <w:i/>
        </w:rPr>
        <w:t>н</w:t>
      </w:r>
      <w:r>
        <w:rPr>
          <w:i/>
        </w:rPr>
        <w:t xml:space="preserve">ные, в частности, на сокращение как можно скорее любого разрыва в знаниях мужчин и женщин; </w:t>
      </w:r>
    </w:p>
    <w:p w:rsidR="00000000" w:rsidRDefault="00000000">
      <w:pPr>
        <w:pStyle w:val="SingleTxt"/>
        <w:ind w:left="2217" w:hanging="953"/>
        <w:rPr>
          <w:i/>
        </w:rPr>
      </w:pPr>
      <w:r>
        <w:rPr>
          <w:i/>
        </w:rPr>
        <w:tab/>
      </w:r>
      <w:r>
        <w:rPr>
          <w:i/>
        </w:rPr>
        <w:tab/>
        <w:t xml:space="preserve">f) </w:t>
      </w:r>
      <w:r>
        <w:rPr>
          <w:i/>
        </w:rPr>
        <w:tab/>
        <w:t>сокращение числа девушек, не заканчивающих школу, и разработку программ для девушек и женщин, преждевременно покинувших шк</w:t>
      </w:r>
      <w:r>
        <w:rPr>
          <w:i/>
        </w:rPr>
        <w:t>о</w:t>
      </w:r>
      <w:r>
        <w:rPr>
          <w:i/>
        </w:rPr>
        <w:t xml:space="preserve">лу; </w:t>
      </w:r>
    </w:p>
    <w:p w:rsidR="00000000" w:rsidRDefault="00000000">
      <w:pPr>
        <w:pStyle w:val="SingleTxt"/>
        <w:ind w:left="2217" w:hanging="953"/>
        <w:rPr>
          <w:i/>
        </w:rPr>
      </w:pPr>
      <w:r>
        <w:rPr>
          <w:i/>
        </w:rPr>
        <w:tab/>
      </w:r>
      <w:r>
        <w:rPr>
          <w:i/>
        </w:rPr>
        <w:tab/>
        <w:t>g)</w:t>
      </w:r>
      <w:r>
        <w:rPr>
          <w:i/>
        </w:rPr>
        <w:tab/>
        <w:t xml:space="preserve"> одинаковые возможности активно участвовать в занятиях спо</w:t>
      </w:r>
      <w:r>
        <w:rPr>
          <w:i/>
        </w:rPr>
        <w:t>р</w:t>
      </w:r>
      <w:r>
        <w:rPr>
          <w:i/>
        </w:rPr>
        <w:t>том и физической подгото</w:t>
      </w:r>
      <w:r>
        <w:rPr>
          <w:i/>
        </w:rPr>
        <w:t>в</w:t>
      </w:r>
      <w:r>
        <w:rPr>
          <w:i/>
        </w:rPr>
        <w:t xml:space="preserve">кой; </w:t>
      </w:r>
    </w:p>
    <w:p w:rsidR="00000000" w:rsidRDefault="00000000">
      <w:pPr>
        <w:pStyle w:val="SingleTxt"/>
        <w:ind w:left="2217" w:hanging="953"/>
        <w:rPr>
          <w:i/>
        </w:rPr>
      </w:pPr>
      <w:r>
        <w:rPr>
          <w:i/>
        </w:rPr>
        <w:tab/>
      </w:r>
      <w:r>
        <w:rPr>
          <w:i/>
        </w:rPr>
        <w:tab/>
        <w:t xml:space="preserve">h) </w:t>
      </w:r>
      <w:r>
        <w:rPr>
          <w:i/>
        </w:rPr>
        <w:tab/>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w:t>
      </w:r>
      <w:r>
        <w:rPr>
          <w:i/>
        </w:rPr>
        <w:t>е</w:t>
      </w:r>
      <w:r>
        <w:rPr>
          <w:i/>
        </w:rPr>
        <w:t xml:space="preserve">мьи. </w:t>
      </w:r>
    </w:p>
    <w:p w:rsidR="00000000" w:rsidRDefault="00000000">
      <w:pPr>
        <w:pStyle w:val="H1"/>
      </w:pPr>
      <w:r>
        <w:t>Доступ и участие</w:t>
      </w:r>
    </w:p>
    <w:p w:rsidR="00000000" w:rsidRDefault="00000000">
      <w:pPr>
        <w:pStyle w:val="H23"/>
      </w:pPr>
      <w:r>
        <w:t>Обучение в раннем детском возрасте</w:t>
      </w:r>
    </w:p>
    <w:p w:rsidR="00000000" w:rsidRDefault="00000000">
      <w:pPr>
        <w:pStyle w:val="SingleTxt"/>
      </w:pPr>
      <w:r>
        <w:rPr>
          <w:b/>
        </w:rPr>
        <w:tab/>
      </w:r>
      <w:r>
        <w:t>В период с 1990 по 2001 годы количество малолетних детей, принятых в детские дошкольные учреждения, возросло почти на 45 процентов с 118367 до 171333 человек. Эти данные несколько завышают фактическое количество д</w:t>
      </w:r>
      <w:r>
        <w:t>е</w:t>
      </w:r>
      <w:r>
        <w:t>тей, поскольку один ребенок может одновременно посещать несколько учре</w:t>
      </w:r>
      <w:r>
        <w:t>ж</w:t>
      </w:r>
      <w:r>
        <w:t>дений. Самый большой рост наблюдается в приеме детей в возрасте одного-двух лет, где он за этот период почти удвоился. Устойчивому росту приема д</w:t>
      </w:r>
      <w:r>
        <w:t>е</w:t>
      </w:r>
      <w:r>
        <w:t>тей в такие учреждения способствовало расширение представленности женщин в рабочей силе, углубление понимания важности обучения в раннем детском возрасте и наличие более широкого круга соответствующих служб. Во всех этих службах и различных возрастных группах девочки и мальчики предста</w:t>
      </w:r>
      <w:r>
        <w:t>в</w:t>
      </w:r>
      <w:r>
        <w:t>лены одинаково. В 2001 году на девочек приходилось 83254 человека (48,6 процента) из всех принятых детей. Хотя этот показатель ниже, чем по мальчикам, он скорее отражает различия в половозрастном распределении н</w:t>
      </w:r>
      <w:r>
        <w:t>а</w:t>
      </w:r>
      <w:r>
        <w:t>селения, нежели половые различия с точки зрения участия. Согласно переписи населения 2001 года доля девочек в группе моложе пяти лет составила 48,8 процента.</w:t>
      </w:r>
    </w:p>
    <w:p w:rsidR="00000000" w:rsidRDefault="00000000">
      <w:pPr>
        <w:pStyle w:val="SingleTxt"/>
      </w:pPr>
      <w:r>
        <w:tab/>
        <w:t>Прием детей-маори в детские дошкольные учреждения возрос на 3,9 процента в 1996-1999 годах, но снизился на 3,2 процента в 1999-2001 годах. «Кёханга рео» – заведения, где обучение ведется на языке маори, остаются преобладающими учреждениями. По состоянию на 1 июля 2001 года 9743 ребенка посещали 612 «кёханга рео». В период с 1996 по 2000 год доля детей-маори в общем количестве детей, принятых в детские дошкольные учр</w:t>
      </w:r>
      <w:r>
        <w:t>е</w:t>
      </w:r>
      <w:r>
        <w:t>ждения, несколько снизилась с 18,9 до 18,5 процента. Дети из числа маори сл</w:t>
      </w:r>
      <w:r>
        <w:t>а</w:t>
      </w:r>
      <w:r>
        <w:t>бее представлены в детских дошкольных учреждениях, чем дети других наци</w:t>
      </w:r>
      <w:r>
        <w:t>о</w:t>
      </w:r>
      <w:r>
        <w:t>нальностей, при этом соотношение детей в возрасте до пяти лет в различных детских дошкольных заведениях составляет 42 и 61 процент соответстве</w:t>
      </w:r>
      <w:r>
        <w:t>н</w:t>
      </w:r>
      <w:r>
        <w:t>но.</w:t>
      </w:r>
    </w:p>
    <w:p w:rsidR="00000000" w:rsidRDefault="00000000">
      <w:pPr>
        <w:pStyle w:val="SingleTxt"/>
      </w:pPr>
      <w:r>
        <w:tab/>
        <w:t>Прием детей пасифика</w:t>
      </w:r>
      <w:r>
        <w:rPr>
          <w:rStyle w:val="FootnoteReference"/>
        </w:rPr>
        <w:footnoteReference w:customMarkFollows="1" w:id="9"/>
        <w:sym w:font="Symbol" w:char="F02A"/>
      </w:r>
      <w:r>
        <w:t xml:space="preserve"> в детские дошкольные учреждения возрос на 8,4 процента с 1996 по 1999 годы и на 3,6 процента с 1999 по 2001 годы. Кру</w:t>
      </w:r>
      <w:r>
        <w:t>п</w:t>
      </w:r>
      <w:r>
        <w:t>нейшими поставщиками услуг являются детские сады, службы просвещения и ухода за детьми (включая лицензированные центры тихоокеанских островов по просвещению и уходу за детьми) и освобожденные от лицензирования группы для малолетних детей тихоокеанских островов. В частности, количество л</w:t>
      </w:r>
      <w:r>
        <w:t>и</w:t>
      </w:r>
      <w:r>
        <w:t>цензированных и зарегистрированных центров тихоокеанских островов по просвещению и уходу за детьми возросло с 30 в 1996 году до 69 по состоянию на 1 июля 2001 года. Дети пасифика недостаточно представлены в системе д</w:t>
      </w:r>
      <w:r>
        <w:t>о</w:t>
      </w:r>
      <w:r>
        <w:t>школьного просвещения, поскольку 42 процента этих детей в возрасте до пяти лет посещают те или иные воспитательные учреждения в отличие от детей др</w:t>
      </w:r>
      <w:r>
        <w:t>у</w:t>
      </w:r>
      <w:r>
        <w:t>гой национальности, которые составляют 58 процентов.</w:t>
      </w:r>
    </w:p>
    <w:p w:rsidR="00000000" w:rsidRDefault="00000000">
      <w:pPr>
        <w:pStyle w:val="SingleTxt"/>
      </w:pPr>
      <w:r>
        <w:tab/>
        <w:t>В целях содействия группам, недостаточно представленным в системе дошкольного просвещения, правительство применяет меры стимулирования, например, оно осуществляет проект поощрения участия и финансовой помощи для обеспечения равенства. Очень важно создать высококачественные службы для малолетних детей. С этой целью правительство ужесточило квалификац</w:t>
      </w:r>
      <w:r>
        <w:t>и</w:t>
      </w:r>
      <w:r>
        <w:t>онные требования к учителям и приняло ряд вспомогательных мер, например, предоставление поощрительных субсидий и стипендий учителям из числа ма</w:t>
      </w:r>
      <w:r>
        <w:t>о</w:t>
      </w:r>
      <w:r>
        <w:t>ри и пасифика для оказания помощи им и службам ухода за малолетними в д</w:t>
      </w:r>
      <w:r>
        <w:t>е</w:t>
      </w:r>
      <w:r>
        <w:t>ле обе</w:t>
      </w:r>
      <w:r>
        <w:t>с</w:t>
      </w:r>
      <w:r>
        <w:t>печения соответствия этим новым требованиям.</w:t>
      </w:r>
    </w:p>
    <w:p w:rsidR="00000000" w:rsidRDefault="00000000">
      <w:pPr>
        <w:pStyle w:val="SingleTxt"/>
      </w:pPr>
      <w:r>
        <w:tab/>
        <w:t>В сентябре 2002 года будет начато осуществление стратегического плана просвещения малолетних, который был в основном разработан рабочей гру</w:t>
      </w:r>
      <w:r>
        <w:t>п</w:t>
      </w:r>
      <w:r>
        <w:t>пой этого сектора. Цель данного стратегического плана заключается в повыш</w:t>
      </w:r>
      <w:r>
        <w:t>е</w:t>
      </w:r>
      <w:r>
        <w:t>нии качества новозеландских служб для малолетних и расширении предста</w:t>
      </w:r>
      <w:r>
        <w:t>в</w:t>
      </w:r>
      <w:r>
        <w:t>ленности в высококачественных службах детей, в частности из числа маори, пасифика и из м</w:t>
      </w:r>
      <w:r>
        <w:t>а</w:t>
      </w:r>
      <w:r>
        <w:t>лообеспеченных семей.</w:t>
      </w:r>
    </w:p>
    <w:p w:rsidR="00000000" w:rsidRDefault="00000000">
      <w:pPr>
        <w:pStyle w:val="SingleTxt"/>
      </w:pPr>
      <w:r>
        <w:tab/>
        <w:t>В работе сектора воспитания малолетних участвуют многочисленные добровольцы из числа тех, кто занимается уходом за детьми, главным образом матери. Действующие правила требуют информирования родителей об усп</w:t>
      </w:r>
      <w:r>
        <w:t>е</w:t>
      </w:r>
      <w:r>
        <w:t>ваемости их детей, и многие службы для малолетних, в частности движение «Плейсентр» и «кёханга рео», предлагают программы подготовки родителей по дошкольному образованию д</w:t>
      </w:r>
      <w:r>
        <w:t>е</w:t>
      </w:r>
      <w:r>
        <w:t>тей.</w:t>
      </w:r>
    </w:p>
    <w:p w:rsidR="00000000" w:rsidRDefault="00000000">
      <w:pPr>
        <w:pStyle w:val="SingleTxt"/>
      </w:pPr>
      <w:r>
        <w:tab/>
        <w:t>Кроме того, правительство поддерживает большое число таких программ для родителей, как «Родители – первые учителя», «Программа домашней по</w:t>
      </w:r>
      <w:r>
        <w:t>д</w:t>
      </w:r>
      <w:r>
        <w:t>готовки дошкольников и первоклассников», «Семейный старт», «Ванау токо и те ора» (которая осуществляется через Лигу за благосостояние женщин-маори) и «Анау ако пасифика».</w:t>
      </w:r>
    </w:p>
    <w:p w:rsidR="00000000" w:rsidRDefault="00000000">
      <w:pPr>
        <w:pStyle w:val="SingleTxt"/>
      </w:pPr>
      <w:r>
        <w:tab/>
        <w:t>Управление по обзору системы образования регулярно производит оценку и представляет в открытой печати доклады о деятельности центров для мал</w:t>
      </w:r>
      <w:r>
        <w:t>о</w:t>
      </w:r>
      <w:r>
        <w:t>летних. В докладах отмечаются любые случаи гендерной предубежденности в программах или на практике. Специалисты по дошкольному обучению осозн</w:t>
      </w:r>
      <w:r>
        <w:t>а</w:t>
      </w:r>
      <w:r>
        <w:t>ют необходимость создания отвечающих требованиям и стимулирующих пр</w:t>
      </w:r>
      <w:r>
        <w:t>о</w:t>
      </w:r>
      <w:r>
        <w:t>грамм для девочек, и был достигнут значительный прогресс в развитии не</w:t>
      </w:r>
      <w:r>
        <w:t>й</w:t>
      </w:r>
      <w:r>
        <w:t>тральных в гендерном плане взаимоотношений и практики</w:t>
      </w:r>
      <w:r>
        <w:rPr>
          <w:rStyle w:val="FootnoteReference"/>
        </w:rPr>
        <w:footnoteReference w:id="10"/>
        <w:sym w:font="Symbol" w:char="F038"/>
      </w:r>
      <w:r>
        <w:t>.</w:t>
      </w:r>
    </w:p>
    <w:p w:rsidR="00000000" w:rsidRDefault="00000000">
      <w:pPr>
        <w:pStyle w:val="H23"/>
      </w:pPr>
      <w:r>
        <w:t>Начальное и среднее школьное образование</w:t>
      </w:r>
    </w:p>
    <w:p w:rsidR="00000000" w:rsidRDefault="00000000">
      <w:pPr>
        <w:pStyle w:val="SingleTxt"/>
      </w:pPr>
      <w:r>
        <w:tab/>
        <w:t>В Новой Зеландии школьное образование для детей в возрасте 6-16 лет является обязательным. Однако многие дети ходят в школу с 5 лет и продо</w:t>
      </w:r>
      <w:r>
        <w:t>л</w:t>
      </w:r>
      <w:r>
        <w:t>жают учебу после исполнения им 16 лет. Каждый учащийся, не являющийся иностранцем, имеет право на бесплатный прием в учебное заведение и учебу в любой государственной школе после исполнения ему или ей 5 лет и до 1 января того года, когда он или она достигнет 19 лет. Государственные школы могут з</w:t>
      </w:r>
      <w:r>
        <w:t>а</w:t>
      </w:r>
      <w:r>
        <w:t>прашивать не плату, а денежные пожертвования. Для некоторых семей фина</w:t>
      </w:r>
      <w:r>
        <w:t>н</w:t>
      </w:r>
      <w:r>
        <w:t>совым препятствием могут послужить платные мероприятия или учебная де</w:t>
      </w:r>
      <w:r>
        <w:t>я</w:t>
      </w:r>
      <w:r>
        <w:t>тельность, а также стоимость школьной формы. Многие школы могут оказать родителям помощь в покрытии этих расходов, однако, в первую очередь им следует обращаться в органы системы финансовой поддержки. Некоторым школам предоставляются дополнительные средства на специальное оборудов</w:t>
      </w:r>
      <w:r>
        <w:t>а</w:t>
      </w:r>
      <w:r>
        <w:t>ние для подрос</w:t>
      </w:r>
      <w:r>
        <w:t>т</w:t>
      </w:r>
      <w:r>
        <w:t>ков, ставших родителями.</w:t>
      </w:r>
    </w:p>
    <w:p w:rsidR="00000000" w:rsidRDefault="00000000">
      <w:pPr>
        <w:pStyle w:val="SingleTxt"/>
      </w:pPr>
      <w:r>
        <w:tab/>
        <w:t>Из общего числа учащихся (729689), посещавших школу в 2000 году, 51 процент составляли юноши и 49 – девушки. В школах всех типов распред</w:t>
      </w:r>
      <w:r>
        <w:t>е</w:t>
      </w:r>
      <w:r>
        <w:t>ление по полу было довольно равномерным. Исключение составляли смеша</w:t>
      </w:r>
      <w:r>
        <w:t>н</w:t>
      </w:r>
      <w:r>
        <w:t>ные (районные) школы, которые в основном обслуживают сельские общины, где в 2000 году 57 процентов учащихся составляли девушки, заочные школы (72 процента девушек) и специальные школы (37 процентов девушек).</w:t>
      </w:r>
    </w:p>
    <w:p w:rsidR="00000000" w:rsidRDefault="00000000">
      <w:pPr>
        <w:pStyle w:val="SingleTxt"/>
      </w:pPr>
      <w:r>
        <w:tab/>
        <w:t>Все государственные начальные и большинство средних школ являются школами совместного обучения. В 2000 году около 34800 девушек посещали же</w:t>
      </w:r>
      <w:r>
        <w:t>н</w:t>
      </w:r>
      <w:r>
        <w:t>ские школы, а 36200 юношей – мужские.</w:t>
      </w:r>
    </w:p>
    <w:p w:rsidR="00000000" w:rsidRDefault="00000000">
      <w:pPr>
        <w:pStyle w:val="SingleTxt"/>
      </w:pPr>
      <w:r>
        <w:tab/>
        <w:t>Процент отсева юношей и девушек в старших классах школы несколько повысился по сравнению с данными предыдущего периодического доклада. Девушки продолжают учебу в среднем несколько дольше, чем юноши.</w:t>
      </w:r>
    </w:p>
    <w:p w:rsidR="00000000" w:rsidRDefault="00000000">
      <w:pPr>
        <w:pStyle w:val="SingleTxt"/>
      </w:pPr>
      <w:r>
        <w:tab/>
        <w:t>В 1999 году 71 процент девушек-маори в возрасте 16 лет продолжали п</w:t>
      </w:r>
      <w:r>
        <w:t>о</w:t>
      </w:r>
      <w:r>
        <w:t>сещать школу. В 1986 году их доля составляла 48 процентов. Показатели по юношам-маори аналогичны, хотя ежегодный процент отсева среди них был выше по сравнению с девушками-маори с 1990 года. Вместе с тем в 1999 году доля 18-летних юношей-маори, продолжавших учебу в школе (12 процентов), была выше доли девушек-маори (10 процентов). Такие различия, возможно, г</w:t>
      </w:r>
      <w:r>
        <w:t>о</w:t>
      </w:r>
      <w:r>
        <w:t>ворят о том, что в среднем юношам-маори требуется больше времени, чтобы оказаться в одном с девушками-маори классе, поскольку среди девушек-маори выше вероятность окончания школы в 18 лет со специальностью, нежели среди юношей.</w:t>
      </w:r>
    </w:p>
    <w:p w:rsidR="00000000" w:rsidRDefault="00000000">
      <w:pPr>
        <w:pStyle w:val="SingleTxt"/>
      </w:pPr>
      <w:r>
        <w:tab/>
        <w:t>Девушки уходят из школы с более высоким уровнем аттестации, чем юноши, и растет число девушек, которые сразу же после школы идут в ВУЗы. По подсчетам 54 процентов девушек, которые оставили школу, были приняты на курс формального высшего образования в 2000 году, тогда как среди юн</w:t>
      </w:r>
      <w:r>
        <w:t>о</w:t>
      </w:r>
      <w:r>
        <w:t>шей эта цифра составила 45 процентов.</w:t>
      </w:r>
    </w:p>
    <w:p w:rsidR="00000000" w:rsidRDefault="00000000">
      <w:pPr>
        <w:pStyle w:val="H4"/>
      </w:pPr>
      <w:r>
        <w:t>Социальные вопросы</w:t>
      </w:r>
    </w:p>
    <w:p w:rsidR="00000000" w:rsidRDefault="00000000">
      <w:pPr>
        <w:pStyle w:val="SingleTxt"/>
      </w:pPr>
      <w:r>
        <w:tab/>
        <w:t>Министерство образования осуществляет широкий комплекс меропри</w:t>
      </w:r>
      <w:r>
        <w:t>я</w:t>
      </w:r>
      <w:r>
        <w:t>тий, и взаимодействует с другими учреждениями на местном и национальном уровне в целях преодоления влияния социальных проблем в школе. К числу специальных мероприятий относятся программы «Социальные работники в школах», «Программа воспитания молодежи» и «Резервы обучения и формир</w:t>
      </w:r>
      <w:r>
        <w:t>о</w:t>
      </w:r>
      <w:r>
        <w:t>вания поведения с помощью учителей». В настоящее время производится оценка программы «Социальные работники в школах», которая является ч</w:t>
      </w:r>
      <w:r>
        <w:t>а</w:t>
      </w:r>
      <w:r>
        <w:t>стью межсекторальной политики Министерства по делам детей, молодежи и семейного о</w:t>
      </w:r>
      <w:r>
        <w:t>б</w:t>
      </w:r>
      <w:r>
        <w:t>служивания.</w:t>
      </w:r>
    </w:p>
    <w:p w:rsidR="00000000" w:rsidRDefault="00000000">
      <w:pPr>
        <w:pStyle w:val="H23"/>
      </w:pPr>
      <w:r>
        <w:t>Образование и подготовка после прохождения обязательного курса обуч</w:t>
      </w:r>
      <w:r>
        <w:t>е</w:t>
      </w:r>
      <w:r>
        <w:t>ния</w:t>
      </w:r>
    </w:p>
    <w:p w:rsidR="00000000" w:rsidRDefault="00000000">
      <w:pPr>
        <w:pStyle w:val="SingleTxt"/>
      </w:pPr>
      <w:r>
        <w:tab/>
        <w:t>В июле 2001 года женщины составляли большинство студентов всех вы</w:t>
      </w:r>
      <w:r>
        <w:t>с</w:t>
      </w:r>
      <w:r>
        <w:t>ших учебных заведений, а их представленность была особенно высока в уче</w:t>
      </w:r>
      <w:r>
        <w:t>б</w:t>
      </w:r>
      <w:r>
        <w:t>ных колледжах и «ванангах» (ВУЗы для маори), где на них приходилось 79 и 71 процент соответственно. Кроме того, женщины составляли 56 процентов студентов университетов и частных учебных заведений и 55 процентов студе</w:t>
      </w:r>
      <w:r>
        <w:t>н</w:t>
      </w:r>
      <w:r>
        <w:t xml:space="preserve">тов политехнических ВУЗов. </w:t>
      </w:r>
    </w:p>
    <w:p w:rsidR="00000000" w:rsidRDefault="00000000">
      <w:pPr>
        <w:pStyle w:val="SingleTxt"/>
      </w:pPr>
      <w:r>
        <w:tab/>
        <w:t>Хотя женщины традиционно менее склонны к получению высшего обр</w:t>
      </w:r>
      <w:r>
        <w:t>а</w:t>
      </w:r>
      <w:r>
        <w:t>зования, чем мужчины, их доля сейчас выше, чем у мужчин всех возрастных групп. В 2001 году 38 процентов женщин в возрасте 18-24 лет были зачислены в государственные высшие учебные заведения (ВУЗы) и частные учебные зав</w:t>
      </w:r>
      <w:r>
        <w:t>е</w:t>
      </w:r>
      <w:r>
        <w:t>дения (ЧУЗы) по сравнению с 32 процентами мужчин. Среди лиц в возрасте 25 лет и старше женщины с</w:t>
      </w:r>
      <w:r>
        <w:t>о</w:t>
      </w:r>
      <w:r>
        <w:t>ставляли 7 процентов, а мужчины 5.</w:t>
      </w:r>
    </w:p>
    <w:p w:rsidR="00000000" w:rsidRDefault="00000000">
      <w:pPr>
        <w:pStyle w:val="SingleTxt"/>
      </w:pPr>
      <w:r>
        <w:tab/>
        <w:t>Хронологические данные, которые имеются только по ВУЗам, говорят о том, что в 1990 году доля учащихся в ВУЗах мужчин в возрасте 18-24 лет была выше доли женщин, а в возрасте 25 лет и старше показатели по обеим группам были схожими. К 1993 году доля женщин превысила долю мужчин в обеих во</w:t>
      </w:r>
      <w:r>
        <w:t>з</w:t>
      </w:r>
      <w:r>
        <w:t>растных группах, и в последние шесть лет этот разрыв увеличивался.</w:t>
      </w:r>
    </w:p>
    <w:p w:rsidR="00000000" w:rsidRDefault="00000000">
      <w:pPr>
        <w:pStyle w:val="SingleTxt"/>
      </w:pPr>
      <w:r>
        <w:tab/>
        <w:t>Более 78 процентов увеличения студентов ВУЗов в период с июля 1994 года по июль 2001 года приходилось на женщин (таблица 1). В июле 1994 года женщины составляли 53 процента студентов ВУЗов, однако, к июлю 2001 года их доля возросла до 57 процентов. В таблице 2 показано, что бол</w:t>
      </w:r>
      <w:r>
        <w:t>ь</w:t>
      </w:r>
      <w:r>
        <w:t>шая часть эт</w:t>
      </w:r>
      <w:r>
        <w:t>о</w:t>
      </w:r>
      <w:r>
        <w:t>го роста приходится на женщин в возрасте 25 лет и старше.</w:t>
      </w:r>
    </w:p>
    <w:p w:rsidR="00000000" w:rsidRDefault="00000000">
      <w:pPr>
        <w:pStyle w:val="SingleTxt"/>
        <w:ind w:firstLine="0"/>
        <w:jc w:val="left"/>
        <w:rPr>
          <w:b/>
        </w:rPr>
      </w:pPr>
      <w:r>
        <w:rPr>
          <w:b/>
        </w:rPr>
        <w:t xml:space="preserve">Таблица 1: доля в увеличении численности студентов ВУЗов в период </w:t>
      </w:r>
      <w:r>
        <w:rPr>
          <w:b/>
        </w:rPr>
        <w:br/>
        <w:t>с июля 1994 по июль 2001 годов в разбивке по полу и форме обучения</w:t>
      </w:r>
    </w:p>
    <w:tbl>
      <w:tblPr>
        <w:tblW w:w="0" w:type="auto"/>
        <w:tblInd w:w="1278" w:type="dxa"/>
        <w:tblLayout w:type="fixed"/>
        <w:tblLook w:val="0000" w:firstRow="0" w:lastRow="0" w:firstColumn="0" w:lastColumn="0" w:noHBand="0" w:noVBand="0"/>
      </w:tblPr>
      <w:tblGrid>
        <w:gridCol w:w="1701"/>
        <w:gridCol w:w="1890"/>
        <w:gridCol w:w="1890"/>
        <w:gridCol w:w="1890"/>
      </w:tblGrid>
      <w:tr w:rsidR="00000000">
        <w:tblPrEx>
          <w:tblCellMar>
            <w:top w:w="0" w:type="dxa"/>
            <w:bottom w:w="0" w:type="dxa"/>
          </w:tblCellMar>
        </w:tblPrEx>
        <w:tc>
          <w:tcPr>
            <w:tcW w:w="1701" w:type="dxa"/>
            <w:tcBorders>
              <w:top w:val="single" w:sz="6" w:space="0" w:color="auto"/>
              <w:bottom w:val="single" w:sz="12" w:space="0" w:color="auto"/>
            </w:tcBorders>
          </w:tcPr>
          <w:p w:rsidR="00000000" w:rsidRDefault="00000000">
            <w:pPr>
              <w:pStyle w:val="Heading2"/>
              <w:spacing w:before="40" w:after="40" w:line="180" w:lineRule="exact"/>
              <w:rPr>
                <w:rFonts w:ascii="Times New Roman" w:hAnsi="Times New Roman"/>
                <w:b w:val="0"/>
                <w:sz w:val="17"/>
              </w:rPr>
            </w:pPr>
            <w:r>
              <w:rPr>
                <w:rFonts w:ascii="Times New Roman" w:hAnsi="Times New Roman"/>
                <w:b w:val="0"/>
                <w:sz w:val="17"/>
              </w:rPr>
              <w:t>Форма обучения</w:t>
            </w:r>
          </w:p>
        </w:tc>
        <w:tc>
          <w:tcPr>
            <w:tcW w:w="1890" w:type="dxa"/>
            <w:tcBorders>
              <w:top w:val="single" w:sz="6" w:space="0" w:color="auto"/>
              <w:bottom w:val="single" w:sz="12" w:space="0" w:color="auto"/>
            </w:tcBorders>
          </w:tcPr>
          <w:p w:rsidR="00000000" w:rsidRDefault="00000000">
            <w:pPr>
              <w:spacing w:before="40" w:after="40" w:line="180" w:lineRule="exact"/>
              <w:jc w:val="center"/>
              <w:rPr>
                <w:i/>
                <w:sz w:val="17"/>
              </w:rPr>
            </w:pPr>
            <w:r>
              <w:rPr>
                <w:i/>
                <w:sz w:val="17"/>
              </w:rPr>
              <w:t>Мужчины, в %</w:t>
            </w:r>
          </w:p>
        </w:tc>
        <w:tc>
          <w:tcPr>
            <w:tcW w:w="1890" w:type="dxa"/>
            <w:tcBorders>
              <w:top w:val="single" w:sz="6" w:space="0" w:color="auto"/>
              <w:bottom w:val="single" w:sz="12" w:space="0" w:color="auto"/>
            </w:tcBorders>
          </w:tcPr>
          <w:p w:rsidR="00000000" w:rsidRDefault="00000000">
            <w:pPr>
              <w:spacing w:before="40" w:after="40" w:line="180" w:lineRule="exact"/>
              <w:jc w:val="center"/>
              <w:rPr>
                <w:i/>
                <w:sz w:val="17"/>
              </w:rPr>
            </w:pPr>
            <w:r>
              <w:rPr>
                <w:i/>
                <w:sz w:val="17"/>
              </w:rPr>
              <w:t>Женщины, в %</w:t>
            </w:r>
          </w:p>
        </w:tc>
        <w:tc>
          <w:tcPr>
            <w:tcW w:w="1890" w:type="dxa"/>
            <w:tcBorders>
              <w:top w:val="single" w:sz="6" w:space="0" w:color="auto"/>
              <w:bottom w:val="single" w:sz="12" w:space="0" w:color="auto"/>
            </w:tcBorders>
          </w:tcPr>
          <w:p w:rsidR="00000000" w:rsidRDefault="00000000">
            <w:pPr>
              <w:spacing w:before="40" w:after="40" w:line="180" w:lineRule="exact"/>
              <w:jc w:val="center"/>
              <w:rPr>
                <w:i/>
                <w:sz w:val="17"/>
              </w:rPr>
            </w:pPr>
            <w:r>
              <w:rPr>
                <w:i/>
                <w:sz w:val="17"/>
              </w:rPr>
              <w:t>Все студенты, в %</w:t>
            </w:r>
          </w:p>
        </w:tc>
      </w:tr>
      <w:tr w:rsidR="00000000">
        <w:tblPrEx>
          <w:tblCellMar>
            <w:top w:w="0" w:type="dxa"/>
            <w:bottom w:w="0" w:type="dxa"/>
          </w:tblCellMar>
        </w:tblPrEx>
        <w:tc>
          <w:tcPr>
            <w:tcW w:w="1701" w:type="dxa"/>
            <w:tcBorders>
              <w:top w:val="single" w:sz="12" w:space="0" w:color="auto"/>
            </w:tcBorders>
          </w:tcPr>
          <w:p w:rsidR="00000000" w:rsidRDefault="00000000">
            <w:pPr>
              <w:spacing w:before="40" w:after="40" w:line="180" w:lineRule="exact"/>
              <w:rPr>
                <w:sz w:val="17"/>
              </w:rPr>
            </w:pPr>
            <w:r>
              <w:rPr>
                <w:sz w:val="17"/>
              </w:rPr>
              <w:t>Очное отделение</w:t>
            </w:r>
          </w:p>
        </w:tc>
        <w:tc>
          <w:tcPr>
            <w:tcW w:w="1890" w:type="dxa"/>
            <w:tcBorders>
              <w:top w:val="single" w:sz="12" w:space="0" w:color="auto"/>
            </w:tcBorders>
          </w:tcPr>
          <w:p w:rsidR="00000000" w:rsidRDefault="00000000">
            <w:pPr>
              <w:spacing w:before="40" w:after="40" w:line="180" w:lineRule="exact"/>
              <w:ind w:right="648"/>
              <w:jc w:val="right"/>
              <w:rPr>
                <w:sz w:val="17"/>
              </w:rPr>
            </w:pPr>
            <w:r>
              <w:rPr>
                <w:sz w:val="17"/>
              </w:rPr>
              <w:t>32</w:t>
            </w:r>
          </w:p>
        </w:tc>
        <w:tc>
          <w:tcPr>
            <w:tcW w:w="1890" w:type="dxa"/>
            <w:tcBorders>
              <w:top w:val="single" w:sz="12" w:space="0" w:color="auto"/>
            </w:tcBorders>
          </w:tcPr>
          <w:p w:rsidR="00000000" w:rsidRDefault="00000000">
            <w:pPr>
              <w:spacing w:before="40" w:after="40" w:line="180" w:lineRule="exact"/>
              <w:ind w:right="648"/>
              <w:jc w:val="right"/>
              <w:rPr>
                <w:sz w:val="17"/>
              </w:rPr>
            </w:pPr>
            <w:r>
              <w:rPr>
                <w:sz w:val="17"/>
              </w:rPr>
              <w:t>52</w:t>
            </w:r>
          </w:p>
        </w:tc>
        <w:tc>
          <w:tcPr>
            <w:tcW w:w="1890" w:type="dxa"/>
            <w:tcBorders>
              <w:top w:val="single" w:sz="12" w:space="0" w:color="auto"/>
            </w:tcBorders>
          </w:tcPr>
          <w:p w:rsidR="00000000" w:rsidRDefault="00000000">
            <w:pPr>
              <w:spacing w:before="40" w:after="40" w:line="180" w:lineRule="exact"/>
              <w:ind w:right="648"/>
              <w:jc w:val="right"/>
              <w:rPr>
                <w:sz w:val="17"/>
              </w:rPr>
            </w:pPr>
            <w:r>
              <w:rPr>
                <w:sz w:val="17"/>
              </w:rPr>
              <w:t>84</w:t>
            </w:r>
          </w:p>
        </w:tc>
      </w:tr>
      <w:tr w:rsidR="00000000">
        <w:tblPrEx>
          <w:tblCellMar>
            <w:top w:w="0" w:type="dxa"/>
            <w:bottom w:w="0" w:type="dxa"/>
          </w:tblCellMar>
        </w:tblPrEx>
        <w:tc>
          <w:tcPr>
            <w:tcW w:w="1701" w:type="dxa"/>
          </w:tcPr>
          <w:p w:rsidR="00000000" w:rsidRDefault="00000000">
            <w:pPr>
              <w:pStyle w:val="Header"/>
              <w:tabs>
                <w:tab w:val="clear" w:pos="4320"/>
                <w:tab w:val="clear" w:pos="8640"/>
              </w:tabs>
              <w:spacing w:before="40" w:after="40" w:line="180" w:lineRule="exact"/>
              <w:rPr>
                <w:noProof w:val="0"/>
                <w:spacing w:val="4"/>
                <w:w w:val="103"/>
                <w:kern w:val="14"/>
              </w:rPr>
            </w:pPr>
            <w:r>
              <w:rPr>
                <w:noProof w:val="0"/>
                <w:spacing w:val="4"/>
                <w:w w:val="103"/>
                <w:kern w:val="14"/>
              </w:rPr>
              <w:t>Заочное отделение</w:t>
            </w:r>
          </w:p>
        </w:tc>
        <w:tc>
          <w:tcPr>
            <w:tcW w:w="1890" w:type="dxa"/>
          </w:tcPr>
          <w:p w:rsidR="00000000" w:rsidRDefault="00000000">
            <w:pPr>
              <w:spacing w:before="40" w:after="40" w:line="180" w:lineRule="exact"/>
              <w:ind w:right="648"/>
              <w:jc w:val="right"/>
              <w:rPr>
                <w:b/>
                <w:sz w:val="17"/>
              </w:rPr>
            </w:pPr>
            <w:r>
              <w:rPr>
                <w:b/>
                <w:sz w:val="17"/>
              </w:rPr>
              <w:t>-</w:t>
            </w:r>
            <w:r>
              <w:rPr>
                <w:sz w:val="17"/>
              </w:rPr>
              <w:t>10</w:t>
            </w:r>
          </w:p>
        </w:tc>
        <w:tc>
          <w:tcPr>
            <w:tcW w:w="1890" w:type="dxa"/>
          </w:tcPr>
          <w:p w:rsidR="00000000" w:rsidRDefault="00000000">
            <w:pPr>
              <w:spacing w:before="40" w:after="40" w:line="180" w:lineRule="exact"/>
              <w:ind w:right="648"/>
              <w:jc w:val="right"/>
              <w:rPr>
                <w:sz w:val="17"/>
              </w:rPr>
            </w:pPr>
            <w:r>
              <w:rPr>
                <w:sz w:val="17"/>
              </w:rPr>
              <w:t>26</w:t>
            </w:r>
          </w:p>
        </w:tc>
        <w:tc>
          <w:tcPr>
            <w:tcW w:w="1890" w:type="dxa"/>
          </w:tcPr>
          <w:p w:rsidR="00000000" w:rsidRDefault="00000000">
            <w:pPr>
              <w:spacing w:before="40" w:after="40" w:line="180" w:lineRule="exact"/>
              <w:ind w:right="648"/>
              <w:jc w:val="right"/>
              <w:rPr>
                <w:sz w:val="17"/>
              </w:rPr>
            </w:pPr>
            <w:r>
              <w:rPr>
                <w:sz w:val="17"/>
              </w:rPr>
              <w:t>16</w:t>
            </w:r>
          </w:p>
        </w:tc>
      </w:tr>
      <w:tr w:rsidR="00000000">
        <w:tblPrEx>
          <w:tblCellMar>
            <w:top w:w="0" w:type="dxa"/>
            <w:bottom w:w="0" w:type="dxa"/>
          </w:tblCellMar>
        </w:tblPrEx>
        <w:tc>
          <w:tcPr>
            <w:tcW w:w="1701" w:type="dxa"/>
            <w:tcBorders>
              <w:bottom w:val="single" w:sz="12" w:space="0" w:color="auto"/>
            </w:tcBorders>
          </w:tcPr>
          <w:p w:rsidR="00000000" w:rsidRDefault="00000000">
            <w:pPr>
              <w:pStyle w:val="Heading2"/>
              <w:spacing w:before="40" w:after="40" w:line="180" w:lineRule="exact"/>
              <w:rPr>
                <w:rFonts w:ascii="Times New Roman" w:hAnsi="Times New Roman"/>
                <w:i w:val="0"/>
                <w:sz w:val="17"/>
              </w:rPr>
            </w:pPr>
            <w:r>
              <w:rPr>
                <w:rFonts w:ascii="Times New Roman" w:hAnsi="Times New Roman"/>
                <w:i w:val="0"/>
                <w:sz w:val="17"/>
              </w:rPr>
              <w:t>Все студенты</w:t>
            </w:r>
          </w:p>
        </w:tc>
        <w:tc>
          <w:tcPr>
            <w:tcW w:w="1890" w:type="dxa"/>
            <w:tcBorders>
              <w:bottom w:val="single" w:sz="12" w:space="0" w:color="auto"/>
            </w:tcBorders>
          </w:tcPr>
          <w:p w:rsidR="00000000" w:rsidRDefault="00000000">
            <w:pPr>
              <w:spacing w:before="40" w:after="40" w:line="180" w:lineRule="exact"/>
              <w:ind w:right="648"/>
              <w:jc w:val="right"/>
              <w:rPr>
                <w:b/>
                <w:sz w:val="17"/>
              </w:rPr>
            </w:pPr>
            <w:r>
              <w:rPr>
                <w:b/>
                <w:sz w:val="17"/>
              </w:rPr>
              <w:t>22</w:t>
            </w:r>
          </w:p>
        </w:tc>
        <w:tc>
          <w:tcPr>
            <w:tcW w:w="1890" w:type="dxa"/>
            <w:tcBorders>
              <w:bottom w:val="single" w:sz="12" w:space="0" w:color="auto"/>
            </w:tcBorders>
          </w:tcPr>
          <w:p w:rsidR="00000000" w:rsidRDefault="00000000">
            <w:pPr>
              <w:spacing w:before="40" w:after="40" w:line="180" w:lineRule="exact"/>
              <w:ind w:right="648"/>
              <w:jc w:val="right"/>
              <w:rPr>
                <w:b/>
                <w:sz w:val="17"/>
              </w:rPr>
            </w:pPr>
            <w:r>
              <w:rPr>
                <w:b/>
                <w:sz w:val="17"/>
              </w:rPr>
              <w:t>78</w:t>
            </w:r>
          </w:p>
        </w:tc>
        <w:tc>
          <w:tcPr>
            <w:tcW w:w="1890" w:type="dxa"/>
            <w:tcBorders>
              <w:bottom w:val="single" w:sz="12" w:space="0" w:color="auto"/>
            </w:tcBorders>
          </w:tcPr>
          <w:p w:rsidR="00000000" w:rsidRDefault="00000000">
            <w:pPr>
              <w:spacing w:before="40" w:after="40" w:line="180" w:lineRule="exact"/>
              <w:ind w:right="648"/>
              <w:jc w:val="right"/>
              <w:rPr>
                <w:b/>
                <w:sz w:val="17"/>
              </w:rPr>
            </w:pPr>
            <w:r>
              <w:rPr>
                <w:b/>
                <w:sz w:val="17"/>
              </w:rPr>
              <w:t>100</w:t>
            </w:r>
          </w:p>
        </w:tc>
      </w:tr>
    </w:tbl>
    <w:p w:rsidR="00000000" w:rsidRDefault="00000000">
      <w:pPr>
        <w:pStyle w:val="SingleTxt"/>
        <w:ind w:firstLine="0"/>
      </w:pPr>
      <w:r>
        <w:rPr>
          <w:i/>
        </w:rPr>
        <w:t>Источник</w:t>
      </w:r>
      <w:r>
        <w:t>: Министерство образования, 2002 год</w:t>
      </w:r>
    </w:p>
    <w:p w:rsidR="00000000" w:rsidRDefault="00000000">
      <w:pPr>
        <w:pStyle w:val="SingleTxt"/>
        <w:ind w:firstLine="0"/>
        <w:jc w:val="left"/>
        <w:rPr>
          <w:b/>
        </w:rPr>
      </w:pPr>
      <w:r>
        <w:rPr>
          <w:b/>
        </w:rPr>
        <w:t xml:space="preserve">Таблица 2: доля в увеличении численности студентов ВУЗов в период </w:t>
      </w:r>
      <w:r>
        <w:rPr>
          <w:b/>
        </w:rPr>
        <w:br/>
        <w:t>с июля 1994 по июль 2001 годов в разбивке по полу и возрасту</w:t>
      </w:r>
    </w:p>
    <w:tbl>
      <w:tblPr>
        <w:tblW w:w="0" w:type="auto"/>
        <w:tblInd w:w="1278" w:type="dxa"/>
        <w:tblLayout w:type="fixed"/>
        <w:tblLook w:val="0000" w:firstRow="0" w:lastRow="0" w:firstColumn="0" w:lastColumn="0" w:noHBand="0" w:noVBand="0"/>
      </w:tblPr>
      <w:tblGrid>
        <w:gridCol w:w="1701"/>
        <w:gridCol w:w="1890"/>
        <w:gridCol w:w="1890"/>
        <w:gridCol w:w="1890"/>
      </w:tblGrid>
      <w:tr w:rsidR="00000000">
        <w:tblPrEx>
          <w:tblCellMar>
            <w:top w:w="0" w:type="dxa"/>
            <w:bottom w:w="0" w:type="dxa"/>
          </w:tblCellMar>
        </w:tblPrEx>
        <w:tc>
          <w:tcPr>
            <w:tcW w:w="1701" w:type="dxa"/>
            <w:tcBorders>
              <w:top w:val="single" w:sz="6" w:space="0" w:color="auto"/>
              <w:bottom w:val="single" w:sz="12" w:space="0" w:color="auto"/>
            </w:tcBorders>
          </w:tcPr>
          <w:p w:rsidR="00000000" w:rsidRDefault="00000000">
            <w:pPr>
              <w:pStyle w:val="BodyText2"/>
              <w:spacing w:before="40" w:after="40" w:line="180" w:lineRule="exact"/>
              <w:rPr>
                <w:sz w:val="17"/>
              </w:rPr>
            </w:pPr>
            <w:r>
              <w:rPr>
                <w:sz w:val="17"/>
              </w:rPr>
              <w:t>Возраст</w:t>
            </w:r>
          </w:p>
        </w:tc>
        <w:tc>
          <w:tcPr>
            <w:tcW w:w="1890" w:type="dxa"/>
            <w:tcBorders>
              <w:top w:val="single" w:sz="6" w:space="0" w:color="auto"/>
              <w:bottom w:val="single" w:sz="12" w:space="0" w:color="auto"/>
            </w:tcBorders>
          </w:tcPr>
          <w:p w:rsidR="00000000" w:rsidRDefault="00000000">
            <w:pPr>
              <w:pStyle w:val="BodyText2"/>
              <w:spacing w:before="40" w:after="40" w:line="180" w:lineRule="exact"/>
              <w:jc w:val="center"/>
              <w:rPr>
                <w:sz w:val="17"/>
              </w:rPr>
            </w:pPr>
            <w:r>
              <w:rPr>
                <w:sz w:val="17"/>
              </w:rPr>
              <w:t>Мужчины, в %</w:t>
            </w:r>
          </w:p>
        </w:tc>
        <w:tc>
          <w:tcPr>
            <w:tcW w:w="1890" w:type="dxa"/>
            <w:tcBorders>
              <w:top w:val="single" w:sz="6" w:space="0" w:color="auto"/>
              <w:bottom w:val="single" w:sz="12" w:space="0" w:color="auto"/>
            </w:tcBorders>
          </w:tcPr>
          <w:p w:rsidR="00000000" w:rsidRDefault="00000000">
            <w:pPr>
              <w:pStyle w:val="BodyText2"/>
              <w:spacing w:before="40" w:after="40" w:line="180" w:lineRule="exact"/>
              <w:jc w:val="center"/>
              <w:rPr>
                <w:sz w:val="17"/>
              </w:rPr>
            </w:pPr>
            <w:r>
              <w:rPr>
                <w:sz w:val="17"/>
              </w:rPr>
              <w:t>Женщины, в %</w:t>
            </w:r>
          </w:p>
        </w:tc>
        <w:tc>
          <w:tcPr>
            <w:tcW w:w="1890" w:type="dxa"/>
            <w:tcBorders>
              <w:top w:val="single" w:sz="6" w:space="0" w:color="auto"/>
              <w:bottom w:val="single" w:sz="12" w:space="0" w:color="auto"/>
            </w:tcBorders>
          </w:tcPr>
          <w:p w:rsidR="00000000" w:rsidRDefault="00000000">
            <w:pPr>
              <w:pStyle w:val="BodyText2"/>
              <w:spacing w:before="40" w:after="40" w:line="180" w:lineRule="exact"/>
              <w:jc w:val="center"/>
              <w:rPr>
                <w:sz w:val="17"/>
              </w:rPr>
            </w:pPr>
            <w:r>
              <w:rPr>
                <w:sz w:val="17"/>
              </w:rPr>
              <w:t>Все студенты, в %</w:t>
            </w:r>
          </w:p>
        </w:tc>
      </w:tr>
      <w:tr w:rsidR="00000000">
        <w:tblPrEx>
          <w:tblCellMar>
            <w:top w:w="0" w:type="dxa"/>
            <w:bottom w:w="0" w:type="dxa"/>
          </w:tblCellMar>
        </w:tblPrEx>
        <w:tc>
          <w:tcPr>
            <w:tcW w:w="1701" w:type="dxa"/>
            <w:tcBorders>
              <w:top w:val="single" w:sz="12" w:space="0" w:color="auto"/>
            </w:tcBorders>
          </w:tcPr>
          <w:p w:rsidR="00000000" w:rsidRDefault="00000000">
            <w:pPr>
              <w:pStyle w:val="BodyText2"/>
              <w:spacing w:before="40" w:after="40" w:line="180" w:lineRule="exact"/>
              <w:rPr>
                <w:i w:val="0"/>
                <w:sz w:val="17"/>
              </w:rPr>
            </w:pPr>
            <w:r>
              <w:rPr>
                <w:i w:val="0"/>
                <w:sz w:val="17"/>
              </w:rPr>
              <w:t>Моложе 25 лет</w:t>
            </w:r>
          </w:p>
        </w:tc>
        <w:tc>
          <w:tcPr>
            <w:tcW w:w="1890" w:type="dxa"/>
            <w:tcBorders>
              <w:top w:val="single" w:sz="12" w:space="0" w:color="auto"/>
            </w:tcBorders>
          </w:tcPr>
          <w:p w:rsidR="00000000" w:rsidRDefault="00000000">
            <w:pPr>
              <w:pStyle w:val="BodyText2"/>
              <w:spacing w:before="40" w:after="40" w:line="180" w:lineRule="exact"/>
              <w:ind w:right="648"/>
              <w:jc w:val="right"/>
              <w:rPr>
                <w:i w:val="0"/>
                <w:sz w:val="17"/>
              </w:rPr>
            </w:pPr>
            <w:r>
              <w:rPr>
                <w:i w:val="0"/>
                <w:sz w:val="17"/>
              </w:rPr>
              <w:t>3</w:t>
            </w:r>
          </w:p>
        </w:tc>
        <w:tc>
          <w:tcPr>
            <w:tcW w:w="1890" w:type="dxa"/>
            <w:tcBorders>
              <w:top w:val="single" w:sz="12" w:space="0" w:color="auto"/>
            </w:tcBorders>
          </w:tcPr>
          <w:p w:rsidR="00000000" w:rsidRDefault="00000000">
            <w:pPr>
              <w:pStyle w:val="BodyText2"/>
              <w:spacing w:before="40" w:after="40" w:line="180" w:lineRule="exact"/>
              <w:ind w:right="648"/>
              <w:jc w:val="right"/>
              <w:rPr>
                <w:i w:val="0"/>
                <w:sz w:val="17"/>
              </w:rPr>
            </w:pPr>
            <w:r>
              <w:rPr>
                <w:i w:val="0"/>
                <w:sz w:val="17"/>
              </w:rPr>
              <w:t>15</w:t>
            </w:r>
          </w:p>
        </w:tc>
        <w:tc>
          <w:tcPr>
            <w:tcW w:w="1890" w:type="dxa"/>
            <w:tcBorders>
              <w:top w:val="single" w:sz="12" w:space="0" w:color="auto"/>
            </w:tcBorders>
          </w:tcPr>
          <w:p w:rsidR="00000000" w:rsidRDefault="00000000">
            <w:pPr>
              <w:pStyle w:val="BodyText2"/>
              <w:spacing w:before="40" w:after="40" w:line="180" w:lineRule="exact"/>
              <w:ind w:right="648"/>
              <w:jc w:val="right"/>
              <w:rPr>
                <w:i w:val="0"/>
                <w:sz w:val="17"/>
              </w:rPr>
            </w:pPr>
            <w:r>
              <w:rPr>
                <w:i w:val="0"/>
                <w:sz w:val="17"/>
              </w:rPr>
              <w:t>18</w:t>
            </w:r>
          </w:p>
        </w:tc>
      </w:tr>
      <w:tr w:rsidR="00000000">
        <w:tblPrEx>
          <w:tblCellMar>
            <w:top w:w="0" w:type="dxa"/>
            <w:bottom w:w="0" w:type="dxa"/>
          </w:tblCellMar>
        </w:tblPrEx>
        <w:tc>
          <w:tcPr>
            <w:tcW w:w="1701" w:type="dxa"/>
          </w:tcPr>
          <w:p w:rsidR="00000000" w:rsidRDefault="00000000">
            <w:pPr>
              <w:pStyle w:val="BodyText2"/>
              <w:spacing w:before="40" w:after="40" w:line="180" w:lineRule="exact"/>
              <w:rPr>
                <w:i w:val="0"/>
                <w:sz w:val="17"/>
              </w:rPr>
            </w:pPr>
            <w:r>
              <w:rPr>
                <w:i w:val="0"/>
                <w:sz w:val="17"/>
              </w:rPr>
              <w:t>Старше 25 лет</w:t>
            </w:r>
          </w:p>
        </w:tc>
        <w:tc>
          <w:tcPr>
            <w:tcW w:w="1890" w:type="dxa"/>
          </w:tcPr>
          <w:p w:rsidR="00000000" w:rsidRDefault="00000000">
            <w:pPr>
              <w:pStyle w:val="BodyText2"/>
              <w:spacing w:before="40" w:after="40" w:line="180" w:lineRule="exact"/>
              <w:ind w:right="648"/>
              <w:jc w:val="right"/>
              <w:rPr>
                <w:i w:val="0"/>
                <w:sz w:val="17"/>
              </w:rPr>
            </w:pPr>
            <w:r>
              <w:rPr>
                <w:i w:val="0"/>
                <w:sz w:val="17"/>
              </w:rPr>
              <w:t>19</w:t>
            </w:r>
          </w:p>
        </w:tc>
        <w:tc>
          <w:tcPr>
            <w:tcW w:w="1890" w:type="dxa"/>
          </w:tcPr>
          <w:p w:rsidR="00000000" w:rsidRDefault="00000000">
            <w:pPr>
              <w:pStyle w:val="BodyText2"/>
              <w:spacing w:before="40" w:after="40" w:line="180" w:lineRule="exact"/>
              <w:ind w:right="648"/>
              <w:jc w:val="right"/>
              <w:rPr>
                <w:i w:val="0"/>
                <w:sz w:val="17"/>
              </w:rPr>
            </w:pPr>
            <w:r>
              <w:rPr>
                <w:i w:val="0"/>
                <w:sz w:val="17"/>
              </w:rPr>
              <w:t>63</w:t>
            </w:r>
          </w:p>
        </w:tc>
        <w:tc>
          <w:tcPr>
            <w:tcW w:w="1890" w:type="dxa"/>
          </w:tcPr>
          <w:p w:rsidR="00000000" w:rsidRDefault="00000000">
            <w:pPr>
              <w:pStyle w:val="BodyText2"/>
              <w:spacing w:before="40" w:after="40" w:line="180" w:lineRule="exact"/>
              <w:ind w:right="648"/>
              <w:jc w:val="right"/>
              <w:rPr>
                <w:i w:val="0"/>
                <w:sz w:val="17"/>
              </w:rPr>
            </w:pPr>
            <w:r>
              <w:rPr>
                <w:i w:val="0"/>
                <w:sz w:val="17"/>
              </w:rPr>
              <w:t>82</w:t>
            </w:r>
          </w:p>
        </w:tc>
      </w:tr>
      <w:tr w:rsidR="00000000">
        <w:tblPrEx>
          <w:tblCellMar>
            <w:top w:w="0" w:type="dxa"/>
            <w:bottom w:w="0" w:type="dxa"/>
          </w:tblCellMar>
        </w:tblPrEx>
        <w:tc>
          <w:tcPr>
            <w:tcW w:w="1701" w:type="dxa"/>
            <w:tcBorders>
              <w:bottom w:val="single" w:sz="12" w:space="0" w:color="auto"/>
            </w:tcBorders>
          </w:tcPr>
          <w:p w:rsidR="00000000" w:rsidRDefault="00000000">
            <w:pPr>
              <w:pStyle w:val="BodyText2"/>
              <w:spacing w:before="40" w:after="40" w:line="180" w:lineRule="exact"/>
              <w:rPr>
                <w:b/>
                <w:i w:val="0"/>
                <w:sz w:val="17"/>
              </w:rPr>
            </w:pPr>
            <w:r>
              <w:rPr>
                <w:b/>
                <w:i w:val="0"/>
                <w:sz w:val="17"/>
              </w:rPr>
              <w:t>Все студенты</w:t>
            </w:r>
          </w:p>
        </w:tc>
        <w:tc>
          <w:tcPr>
            <w:tcW w:w="1890" w:type="dxa"/>
            <w:tcBorders>
              <w:bottom w:val="single" w:sz="12" w:space="0" w:color="auto"/>
            </w:tcBorders>
          </w:tcPr>
          <w:p w:rsidR="00000000" w:rsidRDefault="00000000">
            <w:pPr>
              <w:pStyle w:val="BodyText2"/>
              <w:spacing w:before="40" w:after="40" w:line="180" w:lineRule="exact"/>
              <w:ind w:right="648"/>
              <w:jc w:val="right"/>
              <w:rPr>
                <w:b/>
                <w:i w:val="0"/>
                <w:sz w:val="17"/>
              </w:rPr>
            </w:pPr>
            <w:r>
              <w:rPr>
                <w:b/>
                <w:i w:val="0"/>
                <w:sz w:val="17"/>
              </w:rPr>
              <w:t>22</w:t>
            </w:r>
          </w:p>
        </w:tc>
        <w:tc>
          <w:tcPr>
            <w:tcW w:w="1890" w:type="dxa"/>
            <w:tcBorders>
              <w:bottom w:val="single" w:sz="12" w:space="0" w:color="auto"/>
            </w:tcBorders>
          </w:tcPr>
          <w:p w:rsidR="00000000" w:rsidRDefault="00000000">
            <w:pPr>
              <w:pStyle w:val="BodyText2"/>
              <w:spacing w:before="40" w:after="40" w:line="180" w:lineRule="exact"/>
              <w:ind w:right="648"/>
              <w:jc w:val="right"/>
              <w:rPr>
                <w:b/>
                <w:i w:val="0"/>
                <w:sz w:val="17"/>
              </w:rPr>
            </w:pPr>
            <w:r>
              <w:rPr>
                <w:b/>
                <w:i w:val="0"/>
                <w:sz w:val="17"/>
              </w:rPr>
              <w:t>78</w:t>
            </w:r>
          </w:p>
        </w:tc>
        <w:tc>
          <w:tcPr>
            <w:tcW w:w="1890" w:type="dxa"/>
            <w:tcBorders>
              <w:bottom w:val="single" w:sz="12" w:space="0" w:color="auto"/>
            </w:tcBorders>
          </w:tcPr>
          <w:p w:rsidR="00000000" w:rsidRDefault="00000000">
            <w:pPr>
              <w:pStyle w:val="BodyText2"/>
              <w:spacing w:before="40" w:after="40" w:line="180" w:lineRule="exact"/>
              <w:ind w:right="648"/>
              <w:jc w:val="right"/>
              <w:rPr>
                <w:b/>
                <w:i w:val="0"/>
                <w:sz w:val="17"/>
              </w:rPr>
            </w:pPr>
            <w:r>
              <w:rPr>
                <w:b/>
                <w:i w:val="0"/>
                <w:sz w:val="17"/>
              </w:rPr>
              <w:t>100</w:t>
            </w:r>
          </w:p>
        </w:tc>
      </w:tr>
    </w:tbl>
    <w:p w:rsidR="00000000" w:rsidRDefault="00000000">
      <w:pPr>
        <w:pStyle w:val="SingleTxt"/>
        <w:ind w:firstLine="0"/>
      </w:pPr>
      <w:r>
        <w:rPr>
          <w:i/>
        </w:rPr>
        <w:t>Источник</w:t>
      </w:r>
      <w:r>
        <w:t>: Министерство образования, 2002 год</w:t>
      </w:r>
    </w:p>
    <w:p w:rsidR="00000000" w:rsidRDefault="00000000">
      <w:pPr>
        <w:pStyle w:val="SingleTxt"/>
      </w:pPr>
      <w:r>
        <w:tab/>
        <w:t>В 2000 году аспирантуру окончили 53 процента женщин по сравнению с 52 процентами мужчин. Однако вероятность окончания учебы в аспирантуре среди мужчин гораздо выше, нежели среди женщин. Среди женщин-маори т</w:t>
      </w:r>
      <w:r>
        <w:t>а</w:t>
      </w:r>
      <w:r>
        <w:t>кая вероятность ниже, чем среди женщин других национальностей. Роль расх</w:t>
      </w:r>
      <w:r>
        <w:t>о</w:t>
      </w:r>
      <w:r>
        <w:t>дов и финансирования высшего образования как факторов, влияющих на учебу женщин в ВУЗах, не известна, однако, можно с уверенностью сказать, что здесь действуют десятки факторов.</w:t>
      </w:r>
    </w:p>
    <w:p w:rsidR="00000000" w:rsidRDefault="00000000">
      <w:pPr>
        <w:pStyle w:val="SingleTxt"/>
        <w:ind w:firstLine="0"/>
        <w:jc w:val="left"/>
        <w:rPr>
          <w:b/>
        </w:rPr>
      </w:pPr>
      <w:r>
        <w:rPr>
          <w:b/>
        </w:rPr>
        <w:t>Таблица 3: учебные программы, пройденные в 2000 академическом году</w:t>
      </w:r>
    </w:p>
    <w:tbl>
      <w:tblPr>
        <w:tblW w:w="0" w:type="auto"/>
        <w:tblInd w:w="1278" w:type="dxa"/>
        <w:tblLayout w:type="fixed"/>
        <w:tblLook w:val="0000" w:firstRow="0" w:lastRow="0" w:firstColumn="0" w:lastColumn="0" w:noHBand="0" w:noVBand="0"/>
      </w:tblPr>
      <w:tblGrid>
        <w:gridCol w:w="1701"/>
        <w:gridCol w:w="1417"/>
        <w:gridCol w:w="1418"/>
        <w:gridCol w:w="1417"/>
        <w:gridCol w:w="1418"/>
      </w:tblGrid>
      <w:tr w:rsidR="00000000">
        <w:tblPrEx>
          <w:tblCellMar>
            <w:top w:w="0" w:type="dxa"/>
            <w:bottom w:w="0" w:type="dxa"/>
          </w:tblCellMar>
        </w:tblPrEx>
        <w:trPr>
          <w:cantSplit/>
          <w:tblHeader/>
        </w:trPr>
        <w:tc>
          <w:tcPr>
            <w:tcW w:w="1701" w:type="dxa"/>
            <w:vMerge w:val="restart"/>
            <w:tcBorders>
              <w:top w:val="single" w:sz="6" w:space="0" w:color="auto"/>
            </w:tcBorders>
            <w:vAlign w:val="center"/>
          </w:tcPr>
          <w:p w:rsidR="00000000" w:rsidRDefault="00000000">
            <w:pPr>
              <w:pStyle w:val="BodyText2"/>
              <w:spacing w:before="40" w:after="40" w:line="180" w:lineRule="exact"/>
              <w:rPr>
                <w:sz w:val="17"/>
              </w:rPr>
            </w:pPr>
            <w:r>
              <w:rPr>
                <w:sz w:val="17"/>
              </w:rPr>
              <w:t>Программа</w:t>
            </w:r>
          </w:p>
        </w:tc>
        <w:tc>
          <w:tcPr>
            <w:tcW w:w="2835" w:type="dxa"/>
            <w:gridSpan w:val="2"/>
            <w:tcBorders>
              <w:top w:val="single" w:sz="6" w:space="0" w:color="auto"/>
              <w:bottom w:val="single" w:sz="6" w:space="0" w:color="auto"/>
            </w:tcBorders>
          </w:tcPr>
          <w:p w:rsidR="00000000" w:rsidRDefault="00000000">
            <w:pPr>
              <w:pStyle w:val="BodyText2"/>
              <w:spacing w:before="40" w:after="40" w:line="180" w:lineRule="exact"/>
              <w:jc w:val="center"/>
              <w:rPr>
                <w:b/>
                <w:sz w:val="17"/>
              </w:rPr>
            </w:pPr>
            <w:r>
              <w:rPr>
                <w:sz w:val="17"/>
              </w:rPr>
              <w:t>Мужчины</w:t>
            </w:r>
          </w:p>
        </w:tc>
        <w:tc>
          <w:tcPr>
            <w:tcW w:w="2835" w:type="dxa"/>
            <w:gridSpan w:val="2"/>
            <w:tcBorders>
              <w:top w:val="single" w:sz="6" w:space="0" w:color="auto"/>
              <w:bottom w:val="single" w:sz="6" w:space="0" w:color="auto"/>
            </w:tcBorders>
          </w:tcPr>
          <w:p w:rsidR="00000000" w:rsidRDefault="00000000">
            <w:pPr>
              <w:pStyle w:val="BodyText2"/>
              <w:spacing w:before="40" w:after="40" w:line="180" w:lineRule="exact"/>
              <w:jc w:val="center"/>
              <w:rPr>
                <w:b/>
                <w:sz w:val="17"/>
              </w:rPr>
            </w:pPr>
            <w:r>
              <w:rPr>
                <w:sz w:val="17"/>
              </w:rPr>
              <w:t>Женщины</w:t>
            </w:r>
          </w:p>
        </w:tc>
      </w:tr>
      <w:tr w:rsidR="00000000">
        <w:tblPrEx>
          <w:tblCellMar>
            <w:top w:w="0" w:type="dxa"/>
            <w:bottom w:w="0" w:type="dxa"/>
          </w:tblCellMar>
        </w:tblPrEx>
        <w:trPr>
          <w:cantSplit/>
          <w:tblHeader/>
        </w:trPr>
        <w:tc>
          <w:tcPr>
            <w:tcW w:w="1701" w:type="dxa"/>
            <w:vMerge/>
            <w:tcBorders>
              <w:bottom w:val="single" w:sz="12" w:space="0" w:color="auto"/>
            </w:tcBorders>
          </w:tcPr>
          <w:p w:rsidR="00000000" w:rsidRDefault="00000000">
            <w:pPr>
              <w:pStyle w:val="BodyText2"/>
              <w:spacing w:before="40" w:after="40" w:line="180" w:lineRule="exact"/>
              <w:jc w:val="center"/>
              <w:rPr>
                <w:b/>
                <w:sz w:val="17"/>
              </w:rPr>
            </w:pPr>
          </w:p>
        </w:tc>
        <w:tc>
          <w:tcPr>
            <w:tcW w:w="1417" w:type="dxa"/>
            <w:tcBorders>
              <w:top w:val="single" w:sz="6" w:space="0" w:color="auto"/>
              <w:bottom w:val="single" w:sz="12" w:space="0" w:color="auto"/>
            </w:tcBorders>
          </w:tcPr>
          <w:p w:rsidR="00000000" w:rsidRDefault="00000000">
            <w:pPr>
              <w:pStyle w:val="BodyText2"/>
              <w:spacing w:before="40" w:after="40" w:line="180" w:lineRule="exact"/>
              <w:jc w:val="center"/>
              <w:rPr>
                <w:sz w:val="17"/>
              </w:rPr>
            </w:pPr>
            <w:r>
              <w:rPr>
                <w:sz w:val="17"/>
              </w:rPr>
              <w:t>Колич</w:t>
            </w:r>
            <w:r>
              <w:rPr>
                <w:sz w:val="17"/>
              </w:rPr>
              <w:t>е</w:t>
            </w:r>
            <w:r>
              <w:rPr>
                <w:sz w:val="17"/>
              </w:rPr>
              <w:t>ство</w:t>
            </w:r>
          </w:p>
        </w:tc>
        <w:tc>
          <w:tcPr>
            <w:tcW w:w="1418" w:type="dxa"/>
            <w:tcBorders>
              <w:top w:val="single" w:sz="6" w:space="0" w:color="auto"/>
              <w:bottom w:val="single" w:sz="12" w:space="0" w:color="auto"/>
            </w:tcBorders>
          </w:tcPr>
          <w:p w:rsidR="00000000" w:rsidRDefault="00000000">
            <w:pPr>
              <w:pStyle w:val="BodyText2"/>
              <w:spacing w:before="40" w:after="40" w:line="180" w:lineRule="exact"/>
              <w:jc w:val="center"/>
              <w:rPr>
                <w:sz w:val="17"/>
              </w:rPr>
            </w:pPr>
            <w:r>
              <w:rPr>
                <w:sz w:val="17"/>
              </w:rPr>
              <w:t>В %</w:t>
            </w:r>
          </w:p>
        </w:tc>
        <w:tc>
          <w:tcPr>
            <w:tcW w:w="1417" w:type="dxa"/>
            <w:tcBorders>
              <w:top w:val="single" w:sz="6" w:space="0" w:color="auto"/>
              <w:bottom w:val="single" w:sz="12" w:space="0" w:color="auto"/>
            </w:tcBorders>
          </w:tcPr>
          <w:p w:rsidR="00000000" w:rsidRDefault="00000000">
            <w:pPr>
              <w:pStyle w:val="BodyText2"/>
              <w:spacing w:before="40" w:after="40" w:line="180" w:lineRule="exact"/>
              <w:jc w:val="center"/>
              <w:rPr>
                <w:sz w:val="17"/>
              </w:rPr>
            </w:pPr>
            <w:r>
              <w:rPr>
                <w:sz w:val="17"/>
              </w:rPr>
              <w:t>Количество</w:t>
            </w:r>
          </w:p>
        </w:tc>
        <w:tc>
          <w:tcPr>
            <w:tcW w:w="1418" w:type="dxa"/>
            <w:tcBorders>
              <w:top w:val="single" w:sz="6" w:space="0" w:color="auto"/>
              <w:bottom w:val="single" w:sz="12" w:space="0" w:color="auto"/>
            </w:tcBorders>
          </w:tcPr>
          <w:p w:rsidR="00000000" w:rsidRDefault="00000000">
            <w:pPr>
              <w:pStyle w:val="BodyText2"/>
              <w:spacing w:before="40" w:after="40" w:line="180" w:lineRule="exact"/>
              <w:jc w:val="center"/>
              <w:rPr>
                <w:sz w:val="17"/>
              </w:rPr>
            </w:pPr>
            <w:r>
              <w:rPr>
                <w:sz w:val="17"/>
              </w:rPr>
              <w:t>В %</w:t>
            </w:r>
          </w:p>
        </w:tc>
      </w:tr>
      <w:tr w:rsidR="00000000">
        <w:tblPrEx>
          <w:tblCellMar>
            <w:top w:w="0" w:type="dxa"/>
            <w:bottom w:w="0" w:type="dxa"/>
          </w:tblCellMar>
        </w:tblPrEx>
        <w:tc>
          <w:tcPr>
            <w:tcW w:w="1701" w:type="dxa"/>
            <w:tcBorders>
              <w:top w:val="single" w:sz="12" w:space="0" w:color="auto"/>
            </w:tcBorders>
          </w:tcPr>
          <w:p w:rsidR="00000000" w:rsidRDefault="00000000">
            <w:pPr>
              <w:pStyle w:val="BodyText2"/>
              <w:spacing w:before="40" w:after="40" w:line="180" w:lineRule="exact"/>
              <w:rPr>
                <w:i w:val="0"/>
                <w:sz w:val="17"/>
              </w:rPr>
            </w:pPr>
            <w:r>
              <w:rPr>
                <w:i w:val="0"/>
                <w:sz w:val="17"/>
              </w:rPr>
              <w:t>Аспирантура</w:t>
            </w:r>
          </w:p>
        </w:tc>
        <w:tc>
          <w:tcPr>
            <w:tcW w:w="1417" w:type="dxa"/>
            <w:tcBorders>
              <w:top w:val="single" w:sz="12" w:space="0" w:color="auto"/>
            </w:tcBorders>
          </w:tcPr>
          <w:p w:rsidR="00000000" w:rsidRDefault="00000000">
            <w:pPr>
              <w:pStyle w:val="BodyText2"/>
              <w:tabs>
                <w:tab w:val="decimal" w:pos="743"/>
              </w:tabs>
              <w:spacing w:before="40" w:after="40" w:line="180" w:lineRule="exact"/>
              <w:rPr>
                <w:i w:val="0"/>
                <w:sz w:val="17"/>
              </w:rPr>
            </w:pPr>
            <w:r>
              <w:rPr>
                <w:i w:val="0"/>
                <w:sz w:val="17"/>
              </w:rPr>
              <w:t>4324</w:t>
            </w:r>
          </w:p>
        </w:tc>
        <w:tc>
          <w:tcPr>
            <w:tcW w:w="1418" w:type="dxa"/>
            <w:tcBorders>
              <w:top w:val="single" w:sz="12" w:space="0" w:color="auto"/>
            </w:tcBorders>
          </w:tcPr>
          <w:p w:rsidR="00000000" w:rsidRDefault="00000000">
            <w:pPr>
              <w:pStyle w:val="BodyText2"/>
              <w:tabs>
                <w:tab w:val="decimal" w:pos="601"/>
              </w:tabs>
              <w:spacing w:before="40" w:after="40" w:line="180" w:lineRule="exact"/>
              <w:rPr>
                <w:i w:val="0"/>
                <w:sz w:val="17"/>
              </w:rPr>
            </w:pPr>
            <w:r>
              <w:rPr>
                <w:i w:val="0"/>
                <w:sz w:val="17"/>
              </w:rPr>
              <w:t>17,9</w:t>
            </w:r>
          </w:p>
        </w:tc>
        <w:tc>
          <w:tcPr>
            <w:tcW w:w="1417" w:type="dxa"/>
            <w:tcBorders>
              <w:top w:val="single" w:sz="12" w:space="0" w:color="auto"/>
            </w:tcBorders>
          </w:tcPr>
          <w:p w:rsidR="00000000" w:rsidRDefault="00000000">
            <w:pPr>
              <w:pStyle w:val="BodyText2"/>
              <w:tabs>
                <w:tab w:val="decimal" w:pos="743"/>
              </w:tabs>
              <w:spacing w:before="40" w:after="40" w:line="180" w:lineRule="exact"/>
              <w:rPr>
                <w:i w:val="0"/>
                <w:sz w:val="17"/>
              </w:rPr>
            </w:pPr>
            <w:r>
              <w:rPr>
                <w:i w:val="0"/>
                <w:sz w:val="17"/>
              </w:rPr>
              <w:t>4978</w:t>
            </w:r>
          </w:p>
        </w:tc>
        <w:tc>
          <w:tcPr>
            <w:tcW w:w="1418" w:type="dxa"/>
            <w:tcBorders>
              <w:top w:val="single" w:sz="12" w:space="0" w:color="auto"/>
            </w:tcBorders>
          </w:tcPr>
          <w:p w:rsidR="00000000" w:rsidRDefault="00000000">
            <w:pPr>
              <w:pStyle w:val="BodyText2"/>
              <w:tabs>
                <w:tab w:val="decimal" w:pos="601"/>
              </w:tabs>
              <w:spacing w:before="40" w:after="40" w:line="180" w:lineRule="exact"/>
              <w:rPr>
                <w:i w:val="0"/>
                <w:sz w:val="17"/>
              </w:rPr>
            </w:pPr>
            <w:r>
              <w:rPr>
                <w:i w:val="0"/>
                <w:sz w:val="17"/>
              </w:rPr>
              <w:t>13,6</w:t>
            </w:r>
          </w:p>
        </w:tc>
      </w:tr>
      <w:tr w:rsidR="00000000">
        <w:tblPrEx>
          <w:tblCellMar>
            <w:top w:w="0" w:type="dxa"/>
            <w:bottom w:w="0" w:type="dxa"/>
          </w:tblCellMar>
        </w:tblPrEx>
        <w:tc>
          <w:tcPr>
            <w:tcW w:w="1701" w:type="dxa"/>
          </w:tcPr>
          <w:p w:rsidR="00000000" w:rsidRDefault="00000000">
            <w:pPr>
              <w:pStyle w:val="BodyText2"/>
              <w:spacing w:before="40" w:after="40" w:line="180" w:lineRule="exact"/>
              <w:rPr>
                <w:i w:val="0"/>
                <w:sz w:val="17"/>
              </w:rPr>
            </w:pPr>
            <w:r>
              <w:rPr>
                <w:i w:val="0"/>
                <w:sz w:val="17"/>
              </w:rPr>
              <w:t>Защита диссерт</w:t>
            </w:r>
            <w:r>
              <w:rPr>
                <w:i w:val="0"/>
                <w:sz w:val="17"/>
              </w:rPr>
              <w:t>а</w:t>
            </w:r>
            <w:r>
              <w:rPr>
                <w:i w:val="0"/>
                <w:sz w:val="17"/>
              </w:rPr>
              <w:t>ции</w:t>
            </w:r>
          </w:p>
        </w:tc>
        <w:tc>
          <w:tcPr>
            <w:tcW w:w="1417" w:type="dxa"/>
          </w:tcPr>
          <w:p w:rsidR="00000000" w:rsidRDefault="00000000">
            <w:pPr>
              <w:pStyle w:val="BodyText2"/>
              <w:tabs>
                <w:tab w:val="decimal" w:pos="743"/>
              </w:tabs>
              <w:spacing w:before="40" w:after="40" w:line="180" w:lineRule="exact"/>
              <w:rPr>
                <w:i w:val="0"/>
                <w:sz w:val="17"/>
              </w:rPr>
            </w:pPr>
            <w:r>
              <w:rPr>
                <w:i w:val="0"/>
                <w:sz w:val="17"/>
              </w:rPr>
              <w:t>8291</w:t>
            </w:r>
          </w:p>
        </w:tc>
        <w:tc>
          <w:tcPr>
            <w:tcW w:w="1418" w:type="dxa"/>
          </w:tcPr>
          <w:p w:rsidR="00000000" w:rsidRDefault="00000000">
            <w:pPr>
              <w:pStyle w:val="BodyText2"/>
              <w:tabs>
                <w:tab w:val="decimal" w:pos="601"/>
              </w:tabs>
              <w:spacing w:before="40" w:after="40" w:line="180" w:lineRule="exact"/>
              <w:rPr>
                <w:i w:val="0"/>
                <w:sz w:val="17"/>
              </w:rPr>
            </w:pPr>
            <w:r>
              <w:rPr>
                <w:i w:val="0"/>
                <w:sz w:val="17"/>
              </w:rPr>
              <w:t>34,3</w:t>
            </w:r>
          </w:p>
        </w:tc>
        <w:tc>
          <w:tcPr>
            <w:tcW w:w="1417" w:type="dxa"/>
          </w:tcPr>
          <w:p w:rsidR="00000000" w:rsidRDefault="00000000">
            <w:pPr>
              <w:pStyle w:val="BodyText2"/>
              <w:tabs>
                <w:tab w:val="decimal" w:pos="743"/>
              </w:tabs>
              <w:spacing w:before="40" w:after="40" w:line="180" w:lineRule="exact"/>
              <w:rPr>
                <w:i w:val="0"/>
                <w:sz w:val="17"/>
              </w:rPr>
            </w:pPr>
            <w:r>
              <w:rPr>
                <w:i w:val="0"/>
                <w:sz w:val="17"/>
              </w:rPr>
              <w:t>14745</w:t>
            </w:r>
          </w:p>
        </w:tc>
        <w:tc>
          <w:tcPr>
            <w:tcW w:w="1418" w:type="dxa"/>
          </w:tcPr>
          <w:p w:rsidR="00000000" w:rsidRDefault="00000000">
            <w:pPr>
              <w:pStyle w:val="BodyText2"/>
              <w:tabs>
                <w:tab w:val="decimal" w:pos="601"/>
              </w:tabs>
              <w:spacing w:before="40" w:after="40" w:line="180" w:lineRule="exact"/>
              <w:rPr>
                <w:i w:val="0"/>
                <w:sz w:val="17"/>
              </w:rPr>
            </w:pPr>
            <w:r>
              <w:rPr>
                <w:i w:val="0"/>
                <w:sz w:val="17"/>
              </w:rPr>
              <w:t>40,3</w:t>
            </w:r>
          </w:p>
        </w:tc>
      </w:tr>
      <w:tr w:rsidR="00000000">
        <w:tblPrEx>
          <w:tblCellMar>
            <w:top w:w="0" w:type="dxa"/>
            <w:bottom w:w="0" w:type="dxa"/>
          </w:tblCellMar>
        </w:tblPrEx>
        <w:tc>
          <w:tcPr>
            <w:tcW w:w="1701" w:type="dxa"/>
          </w:tcPr>
          <w:p w:rsidR="00000000" w:rsidRDefault="00000000">
            <w:pPr>
              <w:pStyle w:val="BodyText2"/>
              <w:spacing w:before="40" w:after="40" w:line="180" w:lineRule="exact"/>
              <w:rPr>
                <w:i w:val="0"/>
                <w:sz w:val="17"/>
              </w:rPr>
            </w:pPr>
            <w:r>
              <w:rPr>
                <w:i w:val="0"/>
                <w:sz w:val="17"/>
              </w:rPr>
              <w:t>Защита диплома</w:t>
            </w:r>
          </w:p>
        </w:tc>
        <w:tc>
          <w:tcPr>
            <w:tcW w:w="1417" w:type="dxa"/>
          </w:tcPr>
          <w:p w:rsidR="00000000" w:rsidRDefault="00000000">
            <w:pPr>
              <w:pStyle w:val="BodyText2"/>
              <w:tabs>
                <w:tab w:val="decimal" w:pos="743"/>
              </w:tabs>
              <w:spacing w:before="40" w:after="40" w:line="180" w:lineRule="exact"/>
              <w:rPr>
                <w:i w:val="0"/>
                <w:sz w:val="17"/>
              </w:rPr>
            </w:pPr>
            <w:r>
              <w:rPr>
                <w:i w:val="0"/>
                <w:sz w:val="17"/>
              </w:rPr>
              <w:t>2423</w:t>
            </w:r>
          </w:p>
        </w:tc>
        <w:tc>
          <w:tcPr>
            <w:tcW w:w="1418" w:type="dxa"/>
          </w:tcPr>
          <w:p w:rsidR="00000000" w:rsidRDefault="00000000">
            <w:pPr>
              <w:pStyle w:val="BodyText2"/>
              <w:tabs>
                <w:tab w:val="decimal" w:pos="601"/>
              </w:tabs>
              <w:spacing w:before="40" w:after="40" w:line="180" w:lineRule="exact"/>
              <w:rPr>
                <w:i w:val="0"/>
                <w:sz w:val="17"/>
              </w:rPr>
            </w:pPr>
            <w:r>
              <w:rPr>
                <w:i w:val="0"/>
                <w:sz w:val="17"/>
              </w:rPr>
              <w:t>10,0</w:t>
            </w:r>
          </w:p>
        </w:tc>
        <w:tc>
          <w:tcPr>
            <w:tcW w:w="1417" w:type="dxa"/>
          </w:tcPr>
          <w:p w:rsidR="00000000" w:rsidRDefault="00000000">
            <w:pPr>
              <w:pStyle w:val="BodyText2"/>
              <w:tabs>
                <w:tab w:val="decimal" w:pos="743"/>
              </w:tabs>
              <w:spacing w:before="40" w:after="40" w:line="180" w:lineRule="exact"/>
              <w:rPr>
                <w:i w:val="0"/>
                <w:sz w:val="17"/>
              </w:rPr>
            </w:pPr>
            <w:r>
              <w:rPr>
                <w:i w:val="0"/>
                <w:sz w:val="17"/>
              </w:rPr>
              <w:t>4525</w:t>
            </w:r>
          </w:p>
        </w:tc>
        <w:tc>
          <w:tcPr>
            <w:tcW w:w="1418" w:type="dxa"/>
          </w:tcPr>
          <w:p w:rsidR="00000000" w:rsidRDefault="00000000">
            <w:pPr>
              <w:pStyle w:val="BodyText2"/>
              <w:tabs>
                <w:tab w:val="decimal" w:pos="601"/>
              </w:tabs>
              <w:spacing w:before="40" w:after="40" w:line="180" w:lineRule="exact"/>
              <w:rPr>
                <w:i w:val="0"/>
                <w:sz w:val="17"/>
              </w:rPr>
            </w:pPr>
            <w:r>
              <w:rPr>
                <w:i w:val="0"/>
                <w:sz w:val="17"/>
              </w:rPr>
              <w:t>12,4</w:t>
            </w:r>
          </w:p>
        </w:tc>
      </w:tr>
      <w:tr w:rsidR="00000000">
        <w:tblPrEx>
          <w:tblCellMar>
            <w:top w:w="0" w:type="dxa"/>
            <w:bottom w:w="0" w:type="dxa"/>
          </w:tblCellMar>
        </w:tblPrEx>
        <w:tc>
          <w:tcPr>
            <w:tcW w:w="1701" w:type="dxa"/>
          </w:tcPr>
          <w:p w:rsidR="00000000" w:rsidRDefault="00000000">
            <w:pPr>
              <w:pStyle w:val="BodyText2"/>
              <w:spacing w:before="40" w:after="40" w:line="180" w:lineRule="exact"/>
              <w:rPr>
                <w:i w:val="0"/>
                <w:sz w:val="17"/>
              </w:rPr>
            </w:pPr>
            <w:r>
              <w:rPr>
                <w:i w:val="0"/>
                <w:sz w:val="17"/>
              </w:rPr>
              <w:t>Получение свид</w:t>
            </w:r>
            <w:r>
              <w:rPr>
                <w:i w:val="0"/>
                <w:sz w:val="17"/>
              </w:rPr>
              <w:t>е</w:t>
            </w:r>
            <w:r>
              <w:rPr>
                <w:i w:val="0"/>
                <w:sz w:val="17"/>
              </w:rPr>
              <w:t>тельства</w:t>
            </w:r>
          </w:p>
        </w:tc>
        <w:tc>
          <w:tcPr>
            <w:tcW w:w="1417" w:type="dxa"/>
          </w:tcPr>
          <w:p w:rsidR="00000000" w:rsidRDefault="00000000">
            <w:pPr>
              <w:pStyle w:val="BodyText2"/>
              <w:tabs>
                <w:tab w:val="decimal" w:pos="743"/>
              </w:tabs>
              <w:spacing w:before="40" w:after="40" w:line="180" w:lineRule="exact"/>
              <w:rPr>
                <w:i w:val="0"/>
                <w:sz w:val="17"/>
              </w:rPr>
            </w:pPr>
            <w:r>
              <w:rPr>
                <w:i w:val="0"/>
                <w:sz w:val="17"/>
              </w:rPr>
              <w:t>9075</w:t>
            </w:r>
          </w:p>
        </w:tc>
        <w:tc>
          <w:tcPr>
            <w:tcW w:w="1418" w:type="dxa"/>
          </w:tcPr>
          <w:p w:rsidR="00000000" w:rsidRDefault="00000000">
            <w:pPr>
              <w:pStyle w:val="BodyText2"/>
              <w:tabs>
                <w:tab w:val="decimal" w:pos="601"/>
              </w:tabs>
              <w:spacing w:before="40" w:after="40" w:line="180" w:lineRule="exact"/>
              <w:rPr>
                <w:i w:val="0"/>
                <w:sz w:val="17"/>
              </w:rPr>
            </w:pPr>
            <w:r>
              <w:rPr>
                <w:i w:val="0"/>
                <w:sz w:val="17"/>
              </w:rPr>
              <w:t>37,6</w:t>
            </w:r>
          </w:p>
        </w:tc>
        <w:tc>
          <w:tcPr>
            <w:tcW w:w="1417" w:type="dxa"/>
          </w:tcPr>
          <w:p w:rsidR="00000000" w:rsidRDefault="00000000">
            <w:pPr>
              <w:pStyle w:val="BodyText2"/>
              <w:tabs>
                <w:tab w:val="decimal" w:pos="743"/>
              </w:tabs>
              <w:spacing w:before="40" w:after="40" w:line="180" w:lineRule="exact"/>
              <w:rPr>
                <w:i w:val="0"/>
                <w:sz w:val="17"/>
              </w:rPr>
            </w:pPr>
            <w:r>
              <w:rPr>
                <w:i w:val="0"/>
                <w:sz w:val="17"/>
              </w:rPr>
              <w:t>12284</w:t>
            </w:r>
          </w:p>
        </w:tc>
        <w:tc>
          <w:tcPr>
            <w:tcW w:w="1418" w:type="dxa"/>
          </w:tcPr>
          <w:p w:rsidR="00000000" w:rsidRDefault="00000000">
            <w:pPr>
              <w:pStyle w:val="BodyText2"/>
              <w:tabs>
                <w:tab w:val="decimal" w:pos="601"/>
              </w:tabs>
              <w:spacing w:before="40" w:after="40" w:line="180" w:lineRule="exact"/>
              <w:rPr>
                <w:i w:val="0"/>
                <w:sz w:val="17"/>
              </w:rPr>
            </w:pPr>
            <w:r>
              <w:rPr>
                <w:i w:val="0"/>
                <w:sz w:val="17"/>
              </w:rPr>
              <w:t>33,6</w:t>
            </w:r>
          </w:p>
        </w:tc>
      </w:tr>
      <w:tr w:rsidR="00000000">
        <w:tblPrEx>
          <w:tblCellMar>
            <w:top w:w="0" w:type="dxa"/>
            <w:bottom w:w="0" w:type="dxa"/>
          </w:tblCellMar>
        </w:tblPrEx>
        <w:tc>
          <w:tcPr>
            <w:tcW w:w="1701" w:type="dxa"/>
            <w:tcBorders>
              <w:bottom w:val="single" w:sz="12" w:space="0" w:color="auto"/>
            </w:tcBorders>
          </w:tcPr>
          <w:p w:rsidR="00000000" w:rsidRDefault="00000000">
            <w:pPr>
              <w:pStyle w:val="BodyText2"/>
              <w:spacing w:before="40" w:after="40" w:line="180" w:lineRule="exact"/>
              <w:rPr>
                <w:b/>
                <w:i w:val="0"/>
                <w:sz w:val="17"/>
              </w:rPr>
            </w:pPr>
            <w:r>
              <w:rPr>
                <w:b/>
                <w:i w:val="0"/>
                <w:sz w:val="17"/>
              </w:rPr>
              <w:t>Всего</w:t>
            </w:r>
          </w:p>
        </w:tc>
        <w:tc>
          <w:tcPr>
            <w:tcW w:w="1417" w:type="dxa"/>
            <w:tcBorders>
              <w:bottom w:val="single" w:sz="12" w:space="0" w:color="auto"/>
            </w:tcBorders>
          </w:tcPr>
          <w:p w:rsidR="00000000" w:rsidRDefault="00000000">
            <w:pPr>
              <w:pStyle w:val="BodyText2"/>
              <w:tabs>
                <w:tab w:val="decimal" w:pos="743"/>
              </w:tabs>
              <w:spacing w:before="40" w:after="40" w:line="180" w:lineRule="exact"/>
              <w:rPr>
                <w:b/>
                <w:i w:val="0"/>
                <w:sz w:val="17"/>
              </w:rPr>
            </w:pPr>
            <w:r>
              <w:rPr>
                <w:b/>
                <w:i w:val="0"/>
                <w:sz w:val="17"/>
              </w:rPr>
              <w:t>24113</w:t>
            </w:r>
          </w:p>
        </w:tc>
        <w:tc>
          <w:tcPr>
            <w:tcW w:w="1418" w:type="dxa"/>
            <w:tcBorders>
              <w:bottom w:val="single" w:sz="12" w:space="0" w:color="auto"/>
            </w:tcBorders>
          </w:tcPr>
          <w:p w:rsidR="00000000" w:rsidRDefault="00000000">
            <w:pPr>
              <w:pStyle w:val="BodyText2"/>
              <w:tabs>
                <w:tab w:val="decimal" w:pos="601"/>
              </w:tabs>
              <w:spacing w:before="40" w:after="40" w:line="180" w:lineRule="exact"/>
              <w:rPr>
                <w:b/>
                <w:i w:val="0"/>
                <w:sz w:val="17"/>
              </w:rPr>
            </w:pPr>
            <w:r>
              <w:rPr>
                <w:b/>
                <w:i w:val="0"/>
                <w:sz w:val="17"/>
              </w:rPr>
              <w:t>100</w:t>
            </w:r>
          </w:p>
        </w:tc>
        <w:tc>
          <w:tcPr>
            <w:tcW w:w="1417" w:type="dxa"/>
            <w:tcBorders>
              <w:bottom w:val="single" w:sz="12" w:space="0" w:color="auto"/>
            </w:tcBorders>
          </w:tcPr>
          <w:p w:rsidR="00000000" w:rsidRDefault="00000000">
            <w:pPr>
              <w:pStyle w:val="BodyText2"/>
              <w:tabs>
                <w:tab w:val="decimal" w:pos="743"/>
              </w:tabs>
              <w:spacing w:before="40" w:after="40" w:line="180" w:lineRule="exact"/>
              <w:rPr>
                <w:b/>
                <w:i w:val="0"/>
                <w:sz w:val="17"/>
              </w:rPr>
            </w:pPr>
            <w:r>
              <w:rPr>
                <w:b/>
                <w:i w:val="0"/>
                <w:sz w:val="17"/>
              </w:rPr>
              <w:t>36532</w:t>
            </w:r>
          </w:p>
        </w:tc>
        <w:tc>
          <w:tcPr>
            <w:tcW w:w="1418" w:type="dxa"/>
            <w:tcBorders>
              <w:bottom w:val="single" w:sz="12" w:space="0" w:color="auto"/>
            </w:tcBorders>
          </w:tcPr>
          <w:p w:rsidR="00000000" w:rsidRDefault="00000000">
            <w:pPr>
              <w:pStyle w:val="BodyText2"/>
              <w:tabs>
                <w:tab w:val="decimal" w:pos="601"/>
              </w:tabs>
              <w:spacing w:before="40" w:after="40" w:line="180" w:lineRule="exact"/>
              <w:rPr>
                <w:b/>
                <w:i w:val="0"/>
                <w:sz w:val="17"/>
              </w:rPr>
            </w:pPr>
            <w:r>
              <w:rPr>
                <w:b/>
                <w:i w:val="0"/>
                <w:sz w:val="17"/>
              </w:rPr>
              <w:t>100</w:t>
            </w:r>
          </w:p>
        </w:tc>
      </w:tr>
    </w:tbl>
    <w:p w:rsidR="00000000" w:rsidRDefault="00000000">
      <w:pPr>
        <w:pStyle w:val="BodyText2"/>
        <w:spacing w:line="240" w:lineRule="auto"/>
        <w:ind w:left="1264" w:right="1264"/>
        <w:rPr>
          <w:sz w:val="20"/>
        </w:rPr>
      </w:pPr>
    </w:p>
    <w:tbl>
      <w:tblPr>
        <w:tblW w:w="0" w:type="auto"/>
        <w:tblInd w:w="1278" w:type="dxa"/>
        <w:tblLayout w:type="fixed"/>
        <w:tblLook w:val="0000" w:firstRow="0" w:lastRow="0" w:firstColumn="0" w:lastColumn="0" w:noHBand="0" w:noVBand="0"/>
      </w:tblPr>
      <w:tblGrid>
        <w:gridCol w:w="1701"/>
        <w:gridCol w:w="1417"/>
        <w:gridCol w:w="1418"/>
        <w:gridCol w:w="1417"/>
        <w:gridCol w:w="1418"/>
      </w:tblGrid>
      <w:tr w:rsidR="00000000">
        <w:tblPrEx>
          <w:tblCellMar>
            <w:top w:w="0" w:type="dxa"/>
            <w:bottom w:w="0" w:type="dxa"/>
          </w:tblCellMar>
        </w:tblPrEx>
        <w:trPr>
          <w:cantSplit/>
          <w:tblHeader/>
        </w:trPr>
        <w:tc>
          <w:tcPr>
            <w:tcW w:w="1701" w:type="dxa"/>
            <w:vMerge w:val="restart"/>
            <w:tcBorders>
              <w:top w:val="single" w:sz="6" w:space="0" w:color="auto"/>
            </w:tcBorders>
            <w:vAlign w:val="center"/>
          </w:tcPr>
          <w:p w:rsidR="00000000" w:rsidRDefault="00000000">
            <w:pPr>
              <w:pStyle w:val="BodyText2"/>
              <w:keepNext/>
              <w:spacing w:before="40" w:after="40" w:line="180" w:lineRule="exact"/>
              <w:rPr>
                <w:sz w:val="17"/>
              </w:rPr>
            </w:pPr>
            <w:r>
              <w:rPr>
                <w:sz w:val="17"/>
              </w:rPr>
              <w:t>Программа</w:t>
            </w:r>
          </w:p>
        </w:tc>
        <w:tc>
          <w:tcPr>
            <w:tcW w:w="2835" w:type="dxa"/>
            <w:gridSpan w:val="2"/>
            <w:tcBorders>
              <w:top w:val="single" w:sz="6" w:space="0" w:color="auto"/>
              <w:bottom w:val="single" w:sz="6" w:space="0" w:color="auto"/>
            </w:tcBorders>
          </w:tcPr>
          <w:p w:rsidR="00000000" w:rsidRDefault="00000000">
            <w:pPr>
              <w:pStyle w:val="BodyText2"/>
              <w:keepNext/>
              <w:spacing w:before="40" w:after="40" w:line="180" w:lineRule="exact"/>
              <w:jc w:val="center"/>
              <w:rPr>
                <w:b/>
                <w:sz w:val="17"/>
              </w:rPr>
            </w:pPr>
            <w:r>
              <w:rPr>
                <w:sz w:val="17"/>
              </w:rPr>
              <w:t>Мужчины-ма</w:t>
            </w:r>
            <w:r>
              <w:rPr>
                <w:sz w:val="17"/>
              </w:rPr>
              <w:t>о</w:t>
            </w:r>
            <w:r>
              <w:rPr>
                <w:sz w:val="17"/>
              </w:rPr>
              <w:t>ри</w:t>
            </w:r>
          </w:p>
        </w:tc>
        <w:tc>
          <w:tcPr>
            <w:tcW w:w="2835" w:type="dxa"/>
            <w:gridSpan w:val="2"/>
            <w:tcBorders>
              <w:top w:val="single" w:sz="6" w:space="0" w:color="auto"/>
              <w:bottom w:val="single" w:sz="6" w:space="0" w:color="auto"/>
            </w:tcBorders>
          </w:tcPr>
          <w:p w:rsidR="00000000" w:rsidRDefault="00000000">
            <w:pPr>
              <w:pStyle w:val="BodyText2"/>
              <w:keepNext/>
              <w:spacing w:before="40" w:after="40" w:line="180" w:lineRule="exact"/>
              <w:jc w:val="center"/>
              <w:rPr>
                <w:b/>
                <w:sz w:val="17"/>
              </w:rPr>
            </w:pPr>
            <w:r>
              <w:rPr>
                <w:sz w:val="17"/>
              </w:rPr>
              <w:t>Женщины-маори</w:t>
            </w:r>
          </w:p>
        </w:tc>
      </w:tr>
      <w:tr w:rsidR="00000000">
        <w:tblPrEx>
          <w:tblCellMar>
            <w:top w:w="0" w:type="dxa"/>
            <w:bottom w:w="0" w:type="dxa"/>
          </w:tblCellMar>
        </w:tblPrEx>
        <w:trPr>
          <w:cantSplit/>
          <w:tblHeader/>
        </w:trPr>
        <w:tc>
          <w:tcPr>
            <w:tcW w:w="1701" w:type="dxa"/>
            <w:vMerge/>
            <w:tcBorders>
              <w:bottom w:val="single" w:sz="12" w:space="0" w:color="auto"/>
            </w:tcBorders>
          </w:tcPr>
          <w:p w:rsidR="00000000" w:rsidRDefault="00000000">
            <w:pPr>
              <w:pStyle w:val="BodyText2"/>
              <w:keepNext/>
              <w:spacing w:before="40" w:after="40" w:line="180" w:lineRule="exact"/>
              <w:jc w:val="center"/>
              <w:rPr>
                <w:b/>
                <w:sz w:val="17"/>
              </w:rPr>
            </w:pPr>
          </w:p>
        </w:tc>
        <w:tc>
          <w:tcPr>
            <w:tcW w:w="1417" w:type="dxa"/>
            <w:tcBorders>
              <w:top w:val="single" w:sz="6" w:space="0" w:color="auto"/>
              <w:bottom w:val="single" w:sz="12" w:space="0" w:color="auto"/>
            </w:tcBorders>
          </w:tcPr>
          <w:p w:rsidR="00000000" w:rsidRDefault="00000000">
            <w:pPr>
              <w:pStyle w:val="BodyText2"/>
              <w:keepNext/>
              <w:spacing w:before="40" w:after="40" w:line="180" w:lineRule="exact"/>
              <w:jc w:val="center"/>
              <w:rPr>
                <w:sz w:val="17"/>
              </w:rPr>
            </w:pPr>
            <w:r>
              <w:rPr>
                <w:sz w:val="17"/>
              </w:rPr>
              <w:t>Колич</w:t>
            </w:r>
            <w:r>
              <w:rPr>
                <w:sz w:val="17"/>
              </w:rPr>
              <w:t>е</w:t>
            </w:r>
            <w:r>
              <w:rPr>
                <w:sz w:val="17"/>
              </w:rPr>
              <w:t>ство</w:t>
            </w:r>
          </w:p>
        </w:tc>
        <w:tc>
          <w:tcPr>
            <w:tcW w:w="1418" w:type="dxa"/>
            <w:tcBorders>
              <w:top w:val="single" w:sz="6" w:space="0" w:color="auto"/>
              <w:bottom w:val="single" w:sz="12" w:space="0" w:color="auto"/>
            </w:tcBorders>
          </w:tcPr>
          <w:p w:rsidR="00000000" w:rsidRDefault="00000000">
            <w:pPr>
              <w:pStyle w:val="BodyText2"/>
              <w:keepNext/>
              <w:spacing w:before="40" w:after="40" w:line="180" w:lineRule="exact"/>
              <w:jc w:val="center"/>
              <w:rPr>
                <w:sz w:val="17"/>
              </w:rPr>
            </w:pPr>
            <w:r>
              <w:rPr>
                <w:sz w:val="17"/>
              </w:rPr>
              <w:t>В %</w:t>
            </w:r>
          </w:p>
        </w:tc>
        <w:tc>
          <w:tcPr>
            <w:tcW w:w="1417" w:type="dxa"/>
            <w:tcBorders>
              <w:top w:val="single" w:sz="6" w:space="0" w:color="auto"/>
              <w:bottom w:val="single" w:sz="12" w:space="0" w:color="auto"/>
            </w:tcBorders>
          </w:tcPr>
          <w:p w:rsidR="00000000" w:rsidRDefault="00000000">
            <w:pPr>
              <w:pStyle w:val="BodyText2"/>
              <w:keepNext/>
              <w:spacing w:before="40" w:after="40" w:line="180" w:lineRule="exact"/>
              <w:jc w:val="center"/>
              <w:rPr>
                <w:sz w:val="17"/>
              </w:rPr>
            </w:pPr>
            <w:r>
              <w:rPr>
                <w:sz w:val="17"/>
              </w:rPr>
              <w:t>Количество</w:t>
            </w:r>
          </w:p>
        </w:tc>
        <w:tc>
          <w:tcPr>
            <w:tcW w:w="1418" w:type="dxa"/>
            <w:tcBorders>
              <w:top w:val="single" w:sz="6" w:space="0" w:color="auto"/>
              <w:bottom w:val="single" w:sz="12" w:space="0" w:color="auto"/>
            </w:tcBorders>
          </w:tcPr>
          <w:p w:rsidR="00000000" w:rsidRDefault="00000000">
            <w:pPr>
              <w:pStyle w:val="BodyText2"/>
              <w:keepNext/>
              <w:spacing w:before="40" w:after="40" w:line="180" w:lineRule="exact"/>
              <w:jc w:val="center"/>
              <w:rPr>
                <w:sz w:val="17"/>
              </w:rPr>
            </w:pPr>
            <w:r>
              <w:rPr>
                <w:sz w:val="17"/>
              </w:rPr>
              <w:t>В %</w:t>
            </w:r>
          </w:p>
        </w:tc>
      </w:tr>
      <w:tr w:rsidR="00000000">
        <w:tblPrEx>
          <w:tblCellMar>
            <w:top w:w="0" w:type="dxa"/>
            <w:bottom w:w="0" w:type="dxa"/>
          </w:tblCellMar>
        </w:tblPrEx>
        <w:tc>
          <w:tcPr>
            <w:tcW w:w="1701" w:type="dxa"/>
            <w:tcBorders>
              <w:top w:val="single" w:sz="12" w:space="0" w:color="auto"/>
            </w:tcBorders>
          </w:tcPr>
          <w:p w:rsidR="00000000" w:rsidRDefault="00000000">
            <w:pPr>
              <w:pStyle w:val="BodyText2"/>
              <w:keepNext/>
              <w:spacing w:before="40" w:after="40" w:line="180" w:lineRule="exact"/>
              <w:rPr>
                <w:i w:val="0"/>
                <w:sz w:val="17"/>
              </w:rPr>
            </w:pPr>
            <w:r>
              <w:rPr>
                <w:i w:val="0"/>
                <w:sz w:val="17"/>
              </w:rPr>
              <w:t>Аспирантура</w:t>
            </w:r>
          </w:p>
        </w:tc>
        <w:tc>
          <w:tcPr>
            <w:tcW w:w="1417" w:type="dxa"/>
            <w:tcBorders>
              <w:top w:val="single" w:sz="12" w:space="0" w:color="auto"/>
            </w:tcBorders>
          </w:tcPr>
          <w:p w:rsidR="00000000" w:rsidRDefault="00000000">
            <w:pPr>
              <w:pStyle w:val="BodyText2"/>
              <w:keepNext/>
              <w:tabs>
                <w:tab w:val="decimal" w:pos="601"/>
              </w:tabs>
              <w:spacing w:before="40" w:after="40" w:line="180" w:lineRule="exact"/>
              <w:rPr>
                <w:i w:val="0"/>
                <w:sz w:val="17"/>
              </w:rPr>
            </w:pPr>
            <w:r>
              <w:rPr>
                <w:i w:val="0"/>
                <w:sz w:val="17"/>
              </w:rPr>
              <w:t>212</w:t>
            </w:r>
          </w:p>
        </w:tc>
        <w:tc>
          <w:tcPr>
            <w:tcW w:w="1418" w:type="dxa"/>
            <w:tcBorders>
              <w:top w:val="single" w:sz="12" w:space="0" w:color="auto"/>
            </w:tcBorders>
          </w:tcPr>
          <w:p w:rsidR="00000000" w:rsidRDefault="00000000">
            <w:pPr>
              <w:pStyle w:val="BodyText2"/>
              <w:keepNext/>
              <w:tabs>
                <w:tab w:val="decimal" w:pos="601"/>
              </w:tabs>
              <w:spacing w:before="40" w:after="40" w:line="180" w:lineRule="exact"/>
              <w:rPr>
                <w:i w:val="0"/>
                <w:sz w:val="17"/>
              </w:rPr>
            </w:pPr>
            <w:r>
              <w:rPr>
                <w:i w:val="0"/>
                <w:sz w:val="17"/>
              </w:rPr>
              <w:t>7,4</w:t>
            </w:r>
          </w:p>
        </w:tc>
        <w:tc>
          <w:tcPr>
            <w:tcW w:w="1417" w:type="dxa"/>
            <w:tcBorders>
              <w:top w:val="single" w:sz="12" w:space="0" w:color="auto"/>
            </w:tcBorders>
          </w:tcPr>
          <w:p w:rsidR="00000000" w:rsidRDefault="00000000">
            <w:pPr>
              <w:pStyle w:val="BodyText2"/>
              <w:keepNext/>
              <w:tabs>
                <w:tab w:val="decimal" w:pos="601"/>
              </w:tabs>
              <w:spacing w:before="40" w:after="40" w:line="180" w:lineRule="exact"/>
              <w:rPr>
                <w:i w:val="0"/>
                <w:sz w:val="17"/>
              </w:rPr>
            </w:pPr>
            <w:r>
              <w:rPr>
                <w:i w:val="0"/>
                <w:sz w:val="17"/>
              </w:rPr>
              <w:t>322</w:t>
            </w:r>
          </w:p>
        </w:tc>
        <w:tc>
          <w:tcPr>
            <w:tcW w:w="1418" w:type="dxa"/>
            <w:tcBorders>
              <w:top w:val="single" w:sz="12" w:space="0" w:color="auto"/>
            </w:tcBorders>
          </w:tcPr>
          <w:p w:rsidR="00000000" w:rsidRDefault="00000000">
            <w:pPr>
              <w:pStyle w:val="BodyText2"/>
              <w:keepNext/>
              <w:tabs>
                <w:tab w:val="decimal" w:pos="601"/>
              </w:tabs>
              <w:spacing w:before="40" w:after="40" w:line="180" w:lineRule="exact"/>
              <w:rPr>
                <w:i w:val="0"/>
                <w:sz w:val="17"/>
              </w:rPr>
            </w:pPr>
            <w:r>
              <w:rPr>
                <w:i w:val="0"/>
                <w:sz w:val="17"/>
              </w:rPr>
              <w:t>6,4</w:t>
            </w:r>
          </w:p>
        </w:tc>
      </w:tr>
      <w:tr w:rsidR="00000000">
        <w:tblPrEx>
          <w:tblCellMar>
            <w:top w:w="0" w:type="dxa"/>
            <w:bottom w:w="0" w:type="dxa"/>
          </w:tblCellMar>
        </w:tblPrEx>
        <w:tc>
          <w:tcPr>
            <w:tcW w:w="1701" w:type="dxa"/>
          </w:tcPr>
          <w:p w:rsidR="00000000" w:rsidRDefault="00000000">
            <w:pPr>
              <w:pStyle w:val="BodyText2"/>
              <w:keepNext/>
              <w:spacing w:before="40" w:after="40" w:line="180" w:lineRule="exact"/>
              <w:rPr>
                <w:i w:val="0"/>
                <w:sz w:val="17"/>
              </w:rPr>
            </w:pPr>
            <w:r>
              <w:rPr>
                <w:i w:val="0"/>
                <w:sz w:val="17"/>
              </w:rPr>
              <w:t>Защита диссерт</w:t>
            </w:r>
            <w:r>
              <w:rPr>
                <w:i w:val="0"/>
                <w:sz w:val="17"/>
              </w:rPr>
              <w:t>а</w:t>
            </w:r>
            <w:r>
              <w:rPr>
                <w:i w:val="0"/>
                <w:sz w:val="17"/>
              </w:rPr>
              <w:t>ции</w:t>
            </w:r>
          </w:p>
        </w:tc>
        <w:tc>
          <w:tcPr>
            <w:tcW w:w="1417" w:type="dxa"/>
          </w:tcPr>
          <w:p w:rsidR="00000000" w:rsidRDefault="00000000">
            <w:pPr>
              <w:pStyle w:val="BodyText2"/>
              <w:keepNext/>
              <w:tabs>
                <w:tab w:val="decimal" w:pos="601"/>
              </w:tabs>
              <w:spacing w:before="40" w:after="40" w:line="180" w:lineRule="exact"/>
              <w:rPr>
                <w:i w:val="0"/>
                <w:sz w:val="17"/>
              </w:rPr>
            </w:pPr>
            <w:r>
              <w:rPr>
                <w:i w:val="0"/>
                <w:sz w:val="17"/>
              </w:rPr>
              <w:t>660</w:t>
            </w:r>
          </w:p>
        </w:tc>
        <w:tc>
          <w:tcPr>
            <w:tcW w:w="1418" w:type="dxa"/>
          </w:tcPr>
          <w:p w:rsidR="00000000" w:rsidRDefault="00000000">
            <w:pPr>
              <w:pStyle w:val="BodyText2"/>
              <w:keepNext/>
              <w:tabs>
                <w:tab w:val="decimal" w:pos="601"/>
              </w:tabs>
              <w:spacing w:before="40" w:after="40" w:line="180" w:lineRule="exact"/>
              <w:rPr>
                <w:i w:val="0"/>
                <w:sz w:val="17"/>
              </w:rPr>
            </w:pPr>
            <w:r>
              <w:rPr>
                <w:i w:val="0"/>
                <w:sz w:val="17"/>
              </w:rPr>
              <w:t>23,1</w:t>
            </w:r>
          </w:p>
        </w:tc>
        <w:tc>
          <w:tcPr>
            <w:tcW w:w="1417" w:type="dxa"/>
          </w:tcPr>
          <w:p w:rsidR="00000000" w:rsidRDefault="00000000">
            <w:pPr>
              <w:pStyle w:val="BodyText2"/>
              <w:keepNext/>
              <w:tabs>
                <w:tab w:val="decimal" w:pos="601"/>
              </w:tabs>
              <w:spacing w:before="40" w:after="40" w:line="180" w:lineRule="exact"/>
              <w:rPr>
                <w:i w:val="0"/>
                <w:sz w:val="17"/>
              </w:rPr>
            </w:pPr>
            <w:r>
              <w:rPr>
                <w:i w:val="0"/>
                <w:sz w:val="17"/>
              </w:rPr>
              <w:t>1418</w:t>
            </w:r>
          </w:p>
        </w:tc>
        <w:tc>
          <w:tcPr>
            <w:tcW w:w="1418" w:type="dxa"/>
          </w:tcPr>
          <w:p w:rsidR="00000000" w:rsidRDefault="00000000">
            <w:pPr>
              <w:pStyle w:val="BodyText2"/>
              <w:keepNext/>
              <w:tabs>
                <w:tab w:val="decimal" w:pos="601"/>
              </w:tabs>
              <w:spacing w:before="40" w:after="40" w:line="180" w:lineRule="exact"/>
              <w:rPr>
                <w:i w:val="0"/>
                <w:sz w:val="17"/>
              </w:rPr>
            </w:pPr>
            <w:r>
              <w:rPr>
                <w:i w:val="0"/>
                <w:sz w:val="17"/>
              </w:rPr>
              <w:t>28,4</w:t>
            </w:r>
          </w:p>
        </w:tc>
      </w:tr>
      <w:tr w:rsidR="00000000">
        <w:tblPrEx>
          <w:tblCellMar>
            <w:top w:w="0" w:type="dxa"/>
            <w:bottom w:w="0" w:type="dxa"/>
          </w:tblCellMar>
        </w:tblPrEx>
        <w:tc>
          <w:tcPr>
            <w:tcW w:w="1701" w:type="dxa"/>
          </w:tcPr>
          <w:p w:rsidR="00000000" w:rsidRDefault="00000000">
            <w:pPr>
              <w:pStyle w:val="BodyText2"/>
              <w:keepNext/>
              <w:spacing w:before="40" w:after="40" w:line="180" w:lineRule="exact"/>
              <w:rPr>
                <w:i w:val="0"/>
                <w:sz w:val="17"/>
              </w:rPr>
            </w:pPr>
            <w:r>
              <w:rPr>
                <w:i w:val="0"/>
                <w:sz w:val="17"/>
              </w:rPr>
              <w:t>Защита диплома</w:t>
            </w:r>
          </w:p>
        </w:tc>
        <w:tc>
          <w:tcPr>
            <w:tcW w:w="1417" w:type="dxa"/>
          </w:tcPr>
          <w:p w:rsidR="00000000" w:rsidRDefault="00000000">
            <w:pPr>
              <w:pStyle w:val="BodyText2"/>
              <w:keepNext/>
              <w:tabs>
                <w:tab w:val="decimal" w:pos="601"/>
              </w:tabs>
              <w:spacing w:before="40" w:after="40" w:line="180" w:lineRule="exact"/>
              <w:rPr>
                <w:i w:val="0"/>
                <w:sz w:val="17"/>
              </w:rPr>
            </w:pPr>
            <w:r>
              <w:rPr>
                <w:i w:val="0"/>
                <w:sz w:val="17"/>
              </w:rPr>
              <w:t>485</w:t>
            </w:r>
          </w:p>
        </w:tc>
        <w:tc>
          <w:tcPr>
            <w:tcW w:w="1418" w:type="dxa"/>
          </w:tcPr>
          <w:p w:rsidR="00000000" w:rsidRDefault="00000000">
            <w:pPr>
              <w:pStyle w:val="BodyText2"/>
              <w:keepNext/>
              <w:tabs>
                <w:tab w:val="decimal" w:pos="601"/>
              </w:tabs>
              <w:spacing w:before="40" w:after="40" w:line="180" w:lineRule="exact"/>
              <w:rPr>
                <w:i w:val="0"/>
                <w:sz w:val="17"/>
              </w:rPr>
            </w:pPr>
            <w:r>
              <w:rPr>
                <w:i w:val="0"/>
                <w:sz w:val="17"/>
              </w:rPr>
              <w:t>17,0</w:t>
            </w:r>
          </w:p>
        </w:tc>
        <w:tc>
          <w:tcPr>
            <w:tcW w:w="1417" w:type="dxa"/>
          </w:tcPr>
          <w:p w:rsidR="00000000" w:rsidRDefault="00000000">
            <w:pPr>
              <w:pStyle w:val="BodyText2"/>
              <w:keepNext/>
              <w:tabs>
                <w:tab w:val="decimal" w:pos="601"/>
              </w:tabs>
              <w:spacing w:before="40" w:after="40" w:line="180" w:lineRule="exact"/>
              <w:rPr>
                <w:i w:val="0"/>
                <w:sz w:val="17"/>
              </w:rPr>
            </w:pPr>
            <w:r>
              <w:rPr>
                <w:i w:val="0"/>
                <w:sz w:val="17"/>
              </w:rPr>
              <w:t>929</w:t>
            </w:r>
          </w:p>
        </w:tc>
        <w:tc>
          <w:tcPr>
            <w:tcW w:w="1418" w:type="dxa"/>
          </w:tcPr>
          <w:p w:rsidR="00000000" w:rsidRDefault="00000000">
            <w:pPr>
              <w:pStyle w:val="BodyText2"/>
              <w:keepNext/>
              <w:tabs>
                <w:tab w:val="decimal" w:pos="601"/>
              </w:tabs>
              <w:spacing w:before="40" w:after="40" w:line="180" w:lineRule="exact"/>
              <w:rPr>
                <w:i w:val="0"/>
                <w:sz w:val="17"/>
              </w:rPr>
            </w:pPr>
            <w:r>
              <w:rPr>
                <w:i w:val="0"/>
                <w:sz w:val="17"/>
              </w:rPr>
              <w:t>18,6</w:t>
            </w:r>
          </w:p>
        </w:tc>
      </w:tr>
      <w:tr w:rsidR="00000000">
        <w:tblPrEx>
          <w:tblCellMar>
            <w:top w:w="0" w:type="dxa"/>
            <w:bottom w:w="0" w:type="dxa"/>
          </w:tblCellMar>
        </w:tblPrEx>
        <w:tc>
          <w:tcPr>
            <w:tcW w:w="1701" w:type="dxa"/>
          </w:tcPr>
          <w:p w:rsidR="00000000" w:rsidRDefault="00000000">
            <w:pPr>
              <w:pStyle w:val="BodyText2"/>
              <w:keepNext/>
              <w:spacing w:before="40" w:after="40" w:line="180" w:lineRule="exact"/>
              <w:rPr>
                <w:i w:val="0"/>
                <w:sz w:val="17"/>
              </w:rPr>
            </w:pPr>
            <w:r>
              <w:rPr>
                <w:i w:val="0"/>
                <w:sz w:val="17"/>
              </w:rPr>
              <w:t>Получение свид</w:t>
            </w:r>
            <w:r>
              <w:rPr>
                <w:i w:val="0"/>
                <w:sz w:val="17"/>
              </w:rPr>
              <w:t>е</w:t>
            </w:r>
            <w:r>
              <w:rPr>
                <w:i w:val="0"/>
                <w:sz w:val="17"/>
              </w:rPr>
              <w:t>тельства</w:t>
            </w:r>
          </w:p>
        </w:tc>
        <w:tc>
          <w:tcPr>
            <w:tcW w:w="1417" w:type="dxa"/>
          </w:tcPr>
          <w:p w:rsidR="00000000" w:rsidRDefault="00000000">
            <w:pPr>
              <w:pStyle w:val="BodyText2"/>
              <w:keepNext/>
              <w:tabs>
                <w:tab w:val="decimal" w:pos="601"/>
              </w:tabs>
              <w:spacing w:before="40" w:after="40" w:line="180" w:lineRule="exact"/>
              <w:rPr>
                <w:i w:val="0"/>
                <w:sz w:val="17"/>
              </w:rPr>
            </w:pPr>
            <w:r>
              <w:rPr>
                <w:i w:val="0"/>
                <w:sz w:val="17"/>
              </w:rPr>
              <w:t>1503</w:t>
            </w:r>
          </w:p>
        </w:tc>
        <w:tc>
          <w:tcPr>
            <w:tcW w:w="1418" w:type="dxa"/>
          </w:tcPr>
          <w:p w:rsidR="00000000" w:rsidRDefault="00000000">
            <w:pPr>
              <w:pStyle w:val="BodyText2"/>
              <w:keepNext/>
              <w:tabs>
                <w:tab w:val="decimal" w:pos="601"/>
              </w:tabs>
              <w:spacing w:before="40" w:after="40" w:line="180" w:lineRule="exact"/>
              <w:rPr>
                <w:i w:val="0"/>
                <w:sz w:val="17"/>
              </w:rPr>
            </w:pPr>
            <w:r>
              <w:rPr>
                <w:i w:val="0"/>
                <w:sz w:val="17"/>
              </w:rPr>
              <w:t>52,6</w:t>
            </w:r>
          </w:p>
        </w:tc>
        <w:tc>
          <w:tcPr>
            <w:tcW w:w="1417" w:type="dxa"/>
          </w:tcPr>
          <w:p w:rsidR="00000000" w:rsidRDefault="00000000">
            <w:pPr>
              <w:pStyle w:val="BodyText2"/>
              <w:keepNext/>
              <w:tabs>
                <w:tab w:val="decimal" w:pos="601"/>
              </w:tabs>
              <w:spacing w:before="40" w:after="40" w:line="180" w:lineRule="exact"/>
              <w:rPr>
                <w:i w:val="0"/>
                <w:sz w:val="17"/>
              </w:rPr>
            </w:pPr>
            <w:r>
              <w:rPr>
                <w:i w:val="0"/>
                <w:sz w:val="17"/>
              </w:rPr>
              <w:t>2330</w:t>
            </w:r>
          </w:p>
        </w:tc>
        <w:tc>
          <w:tcPr>
            <w:tcW w:w="1418" w:type="dxa"/>
          </w:tcPr>
          <w:p w:rsidR="00000000" w:rsidRDefault="00000000">
            <w:pPr>
              <w:pStyle w:val="BodyText2"/>
              <w:keepNext/>
              <w:tabs>
                <w:tab w:val="decimal" w:pos="601"/>
              </w:tabs>
              <w:spacing w:before="40" w:after="40" w:line="180" w:lineRule="exact"/>
              <w:rPr>
                <w:i w:val="0"/>
                <w:sz w:val="17"/>
              </w:rPr>
            </w:pPr>
            <w:r>
              <w:rPr>
                <w:i w:val="0"/>
                <w:sz w:val="17"/>
              </w:rPr>
              <w:t>46,6</w:t>
            </w:r>
          </w:p>
        </w:tc>
      </w:tr>
      <w:tr w:rsidR="00000000">
        <w:tblPrEx>
          <w:tblCellMar>
            <w:top w:w="0" w:type="dxa"/>
            <w:bottom w:w="0" w:type="dxa"/>
          </w:tblCellMar>
        </w:tblPrEx>
        <w:tc>
          <w:tcPr>
            <w:tcW w:w="1701" w:type="dxa"/>
            <w:tcBorders>
              <w:bottom w:val="single" w:sz="12" w:space="0" w:color="auto"/>
            </w:tcBorders>
          </w:tcPr>
          <w:p w:rsidR="00000000" w:rsidRDefault="00000000">
            <w:pPr>
              <w:pStyle w:val="BodyText2"/>
              <w:keepNext/>
              <w:spacing w:before="40" w:after="40" w:line="180" w:lineRule="exact"/>
              <w:rPr>
                <w:b/>
                <w:i w:val="0"/>
                <w:sz w:val="17"/>
              </w:rPr>
            </w:pPr>
            <w:r>
              <w:rPr>
                <w:b/>
                <w:i w:val="0"/>
                <w:sz w:val="17"/>
              </w:rPr>
              <w:t>Всего</w:t>
            </w:r>
          </w:p>
        </w:tc>
        <w:tc>
          <w:tcPr>
            <w:tcW w:w="1417" w:type="dxa"/>
            <w:tcBorders>
              <w:bottom w:val="single" w:sz="12" w:space="0" w:color="auto"/>
            </w:tcBorders>
          </w:tcPr>
          <w:p w:rsidR="00000000" w:rsidRDefault="00000000">
            <w:pPr>
              <w:pStyle w:val="BodyText2"/>
              <w:keepNext/>
              <w:tabs>
                <w:tab w:val="decimal" w:pos="601"/>
              </w:tabs>
              <w:spacing w:before="40" w:after="40" w:line="180" w:lineRule="exact"/>
              <w:rPr>
                <w:b/>
                <w:i w:val="0"/>
                <w:sz w:val="17"/>
              </w:rPr>
            </w:pPr>
            <w:r>
              <w:rPr>
                <w:b/>
                <w:i w:val="0"/>
                <w:sz w:val="17"/>
              </w:rPr>
              <w:t>2860</w:t>
            </w:r>
          </w:p>
        </w:tc>
        <w:tc>
          <w:tcPr>
            <w:tcW w:w="1418" w:type="dxa"/>
            <w:tcBorders>
              <w:bottom w:val="single" w:sz="12" w:space="0" w:color="auto"/>
            </w:tcBorders>
          </w:tcPr>
          <w:p w:rsidR="00000000" w:rsidRDefault="00000000">
            <w:pPr>
              <w:pStyle w:val="BodyText2"/>
              <w:keepNext/>
              <w:tabs>
                <w:tab w:val="decimal" w:pos="601"/>
              </w:tabs>
              <w:spacing w:before="40" w:after="40" w:line="180" w:lineRule="exact"/>
              <w:rPr>
                <w:b/>
                <w:i w:val="0"/>
                <w:sz w:val="17"/>
              </w:rPr>
            </w:pPr>
            <w:r>
              <w:rPr>
                <w:b/>
                <w:i w:val="0"/>
                <w:sz w:val="17"/>
              </w:rPr>
              <w:t>100</w:t>
            </w:r>
          </w:p>
        </w:tc>
        <w:tc>
          <w:tcPr>
            <w:tcW w:w="1417" w:type="dxa"/>
            <w:tcBorders>
              <w:bottom w:val="single" w:sz="12" w:space="0" w:color="auto"/>
            </w:tcBorders>
          </w:tcPr>
          <w:p w:rsidR="00000000" w:rsidRDefault="00000000">
            <w:pPr>
              <w:pStyle w:val="BodyText2"/>
              <w:keepNext/>
              <w:tabs>
                <w:tab w:val="decimal" w:pos="601"/>
              </w:tabs>
              <w:spacing w:before="40" w:after="40" w:line="180" w:lineRule="exact"/>
              <w:rPr>
                <w:b/>
                <w:i w:val="0"/>
                <w:sz w:val="17"/>
              </w:rPr>
            </w:pPr>
            <w:r>
              <w:rPr>
                <w:b/>
                <w:i w:val="0"/>
                <w:sz w:val="17"/>
              </w:rPr>
              <w:t>4999</w:t>
            </w:r>
          </w:p>
        </w:tc>
        <w:tc>
          <w:tcPr>
            <w:tcW w:w="1418" w:type="dxa"/>
            <w:tcBorders>
              <w:bottom w:val="single" w:sz="12" w:space="0" w:color="auto"/>
            </w:tcBorders>
          </w:tcPr>
          <w:p w:rsidR="00000000" w:rsidRDefault="00000000">
            <w:pPr>
              <w:pStyle w:val="BodyText2"/>
              <w:keepNext/>
              <w:tabs>
                <w:tab w:val="decimal" w:pos="601"/>
              </w:tabs>
              <w:spacing w:before="40" w:after="40" w:line="180" w:lineRule="exact"/>
              <w:rPr>
                <w:b/>
                <w:i w:val="0"/>
                <w:sz w:val="17"/>
              </w:rPr>
            </w:pPr>
            <w:r>
              <w:rPr>
                <w:b/>
                <w:i w:val="0"/>
                <w:sz w:val="17"/>
              </w:rPr>
              <w:t>100</w:t>
            </w:r>
          </w:p>
        </w:tc>
      </w:tr>
    </w:tbl>
    <w:p w:rsidR="00000000" w:rsidRDefault="00000000">
      <w:pPr>
        <w:pStyle w:val="SingleTxt"/>
        <w:ind w:firstLine="0"/>
      </w:pPr>
      <w:r>
        <w:rPr>
          <w:i/>
        </w:rPr>
        <w:t>Источник</w:t>
      </w:r>
      <w:r>
        <w:t>: Министерство образования, 2001 год</w:t>
      </w:r>
    </w:p>
    <w:p w:rsidR="00000000" w:rsidRDefault="00000000">
      <w:pPr>
        <w:pStyle w:val="SingleTxt"/>
      </w:pPr>
      <w:r>
        <w:tab/>
        <w:t>В 2000 году женщины были перепредставлены в областях медицины и здравоохранения, социальной психологии и межличностного общения, а также в области образования. С дугой стороны, они были недостаточно представлены в сфере транспорта и связи, машиностроения, промышленного производства и ку</w:t>
      </w:r>
      <w:r>
        <w:t>с</w:t>
      </w:r>
      <w:r>
        <w:t>тарного промысла.</w:t>
      </w:r>
    </w:p>
    <w:p w:rsidR="00000000" w:rsidRDefault="00000000">
      <w:pPr>
        <w:pStyle w:val="H4"/>
      </w:pPr>
      <w:r>
        <w:t>Женщины-маори</w:t>
      </w:r>
    </w:p>
    <w:p w:rsidR="00000000" w:rsidRDefault="00000000">
      <w:pPr>
        <w:pStyle w:val="SingleTxt"/>
      </w:pPr>
      <w:r>
        <w:tab/>
        <w:t>Правительство стремится снизить неравенство в образовании между ма</w:t>
      </w:r>
      <w:r>
        <w:t>о</w:t>
      </w:r>
      <w:r>
        <w:t>ри и другими национальностями, и приступило к работе над этим вопросом в 2000 году, подготовив стратегию образования маори. Для улучшения поддер</w:t>
      </w:r>
      <w:r>
        <w:t>ж</w:t>
      </w:r>
      <w:r>
        <w:t>ки и обслуживания учащихся из числа маори были приняты меры по финанс</w:t>
      </w:r>
      <w:r>
        <w:t>и</w:t>
      </w:r>
      <w:r>
        <w:t>рованию ВУЗов. Цель финансирования – повысить показатели завершения уч</w:t>
      </w:r>
      <w:r>
        <w:t>е</w:t>
      </w:r>
      <w:r>
        <w:t>бы и успеваемости маори с тем, чтобы обеспечить получение ими высшего о</w:t>
      </w:r>
      <w:r>
        <w:t>б</w:t>
      </w:r>
      <w:r>
        <w:t>разования.</w:t>
      </w:r>
    </w:p>
    <w:p w:rsidR="00000000" w:rsidRDefault="00000000">
      <w:pPr>
        <w:pStyle w:val="H4"/>
      </w:pPr>
      <w:r>
        <w:t>Женщины тихоокеанских народностей</w:t>
      </w:r>
    </w:p>
    <w:p w:rsidR="00000000" w:rsidRDefault="00000000">
      <w:pPr>
        <w:pStyle w:val="SingleTxt"/>
      </w:pPr>
      <w:r>
        <w:tab/>
        <w:t>Правительство стремится сократить неравенство в области образования между народами пасифика и другими народами, и в 2000 году оно приступило к работе над этим вопросом, подготовив план образования народов пасифика. Для улучшения поддержки и обслуживания учащихся из числа пасифика были приняты меры по финансированию ВУЗов. Цель финансирования – повысить показатели завершения учебы и успеваемости пасифика с тем, чтобы обесп</w:t>
      </w:r>
      <w:r>
        <w:t>е</w:t>
      </w:r>
      <w:r>
        <w:t>чить получение ими высшего образования.</w:t>
      </w:r>
    </w:p>
    <w:p w:rsidR="00000000" w:rsidRDefault="00000000">
      <w:pPr>
        <w:pStyle w:val="H4"/>
      </w:pPr>
      <w:r>
        <w:t>Финансовая помощь студентам ВУЗов</w:t>
      </w:r>
    </w:p>
    <w:p w:rsidR="00000000" w:rsidRDefault="00000000">
      <w:pPr>
        <w:pStyle w:val="SingleTxt"/>
      </w:pPr>
      <w:r>
        <w:t>Расходы на высшее образование субсидируются правительством. Кроме того, студенты очных отделений из малообеспеченных семей (т.е. студенты, к</w:t>
      </w:r>
      <w:r>
        <w:t>о</w:t>
      </w:r>
      <w:r>
        <w:t>торые не в состоянии материально обеспечить себя или полагаются только на помощь родителей) имеют право на студенческие пособия. В 1992 году был принят план кредитования студентов, предусматривающий предоставление им ссуд для покрытия расходов на учебу и проживание. План кредитования ст</w:t>
      </w:r>
      <w:r>
        <w:t>у</w:t>
      </w:r>
      <w:r>
        <w:t>дентов обеспечивает материальную поддержку всем, кто хочет занять деньги на получение высшего образования. Новая Зеландия относится к числу тех немн</w:t>
      </w:r>
      <w:r>
        <w:t>о</w:t>
      </w:r>
      <w:r>
        <w:t>гих стран, где финансирование определяется спросом. Поэтому показатели учебы в ВУЗах в целом и среди женщин, в частности, весьма высоки по ме</w:t>
      </w:r>
      <w:r>
        <w:t>ж</w:t>
      </w:r>
      <w:r>
        <w:t>дународным стандартам. В настоящее время женщины составляют 57 процентов всех студентов новозеландских ВУЗов.</w:t>
      </w:r>
    </w:p>
    <w:p w:rsidR="00000000" w:rsidRDefault="00000000">
      <w:pPr>
        <w:pStyle w:val="SingleTxt"/>
      </w:pPr>
      <w:r>
        <w:t>Поскольку наиболее высокий разрыв в платежеспособности наблюдается между женщинами и мужчинами с высшим образованием, женщинам, как пр</w:t>
      </w:r>
      <w:r>
        <w:t>а</w:t>
      </w:r>
      <w:r>
        <w:t>вило, требуется больше времени на погашение студенческих ссуд, чем мужч</w:t>
      </w:r>
      <w:r>
        <w:t>и</w:t>
      </w:r>
      <w:r>
        <w:t>нам. Министерство образования рассчитало следующие примерные сроки п</w:t>
      </w:r>
      <w:r>
        <w:t>о</w:t>
      </w:r>
      <w:r>
        <w:t>гашения ссуд:</w:t>
      </w:r>
    </w:p>
    <w:p w:rsidR="00000000" w:rsidRDefault="00000000">
      <w:pPr>
        <w:pStyle w:val="SingleTxt"/>
        <w:keepNext/>
        <w:ind w:firstLine="0"/>
        <w:rPr>
          <w:b/>
        </w:rPr>
      </w:pPr>
      <w:r>
        <w:rPr>
          <w:b/>
        </w:rPr>
        <w:t>Таблица 4: средний срок погашения, 2002 год</w:t>
      </w:r>
    </w:p>
    <w:tbl>
      <w:tblPr>
        <w:tblW w:w="0" w:type="auto"/>
        <w:tblInd w:w="1278" w:type="dxa"/>
        <w:tblLayout w:type="fixed"/>
        <w:tblLook w:val="0000" w:firstRow="0" w:lastRow="0" w:firstColumn="0" w:lastColumn="0" w:noHBand="0" w:noVBand="0"/>
      </w:tblPr>
      <w:tblGrid>
        <w:gridCol w:w="1985"/>
        <w:gridCol w:w="1795"/>
        <w:gridCol w:w="1795"/>
        <w:gridCol w:w="1796"/>
      </w:tblGrid>
      <w:tr w:rsidR="00000000">
        <w:tblPrEx>
          <w:tblCellMar>
            <w:top w:w="0" w:type="dxa"/>
            <w:bottom w:w="0" w:type="dxa"/>
          </w:tblCellMar>
        </w:tblPrEx>
        <w:trPr>
          <w:tblHeader/>
        </w:trPr>
        <w:tc>
          <w:tcPr>
            <w:tcW w:w="1985" w:type="dxa"/>
            <w:tcBorders>
              <w:top w:val="single" w:sz="6" w:space="0" w:color="auto"/>
              <w:bottom w:val="single" w:sz="12" w:space="0" w:color="auto"/>
            </w:tcBorders>
          </w:tcPr>
          <w:p w:rsidR="00000000" w:rsidRDefault="00000000">
            <w:pPr>
              <w:pStyle w:val="BodyText2"/>
              <w:keepNext/>
              <w:spacing w:before="40" w:after="40" w:line="180" w:lineRule="exact"/>
              <w:rPr>
                <w:sz w:val="17"/>
              </w:rPr>
            </w:pPr>
            <w:r>
              <w:rPr>
                <w:sz w:val="17"/>
              </w:rPr>
              <w:t xml:space="preserve">Средний срок </w:t>
            </w:r>
            <w:r>
              <w:rPr>
                <w:sz w:val="17"/>
              </w:rPr>
              <w:br/>
              <w:t>погаш</w:t>
            </w:r>
            <w:r>
              <w:rPr>
                <w:sz w:val="17"/>
              </w:rPr>
              <w:t>е</w:t>
            </w:r>
            <w:r>
              <w:rPr>
                <w:sz w:val="17"/>
              </w:rPr>
              <w:t>ния (в годах)</w:t>
            </w:r>
          </w:p>
        </w:tc>
        <w:tc>
          <w:tcPr>
            <w:tcW w:w="1795" w:type="dxa"/>
            <w:tcBorders>
              <w:top w:val="single" w:sz="6" w:space="0" w:color="auto"/>
              <w:bottom w:val="single" w:sz="12" w:space="0" w:color="auto"/>
            </w:tcBorders>
            <w:vAlign w:val="center"/>
          </w:tcPr>
          <w:p w:rsidR="00000000" w:rsidRDefault="00000000">
            <w:pPr>
              <w:pStyle w:val="BodyText2"/>
              <w:keepNext/>
              <w:spacing w:before="40" w:after="40" w:line="180" w:lineRule="exact"/>
              <w:jc w:val="center"/>
              <w:rPr>
                <w:sz w:val="17"/>
              </w:rPr>
            </w:pPr>
            <w:r>
              <w:rPr>
                <w:sz w:val="17"/>
              </w:rPr>
              <w:t>Мужчины</w:t>
            </w:r>
          </w:p>
        </w:tc>
        <w:tc>
          <w:tcPr>
            <w:tcW w:w="1795" w:type="dxa"/>
            <w:tcBorders>
              <w:top w:val="single" w:sz="6" w:space="0" w:color="auto"/>
              <w:bottom w:val="single" w:sz="12" w:space="0" w:color="auto"/>
            </w:tcBorders>
            <w:vAlign w:val="center"/>
          </w:tcPr>
          <w:p w:rsidR="00000000" w:rsidRDefault="00000000">
            <w:pPr>
              <w:pStyle w:val="BodyText2"/>
              <w:keepNext/>
              <w:spacing w:before="40" w:after="40" w:line="180" w:lineRule="exact"/>
              <w:jc w:val="center"/>
              <w:rPr>
                <w:sz w:val="17"/>
              </w:rPr>
            </w:pPr>
            <w:r>
              <w:rPr>
                <w:sz w:val="17"/>
              </w:rPr>
              <w:t>Женщины</w:t>
            </w:r>
          </w:p>
        </w:tc>
        <w:tc>
          <w:tcPr>
            <w:tcW w:w="1796" w:type="dxa"/>
            <w:tcBorders>
              <w:top w:val="single" w:sz="6" w:space="0" w:color="auto"/>
              <w:bottom w:val="single" w:sz="12" w:space="0" w:color="auto"/>
            </w:tcBorders>
            <w:vAlign w:val="center"/>
          </w:tcPr>
          <w:p w:rsidR="00000000" w:rsidRDefault="00000000">
            <w:pPr>
              <w:pStyle w:val="BodyText2"/>
              <w:keepNext/>
              <w:spacing w:before="40" w:after="40" w:line="180" w:lineRule="exact"/>
              <w:jc w:val="center"/>
              <w:rPr>
                <w:sz w:val="17"/>
              </w:rPr>
            </w:pPr>
            <w:r>
              <w:rPr>
                <w:sz w:val="17"/>
              </w:rPr>
              <w:t>Общий показатель</w:t>
            </w:r>
          </w:p>
        </w:tc>
      </w:tr>
      <w:tr w:rsidR="00000000">
        <w:tblPrEx>
          <w:tblCellMar>
            <w:top w:w="0" w:type="dxa"/>
            <w:bottom w:w="0" w:type="dxa"/>
          </w:tblCellMar>
        </w:tblPrEx>
        <w:tc>
          <w:tcPr>
            <w:tcW w:w="1985" w:type="dxa"/>
            <w:tcBorders>
              <w:top w:val="single" w:sz="12" w:space="0" w:color="auto"/>
            </w:tcBorders>
          </w:tcPr>
          <w:p w:rsidR="00000000" w:rsidRDefault="00000000">
            <w:pPr>
              <w:pStyle w:val="BodyText2"/>
              <w:keepNext/>
              <w:spacing w:before="40" w:after="40" w:line="180" w:lineRule="exact"/>
              <w:rPr>
                <w:i w:val="0"/>
                <w:sz w:val="17"/>
              </w:rPr>
            </w:pPr>
            <w:r>
              <w:rPr>
                <w:i w:val="0"/>
                <w:sz w:val="17"/>
              </w:rPr>
              <w:t>Европейцы</w:t>
            </w:r>
          </w:p>
        </w:tc>
        <w:tc>
          <w:tcPr>
            <w:tcW w:w="1795" w:type="dxa"/>
            <w:tcBorders>
              <w:top w:val="single" w:sz="12" w:space="0" w:color="auto"/>
            </w:tcBorders>
          </w:tcPr>
          <w:p w:rsidR="00000000" w:rsidRDefault="00000000">
            <w:pPr>
              <w:pStyle w:val="BodyText2"/>
              <w:keepNext/>
              <w:tabs>
                <w:tab w:val="decimal" w:pos="742"/>
              </w:tabs>
              <w:spacing w:before="40" w:after="40" w:line="180" w:lineRule="exact"/>
              <w:rPr>
                <w:i w:val="0"/>
                <w:sz w:val="17"/>
              </w:rPr>
            </w:pPr>
            <w:r>
              <w:rPr>
                <w:i w:val="0"/>
                <w:sz w:val="17"/>
              </w:rPr>
              <w:t>7,5</w:t>
            </w:r>
          </w:p>
        </w:tc>
        <w:tc>
          <w:tcPr>
            <w:tcW w:w="1795" w:type="dxa"/>
            <w:tcBorders>
              <w:top w:val="single" w:sz="12" w:space="0" w:color="auto"/>
            </w:tcBorders>
          </w:tcPr>
          <w:p w:rsidR="00000000" w:rsidRDefault="00000000">
            <w:pPr>
              <w:pStyle w:val="BodyText2"/>
              <w:keepNext/>
              <w:tabs>
                <w:tab w:val="decimal" w:pos="742"/>
              </w:tabs>
              <w:spacing w:before="40" w:after="40" w:line="180" w:lineRule="exact"/>
              <w:rPr>
                <w:i w:val="0"/>
                <w:sz w:val="17"/>
              </w:rPr>
            </w:pPr>
            <w:r>
              <w:rPr>
                <w:i w:val="0"/>
                <w:sz w:val="17"/>
              </w:rPr>
              <w:t>11,6</w:t>
            </w:r>
          </w:p>
        </w:tc>
        <w:tc>
          <w:tcPr>
            <w:tcW w:w="1796" w:type="dxa"/>
            <w:tcBorders>
              <w:top w:val="single" w:sz="12" w:space="0" w:color="auto"/>
            </w:tcBorders>
          </w:tcPr>
          <w:p w:rsidR="00000000" w:rsidRDefault="00000000">
            <w:pPr>
              <w:pStyle w:val="BodyText2"/>
              <w:keepNext/>
              <w:tabs>
                <w:tab w:val="decimal" w:pos="742"/>
              </w:tabs>
              <w:spacing w:before="40" w:after="40" w:line="180" w:lineRule="exact"/>
              <w:rPr>
                <w:i w:val="0"/>
                <w:sz w:val="17"/>
              </w:rPr>
            </w:pPr>
            <w:r>
              <w:rPr>
                <w:i w:val="0"/>
                <w:sz w:val="17"/>
              </w:rPr>
              <w:t>9,7</w:t>
            </w:r>
          </w:p>
        </w:tc>
      </w:tr>
      <w:tr w:rsidR="00000000">
        <w:tblPrEx>
          <w:tblCellMar>
            <w:top w:w="0" w:type="dxa"/>
            <w:bottom w:w="0" w:type="dxa"/>
          </w:tblCellMar>
        </w:tblPrEx>
        <w:tc>
          <w:tcPr>
            <w:tcW w:w="1985" w:type="dxa"/>
          </w:tcPr>
          <w:p w:rsidR="00000000" w:rsidRDefault="00000000">
            <w:pPr>
              <w:pStyle w:val="BodyText2"/>
              <w:keepNext/>
              <w:spacing w:before="40" w:after="40" w:line="180" w:lineRule="exact"/>
              <w:rPr>
                <w:i w:val="0"/>
                <w:sz w:val="17"/>
              </w:rPr>
            </w:pPr>
            <w:r>
              <w:rPr>
                <w:i w:val="0"/>
                <w:sz w:val="17"/>
              </w:rPr>
              <w:t>Маори</w:t>
            </w:r>
          </w:p>
        </w:tc>
        <w:tc>
          <w:tcPr>
            <w:tcW w:w="1795" w:type="dxa"/>
          </w:tcPr>
          <w:p w:rsidR="00000000" w:rsidRDefault="00000000">
            <w:pPr>
              <w:pStyle w:val="BodyText2"/>
              <w:keepNext/>
              <w:tabs>
                <w:tab w:val="decimal" w:pos="742"/>
              </w:tabs>
              <w:spacing w:before="40" w:after="40" w:line="180" w:lineRule="exact"/>
              <w:rPr>
                <w:i w:val="0"/>
                <w:sz w:val="17"/>
              </w:rPr>
            </w:pPr>
            <w:r>
              <w:rPr>
                <w:i w:val="0"/>
                <w:sz w:val="17"/>
              </w:rPr>
              <w:t>8,0</w:t>
            </w:r>
          </w:p>
        </w:tc>
        <w:tc>
          <w:tcPr>
            <w:tcW w:w="1795" w:type="dxa"/>
          </w:tcPr>
          <w:p w:rsidR="00000000" w:rsidRDefault="00000000">
            <w:pPr>
              <w:pStyle w:val="BodyText2"/>
              <w:keepNext/>
              <w:tabs>
                <w:tab w:val="decimal" w:pos="742"/>
              </w:tabs>
              <w:spacing w:before="40" w:after="40" w:line="180" w:lineRule="exact"/>
              <w:rPr>
                <w:i w:val="0"/>
                <w:sz w:val="17"/>
              </w:rPr>
            </w:pPr>
            <w:r>
              <w:rPr>
                <w:i w:val="0"/>
                <w:sz w:val="17"/>
              </w:rPr>
              <w:t>116</w:t>
            </w:r>
          </w:p>
        </w:tc>
        <w:tc>
          <w:tcPr>
            <w:tcW w:w="1796" w:type="dxa"/>
          </w:tcPr>
          <w:p w:rsidR="00000000" w:rsidRDefault="00000000">
            <w:pPr>
              <w:pStyle w:val="BodyText2"/>
              <w:keepNext/>
              <w:tabs>
                <w:tab w:val="decimal" w:pos="742"/>
              </w:tabs>
              <w:spacing w:before="40" w:after="40" w:line="180" w:lineRule="exact"/>
              <w:rPr>
                <w:i w:val="0"/>
                <w:sz w:val="17"/>
              </w:rPr>
            </w:pPr>
            <w:r>
              <w:rPr>
                <w:i w:val="0"/>
                <w:sz w:val="17"/>
              </w:rPr>
              <w:t>10,1</w:t>
            </w:r>
          </w:p>
        </w:tc>
      </w:tr>
      <w:tr w:rsidR="00000000">
        <w:tblPrEx>
          <w:tblCellMar>
            <w:top w:w="0" w:type="dxa"/>
            <w:bottom w:w="0" w:type="dxa"/>
          </w:tblCellMar>
        </w:tblPrEx>
        <w:tc>
          <w:tcPr>
            <w:tcW w:w="1985" w:type="dxa"/>
          </w:tcPr>
          <w:p w:rsidR="00000000" w:rsidRDefault="00000000">
            <w:pPr>
              <w:pStyle w:val="BodyText2"/>
              <w:keepNext/>
              <w:spacing w:before="40" w:after="40" w:line="180" w:lineRule="exact"/>
              <w:rPr>
                <w:i w:val="0"/>
                <w:sz w:val="17"/>
              </w:rPr>
            </w:pPr>
            <w:r>
              <w:rPr>
                <w:i w:val="0"/>
                <w:sz w:val="17"/>
              </w:rPr>
              <w:t>Прочие</w:t>
            </w:r>
          </w:p>
        </w:tc>
        <w:tc>
          <w:tcPr>
            <w:tcW w:w="1795" w:type="dxa"/>
          </w:tcPr>
          <w:p w:rsidR="00000000" w:rsidRDefault="00000000">
            <w:pPr>
              <w:pStyle w:val="BodyText2"/>
              <w:keepNext/>
              <w:tabs>
                <w:tab w:val="decimal" w:pos="742"/>
              </w:tabs>
              <w:spacing w:before="40" w:after="40" w:line="180" w:lineRule="exact"/>
              <w:rPr>
                <w:i w:val="0"/>
                <w:sz w:val="17"/>
              </w:rPr>
            </w:pPr>
            <w:r>
              <w:rPr>
                <w:i w:val="0"/>
                <w:sz w:val="17"/>
              </w:rPr>
              <w:t>9,7</w:t>
            </w:r>
          </w:p>
        </w:tc>
        <w:tc>
          <w:tcPr>
            <w:tcW w:w="1795" w:type="dxa"/>
          </w:tcPr>
          <w:p w:rsidR="00000000" w:rsidRDefault="00000000">
            <w:pPr>
              <w:pStyle w:val="BodyText2"/>
              <w:keepNext/>
              <w:tabs>
                <w:tab w:val="decimal" w:pos="742"/>
              </w:tabs>
              <w:spacing w:before="40" w:after="40" w:line="180" w:lineRule="exact"/>
              <w:rPr>
                <w:i w:val="0"/>
                <w:sz w:val="17"/>
              </w:rPr>
            </w:pPr>
            <w:r>
              <w:rPr>
                <w:i w:val="0"/>
                <w:sz w:val="17"/>
              </w:rPr>
              <w:t>13,9</w:t>
            </w:r>
          </w:p>
        </w:tc>
        <w:tc>
          <w:tcPr>
            <w:tcW w:w="1796" w:type="dxa"/>
          </w:tcPr>
          <w:p w:rsidR="00000000" w:rsidRDefault="00000000">
            <w:pPr>
              <w:pStyle w:val="BodyText2"/>
              <w:keepNext/>
              <w:tabs>
                <w:tab w:val="decimal" w:pos="742"/>
              </w:tabs>
              <w:spacing w:before="40" w:after="40" w:line="180" w:lineRule="exact"/>
              <w:rPr>
                <w:i w:val="0"/>
                <w:sz w:val="17"/>
              </w:rPr>
            </w:pPr>
            <w:r>
              <w:rPr>
                <w:i w:val="0"/>
                <w:sz w:val="17"/>
              </w:rPr>
              <w:t>12,0</w:t>
            </w:r>
          </w:p>
        </w:tc>
      </w:tr>
      <w:tr w:rsidR="00000000">
        <w:tblPrEx>
          <w:tblCellMar>
            <w:top w:w="0" w:type="dxa"/>
            <w:bottom w:w="0" w:type="dxa"/>
          </w:tblCellMar>
        </w:tblPrEx>
        <w:tc>
          <w:tcPr>
            <w:tcW w:w="1985" w:type="dxa"/>
            <w:tcBorders>
              <w:bottom w:val="single" w:sz="12" w:space="0" w:color="auto"/>
            </w:tcBorders>
          </w:tcPr>
          <w:p w:rsidR="00000000" w:rsidRDefault="00000000">
            <w:pPr>
              <w:pStyle w:val="BodyText2"/>
              <w:keepNext/>
              <w:spacing w:before="40" w:after="40" w:line="180" w:lineRule="exact"/>
              <w:rPr>
                <w:b/>
                <w:i w:val="0"/>
                <w:sz w:val="17"/>
              </w:rPr>
            </w:pPr>
            <w:r>
              <w:rPr>
                <w:b/>
                <w:i w:val="0"/>
                <w:sz w:val="17"/>
              </w:rPr>
              <w:t>Все группы</w:t>
            </w:r>
          </w:p>
        </w:tc>
        <w:tc>
          <w:tcPr>
            <w:tcW w:w="1795" w:type="dxa"/>
            <w:tcBorders>
              <w:bottom w:val="single" w:sz="12" w:space="0" w:color="auto"/>
            </w:tcBorders>
          </w:tcPr>
          <w:p w:rsidR="00000000" w:rsidRDefault="00000000">
            <w:pPr>
              <w:pStyle w:val="BodyText2"/>
              <w:keepNext/>
              <w:tabs>
                <w:tab w:val="decimal" w:pos="742"/>
              </w:tabs>
              <w:spacing w:before="40" w:after="40" w:line="180" w:lineRule="exact"/>
              <w:rPr>
                <w:b/>
                <w:i w:val="0"/>
                <w:sz w:val="17"/>
              </w:rPr>
            </w:pPr>
            <w:r>
              <w:rPr>
                <w:b/>
                <w:i w:val="0"/>
                <w:sz w:val="17"/>
              </w:rPr>
              <w:t>8,0</w:t>
            </w:r>
          </w:p>
        </w:tc>
        <w:tc>
          <w:tcPr>
            <w:tcW w:w="1795" w:type="dxa"/>
            <w:tcBorders>
              <w:bottom w:val="single" w:sz="12" w:space="0" w:color="auto"/>
            </w:tcBorders>
          </w:tcPr>
          <w:p w:rsidR="00000000" w:rsidRDefault="00000000">
            <w:pPr>
              <w:pStyle w:val="BodyText2"/>
              <w:keepNext/>
              <w:tabs>
                <w:tab w:val="decimal" w:pos="742"/>
              </w:tabs>
              <w:spacing w:before="40" w:after="40" w:line="180" w:lineRule="exact"/>
              <w:rPr>
                <w:b/>
                <w:i w:val="0"/>
                <w:sz w:val="17"/>
              </w:rPr>
            </w:pPr>
            <w:r>
              <w:rPr>
                <w:b/>
                <w:i w:val="0"/>
                <w:sz w:val="17"/>
              </w:rPr>
              <w:t>12,0</w:t>
            </w:r>
          </w:p>
        </w:tc>
        <w:tc>
          <w:tcPr>
            <w:tcW w:w="1796" w:type="dxa"/>
            <w:tcBorders>
              <w:bottom w:val="single" w:sz="12" w:space="0" w:color="auto"/>
            </w:tcBorders>
          </w:tcPr>
          <w:p w:rsidR="00000000" w:rsidRDefault="00000000">
            <w:pPr>
              <w:pStyle w:val="BodyText2"/>
              <w:keepNext/>
              <w:tabs>
                <w:tab w:val="decimal" w:pos="742"/>
              </w:tabs>
              <w:spacing w:before="40" w:after="40" w:line="180" w:lineRule="exact"/>
              <w:rPr>
                <w:b/>
                <w:i w:val="0"/>
                <w:sz w:val="17"/>
              </w:rPr>
            </w:pPr>
            <w:r>
              <w:rPr>
                <w:b/>
                <w:i w:val="0"/>
                <w:sz w:val="17"/>
              </w:rPr>
              <w:t>10,3</w:t>
            </w:r>
          </w:p>
        </w:tc>
      </w:tr>
    </w:tbl>
    <w:p w:rsidR="00000000" w:rsidRDefault="00000000">
      <w:pPr>
        <w:pStyle w:val="SingleTxt"/>
        <w:ind w:firstLine="0"/>
      </w:pPr>
      <w:r>
        <w:rPr>
          <w:i/>
        </w:rPr>
        <w:t>Источник</w:t>
      </w:r>
      <w:r>
        <w:t>: Министерство образования, 2002 год</w:t>
      </w:r>
    </w:p>
    <w:p w:rsidR="00000000" w:rsidRDefault="00000000">
      <w:pPr>
        <w:pStyle w:val="SingleTxt"/>
      </w:pPr>
      <w:r>
        <w:tab/>
        <w:t>Эти обстоятельства могут создать затруднения для поступления женщин некоторых категорий в ВУЗы. Однако принцип работы Плана кредитования студентов в зависимости от доходов означает, что те, кто по уровню доходов ниже порога погашения, платить не обязаны, хотя на их долг и начисляются проценты по скорректированной на инфляцию ставке. Это положение было принято в порядке признания того, что на различных этапах своей трудовой жизни граждане, в том числе женщины, которые выбывают из рабочей силы для воспитания детей, могут испытывать трудности с платежными обязател</w:t>
      </w:r>
      <w:r>
        <w:t>ь</w:t>
      </w:r>
      <w:r>
        <w:t>ств</w:t>
      </w:r>
      <w:r>
        <w:t>а</w:t>
      </w:r>
      <w:r>
        <w:t>ми.</w:t>
      </w:r>
    </w:p>
    <w:p w:rsidR="00000000" w:rsidRDefault="00000000">
      <w:pPr>
        <w:pStyle w:val="SingleTxt"/>
      </w:pPr>
      <w:r>
        <w:tab/>
        <w:t>Трудно сравнивать процентные ставки студенческих кредитов с комме</w:t>
      </w:r>
      <w:r>
        <w:t>р</w:t>
      </w:r>
      <w:r>
        <w:t>ческими ипотечными ставками. Как правило, для ипотечного кредита требуется какое-то обеспечение. Вместе с тем студенческие кредиты ничем не обеспеч</w:t>
      </w:r>
      <w:r>
        <w:t>и</w:t>
      </w:r>
      <w:r>
        <w:t>ваются с тем, чтобы сделать их доступными для всех учащихся. Процентные ставки по таким кредитам (в настоящее время максимум 7 процентов) правил</w:t>
      </w:r>
      <w:r>
        <w:t>ь</w:t>
      </w:r>
      <w:r>
        <w:t>нее сравнивать со ставками необеспеченных личных займов, которые сейчас превышают 12 процентов. Кроме того, благодаря списанию всех процентов во время учебы и введению правительством новых положений о погашении кр</w:t>
      </w:r>
      <w:r>
        <w:t>е</w:t>
      </w:r>
      <w:r>
        <w:t>дитов, около 70 процентов студентов не платят процентных начислений в по</w:t>
      </w:r>
      <w:r>
        <w:t>л</w:t>
      </w:r>
      <w:r>
        <w:t>ном объеме.</w:t>
      </w:r>
    </w:p>
    <w:p w:rsidR="00000000" w:rsidRDefault="00000000">
      <w:pPr>
        <w:pStyle w:val="SingleTxt"/>
      </w:pPr>
      <w:r>
        <w:tab/>
        <w:t>Правительство признает необходимость получения более полной инфо</w:t>
      </w:r>
      <w:r>
        <w:t>р</w:t>
      </w:r>
      <w:r>
        <w:t>мации об эффективности Плана кредитования студентов. Министры правител</w:t>
      </w:r>
      <w:r>
        <w:t>ь</w:t>
      </w:r>
      <w:r>
        <w:t>ства Новой Зеландии поручили Статистическому бюро рассмотреть различные варианты получения таких данных. Обзор, проведенный совместно с Мин</w:t>
      </w:r>
      <w:r>
        <w:t>и</w:t>
      </w:r>
      <w:r>
        <w:t>стерством образования, показал, что комплексное объединение данных Мин</w:t>
      </w:r>
      <w:r>
        <w:t>и</w:t>
      </w:r>
      <w:r>
        <w:t>стерства образования, Министерства социального развития и внутренних дох</w:t>
      </w:r>
      <w:r>
        <w:t>о</w:t>
      </w:r>
      <w:r>
        <w:t>дов по студенческим кредитам вполне возможно и позволяет получить высок</w:t>
      </w:r>
      <w:r>
        <w:t>о</w:t>
      </w:r>
      <w:r>
        <w:t>качественную обобщенную информацию. По отзыву Комиссара по вопросам частной жизни он вполне удовлетворен предлагаемой методологией. Финанс</w:t>
      </w:r>
      <w:r>
        <w:t>и</w:t>
      </w:r>
      <w:r>
        <w:t>рование было утверждено 9 апреля 2002 года. Этот проект позволит предста</w:t>
      </w:r>
      <w:r>
        <w:t>в</w:t>
      </w:r>
      <w:r>
        <w:t>лять информацию для целей будущего развития, прогнозирования и оценки н</w:t>
      </w:r>
      <w:r>
        <w:t>е</w:t>
      </w:r>
      <w:r>
        <w:t>которых социально-экономических последствий Плана, включая его последс</w:t>
      </w:r>
      <w:r>
        <w:t>т</w:t>
      </w:r>
      <w:r>
        <w:t>вия для же</w:t>
      </w:r>
      <w:r>
        <w:t>н</w:t>
      </w:r>
      <w:r>
        <w:t>щин и этнических групп населения.</w:t>
      </w:r>
    </w:p>
    <w:p w:rsidR="00000000" w:rsidRDefault="00000000">
      <w:pPr>
        <w:pStyle w:val="SingleTxt"/>
      </w:pPr>
      <w:r>
        <w:tab/>
        <w:t>Правительство предприняло ряд инициатив в отношении Плана кредит</w:t>
      </w:r>
      <w:r>
        <w:t>о</w:t>
      </w:r>
      <w:r>
        <w:t>вания студентов в целях облегчения финансового бремени всех учащихся. К их числу относятся следующие:</w:t>
      </w:r>
    </w:p>
    <w:p w:rsidR="00000000" w:rsidRDefault="00000000">
      <w:pPr>
        <w:pStyle w:val="dot"/>
      </w:pPr>
      <w:r>
        <w:tab/>
      </w:r>
      <w:r>
        <w:tab/>
        <w:t>•</w:t>
      </w:r>
      <w:r>
        <w:tab/>
        <w:t>обеспечение через политику стабилизации цен неповышения платы за обуч</w:t>
      </w:r>
      <w:r>
        <w:t>е</w:t>
      </w:r>
      <w:r>
        <w:t>ние с 2000 года;</w:t>
      </w:r>
    </w:p>
    <w:p w:rsidR="00000000" w:rsidRDefault="00000000">
      <w:pPr>
        <w:pStyle w:val="dot"/>
      </w:pPr>
      <w:r>
        <w:tab/>
      </w:r>
      <w:r>
        <w:tab/>
        <w:t>•</w:t>
      </w:r>
      <w:r>
        <w:tab/>
        <w:t>освобождение от ссудных процентов студентов очных или заочных отд</w:t>
      </w:r>
      <w:r>
        <w:t>е</w:t>
      </w:r>
      <w:r>
        <w:t>лений с низким уро</w:t>
      </w:r>
      <w:r>
        <w:t>в</w:t>
      </w:r>
      <w:r>
        <w:t>нем дохода;</w:t>
      </w:r>
    </w:p>
    <w:p w:rsidR="00000000" w:rsidRDefault="00000000">
      <w:pPr>
        <w:pStyle w:val="dot"/>
      </w:pPr>
      <w:r>
        <w:tab/>
      </w:r>
      <w:r>
        <w:tab/>
        <w:t>•</w:t>
      </w:r>
      <w:r>
        <w:tab/>
        <w:t>сохранение в 2001/2002 финансовом году процентной ставки на уровне 7 проце</w:t>
      </w:r>
      <w:r>
        <w:t>н</w:t>
      </w:r>
      <w:r>
        <w:t>тов;</w:t>
      </w:r>
    </w:p>
    <w:p w:rsidR="00000000" w:rsidRDefault="00000000">
      <w:pPr>
        <w:pStyle w:val="dot"/>
      </w:pPr>
      <w:r>
        <w:tab/>
      </w:r>
      <w:r>
        <w:tab/>
        <w:t>•</w:t>
      </w:r>
      <w:r>
        <w:tab/>
        <w:t>введение нового порядка погашения, предусматривающего, что не менее 50 процентов выплат, т.е. ниже инфляционного компонента, теперь идет на погаш</w:t>
      </w:r>
      <w:r>
        <w:t>е</w:t>
      </w:r>
      <w:r>
        <w:t>ние основной части долга.</w:t>
      </w:r>
    </w:p>
    <w:p w:rsidR="00000000" w:rsidRDefault="00000000">
      <w:pPr>
        <w:pStyle w:val="SingleTxt"/>
      </w:pPr>
      <w:r>
        <w:tab/>
        <w:t>Эти изменения позволят ускорить выплату основной части долга и сокр</w:t>
      </w:r>
      <w:r>
        <w:t>а</w:t>
      </w:r>
      <w:r>
        <w:t>тить период времени на выплату заемщиками своей задолженности. Средние сроки погашения кредитов смотрите в таблице 4 выше.</w:t>
      </w:r>
    </w:p>
    <w:p w:rsidR="00000000" w:rsidRDefault="00000000">
      <w:pPr>
        <w:pStyle w:val="SingleTxt"/>
      </w:pPr>
      <w:r>
        <w:tab/>
        <w:t>В бюджете на 2002 год правительство также выделило на предстоящие ч</w:t>
      </w:r>
      <w:r>
        <w:t>е</w:t>
      </w:r>
      <w:r>
        <w:t>тыре года следующие сре</w:t>
      </w:r>
      <w:r>
        <w:t>д</w:t>
      </w:r>
      <w:r>
        <w:t>ства:</w:t>
      </w:r>
    </w:p>
    <w:p w:rsidR="00000000" w:rsidRDefault="00000000">
      <w:pPr>
        <w:pStyle w:val="dot"/>
      </w:pPr>
      <w:r>
        <w:tab/>
      </w:r>
      <w:r>
        <w:tab/>
        <w:t>•</w:t>
      </w:r>
      <w:r>
        <w:tab/>
        <w:t>214,3 млн. долл. США на стабилизацию платы за обучение;</w:t>
      </w:r>
    </w:p>
    <w:p w:rsidR="00000000" w:rsidRDefault="00000000">
      <w:pPr>
        <w:pStyle w:val="dot"/>
      </w:pPr>
      <w:r>
        <w:tab/>
      </w:r>
      <w:r>
        <w:tab/>
        <w:t>•</w:t>
      </w:r>
      <w:r>
        <w:tab/>
        <w:t>5 млн. долл. США на освобождение студентов с детьми и супругами-иждивенцами от недельного разрыва между выплатой студенческого п</w:t>
      </w:r>
      <w:r>
        <w:t>о</w:t>
      </w:r>
      <w:r>
        <w:t>собия и пособия по безработице для студентов в затруднительном фина</w:t>
      </w:r>
      <w:r>
        <w:t>н</w:t>
      </w:r>
      <w:r>
        <w:t>совом пол</w:t>
      </w:r>
      <w:r>
        <w:t>о</w:t>
      </w:r>
      <w:r>
        <w:t>жении;</w:t>
      </w:r>
    </w:p>
    <w:p w:rsidR="00000000" w:rsidRDefault="00000000">
      <w:pPr>
        <w:pStyle w:val="dot"/>
      </w:pPr>
      <w:r>
        <w:tab/>
      </w:r>
      <w:r>
        <w:tab/>
        <w:t>•</w:t>
      </w:r>
      <w:r>
        <w:tab/>
        <w:t>2 млн. долл. США на предоставление 50-процентного увеличения студе</w:t>
      </w:r>
      <w:r>
        <w:t>н</w:t>
      </w:r>
      <w:r>
        <w:t>ческ</w:t>
      </w:r>
      <w:r>
        <w:t>о</w:t>
      </w:r>
      <w:r>
        <w:t>го пособия на жилье для учащихся с одним родителем.</w:t>
      </w:r>
    </w:p>
    <w:p w:rsidR="00000000" w:rsidRDefault="00000000">
      <w:pPr>
        <w:pStyle w:val="SingleTxt"/>
      </w:pPr>
      <w:r>
        <w:tab/>
        <w:t>В результате обзора процедур финансирования правительство недавно объявило политику "ограничения максимальной платы за обучение". Это озн</w:t>
      </w:r>
      <w:r>
        <w:t>а</w:t>
      </w:r>
      <w:r>
        <w:t>чает, что студенты будут по-прежнему оплачивать свое обучение согласно у</w:t>
      </w:r>
      <w:r>
        <w:t>с</w:t>
      </w:r>
      <w:r>
        <w:t>тановленным учебным заведением ставкам с ограничением максимальной су</w:t>
      </w:r>
      <w:r>
        <w:t>м</w:t>
      </w:r>
      <w:r>
        <w:t>мы по различным дисциплинам и, возможно, с различным сочетанием объема платежей. Это даст студентам уверенность в размерах будущих расходов и, следовательно, обеспечит определенную предсказуемость в отношении ож</w:t>
      </w:r>
      <w:r>
        <w:t>и</w:t>
      </w:r>
      <w:r>
        <w:t>даемого объема их задолженности по студенческим кредитам.</w:t>
      </w:r>
    </w:p>
    <w:p w:rsidR="00000000" w:rsidRDefault="00000000">
      <w:pPr>
        <w:pStyle w:val="SingleTxt"/>
      </w:pPr>
      <w:r>
        <w:tab/>
        <w:t>В октябре 2001 года комитет специального состава представил парламе</w:t>
      </w:r>
      <w:r>
        <w:t>н</w:t>
      </w:r>
      <w:r>
        <w:t>ту доклад об исследовании студенческих платежей, кредитов и пособий. Он р</w:t>
      </w:r>
      <w:r>
        <w:t>е</w:t>
      </w:r>
      <w:r>
        <w:t>комендовал правительству осуществить широкую программу по приоритетн</w:t>
      </w:r>
      <w:r>
        <w:t>о</w:t>
      </w:r>
      <w:r>
        <w:t>му исследованию финансирования высшей школы и включить в эти исследов</w:t>
      </w:r>
      <w:r>
        <w:t>а</w:t>
      </w:r>
      <w:r>
        <w:t>ния анализ экономических, социальных и образовательных последствий дейс</w:t>
      </w:r>
      <w:r>
        <w:t>т</w:t>
      </w:r>
      <w:r>
        <w:t>вующей ныне в Новой Зеландии системы, а также сравнительный анализ си</w:t>
      </w:r>
      <w:r>
        <w:t>с</w:t>
      </w:r>
      <w:r>
        <w:t>тем в условиях сопоставимой юрисдикции.</w:t>
      </w:r>
    </w:p>
    <w:p w:rsidR="00000000" w:rsidRDefault="00000000">
      <w:pPr>
        <w:pStyle w:val="SingleTxt"/>
      </w:pPr>
      <w:r>
        <w:tab/>
        <w:t>В ответ на доклад комитета специального состава правительство прист</w:t>
      </w:r>
      <w:r>
        <w:t>у</w:t>
      </w:r>
      <w:r>
        <w:t>пило к изучению проблем материальной поддержки студентов. В реформе си</w:t>
      </w:r>
      <w:r>
        <w:t>с</w:t>
      </w:r>
      <w:r>
        <w:t>темы высшего образования уже достигнут значительный прогресс, в частности, через обзор финансирования и разработки стратегии развития высшего образ</w:t>
      </w:r>
      <w:r>
        <w:t>о</w:t>
      </w:r>
      <w:r>
        <w:t>вания на 2002-2007 годы. Изменения в поддержке студентов должны носить сбалансированный, постепе</w:t>
      </w:r>
      <w:r>
        <w:t>н</w:t>
      </w:r>
      <w:r>
        <w:t>ный и долгосрочный характер.</w:t>
      </w:r>
    </w:p>
    <w:p w:rsidR="00000000" w:rsidRDefault="00000000">
      <w:pPr>
        <w:pStyle w:val="SingleTxt"/>
      </w:pPr>
      <w:r>
        <w:tab/>
        <w:t>Разработка стратегии развития высшего образования на 2002-2007 годы предполагает широкие консультации с общественностью с тем, чтобы многие женщины смогли принять участие в формировании ее окончательного вариа</w:t>
      </w:r>
      <w:r>
        <w:t>н</w:t>
      </w:r>
      <w:r>
        <w:t>та. Стратегия определяет первостепенные приоритеты и задачи правительства в области высшего образования на предстоящие пять лет. К ним относятся ра</w:t>
      </w:r>
      <w:r>
        <w:t>с</w:t>
      </w:r>
      <w:r>
        <w:t>ширение участия женщин в профессиональной, производственной жизни, п</w:t>
      </w:r>
      <w:r>
        <w:t>о</w:t>
      </w:r>
      <w:r>
        <w:t>вышение их квалификации в тех областях, где они традиционно были слабо представлены и вовлечение женщин-маори и их общин. Промежуточное зая</w:t>
      </w:r>
      <w:r>
        <w:t>в</w:t>
      </w:r>
      <w:r>
        <w:t>ление о приоритетах высшего образования на 2002/20003 годы требует, чтобы учреждения высшей школы приступили к осуществлению "Задачи 20: равенс</w:t>
      </w:r>
      <w:r>
        <w:t>т</w:t>
      </w:r>
      <w:r>
        <w:t>во доступа и возможностей для всех учащихся".</w:t>
      </w:r>
    </w:p>
    <w:p w:rsidR="00000000" w:rsidRDefault="00000000">
      <w:pPr>
        <w:pStyle w:val="H4"/>
      </w:pPr>
      <w:r>
        <w:t>Возможности для профессиональной подготовки</w:t>
      </w:r>
    </w:p>
    <w:p w:rsidR="00000000" w:rsidRDefault="00000000">
      <w:pPr>
        <w:pStyle w:val="SingleTxt"/>
      </w:pPr>
      <w:r>
        <w:tab/>
        <w:t>Программа расширения возможностей для профессиональной подготовки, осуществляемая организацией "Профессиональная школа Новой Зеландии", была принята в январе 1993 года для подготовки тех, кто бросает школу и до</w:t>
      </w:r>
      <w:r>
        <w:t>л</w:t>
      </w:r>
      <w:r>
        <w:t>гое время остается без работы из-за низкой квалификации. В начале 1999 года эта программа была разделена на два направления: расширение возможностей для профессиональной подготовки и подготовка молодежи. Методика и преп</w:t>
      </w:r>
      <w:r>
        <w:t>о</w:t>
      </w:r>
      <w:r>
        <w:t>давание учебного курса рассчитаны на удовлетворение потребностей маори, которые в 2001 году составляли 42 процента учащихся, и пасифика, которые в 2001 году составляли 10 процентов учащихся. В 1996 году в контингент лиц, которым предоставляются возможности для профессиональной подготовки, были включены те, кто в течение года или более пользовался пособиями для домашних работников. Теперь профессиональную подготовку могут проходить и женщины, на которых сейчас приходится 53 процента учащихся. Таким обр</w:t>
      </w:r>
      <w:r>
        <w:t>а</w:t>
      </w:r>
      <w:r>
        <w:t>зом, число участвующих в подготовке женщин превысило поставленную н</w:t>
      </w:r>
      <w:r>
        <w:t>а</w:t>
      </w:r>
      <w:r>
        <w:t>циональную задачу в 50 процентов. В 2001 году 48 процентов женщин и 52 процента мужчин, участвовавших в программе профессиональной подг</w:t>
      </w:r>
      <w:r>
        <w:t>о</w:t>
      </w:r>
      <w:r>
        <w:t>товки, в течение двух месяцев после окончания курса были трудоустроены на полный или неполный рабочий день, а 13 процентов женщин и 11 процентов мужчин продолжили обучение.</w:t>
      </w:r>
    </w:p>
    <w:p w:rsidR="00000000" w:rsidRDefault="00000000">
      <w:pPr>
        <w:pStyle w:val="H4"/>
      </w:pPr>
      <w:r>
        <w:t>Профессиональная подготовка молодежи</w:t>
      </w:r>
    </w:p>
    <w:p w:rsidR="00000000" w:rsidRDefault="00000000">
      <w:pPr>
        <w:pStyle w:val="SingleTxt"/>
      </w:pPr>
      <w:r>
        <w:tab/>
        <w:t>В начале 1999 года программа профессиональной подготовки молодежи была отделена от программы «Возможности для профессиональной подгото</w:t>
      </w:r>
      <w:r>
        <w:t>в</w:t>
      </w:r>
      <w:r>
        <w:t>ки». Цель этой программы – обеспечить трудоустройство, продолжение обр</w:t>
      </w:r>
      <w:r>
        <w:t>а</w:t>
      </w:r>
      <w:r>
        <w:t>зования или подготовки тем, кто бросил школу и имеет низкую или вообще н</w:t>
      </w:r>
      <w:r>
        <w:t>и</w:t>
      </w:r>
      <w:r>
        <w:t>какой квалификации. Она направлена на повышение общеобразовательного и профессионального уровня отвечающих соответствующим требованиям мол</w:t>
      </w:r>
      <w:r>
        <w:t>о</w:t>
      </w:r>
      <w:r>
        <w:t>дых людей и создание возможностей для выбора ими работы. Как и в случае программы «Возможности для профессиональной подготовки» методика и пр</w:t>
      </w:r>
      <w:r>
        <w:t>е</w:t>
      </w:r>
      <w:r>
        <w:t>подавание этого курса рассчитаны на удовлетворение потребностей маори, к</w:t>
      </w:r>
      <w:r>
        <w:t>о</w:t>
      </w:r>
      <w:r>
        <w:t>торые составляют 46 процентов учащихся, и пасифика, на которых приходится 10 процентов. Женщины составляют 43 процента учащихся, превысив поста</w:t>
      </w:r>
      <w:r>
        <w:t>в</w:t>
      </w:r>
      <w:r>
        <w:t>ленную задачу в 40 процентов. В 2001 году 59 процентов женщин и 65 процентов мужчин после окончания программы профессиональной подг</w:t>
      </w:r>
      <w:r>
        <w:t>о</w:t>
      </w:r>
      <w:r>
        <w:t>товки молодежи получ</w:t>
      </w:r>
      <w:r>
        <w:t>и</w:t>
      </w:r>
      <w:r>
        <w:t>ли работу или продолжили образование.</w:t>
      </w:r>
    </w:p>
    <w:p w:rsidR="00000000" w:rsidRDefault="00000000">
      <w:pPr>
        <w:pStyle w:val="SingleTxt"/>
      </w:pPr>
      <w:r>
        <w:tab/>
        <w:t>Благодаря недавно проведенному обзору этих программ правительство значительно повысит их эффективность и целевую направленность – приобр</w:t>
      </w:r>
      <w:r>
        <w:t>е</w:t>
      </w:r>
      <w:r>
        <w:t>тение молодыми людьми необходимых трудовых навыков и обеспечение усто</w:t>
      </w:r>
      <w:r>
        <w:t>й</w:t>
      </w:r>
      <w:r>
        <w:t>чивого трудоустройства.</w:t>
      </w:r>
    </w:p>
    <w:p w:rsidR="00000000" w:rsidRDefault="00000000">
      <w:pPr>
        <w:pStyle w:val="H4"/>
      </w:pPr>
      <w:r>
        <w:t>Развитие трудовых навыков</w:t>
      </w:r>
    </w:p>
    <w:p w:rsidR="00000000" w:rsidRDefault="00000000">
      <w:pPr>
        <w:pStyle w:val="SingleTxt"/>
      </w:pPr>
      <w:r>
        <w:tab/>
        <w:t>Программа развития трудовых навыков рассчитана на профессиональную подготовку учащихся из числа маори и пасифика в возрасте от 16 лет до 21 года. В 1997 году насчитывалось 629 учащихся, из которых 38 процентов составляли женщины. К 2001 году их число возросло до 828, а на женщин пр</w:t>
      </w:r>
      <w:r>
        <w:t>и</w:t>
      </w:r>
      <w:r>
        <w:t>ходилось 52 процента. По итогам работы 2001 года 82 процента женщин и 79 процентов мужчин в течение двух месяцев после окончания программы ра</w:t>
      </w:r>
      <w:r>
        <w:t>з</w:t>
      </w:r>
      <w:r>
        <w:t>вития трудовых навыков продолжили свое образование или получили полн</w:t>
      </w:r>
      <w:r>
        <w:t>о</w:t>
      </w:r>
      <w:r>
        <w:t>ценную работу.</w:t>
      </w:r>
    </w:p>
    <w:p w:rsidR="00000000" w:rsidRDefault="00000000">
      <w:pPr>
        <w:pStyle w:val="H23"/>
      </w:pPr>
      <w:r>
        <w:t>Продолжение образования</w:t>
      </w:r>
    </w:p>
    <w:p w:rsidR="00000000" w:rsidRDefault="00000000">
      <w:pPr>
        <w:pStyle w:val="SingleTxt"/>
      </w:pPr>
      <w:r>
        <w:t>За последние пять лет количество вернувшихся в школы взрослых сниз</w:t>
      </w:r>
      <w:r>
        <w:t>и</w:t>
      </w:r>
      <w:r>
        <w:t>лось, однако, продолжение образования по-прежнему более популярно среди женщин, чем среди мужчин. В 2001 году 7674 взрослых студентов (в возрасте старше 19 лет) посещали среднюю школу. Из них 5276 (70 процентов) были женщинами.</w:t>
      </w:r>
    </w:p>
    <w:p w:rsidR="00000000" w:rsidRDefault="00000000">
      <w:pPr>
        <w:pStyle w:val="SingleTxt"/>
      </w:pPr>
      <w:r>
        <w:tab/>
        <w:t>Программы общинного образования на учебной базе школ и высших учебных заведений также создавали возможности для образования взрослых. Они осуществляются в местных общинах и в нерабочее время предлагают ку</w:t>
      </w:r>
      <w:r>
        <w:t>р</w:t>
      </w:r>
      <w:r>
        <w:t>сы, которые не дают формального образования. В 2000 году в программах н</w:t>
      </w:r>
      <w:r>
        <w:t>е</w:t>
      </w:r>
      <w:r>
        <w:t>формального общинного и общего образования на базе ВУЗов участвовали 13451 взрослый, из которых женщины составляли 65 процентов. В 2000 году программами общинного школьного образования было охвачено еще 213111 взрослых, среди которых женщины составляли 74 процента.</w:t>
      </w:r>
    </w:p>
    <w:p w:rsidR="00000000" w:rsidRDefault="00000000">
      <w:pPr>
        <w:pStyle w:val="SingleTxt"/>
      </w:pPr>
      <w:r>
        <w:tab/>
        <w:t>Правительство учредило секторальную рабочую группу для разработки рекомендаций относительно будущего развития сектора общинного образов</w:t>
      </w:r>
      <w:r>
        <w:t>а</w:t>
      </w:r>
      <w:r>
        <w:t>ния взрослых, которая в 2001 году представила кабинету министров соответс</w:t>
      </w:r>
      <w:r>
        <w:t>т</w:t>
      </w:r>
      <w:r>
        <w:t>вующий доклад. В рамках реформ высшей школы и разработки Стратегии ра</w:t>
      </w:r>
      <w:r>
        <w:t>з</w:t>
      </w:r>
      <w:r>
        <w:t>вития высшего образования продолжается работа по обеспечению доступа к высококачественному общинному образованию для взрослых. В частности, в результате осуществления Стратегии развития высшего образования, Новоз</w:t>
      </w:r>
      <w:r>
        <w:t>е</w:t>
      </w:r>
      <w:r>
        <w:t>ландской стратегии обеспечения грамотности взрослых и обзора программ «Возможности для профессиональной подготовки» и «Профессиональная по</w:t>
      </w:r>
      <w:r>
        <w:t>д</w:t>
      </w:r>
      <w:r>
        <w:t>готовка молодежи» развернута широкая работа на приоритетном направлении – развитии основных трудовых навыков.</w:t>
      </w:r>
    </w:p>
    <w:p w:rsidR="00000000" w:rsidRDefault="00000000">
      <w:pPr>
        <w:pStyle w:val="H23"/>
      </w:pPr>
      <w:r>
        <w:t>ЕСОЛ (английский для лиц, говорящих на других языках) для взрослых</w:t>
      </w:r>
    </w:p>
    <w:p w:rsidR="00000000" w:rsidRDefault="00000000">
      <w:pPr>
        <w:pStyle w:val="SingleTxt"/>
      </w:pPr>
      <w:r>
        <w:t>В настоящее время Министерство образования разрабатывает стратегию ЕСОЛ для взрослых с целью оценки потребностей в этой программе, ее осущ</w:t>
      </w:r>
      <w:r>
        <w:t>е</w:t>
      </w:r>
      <w:r>
        <w:t>ствления и выработки позиции на будущее. Кабинет министров согласился опубликовать консультационный документ. Некоторые вопросы, которые пл</w:t>
      </w:r>
      <w:r>
        <w:t>а</w:t>
      </w:r>
      <w:r>
        <w:t>нируется решить в рамках этой стратегии и которые касаются опыта женщин из числа беженцев и мигрантов в области освоения ЕСОЛ, включают в себя со</w:t>
      </w:r>
      <w:r>
        <w:t>з</w:t>
      </w:r>
      <w:r>
        <w:t>дание программ элементарной грамотности, программ по уходу за детьми и н</w:t>
      </w:r>
      <w:r>
        <w:t>е</w:t>
      </w:r>
      <w:r>
        <w:t>дорогостоящих программ обучения. В настоящее время одним из способов о</w:t>
      </w:r>
      <w:r>
        <w:t>с</w:t>
      </w:r>
      <w:r>
        <w:t>воения ЕСОЛ женщинами из числа беженцев и мигрантов является общинное образование для взрослых, где на них приходится около 65 процентов участн</w:t>
      </w:r>
      <w:r>
        <w:t>и</w:t>
      </w:r>
      <w:r>
        <w:t>ков.</w:t>
      </w:r>
    </w:p>
    <w:p w:rsidR="00000000" w:rsidRDefault="00000000">
      <w:pPr>
        <w:pStyle w:val="H1"/>
      </w:pPr>
      <w:r>
        <w:t>Учебная программа</w:t>
      </w:r>
    </w:p>
    <w:p w:rsidR="00000000" w:rsidRDefault="00000000">
      <w:pPr>
        <w:pStyle w:val="SingleTxt"/>
      </w:pPr>
      <w:r>
        <w:t>Структура учебной программы Новой Зеландии устанавливает широкие основополагающие элементы обучения и преподавания в стране и ставит во главу угла повышение успеваемости всех учащихся в условиях справедливости и широкого участия населения. В Структуре говорится, что учебные програ</w:t>
      </w:r>
      <w:r>
        <w:t>м</w:t>
      </w:r>
      <w:r>
        <w:t>мы будут предусматривать равенство полов, носить нерасистский и недискр</w:t>
      </w:r>
      <w:r>
        <w:t>и</w:t>
      </w:r>
      <w:r>
        <w:t>минационный характер и будут направлены на развитие таких качеств у уч</w:t>
      </w:r>
      <w:r>
        <w:t>а</w:t>
      </w:r>
      <w:r>
        <w:t>щихся.</w:t>
      </w:r>
    </w:p>
    <w:p w:rsidR="00000000" w:rsidRDefault="00000000">
      <w:pPr>
        <w:pStyle w:val="SingleTxt"/>
      </w:pPr>
      <w:r>
        <w:t>В поддержку новой учебной программы были произведены значительные инвестиции в развитие профессиональных кадров и ресурсной базы. Контра</w:t>
      </w:r>
      <w:r>
        <w:t>к</w:t>
      </w:r>
      <w:r>
        <w:t>ты на развитие ресурсной базы и издание материалов в поддержку учебной программы как в печатных изданиях, так во все большей степени и в электро</w:t>
      </w:r>
      <w:r>
        <w:t>н</w:t>
      </w:r>
      <w:r>
        <w:t>ных СМИ требуют формирования положительного образа девушек и женщин.</w:t>
      </w:r>
    </w:p>
    <w:p w:rsidR="00000000" w:rsidRDefault="00000000">
      <w:pPr>
        <w:pStyle w:val="SingleTxt"/>
      </w:pPr>
      <w:r>
        <w:t>В 1995 году в секторе дошкольного воспитания после проведения пр</w:t>
      </w:r>
      <w:r>
        <w:t>о</w:t>
      </w:r>
      <w:r>
        <w:t>должительных консультаций была введена добровольная учебная программа «Те варики». В эту учебную программу, поддержанную заявлением о поста</w:t>
      </w:r>
      <w:r>
        <w:t>в</w:t>
      </w:r>
      <w:r>
        <w:t>ленных задачах и желательной практике, включен ряд предметов, изучение к</w:t>
      </w:r>
      <w:r>
        <w:t>о</w:t>
      </w:r>
      <w:r>
        <w:t>торых малолетними детьми представляется весьма желательным. Кроме того, в заявлении подчеркивается необходимость принятия учебной программы, отв</w:t>
      </w:r>
      <w:r>
        <w:t>е</w:t>
      </w:r>
      <w:r>
        <w:t>чающей интересам как мальчиков, так и девочек и располагающей надлежащ</w:t>
      </w:r>
      <w:r>
        <w:t>и</w:t>
      </w:r>
      <w:r>
        <w:t>ми ресурсами, оборудованием, программами и образцами для подражания.</w:t>
      </w:r>
    </w:p>
    <w:p w:rsidR="00000000" w:rsidRDefault="00000000">
      <w:pPr>
        <w:pStyle w:val="H23"/>
      </w:pPr>
      <w:r>
        <w:t>Половое просвещение</w:t>
      </w:r>
    </w:p>
    <w:p w:rsidR="00000000" w:rsidRDefault="00000000">
      <w:pPr>
        <w:pStyle w:val="SingleTxt"/>
      </w:pPr>
      <w:r>
        <w:t>В соответствии с Законом 2001 года о нормах в системе образования гос</w:t>
      </w:r>
      <w:r>
        <w:t>у</w:t>
      </w:r>
      <w:r>
        <w:t>дарственные и полугосударственные школы уже не могут по своему выбору отказываться от уроков по половому просвещению, однако, за родителями с</w:t>
      </w:r>
      <w:r>
        <w:t>о</w:t>
      </w:r>
      <w:r>
        <w:t>хр</w:t>
      </w:r>
      <w:r>
        <w:t>а</w:t>
      </w:r>
      <w:r>
        <w:t>няется право не пускать своих детей на эти уроки.</w:t>
      </w:r>
    </w:p>
    <w:p w:rsidR="00000000" w:rsidRDefault="00000000">
      <w:pPr>
        <w:pStyle w:val="SingleTxt"/>
      </w:pPr>
      <w:r>
        <w:t>Поправки к Закону 1989 года об образовании направлены на то, чтобы школы выполняли программу «Здоровье и физическое воспитание в Новой З</w:t>
      </w:r>
      <w:r>
        <w:t>е</w:t>
      </w:r>
      <w:r>
        <w:t>ландии» (ЗФВ). Эта программа предусматривает половое просвещение и явл</w:t>
      </w:r>
      <w:r>
        <w:t>я</w:t>
      </w:r>
      <w:r>
        <w:t>ется обязательной для всех учащихся в возрасте до 10 лет включительно. Для программ ЗФВ с 5 класса и выше предлагаются стратегии предупреждения рискованных сексуальных решений (9-10 лет). Новая форма Национального свидетельства об образовании (НСО), предусматривающая физическое восп</w:t>
      </w:r>
      <w:r>
        <w:t>и</w:t>
      </w:r>
      <w:r>
        <w:t>тание и, следовательно, половое просвещение, привлекательна для учащихся старших классов, п</w:t>
      </w:r>
      <w:r>
        <w:t>о</w:t>
      </w:r>
      <w:r>
        <w:t>скольку позволяет им изучать соответствующие предметы.</w:t>
      </w:r>
    </w:p>
    <w:p w:rsidR="00000000" w:rsidRDefault="00000000">
      <w:pPr>
        <w:pStyle w:val="SingleTxt"/>
      </w:pPr>
      <w:r>
        <w:t>Профессиональный рост и учебные материалы, выпуск которых финанс</w:t>
      </w:r>
      <w:r>
        <w:t>и</w:t>
      </w:r>
      <w:r>
        <w:t>руется Министерством образования, предусматривают уделение особого вн</w:t>
      </w:r>
      <w:r>
        <w:t>и</w:t>
      </w:r>
      <w:r>
        <w:t>мания половому просвещению с тем, чтобы подготовить и поддержать учит</w:t>
      </w:r>
      <w:r>
        <w:t>е</w:t>
      </w:r>
      <w:r>
        <w:t>лей, занимающихся половым просвещением, являющимся важнейшим элеме</w:t>
      </w:r>
      <w:r>
        <w:t>н</w:t>
      </w:r>
      <w:r>
        <w:t>том учебной программы ЗФВ. Рассматривается также вопрос о финансиров</w:t>
      </w:r>
      <w:r>
        <w:t>а</w:t>
      </w:r>
      <w:r>
        <w:t>нии полового просвещения. Школы обязаны самостоятельно поводить оценку программ, и Управление по пересмотру системы образования проверяет кач</w:t>
      </w:r>
      <w:r>
        <w:t>е</w:t>
      </w:r>
      <w:r>
        <w:t>ство преподавания дисциплин учащимся школ.</w:t>
      </w:r>
    </w:p>
    <w:p w:rsidR="00000000" w:rsidRDefault="00000000">
      <w:pPr>
        <w:pStyle w:val="SingleTxt"/>
      </w:pPr>
      <w:r>
        <w:t>«Хауора и рото и те мараутанга о аотеароа» – учебная программа ЗФВ на те рео маори – вскоре будет опубликована для проведения консультаций и о</w:t>
      </w:r>
      <w:r>
        <w:t>п</w:t>
      </w:r>
      <w:r>
        <w:t>робирования. Важное место в этой публикации занимает те акоранга хокак</w:t>
      </w:r>
      <w:r>
        <w:t>а</w:t>
      </w:r>
      <w:r>
        <w:t>танга (половое просвещение). Средства на учителей и обеспечение их профе</w:t>
      </w:r>
      <w:r>
        <w:t>с</w:t>
      </w:r>
      <w:r>
        <w:t>сионального роста в поддержку мараутанга, включая те акоранга хокакатанга, начнут поступать в 2003 году.</w:t>
      </w:r>
    </w:p>
    <w:p w:rsidR="00000000" w:rsidRDefault="00000000">
      <w:pPr>
        <w:pStyle w:val="SingleTxt"/>
      </w:pPr>
      <w:r>
        <w:t>Министерство образования тесно взаимодействует также с Министерс</w:t>
      </w:r>
      <w:r>
        <w:t>т</w:t>
      </w:r>
      <w:r>
        <w:t>вом здравоохранения в разработке стратегии сексуального и репродуктивного здоровья (см. Статью 12: Здравоохранение, стр. 124-125).</w:t>
      </w:r>
    </w:p>
    <w:p w:rsidR="00000000" w:rsidRDefault="00000000">
      <w:pPr>
        <w:pStyle w:val="H23"/>
      </w:pPr>
      <w:r>
        <w:t>Профориентация</w:t>
      </w:r>
    </w:p>
    <w:p w:rsidR="00000000" w:rsidRDefault="00000000">
      <w:pPr>
        <w:pStyle w:val="SingleTxt"/>
      </w:pPr>
      <w:r>
        <w:t>Школы должны обеспечивать образование учащихся в возрасте 7-13 лет по вопросам выбора профессии. Такая подготовка ведется в рамках учебной программы для детей в возрасте 7-9 лет. Более конкретная информация и рек</w:t>
      </w:r>
      <w:r>
        <w:t>о</w:t>
      </w:r>
      <w:r>
        <w:t>ме</w:t>
      </w:r>
      <w:r>
        <w:t>н</w:t>
      </w:r>
      <w:r>
        <w:t xml:space="preserve">дации по выбору профессии сообщаются 10-13-летним. </w:t>
      </w:r>
    </w:p>
    <w:p w:rsidR="00000000" w:rsidRDefault="00000000">
      <w:pPr>
        <w:pStyle w:val="H1"/>
      </w:pPr>
      <w:r>
        <w:t>Система присвоения квалификации</w:t>
      </w:r>
    </w:p>
    <w:p w:rsidR="00000000" w:rsidRDefault="00000000">
      <w:pPr>
        <w:pStyle w:val="SingleTxt"/>
      </w:pPr>
      <w:r>
        <w:t xml:space="preserve">На тех же условиях происходит присвоение квалификации всем учащимся Новой Зеландии. </w:t>
      </w:r>
    </w:p>
    <w:p w:rsidR="00000000" w:rsidRDefault="00000000">
      <w:pPr>
        <w:pStyle w:val="SingleTxt"/>
      </w:pPr>
      <w:r>
        <w:t>В последнее десятилетие был введен Национальный квалификационный реестр. Он включает в себя комплекс норм освоения учебного материала, охв</w:t>
      </w:r>
      <w:r>
        <w:t>а</w:t>
      </w:r>
      <w:r>
        <w:t>тывающих широкую группу специальностей, а также стандартизированные критерии оценки этих показателей, которые зачитываются при присвоении ра</w:t>
      </w:r>
      <w:r>
        <w:t>з</w:t>
      </w:r>
      <w:r>
        <w:t>личной квалификации. Реестр опирается на концепцию целостности учебного процесса, предусматривающего накопительную систему оценок в годы школ</w:t>
      </w:r>
      <w:r>
        <w:t>ь</w:t>
      </w:r>
      <w:r>
        <w:t>ного обучения и в последующий период. Эта практика имеет положительные последствия для учебы в течение всей жизни и, в частности, для женщин, тр</w:t>
      </w:r>
      <w:r>
        <w:t>у</w:t>
      </w:r>
      <w:r>
        <w:t>довая де</w:t>
      </w:r>
      <w:r>
        <w:t>я</w:t>
      </w:r>
      <w:r>
        <w:t>тельность которых прерывается в период родов.</w:t>
      </w:r>
    </w:p>
    <w:p w:rsidR="00000000" w:rsidRDefault="00000000">
      <w:pPr>
        <w:pStyle w:val="SingleTxt"/>
      </w:pPr>
      <w:r>
        <w:t>Кроме того, введение системы признания ранее полученного образования позволяет производить оценку более широкого круга специальностей и опыта работы. Это также имеет положительные последствия для женщин и этнич</w:t>
      </w:r>
      <w:r>
        <w:t>е</w:t>
      </w:r>
      <w:r>
        <w:t>ских групп.</w:t>
      </w:r>
    </w:p>
    <w:p w:rsidR="00000000" w:rsidRDefault="00000000">
      <w:pPr>
        <w:pStyle w:val="SingleTxt"/>
      </w:pPr>
      <w:r>
        <w:t>Новая система присвоения квалификации, предусматривающая выдачу Национального свидетельства об образовании (НСО), была принята в 2002 году и заменит собой ранее действовавшую систему аттестации при получении среднего образования. Три уровня НСО соответствуют уровням 6, 7 и 8 национальной учебной программы и включают принятые в этой области оценки освоения учебного материала и успеваемости. По каждой дисциплине есть оценка «удовлетворительно», «хорошо» и «отлично». Система включает внутреннюю и внешнюю оценку, а в качестве координатора выступает Новоз</w:t>
      </w:r>
      <w:r>
        <w:t>е</w:t>
      </w:r>
      <w:r>
        <w:t>ландское управление по вопросам квалификации (НЗУК).</w:t>
      </w:r>
    </w:p>
    <w:p w:rsidR="00000000" w:rsidRDefault="00000000">
      <w:pPr>
        <w:pStyle w:val="SingleTxt"/>
      </w:pPr>
      <w:r>
        <w:t>Нынешняя система присвоения квалификации постоянно анализируется с целью учета в системе образования последовательных этапов постоянной уч</w:t>
      </w:r>
      <w:r>
        <w:t>е</w:t>
      </w:r>
      <w:r>
        <w:t>бы в течение всей жизни. Поэтому НЗУК постоянно укрепляет свой потенциал для непрерывного отслеживания тенденций, оценки их последствий и разр</w:t>
      </w:r>
      <w:r>
        <w:t>а</w:t>
      </w:r>
      <w:r>
        <w:t>ботки стратегий оперативного и адекватного реагирования на потребности н</w:t>
      </w:r>
      <w:r>
        <w:t>о</w:t>
      </w:r>
      <w:r>
        <w:t>возеландского общества в квалифицированных кадрах. Эта постоянная анал</w:t>
      </w:r>
      <w:r>
        <w:t>и</w:t>
      </w:r>
      <w:r>
        <w:t>тическая работа отражает культурное разнообразие, а также потребности, це</w:t>
      </w:r>
      <w:r>
        <w:t>н</w:t>
      </w:r>
      <w:r>
        <w:t>ности и ожидания мужчин и женщин.</w:t>
      </w:r>
    </w:p>
    <w:p w:rsidR="00000000" w:rsidRDefault="00000000">
      <w:pPr>
        <w:pStyle w:val="H1"/>
      </w:pPr>
      <w:r>
        <w:t>Успеваемость</w:t>
      </w:r>
    </w:p>
    <w:p w:rsidR="00000000" w:rsidRDefault="00000000">
      <w:pPr>
        <w:pStyle w:val="H23"/>
      </w:pPr>
      <w:r>
        <w:t>Обзор литературы по гендерной проблематике</w:t>
      </w:r>
    </w:p>
    <w:p w:rsidR="00000000" w:rsidRDefault="00000000">
      <w:pPr>
        <w:pStyle w:val="SingleTxt"/>
        <w:rPr>
          <w:i/>
        </w:rPr>
      </w:pPr>
      <w:r>
        <w:tab/>
        <w:t>В 2000 году Министерство образования опубликовало обширный литер</w:t>
      </w:r>
      <w:r>
        <w:t>а</w:t>
      </w:r>
      <w:r>
        <w:t>турный обзор Адриенны Альтон-Ли и Анжелики Праат под названием «</w:t>
      </w:r>
      <w:r>
        <w:rPr>
          <w:i/>
        </w:rPr>
        <w:t>Объя</w:t>
      </w:r>
      <w:r>
        <w:rPr>
          <w:i/>
        </w:rPr>
        <w:t>с</w:t>
      </w:r>
      <w:r>
        <w:rPr>
          <w:i/>
        </w:rPr>
        <w:t xml:space="preserve">нение и рассмотрение гендерных различий в системе обязательного школьного образования Новой Зеландии». </w:t>
      </w:r>
      <w:r>
        <w:t>За ним в 2001 году последовала публикация для школ, также взятая из этого обзора – «</w:t>
      </w:r>
      <w:r>
        <w:rPr>
          <w:i/>
        </w:rPr>
        <w:t>Вопросы взаимоотношения полов: выб</w:t>
      </w:r>
      <w:r>
        <w:rPr>
          <w:i/>
        </w:rPr>
        <w:t>о</w:t>
      </w:r>
      <w:r>
        <w:rPr>
          <w:i/>
        </w:rPr>
        <w:t>рочные пр</w:t>
      </w:r>
      <w:r>
        <w:rPr>
          <w:i/>
        </w:rPr>
        <w:t>и</w:t>
      </w:r>
      <w:r>
        <w:rPr>
          <w:i/>
        </w:rPr>
        <w:t xml:space="preserve">меры». </w:t>
      </w:r>
    </w:p>
    <w:p w:rsidR="00000000" w:rsidRDefault="00000000">
      <w:pPr>
        <w:pStyle w:val="SingleTxt"/>
      </w:pPr>
      <w:r>
        <w:tab/>
        <w:t>В обзоре рассматривалась информация об успеваемости учащихся, с</w:t>
      </w:r>
      <w:r>
        <w:t>о</w:t>
      </w:r>
      <w:r>
        <w:t>держащаяся в последних международных и национальных исследованиях. Эти международные исследования позволили установить, что в Новой Зеландии среди учащихся пятых классов по курсу «чтение и грамота» (1991), а также «математика и естественные науки» (третье международное исследование по математике и естественным наукам, 1994 год) успеваемость девочек была н</w:t>
      </w:r>
      <w:r>
        <w:t>а</w:t>
      </w:r>
      <w:r>
        <w:t>много выше успеваемости мальчиков по грамоте, несколько выше по естес</w:t>
      </w:r>
      <w:r>
        <w:t>т</w:t>
      </w:r>
      <w:r>
        <w:t>венным наукам и примерно одинаковой по математике.</w:t>
      </w:r>
    </w:p>
    <w:p w:rsidR="00000000" w:rsidRDefault="00000000">
      <w:pPr>
        <w:pStyle w:val="SingleTxt"/>
      </w:pPr>
      <w:r>
        <w:tab/>
        <w:t>Однако более тщательное рассмотрение этого вопроса выявило сущес</w:t>
      </w:r>
      <w:r>
        <w:t>т</w:t>
      </w:r>
      <w:r>
        <w:t>венные различия внутри групп мальчиков и девочек, особенно с учетом их э</w:t>
      </w:r>
      <w:r>
        <w:t>т</w:t>
      </w:r>
      <w:r>
        <w:t>нической принадлежности. Успеваемость детей, не относящихся к маори и п</w:t>
      </w:r>
      <w:r>
        <w:t>а</w:t>
      </w:r>
      <w:r>
        <w:t>сифика, по всем предметам была выше успеваемости детей из других этнич</w:t>
      </w:r>
      <w:r>
        <w:t>е</w:t>
      </w:r>
      <w:r>
        <w:t>ских групп. Дети из числа маори приближались к средним международным п</w:t>
      </w:r>
      <w:r>
        <w:t>о</w:t>
      </w:r>
      <w:r>
        <w:t>казателям по грамоте, но показали более низкие результаты в сравнении со средними международными показателям по естественным наукам и гораздо б</w:t>
      </w:r>
      <w:r>
        <w:t>о</w:t>
      </w:r>
      <w:r>
        <w:t>лее низкие результаты по математике. В рамках этнических групп д</w:t>
      </w:r>
      <w:r>
        <w:t>е</w:t>
      </w:r>
      <w:r>
        <w:t>вочки-маори из числа учащихся пятых классов успевали выше мальчиков-маори по математике, естественным наукам, чтению и грамоте. По чтению и грамоте уровень девочек-маори был выше средних международных показателей, а ур</w:t>
      </w:r>
      <w:r>
        <w:t>о</w:t>
      </w:r>
      <w:r>
        <w:t>вень мальчиков-маори в среднем ниже. Уровень девочек пасифика был в сре</w:t>
      </w:r>
      <w:r>
        <w:t>д</w:t>
      </w:r>
      <w:r>
        <w:t>нем несколько ниже международных показателей по чтению и грамоте, тогда как уровень мальчиков пасифика был заметно ниже. По некоторым предметам гендерные различия внутри этнических групп не были значительными. Напр</w:t>
      </w:r>
      <w:r>
        <w:t>и</w:t>
      </w:r>
      <w:r>
        <w:t>мер, успеваемость по естественным наукам мальчиков и девочек пассифика в пятых классах была одинаково низкой, независимо от гендерных различий.</w:t>
      </w:r>
    </w:p>
    <w:p w:rsidR="00000000" w:rsidRDefault="00000000">
      <w:pPr>
        <w:pStyle w:val="H23"/>
      </w:pPr>
      <w:r>
        <w:t>Успеваемость в рамках учебной программы</w:t>
      </w:r>
    </w:p>
    <w:p w:rsidR="00000000" w:rsidRDefault="00000000">
      <w:pPr>
        <w:pStyle w:val="SingleTxt"/>
      </w:pPr>
      <w:r>
        <w:t>В 1999 году в четвертых классах мальчики получали более высокие, чем девочки оценки по естественным наукам при выполнении 30 процентов зад</w:t>
      </w:r>
      <w:r>
        <w:t>а</w:t>
      </w:r>
      <w:r>
        <w:t>ний. В восьмых классах мальчики обошли девочек при выполнении 27 процентов заданий. И все же эти различия были менее заметны, чем разл</w:t>
      </w:r>
      <w:r>
        <w:t>и</w:t>
      </w:r>
      <w:r>
        <w:t>чия в успеваем</w:t>
      </w:r>
      <w:r>
        <w:t>о</w:t>
      </w:r>
      <w:r>
        <w:t>сти по этническим группам.</w:t>
      </w:r>
    </w:p>
    <w:p w:rsidR="00000000" w:rsidRDefault="00000000">
      <w:pPr>
        <w:pStyle w:val="SingleTxt"/>
      </w:pPr>
      <w:r>
        <w:t>В младших классах успеваемость девочек по математике была значител</w:t>
      </w:r>
      <w:r>
        <w:t>ь</w:t>
      </w:r>
      <w:r>
        <w:t>но выше успеваемости мальчиков. Вместе с тем различия по полу в 4 и 8 классах незначительны, хотя и обусловлены этническ</w:t>
      </w:r>
      <w:r>
        <w:t>и</w:t>
      </w:r>
      <w:r>
        <w:t>ми факторами.</w:t>
      </w:r>
    </w:p>
    <w:p w:rsidR="00000000" w:rsidRDefault="00000000">
      <w:pPr>
        <w:pStyle w:val="SingleTxt"/>
      </w:pPr>
      <w:r>
        <w:t>В 2000 году в ходе осуществления Национального проекта мониторинга образования (НЕМР) при выполнении половины заданий по чтению девочки 4 классов намного опередили мальчиков. Однако в 8 классах девочки опереж</w:t>
      </w:r>
      <w:r>
        <w:t>а</w:t>
      </w:r>
      <w:r>
        <w:t>ли мальчиков при выполнении 10 процентов заданий.</w:t>
      </w:r>
    </w:p>
    <w:p w:rsidR="00000000" w:rsidRDefault="00000000">
      <w:pPr>
        <w:pStyle w:val="SingleTxt"/>
      </w:pPr>
      <w:r>
        <w:t>Оценки результатов НЕМП позволили выявить ряд значительных генде</w:t>
      </w:r>
      <w:r>
        <w:t>р</w:t>
      </w:r>
      <w:r>
        <w:t>ных различий в художественной подготовке учащихся 4 и 8 классов. При в</w:t>
      </w:r>
      <w:r>
        <w:t>ы</w:t>
      </w:r>
      <w:r>
        <w:t>полнении заданий НЕМП по музыке девочки значительно опередили мальч</w:t>
      </w:r>
      <w:r>
        <w:t>и</w:t>
      </w:r>
      <w:r>
        <w:t>ков, однако, различия в оценке работы девочек и мальчиков по школьной дес</w:t>
      </w:r>
      <w:r>
        <w:t>я</w:t>
      </w:r>
      <w:r>
        <w:t>тибалльной системе и в этнической структуре сыграли в этом деле намного бол</w:t>
      </w:r>
      <w:r>
        <w:t>ь</w:t>
      </w:r>
      <w:r>
        <w:t>шую роль.</w:t>
      </w:r>
    </w:p>
    <w:p w:rsidR="00000000" w:rsidRDefault="00000000">
      <w:pPr>
        <w:pStyle w:val="SingleTxt"/>
      </w:pPr>
      <w:r>
        <w:t>Исследование, проведенное в рамках ПИСА-2000 (Программа междун</w:t>
      </w:r>
      <w:r>
        <w:t>а</w:t>
      </w:r>
      <w:r>
        <w:t>родной оценки учащихся), показало, что среди 15-летней молодежи во всех странах ОЭСР имеются значительные гендерные различия в пользу девочек. Девочки из Новой Зеландии в среднем занимали второе место по чтению и грамоте в странах ОЭСР. Для сравнения, мальчики из Новой Зеландии в сре</w:t>
      </w:r>
      <w:r>
        <w:t>д</w:t>
      </w:r>
      <w:r>
        <w:t>нем з</w:t>
      </w:r>
      <w:r>
        <w:t>а</w:t>
      </w:r>
      <w:r>
        <w:t>нимали седьмую позицию в странах ОЭСР.</w:t>
      </w:r>
    </w:p>
    <w:p w:rsidR="00000000" w:rsidRDefault="00000000">
      <w:pPr>
        <w:pStyle w:val="SingleTxt"/>
      </w:pPr>
      <w:r>
        <w:t>По математике Новая Зеландия относилась к пяти странам, достигшим высоких средних показателей и низких гендерных различий. По естественным наукам девочки и мальчики добились относительно высоких показателей, пр</w:t>
      </w:r>
      <w:r>
        <w:t>и</w:t>
      </w:r>
      <w:r>
        <w:t>чем в среднем у девочек оценки были на 12 пунктов выше, чем у мальчиков.</w:t>
      </w:r>
    </w:p>
    <w:p w:rsidR="00000000" w:rsidRDefault="00000000">
      <w:pPr>
        <w:pStyle w:val="SingleTxt"/>
      </w:pPr>
      <w:r>
        <w:t>Последние изменения в преподавании технических предметов имели св</w:t>
      </w:r>
      <w:r>
        <w:t>о</w:t>
      </w:r>
      <w:r>
        <w:t>ей целью сгладить традиционные гендерные тенденции в этой области обуч</w:t>
      </w:r>
      <w:r>
        <w:t>е</w:t>
      </w:r>
      <w:r>
        <w:t>ния, однако есть данные, которые говорят об их устойчивом характере. Согла</w:t>
      </w:r>
      <w:r>
        <w:t>с</w:t>
      </w:r>
      <w:r>
        <w:t>но докладу НЕМП за 2000 год мальчики четвертых классов получили более в</w:t>
      </w:r>
      <w:r>
        <w:t>ы</w:t>
      </w:r>
      <w:r>
        <w:t>сокие оценки, чем девочки за выполнение двух из 19 заданий. В восьмых кла</w:t>
      </w:r>
      <w:r>
        <w:t>с</w:t>
      </w:r>
      <w:r>
        <w:t>сах гендерные различия проявились при выполнении семи из 23 заданий, пр</w:t>
      </w:r>
      <w:r>
        <w:t>и</w:t>
      </w:r>
      <w:r>
        <w:t>чем мальчики показали более высокие результаты по четырем из них (главным образом в сфере техники управления), а девочки по трем (преимущественно в обла</w:t>
      </w:r>
      <w:r>
        <w:t>с</w:t>
      </w:r>
      <w:r>
        <w:t>ти дизайна).</w:t>
      </w:r>
    </w:p>
    <w:p w:rsidR="00000000" w:rsidRDefault="00000000">
      <w:pPr>
        <w:pStyle w:val="SingleTxt"/>
      </w:pPr>
      <w:r>
        <w:t>При изучении общественных наук в четвертых классах единственные ст</w:t>
      </w:r>
      <w:r>
        <w:t>а</w:t>
      </w:r>
      <w:r>
        <w:t>тистически значимые гендерные различия касались более высоких средних п</w:t>
      </w:r>
      <w:r>
        <w:t>о</w:t>
      </w:r>
      <w:r>
        <w:t>казателей мальчиков по сравнению с девочками при выполнении двух заданий по картографии. Однако в восьмых классах мальчики опередили девочек по шести из 19 заданий НЕМП, а девочки оказались впереди по трем заданиям.</w:t>
      </w:r>
    </w:p>
    <w:p w:rsidR="00000000" w:rsidRDefault="00000000">
      <w:pPr>
        <w:pStyle w:val="H23"/>
      </w:pPr>
      <w:r>
        <w:t>Присвоение квалификации старшеклассникам</w:t>
      </w:r>
    </w:p>
    <w:p w:rsidR="00000000" w:rsidRDefault="00000000">
      <w:pPr>
        <w:pStyle w:val="SingleTxt"/>
      </w:pPr>
      <w:r>
        <w:t>В целом статистика успеваемости в старших классах средней школы г</w:t>
      </w:r>
      <w:r>
        <w:t>о</w:t>
      </w:r>
      <w:r>
        <w:t>ворит о незначительных ге</w:t>
      </w:r>
      <w:r>
        <w:t>н</w:t>
      </w:r>
      <w:r>
        <w:t>дерных различиях в пользу девочек.</w:t>
      </w:r>
    </w:p>
    <w:p w:rsidR="00000000" w:rsidRDefault="00000000">
      <w:pPr>
        <w:pStyle w:val="SingleTxt"/>
      </w:pPr>
      <w:r>
        <w:t>Экзамены на университетскую стипендию, проводившиеся среди абит</w:t>
      </w:r>
      <w:r>
        <w:t>у</w:t>
      </w:r>
      <w:r>
        <w:t>риентов (13 класс) по статистике, английскому языку, математическому анализу и физике, были наиболее популярными предметами среди мальчиков, тогда как английский язык, статистика, биология и география пользовались наибольшей популярностью среди девочек. В старших классах история и искусство более популярны среди девочек, чем среди мальчиков. На занятиях по математике и естественным наукам в старших классах по-прежнему преобладают мальчики, у которых несколько выше вероятность хорошей успеваемости по матем</w:t>
      </w:r>
      <w:r>
        <w:t>а</w:t>
      </w:r>
      <w:r>
        <w:t>тике.</w:t>
      </w:r>
    </w:p>
    <w:p w:rsidR="00000000" w:rsidRDefault="00000000">
      <w:pPr>
        <w:pStyle w:val="SingleTxt"/>
      </w:pPr>
      <w:r>
        <w:t>В 2000 году девочки получали более высокие, чем мальчики оценки на школьных выпускных экзаменах, причем наибольшие различия приходились на английский язык. В ходе экзаменов 2000 года на университетскую стипендию несколько большее число девочек получили оценку "хорошо" и "отлично", чем мальчиков. Однако учащиеся средней школы из числа маори и пасифика, вкл</w:t>
      </w:r>
      <w:r>
        <w:t>ю</w:t>
      </w:r>
      <w:r>
        <w:t>чая девочек, показали на экзаменах более низкие результаты, чем представит</w:t>
      </w:r>
      <w:r>
        <w:t>е</w:t>
      </w:r>
      <w:r>
        <w:t>ли других этнических групп.</w:t>
      </w:r>
    </w:p>
    <w:p w:rsidR="00000000" w:rsidRDefault="00000000">
      <w:pPr>
        <w:pStyle w:val="SingleTxt"/>
      </w:pPr>
      <w:r>
        <w:t>В 2000 году девочки-маори из 12 и 13 классов получили более высокие оценки, чем их соученики мужского пола. В указанном году 32 процента дев</w:t>
      </w:r>
      <w:r>
        <w:t>о</w:t>
      </w:r>
      <w:r>
        <w:t>чек-маори бросили школу без какой-либо квалификации или набрав менее 12 баллов на первом уровне по сравнению с 39 процентами мальчиков-маори и 13 процентами девочек из других этнических групп. Пять процентов девочек-маори бросили учебу с оценками "хорошо" и "отлично", полученными в ходе экзаменов на университетскую стипендию, по сравнению с 3 процентами мал</w:t>
      </w:r>
      <w:r>
        <w:t>ь</w:t>
      </w:r>
      <w:r>
        <w:t>чиков-маори и 25 процентами девочек из других этнических групп.</w:t>
      </w:r>
    </w:p>
    <w:p w:rsidR="00000000" w:rsidRDefault="00000000">
      <w:pPr>
        <w:pStyle w:val="SingleTxt"/>
      </w:pPr>
      <w:r>
        <w:t>Девочки чаще, чем мальчики бросают школу с высокими показателями успеваемости. В 2000 году 18166 девочек (67,6 процента) бросили школу, имея удостоверение по шестой форме или выше по сравнению с 16869 мальчиками (60 процентов).</w:t>
      </w:r>
    </w:p>
    <w:p w:rsidR="00000000" w:rsidRDefault="00000000">
      <w:pPr>
        <w:pStyle w:val="H1"/>
      </w:pPr>
      <w:r>
        <w:t>Преподавательский состав</w:t>
      </w:r>
    </w:p>
    <w:p w:rsidR="00000000" w:rsidRDefault="00000000">
      <w:pPr>
        <w:pStyle w:val="SingleTxt"/>
      </w:pPr>
      <w:r>
        <w:t>В апреле 2000 года в государственных и полугосударственных школах Н</w:t>
      </w:r>
      <w:r>
        <w:t>о</w:t>
      </w:r>
      <w:r>
        <w:t xml:space="preserve">вой Зеландии насчитывалось 40408 учителей на полной или эквивалентной ставке. В их числе женщин-учителей было значительно больше (28030 или 69 процентов), чем мужчин-учителей (12378 или 31 процент). </w:t>
      </w:r>
    </w:p>
    <w:p w:rsidR="00000000" w:rsidRDefault="00000000">
      <w:pPr>
        <w:pStyle w:val="SingleTxt"/>
      </w:pPr>
      <w:r>
        <w:t>С 1996 года численность учителей на полной или эквивалентной ставке возросла на 7,6 процента (2869 учителей). Однако численность женщин-учителей росла непропорционально быстрее, чем числе</w:t>
      </w:r>
      <w:r>
        <w:t>н</w:t>
      </w:r>
      <w:r>
        <w:t>ность мужчин-учителей. Обратная картина наблюдалась только в специальных школах.</w:t>
      </w:r>
    </w:p>
    <w:p w:rsidR="00000000" w:rsidRDefault="00000000">
      <w:pPr>
        <w:pStyle w:val="SingleTxt"/>
      </w:pPr>
      <w:r>
        <w:t>Министерство образования разработало стратегии увеличения численн</w:t>
      </w:r>
      <w:r>
        <w:t>о</w:t>
      </w:r>
      <w:r>
        <w:t>сти преподавателей из с</w:t>
      </w:r>
      <w:r>
        <w:t>о</w:t>
      </w:r>
      <w:r>
        <w:t>става маори и пасифика.</w:t>
      </w:r>
    </w:p>
    <w:p w:rsidR="00000000" w:rsidRDefault="00000000">
      <w:pPr>
        <w:pStyle w:val="SingleTxt"/>
      </w:pPr>
      <w:r>
        <w:t>Хотя в составе учителей теперь преобладают женщины, у них меньше шансов занять должность директора школы. Вместе с тем с течением времени это неравенство снизилось. В 1996 году женщины составляли только 31 процент (787) корпуса директоров из числа учителей на полной или эквив</w:t>
      </w:r>
      <w:r>
        <w:t>а</w:t>
      </w:r>
      <w:r>
        <w:t>лентной ставке, а к 2000 году этот показатель возрос до 35 процентов (898). Диспропорции более заметны в средней школе, где 26 процентов директоров составляют женщины по сравнению с 36 процентами в начал</w:t>
      </w:r>
      <w:r>
        <w:t>ь</w:t>
      </w:r>
      <w:r>
        <w:t>ной школе.</w:t>
      </w:r>
    </w:p>
    <w:p w:rsidR="00000000" w:rsidRDefault="00000000">
      <w:pPr>
        <w:pStyle w:val="SingleTxt"/>
      </w:pPr>
      <w:r>
        <w:t>Кроме того, у женщин меньше шансов, чем у мужчин занять руководящие учительские должности. В апреле 2000 года 27 процентов всех женщин-учителей занимали руководящие должности по сравнению с 40 процентами мужчин-учителей. Эта диспропорция более заметна в средней школе, где 39 процентов женщин-учителей занимали руководящие должности по сравн</w:t>
      </w:r>
      <w:r>
        <w:t>е</w:t>
      </w:r>
      <w:r>
        <w:t>нию с 51 процентом мужчин-учителей.</w:t>
      </w:r>
    </w:p>
    <w:p w:rsidR="00000000" w:rsidRDefault="00000000">
      <w:pPr>
        <w:pStyle w:val="SingleTxt"/>
      </w:pPr>
      <w:r>
        <w:t>Недавно предпринятые инициативы по формированию корпуса директ</w:t>
      </w:r>
      <w:r>
        <w:t>о</w:t>
      </w:r>
      <w:r>
        <w:t>ров и соискателей должности директоров школ, возможно, дадут положител</w:t>
      </w:r>
      <w:r>
        <w:t>ь</w:t>
      </w:r>
      <w:r>
        <w:t>ный эффект в плане продвижения женщин на должности школьных директоров и завучей. Эти инициативы, реализация которых начнется в 2002 году, обесп</w:t>
      </w:r>
      <w:r>
        <w:t>е</w:t>
      </w:r>
      <w:r>
        <w:t>чивают более упорядоченный профессиональный рост, более прочную по</w:t>
      </w:r>
      <w:r>
        <w:t>д</w:t>
      </w:r>
      <w:r>
        <w:t>держку и ориентиры как для будущих, так и для действующих директоров школ.</w:t>
      </w:r>
    </w:p>
    <w:p w:rsidR="00000000" w:rsidRDefault="00000000">
      <w:pPr>
        <w:pStyle w:val="SingleTxt"/>
      </w:pPr>
      <w:r>
        <w:t>Паритет между зарплатой учителей начальной школы и учителей средней школы был согласован в 1996 году и вступил в действие в 1998 году. В 2000 году приблизительно 80 процентов учителей государственных школ были же</w:t>
      </w:r>
      <w:r>
        <w:t>н</w:t>
      </w:r>
      <w:r>
        <w:t>щинами.</w:t>
      </w:r>
    </w:p>
    <w:p w:rsidR="00000000" w:rsidRDefault="00000000">
      <w:pPr>
        <w:pStyle w:val="SingleTxt"/>
      </w:pPr>
      <w:r>
        <w:t>По состоянию на 1 июля 2001 года в службах образования дошкольников, за исключением «кёханга рео», насчитывалось 19222 учителя. В них входил оплачиваемый и неоплачиваемый персонал и дежурные взрослые, из которых на женщин приходилось 18874 человек (98 процентов).</w:t>
      </w:r>
    </w:p>
    <w:p w:rsidR="00000000" w:rsidRDefault="00000000">
      <w:pPr>
        <w:pStyle w:val="SingleTxt"/>
      </w:pPr>
      <w:r>
        <w:t>В сентябре 2001 года была создана Рабочая группа по вопросам паритета зарплаты учителей детских садов. Ее задача заключалась в планировании вв</w:t>
      </w:r>
      <w:r>
        <w:t>е</w:t>
      </w:r>
      <w:r>
        <w:t>дения паритета между зарплатой учителей детских садов, большинство из к</w:t>
      </w:r>
      <w:r>
        <w:t>о</w:t>
      </w:r>
      <w:r>
        <w:t>торых составляют женщины, и зарплатой школьных учителей. В январе 2002 года Рабочая группа представила министру образования доклад с рек</w:t>
      </w:r>
      <w:r>
        <w:t>о</w:t>
      </w:r>
      <w:r>
        <w:t>мендациями в отношении сопоставления должностей и поэтапного введения паритета зарплаты. Эти рекомендации легли в основу последних переговоров по коллективному договору с учителями детских садов, одобрение которого профсоюзами ож</w:t>
      </w:r>
      <w:r>
        <w:t>и</w:t>
      </w:r>
      <w:r>
        <w:t>дается в ближайшее время.</w:t>
      </w:r>
    </w:p>
    <w:p w:rsidR="00000000" w:rsidRDefault="00000000">
      <w:pPr>
        <w:pStyle w:val="H1"/>
      </w:pPr>
      <w:r>
        <w:t>Школьные попечительские советы</w:t>
      </w:r>
    </w:p>
    <w:p w:rsidR="00000000" w:rsidRDefault="00000000">
      <w:pPr>
        <w:pStyle w:val="SingleTxt"/>
      </w:pPr>
      <w:r>
        <w:t>Деятельность новозеландских школ регулируется попечительскими сов</w:t>
      </w:r>
      <w:r>
        <w:t>е</w:t>
      </w:r>
      <w:r>
        <w:t>тами в составе родителей и представителей общественности. По состоянию на декабрь 2001 года на женщин приходился 51 процент попечителей.</w:t>
      </w:r>
    </w:p>
    <w:p w:rsidR="00000000" w:rsidRDefault="00000000">
      <w:pPr>
        <w:pStyle w:val="SingleTxt"/>
      </w:pPr>
      <w:r>
        <w:t>Согласно Закону 1988 года о государственном секторе попечительские с</w:t>
      </w:r>
      <w:r>
        <w:t>о</w:t>
      </w:r>
      <w:r>
        <w:t>веты должны представлять ежегодные отчеты Управлению по пересмотру си</w:t>
      </w:r>
      <w:r>
        <w:t>с</w:t>
      </w:r>
      <w:r>
        <w:t>темы образования с изложением политики и программ их школ по обеспечению равных возможностей в области трудоустройства. Это требование почти ник</w:t>
      </w:r>
      <w:r>
        <w:t>о</w:t>
      </w:r>
      <w:r>
        <w:t>гда не выполнялось в полном объеме (в 1999 году только 40 процентов школ представили доклады о предоставлении равных возможностей в области труд</w:t>
      </w:r>
      <w:r>
        <w:t>о</w:t>
      </w:r>
      <w:r>
        <w:t>устройства), и показатель представления таких докладов неизменно был ни</w:t>
      </w:r>
      <w:r>
        <w:t>з</w:t>
      </w:r>
      <w:r>
        <w:t>ким.</w:t>
      </w:r>
    </w:p>
    <w:p w:rsidR="00000000" w:rsidRDefault="00000000">
      <w:pPr>
        <w:pStyle w:val="SingleTxt"/>
      </w:pPr>
      <w:r>
        <w:t>В порядке совершенствования законодательства о планировании школ</w:t>
      </w:r>
      <w:r>
        <w:t>ь</w:t>
      </w:r>
      <w:r>
        <w:t>ной работы и представлении соответствующей отчетности было снято полож</w:t>
      </w:r>
      <w:r>
        <w:t>е</w:t>
      </w:r>
      <w:r>
        <w:t>ние Закона 1988 года о государственном секторе, касающееся отдельных отч</w:t>
      </w:r>
      <w:r>
        <w:t>е</w:t>
      </w:r>
      <w:r>
        <w:t>тов о равных возможностях в области трудоустройства. В будущем планиров</w:t>
      </w:r>
      <w:r>
        <w:t>а</w:t>
      </w:r>
      <w:r>
        <w:t>ние и представление отчетности об обеспечении равных возможностей в о</w:t>
      </w:r>
      <w:r>
        <w:t>б</w:t>
      </w:r>
      <w:r>
        <w:t>ласти трудоустройства будут осуществляться в соответствии с Национальными руководящими принципами в сфере образования. Это позволит привести тр</w:t>
      </w:r>
      <w:r>
        <w:t>е</w:t>
      </w:r>
      <w:r>
        <w:t>бования в данной области с положением в школьном секторе и обеспечить их более широкое практическое применение и выполнение. Кроме того, сектор с</w:t>
      </w:r>
      <w:r>
        <w:t>о</w:t>
      </w:r>
      <w:r>
        <w:t>гласился перенести акцент в этой области с соблюдения требований на разв</w:t>
      </w:r>
      <w:r>
        <w:t>и</w:t>
      </w:r>
      <w:r>
        <w:t>тие людского потенциала путем уделения особого внимания двум главным а</w:t>
      </w:r>
      <w:r>
        <w:t>с</w:t>
      </w:r>
      <w:r>
        <w:t>пектам: качеству системы комплектования кадров и оптимальному развитию и использованию нынешних и будущих кадров. Это позволит сосредоточить пр</w:t>
      </w:r>
      <w:r>
        <w:t>о</w:t>
      </w:r>
      <w:r>
        <w:t>цесс планирования обеспечения равных возможностей в области трудоустро</w:t>
      </w:r>
      <w:r>
        <w:t>й</w:t>
      </w:r>
      <w:r>
        <w:t>ства на совершенствовании практики развития людских ресурсов и поддержать усилия по набору и формированию высококачественных учительских ка</w:t>
      </w:r>
      <w:r>
        <w:t>д</w:t>
      </w:r>
      <w:r>
        <w:t>ров.</w:t>
      </w:r>
    </w:p>
    <w:p w:rsidR="00000000" w:rsidRDefault="00000000">
      <w:pPr>
        <w:pStyle w:val="H1"/>
      </w:pPr>
      <w:r>
        <w:t>Библиография</w:t>
      </w:r>
    </w:p>
    <w:p w:rsidR="00000000" w:rsidRDefault="00000000">
      <w:pPr>
        <w:pStyle w:val="SingleTxt"/>
        <w:ind w:left="1740" w:hanging="476"/>
      </w:pPr>
      <w:r>
        <w:tab/>
        <w:t xml:space="preserve">Education and Science Select Committee, October 2001, Inquiry into Student Fees, Loans, Allowances and the Overall Resourcing of Tertiary Education, Wellington. </w:t>
      </w:r>
    </w:p>
    <w:p w:rsidR="00000000" w:rsidRDefault="00000000">
      <w:pPr>
        <w:pStyle w:val="HCh"/>
      </w:pPr>
      <w:r>
        <w:rPr>
          <w:b w:val="0"/>
        </w:rPr>
        <w:br w:type="page"/>
      </w:r>
      <w:bookmarkStart w:id="29" w:name="_Toc30302894"/>
      <w:r>
        <w:t>Статья 11</w:t>
      </w:r>
      <w:bookmarkEnd w:id="29"/>
    </w:p>
    <w:p w:rsidR="00000000" w:rsidRDefault="00000000">
      <w:pPr>
        <w:pStyle w:val="HCh"/>
      </w:pPr>
      <w:bookmarkStart w:id="30" w:name="_Toc30302895"/>
      <w:r>
        <w:t>Занятость</w:t>
      </w:r>
      <w:bookmarkEnd w:id="30"/>
    </w:p>
    <w:p w:rsidR="00000000" w:rsidRDefault="00000000">
      <w:pPr>
        <w:pStyle w:val="SingleTxt"/>
        <w:ind w:left="1740" w:hanging="476"/>
        <w:rPr>
          <w:i/>
        </w:rPr>
      </w:pPr>
      <w:r>
        <w:rPr>
          <w:i/>
        </w:rPr>
        <w:t xml:space="preserve">1. </w:t>
      </w:r>
      <w:r>
        <w:rPr>
          <w:i/>
        </w:rPr>
        <w:tab/>
        <w:t>Государства-участники принимают все соответствующие меры для ли</w:t>
      </w:r>
      <w:r>
        <w:rPr>
          <w:i/>
        </w:rPr>
        <w:t>к</w:t>
      </w:r>
      <w:r>
        <w:rPr>
          <w:i/>
        </w:rPr>
        <w:t>видации дискриминации в отношении женщин в области занятости, с тем чтобы обеспечить на основе равенства мужчин и женщин равные права, в частн</w:t>
      </w:r>
      <w:r>
        <w:rPr>
          <w:i/>
        </w:rPr>
        <w:t>о</w:t>
      </w:r>
      <w:r>
        <w:rPr>
          <w:i/>
        </w:rPr>
        <w:t xml:space="preserve">сти: </w:t>
      </w:r>
    </w:p>
    <w:p w:rsidR="00000000" w:rsidRDefault="00000000">
      <w:pPr>
        <w:pStyle w:val="SingleTxt"/>
        <w:ind w:left="2217" w:hanging="953"/>
        <w:rPr>
          <w:i/>
        </w:rPr>
      </w:pPr>
      <w:r>
        <w:rPr>
          <w:i/>
        </w:rPr>
        <w:tab/>
      </w:r>
      <w:r>
        <w:rPr>
          <w:i/>
        </w:rPr>
        <w:tab/>
        <w:t xml:space="preserve">а) </w:t>
      </w:r>
      <w:r>
        <w:rPr>
          <w:i/>
        </w:rPr>
        <w:tab/>
        <w:t xml:space="preserve">право на труд как неотъемлемое право всех людей; </w:t>
      </w:r>
    </w:p>
    <w:p w:rsidR="00000000" w:rsidRDefault="00000000">
      <w:pPr>
        <w:pStyle w:val="SingleTxt"/>
        <w:ind w:left="2217" w:hanging="953"/>
        <w:rPr>
          <w:i/>
        </w:rPr>
      </w:pPr>
      <w:r>
        <w:rPr>
          <w:i/>
        </w:rPr>
        <w:tab/>
      </w:r>
      <w:r>
        <w:rPr>
          <w:i/>
        </w:rPr>
        <w:tab/>
        <w:t xml:space="preserve">b) </w:t>
      </w:r>
      <w:r>
        <w:rPr>
          <w:i/>
        </w:rPr>
        <w:tab/>
        <w:t>право на одинаковые возможности при найме на работу, в том чи</w:t>
      </w:r>
      <w:r>
        <w:rPr>
          <w:i/>
        </w:rPr>
        <w:t>с</w:t>
      </w:r>
      <w:r>
        <w:rPr>
          <w:i/>
        </w:rPr>
        <w:t>ле прим</w:t>
      </w:r>
      <w:r>
        <w:rPr>
          <w:i/>
        </w:rPr>
        <w:t>е</w:t>
      </w:r>
      <w:r>
        <w:rPr>
          <w:i/>
        </w:rPr>
        <w:t xml:space="preserve">нение одинаковых критериев отбора при найме; </w:t>
      </w:r>
    </w:p>
    <w:p w:rsidR="00000000" w:rsidRDefault="00000000">
      <w:pPr>
        <w:pStyle w:val="SingleTxt"/>
        <w:ind w:left="2217" w:hanging="953"/>
        <w:rPr>
          <w:i/>
        </w:rPr>
      </w:pPr>
      <w:r>
        <w:rPr>
          <w:i/>
        </w:rPr>
        <w:tab/>
      </w:r>
      <w:r>
        <w:rPr>
          <w:i/>
        </w:rPr>
        <w:tab/>
        <w:t xml:space="preserve">с) </w:t>
      </w:r>
      <w:r>
        <w:rPr>
          <w:i/>
        </w:rPr>
        <w:tab/>
        <w:t>право на свободный выбор профессии или рода работы, на продв</w:t>
      </w:r>
      <w:r>
        <w:rPr>
          <w:i/>
        </w:rPr>
        <w:t>и</w:t>
      </w:r>
      <w:r>
        <w:rPr>
          <w:i/>
        </w:rPr>
        <w:t>жение в должности и гарантию занятости, а также на пользов</w:t>
      </w:r>
      <w:r>
        <w:rPr>
          <w:i/>
        </w:rPr>
        <w:t>а</w:t>
      </w:r>
      <w:r>
        <w:rPr>
          <w:i/>
        </w:rPr>
        <w:t>ние всеми льготами и условиями работы, на получение професси</w:t>
      </w:r>
      <w:r>
        <w:rPr>
          <w:i/>
        </w:rPr>
        <w:t>о</w:t>
      </w:r>
      <w:r>
        <w:rPr>
          <w:i/>
        </w:rPr>
        <w:t>нальной подготовки и переподготовки, включая ученичество, пр</w:t>
      </w:r>
      <w:r>
        <w:rPr>
          <w:i/>
        </w:rPr>
        <w:t>о</w:t>
      </w:r>
      <w:r>
        <w:rPr>
          <w:i/>
        </w:rPr>
        <w:t>фессиональную подготовку повышенного уровня и регулярную пер</w:t>
      </w:r>
      <w:r>
        <w:rPr>
          <w:i/>
        </w:rPr>
        <w:t>е</w:t>
      </w:r>
      <w:r>
        <w:rPr>
          <w:i/>
        </w:rPr>
        <w:t>подг</w:t>
      </w:r>
      <w:r>
        <w:rPr>
          <w:i/>
        </w:rPr>
        <w:t>о</w:t>
      </w:r>
      <w:r>
        <w:rPr>
          <w:i/>
        </w:rPr>
        <w:t xml:space="preserve">товку; </w:t>
      </w:r>
    </w:p>
    <w:p w:rsidR="00000000" w:rsidRDefault="00000000">
      <w:pPr>
        <w:pStyle w:val="SingleTxt"/>
        <w:ind w:left="2217" w:hanging="953"/>
        <w:rPr>
          <w:i/>
        </w:rPr>
      </w:pPr>
      <w:r>
        <w:rPr>
          <w:i/>
        </w:rPr>
        <w:tab/>
      </w:r>
      <w:r>
        <w:rPr>
          <w:i/>
        </w:rPr>
        <w:tab/>
        <w:t xml:space="preserve">d) </w:t>
      </w:r>
      <w:r>
        <w:rPr>
          <w:i/>
        </w:rPr>
        <w:tab/>
        <w:t>право на равное вознаграждение, включая получение льгот, на ра</w:t>
      </w:r>
      <w:r>
        <w:rPr>
          <w:i/>
        </w:rPr>
        <w:t>в</w:t>
      </w:r>
      <w:r>
        <w:rPr>
          <w:i/>
        </w:rPr>
        <w:t>ные условия в отношении труда равной ценности, а также на ра</w:t>
      </w:r>
      <w:r>
        <w:rPr>
          <w:i/>
        </w:rPr>
        <w:t>в</w:t>
      </w:r>
      <w:r>
        <w:rPr>
          <w:i/>
        </w:rPr>
        <w:t xml:space="preserve">ный подход к оценке качества работы; </w:t>
      </w:r>
    </w:p>
    <w:p w:rsidR="00000000" w:rsidRDefault="00000000">
      <w:pPr>
        <w:pStyle w:val="SingleTxt"/>
        <w:ind w:left="2217" w:hanging="953"/>
        <w:rPr>
          <w:i/>
        </w:rPr>
      </w:pPr>
      <w:r>
        <w:rPr>
          <w:i/>
        </w:rPr>
        <w:tab/>
      </w:r>
      <w:r>
        <w:rPr>
          <w:i/>
        </w:rPr>
        <w:tab/>
        <w:t xml:space="preserve">е) </w:t>
      </w:r>
      <w:r>
        <w:rPr>
          <w:i/>
        </w:rPr>
        <w:tab/>
        <w:t>право на социальное обеспечение, в частности в случае ухода на пенсию, безработицы, болезни, инвалидности, по старости и в др</w:t>
      </w:r>
      <w:r>
        <w:rPr>
          <w:i/>
        </w:rPr>
        <w:t>у</w:t>
      </w:r>
      <w:r>
        <w:rPr>
          <w:i/>
        </w:rPr>
        <w:t>гих случаях потери трудоспособности, а также право на оплач</w:t>
      </w:r>
      <w:r>
        <w:rPr>
          <w:i/>
        </w:rPr>
        <w:t>и</w:t>
      </w:r>
      <w:r>
        <w:rPr>
          <w:i/>
        </w:rPr>
        <w:t>ваемый о</w:t>
      </w:r>
      <w:r>
        <w:rPr>
          <w:i/>
        </w:rPr>
        <w:t>т</w:t>
      </w:r>
      <w:r>
        <w:rPr>
          <w:i/>
        </w:rPr>
        <w:t xml:space="preserve">пуск; </w:t>
      </w:r>
    </w:p>
    <w:p w:rsidR="00000000" w:rsidRDefault="00000000">
      <w:pPr>
        <w:pStyle w:val="SingleTxt"/>
        <w:ind w:left="2217" w:hanging="953"/>
        <w:rPr>
          <w:i/>
        </w:rPr>
      </w:pPr>
      <w:r>
        <w:rPr>
          <w:i/>
        </w:rPr>
        <w:tab/>
      </w:r>
      <w:r>
        <w:rPr>
          <w:i/>
        </w:rPr>
        <w:tab/>
        <w:t xml:space="preserve">f) </w:t>
      </w:r>
      <w:r>
        <w:rPr>
          <w:i/>
        </w:rPr>
        <w:tab/>
        <w:t>право на охрану здоровья и безопасные условия труда, в том числе по сохранению функции пр</w:t>
      </w:r>
      <w:r>
        <w:rPr>
          <w:i/>
        </w:rPr>
        <w:t>о</w:t>
      </w:r>
      <w:r>
        <w:rPr>
          <w:i/>
        </w:rPr>
        <w:t xml:space="preserve">должения рода. </w:t>
      </w:r>
    </w:p>
    <w:p w:rsidR="00000000" w:rsidRDefault="00000000">
      <w:pPr>
        <w:pStyle w:val="SingleTxt"/>
        <w:ind w:left="1740" w:hanging="476"/>
        <w:rPr>
          <w:i/>
        </w:rPr>
      </w:pPr>
      <w:r>
        <w:rPr>
          <w:i/>
        </w:rPr>
        <w:t xml:space="preserve">2. </w:t>
      </w:r>
      <w:r>
        <w:rPr>
          <w:i/>
        </w:rP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w:t>
      </w:r>
      <w:r>
        <w:rPr>
          <w:i/>
        </w:rPr>
        <w:t>о</w:t>
      </w:r>
      <w:r>
        <w:rPr>
          <w:i/>
        </w:rPr>
        <w:t xml:space="preserve">го, чтобы: </w:t>
      </w:r>
    </w:p>
    <w:p w:rsidR="00000000" w:rsidRDefault="00000000">
      <w:pPr>
        <w:pStyle w:val="SingleTxt"/>
        <w:ind w:left="2217" w:hanging="953"/>
        <w:rPr>
          <w:i/>
        </w:rPr>
      </w:pPr>
      <w:r>
        <w:rPr>
          <w:i/>
        </w:rPr>
        <w:tab/>
      </w:r>
      <w:r>
        <w:rPr>
          <w:i/>
        </w:rPr>
        <w:tab/>
        <w:t xml:space="preserve">а) </w:t>
      </w:r>
      <w:r>
        <w:rPr>
          <w:i/>
        </w:rP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w:t>
      </w:r>
      <w:r>
        <w:rPr>
          <w:i/>
        </w:rPr>
        <w:t>е</w:t>
      </w:r>
      <w:r>
        <w:rPr>
          <w:i/>
        </w:rPr>
        <w:t xml:space="preserve">мейного положения при увольнении; </w:t>
      </w:r>
    </w:p>
    <w:p w:rsidR="00000000" w:rsidRDefault="00000000">
      <w:pPr>
        <w:pStyle w:val="SingleTxt"/>
        <w:ind w:left="2217" w:hanging="953"/>
        <w:rPr>
          <w:i/>
        </w:rPr>
      </w:pPr>
      <w:r>
        <w:rPr>
          <w:i/>
        </w:rPr>
        <w:tab/>
      </w:r>
      <w:r>
        <w:rPr>
          <w:i/>
        </w:rPr>
        <w:tab/>
        <w:t xml:space="preserve">b) </w:t>
      </w:r>
      <w:r>
        <w:rPr>
          <w:i/>
        </w:rPr>
        <w:tab/>
        <w:t>ввести оплачиваемые отпуска или отпуска с сопоставимыми соц</w:t>
      </w:r>
      <w:r>
        <w:rPr>
          <w:i/>
        </w:rPr>
        <w:t>и</w:t>
      </w:r>
      <w:r>
        <w:rPr>
          <w:i/>
        </w:rPr>
        <w:t>альными пособиями по беременности и родам без утраты прежнего места работы, старшинства или с</w:t>
      </w:r>
      <w:r>
        <w:rPr>
          <w:i/>
        </w:rPr>
        <w:t>о</w:t>
      </w:r>
      <w:r>
        <w:rPr>
          <w:i/>
        </w:rPr>
        <w:t xml:space="preserve">циальных пособий; </w:t>
      </w:r>
    </w:p>
    <w:p w:rsidR="00000000" w:rsidRDefault="00000000">
      <w:pPr>
        <w:pStyle w:val="SingleTxt"/>
        <w:ind w:left="2217" w:hanging="953"/>
        <w:rPr>
          <w:i/>
        </w:rPr>
      </w:pPr>
      <w:r>
        <w:rPr>
          <w:i/>
        </w:rPr>
        <w:tab/>
      </w:r>
      <w:r>
        <w:rPr>
          <w:i/>
        </w:rPr>
        <w:tab/>
        <w:t xml:space="preserve">с) </w:t>
      </w:r>
      <w:r>
        <w:rPr>
          <w:i/>
        </w:rPr>
        <w:tab/>
        <w:t>поощрять предоставление необходимых дополнительных социал</w:t>
      </w:r>
      <w:r>
        <w:rPr>
          <w:i/>
        </w:rPr>
        <w:t>ь</w:t>
      </w:r>
      <w:r>
        <w:rPr>
          <w:i/>
        </w:rPr>
        <w:t>ных услуг, с тем чтобы позволить родителям совмещать выполн</w:t>
      </w:r>
      <w:r>
        <w:rPr>
          <w:i/>
        </w:rPr>
        <w:t>е</w:t>
      </w:r>
      <w:r>
        <w:rPr>
          <w:i/>
        </w:rPr>
        <w:t>ние семейных обязанностей с трудовой деятельностью и участием в общественной жизни, в частности посредством создания и ра</w:t>
      </w:r>
      <w:r>
        <w:rPr>
          <w:i/>
        </w:rPr>
        <w:t>с</w:t>
      </w:r>
      <w:r>
        <w:rPr>
          <w:i/>
        </w:rPr>
        <w:t>ширения сети учре</w:t>
      </w:r>
      <w:r>
        <w:rPr>
          <w:i/>
        </w:rPr>
        <w:t>ж</w:t>
      </w:r>
      <w:r>
        <w:rPr>
          <w:i/>
        </w:rPr>
        <w:t xml:space="preserve">дений по уходу за детьми; </w:t>
      </w:r>
    </w:p>
    <w:p w:rsidR="00000000" w:rsidRDefault="00000000">
      <w:pPr>
        <w:pStyle w:val="SingleTxt"/>
        <w:ind w:left="2217" w:hanging="953"/>
        <w:rPr>
          <w:i/>
        </w:rPr>
      </w:pPr>
      <w:r>
        <w:rPr>
          <w:i/>
        </w:rPr>
        <w:tab/>
      </w:r>
      <w:r>
        <w:rPr>
          <w:i/>
        </w:rPr>
        <w:tab/>
        <w:t xml:space="preserve">d) </w:t>
      </w:r>
      <w:r>
        <w:rPr>
          <w:i/>
        </w:rPr>
        <w:tab/>
        <w:t>обеспечивать женщинам особую защиту в период беременности на тех видах работ, вре</w:t>
      </w:r>
      <w:r>
        <w:rPr>
          <w:i/>
        </w:rPr>
        <w:t>д</w:t>
      </w:r>
      <w:r>
        <w:rPr>
          <w:i/>
        </w:rPr>
        <w:t>ность которых для их здоровья доказана.</w:t>
      </w:r>
    </w:p>
    <w:p w:rsidR="00000000" w:rsidRDefault="00000000">
      <w:pPr>
        <w:pStyle w:val="SingleTxt"/>
        <w:ind w:left="1740" w:hanging="476"/>
        <w:rPr>
          <w:i/>
        </w:rPr>
      </w:pPr>
      <w:r>
        <w:rPr>
          <w:i/>
        </w:rPr>
        <w:t xml:space="preserve">3. </w:t>
      </w:r>
      <w:r>
        <w:rPr>
          <w:i/>
        </w:rPr>
        <w:tab/>
        <w:t>Законодательство, касающееся защиты прав, затрагиваемых в насто</w:t>
      </w:r>
      <w:r>
        <w:rPr>
          <w:i/>
        </w:rPr>
        <w:t>я</w:t>
      </w:r>
      <w:r>
        <w:rPr>
          <w:i/>
        </w:rPr>
        <w:t>щей статье, периодически рассматривается в свете научно-технических знаний, а также пересматривается, отменяется или расширяется, н</w:t>
      </w:r>
      <w:r>
        <w:rPr>
          <w:i/>
        </w:rPr>
        <w:t>а</w:t>
      </w:r>
      <w:r>
        <w:rPr>
          <w:i/>
        </w:rPr>
        <w:t>сколько это необх</w:t>
      </w:r>
      <w:r>
        <w:rPr>
          <w:i/>
        </w:rPr>
        <w:t>о</w:t>
      </w:r>
      <w:r>
        <w:rPr>
          <w:i/>
        </w:rPr>
        <w:t>димо.</w:t>
      </w:r>
    </w:p>
    <w:p w:rsidR="00000000" w:rsidRDefault="00000000">
      <w:pPr>
        <w:pStyle w:val="H1"/>
      </w:pPr>
      <w:r>
        <w:t>Женщины в составе наемной рабочей силы</w:t>
      </w:r>
    </w:p>
    <w:p w:rsidR="00000000" w:rsidRDefault="00000000">
      <w:pPr>
        <w:pStyle w:val="SingleTxt"/>
        <w:ind w:firstLine="0"/>
        <w:jc w:val="left"/>
        <w:rPr>
          <w:b/>
        </w:rPr>
      </w:pPr>
      <w:r>
        <w:rPr>
          <w:b/>
        </w:rPr>
        <w:t>Обзор участия в рабочей силе, средние показатели за год по июнь 2002 года</w:t>
      </w:r>
    </w:p>
    <w:tbl>
      <w:tblPr>
        <w:tblW w:w="0" w:type="auto"/>
        <w:tblInd w:w="1278" w:type="dxa"/>
        <w:tblLayout w:type="fixed"/>
        <w:tblLook w:val="0000" w:firstRow="0" w:lastRow="0" w:firstColumn="0" w:lastColumn="0" w:noHBand="0" w:noVBand="0"/>
      </w:tblPr>
      <w:tblGrid>
        <w:gridCol w:w="3119"/>
        <w:gridCol w:w="2126"/>
        <w:gridCol w:w="2126"/>
      </w:tblGrid>
      <w:tr w:rsidR="00000000">
        <w:tblPrEx>
          <w:tblCellMar>
            <w:top w:w="0" w:type="dxa"/>
            <w:bottom w:w="0" w:type="dxa"/>
          </w:tblCellMar>
        </w:tblPrEx>
        <w:tc>
          <w:tcPr>
            <w:tcW w:w="3119" w:type="dxa"/>
            <w:tcBorders>
              <w:top w:val="single" w:sz="6" w:space="0" w:color="auto"/>
              <w:bottom w:val="single" w:sz="12" w:space="0" w:color="auto"/>
            </w:tcBorders>
          </w:tcPr>
          <w:p w:rsidR="00000000" w:rsidRDefault="00000000">
            <w:pPr>
              <w:pStyle w:val="BodyText2"/>
              <w:keepNext/>
              <w:spacing w:before="40" w:after="40" w:line="180" w:lineRule="exact"/>
              <w:rPr>
                <w:i w:val="0"/>
                <w:sz w:val="17"/>
              </w:rPr>
            </w:pPr>
          </w:p>
        </w:tc>
        <w:tc>
          <w:tcPr>
            <w:tcW w:w="2126" w:type="dxa"/>
            <w:tcBorders>
              <w:top w:val="single" w:sz="6" w:space="0" w:color="auto"/>
              <w:bottom w:val="single" w:sz="12" w:space="0" w:color="auto"/>
            </w:tcBorders>
          </w:tcPr>
          <w:p w:rsidR="00000000" w:rsidRDefault="00000000">
            <w:pPr>
              <w:pStyle w:val="BodyText2"/>
              <w:keepNext/>
              <w:spacing w:before="40" w:after="40" w:line="180" w:lineRule="exact"/>
              <w:jc w:val="center"/>
              <w:rPr>
                <w:sz w:val="17"/>
              </w:rPr>
            </w:pPr>
            <w:r>
              <w:rPr>
                <w:sz w:val="17"/>
              </w:rPr>
              <w:t>Все женщины (в %)</w:t>
            </w:r>
          </w:p>
        </w:tc>
        <w:tc>
          <w:tcPr>
            <w:tcW w:w="2126" w:type="dxa"/>
            <w:tcBorders>
              <w:top w:val="single" w:sz="6" w:space="0" w:color="auto"/>
              <w:bottom w:val="single" w:sz="12" w:space="0" w:color="auto"/>
            </w:tcBorders>
          </w:tcPr>
          <w:p w:rsidR="00000000" w:rsidRDefault="00000000">
            <w:pPr>
              <w:pStyle w:val="BodyText2"/>
              <w:keepNext/>
              <w:spacing w:before="40" w:after="40" w:line="180" w:lineRule="exact"/>
              <w:jc w:val="center"/>
              <w:rPr>
                <w:sz w:val="17"/>
              </w:rPr>
            </w:pPr>
            <w:r>
              <w:rPr>
                <w:sz w:val="17"/>
              </w:rPr>
              <w:t>Все мужчины (в %)</w:t>
            </w:r>
          </w:p>
        </w:tc>
      </w:tr>
      <w:tr w:rsidR="00000000">
        <w:tblPrEx>
          <w:tblCellMar>
            <w:top w:w="0" w:type="dxa"/>
            <w:bottom w:w="0" w:type="dxa"/>
          </w:tblCellMar>
        </w:tblPrEx>
        <w:tc>
          <w:tcPr>
            <w:tcW w:w="3119" w:type="dxa"/>
            <w:tcBorders>
              <w:top w:val="single" w:sz="12" w:space="0" w:color="auto"/>
            </w:tcBorders>
          </w:tcPr>
          <w:p w:rsidR="00000000" w:rsidRDefault="00000000">
            <w:pPr>
              <w:pStyle w:val="BodyText2"/>
              <w:keepNext/>
              <w:spacing w:before="40" w:after="40" w:line="180" w:lineRule="exact"/>
              <w:rPr>
                <w:i w:val="0"/>
                <w:sz w:val="17"/>
              </w:rPr>
            </w:pPr>
            <w:r>
              <w:rPr>
                <w:i w:val="0"/>
                <w:sz w:val="17"/>
              </w:rPr>
              <w:t>Население трудоспособного во</w:t>
            </w:r>
            <w:r>
              <w:rPr>
                <w:i w:val="0"/>
                <w:sz w:val="17"/>
              </w:rPr>
              <w:t>з</w:t>
            </w:r>
            <w:r>
              <w:rPr>
                <w:i w:val="0"/>
                <w:sz w:val="17"/>
              </w:rPr>
              <w:t>раста</w:t>
            </w:r>
          </w:p>
        </w:tc>
        <w:tc>
          <w:tcPr>
            <w:tcW w:w="2126" w:type="dxa"/>
            <w:tcBorders>
              <w:top w:val="single" w:sz="12" w:space="0" w:color="auto"/>
            </w:tcBorders>
          </w:tcPr>
          <w:p w:rsidR="00000000" w:rsidRDefault="00000000">
            <w:pPr>
              <w:pStyle w:val="BodyText2"/>
              <w:keepNext/>
              <w:spacing w:before="40" w:after="40" w:line="180" w:lineRule="exact"/>
              <w:jc w:val="center"/>
              <w:rPr>
                <w:i w:val="0"/>
                <w:sz w:val="17"/>
              </w:rPr>
            </w:pPr>
            <w:r>
              <w:rPr>
                <w:i w:val="0"/>
                <w:sz w:val="17"/>
              </w:rPr>
              <w:t>51,3</w:t>
            </w:r>
          </w:p>
        </w:tc>
        <w:tc>
          <w:tcPr>
            <w:tcW w:w="2126" w:type="dxa"/>
            <w:tcBorders>
              <w:top w:val="single" w:sz="12" w:space="0" w:color="auto"/>
            </w:tcBorders>
          </w:tcPr>
          <w:p w:rsidR="00000000" w:rsidRDefault="00000000">
            <w:pPr>
              <w:pStyle w:val="BodyText2"/>
              <w:keepNext/>
              <w:spacing w:before="40" w:after="40" w:line="180" w:lineRule="exact"/>
              <w:jc w:val="center"/>
              <w:rPr>
                <w:i w:val="0"/>
                <w:sz w:val="17"/>
              </w:rPr>
            </w:pPr>
            <w:r>
              <w:rPr>
                <w:i w:val="0"/>
                <w:sz w:val="17"/>
              </w:rPr>
              <w:t>48,7</w:t>
            </w:r>
          </w:p>
        </w:tc>
      </w:tr>
      <w:tr w:rsidR="00000000">
        <w:tblPrEx>
          <w:tblCellMar>
            <w:top w:w="0" w:type="dxa"/>
            <w:bottom w:w="0" w:type="dxa"/>
          </w:tblCellMar>
        </w:tblPrEx>
        <w:tc>
          <w:tcPr>
            <w:tcW w:w="3119" w:type="dxa"/>
          </w:tcPr>
          <w:p w:rsidR="00000000" w:rsidRDefault="00000000">
            <w:pPr>
              <w:pStyle w:val="BodyText2"/>
              <w:keepNext/>
              <w:spacing w:before="40" w:after="40" w:line="180" w:lineRule="exact"/>
              <w:rPr>
                <w:i w:val="0"/>
                <w:sz w:val="17"/>
              </w:rPr>
            </w:pPr>
            <w:r>
              <w:rPr>
                <w:i w:val="0"/>
                <w:sz w:val="17"/>
              </w:rPr>
              <w:t>Рабочая с</w:t>
            </w:r>
            <w:r>
              <w:rPr>
                <w:i w:val="0"/>
                <w:sz w:val="17"/>
              </w:rPr>
              <w:t>и</w:t>
            </w:r>
            <w:r>
              <w:rPr>
                <w:i w:val="0"/>
                <w:sz w:val="17"/>
              </w:rPr>
              <w:t>ла</w:t>
            </w:r>
          </w:p>
        </w:tc>
        <w:tc>
          <w:tcPr>
            <w:tcW w:w="2126" w:type="dxa"/>
          </w:tcPr>
          <w:p w:rsidR="00000000" w:rsidRDefault="00000000">
            <w:pPr>
              <w:pStyle w:val="BodyText2"/>
              <w:keepNext/>
              <w:spacing w:before="40" w:after="40" w:line="180" w:lineRule="exact"/>
              <w:jc w:val="center"/>
              <w:rPr>
                <w:i w:val="0"/>
                <w:sz w:val="17"/>
              </w:rPr>
            </w:pPr>
            <w:r>
              <w:rPr>
                <w:i w:val="0"/>
                <w:sz w:val="17"/>
              </w:rPr>
              <w:t>45,4</w:t>
            </w:r>
          </w:p>
        </w:tc>
        <w:tc>
          <w:tcPr>
            <w:tcW w:w="2126" w:type="dxa"/>
          </w:tcPr>
          <w:p w:rsidR="00000000" w:rsidRDefault="00000000">
            <w:pPr>
              <w:pStyle w:val="BodyText2"/>
              <w:keepNext/>
              <w:spacing w:before="40" w:after="40" w:line="180" w:lineRule="exact"/>
              <w:jc w:val="center"/>
              <w:rPr>
                <w:i w:val="0"/>
                <w:sz w:val="17"/>
              </w:rPr>
            </w:pPr>
            <w:r>
              <w:rPr>
                <w:i w:val="0"/>
                <w:sz w:val="17"/>
              </w:rPr>
              <w:t>54,6</w:t>
            </w:r>
          </w:p>
        </w:tc>
      </w:tr>
      <w:tr w:rsidR="00000000">
        <w:tblPrEx>
          <w:tblCellMar>
            <w:top w:w="0" w:type="dxa"/>
            <w:bottom w:w="0" w:type="dxa"/>
          </w:tblCellMar>
        </w:tblPrEx>
        <w:tc>
          <w:tcPr>
            <w:tcW w:w="3119" w:type="dxa"/>
          </w:tcPr>
          <w:p w:rsidR="00000000" w:rsidRDefault="00000000">
            <w:pPr>
              <w:pStyle w:val="BodyText2"/>
              <w:keepNext/>
              <w:spacing w:before="40" w:after="40" w:line="180" w:lineRule="exact"/>
              <w:rPr>
                <w:i w:val="0"/>
                <w:sz w:val="17"/>
              </w:rPr>
            </w:pPr>
            <w:r>
              <w:rPr>
                <w:i w:val="0"/>
                <w:sz w:val="17"/>
              </w:rPr>
              <w:t>Вне рабочей с</w:t>
            </w:r>
            <w:r>
              <w:rPr>
                <w:i w:val="0"/>
                <w:sz w:val="17"/>
              </w:rPr>
              <w:t>и</w:t>
            </w:r>
            <w:r>
              <w:rPr>
                <w:i w:val="0"/>
                <w:sz w:val="17"/>
              </w:rPr>
              <w:t>лы</w:t>
            </w:r>
          </w:p>
        </w:tc>
        <w:tc>
          <w:tcPr>
            <w:tcW w:w="2126" w:type="dxa"/>
          </w:tcPr>
          <w:p w:rsidR="00000000" w:rsidRDefault="00000000">
            <w:pPr>
              <w:pStyle w:val="BodyText2"/>
              <w:keepNext/>
              <w:spacing w:before="40" w:after="40" w:line="180" w:lineRule="exact"/>
              <w:jc w:val="center"/>
              <w:rPr>
                <w:i w:val="0"/>
                <w:sz w:val="17"/>
              </w:rPr>
            </w:pPr>
            <w:r>
              <w:rPr>
                <w:i w:val="0"/>
                <w:sz w:val="17"/>
              </w:rPr>
              <w:t>63,0</w:t>
            </w:r>
          </w:p>
        </w:tc>
        <w:tc>
          <w:tcPr>
            <w:tcW w:w="2126" w:type="dxa"/>
          </w:tcPr>
          <w:p w:rsidR="00000000" w:rsidRDefault="00000000">
            <w:pPr>
              <w:pStyle w:val="BodyText2"/>
              <w:keepNext/>
              <w:spacing w:before="40" w:after="40" w:line="180" w:lineRule="exact"/>
              <w:jc w:val="center"/>
              <w:rPr>
                <w:i w:val="0"/>
                <w:sz w:val="17"/>
              </w:rPr>
            </w:pPr>
            <w:r>
              <w:rPr>
                <w:i w:val="0"/>
                <w:sz w:val="17"/>
              </w:rPr>
              <w:t>37,0</w:t>
            </w:r>
          </w:p>
        </w:tc>
      </w:tr>
      <w:tr w:rsidR="00000000">
        <w:tblPrEx>
          <w:tblCellMar>
            <w:top w:w="0" w:type="dxa"/>
            <w:bottom w:w="0" w:type="dxa"/>
          </w:tblCellMar>
        </w:tblPrEx>
        <w:tc>
          <w:tcPr>
            <w:tcW w:w="3119" w:type="dxa"/>
          </w:tcPr>
          <w:p w:rsidR="00000000" w:rsidRDefault="00000000">
            <w:pPr>
              <w:pStyle w:val="BodyText2"/>
              <w:keepNext/>
              <w:spacing w:before="40" w:after="40" w:line="180" w:lineRule="exact"/>
              <w:rPr>
                <w:i w:val="0"/>
                <w:sz w:val="17"/>
              </w:rPr>
            </w:pPr>
            <w:r>
              <w:rPr>
                <w:i w:val="0"/>
                <w:sz w:val="17"/>
              </w:rPr>
              <w:t>Занятое насел</w:t>
            </w:r>
            <w:r>
              <w:rPr>
                <w:i w:val="0"/>
                <w:sz w:val="17"/>
              </w:rPr>
              <w:t>е</w:t>
            </w:r>
            <w:r>
              <w:rPr>
                <w:i w:val="0"/>
                <w:sz w:val="17"/>
              </w:rPr>
              <w:t>ние</w:t>
            </w:r>
          </w:p>
        </w:tc>
        <w:tc>
          <w:tcPr>
            <w:tcW w:w="2126" w:type="dxa"/>
          </w:tcPr>
          <w:p w:rsidR="00000000" w:rsidRDefault="00000000">
            <w:pPr>
              <w:pStyle w:val="BodyText2"/>
              <w:keepNext/>
              <w:spacing w:before="40" w:after="40" w:line="180" w:lineRule="exact"/>
              <w:jc w:val="center"/>
              <w:rPr>
                <w:i w:val="0"/>
                <w:sz w:val="17"/>
              </w:rPr>
            </w:pPr>
            <w:r>
              <w:rPr>
                <w:i w:val="0"/>
                <w:sz w:val="17"/>
              </w:rPr>
              <w:t>45,4</w:t>
            </w:r>
          </w:p>
        </w:tc>
        <w:tc>
          <w:tcPr>
            <w:tcW w:w="2126" w:type="dxa"/>
          </w:tcPr>
          <w:p w:rsidR="00000000" w:rsidRDefault="00000000">
            <w:pPr>
              <w:pStyle w:val="BodyText2"/>
              <w:keepNext/>
              <w:spacing w:before="40" w:after="40" w:line="180" w:lineRule="exact"/>
              <w:jc w:val="center"/>
              <w:rPr>
                <w:i w:val="0"/>
                <w:sz w:val="17"/>
              </w:rPr>
            </w:pPr>
            <w:r>
              <w:rPr>
                <w:i w:val="0"/>
                <w:sz w:val="17"/>
              </w:rPr>
              <w:t>54,6</w:t>
            </w:r>
          </w:p>
        </w:tc>
      </w:tr>
      <w:tr w:rsidR="00000000">
        <w:tblPrEx>
          <w:tblCellMar>
            <w:top w:w="0" w:type="dxa"/>
            <w:bottom w:w="0" w:type="dxa"/>
          </w:tblCellMar>
        </w:tblPrEx>
        <w:tc>
          <w:tcPr>
            <w:tcW w:w="3119" w:type="dxa"/>
          </w:tcPr>
          <w:p w:rsidR="00000000" w:rsidRDefault="00000000">
            <w:pPr>
              <w:pStyle w:val="BodyText2"/>
              <w:keepNext/>
              <w:spacing w:before="40" w:after="40" w:line="180" w:lineRule="exact"/>
              <w:rPr>
                <w:i w:val="0"/>
                <w:sz w:val="17"/>
              </w:rPr>
            </w:pPr>
            <w:r>
              <w:rPr>
                <w:i w:val="0"/>
                <w:sz w:val="17"/>
              </w:rPr>
              <w:t>Безр</w:t>
            </w:r>
            <w:r>
              <w:rPr>
                <w:i w:val="0"/>
                <w:sz w:val="17"/>
              </w:rPr>
              <w:t>а</w:t>
            </w:r>
            <w:r>
              <w:rPr>
                <w:i w:val="0"/>
                <w:sz w:val="17"/>
              </w:rPr>
              <w:t>ботные</w:t>
            </w:r>
          </w:p>
        </w:tc>
        <w:tc>
          <w:tcPr>
            <w:tcW w:w="2126" w:type="dxa"/>
          </w:tcPr>
          <w:p w:rsidR="00000000" w:rsidRDefault="00000000">
            <w:pPr>
              <w:pStyle w:val="BodyText2"/>
              <w:keepNext/>
              <w:spacing w:before="40" w:after="40" w:line="180" w:lineRule="exact"/>
              <w:jc w:val="center"/>
              <w:rPr>
                <w:i w:val="0"/>
                <w:sz w:val="17"/>
              </w:rPr>
            </w:pPr>
            <w:r>
              <w:rPr>
                <w:i w:val="0"/>
                <w:sz w:val="17"/>
              </w:rPr>
              <w:t>46,4</w:t>
            </w:r>
          </w:p>
        </w:tc>
        <w:tc>
          <w:tcPr>
            <w:tcW w:w="2126" w:type="dxa"/>
          </w:tcPr>
          <w:p w:rsidR="00000000" w:rsidRDefault="00000000">
            <w:pPr>
              <w:pStyle w:val="BodyText2"/>
              <w:keepNext/>
              <w:spacing w:before="40" w:after="40" w:line="180" w:lineRule="exact"/>
              <w:jc w:val="center"/>
              <w:rPr>
                <w:i w:val="0"/>
                <w:sz w:val="17"/>
              </w:rPr>
            </w:pPr>
            <w:r>
              <w:rPr>
                <w:i w:val="0"/>
                <w:sz w:val="17"/>
              </w:rPr>
              <w:t>53,6</w:t>
            </w:r>
          </w:p>
        </w:tc>
      </w:tr>
      <w:tr w:rsidR="00000000">
        <w:tblPrEx>
          <w:tblCellMar>
            <w:top w:w="0" w:type="dxa"/>
            <w:bottom w:w="0" w:type="dxa"/>
          </w:tblCellMar>
        </w:tblPrEx>
        <w:tc>
          <w:tcPr>
            <w:tcW w:w="3119" w:type="dxa"/>
          </w:tcPr>
          <w:p w:rsidR="00000000" w:rsidRDefault="00000000">
            <w:pPr>
              <w:pStyle w:val="BodyText2"/>
              <w:keepNext/>
              <w:spacing w:before="40" w:after="40" w:line="180" w:lineRule="exact"/>
              <w:rPr>
                <w:i w:val="0"/>
                <w:sz w:val="17"/>
              </w:rPr>
            </w:pPr>
            <w:r>
              <w:rPr>
                <w:i w:val="0"/>
                <w:sz w:val="17"/>
              </w:rPr>
              <w:t>Полная з</w:t>
            </w:r>
            <w:r>
              <w:rPr>
                <w:i w:val="0"/>
                <w:sz w:val="17"/>
              </w:rPr>
              <w:t>а</w:t>
            </w:r>
            <w:r>
              <w:rPr>
                <w:i w:val="0"/>
                <w:sz w:val="17"/>
              </w:rPr>
              <w:t>нятость</w:t>
            </w:r>
          </w:p>
        </w:tc>
        <w:tc>
          <w:tcPr>
            <w:tcW w:w="2126" w:type="dxa"/>
          </w:tcPr>
          <w:p w:rsidR="00000000" w:rsidRDefault="00000000">
            <w:pPr>
              <w:pStyle w:val="BodyText2"/>
              <w:keepNext/>
              <w:spacing w:before="40" w:after="40" w:line="180" w:lineRule="exact"/>
              <w:jc w:val="center"/>
              <w:rPr>
                <w:i w:val="0"/>
                <w:sz w:val="17"/>
              </w:rPr>
            </w:pPr>
            <w:r>
              <w:rPr>
                <w:i w:val="0"/>
                <w:sz w:val="17"/>
              </w:rPr>
              <w:t>37,4</w:t>
            </w:r>
          </w:p>
        </w:tc>
        <w:tc>
          <w:tcPr>
            <w:tcW w:w="2126" w:type="dxa"/>
          </w:tcPr>
          <w:p w:rsidR="00000000" w:rsidRDefault="00000000">
            <w:pPr>
              <w:pStyle w:val="BodyText2"/>
              <w:keepNext/>
              <w:spacing w:before="40" w:after="40" w:line="180" w:lineRule="exact"/>
              <w:jc w:val="center"/>
              <w:rPr>
                <w:i w:val="0"/>
                <w:sz w:val="17"/>
              </w:rPr>
            </w:pPr>
            <w:r>
              <w:rPr>
                <w:i w:val="0"/>
                <w:sz w:val="17"/>
              </w:rPr>
              <w:t>62,6</w:t>
            </w:r>
          </w:p>
        </w:tc>
      </w:tr>
      <w:tr w:rsidR="00000000">
        <w:tblPrEx>
          <w:tblCellMar>
            <w:top w:w="0" w:type="dxa"/>
            <w:bottom w:w="0" w:type="dxa"/>
          </w:tblCellMar>
        </w:tblPrEx>
        <w:tc>
          <w:tcPr>
            <w:tcW w:w="3119" w:type="dxa"/>
            <w:tcBorders>
              <w:bottom w:val="single" w:sz="12" w:space="0" w:color="auto"/>
            </w:tcBorders>
          </w:tcPr>
          <w:p w:rsidR="00000000" w:rsidRDefault="00000000">
            <w:pPr>
              <w:pStyle w:val="BodyText2"/>
              <w:keepNext/>
              <w:spacing w:before="40" w:after="40" w:line="180" w:lineRule="exact"/>
              <w:rPr>
                <w:i w:val="0"/>
                <w:sz w:val="17"/>
              </w:rPr>
            </w:pPr>
            <w:r>
              <w:rPr>
                <w:i w:val="0"/>
                <w:sz w:val="17"/>
              </w:rPr>
              <w:t>Неполная зан</w:t>
            </w:r>
            <w:r>
              <w:rPr>
                <w:i w:val="0"/>
                <w:sz w:val="17"/>
              </w:rPr>
              <w:t>я</w:t>
            </w:r>
            <w:r>
              <w:rPr>
                <w:i w:val="0"/>
                <w:sz w:val="17"/>
              </w:rPr>
              <w:t>тость</w:t>
            </w:r>
          </w:p>
        </w:tc>
        <w:tc>
          <w:tcPr>
            <w:tcW w:w="2126" w:type="dxa"/>
            <w:tcBorders>
              <w:bottom w:val="single" w:sz="12" w:space="0" w:color="auto"/>
            </w:tcBorders>
          </w:tcPr>
          <w:p w:rsidR="00000000" w:rsidRDefault="00000000">
            <w:pPr>
              <w:pStyle w:val="BodyText2"/>
              <w:keepNext/>
              <w:spacing w:before="40" w:after="40" w:line="180" w:lineRule="exact"/>
              <w:jc w:val="center"/>
              <w:rPr>
                <w:i w:val="0"/>
                <w:sz w:val="17"/>
              </w:rPr>
            </w:pPr>
            <w:r>
              <w:rPr>
                <w:i w:val="0"/>
                <w:sz w:val="17"/>
              </w:rPr>
              <w:t>72,1</w:t>
            </w:r>
          </w:p>
        </w:tc>
        <w:tc>
          <w:tcPr>
            <w:tcW w:w="2126" w:type="dxa"/>
            <w:tcBorders>
              <w:bottom w:val="single" w:sz="12" w:space="0" w:color="auto"/>
            </w:tcBorders>
          </w:tcPr>
          <w:p w:rsidR="00000000" w:rsidRDefault="00000000">
            <w:pPr>
              <w:pStyle w:val="BodyText2"/>
              <w:keepNext/>
              <w:spacing w:before="40" w:after="40" w:line="180" w:lineRule="exact"/>
              <w:jc w:val="center"/>
              <w:rPr>
                <w:i w:val="0"/>
                <w:sz w:val="17"/>
              </w:rPr>
            </w:pPr>
            <w:r>
              <w:rPr>
                <w:i w:val="0"/>
                <w:sz w:val="17"/>
              </w:rPr>
              <w:t>27,9</w:t>
            </w:r>
          </w:p>
        </w:tc>
      </w:tr>
    </w:tbl>
    <w:p w:rsidR="00000000" w:rsidRDefault="00000000">
      <w:pPr>
        <w:pStyle w:val="SingleTxt"/>
        <w:ind w:firstLine="0"/>
      </w:pPr>
      <w:r>
        <w:rPr>
          <w:i/>
        </w:rPr>
        <w:t>Источник</w:t>
      </w:r>
      <w:r>
        <w:t>: обследование рабочей силы домохозяйств, Статистическое управл</w:t>
      </w:r>
      <w:r>
        <w:t>е</w:t>
      </w:r>
      <w:r>
        <w:t xml:space="preserve">ние Новой Зеландии. </w:t>
      </w:r>
    </w:p>
    <w:p w:rsidR="00000000" w:rsidRDefault="00000000">
      <w:pPr>
        <w:pStyle w:val="SingleTxt"/>
        <w:ind w:firstLine="0"/>
        <w:rPr>
          <w:b/>
        </w:rPr>
      </w:pPr>
      <w:r>
        <w:rPr>
          <w:b/>
        </w:rPr>
        <w:t>Участие женщин в рабочей силе и уровень безработицы, средние показ</w:t>
      </w:r>
      <w:r>
        <w:rPr>
          <w:b/>
        </w:rPr>
        <w:t>а</w:t>
      </w:r>
      <w:r>
        <w:rPr>
          <w:b/>
        </w:rPr>
        <w:t>тели за год по июнь 2002 года</w:t>
      </w:r>
    </w:p>
    <w:tbl>
      <w:tblPr>
        <w:tblW w:w="0" w:type="auto"/>
        <w:tblInd w:w="1278" w:type="dxa"/>
        <w:tblLayout w:type="fixed"/>
        <w:tblLook w:val="0000" w:firstRow="0" w:lastRow="0" w:firstColumn="0" w:lastColumn="0" w:noHBand="0" w:noVBand="0"/>
      </w:tblPr>
      <w:tblGrid>
        <w:gridCol w:w="1843"/>
        <w:gridCol w:w="1105"/>
        <w:gridCol w:w="1106"/>
        <w:gridCol w:w="1105"/>
        <w:gridCol w:w="1106"/>
        <w:gridCol w:w="1106"/>
      </w:tblGrid>
      <w:tr w:rsidR="00000000">
        <w:tblPrEx>
          <w:tblCellMar>
            <w:top w:w="0" w:type="dxa"/>
            <w:bottom w:w="0" w:type="dxa"/>
          </w:tblCellMar>
        </w:tblPrEx>
        <w:tc>
          <w:tcPr>
            <w:tcW w:w="1843" w:type="dxa"/>
            <w:tcBorders>
              <w:top w:val="single" w:sz="6" w:space="0" w:color="auto"/>
              <w:bottom w:val="single" w:sz="12" w:space="0" w:color="auto"/>
            </w:tcBorders>
          </w:tcPr>
          <w:p w:rsidR="00000000" w:rsidRDefault="00000000">
            <w:pPr>
              <w:pStyle w:val="BodyText2"/>
              <w:keepNext/>
              <w:spacing w:before="40" w:after="40" w:line="180" w:lineRule="exact"/>
              <w:rPr>
                <w:i w:val="0"/>
                <w:sz w:val="17"/>
              </w:rPr>
            </w:pPr>
          </w:p>
        </w:tc>
        <w:tc>
          <w:tcPr>
            <w:tcW w:w="1105" w:type="dxa"/>
            <w:tcBorders>
              <w:top w:val="single" w:sz="6" w:space="0" w:color="auto"/>
              <w:bottom w:val="single" w:sz="12" w:space="0" w:color="auto"/>
            </w:tcBorders>
            <w:vAlign w:val="center"/>
          </w:tcPr>
          <w:p w:rsidR="00000000" w:rsidRDefault="00000000">
            <w:pPr>
              <w:pStyle w:val="BodyText2"/>
              <w:keepNext/>
              <w:spacing w:before="40" w:after="40" w:line="180" w:lineRule="exact"/>
              <w:jc w:val="center"/>
              <w:rPr>
                <w:sz w:val="17"/>
              </w:rPr>
            </w:pPr>
            <w:r>
              <w:rPr>
                <w:sz w:val="17"/>
              </w:rPr>
              <w:t xml:space="preserve">Все </w:t>
            </w:r>
            <w:r>
              <w:rPr>
                <w:sz w:val="17"/>
              </w:rPr>
              <w:br/>
              <w:t>же</w:t>
            </w:r>
            <w:r>
              <w:rPr>
                <w:sz w:val="17"/>
              </w:rPr>
              <w:t>н</w:t>
            </w:r>
            <w:r>
              <w:rPr>
                <w:sz w:val="17"/>
              </w:rPr>
              <w:t>щины</w:t>
            </w:r>
          </w:p>
        </w:tc>
        <w:tc>
          <w:tcPr>
            <w:tcW w:w="1106" w:type="dxa"/>
            <w:tcBorders>
              <w:top w:val="single" w:sz="6" w:space="0" w:color="auto"/>
              <w:bottom w:val="single" w:sz="12" w:space="0" w:color="auto"/>
            </w:tcBorders>
            <w:vAlign w:val="center"/>
          </w:tcPr>
          <w:p w:rsidR="00000000" w:rsidRDefault="00000000">
            <w:pPr>
              <w:pStyle w:val="BodyText2"/>
              <w:keepNext/>
              <w:spacing w:before="40" w:after="40" w:line="180" w:lineRule="exact"/>
              <w:jc w:val="center"/>
              <w:rPr>
                <w:sz w:val="17"/>
              </w:rPr>
            </w:pPr>
            <w:r>
              <w:rPr>
                <w:sz w:val="17"/>
              </w:rPr>
              <w:t>Женщины-маори</w:t>
            </w:r>
          </w:p>
        </w:tc>
        <w:tc>
          <w:tcPr>
            <w:tcW w:w="1105" w:type="dxa"/>
            <w:tcBorders>
              <w:top w:val="single" w:sz="6" w:space="0" w:color="auto"/>
              <w:bottom w:val="single" w:sz="12" w:space="0" w:color="auto"/>
            </w:tcBorders>
            <w:vAlign w:val="center"/>
          </w:tcPr>
          <w:p w:rsidR="00000000" w:rsidRDefault="00000000">
            <w:pPr>
              <w:pStyle w:val="BodyText2"/>
              <w:keepNext/>
              <w:spacing w:before="40" w:after="40" w:line="180" w:lineRule="exact"/>
              <w:jc w:val="center"/>
              <w:rPr>
                <w:sz w:val="17"/>
              </w:rPr>
            </w:pPr>
            <w:r>
              <w:rPr>
                <w:sz w:val="17"/>
              </w:rPr>
              <w:t>Женщины тих</w:t>
            </w:r>
            <w:r>
              <w:rPr>
                <w:sz w:val="17"/>
              </w:rPr>
              <w:t>о</w:t>
            </w:r>
            <w:r>
              <w:rPr>
                <w:sz w:val="17"/>
              </w:rPr>
              <w:t>океан-ских народ-ностей</w:t>
            </w:r>
          </w:p>
        </w:tc>
        <w:tc>
          <w:tcPr>
            <w:tcW w:w="1106" w:type="dxa"/>
            <w:tcBorders>
              <w:top w:val="single" w:sz="6" w:space="0" w:color="auto"/>
              <w:bottom w:val="single" w:sz="12" w:space="0" w:color="auto"/>
            </w:tcBorders>
            <w:vAlign w:val="center"/>
          </w:tcPr>
          <w:p w:rsidR="00000000" w:rsidRDefault="00000000">
            <w:pPr>
              <w:pStyle w:val="BodyText2"/>
              <w:keepNext/>
              <w:spacing w:before="40" w:after="40" w:line="180" w:lineRule="exact"/>
              <w:jc w:val="center"/>
              <w:rPr>
                <w:sz w:val="17"/>
              </w:rPr>
            </w:pPr>
            <w:r>
              <w:rPr>
                <w:sz w:val="17"/>
              </w:rPr>
              <w:t>Европе</w:t>
            </w:r>
            <w:r>
              <w:rPr>
                <w:sz w:val="17"/>
              </w:rPr>
              <w:t>й</w:t>
            </w:r>
            <w:r>
              <w:rPr>
                <w:sz w:val="17"/>
              </w:rPr>
              <w:t>ские жен-щины/жен-щины-пакеха</w:t>
            </w:r>
          </w:p>
        </w:tc>
        <w:tc>
          <w:tcPr>
            <w:tcW w:w="1106" w:type="dxa"/>
            <w:tcBorders>
              <w:top w:val="single" w:sz="6" w:space="0" w:color="auto"/>
              <w:bottom w:val="single" w:sz="12" w:space="0" w:color="auto"/>
            </w:tcBorders>
            <w:vAlign w:val="center"/>
          </w:tcPr>
          <w:p w:rsidR="00000000" w:rsidRDefault="00000000">
            <w:pPr>
              <w:pStyle w:val="BodyText2"/>
              <w:keepNext/>
              <w:spacing w:before="40" w:after="40" w:line="180" w:lineRule="exact"/>
              <w:jc w:val="center"/>
              <w:rPr>
                <w:sz w:val="17"/>
              </w:rPr>
            </w:pPr>
            <w:r>
              <w:rPr>
                <w:sz w:val="17"/>
              </w:rPr>
              <w:t>Прочие женщины</w:t>
            </w:r>
          </w:p>
        </w:tc>
      </w:tr>
      <w:tr w:rsidR="00000000">
        <w:tblPrEx>
          <w:tblCellMar>
            <w:top w:w="0" w:type="dxa"/>
            <w:bottom w:w="0" w:type="dxa"/>
          </w:tblCellMar>
        </w:tblPrEx>
        <w:tc>
          <w:tcPr>
            <w:tcW w:w="1843" w:type="dxa"/>
            <w:tcBorders>
              <w:top w:val="single" w:sz="12" w:space="0" w:color="auto"/>
            </w:tcBorders>
          </w:tcPr>
          <w:p w:rsidR="00000000" w:rsidRDefault="00000000">
            <w:pPr>
              <w:pStyle w:val="BodyText2"/>
              <w:keepNext/>
              <w:spacing w:before="40" w:after="40" w:line="180" w:lineRule="exact"/>
              <w:rPr>
                <w:i w:val="0"/>
                <w:sz w:val="17"/>
              </w:rPr>
            </w:pPr>
            <w:r>
              <w:rPr>
                <w:i w:val="0"/>
                <w:sz w:val="17"/>
              </w:rPr>
              <w:t>Степень участия в р</w:t>
            </w:r>
            <w:r>
              <w:rPr>
                <w:i w:val="0"/>
                <w:sz w:val="17"/>
              </w:rPr>
              <w:t>а</w:t>
            </w:r>
            <w:r>
              <w:rPr>
                <w:i w:val="0"/>
                <w:sz w:val="17"/>
              </w:rPr>
              <w:t>бочей силе (в % от трудоспособного н</w:t>
            </w:r>
            <w:r>
              <w:rPr>
                <w:i w:val="0"/>
                <w:sz w:val="17"/>
              </w:rPr>
              <w:t>а</w:t>
            </w:r>
            <w:r>
              <w:rPr>
                <w:i w:val="0"/>
                <w:sz w:val="17"/>
              </w:rPr>
              <w:t>сел</w:t>
            </w:r>
            <w:r>
              <w:rPr>
                <w:i w:val="0"/>
                <w:sz w:val="17"/>
              </w:rPr>
              <w:t>е</w:t>
            </w:r>
            <w:r>
              <w:rPr>
                <w:i w:val="0"/>
                <w:sz w:val="17"/>
              </w:rPr>
              <w:t>ния</w:t>
            </w:r>
          </w:p>
        </w:tc>
        <w:tc>
          <w:tcPr>
            <w:tcW w:w="1105" w:type="dxa"/>
            <w:tcBorders>
              <w:top w:val="single" w:sz="12" w:space="0" w:color="auto"/>
            </w:tcBorders>
            <w:vAlign w:val="bottom"/>
          </w:tcPr>
          <w:p w:rsidR="00000000" w:rsidRDefault="00000000">
            <w:pPr>
              <w:pStyle w:val="BodyText2"/>
              <w:keepNext/>
              <w:tabs>
                <w:tab w:val="decimal" w:pos="567"/>
              </w:tabs>
              <w:spacing w:before="40" w:after="40" w:line="180" w:lineRule="exact"/>
              <w:rPr>
                <w:i w:val="0"/>
                <w:sz w:val="17"/>
              </w:rPr>
            </w:pPr>
            <w:r>
              <w:rPr>
                <w:i w:val="0"/>
                <w:sz w:val="17"/>
              </w:rPr>
              <w:t>58,9</w:t>
            </w:r>
          </w:p>
        </w:tc>
        <w:tc>
          <w:tcPr>
            <w:tcW w:w="1106" w:type="dxa"/>
            <w:tcBorders>
              <w:top w:val="single" w:sz="12" w:space="0" w:color="auto"/>
            </w:tcBorders>
            <w:vAlign w:val="bottom"/>
          </w:tcPr>
          <w:p w:rsidR="00000000" w:rsidRDefault="00000000">
            <w:pPr>
              <w:pStyle w:val="BodyText2"/>
              <w:keepNext/>
              <w:tabs>
                <w:tab w:val="decimal" w:pos="567"/>
              </w:tabs>
              <w:spacing w:before="40" w:after="40" w:line="180" w:lineRule="exact"/>
              <w:rPr>
                <w:i w:val="0"/>
                <w:sz w:val="17"/>
              </w:rPr>
            </w:pPr>
            <w:r>
              <w:rPr>
                <w:i w:val="0"/>
                <w:sz w:val="17"/>
              </w:rPr>
              <w:t>57,5</w:t>
            </w:r>
          </w:p>
        </w:tc>
        <w:tc>
          <w:tcPr>
            <w:tcW w:w="1105" w:type="dxa"/>
            <w:tcBorders>
              <w:top w:val="single" w:sz="12" w:space="0" w:color="auto"/>
            </w:tcBorders>
            <w:vAlign w:val="bottom"/>
          </w:tcPr>
          <w:p w:rsidR="00000000" w:rsidRDefault="00000000">
            <w:pPr>
              <w:pStyle w:val="BodyText2"/>
              <w:keepNext/>
              <w:tabs>
                <w:tab w:val="decimal" w:pos="567"/>
              </w:tabs>
              <w:spacing w:before="40" w:after="40" w:line="180" w:lineRule="exact"/>
              <w:rPr>
                <w:i w:val="0"/>
                <w:sz w:val="17"/>
              </w:rPr>
            </w:pPr>
            <w:r>
              <w:rPr>
                <w:i w:val="0"/>
                <w:sz w:val="17"/>
              </w:rPr>
              <w:t>53,5</w:t>
            </w:r>
          </w:p>
        </w:tc>
        <w:tc>
          <w:tcPr>
            <w:tcW w:w="1106" w:type="dxa"/>
            <w:tcBorders>
              <w:top w:val="single" w:sz="12" w:space="0" w:color="auto"/>
            </w:tcBorders>
            <w:vAlign w:val="bottom"/>
          </w:tcPr>
          <w:p w:rsidR="00000000" w:rsidRDefault="00000000">
            <w:pPr>
              <w:pStyle w:val="BodyText2"/>
              <w:keepNext/>
              <w:tabs>
                <w:tab w:val="decimal" w:pos="567"/>
              </w:tabs>
              <w:spacing w:before="40" w:after="40" w:line="180" w:lineRule="exact"/>
              <w:rPr>
                <w:i w:val="0"/>
                <w:sz w:val="17"/>
              </w:rPr>
            </w:pPr>
            <w:r>
              <w:rPr>
                <w:i w:val="0"/>
                <w:sz w:val="17"/>
              </w:rPr>
              <w:t>60,7</w:t>
            </w:r>
          </w:p>
        </w:tc>
        <w:tc>
          <w:tcPr>
            <w:tcW w:w="1106" w:type="dxa"/>
            <w:tcBorders>
              <w:top w:val="single" w:sz="12" w:space="0" w:color="auto"/>
            </w:tcBorders>
            <w:vAlign w:val="bottom"/>
          </w:tcPr>
          <w:p w:rsidR="00000000" w:rsidRDefault="00000000">
            <w:pPr>
              <w:pStyle w:val="BodyText2"/>
              <w:keepNext/>
              <w:tabs>
                <w:tab w:val="decimal" w:pos="567"/>
              </w:tabs>
              <w:spacing w:before="40" w:after="40" w:line="180" w:lineRule="exact"/>
              <w:rPr>
                <w:i w:val="0"/>
                <w:sz w:val="17"/>
              </w:rPr>
            </w:pPr>
            <w:r>
              <w:rPr>
                <w:i w:val="0"/>
                <w:sz w:val="17"/>
              </w:rPr>
              <w:t>47,3</w:t>
            </w:r>
          </w:p>
        </w:tc>
      </w:tr>
      <w:tr w:rsidR="00000000">
        <w:tblPrEx>
          <w:tblCellMar>
            <w:top w:w="0" w:type="dxa"/>
            <w:bottom w:w="0" w:type="dxa"/>
          </w:tblCellMar>
        </w:tblPrEx>
        <w:tc>
          <w:tcPr>
            <w:tcW w:w="1843" w:type="dxa"/>
            <w:tcBorders>
              <w:bottom w:val="single" w:sz="6" w:space="0" w:color="auto"/>
            </w:tcBorders>
          </w:tcPr>
          <w:p w:rsidR="00000000" w:rsidRDefault="00000000">
            <w:pPr>
              <w:pStyle w:val="BodyText2"/>
              <w:keepNext/>
              <w:spacing w:before="40" w:after="40" w:line="180" w:lineRule="exact"/>
              <w:rPr>
                <w:i w:val="0"/>
                <w:sz w:val="17"/>
              </w:rPr>
            </w:pPr>
            <w:r>
              <w:rPr>
                <w:i w:val="0"/>
                <w:sz w:val="17"/>
              </w:rPr>
              <w:t>Уровень безработицы (в % от численности р</w:t>
            </w:r>
            <w:r>
              <w:rPr>
                <w:i w:val="0"/>
                <w:sz w:val="17"/>
              </w:rPr>
              <w:t>а</w:t>
            </w:r>
            <w:r>
              <w:rPr>
                <w:i w:val="0"/>
                <w:sz w:val="17"/>
              </w:rPr>
              <w:t>бочей силы</w:t>
            </w:r>
          </w:p>
        </w:tc>
        <w:tc>
          <w:tcPr>
            <w:tcW w:w="1105" w:type="dxa"/>
            <w:tcBorders>
              <w:bottom w:val="single" w:sz="6" w:space="0" w:color="auto"/>
            </w:tcBorders>
            <w:vAlign w:val="bottom"/>
          </w:tcPr>
          <w:p w:rsidR="00000000" w:rsidRDefault="00000000">
            <w:pPr>
              <w:pStyle w:val="BodyText2"/>
              <w:keepNext/>
              <w:tabs>
                <w:tab w:val="decimal" w:pos="567"/>
              </w:tabs>
              <w:spacing w:before="40" w:after="40" w:line="180" w:lineRule="exact"/>
              <w:rPr>
                <w:i w:val="0"/>
                <w:sz w:val="17"/>
              </w:rPr>
            </w:pPr>
            <w:r>
              <w:rPr>
                <w:i w:val="0"/>
                <w:sz w:val="17"/>
              </w:rPr>
              <w:t>5,4</w:t>
            </w:r>
          </w:p>
        </w:tc>
        <w:tc>
          <w:tcPr>
            <w:tcW w:w="1106" w:type="dxa"/>
            <w:tcBorders>
              <w:bottom w:val="single" w:sz="6" w:space="0" w:color="auto"/>
            </w:tcBorders>
            <w:vAlign w:val="bottom"/>
          </w:tcPr>
          <w:p w:rsidR="00000000" w:rsidRDefault="00000000">
            <w:pPr>
              <w:pStyle w:val="BodyText2"/>
              <w:keepNext/>
              <w:tabs>
                <w:tab w:val="decimal" w:pos="567"/>
              </w:tabs>
              <w:spacing w:before="40" w:after="40" w:line="180" w:lineRule="exact"/>
              <w:rPr>
                <w:i w:val="0"/>
                <w:sz w:val="17"/>
              </w:rPr>
            </w:pPr>
            <w:r>
              <w:rPr>
                <w:i w:val="0"/>
                <w:sz w:val="17"/>
              </w:rPr>
              <w:t>12,4</w:t>
            </w:r>
          </w:p>
        </w:tc>
        <w:tc>
          <w:tcPr>
            <w:tcW w:w="1105" w:type="dxa"/>
            <w:tcBorders>
              <w:bottom w:val="single" w:sz="6" w:space="0" w:color="auto"/>
            </w:tcBorders>
            <w:vAlign w:val="bottom"/>
          </w:tcPr>
          <w:p w:rsidR="00000000" w:rsidRDefault="00000000">
            <w:pPr>
              <w:pStyle w:val="BodyText2"/>
              <w:keepNext/>
              <w:tabs>
                <w:tab w:val="decimal" w:pos="567"/>
              </w:tabs>
              <w:spacing w:before="40" w:after="40" w:line="180" w:lineRule="exact"/>
              <w:rPr>
                <w:i w:val="0"/>
                <w:sz w:val="17"/>
              </w:rPr>
            </w:pPr>
            <w:r>
              <w:rPr>
                <w:i w:val="0"/>
                <w:sz w:val="17"/>
              </w:rPr>
              <w:t>9,9</w:t>
            </w:r>
          </w:p>
        </w:tc>
        <w:tc>
          <w:tcPr>
            <w:tcW w:w="1106" w:type="dxa"/>
            <w:tcBorders>
              <w:bottom w:val="single" w:sz="6" w:space="0" w:color="auto"/>
            </w:tcBorders>
            <w:vAlign w:val="bottom"/>
          </w:tcPr>
          <w:p w:rsidR="00000000" w:rsidRDefault="00000000">
            <w:pPr>
              <w:pStyle w:val="BodyText2"/>
              <w:keepNext/>
              <w:tabs>
                <w:tab w:val="decimal" w:pos="567"/>
              </w:tabs>
              <w:spacing w:before="40" w:after="40" w:line="180" w:lineRule="exact"/>
              <w:rPr>
                <w:i w:val="0"/>
                <w:sz w:val="17"/>
              </w:rPr>
            </w:pPr>
            <w:r>
              <w:rPr>
                <w:i w:val="0"/>
                <w:sz w:val="17"/>
              </w:rPr>
              <w:t>4,0</w:t>
            </w:r>
          </w:p>
        </w:tc>
        <w:tc>
          <w:tcPr>
            <w:tcW w:w="1106" w:type="dxa"/>
            <w:tcBorders>
              <w:bottom w:val="single" w:sz="6" w:space="0" w:color="auto"/>
            </w:tcBorders>
            <w:vAlign w:val="bottom"/>
          </w:tcPr>
          <w:p w:rsidR="00000000" w:rsidRDefault="00000000">
            <w:pPr>
              <w:pStyle w:val="BodyText2"/>
              <w:keepNext/>
              <w:tabs>
                <w:tab w:val="decimal" w:pos="567"/>
              </w:tabs>
              <w:spacing w:before="40" w:after="40" w:line="180" w:lineRule="exact"/>
              <w:rPr>
                <w:i w:val="0"/>
                <w:sz w:val="17"/>
              </w:rPr>
            </w:pPr>
            <w:r>
              <w:rPr>
                <w:i w:val="0"/>
                <w:sz w:val="17"/>
              </w:rPr>
              <w:t>7,6</w:t>
            </w:r>
          </w:p>
        </w:tc>
      </w:tr>
      <w:tr w:rsidR="00000000">
        <w:tblPrEx>
          <w:tblCellMar>
            <w:top w:w="0" w:type="dxa"/>
            <w:bottom w:w="0" w:type="dxa"/>
          </w:tblCellMar>
        </w:tblPrEx>
        <w:tc>
          <w:tcPr>
            <w:tcW w:w="1843" w:type="dxa"/>
            <w:tcBorders>
              <w:top w:val="single" w:sz="6" w:space="0" w:color="auto"/>
              <w:bottom w:val="single" w:sz="12" w:space="0" w:color="auto"/>
            </w:tcBorders>
          </w:tcPr>
          <w:p w:rsidR="00000000" w:rsidRDefault="00000000">
            <w:pPr>
              <w:pStyle w:val="BodyText2"/>
              <w:keepNext/>
              <w:spacing w:before="40" w:after="40" w:line="180" w:lineRule="exact"/>
              <w:rPr>
                <w:i w:val="0"/>
                <w:sz w:val="17"/>
              </w:rPr>
            </w:pPr>
            <w:r>
              <w:rPr>
                <w:i w:val="0"/>
                <w:sz w:val="17"/>
              </w:rPr>
              <w:t>Численность труд</w:t>
            </w:r>
            <w:r>
              <w:rPr>
                <w:i w:val="0"/>
                <w:sz w:val="17"/>
              </w:rPr>
              <w:t>о</w:t>
            </w:r>
            <w:r>
              <w:rPr>
                <w:i w:val="0"/>
                <w:sz w:val="17"/>
              </w:rPr>
              <w:t>способного населения (в возрасте 15 лет и старше)</w:t>
            </w:r>
          </w:p>
        </w:tc>
        <w:tc>
          <w:tcPr>
            <w:tcW w:w="1105" w:type="dxa"/>
            <w:tcBorders>
              <w:top w:val="single" w:sz="6" w:space="0" w:color="auto"/>
              <w:bottom w:val="single" w:sz="12" w:space="0" w:color="auto"/>
            </w:tcBorders>
            <w:vAlign w:val="bottom"/>
          </w:tcPr>
          <w:p w:rsidR="00000000" w:rsidRDefault="00000000">
            <w:pPr>
              <w:pStyle w:val="BodyText2"/>
              <w:keepNext/>
              <w:tabs>
                <w:tab w:val="decimal" w:pos="567"/>
              </w:tabs>
              <w:spacing w:before="40" w:after="40" w:line="180" w:lineRule="exact"/>
              <w:rPr>
                <w:i w:val="0"/>
                <w:sz w:val="17"/>
              </w:rPr>
            </w:pPr>
            <w:r>
              <w:rPr>
                <w:i w:val="0"/>
                <w:sz w:val="17"/>
              </w:rPr>
              <w:t>1509800</w:t>
            </w:r>
          </w:p>
        </w:tc>
        <w:tc>
          <w:tcPr>
            <w:tcW w:w="1106" w:type="dxa"/>
            <w:tcBorders>
              <w:top w:val="single" w:sz="6" w:space="0" w:color="auto"/>
              <w:bottom w:val="single" w:sz="12" w:space="0" w:color="auto"/>
            </w:tcBorders>
            <w:vAlign w:val="bottom"/>
          </w:tcPr>
          <w:p w:rsidR="00000000" w:rsidRDefault="00000000">
            <w:pPr>
              <w:pStyle w:val="BodyText2"/>
              <w:keepNext/>
              <w:tabs>
                <w:tab w:val="decimal" w:pos="567"/>
              </w:tabs>
              <w:spacing w:before="40" w:after="40" w:line="180" w:lineRule="exact"/>
              <w:rPr>
                <w:i w:val="0"/>
                <w:sz w:val="17"/>
              </w:rPr>
            </w:pPr>
            <w:r>
              <w:rPr>
                <w:i w:val="0"/>
                <w:sz w:val="17"/>
              </w:rPr>
              <w:t>160000</w:t>
            </w:r>
          </w:p>
        </w:tc>
        <w:tc>
          <w:tcPr>
            <w:tcW w:w="1105" w:type="dxa"/>
            <w:tcBorders>
              <w:top w:val="single" w:sz="6" w:space="0" w:color="auto"/>
              <w:bottom w:val="single" w:sz="12" w:space="0" w:color="auto"/>
            </w:tcBorders>
            <w:vAlign w:val="bottom"/>
          </w:tcPr>
          <w:p w:rsidR="00000000" w:rsidRDefault="00000000">
            <w:pPr>
              <w:pStyle w:val="BodyText2"/>
              <w:keepNext/>
              <w:tabs>
                <w:tab w:val="decimal" w:pos="567"/>
              </w:tabs>
              <w:spacing w:before="40" w:after="40" w:line="180" w:lineRule="exact"/>
              <w:rPr>
                <w:i w:val="0"/>
                <w:sz w:val="17"/>
              </w:rPr>
            </w:pPr>
            <w:r>
              <w:rPr>
                <w:i w:val="0"/>
                <w:sz w:val="17"/>
              </w:rPr>
              <w:t>74600</w:t>
            </w:r>
          </w:p>
        </w:tc>
        <w:tc>
          <w:tcPr>
            <w:tcW w:w="1106" w:type="dxa"/>
            <w:tcBorders>
              <w:top w:val="single" w:sz="6" w:space="0" w:color="auto"/>
              <w:bottom w:val="single" w:sz="12" w:space="0" w:color="auto"/>
            </w:tcBorders>
            <w:vAlign w:val="bottom"/>
          </w:tcPr>
          <w:p w:rsidR="00000000" w:rsidRDefault="00000000">
            <w:pPr>
              <w:pStyle w:val="BodyText2"/>
              <w:keepNext/>
              <w:tabs>
                <w:tab w:val="decimal" w:pos="567"/>
              </w:tabs>
              <w:spacing w:before="40" w:after="40" w:line="180" w:lineRule="exact"/>
              <w:rPr>
                <w:i w:val="0"/>
                <w:sz w:val="17"/>
              </w:rPr>
            </w:pPr>
            <w:r>
              <w:rPr>
                <w:i w:val="0"/>
                <w:sz w:val="17"/>
              </w:rPr>
              <w:t>1147000</w:t>
            </w:r>
          </w:p>
        </w:tc>
        <w:tc>
          <w:tcPr>
            <w:tcW w:w="1106" w:type="dxa"/>
            <w:tcBorders>
              <w:top w:val="single" w:sz="6" w:space="0" w:color="auto"/>
              <w:bottom w:val="single" w:sz="12" w:space="0" w:color="auto"/>
            </w:tcBorders>
            <w:vAlign w:val="bottom"/>
          </w:tcPr>
          <w:p w:rsidR="00000000" w:rsidRDefault="00000000">
            <w:pPr>
              <w:pStyle w:val="BodyText2"/>
              <w:keepNext/>
              <w:tabs>
                <w:tab w:val="decimal" w:pos="567"/>
              </w:tabs>
              <w:spacing w:before="40" w:after="40" w:line="180" w:lineRule="exact"/>
              <w:rPr>
                <w:i w:val="0"/>
                <w:sz w:val="17"/>
              </w:rPr>
            </w:pPr>
            <w:r>
              <w:rPr>
                <w:i w:val="0"/>
                <w:sz w:val="17"/>
              </w:rPr>
              <w:t>126700</w:t>
            </w:r>
          </w:p>
        </w:tc>
      </w:tr>
    </w:tbl>
    <w:p w:rsidR="00000000" w:rsidRDefault="00000000">
      <w:pPr>
        <w:pStyle w:val="SingleTxt"/>
        <w:ind w:firstLine="0"/>
      </w:pPr>
      <w:r>
        <w:rPr>
          <w:i/>
        </w:rPr>
        <w:t>Источник</w:t>
      </w:r>
      <w:r>
        <w:t>: обследование рабочей силы домохозяйств, Статистическое управл</w:t>
      </w:r>
      <w:r>
        <w:t>е</w:t>
      </w:r>
      <w:r>
        <w:t>ние Новой Зеландии.</w:t>
      </w:r>
    </w:p>
    <w:p w:rsidR="00000000" w:rsidRDefault="00000000">
      <w:pPr>
        <w:pStyle w:val="SingleTxt"/>
      </w:pPr>
      <w:r>
        <w:tab/>
        <w:t>Доля трудоспособных женщин (в возрасте 15 лет и старше) в рабочей с</w:t>
      </w:r>
      <w:r>
        <w:t>и</w:t>
      </w:r>
      <w:r>
        <w:t>ле за последние шесть лет постоянно росла. В период по июнь 2002 года в р</w:t>
      </w:r>
      <w:r>
        <w:t>а</w:t>
      </w:r>
      <w:r>
        <w:t>бочей силе в среднем участвовали 58,9 процента женщин трудоспособного во</w:t>
      </w:r>
      <w:r>
        <w:t>з</w:t>
      </w:r>
      <w:r>
        <w:t>раста – на 2,1 процентных пункта больше, чем в среднем в период по июнь 1996 года. В период по июнь 2002 года женщины в среднем составляли 51,3 процента трудоспособного населения (в период по июнь 1996 года этот показатель равнялся 51,4 процента), 45,4 процента численности рабочей силы (ранее – 44,6 процента), 45,4 процента занятого населения (ранее – 44,6 процента) и 46,4 процента бе</w:t>
      </w:r>
      <w:r>
        <w:t>з</w:t>
      </w:r>
      <w:r>
        <w:t>работных (ранее – 45,3 процента).</w:t>
      </w:r>
    </w:p>
    <w:p w:rsidR="00000000" w:rsidRDefault="00000000">
      <w:pPr>
        <w:pStyle w:val="SingleTxt"/>
      </w:pPr>
      <w:r>
        <w:tab/>
        <w:t>Уровень безработицы среди женщин также снизился в среднем с 6,2 процента в период по июнь 1996 года до в среднем 5,4 процента в период по июнь 2002 года. За тот же период доля женщин, занятых неполный рабочий день, возросла на 0,3 процентных пункта, достигнув 36,5 процента. Эти изм</w:t>
      </w:r>
      <w:r>
        <w:t>е</w:t>
      </w:r>
      <w:r>
        <w:t>нения кратко пре</w:t>
      </w:r>
      <w:r>
        <w:t>д</w:t>
      </w:r>
      <w:r>
        <w:t>ставлены в приводимой ниже таблице.</w:t>
      </w:r>
    </w:p>
    <w:p w:rsidR="00000000" w:rsidRDefault="00000000">
      <w:pPr>
        <w:pStyle w:val="BodyText2"/>
        <w:spacing w:line="240" w:lineRule="auto"/>
        <w:ind w:left="1264" w:right="1264"/>
        <w:rPr>
          <w:b/>
          <w:i w:val="0"/>
          <w:sz w:val="20"/>
        </w:rPr>
      </w:pPr>
      <w:r>
        <w:rPr>
          <w:b/>
          <w:i w:val="0"/>
          <w:sz w:val="20"/>
        </w:rPr>
        <w:t xml:space="preserve">Изменения в участии в рабочей силе в период по июнь 2002 года </w:t>
      </w:r>
      <w:r>
        <w:rPr>
          <w:b/>
          <w:i w:val="0"/>
          <w:sz w:val="20"/>
        </w:rPr>
        <w:br/>
        <w:t>(в %, 1996-2002 г</w:t>
      </w:r>
      <w:r>
        <w:rPr>
          <w:b/>
          <w:i w:val="0"/>
          <w:sz w:val="20"/>
        </w:rPr>
        <w:t>о</w:t>
      </w:r>
      <w:r>
        <w:rPr>
          <w:b/>
          <w:i w:val="0"/>
          <w:sz w:val="20"/>
        </w:rPr>
        <w:t>ды)</w:t>
      </w:r>
    </w:p>
    <w:tbl>
      <w:tblPr>
        <w:tblW w:w="0" w:type="auto"/>
        <w:tblInd w:w="1278" w:type="dxa"/>
        <w:tblLayout w:type="fixed"/>
        <w:tblLook w:val="0000" w:firstRow="0" w:lastRow="0" w:firstColumn="0" w:lastColumn="0" w:noHBand="0" w:noVBand="0"/>
      </w:tblPr>
      <w:tblGrid>
        <w:gridCol w:w="1418"/>
        <w:gridCol w:w="992"/>
        <w:gridCol w:w="992"/>
        <w:gridCol w:w="921"/>
        <w:gridCol w:w="1016"/>
        <w:gridCol w:w="1016"/>
        <w:gridCol w:w="1016"/>
      </w:tblGrid>
      <w:tr w:rsidR="00000000">
        <w:tblPrEx>
          <w:tblCellMar>
            <w:top w:w="0" w:type="dxa"/>
            <w:bottom w:w="0" w:type="dxa"/>
          </w:tblCellMar>
        </w:tblPrEx>
        <w:tc>
          <w:tcPr>
            <w:tcW w:w="1418" w:type="dxa"/>
            <w:tcBorders>
              <w:top w:val="single" w:sz="6" w:space="0" w:color="auto"/>
              <w:bottom w:val="single" w:sz="12" w:space="0" w:color="auto"/>
            </w:tcBorders>
            <w:vAlign w:val="center"/>
          </w:tcPr>
          <w:p w:rsidR="00000000" w:rsidRDefault="00000000">
            <w:pPr>
              <w:pStyle w:val="BodyText2"/>
              <w:spacing w:before="40" w:after="40" w:line="180" w:lineRule="exact"/>
              <w:jc w:val="both"/>
              <w:rPr>
                <w:sz w:val="17"/>
              </w:rPr>
            </w:pPr>
            <w:r>
              <w:rPr>
                <w:sz w:val="17"/>
              </w:rPr>
              <w:t>Изменения в %, 1996–2002 г</w:t>
            </w:r>
            <w:r>
              <w:rPr>
                <w:sz w:val="17"/>
              </w:rPr>
              <w:t>о</w:t>
            </w:r>
            <w:r>
              <w:rPr>
                <w:sz w:val="17"/>
              </w:rPr>
              <w:t>ды</w:t>
            </w:r>
          </w:p>
        </w:tc>
        <w:tc>
          <w:tcPr>
            <w:tcW w:w="992" w:type="dxa"/>
            <w:tcBorders>
              <w:top w:val="single" w:sz="6" w:space="0" w:color="auto"/>
              <w:bottom w:val="single" w:sz="12" w:space="0" w:color="auto"/>
            </w:tcBorders>
            <w:vAlign w:val="center"/>
          </w:tcPr>
          <w:p w:rsidR="00000000" w:rsidRDefault="00000000">
            <w:pPr>
              <w:pStyle w:val="BodyText2"/>
              <w:spacing w:before="40" w:after="40" w:line="180" w:lineRule="exact"/>
              <w:jc w:val="center"/>
              <w:rPr>
                <w:sz w:val="17"/>
              </w:rPr>
            </w:pPr>
            <w:r>
              <w:rPr>
                <w:sz w:val="17"/>
              </w:rPr>
              <w:t xml:space="preserve">Все </w:t>
            </w:r>
            <w:r>
              <w:rPr>
                <w:sz w:val="17"/>
              </w:rPr>
              <w:br/>
              <w:t>женщ</w:t>
            </w:r>
            <w:r>
              <w:rPr>
                <w:sz w:val="17"/>
              </w:rPr>
              <w:t>и</w:t>
            </w:r>
            <w:r>
              <w:rPr>
                <w:sz w:val="17"/>
              </w:rPr>
              <w:t>ны</w:t>
            </w:r>
          </w:p>
        </w:tc>
        <w:tc>
          <w:tcPr>
            <w:tcW w:w="992" w:type="dxa"/>
            <w:tcBorders>
              <w:top w:val="single" w:sz="6" w:space="0" w:color="auto"/>
              <w:bottom w:val="single" w:sz="12" w:space="0" w:color="auto"/>
            </w:tcBorders>
            <w:vAlign w:val="center"/>
          </w:tcPr>
          <w:p w:rsidR="00000000" w:rsidRDefault="00000000">
            <w:pPr>
              <w:pStyle w:val="BodyText2"/>
              <w:spacing w:before="40" w:after="40" w:line="180" w:lineRule="exact"/>
              <w:jc w:val="center"/>
              <w:rPr>
                <w:sz w:val="17"/>
              </w:rPr>
            </w:pPr>
            <w:r>
              <w:rPr>
                <w:sz w:val="17"/>
              </w:rPr>
              <w:t xml:space="preserve">Все </w:t>
            </w:r>
            <w:r>
              <w:rPr>
                <w:sz w:val="17"/>
              </w:rPr>
              <w:br/>
              <w:t>му</w:t>
            </w:r>
            <w:r>
              <w:rPr>
                <w:sz w:val="17"/>
              </w:rPr>
              <w:t>ж</w:t>
            </w:r>
            <w:r>
              <w:rPr>
                <w:sz w:val="17"/>
              </w:rPr>
              <w:t>чины</w:t>
            </w:r>
          </w:p>
        </w:tc>
        <w:tc>
          <w:tcPr>
            <w:tcW w:w="921" w:type="dxa"/>
            <w:tcBorders>
              <w:top w:val="single" w:sz="6" w:space="0" w:color="auto"/>
              <w:bottom w:val="single" w:sz="12" w:space="0" w:color="auto"/>
            </w:tcBorders>
            <w:vAlign w:val="center"/>
          </w:tcPr>
          <w:p w:rsidR="00000000" w:rsidRDefault="00000000">
            <w:pPr>
              <w:pStyle w:val="BodyText2"/>
              <w:spacing w:before="40" w:after="40" w:line="180" w:lineRule="exact"/>
              <w:jc w:val="center"/>
              <w:rPr>
                <w:sz w:val="17"/>
              </w:rPr>
            </w:pPr>
            <w:r>
              <w:rPr>
                <w:sz w:val="17"/>
              </w:rPr>
              <w:t>Женщи-ны-маори</w:t>
            </w:r>
          </w:p>
        </w:tc>
        <w:tc>
          <w:tcPr>
            <w:tcW w:w="1016" w:type="dxa"/>
            <w:tcBorders>
              <w:top w:val="single" w:sz="6" w:space="0" w:color="auto"/>
              <w:bottom w:val="single" w:sz="12" w:space="0" w:color="auto"/>
            </w:tcBorders>
            <w:vAlign w:val="center"/>
          </w:tcPr>
          <w:p w:rsidR="00000000" w:rsidRDefault="00000000">
            <w:pPr>
              <w:pStyle w:val="BodyText2"/>
              <w:spacing w:before="40" w:after="40" w:line="180" w:lineRule="exact"/>
              <w:jc w:val="center"/>
              <w:rPr>
                <w:sz w:val="17"/>
              </w:rPr>
            </w:pPr>
            <w:r>
              <w:rPr>
                <w:sz w:val="17"/>
              </w:rPr>
              <w:t>Женщины тихо-океанских наро</w:t>
            </w:r>
            <w:r>
              <w:rPr>
                <w:sz w:val="17"/>
              </w:rPr>
              <w:t>д</w:t>
            </w:r>
            <w:r>
              <w:rPr>
                <w:sz w:val="17"/>
              </w:rPr>
              <w:t>нос-тей</w:t>
            </w:r>
          </w:p>
        </w:tc>
        <w:tc>
          <w:tcPr>
            <w:tcW w:w="1016" w:type="dxa"/>
            <w:tcBorders>
              <w:top w:val="single" w:sz="6" w:space="0" w:color="auto"/>
              <w:bottom w:val="single" w:sz="12" w:space="0" w:color="auto"/>
            </w:tcBorders>
            <w:vAlign w:val="center"/>
          </w:tcPr>
          <w:p w:rsidR="00000000" w:rsidRDefault="00000000">
            <w:pPr>
              <w:pStyle w:val="BodyText2"/>
              <w:spacing w:before="40" w:after="40" w:line="180" w:lineRule="exact"/>
              <w:jc w:val="center"/>
              <w:rPr>
                <w:sz w:val="17"/>
              </w:rPr>
            </w:pPr>
            <w:r>
              <w:rPr>
                <w:sz w:val="17"/>
              </w:rPr>
              <w:t>Европей-ские жен-щины/</w:t>
            </w:r>
            <w:r>
              <w:rPr>
                <w:sz w:val="17"/>
              </w:rPr>
              <w:br/>
              <w:t>женщины-пакеха</w:t>
            </w:r>
          </w:p>
        </w:tc>
        <w:tc>
          <w:tcPr>
            <w:tcW w:w="1016" w:type="dxa"/>
            <w:tcBorders>
              <w:top w:val="single" w:sz="6" w:space="0" w:color="auto"/>
              <w:bottom w:val="single" w:sz="12" w:space="0" w:color="auto"/>
            </w:tcBorders>
            <w:vAlign w:val="center"/>
          </w:tcPr>
          <w:p w:rsidR="00000000" w:rsidRDefault="00000000">
            <w:pPr>
              <w:pStyle w:val="BodyText2"/>
              <w:spacing w:before="40" w:after="40" w:line="180" w:lineRule="exact"/>
              <w:jc w:val="center"/>
              <w:rPr>
                <w:sz w:val="17"/>
              </w:rPr>
            </w:pPr>
            <w:r>
              <w:rPr>
                <w:sz w:val="17"/>
              </w:rPr>
              <w:t>Женщины других э</w:t>
            </w:r>
            <w:r>
              <w:rPr>
                <w:sz w:val="17"/>
              </w:rPr>
              <w:t>т</w:t>
            </w:r>
            <w:r>
              <w:rPr>
                <w:sz w:val="17"/>
              </w:rPr>
              <w:t>нических групп</w:t>
            </w:r>
          </w:p>
        </w:tc>
      </w:tr>
      <w:tr w:rsidR="00000000">
        <w:tblPrEx>
          <w:tblCellMar>
            <w:top w:w="0" w:type="dxa"/>
            <w:bottom w:w="0" w:type="dxa"/>
          </w:tblCellMar>
        </w:tblPrEx>
        <w:tc>
          <w:tcPr>
            <w:tcW w:w="1418" w:type="dxa"/>
            <w:tcBorders>
              <w:top w:val="single" w:sz="12" w:space="0" w:color="auto"/>
            </w:tcBorders>
          </w:tcPr>
          <w:p w:rsidR="00000000" w:rsidRDefault="00000000">
            <w:pPr>
              <w:pStyle w:val="BodyText2"/>
              <w:spacing w:before="40" w:after="40" w:line="180" w:lineRule="exact"/>
              <w:rPr>
                <w:i w:val="0"/>
                <w:sz w:val="17"/>
              </w:rPr>
            </w:pPr>
            <w:r>
              <w:rPr>
                <w:i w:val="0"/>
                <w:sz w:val="17"/>
              </w:rPr>
              <w:t xml:space="preserve">Степень </w:t>
            </w:r>
            <w:r>
              <w:rPr>
                <w:i w:val="0"/>
                <w:sz w:val="17"/>
              </w:rPr>
              <w:br/>
              <w:t>уч</w:t>
            </w:r>
            <w:r>
              <w:rPr>
                <w:i w:val="0"/>
                <w:sz w:val="17"/>
              </w:rPr>
              <w:t>а</w:t>
            </w:r>
            <w:r>
              <w:rPr>
                <w:i w:val="0"/>
                <w:sz w:val="17"/>
              </w:rPr>
              <w:t xml:space="preserve">стия </w:t>
            </w:r>
            <w:r>
              <w:rPr>
                <w:i w:val="0"/>
                <w:sz w:val="17"/>
              </w:rPr>
              <w:br/>
              <w:t>в рабочей с</w:t>
            </w:r>
            <w:r>
              <w:rPr>
                <w:i w:val="0"/>
                <w:sz w:val="17"/>
              </w:rPr>
              <w:t>и</w:t>
            </w:r>
            <w:r>
              <w:rPr>
                <w:i w:val="0"/>
                <w:sz w:val="17"/>
              </w:rPr>
              <w:t>ле</w:t>
            </w:r>
          </w:p>
        </w:tc>
        <w:tc>
          <w:tcPr>
            <w:tcW w:w="992" w:type="dxa"/>
            <w:tcBorders>
              <w:top w:val="single" w:sz="12" w:space="0" w:color="auto"/>
            </w:tcBorders>
            <w:vAlign w:val="bottom"/>
          </w:tcPr>
          <w:p w:rsidR="00000000" w:rsidRDefault="00000000">
            <w:pPr>
              <w:pStyle w:val="BodyText2"/>
              <w:spacing w:before="40" w:after="40" w:line="180" w:lineRule="exact"/>
              <w:jc w:val="center"/>
              <w:rPr>
                <w:i w:val="0"/>
                <w:sz w:val="17"/>
              </w:rPr>
            </w:pPr>
            <w:r>
              <w:rPr>
                <w:i w:val="0"/>
                <w:sz w:val="17"/>
              </w:rPr>
              <w:t>+2,1</w:t>
            </w:r>
          </w:p>
        </w:tc>
        <w:tc>
          <w:tcPr>
            <w:tcW w:w="992" w:type="dxa"/>
            <w:tcBorders>
              <w:top w:val="single" w:sz="12" w:space="0" w:color="auto"/>
            </w:tcBorders>
            <w:vAlign w:val="bottom"/>
          </w:tcPr>
          <w:p w:rsidR="00000000" w:rsidRDefault="00000000">
            <w:pPr>
              <w:pStyle w:val="BodyText2"/>
              <w:spacing w:before="40" w:after="40" w:line="180" w:lineRule="exact"/>
              <w:jc w:val="center"/>
              <w:rPr>
                <w:i w:val="0"/>
                <w:sz w:val="17"/>
              </w:rPr>
            </w:pPr>
            <w:r>
              <w:rPr>
                <w:i w:val="0"/>
                <w:sz w:val="17"/>
              </w:rPr>
              <w:t>0,0</w:t>
            </w:r>
          </w:p>
        </w:tc>
        <w:tc>
          <w:tcPr>
            <w:tcW w:w="921" w:type="dxa"/>
            <w:tcBorders>
              <w:top w:val="single" w:sz="12" w:space="0" w:color="auto"/>
            </w:tcBorders>
            <w:vAlign w:val="bottom"/>
          </w:tcPr>
          <w:p w:rsidR="00000000" w:rsidRDefault="00000000">
            <w:pPr>
              <w:pStyle w:val="BodyText2"/>
              <w:spacing w:before="40" w:after="40" w:line="180" w:lineRule="exact"/>
              <w:jc w:val="center"/>
              <w:rPr>
                <w:i w:val="0"/>
                <w:sz w:val="17"/>
              </w:rPr>
            </w:pPr>
            <w:r>
              <w:rPr>
                <w:i w:val="0"/>
                <w:sz w:val="17"/>
              </w:rPr>
              <w:t>+5,8</w:t>
            </w:r>
          </w:p>
        </w:tc>
        <w:tc>
          <w:tcPr>
            <w:tcW w:w="1016" w:type="dxa"/>
            <w:tcBorders>
              <w:top w:val="single" w:sz="12" w:space="0" w:color="auto"/>
            </w:tcBorders>
            <w:vAlign w:val="bottom"/>
          </w:tcPr>
          <w:p w:rsidR="00000000" w:rsidRDefault="00000000">
            <w:pPr>
              <w:pStyle w:val="BodyText2"/>
              <w:spacing w:before="40" w:after="40" w:line="180" w:lineRule="exact"/>
              <w:jc w:val="center"/>
              <w:rPr>
                <w:i w:val="0"/>
                <w:sz w:val="17"/>
              </w:rPr>
            </w:pPr>
            <w:r>
              <w:rPr>
                <w:i w:val="0"/>
                <w:sz w:val="17"/>
              </w:rPr>
              <w:t>+3,8</w:t>
            </w:r>
          </w:p>
        </w:tc>
        <w:tc>
          <w:tcPr>
            <w:tcW w:w="1016" w:type="dxa"/>
            <w:tcBorders>
              <w:top w:val="single" w:sz="12" w:space="0" w:color="auto"/>
            </w:tcBorders>
            <w:vAlign w:val="bottom"/>
          </w:tcPr>
          <w:p w:rsidR="00000000" w:rsidRDefault="00000000">
            <w:pPr>
              <w:pStyle w:val="BodyText2"/>
              <w:spacing w:before="40" w:after="40" w:line="180" w:lineRule="exact"/>
              <w:jc w:val="center"/>
              <w:rPr>
                <w:i w:val="0"/>
                <w:sz w:val="17"/>
              </w:rPr>
            </w:pPr>
            <w:r>
              <w:rPr>
                <w:i w:val="0"/>
                <w:sz w:val="17"/>
              </w:rPr>
              <w:t>+2,5</w:t>
            </w:r>
          </w:p>
        </w:tc>
        <w:tc>
          <w:tcPr>
            <w:tcW w:w="1016" w:type="dxa"/>
            <w:tcBorders>
              <w:top w:val="single" w:sz="12" w:space="0" w:color="auto"/>
            </w:tcBorders>
            <w:vAlign w:val="bottom"/>
          </w:tcPr>
          <w:p w:rsidR="00000000" w:rsidRDefault="00000000">
            <w:pPr>
              <w:pStyle w:val="BodyText2"/>
              <w:spacing w:before="40" w:after="40" w:line="180" w:lineRule="exact"/>
              <w:jc w:val="center"/>
              <w:rPr>
                <w:i w:val="0"/>
                <w:sz w:val="17"/>
              </w:rPr>
            </w:pPr>
            <w:r>
              <w:rPr>
                <w:i w:val="0"/>
                <w:sz w:val="17"/>
              </w:rPr>
              <w:t>-3,0</w:t>
            </w:r>
          </w:p>
        </w:tc>
      </w:tr>
      <w:tr w:rsidR="00000000">
        <w:tblPrEx>
          <w:tblCellMar>
            <w:top w:w="0" w:type="dxa"/>
            <w:bottom w:w="0" w:type="dxa"/>
          </w:tblCellMar>
        </w:tblPrEx>
        <w:tc>
          <w:tcPr>
            <w:tcW w:w="1418" w:type="dxa"/>
          </w:tcPr>
          <w:p w:rsidR="00000000" w:rsidRDefault="00000000">
            <w:pPr>
              <w:pStyle w:val="BodyText2"/>
              <w:spacing w:before="40" w:after="40" w:line="180" w:lineRule="exact"/>
              <w:rPr>
                <w:i w:val="0"/>
                <w:sz w:val="17"/>
              </w:rPr>
            </w:pPr>
            <w:r>
              <w:rPr>
                <w:i w:val="0"/>
                <w:sz w:val="17"/>
              </w:rPr>
              <w:t>Уровень безр</w:t>
            </w:r>
            <w:r>
              <w:rPr>
                <w:i w:val="0"/>
                <w:sz w:val="17"/>
              </w:rPr>
              <w:t>а</w:t>
            </w:r>
            <w:r>
              <w:rPr>
                <w:i w:val="0"/>
                <w:sz w:val="17"/>
              </w:rPr>
              <w:t>ботицы</w:t>
            </w:r>
          </w:p>
        </w:tc>
        <w:tc>
          <w:tcPr>
            <w:tcW w:w="992" w:type="dxa"/>
            <w:vAlign w:val="bottom"/>
          </w:tcPr>
          <w:p w:rsidR="00000000" w:rsidRDefault="00000000">
            <w:pPr>
              <w:pStyle w:val="BodyText2"/>
              <w:spacing w:before="40" w:after="40" w:line="180" w:lineRule="exact"/>
              <w:jc w:val="center"/>
              <w:rPr>
                <w:i w:val="0"/>
                <w:sz w:val="17"/>
              </w:rPr>
            </w:pPr>
            <w:r>
              <w:rPr>
                <w:i w:val="0"/>
                <w:sz w:val="17"/>
              </w:rPr>
              <w:t>-0,8</w:t>
            </w:r>
          </w:p>
        </w:tc>
        <w:tc>
          <w:tcPr>
            <w:tcW w:w="992" w:type="dxa"/>
            <w:vAlign w:val="bottom"/>
          </w:tcPr>
          <w:p w:rsidR="00000000" w:rsidRDefault="00000000">
            <w:pPr>
              <w:pStyle w:val="BodyText2"/>
              <w:spacing w:before="40" w:after="40" w:line="180" w:lineRule="exact"/>
              <w:jc w:val="center"/>
              <w:rPr>
                <w:i w:val="0"/>
                <w:sz w:val="17"/>
              </w:rPr>
            </w:pPr>
            <w:r>
              <w:rPr>
                <w:i w:val="0"/>
                <w:sz w:val="17"/>
              </w:rPr>
              <w:t>-0,8</w:t>
            </w:r>
          </w:p>
        </w:tc>
        <w:tc>
          <w:tcPr>
            <w:tcW w:w="921" w:type="dxa"/>
            <w:vAlign w:val="bottom"/>
          </w:tcPr>
          <w:p w:rsidR="00000000" w:rsidRDefault="00000000">
            <w:pPr>
              <w:pStyle w:val="BodyText2"/>
              <w:spacing w:before="40" w:after="40" w:line="180" w:lineRule="exact"/>
              <w:jc w:val="center"/>
              <w:rPr>
                <w:i w:val="0"/>
                <w:sz w:val="17"/>
              </w:rPr>
            </w:pPr>
            <w:r>
              <w:rPr>
                <w:i w:val="0"/>
                <w:sz w:val="17"/>
              </w:rPr>
              <w:t>-3,3</w:t>
            </w:r>
          </w:p>
        </w:tc>
        <w:tc>
          <w:tcPr>
            <w:tcW w:w="1016" w:type="dxa"/>
            <w:vAlign w:val="bottom"/>
          </w:tcPr>
          <w:p w:rsidR="00000000" w:rsidRDefault="00000000">
            <w:pPr>
              <w:pStyle w:val="BodyText2"/>
              <w:spacing w:before="40" w:after="40" w:line="180" w:lineRule="exact"/>
              <w:jc w:val="center"/>
              <w:rPr>
                <w:i w:val="0"/>
                <w:sz w:val="17"/>
              </w:rPr>
            </w:pPr>
            <w:r>
              <w:rPr>
                <w:i w:val="0"/>
                <w:sz w:val="17"/>
              </w:rPr>
              <w:t>-4,9</w:t>
            </w:r>
          </w:p>
        </w:tc>
        <w:tc>
          <w:tcPr>
            <w:tcW w:w="1016" w:type="dxa"/>
            <w:vAlign w:val="bottom"/>
          </w:tcPr>
          <w:p w:rsidR="00000000" w:rsidRDefault="00000000">
            <w:pPr>
              <w:pStyle w:val="BodyText2"/>
              <w:spacing w:before="40" w:after="40" w:line="180" w:lineRule="exact"/>
              <w:jc w:val="center"/>
              <w:rPr>
                <w:i w:val="0"/>
                <w:sz w:val="17"/>
              </w:rPr>
            </w:pPr>
            <w:r>
              <w:rPr>
                <w:i w:val="0"/>
                <w:sz w:val="17"/>
              </w:rPr>
              <w:t>-0,6</w:t>
            </w:r>
          </w:p>
        </w:tc>
        <w:tc>
          <w:tcPr>
            <w:tcW w:w="1016" w:type="dxa"/>
            <w:vAlign w:val="bottom"/>
          </w:tcPr>
          <w:p w:rsidR="00000000" w:rsidRDefault="00000000">
            <w:pPr>
              <w:pStyle w:val="BodyText2"/>
              <w:spacing w:before="40" w:after="40" w:line="180" w:lineRule="exact"/>
              <w:jc w:val="center"/>
              <w:rPr>
                <w:i w:val="0"/>
                <w:sz w:val="17"/>
              </w:rPr>
            </w:pPr>
            <w:r>
              <w:rPr>
                <w:i w:val="0"/>
                <w:sz w:val="17"/>
              </w:rPr>
              <w:t>-2,5</w:t>
            </w:r>
          </w:p>
        </w:tc>
      </w:tr>
      <w:tr w:rsidR="00000000">
        <w:tblPrEx>
          <w:tblCellMar>
            <w:top w:w="0" w:type="dxa"/>
            <w:bottom w:w="0" w:type="dxa"/>
          </w:tblCellMar>
        </w:tblPrEx>
        <w:tc>
          <w:tcPr>
            <w:tcW w:w="1418" w:type="dxa"/>
            <w:tcBorders>
              <w:bottom w:val="single" w:sz="12" w:space="0" w:color="auto"/>
            </w:tcBorders>
          </w:tcPr>
          <w:p w:rsidR="00000000" w:rsidRDefault="00000000">
            <w:pPr>
              <w:pStyle w:val="BodyText2"/>
              <w:spacing w:before="40" w:after="40" w:line="180" w:lineRule="exact"/>
              <w:rPr>
                <w:i w:val="0"/>
                <w:sz w:val="17"/>
              </w:rPr>
            </w:pPr>
            <w:r>
              <w:rPr>
                <w:i w:val="0"/>
                <w:sz w:val="17"/>
              </w:rPr>
              <w:t>Доля занятых неполный раб</w:t>
            </w:r>
            <w:r>
              <w:rPr>
                <w:i w:val="0"/>
                <w:sz w:val="17"/>
              </w:rPr>
              <w:t>о</w:t>
            </w:r>
            <w:r>
              <w:rPr>
                <w:i w:val="0"/>
                <w:sz w:val="17"/>
              </w:rPr>
              <w:t>чий день</w:t>
            </w:r>
          </w:p>
        </w:tc>
        <w:tc>
          <w:tcPr>
            <w:tcW w:w="992" w:type="dxa"/>
            <w:tcBorders>
              <w:bottom w:val="single" w:sz="12" w:space="0" w:color="auto"/>
            </w:tcBorders>
            <w:vAlign w:val="bottom"/>
          </w:tcPr>
          <w:p w:rsidR="00000000" w:rsidRDefault="00000000">
            <w:pPr>
              <w:pStyle w:val="BodyText2"/>
              <w:spacing w:before="40" w:after="40" w:line="180" w:lineRule="exact"/>
              <w:jc w:val="center"/>
              <w:rPr>
                <w:i w:val="0"/>
                <w:sz w:val="17"/>
              </w:rPr>
            </w:pPr>
            <w:r>
              <w:rPr>
                <w:i w:val="0"/>
                <w:sz w:val="17"/>
              </w:rPr>
              <w:t>+0,3</w:t>
            </w:r>
          </w:p>
        </w:tc>
        <w:tc>
          <w:tcPr>
            <w:tcW w:w="992" w:type="dxa"/>
            <w:tcBorders>
              <w:bottom w:val="single" w:sz="12" w:space="0" w:color="auto"/>
            </w:tcBorders>
            <w:vAlign w:val="bottom"/>
          </w:tcPr>
          <w:p w:rsidR="00000000" w:rsidRDefault="00000000">
            <w:pPr>
              <w:pStyle w:val="BodyText2"/>
              <w:spacing w:before="40" w:after="40" w:line="180" w:lineRule="exact"/>
              <w:jc w:val="center"/>
              <w:rPr>
                <w:i w:val="0"/>
                <w:sz w:val="17"/>
              </w:rPr>
            </w:pPr>
            <w:r>
              <w:rPr>
                <w:i w:val="0"/>
                <w:sz w:val="17"/>
              </w:rPr>
              <w:t>+1,7</w:t>
            </w:r>
          </w:p>
        </w:tc>
        <w:tc>
          <w:tcPr>
            <w:tcW w:w="921" w:type="dxa"/>
            <w:tcBorders>
              <w:bottom w:val="single" w:sz="12" w:space="0" w:color="auto"/>
            </w:tcBorders>
            <w:vAlign w:val="bottom"/>
          </w:tcPr>
          <w:p w:rsidR="00000000" w:rsidRDefault="00000000">
            <w:pPr>
              <w:pStyle w:val="BodyText2"/>
              <w:spacing w:before="40" w:after="40" w:line="180" w:lineRule="exact"/>
              <w:jc w:val="center"/>
              <w:rPr>
                <w:i w:val="0"/>
                <w:sz w:val="17"/>
              </w:rPr>
            </w:pPr>
          </w:p>
        </w:tc>
        <w:tc>
          <w:tcPr>
            <w:tcW w:w="1016" w:type="dxa"/>
            <w:tcBorders>
              <w:bottom w:val="single" w:sz="12" w:space="0" w:color="auto"/>
            </w:tcBorders>
            <w:vAlign w:val="bottom"/>
          </w:tcPr>
          <w:p w:rsidR="00000000" w:rsidRDefault="00000000">
            <w:pPr>
              <w:pStyle w:val="BodyText2"/>
              <w:spacing w:before="40" w:after="40" w:line="180" w:lineRule="exact"/>
              <w:jc w:val="center"/>
              <w:rPr>
                <w:i w:val="0"/>
                <w:sz w:val="17"/>
              </w:rPr>
            </w:pPr>
          </w:p>
        </w:tc>
        <w:tc>
          <w:tcPr>
            <w:tcW w:w="1016" w:type="dxa"/>
            <w:tcBorders>
              <w:bottom w:val="single" w:sz="12" w:space="0" w:color="auto"/>
            </w:tcBorders>
            <w:vAlign w:val="bottom"/>
          </w:tcPr>
          <w:p w:rsidR="00000000" w:rsidRDefault="00000000">
            <w:pPr>
              <w:pStyle w:val="BodyText2"/>
              <w:spacing w:before="40" w:after="40" w:line="180" w:lineRule="exact"/>
              <w:jc w:val="center"/>
              <w:rPr>
                <w:i w:val="0"/>
                <w:sz w:val="17"/>
              </w:rPr>
            </w:pPr>
          </w:p>
        </w:tc>
        <w:tc>
          <w:tcPr>
            <w:tcW w:w="1016" w:type="dxa"/>
            <w:tcBorders>
              <w:bottom w:val="single" w:sz="12" w:space="0" w:color="auto"/>
            </w:tcBorders>
            <w:vAlign w:val="bottom"/>
          </w:tcPr>
          <w:p w:rsidR="00000000" w:rsidRDefault="00000000">
            <w:pPr>
              <w:pStyle w:val="BodyText2"/>
              <w:spacing w:before="40" w:after="40" w:line="180" w:lineRule="exact"/>
              <w:jc w:val="center"/>
              <w:rPr>
                <w:i w:val="0"/>
                <w:sz w:val="17"/>
              </w:rPr>
            </w:pPr>
          </w:p>
        </w:tc>
      </w:tr>
    </w:tbl>
    <w:p w:rsidR="00000000" w:rsidRDefault="00000000">
      <w:pPr>
        <w:pStyle w:val="SingleTxt"/>
        <w:ind w:firstLine="0"/>
      </w:pPr>
      <w:r>
        <w:rPr>
          <w:i/>
        </w:rPr>
        <w:t>Источник</w:t>
      </w:r>
      <w:r>
        <w:t>: обследование рабочей силы домохозяйств, Статистическое управл</w:t>
      </w:r>
      <w:r>
        <w:t>е</w:t>
      </w:r>
      <w:r>
        <w:t>ние Новой Зеландии.</w:t>
      </w:r>
    </w:p>
    <w:p w:rsidR="00000000" w:rsidRDefault="00000000">
      <w:pPr>
        <w:pStyle w:val="H23"/>
      </w:pPr>
      <w:r>
        <w:t>Женщины-маори</w:t>
      </w:r>
    </w:p>
    <w:p w:rsidR="00000000" w:rsidRDefault="00000000">
      <w:pPr>
        <w:pStyle w:val="SingleTxt"/>
      </w:pPr>
      <w:r>
        <w:tab/>
        <w:t>Участие женщин маори в рабочей силе ниже участия европейских же</w:t>
      </w:r>
      <w:r>
        <w:t>н</w:t>
      </w:r>
      <w:r>
        <w:t>щин/женщин-пакеха, хотя с 1996 года показатели по обеим группам повыс</w:t>
      </w:r>
      <w:r>
        <w:t>и</w:t>
      </w:r>
      <w:r>
        <w:t>лись. Уровень безработицы среди женщин маори значительно понизился с 1996 года, хотя и остается выше, чем среди европейских женщин/женщин-пакеха.</w:t>
      </w:r>
    </w:p>
    <w:p w:rsidR="00000000" w:rsidRDefault="00000000">
      <w:pPr>
        <w:pStyle w:val="H23"/>
      </w:pPr>
      <w:r>
        <w:t>Женщины тихоокеанских народностей</w:t>
      </w:r>
    </w:p>
    <w:p w:rsidR="00000000" w:rsidRDefault="00000000">
      <w:pPr>
        <w:pStyle w:val="SingleTxt"/>
      </w:pPr>
      <w:r>
        <w:t>Участие женщин тихоокеанских народностей в рабочей силе ниже уч</w:t>
      </w:r>
      <w:r>
        <w:t>а</w:t>
      </w:r>
      <w:r>
        <w:t>стия европейских женщин/женщин-пакеха, хотя с 1996 года показатели по об</w:t>
      </w:r>
      <w:r>
        <w:t>е</w:t>
      </w:r>
      <w:r>
        <w:t>им группам повысились. Уровень безработицы среди женщин тихоокеанских народностей значительно понизился с 1996 года, хотя и остается выше, чем среди евр</w:t>
      </w:r>
      <w:r>
        <w:t>о</w:t>
      </w:r>
      <w:r>
        <w:t>пейских женщин/женщин-пакеха.</w:t>
      </w:r>
    </w:p>
    <w:p w:rsidR="00000000" w:rsidRDefault="00000000">
      <w:pPr>
        <w:pStyle w:val="H23"/>
      </w:pPr>
      <w:r>
        <w:t>Женщины других этнических групп</w:t>
      </w:r>
    </w:p>
    <w:p w:rsidR="00000000" w:rsidRDefault="00000000">
      <w:pPr>
        <w:pStyle w:val="SingleTxt"/>
      </w:pPr>
      <w:r>
        <w:tab/>
        <w:t>Понятие «женщины других этнических групп» включает в себя женщин, не относящихся к маори, тихоокеанским народностям или европейским же</w:t>
      </w:r>
      <w:r>
        <w:t>н</w:t>
      </w:r>
      <w:r>
        <w:t>щинам/женщинам-пакеха. Более подробная разбивка этой группы женщин н</w:t>
      </w:r>
      <w:r>
        <w:t>е</w:t>
      </w:r>
      <w:r>
        <w:t>возможна. Выборки обследования рабочей силы домохозяйств слишком малы, чтобы дать сколько-нибудь существенную информацию о беженцах или м</w:t>
      </w:r>
      <w:r>
        <w:t>и</w:t>
      </w:r>
      <w:r>
        <w:t>грантах по странам происхождения. Они содержат некоторую информацию о последних мигрантах, но данные о странах происхождения должны быть агр</w:t>
      </w:r>
      <w:r>
        <w:t>е</w:t>
      </w:r>
      <w:r>
        <w:t>гированы до весьма высокого уровня, чтобы дать статистически значимый р</w:t>
      </w:r>
      <w:r>
        <w:t>е</w:t>
      </w:r>
      <w:r>
        <w:t>зул</w:t>
      </w:r>
      <w:r>
        <w:t>ь</w:t>
      </w:r>
      <w:r>
        <w:t>тат.</w:t>
      </w:r>
    </w:p>
    <w:p w:rsidR="00000000" w:rsidRDefault="00000000">
      <w:pPr>
        <w:pStyle w:val="SingleTxt"/>
      </w:pPr>
      <w:r>
        <w:tab/>
        <w:t>Показатель участия женщин в рабочей силе по "другим" этническим группам сократился в период с июня 1996 года по июнь 2002 года. Наиболее состоятельное объяснение этому состоит в том, что новые женщины-мигранты не вливаются в рабочую силу в тех же количествах, что и уже находящиеся в Новой Зеландии женщины из "других этнических групп". Кроме того, среди женщин из "других" этнических групп уровень безработицы выше, чем среди европейских женщин/женщин-пакеха и ниже, чем среди женщин-маори и п</w:t>
      </w:r>
      <w:r>
        <w:t>а</w:t>
      </w:r>
      <w:r>
        <w:t>сифика. В п</w:t>
      </w:r>
      <w:r>
        <w:t>о</w:t>
      </w:r>
      <w:r>
        <w:t xml:space="preserve">следние шесть лет эта ситуация постепенно выравнивалась. </w:t>
      </w:r>
    </w:p>
    <w:p w:rsidR="00000000" w:rsidRDefault="00000000">
      <w:pPr>
        <w:pStyle w:val="H23"/>
      </w:pPr>
      <w:r>
        <w:t>Работа и возраст</w:t>
      </w:r>
    </w:p>
    <w:p w:rsidR="00000000" w:rsidRDefault="00000000">
      <w:pPr>
        <w:pStyle w:val="SingleTxt"/>
      </w:pPr>
      <w:r>
        <w:tab/>
        <w:t>Участие женщин в рабочей силе колеблется в широком диапазоне в зав</w:t>
      </w:r>
      <w:r>
        <w:t>и</w:t>
      </w:r>
      <w:r>
        <w:t>симости от возраста, причем за период по июнь 2002 года наивысший показ</w:t>
      </w:r>
      <w:r>
        <w:t>а</w:t>
      </w:r>
      <w:r>
        <w:t xml:space="preserve">тель наблюдается в возрастной группе 45-49 лет (81,4 процента). Наименьшие различия между участием мужчин и женщин отмечаются в группах 15-19 лет, старше 65 лет и 45-49 лет, а наибольшие – в группах 30-34 и 60-64 лет. Самый высокий уровень безработицы в период по июнь 2002 года отмечается как по мужчинам, так и по женщинам в возрастных группах 15-19 и 20-24 лет. </w:t>
      </w:r>
    </w:p>
    <w:p w:rsidR="00000000" w:rsidRDefault="00000000">
      <w:pPr>
        <w:pStyle w:val="H23"/>
      </w:pPr>
      <w:r>
        <w:t>Продолжительность рабочего дня</w:t>
      </w:r>
    </w:p>
    <w:p w:rsidR="00000000" w:rsidRDefault="00000000">
      <w:pPr>
        <w:pStyle w:val="SingleTxt"/>
      </w:pPr>
      <w:r>
        <w:tab/>
        <w:t>Количество рабочих часов в неделю у женщин и мужчин весьма неодин</w:t>
      </w:r>
      <w:r>
        <w:t>а</w:t>
      </w:r>
      <w:r>
        <w:t>ково. Это обусловлено высокой занятостью женщин неполный рабочий день по сравнению с мужчинами. В период по июнь 2002 года в среднем 36,5 процента занятых женщин и 11,8 процента занятых мужчин работали неполный рабочий день, и женщины составляли 72,1 процент всех частично занятых трудящихся. В период по июнь 1996 года в среднем 36,2 процента занятых женщин и 10,1 процента занятых мужчин работали на неполной ставке, и 74,3 процента таких трудящихся составляли женщины. Показатели частичной и полной зан</w:t>
      </w:r>
      <w:r>
        <w:t>я</w:t>
      </w:r>
      <w:r>
        <w:t>тости по временной и постоянной работе дальнейшему дезагрегированию не подд</w:t>
      </w:r>
      <w:r>
        <w:t>а</w:t>
      </w:r>
      <w:r>
        <w:t>ются.</w:t>
      </w:r>
    </w:p>
    <w:p w:rsidR="00000000" w:rsidRDefault="00000000">
      <w:pPr>
        <w:pStyle w:val="SingleTxt"/>
        <w:ind w:firstLine="0"/>
        <w:jc w:val="left"/>
        <w:rPr>
          <w:b/>
        </w:rPr>
      </w:pPr>
      <w:r>
        <w:rPr>
          <w:b/>
        </w:rPr>
        <w:t xml:space="preserve">Доля лиц, занятых неполный рабочий день (в %), в среднем за период </w:t>
      </w:r>
      <w:r>
        <w:rPr>
          <w:b/>
        </w:rPr>
        <w:br/>
        <w:t>по июнь 1996–2002 годов</w:t>
      </w:r>
    </w:p>
    <w:tbl>
      <w:tblPr>
        <w:tblW w:w="0" w:type="auto"/>
        <w:tblInd w:w="1278" w:type="dxa"/>
        <w:tblLayout w:type="fixed"/>
        <w:tblLook w:val="0000" w:firstRow="0" w:lastRow="0" w:firstColumn="0" w:lastColumn="0" w:noHBand="0" w:noVBand="0"/>
      </w:tblPr>
      <w:tblGrid>
        <w:gridCol w:w="2552"/>
        <w:gridCol w:w="2409"/>
        <w:gridCol w:w="2410"/>
      </w:tblGrid>
      <w:tr w:rsidR="00000000">
        <w:tblPrEx>
          <w:tblCellMar>
            <w:top w:w="0" w:type="dxa"/>
            <w:bottom w:w="0" w:type="dxa"/>
          </w:tblCellMar>
        </w:tblPrEx>
        <w:tc>
          <w:tcPr>
            <w:tcW w:w="2552" w:type="dxa"/>
            <w:tcBorders>
              <w:top w:val="single" w:sz="4" w:space="0" w:color="auto"/>
              <w:bottom w:val="single" w:sz="12" w:space="0" w:color="auto"/>
            </w:tcBorders>
          </w:tcPr>
          <w:p w:rsidR="00000000" w:rsidRDefault="00000000">
            <w:pPr>
              <w:pStyle w:val="BodyText2"/>
              <w:spacing w:before="40" w:after="40" w:line="180" w:lineRule="exact"/>
              <w:rPr>
                <w:sz w:val="17"/>
              </w:rPr>
            </w:pPr>
            <w:r>
              <w:rPr>
                <w:sz w:val="17"/>
              </w:rPr>
              <w:t>Год, з</w:t>
            </w:r>
            <w:r>
              <w:rPr>
                <w:sz w:val="17"/>
              </w:rPr>
              <w:t>а</w:t>
            </w:r>
            <w:r>
              <w:rPr>
                <w:sz w:val="17"/>
              </w:rPr>
              <w:t>кончившийся в июне</w:t>
            </w:r>
          </w:p>
        </w:tc>
        <w:tc>
          <w:tcPr>
            <w:tcW w:w="2409" w:type="dxa"/>
            <w:tcBorders>
              <w:top w:val="single" w:sz="4" w:space="0" w:color="auto"/>
              <w:bottom w:val="single" w:sz="12" w:space="0" w:color="auto"/>
            </w:tcBorders>
          </w:tcPr>
          <w:p w:rsidR="00000000" w:rsidRDefault="00000000">
            <w:pPr>
              <w:pStyle w:val="BodyText2"/>
              <w:spacing w:before="40" w:after="40" w:line="180" w:lineRule="exact"/>
              <w:jc w:val="center"/>
              <w:rPr>
                <w:sz w:val="17"/>
              </w:rPr>
            </w:pPr>
            <w:r>
              <w:rPr>
                <w:sz w:val="17"/>
              </w:rPr>
              <w:t>Женщины</w:t>
            </w:r>
          </w:p>
        </w:tc>
        <w:tc>
          <w:tcPr>
            <w:tcW w:w="2410" w:type="dxa"/>
            <w:tcBorders>
              <w:top w:val="single" w:sz="4" w:space="0" w:color="auto"/>
              <w:bottom w:val="single" w:sz="12" w:space="0" w:color="auto"/>
            </w:tcBorders>
          </w:tcPr>
          <w:p w:rsidR="00000000" w:rsidRDefault="00000000">
            <w:pPr>
              <w:pStyle w:val="BodyText2"/>
              <w:spacing w:before="40" w:after="40" w:line="180" w:lineRule="exact"/>
              <w:jc w:val="center"/>
              <w:rPr>
                <w:sz w:val="17"/>
              </w:rPr>
            </w:pPr>
            <w:r>
              <w:rPr>
                <w:sz w:val="17"/>
              </w:rPr>
              <w:t>Мужчины</w:t>
            </w:r>
          </w:p>
        </w:tc>
      </w:tr>
      <w:tr w:rsidR="00000000">
        <w:tblPrEx>
          <w:tblCellMar>
            <w:top w:w="0" w:type="dxa"/>
            <w:bottom w:w="0" w:type="dxa"/>
          </w:tblCellMar>
        </w:tblPrEx>
        <w:tc>
          <w:tcPr>
            <w:tcW w:w="2552" w:type="dxa"/>
            <w:tcBorders>
              <w:top w:val="single" w:sz="12" w:space="0" w:color="auto"/>
            </w:tcBorders>
          </w:tcPr>
          <w:p w:rsidR="00000000" w:rsidRDefault="00000000">
            <w:pPr>
              <w:pStyle w:val="BodyText2"/>
              <w:spacing w:before="40" w:after="40" w:line="180" w:lineRule="exact"/>
              <w:rPr>
                <w:i w:val="0"/>
                <w:sz w:val="17"/>
              </w:rPr>
            </w:pPr>
            <w:r>
              <w:rPr>
                <w:i w:val="0"/>
                <w:sz w:val="17"/>
              </w:rPr>
              <w:t>1996</w:t>
            </w:r>
          </w:p>
        </w:tc>
        <w:tc>
          <w:tcPr>
            <w:tcW w:w="2409" w:type="dxa"/>
            <w:tcBorders>
              <w:top w:val="single" w:sz="12" w:space="0" w:color="auto"/>
            </w:tcBorders>
          </w:tcPr>
          <w:p w:rsidR="00000000" w:rsidRDefault="00000000">
            <w:pPr>
              <w:pStyle w:val="BodyText2"/>
              <w:spacing w:before="40" w:after="40" w:line="180" w:lineRule="exact"/>
              <w:jc w:val="center"/>
              <w:rPr>
                <w:i w:val="0"/>
                <w:sz w:val="17"/>
              </w:rPr>
            </w:pPr>
            <w:r>
              <w:rPr>
                <w:i w:val="0"/>
                <w:sz w:val="17"/>
              </w:rPr>
              <w:t>36,2</w:t>
            </w:r>
          </w:p>
        </w:tc>
        <w:tc>
          <w:tcPr>
            <w:tcW w:w="2410" w:type="dxa"/>
            <w:tcBorders>
              <w:top w:val="single" w:sz="12" w:space="0" w:color="auto"/>
            </w:tcBorders>
          </w:tcPr>
          <w:p w:rsidR="00000000" w:rsidRDefault="00000000">
            <w:pPr>
              <w:pStyle w:val="BodyText2"/>
              <w:spacing w:before="40" w:after="40" w:line="180" w:lineRule="exact"/>
              <w:jc w:val="center"/>
              <w:rPr>
                <w:i w:val="0"/>
                <w:sz w:val="17"/>
              </w:rPr>
            </w:pPr>
            <w:r>
              <w:rPr>
                <w:i w:val="0"/>
                <w:sz w:val="17"/>
              </w:rPr>
              <w:t>10,1</w:t>
            </w:r>
          </w:p>
        </w:tc>
      </w:tr>
      <w:tr w:rsidR="00000000">
        <w:tblPrEx>
          <w:tblCellMar>
            <w:top w:w="0" w:type="dxa"/>
            <w:bottom w:w="0" w:type="dxa"/>
          </w:tblCellMar>
        </w:tblPrEx>
        <w:tc>
          <w:tcPr>
            <w:tcW w:w="2552" w:type="dxa"/>
          </w:tcPr>
          <w:p w:rsidR="00000000" w:rsidRDefault="00000000">
            <w:pPr>
              <w:pStyle w:val="BodyText2"/>
              <w:spacing w:before="40" w:after="40" w:line="180" w:lineRule="exact"/>
              <w:rPr>
                <w:i w:val="0"/>
                <w:sz w:val="17"/>
              </w:rPr>
            </w:pPr>
            <w:r>
              <w:rPr>
                <w:i w:val="0"/>
                <w:sz w:val="17"/>
              </w:rPr>
              <w:t>1997</w:t>
            </w:r>
          </w:p>
        </w:tc>
        <w:tc>
          <w:tcPr>
            <w:tcW w:w="2409" w:type="dxa"/>
          </w:tcPr>
          <w:p w:rsidR="00000000" w:rsidRDefault="00000000">
            <w:pPr>
              <w:pStyle w:val="BodyText2"/>
              <w:spacing w:before="40" w:after="40" w:line="180" w:lineRule="exact"/>
              <w:jc w:val="center"/>
              <w:rPr>
                <w:i w:val="0"/>
                <w:sz w:val="17"/>
              </w:rPr>
            </w:pPr>
            <w:r>
              <w:rPr>
                <w:i w:val="0"/>
                <w:sz w:val="17"/>
              </w:rPr>
              <w:t>37,4</w:t>
            </w:r>
          </w:p>
        </w:tc>
        <w:tc>
          <w:tcPr>
            <w:tcW w:w="2410" w:type="dxa"/>
          </w:tcPr>
          <w:p w:rsidR="00000000" w:rsidRDefault="00000000">
            <w:pPr>
              <w:pStyle w:val="BodyText2"/>
              <w:spacing w:before="40" w:after="40" w:line="180" w:lineRule="exact"/>
              <w:jc w:val="center"/>
              <w:rPr>
                <w:i w:val="0"/>
                <w:sz w:val="17"/>
              </w:rPr>
            </w:pPr>
            <w:r>
              <w:rPr>
                <w:i w:val="0"/>
                <w:sz w:val="17"/>
              </w:rPr>
              <w:t>10,5</w:t>
            </w:r>
          </w:p>
        </w:tc>
      </w:tr>
      <w:tr w:rsidR="00000000">
        <w:tblPrEx>
          <w:tblCellMar>
            <w:top w:w="0" w:type="dxa"/>
            <w:bottom w:w="0" w:type="dxa"/>
          </w:tblCellMar>
        </w:tblPrEx>
        <w:tc>
          <w:tcPr>
            <w:tcW w:w="2552" w:type="dxa"/>
          </w:tcPr>
          <w:p w:rsidR="00000000" w:rsidRDefault="00000000">
            <w:pPr>
              <w:pStyle w:val="BodyText2"/>
              <w:spacing w:before="40" w:after="40" w:line="180" w:lineRule="exact"/>
              <w:rPr>
                <w:i w:val="0"/>
                <w:sz w:val="17"/>
              </w:rPr>
            </w:pPr>
            <w:r>
              <w:rPr>
                <w:i w:val="0"/>
                <w:sz w:val="17"/>
              </w:rPr>
              <w:t>1998</w:t>
            </w:r>
          </w:p>
        </w:tc>
        <w:tc>
          <w:tcPr>
            <w:tcW w:w="2409" w:type="dxa"/>
          </w:tcPr>
          <w:p w:rsidR="00000000" w:rsidRDefault="00000000">
            <w:pPr>
              <w:pStyle w:val="BodyText2"/>
              <w:spacing w:before="40" w:after="40" w:line="180" w:lineRule="exact"/>
              <w:jc w:val="center"/>
              <w:rPr>
                <w:i w:val="0"/>
                <w:sz w:val="17"/>
              </w:rPr>
            </w:pPr>
            <w:r>
              <w:rPr>
                <w:i w:val="0"/>
                <w:sz w:val="17"/>
              </w:rPr>
              <w:t>37,4</w:t>
            </w:r>
          </w:p>
        </w:tc>
        <w:tc>
          <w:tcPr>
            <w:tcW w:w="2410" w:type="dxa"/>
          </w:tcPr>
          <w:p w:rsidR="00000000" w:rsidRDefault="00000000">
            <w:pPr>
              <w:pStyle w:val="BodyText2"/>
              <w:spacing w:before="40" w:after="40" w:line="180" w:lineRule="exact"/>
              <w:jc w:val="center"/>
              <w:rPr>
                <w:i w:val="0"/>
                <w:sz w:val="17"/>
              </w:rPr>
            </w:pPr>
            <w:r>
              <w:rPr>
                <w:i w:val="0"/>
                <w:sz w:val="17"/>
              </w:rPr>
              <w:t>11,0</w:t>
            </w:r>
          </w:p>
        </w:tc>
      </w:tr>
      <w:tr w:rsidR="00000000">
        <w:tblPrEx>
          <w:tblCellMar>
            <w:top w:w="0" w:type="dxa"/>
            <w:bottom w:w="0" w:type="dxa"/>
          </w:tblCellMar>
        </w:tblPrEx>
        <w:tc>
          <w:tcPr>
            <w:tcW w:w="2552" w:type="dxa"/>
          </w:tcPr>
          <w:p w:rsidR="00000000" w:rsidRDefault="00000000">
            <w:pPr>
              <w:pStyle w:val="BodyText2"/>
              <w:spacing w:before="40" w:after="40" w:line="180" w:lineRule="exact"/>
              <w:rPr>
                <w:i w:val="0"/>
                <w:sz w:val="17"/>
              </w:rPr>
            </w:pPr>
            <w:r>
              <w:rPr>
                <w:i w:val="0"/>
                <w:sz w:val="17"/>
              </w:rPr>
              <w:t>1999</w:t>
            </w:r>
          </w:p>
        </w:tc>
        <w:tc>
          <w:tcPr>
            <w:tcW w:w="2409" w:type="dxa"/>
          </w:tcPr>
          <w:p w:rsidR="00000000" w:rsidRDefault="00000000">
            <w:pPr>
              <w:pStyle w:val="BodyText2"/>
              <w:spacing w:before="40" w:after="40" w:line="180" w:lineRule="exact"/>
              <w:jc w:val="center"/>
              <w:rPr>
                <w:i w:val="0"/>
                <w:sz w:val="17"/>
              </w:rPr>
            </w:pPr>
            <w:r>
              <w:rPr>
                <w:i w:val="0"/>
                <w:sz w:val="17"/>
              </w:rPr>
              <w:t>38,3</w:t>
            </w:r>
          </w:p>
        </w:tc>
        <w:tc>
          <w:tcPr>
            <w:tcW w:w="2410" w:type="dxa"/>
          </w:tcPr>
          <w:p w:rsidR="00000000" w:rsidRDefault="00000000">
            <w:pPr>
              <w:pStyle w:val="BodyText2"/>
              <w:spacing w:before="40" w:after="40" w:line="180" w:lineRule="exact"/>
              <w:jc w:val="center"/>
              <w:rPr>
                <w:i w:val="0"/>
                <w:sz w:val="17"/>
              </w:rPr>
            </w:pPr>
            <w:r>
              <w:rPr>
                <w:i w:val="0"/>
                <w:sz w:val="17"/>
              </w:rPr>
              <w:t>11,4</w:t>
            </w:r>
          </w:p>
        </w:tc>
      </w:tr>
      <w:tr w:rsidR="00000000">
        <w:tblPrEx>
          <w:tblCellMar>
            <w:top w:w="0" w:type="dxa"/>
            <w:bottom w:w="0" w:type="dxa"/>
          </w:tblCellMar>
        </w:tblPrEx>
        <w:tc>
          <w:tcPr>
            <w:tcW w:w="2552" w:type="dxa"/>
          </w:tcPr>
          <w:p w:rsidR="00000000" w:rsidRDefault="00000000">
            <w:pPr>
              <w:pStyle w:val="BodyText2"/>
              <w:spacing w:before="40" w:after="40" w:line="180" w:lineRule="exact"/>
              <w:rPr>
                <w:i w:val="0"/>
                <w:sz w:val="17"/>
              </w:rPr>
            </w:pPr>
            <w:r>
              <w:rPr>
                <w:i w:val="0"/>
                <w:sz w:val="17"/>
              </w:rPr>
              <w:t>2000</w:t>
            </w:r>
          </w:p>
        </w:tc>
        <w:tc>
          <w:tcPr>
            <w:tcW w:w="2409" w:type="dxa"/>
          </w:tcPr>
          <w:p w:rsidR="00000000" w:rsidRDefault="00000000">
            <w:pPr>
              <w:pStyle w:val="BodyText2"/>
              <w:spacing w:before="40" w:after="40" w:line="180" w:lineRule="exact"/>
              <w:jc w:val="center"/>
              <w:rPr>
                <w:i w:val="0"/>
                <w:sz w:val="17"/>
              </w:rPr>
            </w:pPr>
            <w:r>
              <w:rPr>
                <w:i w:val="0"/>
                <w:sz w:val="17"/>
              </w:rPr>
              <w:t>36,7</w:t>
            </w:r>
          </w:p>
        </w:tc>
        <w:tc>
          <w:tcPr>
            <w:tcW w:w="2410" w:type="dxa"/>
          </w:tcPr>
          <w:p w:rsidR="00000000" w:rsidRDefault="00000000">
            <w:pPr>
              <w:pStyle w:val="BodyText2"/>
              <w:spacing w:before="40" w:after="40" w:line="180" w:lineRule="exact"/>
              <w:jc w:val="center"/>
              <w:rPr>
                <w:i w:val="0"/>
                <w:sz w:val="17"/>
              </w:rPr>
            </w:pPr>
            <w:r>
              <w:rPr>
                <w:i w:val="0"/>
                <w:sz w:val="17"/>
              </w:rPr>
              <w:t>11,4</w:t>
            </w:r>
          </w:p>
        </w:tc>
      </w:tr>
      <w:tr w:rsidR="00000000">
        <w:tblPrEx>
          <w:tblCellMar>
            <w:top w:w="0" w:type="dxa"/>
            <w:bottom w:w="0" w:type="dxa"/>
          </w:tblCellMar>
        </w:tblPrEx>
        <w:tc>
          <w:tcPr>
            <w:tcW w:w="2552" w:type="dxa"/>
          </w:tcPr>
          <w:p w:rsidR="00000000" w:rsidRDefault="00000000">
            <w:pPr>
              <w:pStyle w:val="BodyText2"/>
              <w:spacing w:before="40" w:after="40" w:line="180" w:lineRule="exact"/>
              <w:rPr>
                <w:b/>
                <w:sz w:val="17"/>
              </w:rPr>
            </w:pPr>
            <w:r>
              <w:rPr>
                <w:b/>
                <w:sz w:val="17"/>
              </w:rPr>
              <w:t>2001</w:t>
            </w:r>
          </w:p>
        </w:tc>
        <w:tc>
          <w:tcPr>
            <w:tcW w:w="2409" w:type="dxa"/>
          </w:tcPr>
          <w:p w:rsidR="00000000" w:rsidRDefault="00000000">
            <w:pPr>
              <w:pStyle w:val="BodyText2"/>
              <w:spacing w:before="40" w:after="40" w:line="180" w:lineRule="exact"/>
              <w:jc w:val="center"/>
              <w:rPr>
                <w:i w:val="0"/>
                <w:sz w:val="17"/>
              </w:rPr>
            </w:pPr>
            <w:r>
              <w:rPr>
                <w:i w:val="0"/>
                <w:sz w:val="17"/>
              </w:rPr>
              <w:t>35,8</w:t>
            </w:r>
          </w:p>
        </w:tc>
        <w:tc>
          <w:tcPr>
            <w:tcW w:w="2410" w:type="dxa"/>
          </w:tcPr>
          <w:p w:rsidR="00000000" w:rsidRDefault="00000000">
            <w:pPr>
              <w:pStyle w:val="BodyText2"/>
              <w:spacing w:before="40" w:after="40" w:line="180" w:lineRule="exact"/>
              <w:jc w:val="center"/>
              <w:rPr>
                <w:i w:val="0"/>
                <w:sz w:val="17"/>
              </w:rPr>
            </w:pPr>
            <w:r>
              <w:rPr>
                <w:i w:val="0"/>
                <w:sz w:val="17"/>
              </w:rPr>
              <w:t>11,3</w:t>
            </w:r>
          </w:p>
        </w:tc>
      </w:tr>
      <w:tr w:rsidR="00000000">
        <w:tblPrEx>
          <w:tblCellMar>
            <w:top w:w="0" w:type="dxa"/>
            <w:bottom w:w="0" w:type="dxa"/>
          </w:tblCellMar>
        </w:tblPrEx>
        <w:tc>
          <w:tcPr>
            <w:tcW w:w="2552" w:type="dxa"/>
            <w:tcBorders>
              <w:bottom w:val="single" w:sz="12" w:space="0" w:color="auto"/>
            </w:tcBorders>
          </w:tcPr>
          <w:p w:rsidR="00000000" w:rsidRDefault="00000000">
            <w:pPr>
              <w:pStyle w:val="BodyText2"/>
              <w:spacing w:before="40" w:after="40" w:line="180" w:lineRule="exact"/>
              <w:rPr>
                <w:b/>
                <w:sz w:val="17"/>
              </w:rPr>
            </w:pPr>
            <w:r>
              <w:rPr>
                <w:b/>
                <w:sz w:val="17"/>
              </w:rPr>
              <w:t>2002</w:t>
            </w:r>
          </w:p>
        </w:tc>
        <w:tc>
          <w:tcPr>
            <w:tcW w:w="2409" w:type="dxa"/>
            <w:tcBorders>
              <w:bottom w:val="single" w:sz="12" w:space="0" w:color="auto"/>
            </w:tcBorders>
          </w:tcPr>
          <w:p w:rsidR="00000000" w:rsidRDefault="00000000">
            <w:pPr>
              <w:pStyle w:val="BodyText2"/>
              <w:spacing w:before="40" w:after="40" w:line="180" w:lineRule="exact"/>
              <w:jc w:val="center"/>
              <w:rPr>
                <w:i w:val="0"/>
                <w:sz w:val="17"/>
              </w:rPr>
            </w:pPr>
            <w:r>
              <w:rPr>
                <w:i w:val="0"/>
                <w:sz w:val="17"/>
              </w:rPr>
              <w:t>36,5</w:t>
            </w:r>
          </w:p>
        </w:tc>
        <w:tc>
          <w:tcPr>
            <w:tcW w:w="2410" w:type="dxa"/>
            <w:tcBorders>
              <w:bottom w:val="single" w:sz="12" w:space="0" w:color="auto"/>
            </w:tcBorders>
          </w:tcPr>
          <w:p w:rsidR="00000000" w:rsidRDefault="00000000">
            <w:pPr>
              <w:pStyle w:val="BodyText2"/>
              <w:spacing w:before="40" w:after="40" w:line="180" w:lineRule="exact"/>
              <w:jc w:val="center"/>
              <w:rPr>
                <w:i w:val="0"/>
                <w:sz w:val="17"/>
              </w:rPr>
            </w:pPr>
            <w:r>
              <w:rPr>
                <w:i w:val="0"/>
                <w:sz w:val="17"/>
              </w:rPr>
              <w:t>11,7</w:t>
            </w:r>
          </w:p>
        </w:tc>
      </w:tr>
    </w:tbl>
    <w:p w:rsidR="00000000" w:rsidRDefault="00000000">
      <w:pPr>
        <w:pStyle w:val="SingleTxt"/>
        <w:ind w:firstLine="0"/>
      </w:pPr>
      <w:r>
        <w:rPr>
          <w:i/>
        </w:rPr>
        <w:t>Источник</w:t>
      </w:r>
      <w:r>
        <w:t>: обследование рабочей силы домохозяйств, Статистическое управл</w:t>
      </w:r>
      <w:r>
        <w:t>е</w:t>
      </w:r>
      <w:r>
        <w:t>ние Новой Зеландии.</w:t>
      </w:r>
    </w:p>
    <w:p w:rsidR="00000000" w:rsidRDefault="00000000">
      <w:pPr>
        <w:pStyle w:val="SingleTxt"/>
      </w:pPr>
      <w:r>
        <w:tab/>
        <w:t>Такое положение отчасти является следствием различных решений, пр</w:t>
      </w:r>
      <w:r>
        <w:t>и</w:t>
      </w:r>
      <w:r>
        <w:t>нимаемых мужчинами и женщинами, поскольку неполная занятость позволяет многим женщинам совмещать оплачиваемую работу и семейные обязанности. Тем не менее, многие из тех, кто работает неполный рабочий день, хотели бы работать больше. В период по июнь 2002 года в среднем 31,5 процента му</w:t>
      </w:r>
      <w:r>
        <w:t>ж</w:t>
      </w:r>
      <w:r>
        <w:t>чин, занятых неполный рабочий день, желали бы работать больше по сравн</w:t>
      </w:r>
      <w:r>
        <w:t>е</w:t>
      </w:r>
      <w:r>
        <w:t>нию с 22,8 процента женщин; однако поскольку женщины составляют бол</w:t>
      </w:r>
      <w:r>
        <w:t>ь</w:t>
      </w:r>
      <w:r>
        <w:t>шинство из тех, кто работает неполный рабочий день, 65,2 процента всех н</w:t>
      </w:r>
      <w:r>
        <w:t>е</w:t>
      </w:r>
      <w:r>
        <w:t>полностью занятых трудящихся, высказывавшихся в пользу увеличения часов работы, были женщинами.</w:t>
      </w:r>
    </w:p>
    <w:p w:rsidR="00000000" w:rsidRDefault="00000000">
      <w:pPr>
        <w:pStyle w:val="SingleTxt"/>
      </w:pPr>
      <w:r>
        <w:tab/>
        <w:t>Средняя численность работавших по совместительству женщин в период по июнь 2002 года составляла 47600 человек, т.е. была выше по сравнению с периодом по июнь 1987 года, когда их насчитывалось 28200, и периодом по июнь 1996 года, когда их было 42300. Эти данные можно сравнить с численн</w:t>
      </w:r>
      <w:r>
        <w:t>о</w:t>
      </w:r>
      <w:r>
        <w:t>стью работавших по совместительству мужчин, которых было меньше, чем женщин и количество которых росло более медленными темпами – с 30200 в период по июнь 1987 года до 37900 в период по июнь 1996 года – и снизилось до 32600 в пер</w:t>
      </w:r>
      <w:r>
        <w:t>и</w:t>
      </w:r>
      <w:r>
        <w:t>од по июнь 2002 года.</w:t>
      </w:r>
    </w:p>
    <w:p w:rsidR="00000000" w:rsidRDefault="00000000">
      <w:pPr>
        <w:pStyle w:val="H23"/>
      </w:pPr>
      <w:r>
        <w:t>Профессиональные группы</w:t>
      </w:r>
    </w:p>
    <w:p w:rsidR="00000000" w:rsidRDefault="00000000">
      <w:pPr>
        <w:pStyle w:val="SingleTxt"/>
      </w:pPr>
      <w:r>
        <w:tab/>
        <w:t>Женщины и мужчины неравномерно распределяются между професси</w:t>
      </w:r>
      <w:r>
        <w:t>о</w:t>
      </w:r>
      <w:r>
        <w:t>нальными группами. В период по июнь 2002 года женщины работали преим</w:t>
      </w:r>
      <w:r>
        <w:t>у</w:t>
      </w:r>
      <w:r>
        <w:t>щественно в сфере услуг и в торговле (21,5 процента трудоустроенных же</w:t>
      </w:r>
      <w:r>
        <w:t>н</w:t>
      </w:r>
      <w:r>
        <w:t>щин), делопроизводителями (20,4 процента), специалистами (16,5 процента), техническими и иными экспертами (14,2 процента). Мужчины чаще работают в качестве ремесленников, законодателей, администраторов и менеджеров, оп</w:t>
      </w:r>
      <w:r>
        <w:t>е</w:t>
      </w:r>
      <w:r>
        <w:t>раторов станков и механизмов, специалистов, технических и иных экспертов. Однако за последние шесть лет доля женщин, работающих в качестве закон</w:t>
      </w:r>
      <w:r>
        <w:t>о</w:t>
      </w:r>
      <w:r>
        <w:t>дателей, администраторов и менеджеров, специалистов, технических и иных экспертов, во</w:t>
      </w:r>
      <w:r>
        <w:t>з</w:t>
      </w:r>
      <w:r>
        <w:t>росла.</w:t>
      </w:r>
    </w:p>
    <w:p w:rsidR="00000000" w:rsidRDefault="00000000">
      <w:pPr>
        <w:pStyle w:val="SingleTxt"/>
      </w:pPr>
      <w:r>
        <w:tab/>
        <w:t>Отраслевое распределение трудящихся мужчин и женщин также неодин</w:t>
      </w:r>
      <w:r>
        <w:t>а</w:t>
      </w:r>
      <w:r>
        <w:t>ково, причем женщины сосредоточены в области общинного и индивидуальн</w:t>
      </w:r>
      <w:r>
        <w:t>о</w:t>
      </w:r>
      <w:r>
        <w:t>го обслуживания (41,4 процента трудоустроенных женщин в период по июнь 2002 года), а также в сфере оптовой и розничной торговли (23,9 процента). Для сравнения мужчины чаще всего работают в обрабатывающем секторе (20,7 процента), оптовой и розничной торговле (19,8 процента) и в области о</w:t>
      </w:r>
      <w:r>
        <w:t>б</w:t>
      </w:r>
      <w:r>
        <w:t>щинного и индивидуального обслуживания (17,2 процента). С 1996 года ра</w:t>
      </w:r>
      <w:r>
        <w:t>с</w:t>
      </w:r>
      <w:r>
        <w:t>пределение занятости мужчин и женщин по секторам существенно не измен</w:t>
      </w:r>
      <w:r>
        <w:t>и</w:t>
      </w:r>
      <w:r>
        <w:t>лось, хотя в области работы женщин в общинно – индивидуальном и комме</w:t>
      </w:r>
      <w:r>
        <w:t>р</w:t>
      </w:r>
      <w:r>
        <w:t>ческо – финансовом обслуживании отмечался сильный рост.</w:t>
      </w:r>
    </w:p>
    <w:p w:rsidR="00000000" w:rsidRDefault="00000000">
      <w:pPr>
        <w:pStyle w:val="H23"/>
      </w:pPr>
      <w:r>
        <w:t>Оплата труда</w:t>
      </w:r>
    </w:p>
    <w:p w:rsidR="00000000" w:rsidRDefault="00000000">
      <w:pPr>
        <w:pStyle w:val="SingleTxt"/>
      </w:pPr>
      <w:r>
        <w:tab/>
        <w:t>По состоянию на май 2002 года обычные средние недельные заработки женщин составляли 607,97 долл. США. Это равняется 78,7 процента от обы</w:t>
      </w:r>
      <w:r>
        <w:t>ч</w:t>
      </w:r>
      <w:r>
        <w:t>ных средних недельных заработков мужчин (772,68 долл. США), хотя данные различия отчасти обусловлены неодинаковым количеством отработанных ч</w:t>
      </w:r>
      <w:r>
        <w:t>а</w:t>
      </w:r>
      <w:r>
        <w:t>сов. В разбивке по секторам средние почасовые заработки мужчин и женщин с мая 1996 года возросли на одинаковую процентную долю, кроме четырех о</w:t>
      </w:r>
      <w:r>
        <w:t>т</w:t>
      </w:r>
      <w:r>
        <w:t>раслей. К ним относятся собственность, деловое, индивидуальное и прочее о</w:t>
      </w:r>
      <w:r>
        <w:t>б</w:t>
      </w:r>
      <w:r>
        <w:t>служивание, где зарплата женщин росла более быстрыми темпами; электро-, газо- и водоснабжение, а также культура и организация отдыха, где более б</w:t>
      </w:r>
      <w:r>
        <w:t>ы</w:t>
      </w:r>
      <w:r>
        <w:t>стрыми те</w:t>
      </w:r>
      <w:r>
        <w:t>м</w:t>
      </w:r>
      <w:r>
        <w:t xml:space="preserve">пами росла зарплата мужчин. </w:t>
      </w:r>
    </w:p>
    <w:p w:rsidR="00000000" w:rsidRDefault="00000000">
      <w:pPr>
        <w:pStyle w:val="SingleTxt"/>
      </w:pPr>
      <w:r>
        <w:tab/>
        <w:t>Тем не менее, на май 2002 года обычные средние почасовые заработки женщин составляли 84,8 процента от заработков мужчин. С мая 1996 года ср</w:t>
      </w:r>
      <w:r>
        <w:t>е</w:t>
      </w:r>
      <w:r>
        <w:t>ди женщин наблюдался более быстрый рост обычных средних почасовых зар</w:t>
      </w:r>
      <w:r>
        <w:t>а</w:t>
      </w:r>
      <w:r>
        <w:t>ботков (до 20,5 процента по сравнению с 16,8 процента среди мужчин). Ра</w:t>
      </w:r>
      <w:r>
        <w:t>з</w:t>
      </w:r>
      <w:r>
        <w:t>брос в обычных средних почасовых заработках между мужчинами и женщин</w:t>
      </w:r>
      <w:r>
        <w:t>а</w:t>
      </w:r>
      <w:r>
        <w:t>ми был большим в государственном секторе (где заработки женщин составляли 80,1 пр</w:t>
      </w:r>
      <w:r>
        <w:t>о</w:t>
      </w:r>
      <w:r>
        <w:t>цента от заработков мужчин), чем в частном (82,3 процента).</w:t>
      </w:r>
    </w:p>
    <w:p w:rsidR="00000000" w:rsidRDefault="00000000">
      <w:pPr>
        <w:pStyle w:val="SingleTxt"/>
        <w:ind w:firstLine="0"/>
        <w:rPr>
          <w:b/>
        </w:rPr>
      </w:pPr>
      <w:r>
        <w:rPr>
          <w:b/>
        </w:rPr>
        <w:t>Сопоставление средних почасовых заработков в разбивке по полу и этн</w:t>
      </w:r>
      <w:r>
        <w:rPr>
          <w:b/>
        </w:rPr>
        <w:t>и</w:t>
      </w:r>
      <w:r>
        <w:rPr>
          <w:b/>
        </w:rPr>
        <w:t>ческому происхождению, о</w:t>
      </w:r>
      <w:r>
        <w:rPr>
          <w:b/>
        </w:rPr>
        <w:t>б</w:t>
      </w:r>
      <w:r>
        <w:rPr>
          <w:b/>
        </w:rPr>
        <w:t>следование доходов, июнь 2001 года</w:t>
      </w:r>
    </w:p>
    <w:tbl>
      <w:tblPr>
        <w:tblW w:w="0" w:type="auto"/>
        <w:tblInd w:w="1278" w:type="dxa"/>
        <w:tblLayout w:type="fixed"/>
        <w:tblLook w:val="0000" w:firstRow="0" w:lastRow="0" w:firstColumn="0" w:lastColumn="0" w:noHBand="0" w:noVBand="0"/>
      </w:tblPr>
      <w:tblGrid>
        <w:gridCol w:w="1418"/>
        <w:gridCol w:w="1190"/>
        <w:gridCol w:w="1191"/>
        <w:gridCol w:w="1190"/>
        <w:gridCol w:w="1191"/>
        <w:gridCol w:w="1191"/>
      </w:tblGrid>
      <w:tr w:rsidR="00000000">
        <w:tblPrEx>
          <w:tblCellMar>
            <w:top w:w="0" w:type="dxa"/>
            <w:bottom w:w="0" w:type="dxa"/>
          </w:tblCellMar>
        </w:tblPrEx>
        <w:tc>
          <w:tcPr>
            <w:tcW w:w="1418" w:type="dxa"/>
            <w:tcBorders>
              <w:top w:val="single" w:sz="6" w:space="0" w:color="auto"/>
              <w:bottom w:val="single" w:sz="12" w:space="0" w:color="auto"/>
            </w:tcBorders>
            <w:vAlign w:val="center"/>
          </w:tcPr>
          <w:p w:rsidR="00000000" w:rsidRDefault="00000000">
            <w:pPr>
              <w:pStyle w:val="BodyText2"/>
              <w:spacing w:before="40" w:after="40" w:line="180" w:lineRule="exact"/>
              <w:jc w:val="center"/>
              <w:rPr>
                <w:sz w:val="17"/>
              </w:rPr>
            </w:pPr>
            <w:r>
              <w:rPr>
                <w:sz w:val="17"/>
              </w:rPr>
              <w:t>Женщины</w:t>
            </w:r>
          </w:p>
        </w:tc>
        <w:tc>
          <w:tcPr>
            <w:tcW w:w="1190" w:type="dxa"/>
            <w:tcBorders>
              <w:top w:val="single" w:sz="6" w:space="0" w:color="auto"/>
              <w:bottom w:val="single" w:sz="12" w:space="0" w:color="auto"/>
            </w:tcBorders>
            <w:vAlign w:val="center"/>
          </w:tcPr>
          <w:p w:rsidR="00000000" w:rsidRDefault="00000000">
            <w:pPr>
              <w:pStyle w:val="BodyText2"/>
              <w:spacing w:before="40" w:after="40" w:line="180" w:lineRule="exact"/>
              <w:jc w:val="center"/>
              <w:rPr>
                <w:sz w:val="17"/>
              </w:rPr>
            </w:pPr>
            <w:r>
              <w:rPr>
                <w:sz w:val="17"/>
              </w:rPr>
              <w:t>Мужчины</w:t>
            </w:r>
          </w:p>
        </w:tc>
        <w:tc>
          <w:tcPr>
            <w:tcW w:w="1191" w:type="dxa"/>
            <w:tcBorders>
              <w:top w:val="single" w:sz="6" w:space="0" w:color="auto"/>
              <w:bottom w:val="single" w:sz="12" w:space="0" w:color="auto"/>
            </w:tcBorders>
            <w:vAlign w:val="center"/>
          </w:tcPr>
          <w:p w:rsidR="00000000" w:rsidRDefault="00000000">
            <w:pPr>
              <w:pStyle w:val="BodyText2"/>
              <w:spacing w:before="40" w:after="40" w:line="180" w:lineRule="exact"/>
              <w:jc w:val="center"/>
              <w:rPr>
                <w:sz w:val="17"/>
              </w:rPr>
            </w:pPr>
            <w:r>
              <w:rPr>
                <w:sz w:val="17"/>
              </w:rPr>
              <w:t>Соотнош</w:t>
            </w:r>
            <w:r>
              <w:rPr>
                <w:sz w:val="17"/>
              </w:rPr>
              <w:t>е</w:t>
            </w:r>
            <w:r>
              <w:rPr>
                <w:sz w:val="17"/>
              </w:rPr>
              <w:t>ние</w:t>
            </w:r>
          </w:p>
        </w:tc>
        <w:tc>
          <w:tcPr>
            <w:tcW w:w="1190" w:type="dxa"/>
            <w:tcBorders>
              <w:top w:val="single" w:sz="6" w:space="0" w:color="auto"/>
              <w:bottom w:val="single" w:sz="12" w:space="0" w:color="auto"/>
            </w:tcBorders>
            <w:vAlign w:val="center"/>
          </w:tcPr>
          <w:p w:rsidR="00000000" w:rsidRDefault="00000000">
            <w:pPr>
              <w:pStyle w:val="BodyText2"/>
              <w:spacing w:before="40" w:after="40" w:line="180" w:lineRule="exact"/>
              <w:jc w:val="center"/>
              <w:rPr>
                <w:sz w:val="17"/>
              </w:rPr>
            </w:pPr>
            <w:r>
              <w:rPr>
                <w:sz w:val="17"/>
              </w:rPr>
              <w:t>Маори</w:t>
            </w:r>
          </w:p>
        </w:tc>
        <w:tc>
          <w:tcPr>
            <w:tcW w:w="1191" w:type="dxa"/>
            <w:tcBorders>
              <w:top w:val="single" w:sz="6" w:space="0" w:color="auto"/>
              <w:bottom w:val="single" w:sz="12" w:space="0" w:color="auto"/>
            </w:tcBorders>
            <w:vAlign w:val="center"/>
          </w:tcPr>
          <w:p w:rsidR="00000000" w:rsidRDefault="00000000">
            <w:pPr>
              <w:pStyle w:val="BodyText2"/>
              <w:spacing w:before="40" w:after="40" w:line="180" w:lineRule="exact"/>
              <w:jc w:val="center"/>
              <w:rPr>
                <w:sz w:val="17"/>
              </w:rPr>
            </w:pPr>
            <w:r>
              <w:rPr>
                <w:sz w:val="17"/>
              </w:rPr>
              <w:t>Пакеха</w:t>
            </w:r>
          </w:p>
        </w:tc>
        <w:tc>
          <w:tcPr>
            <w:tcW w:w="1191" w:type="dxa"/>
            <w:tcBorders>
              <w:top w:val="single" w:sz="6" w:space="0" w:color="auto"/>
              <w:bottom w:val="single" w:sz="12" w:space="0" w:color="auto"/>
            </w:tcBorders>
            <w:vAlign w:val="center"/>
          </w:tcPr>
          <w:p w:rsidR="00000000" w:rsidRDefault="00000000">
            <w:pPr>
              <w:pStyle w:val="BodyText2"/>
              <w:spacing w:before="40" w:after="40" w:line="180" w:lineRule="exact"/>
              <w:jc w:val="center"/>
              <w:rPr>
                <w:sz w:val="17"/>
              </w:rPr>
            </w:pPr>
            <w:r>
              <w:rPr>
                <w:sz w:val="17"/>
              </w:rPr>
              <w:t>Соотнош</w:t>
            </w:r>
            <w:r>
              <w:rPr>
                <w:sz w:val="17"/>
              </w:rPr>
              <w:t>е</w:t>
            </w:r>
            <w:r>
              <w:rPr>
                <w:sz w:val="17"/>
              </w:rPr>
              <w:t>ние</w:t>
            </w:r>
          </w:p>
        </w:tc>
      </w:tr>
      <w:tr w:rsidR="00000000">
        <w:tblPrEx>
          <w:tblCellMar>
            <w:top w:w="0" w:type="dxa"/>
            <w:bottom w:w="0" w:type="dxa"/>
          </w:tblCellMar>
        </w:tblPrEx>
        <w:tc>
          <w:tcPr>
            <w:tcW w:w="1418" w:type="dxa"/>
            <w:tcBorders>
              <w:top w:val="single" w:sz="12" w:space="0" w:color="auto"/>
              <w:bottom w:val="single" w:sz="12" w:space="0" w:color="auto"/>
            </w:tcBorders>
          </w:tcPr>
          <w:p w:rsidR="00000000" w:rsidRDefault="00000000">
            <w:pPr>
              <w:pStyle w:val="BodyText2"/>
              <w:spacing w:before="40" w:after="40" w:line="180" w:lineRule="exact"/>
              <w:rPr>
                <w:i w:val="0"/>
                <w:sz w:val="17"/>
              </w:rPr>
            </w:pPr>
            <w:r>
              <w:rPr>
                <w:i w:val="0"/>
                <w:sz w:val="17"/>
              </w:rPr>
              <w:t>14,93 долл. США</w:t>
            </w:r>
          </w:p>
        </w:tc>
        <w:tc>
          <w:tcPr>
            <w:tcW w:w="1190" w:type="dxa"/>
            <w:tcBorders>
              <w:top w:val="single" w:sz="12" w:space="0" w:color="auto"/>
              <w:bottom w:val="single" w:sz="12" w:space="0" w:color="auto"/>
            </w:tcBorders>
          </w:tcPr>
          <w:p w:rsidR="00000000" w:rsidRDefault="00000000">
            <w:pPr>
              <w:pStyle w:val="BodyText2"/>
              <w:spacing w:before="40" w:after="40" w:line="180" w:lineRule="exact"/>
              <w:jc w:val="center"/>
              <w:rPr>
                <w:i w:val="0"/>
                <w:sz w:val="17"/>
              </w:rPr>
            </w:pPr>
            <w:r>
              <w:rPr>
                <w:i w:val="0"/>
                <w:sz w:val="17"/>
              </w:rPr>
              <w:t>17,71 долл. США</w:t>
            </w:r>
          </w:p>
        </w:tc>
        <w:tc>
          <w:tcPr>
            <w:tcW w:w="1191" w:type="dxa"/>
            <w:tcBorders>
              <w:top w:val="single" w:sz="12" w:space="0" w:color="auto"/>
              <w:bottom w:val="single" w:sz="12" w:space="0" w:color="auto"/>
            </w:tcBorders>
          </w:tcPr>
          <w:p w:rsidR="00000000" w:rsidRDefault="00000000">
            <w:pPr>
              <w:pStyle w:val="BodyText2"/>
              <w:spacing w:before="40" w:after="40" w:line="180" w:lineRule="exact"/>
              <w:jc w:val="center"/>
              <w:rPr>
                <w:i w:val="0"/>
                <w:sz w:val="17"/>
              </w:rPr>
            </w:pPr>
            <w:r>
              <w:rPr>
                <w:i w:val="0"/>
                <w:sz w:val="17"/>
              </w:rPr>
              <w:t>84,3%</w:t>
            </w:r>
          </w:p>
        </w:tc>
        <w:tc>
          <w:tcPr>
            <w:tcW w:w="1190" w:type="dxa"/>
            <w:tcBorders>
              <w:top w:val="single" w:sz="12" w:space="0" w:color="auto"/>
              <w:bottom w:val="single" w:sz="12" w:space="0" w:color="auto"/>
            </w:tcBorders>
          </w:tcPr>
          <w:p w:rsidR="00000000" w:rsidRDefault="00000000">
            <w:pPr>
              <w:pStyle w:val="BodyText2"/>
              <w:spacing w:before="40" w:after="40" w:line="180" w:lineRule="exact"/>
              <w:jc w:val="center"/>
              <w:rPr>
                <w:i w:val="0"/>
                <w:sz w:val="17"/>
              </w:rPr>
            </w:pPr>
            <w:r>
              <w:rPr>
                <w:i w:val="0"/>
                <w:sz w:val="17"/>
              </w:rPr>
              <w:t>13,60 долл. США</w:t>
            </w:r>
          </w:p>
        </w:tc>
        <w:tc>
          <w:tcPr>
            <w:tcW w:w="1191" w:type="dxa"/>
            <w:tcBorders>
              <w:top w:val="single" w:sz="12" w:space="0" w:color="auto"/>
              <w:bottom w:val="single" w:sz="12" w:space="0" w:color="auto"/>
            </w:tcBorders>
          </w:tcPr>
          <w:p w:rsidR="00000000" w:rsidRDefault="00000000">
            <w:pPr>
              <w:pStyle w:val="BodyText2"/>
              <w:spacing w:before="40" w:after="40" w:line="180" w:lineRule="exact"/>
              <w:jc w:val="center"/>
              <w:rPr>
                <w:i w:val="0"/>
                <w:sz w:val="17"/>
              </w:rPr>
            </w:pPr>
            <w:r>
              <w:rPr>
                <w:i w:val="0"/>
                <w:sz w:val="17"/>
              </w:rPr>
              <w:t>16,90 долл. США</w:t>
            </w:r>
          </w:p>
        </w:tc>
        <w:tc>
          <w:tcPr>
            <w:tcW w:w="1191" w:type="dxa"/>
            <w:tcBorders>
              <w:top w:val="single" w:sz="12" w:space="0" w:color="auto"/>
              <w:bottom w:val="single" w:sz="12" w:space="0" w:color="auto"/>
            </w:tcBorders>
          </w:tcPr>
          <w:p w:rsidR="00000000" w:rsidRDefault="00000000">
            <w:pPr>
              <w:pStyle w:val="BodyText2"/>
              <w:spacing w:before="40" w:after="40" w:line="180" w:lineRule="exact"/>
              <w:jc w:val="center"/>
              <w:rPr>
                <w:i w:val="0"/>
                <w:sz w:val="17"/>
              </w:rPr>
            </w:pPr>
            <w:r>
              <w:rPr>
                <w:i w:val="0"/>
                <w:sz w:val="17"/>
              </w:rPr>
              <w:t>80,5%</w:t>
            </w:r>
          </w:p>
        </w:tc>
      </w:tr>
      <w:tr w:rsidR="00000000">
        <w:tblPrEx>
          <w:tblCellMar>
            <w:top w:w="0" w:type="dxa"/>
            <w:bottom w:w="0" w:type="dxa"/>
          </w:tblCellMar>
        </w:tblPrEx>
        <w:trPr>
          <w:cantSplit/>
        </w:trPr>
        <w:tc>
          <w:tcPr>
            <w:tcW w:w="7371" w:type="dxa"/>
            <w:gridSpan w:val="6"/>
            <w:tcBorders>
              <w:top w:val="single" w:sz="12" w:space="0" w:color="auto"/>
              <w:bottom w:val="single" w:sz="6" w:space="0" w:color="auto"/>
            </w:tcBorders>
          </w:tcPr>
          <w:p w:rsidR="00000000" w:rsidRDefault="00000000">
            <w:pPr>
              <w:pStyle w:val="SingleTxt"/>
              <w:spacing w:before="240"/>
              <w:ind w:left="0" w:right="0" w:firstLine="0"/>
              <w:jc w:val="center"/>
              <w:rPr>
                <w:b/>
              </w:rPr>
            </w:pPr>
            <w:r>
              <w:rPr>
                <w:b/>
              </w:rPr>
              <w:t>Сопоставление средних почасовых зар</w:t>
            </w:r>
            <w:r>
              <w:rPr>
                <w:b/>
              </w:rPr>
              <w:t>а</w:t>
            </w:r>
            <w:r>
              <w:rPr>
                <w:b/>
              </w:rPr>
              <w:t>ботков женщин</w:t>
            </w:r>
          </w:p>
        </w:tc>
      </w:tr>
      <w:tr w:rsidR="00000000">
        <w:tblPrEx>
          <w:tblCellMar>
            <w:top w:w="0" w:type="dxa"/>
            <w:bottom w:w="0" w:type="dxa"/>
          </w:tblCellMar>
        </w:tblPrEx>
        <w:tc>
          <w:tcPr>
            <w:tcW w:w="1418" w:type="dxa"/>
            <w:tcBorders>
              <w:top w:val="single" w:sz="6" w:space="0" w:color="auto"/>
              <w:bottom w:val="single" w:sz="12" w:space="0" w:color="auto"/>
            </w:tcBorders>
          </w:tcPr>
          <w:p w:rsidR="00000000" w:rsidRDefault="00000000">
            <w:pPr>
              <w:pStyle w:val="BodyText2"/>
              <w:spacing w:before="40" w:after="40" w:line="180" w:lineRule="exact"/>
              <w:rPr>
                <w:sz w:val="17"/>
              </w:rPr>
            </w:pPr>
          </w:p>
        </w:tc>
        <w:tc>
          <w:tcPr>
            <w:tcW w:w="1190" w:type="dxa"/>
            <w:tcBorders>
              <w:top w:val="single" w:sz="6" w:space="0" w:color="auto"/>
              <w:bottom w:val="single" w:sz="12" w:space="0" w:color="auto"/>
            </w:tcBorders>
            <w:vAlign w:val="center"/>
          </w:tcPr>
          <w:p w:rsidR="00000000" w:rsidRDefault="00000000">
            <w:pPr>
              <w:pStyle w:val="BodyText2"/>
              <w:spacing w:before="40" w:after="40" w:line="180" w:lineRule="exact"/>
              <w:jc w:val="center"/>
              <w:rPr>
                <w:sz w:val="17"/>
              </w:rPr>
            </w:pPr>
            <w:r>
              <w:rPr>
                <w:sz w:val="17"/>
              </w:rPr>
              <w:t>Же</w:t>
            </w:r>
            <w:r>
              <w:rPr>
                <w:sz w:val="17"/>
              </w:rPr>
              <w:t>н</w:t>
            </w:r>
            <w:r>
              <w:rPr>
                <w:sz w:val="17"/>
              </w:rPr>
              <w:t>щины-пак</w:t>
            </w:r>
            <w:r>
              <w:rPr>
                <w:sz w:val="17"/>
              </w:rPr>
              <w:t>е</w:t>
            </w:r>
            <w:r>
              <w:rPr>
                <w:sz w:val="17"/>
              </w:rPr>
              <w:t>ха</w:t>
            </w:r>
          </w:p>
        </w:tc>
        <w:tc>
          <w:tcPr>
            <w:tcW w:w="1191" w:type="dxa"/>
            <w:tcBorders>
              <w:top w:val="single" w:sz="6" w:space="0" w:color="auto"/>
              <w:bottom w:val="single" w:sz="12" w:space="0" w:color="auto"/>
            </w:tcBorders>
            <w:vAlign w:val="center"/>
          </w:tcPr>
          <w:p w:rsidR="00000000" w:rsidRDefault="00000000">
            <w:pPr>
              <w:pStyle w:val="BodyText2"/>
              <w:spacing w:before="40" w:after="40" w:line="180" w:lineRule="exact"/>
              <w:jc w:val="center"/>
              <w:rPr>
                <w:sz w:val="17"/>
              </w:rPr>
            </w:pPr>
            <w:r>
              <w:rPr>
                <w:sz w:val="17"/>
              </w:rPr>
              <w:t>Мужчины тих</w:t>
            </w:r>
            <w:r>
              <w:rPr>
                <w:sz w:val="17"/>
              </w:rPr>
              <w:t>о</w:t>
            </w:r>
            <w:r>
              <w:rPr>
                <w:sz w:val="17"/>
              </w:rPr>
              <w:t>океан-ских наро</w:t>
            </w:r>
            <w:r>
              <w:rPr>
                <w:sz w:val="17"/>
              </w:rPr>
              <w:t>д</w:t>
            </w:r>
            <w:r>
              <w:rPr>
                <w:sz w:val="17"/>
              </w:rPr>
              <w:t>нос-тей</w:t>
            </w:r>
          </w:p>
        </w:tc>
        <w:tc>
          <w:tcPr>
            <w:tcW w:w="1190" w:type="dxa"/>
            <w:tcBorders>
              <w:top w:val="single" w:sz="6" w:space="0" w:color="auto"/>
              <w:bottom w:val="single" w:sz="12" w:space="0" w:color="auto"/>
            </w:tcBorders>
            <w:vAlign w:val="center"/>
          </w:tcPr>
          <w:p w:rsidR="00000000" w:rsidRDefault="00000000">
            <w:pPr>
              <w:pStyle w:val="BodyText2"/>
              <w:spacing w:before="40" w:after="40" w:line="180" w:lineRule="exact"/>
              <w:jc w:val="center"/>
              <w:rPr>
                <w:sz w:val="17"/>
              </w:rPr>
            </w:pPr>
            <w:r>
              <w:rPr>
                <w:sz w:val="17"/>
              </w:rPr>
              <w:t>Мужчины-маори</w:t>
            </w:r>
          </w:p>
        </w:tc>
        <w:tc>
          <w:tcPr>
            <w:tcW w:w="1191" w:type="dxa"/>
            <w:tcBorders>
              <w:top w:val="single" w:sz="6" w:space="0" w:color="auto"/>
              <w:bottom w:val="single" w:sz="12" w:space="0" w:color="auto"/>
            </w:tcBorders>
            <w:vAlign w:val="center"/>
          </w:tcPr>
          <w:p w:rsidR="00000000" w:rsidRDefault="00000000">
            <w:pPr>
              <w:pStyle w:val="BodyText2"/>
              <w:spacing w:before="40" w:after="40" w:line="180" w:lineRule="exact"/>
              <w:jc w:val="center"/>
              <w:rPr>
                <w:sz w:val="17"/>
              </w:rPr>
            </w:pPr>
            <w:r>
              <w:rPr>
                <w:sz w:val="17"/>
              </w:rPr>
              <w:t>Мужчины-пакеха</w:t>
            </w:r>
          </w:p>
        </w:tc>
        <w:tc>
          <w:tcPr>
            <w:tcW w:w="1191" w:type="dxa"/>
            <w:tcBorders>
              <w:top w:val="single" w:sz="6" w:space="0" w:color="auto"/>
              <w:bottom w:val="single" w:sz="12" w:space="0" w:color="auto"/>
            </w:tcBorders>
            <w:vAlign w:val="center"/>
          </w:tcPr>
          <w:p w:rsidR="00000000" w:rsidRDefault="00000000">
            <w:pPr>
              <w:pStyle w:val="BodyText2"/>
              <w:spacing w:before="40" w:after="40" w:line="180" w:lineRule="exact"/>
              <w:jc w:val="center"/>
              <w:rPr>
                <w:sz w:val="17"/>
              </w:rPr>
            </w:pPr>
            <w:r>
              <w:rPr>
                <w:sz w:val="17"/>
              </w:rPr>
              <w:t xml:space="preserve">Все </w:t>
            </w:r>
            <w:r>
              <w:rPr>
                <w:sz w:val="17"/>
              </w:rPr>
              <w:br/>
              <w:t>мужч</w:t>
            </w:r>
            <w:r>
              <w:rPr>
                <w:sz w:val="17"/>
              </w:rPr>
              <w:t>и</w:t>
            </w:r>
            <w:r>
              <w:rPr>
                <w:sz w:val="17"/>
              </w:rPr>
              <w:t>ны</w:t>
            </w:r>
          </w:p>
        </w:tc>
      </w:tr>
      <w:tr w:rsidR="00000000">
        <w:tblPrEx>
          <w:tblCellMar>
            <w:top w:w="0" w:type="dxa"/>
            <w:bottom w:w="0" w:type="dxa"/>
          </w:tblCellMar>
        </w:tblPrEx>
        <w:tc>
          <w:tcPr>
            <w:tcW w:w="1418" w:type="dxa"/>
            <w:tcBorders>
              <w:top w:val="single" w:sz="12" w:space="0" w:color="auto"/>
            </w:tcBorders>
          </w:tcPr>
          <w:p w:rsidR="00000000" w:rsidRDefault="00000000">
            <w:pPr>
              <w:pStyle w:val="BodyText2"/>
              <w:spacing w:before="40" w:after="40" w:line="180" w:lineRule="exact"/>
              <w:rPr>
                <w:i w:val="0"/>
                <w:sz w:val="17"/>
              </w:rPr>
            </w:pPr>
            <w:r>
              <w:rPr>
                <w:i w:val="0"/>
                <w:sz w:val="17"/>
              </w:rPr>
              <w:t>Женщины-пакеха</w:t>
            </w:r>
          </w:p>
        </w:tc>
        <w:tc>
          <w:tcPr>
            <w:tcW w:w="1190" w:type="dxa"/>
            <w:tcBorders>
              <w:top w:val="single" w:sz="12" w:space="0" w:color="auto"/>
            </w:tcBorders>
            <w:vAlign w:val="bottom"/>
          </w:tcPr>
          <w:p w:rsidR="00000000" w:rsidRDefault="00000000">
            <w:pPr>
              <w:pStyle w:val="BodyText2"/>
              <w:spacing w:before="40" w:after="40" w:line="180" w:lineRule="exact"/>
              <w:jc w:val="center"/>
              <w:rPr>
                <w:i w:val="0"/>
                <w:sz w:val="17"/>
              </w:rPr>
            </w:pPr>
          </w:p>
        </w:tc>
        <w:tc>
          <w:tcPr>
            <w:tcW w:w="1191" w:type="dxa"/>
            <w:tcBorders>
              <w:top w:val="single" w:sz="12" w:space="0" w:color="auto"/>
            </w:tcBorders>
            <w:vAlign w:val="bottom"/>
          </w:tcPr>
          <w:p w:rsidR="00000000" w:rsidRDefault="00000000">
            <w:pPr>
              <w:pStyle w:val="BodyText2"/>
              <w:spacing w:before="40" w:after="40" w:line="180" w:lineRule="exact"/>
              <w:jc w:val="center"/>
              <w:rPr>
                <w:i w:val="0"/>
                <w:sz w:val="17"/>
              </w:rPr>
            </w:pPr>
          </w:p>
        </w:tc>
        <w:tc>
          <w:tcPr>
            <w:tcW w:w="1190" w:type="dxa"/>
            <w:tcBorders>
              <w:top w:val="single" w:sz="12" w:space="0" w:color="auto"/>
            </w:tcBorders>
            <w:vAlign w:val="bottom"/>
          </w:tcPr>
          <w:p w:rsidR="00000000" w:rsidRDefault="00000000">
            <w:pPr>
              <w:pStyle w:val="BodyText2"/>
              <w:spacing w:before="40" w:after="40" w:line="180" w:lineRule="exact"/>
              <w:jc w:val="center"/>
              <w:rPr>
                <w:i w:val="0"/>
                <w:sz w:val="17"/>
              </w:rPr>
            </w:pPr>
          </w:p>
        </w:tc>
        <w:tc>
          <w:tcPr>
            <w:tcW w:w="1191" w:type="dxa"/>
            <w:tcBorders>
              <w:top w:val="single" w:sz="12" w:space="0" w:color="auto"/>
            </w:tcBorders>
            <w:vAlign w:val="bottom"/>
          </w:tcPr>
          <w:p w:rsidR="00000000" w:rsidRDefault="00000000">
            <w:pPr>
              <w:pStyle w:val="BodyText2"/>
              <w:spacing w:before="40" w:after="40" w:line="180" w:lineRule="exact"/>
              <w:jc w:val="center"/>
              <w:rPr>
                <w:i w:val="0"/>
                <w:sz w:val="17"/>
              </w:rPr>
            </w:pPr>
            <w:r>
              <w:rPr>
                <w:i w:val="0"/>
                <w:sz w:val="17"/>
              </w:rPr>
              <w:t>82,5%</w:t>
            </w:r>
          </w:p>
        </w:tc>
        <w:tc>
          <w:tcPr>
            <w:tcW w:w="1191" w:type="dxa"/>
            <w:tcBorders>
              <w:top w:val="single" w:sz="12" w:space="0" w:color="auto"/>
            </w:tcBorders>
            <w:vAlign w:val="bottom"/>
          </w:tcPr>
          <w:p w:rsidR="00000000" w:rsidRDefault="00000000">
            <w:pPr>
              <w:pStyle w:val="BodyText2"/>
              <w:spacing w:before="40" w:after="40" w:line="180" w:lineRule="exact"/>
              <w:jc w:val="center"/>
              <w:rPr>
                <w:i w:val="0"/>
                <w:sz w:val="17"/>
              </w:rPr>
            </w:pPr>
            <w:r>
              <w:rPr>
                <w:i w:val="0"/>
                <w:sz w:val="17"/>
              </w:rPr>
              <w:t>86,2%</w:t>
            </w:r>
          </w:p>
        </w:tc>
      </w:tr>
      <w:tr w:rsidR="00000000">
        <w:tblPrEx>
          <w:tblCellMar>
            <w:top w:w="0" w:type="dxa"/>
            <w:bottom w:w="0" w:type="dxa"/>
          </w:tblCellMar>
        </w:tblPrEx>
        <w:tc>
          <w:tcPr>
            <w:tcW w:w="1418" w:type="dxa"/>
          </w:tcPr>
          <w:p w:rsidR="00000000" w:rsidRDefault="00000000">
            <w:pPr>
              <w:pStyle w:val="BodyText2"/>
              <w:spacing w:before="40" w:after="40" w:line="180" w:lineRule="exact"/>
              <w:rPr>
                <w:i w:val="0"/>
                <w:sz w:val="17"/>
              </w:rPr>
            </w:pPr>
            <w:r>
              <w:rPr>
                <w:i w:val="0"/>
                <w:sz w:val="17"/>
              </w:rPr>
              <w:t>Женщины-маори</w:t>
            </w:r>
          </w:p>
        </w:tc>
        <w:tc>
          <w:tcPr>
            <w:tcW w:w="1190" w:type="dxa"/>
            <w:vAlign w:val="bottom"/>
          </w:tcPr>
          <w:p w:rsidR="00000000" w:rsidRDefault="00000000">
            <w:pPr>
              <w:pStyle w:val="BodyText2"/>
              <w:spacing w:before="40" w:after="40" w:line="180" w:lineRule="exact"/>
              <w:jc w:val="center"/>
              <w:rPr>
                <w:i w:val="0"/>
                <w:sz w:val="17"/>
              </w:rPr>
            </w:pPr>
            <w:r>
              <w:rPr>
                <w:i w:val="0"/>
                <w:sz w:val="17"/>
              </w:rPr>
              <w:t>85,6%</w:t>
            </w:r>
          </w:p>
        </w:tc>
        <w:tc>
          <w:tcPr>
            <w:tcW w:w="1191" w:type="dxa"/>
            <w:vAlign w:val="bottom"/>
          </w:tcPr>
          <w:p w:rsidR="00000000" w:rsidRDefault="00000000">
            <w:pPr>
              <w:pStyle w:val="BodyText2"/>
              <w:spacing w:before="40" w:after="40" w:line="180" w:lineRule="exact"/>
              <w:jc w:val="center"/>
              <w:rPr>
                <w:i w:val="0"/>
                <w:sz w:val="17"/>
              </w:rPr>
            </w:pPr>
          </w:p>
        </w:tc>
        <w:tc>
          <w:tcPr>
            <w:tcW w:w="1190" w:type="dxa"/>
            <w:vAlign w:val="bottom"/>
          </w:tcPr>
          <w:p w:rsidR="00000000" w:rsidRDefault="00000000">
            <w:pPr>
              <w:pStyle w:val="BodyText2"/>
              <w:spacing w:before="40" w:after="40" w:line="180" w:lineRule="exact"/>
              <w:jc w:val="center"/>
              <w:rPr>
                <w:i w:val="0"/>
                <w:sz w:val="17"/>
              </w:rPr>
            </w:pPr>
            <w:r>
              <w:rPr>
                <w:i w:val="0"/>
                <w:sz w:val="17"/>
              </w:rPr>
              <w:t>92,8%</w:t>
            </w:r>
          </w:p>
        </w:tc>
        <w:tc>
          <w:tcPr>
            <w:tcW w:w="1191" w:type="dxa"/>
            <w:vAlign w:val="bottom"/>
          </w:tcPr>
          <w:p w:rsidR="00000000" w:rsidRDefault="00000000">
            <w:pPr>
              <w:pStyle w:val="BodyText2"/>
              <w:spacing w:before="40" w:after="40" w:line="180" w:lineRule="exact"/>
              <w:jc w:val="center"/>
              <w:rPr>
                <w:i w:val="0"/>
                <w:sz w:val="17"/>
              </w:rPr>
            </w:pPr>
            <w:r>
              <w:rPr>
                <w:i w:val="0"/>
                <w:sz w:val="17"/>
              </w:rPr>
              <w:t>70,6%</w:t>
            </w:r>
          </w:p>
        </w:tc>
        <w:tc>
          <w:tcPr>
            <w:tcW w:w="1191" w:type="dxa"/>
            <w:vAlign w:val="bottom"/>
          </w:tcPr>
          <w:p w:rsidR="00000000" w:rsidRDefault="00000000">
            <w:pPr>
              <w:pStyle w:val="BodyText2"/>
              <w:spacing w:before="40" w:after="40" w:line="180" w:lineRule="exact"/>
              <w:jc w:val="center"/>
              <w:rPr>
                <w:i w:val="0"/>
                <w:sz w:val="17"/>
              </w:rPr>
            </w:pPr>
            <w:r>
              <w:rPr>
                <w:i w:val="0"/>
                <w:sz w:val="17"/>
              </w:rPr>
              <w:t>73,8%</w:t>
            </w:r>
          </w:p>
        </w:tc>
      </w:tr>
      <w:tr w:rsidR="00000000">
        <w:tblPrEx>
          <w:tblCellMar>
            <w:top w:w="0" w:type="dxa"/>
            <w:bottom w:w="0" w:type="dxa"/>
          </w:tblCellMar>
        </w:tblPrEx>
        <w:tc>
          <w:tcPr>
            <w:tcW w:w="1418" w:type="dxa"/>
            <w:tcBorders>
              <w:bottom w:val="single" w:sz="12" w:space="0" w:color="auto"/>
            </w:tcBorders>
          </w:tcPr>
          <w:p w:rsidR="00000000" w:rsidRDefault="00000000">
            <w:pPr>
              <w:pStyle w:val="BodyText2"/>
              <w:spacing w:before="40" w:after="40" w:line="180" w:lineRule="exact"/>
              <w:rPr>
                <w:i w:val="0"/>
                <w:sz w:val="17"/>
              </w:rPr>
            </w:pPr>
            <w:r>
              <w:rPr>
                <w:i w:val="0"/>
                <w:sz w:val="17"/>
              </w:rPr>
              <w:t>Женщины т</w:t>
            </w:r>
            <w:r>
              <w:rPr>
                <w:i w:val="0"/>
                <w:sz w:val="17"/>
              </w:rPr>
              <w:t>и</w:t>
            </w:r>
            <w:r>
              <w:rPr>
                <w:i w:val="0"/>
                <w:sz w:val="17"/>
              </w:rPr>
              <w:t>хоокеанских народн</w:t>
            </w:r>
            <w:r>
              <w:rPr>
                <w:i w:val="0"/>
                <w:sz w:val="17"/>
              </w:rPr>
              <w:t>о</w:t>
            </w:r>
            <w:r>
              <w:rPr>
                <w:i w:val="0"/>
                <w:sz w:val="17"/>
              </w:rPr>
              <w:t>стей</w:t>
            </w:r>
          </w:p>
        </w:tc>
        <w:tc>
          <w:tcPr>
            <w:tcW w:w="1190" w:type="dxa"/>
            <w:tcBorders>
              <w:bottom w:val="single" w:sz="12" w:space="0" w:color="auto"/>
            </w:tcBorders>
            <w:vAlign w:val="bottom"/>
          </w:tcPr>
          <w:p w:rsidR="00000000" w:rsidRDefault="00000000">
            <w:pPr>
              <w:pStyle w:val="BodyText2"/>
              <w:spacing w:before="40" w:after="40" w:line="180" w:lineRule="exact"/>
              <w:jc w:val="center"/>
              <w:rPr>
                <w:i w:val="0"/>
                <w:sz w:val="17"/>
              </w:rPr>
            </w:pPr>
            <w:r>
              <w:rPr>
                <w:i w:val="0"/>
                <w:sz w:val="17"/>
              </w:rPr>
              <w:t>81,5%</w:t>
            </w:r>
          </w:p>
        </w:tc>
        <w:tc>
          <w:tcPr>
            <w:tcW w:w="1191" w:type="dxa"/>
            <w:tcBorders>
              <w:bottom w:val="single" w:sz="12" w:space="0" w:color="auto"/>
            </w:tcBorders>
            <w:vAlign w:val="bottom"/>
          </w:tcPr>
          <w:p w:rsidR="00000000" w:rsidRDefault="00000000">
            <w:pPr>
              <w:pStyle w:val="BodyText2"/>
              <w:spacing w:before="40" w:after="40" w:line="180" w:lineRule="exact"/>
              <w:jc w:val="center"/>
              <w:rPr>
                <w:i w:val="0"/>
                <w:sz w:val="17"/>
              </w:rPr>
            </w:pPr>
            <w:r>
              <w:rPr>
                <w:i w:val="0"/>
                <w:sz w:val="17"/>
              </w:rPr>
              <w:t>91,1%</w:t>
            </w:r>
          </w:p>
        </w:tc>
        <w:tc>
          <w:tcPr>
            <w:tcW w:w="1190" w:type="dxa"/>
            <w:tcBorders>
              <w:bottom w:val="single" w:sz="12" w:space="0" w:color="auto"/>
            </w:tcBorders>
            <w:vAlign w:val="bottom"/>
          </w:tcPr>
          <w:p w:rsidR="00000000" w:rsidRDefault="00000000">
            <w:pPr>
              <w:pStyle w:val="BodyText2"/>
              <w:spacing w:before="40" w:after="40" w:line="180" w:lineRule="exact"/>
              <w:jc w:val="center"/>
              <w:rPr>
                <w:i w:val="0"/>
                <w:sz w:val="17"/>
              </w:rPr>
            </w:pPr>
          </w:p>
        </w:tc>
        <w:tc>
          <w:tcPr>
            <w:tcW w:w="1191" w:type="dxa"/>
            <w:tcBorders>
              <w:bottom w:val="single" w:sz="12" w:space="0" w:color="auto"/>
            </w:tcBorders>
            <w:vAlign w:val="bottom"/>
          </w:tcPr>
          <w:p w:rsidR="00000000" w:rsidRDefault="00000000">
            <w:pPr>
              <w:pStyle w:val="BodyText2"/>
              <w:spacing w:before="40" w:after="40" w:line="180" w:lineRule="exact"/>
              <w:jc w:val="center"/>
              <w:rPr>
                <w:i w:val="0"/>
                <w:sz w:val="17"/>
              </w:rPr>
            </w:pPr>
            <w:r>
              <w:rPr>
                <w:i w:val="0"/>
                <w:sz w:val="17"/>
              </w:rPr>
              <w:t>67,3%</w:t>
            </w:r>
          </w:p>
        </w:tc>
        <w:tc>
          <w:tcPr>
            <w:tcW w:w="1191" w:type="dxa"/>
            <w:tcBorders>
              <w:bottom w:val="single" w:sz="12" w:space="0" w:color="auto"/>
            </w:tcBorders>
            <w:vAlign w:val="bottom"/>
          </w:tcPr>
          <w:p w:rsidR="00000000" w:rsidRDefault="00000000">
            <w:pPr>
              <w:pStyle w:val="BodyText2"/>
              <w:spacing w:before="40" w:after="40" w:line="180" w:lineRule="exact"/>
              <w:jc w:val="center"/>
              <w:rPr>
                <w:i w:val="0"/>
                <w:sz w:val="17"/>
              </w:rPr>
            </w:pPr>
            <w:r>
              <w:rPr>
                <w:i w:val="0"/>
                <w:sz w:val="17"/>
              </w:rPr>
              <w:t>70,3%</w:t>
            </w:r>
          </w:p>
        </w:tc>
      </w:tr>
    </w:tbl>
    <w:p w:rsidR="00000000" w:rsidRDefault="00000000">
      <w:pPr>
        <w:pStyle w:val="SingleTxt"/>
        <w:ind w:firstLine="0"/>
      </w:pPr>
      <w:r>
        <w:rPr>
          <w:i/>
        </w:rPr>
        <w:t>Источник</w:t>
      </w:r>
      <w:r>
        <w:t>: обследование доходов, Статистическое управление Новой Зеландии. В соотношении по женщинам тихоокеанских народностей имеются значител</w:t>
      </w:r>
      <w:r>
        <w:t>ь</w:t>
      </w:r>
      <w:r>
        <w:t>ные погрешности выборки.</w:t>
      </w:r>
    </w:p>
    <w:p w:rsidR="00000000" w:rsidRDefault="00000000">
      <w:pPr>
        <w:pStyle w:val="SingleTxt"/>
      </w:pPr>
      <w:r>
        <w:tab/>
        <w:t>Министерство труда проанализировало факторы, влияющие на уровень средних заработков женщин и мужчин. К их числу относится уровень образ</w:t>
      </w:r>
      <w:r>
        <w:t>о</w:t>
      </w:r>
      <w:r>
        <w:t>вания (10 процентов), стаж работы (15-50 процентов), количество детей на и</w:t>
      </w:r>
      <w:r>
        <w:t>ж</w:t>
      </w:r>
      <w:r>
        <w:t>дивении (10 процентов) и различия в профессиональной деятел</w:t>
      </w:r>
      <w:r>
        <w:t>ь</w:t>
      </w:r>
      <w:r>
        <w:t>ности (24-40 процентов). Некоторое улучшение в разрыве в заработках по признаку пола на низком уровне доходов, возможно, объясняется сдвигом в занятости мужчин в сторону секторов с низким уровнем оплаты труда, а не повышением зарабо</w:t>
      </w:r>
      <w:r>
        <w:t>т</w:t>
      </w:r>
      <w:r>
        <w:t>ков женщин (см. стр. 114-115, проект в области обеспечения равной оплаты труда).</w:t>
      </w:r>
    </w:p>
    <w:p w:rsidR="00000000" w:rsidRDefault="00000000">
      <w:pPr>
        <w:pStyle w:val="H23"/>
        <w:ind w:left="1264" w:firstLine="0"/>
      </w:pPr>
      <w:r>
        <w:t>Женщины, занимающиеся индивидуальной трудовой деятельностью и малым бизн</w:t>
      </w:r>
      <w:r>
        <w:t>е</w:t>
      </w:r>
      <w:r>
        <w:t>сом</w:t>
      </w:r>
    </w:p>
    <w:p w:rsidR="00000000" w:rsidRDefault="00000000">
      <w:pPr>
        <w:pStyle w:val="SingleTxt"/>
      </w:pPr>
      <w:r>
        <w:tab/>
        <w:t>Количество женщин, занимающихся индивидуальной трудовой деятел</w:t>
      </w:r>
      <w:r>
        <w:t>ь</w:t>
      </w:r>
      <w:r>
        <w:t>ностью и не имеющих наемной рабочей силы, возросло на 9 процентов, до</w:t>
      </w:r>
      <w:r>
        <w:t>с</w:t>
      </w:r>
      <w:r>
        <w:t>тигнув 66700 человек в период с июня 1996 по июнь 2002 года. Для сравнения, этот рост среди мужчин составил 7,1 процента (до 149400 человек). Однако за тот же период количество женщин, отнесенных к числу работодателей, сниз</w:t>
      </w:r>
      <w:r>
        <w:t>и</w:t>
      </w:r>
      <w:r>
        <w:t>лось на 1,3 процента до 39100 человек, т.е. сокращение было ниже 4,6-процентного уровня среди работодателей-мужчин.</w:t>
      </w:r>
    </w:p>
    <w:p w:rsidR="00000000" w:rsidRDefault="00000000">
      <w:pPr>
        <w:pStyle w:val="H23"/>
      </w:pPr>
      <w:r>
        <w:t>Женщины в вооруженных силах</w:t>
      </w:r>
    </w:p>
    <w:p w:rsidR="00000000" w:rsidRDefault="00000000">
      <w:pPr>
        <w:pStyle w:val="SingleTxt"/>
      </w:pPr>
      <w:r>
        <w:tab/>
        <w:t>Вооруженные силы Новой Зеландии поручили Комиссии по правам чел</w:t>
      </w:r>
      <w:r>
        <w:t>о</w:t>
      </w:r>
      <w:r>
        <w:t>века провести инспекционную проверку полового состава вооруженных сил Новой Зеландии в 1997-1998 годах. Результаты проверки, опубликованные в 1998 году, известны под названием "доклад Бэртона". Этот проект осущест</w:t>
      </w:r>
      <w:r>
        <w:t>в</w:t>
      </w:r>
      <w:r>
        <w:t>лялся в развитие ранее проведенной вооруженными силами Новой Зеландии работы, а именно подготовки "Доклада об обзоре здоровых рабочих отношений в вооруженных силах" (1995 год) и издания 1996 года о политике обеспечения равных возможностей в области трудоустройства и предотвращения сексуал</w:t>
      </w:r>
      <w:r>
        <w:t>ь</w:t>
      </w:r>
      <w:r>
        <w:t>ных домогательств и дискриминации применительно как к военному, так и гражданскому персоналу. В 1997 году в вооруженных силах Новой Зеландии отмечался рост жалоб женщин на сексуальные домогательства на службе.</w:t>
      </w:r>
    </w:p>
    <w:p w:rsidR="00000000" w:rsidRDefault="00000000">
      <w:pPr>
        <w:pStyle w:val="SingleTxt"/>
      </w:pPr>
      <w:r>
        <w:tab/>
        <w:t>Процесс проверки позволил провести широкие консультации с персон</w:t>
      </w:r>
      <w:r>
        <w:t>а</w:t>
      </w:r>
      <w:r>
        <w:t>лом по проблемам, тематике и ценностям в области полового состава. Кома</w:t>
      </w:r>
      <w:r>
        <w:t>н</w:t>
      </w:r>
      <w:r>
        <w:t>дующий вооруженными силами и начальники штабов родов войск согласились с рекомендациями, содержащимися в докладе Бэртона. Для руководства орг</w:t>
      </w:r>
      <w:r>
        <w:t>а</w:t>
      </w:r>
      <w:r>
        <w:t>низационным развитием политики обеспечения равных возможностей в обла</w:t>
      </w:r>
      <w:r>
        <w:t>с</w:t>
      </w:r>
      <w:r>
        <w:t>ти трудоустройства от имени Командующего вооруженными силами в январе 1999 года было создано Управление по вопросам равенства, а в Кадровой службе Генерального штаба вооруженных сил Новой Зеландии был назначен Директор по кадровой полит</w:t>
      </w:r>
      <w:r>
        <w:t>и</w:t>
      </w:r>
      <w:r>
        <w:t>ке в области равенства.</w:t>
      </w:r>
    </w:p>
    <w:p w:rsidR="00000000" w:rsidRDefault="00000000">
      <w:pPr>
        <w:pStyle w:val="SingleTxt"/>
      </w:pPr>
      <w:r>
        <w:tab/>
        <w:t>После опубликования доклада Бэртона рода войск приняли в своей сфере ответственности ряд мер по конкретным рекомендациям. Доклад Бэртона пр</w:t>
      </w:r>
      <w:r>
        <w:t>и</w:t>
      </w:r>
      <w:r>
        <w:t>вел к активизации деятельности сверх конкретных рекомендаций и выдвиж</w:t>
      </w:r>
      <w:r>
        <w:t>е</w:t>
      </w:r>
      <w:r>
        <w:t>нию ряда широких инициатив по обеспечению равных возможностей в области трудоустройства. В январе 2000 года Командующий вооруженными силами о</w:t>
      </w:r>
      <w:r>
        <w:t>т</w:t>
      </w:r>
      <w:r>
        <w:t>менил все ограничения на найм женщин в качестве комбатантов. Начальникам штабов родов войск было предложено установить процедуры использования женщин на тех военных специальностях, из которых их раньше исключали, с целью их полной интеграции в армию к 2005 году. Военно-воздушные силы первыми отменили все ограничения на использование женщин на военных специальностях, и с 1989 года женщины получили возможность служить в к</w:t>
      </w:r>
      <w:r>
        <w:t>а</w:t>
      </w:r>
      <w:r>
        <w:t>честве профессиональных летчиков. В феврале 2000 года военно-морской флот открыл женщинам доступ в водолазную службу, устранив тем самым последнее ограничение в этом роде войск. В новозеландских сухопутных войсках этот в</w:t>
      </w:r>
      <w:r>
        <w:t>о</w:t>
      </w:r>
      <w:r>
        <w:t>прос решается сложнее, так как здесь усилия сосредоточены на поэтапной и</w:t>
      </w:r>
      <w:r>
        <w:t>н</w:t>
      </w:r>
      <w:r>
        <w:t>теграции женщин. Например, в некоторых подразделениях потребуется новое оборудование для устранения физических нагрузок с тем, чтобы женщины мо</w:t>
      </w:r>
      <w:r>
        <w:t>г</w:t>
      </w:r>
      <w:r>
        <w:t>ли выступать в качестве любого военнослужащего. Командующие родов войск должны оценить роль всех военных специальностей для полной интеграции женщин к 2005 году. Они обязаны сообщать о ходе этой работы к 1 октября к</w:t>
      </w:r>
      <w:r>
        <w:t>а</w:t>
      </w:r>
      <w:r>
        <w:t>ждого г</w:t>
      </w:r>
      <w:r>
        <w:t>о</w:t>
      </w:r>
      <w:r>
        <w:t>да.</w:t>
      </w:r>
    </w:p>
    <w:p w:rsidR="00000000" w:rsidRDefault="00000000">
      <w:pPr>
        <w:pStyle w:val="H1"/>
        <w:ind w:left="1264" w:firstLine="0"/>
      </w:pPr>
      <w:r>
        <w:t xml:space="preserve">Ликвидация факторов, препятствующих равенству </w:t>
      </w:r>
      <w:r>
        <w:br/>
        <w:t>в области трудоустройства</w:t>
      </w:r>
    </w:p>
    <w:p w:rsidR="00000000" w:rsidRDefault="00000000">
      <w:pPr>
        <w:pStyle w:val="H23"/>
      </w:pPr>
      <w:r>
        <w:t>Трудовые отношения и женщины</w:t>
      </w:r>
    </w:p>
    <w:p w:rsidR="00000000" w:rsidRDefault="00000000">
      <w:pPr>
        <w:pStyle w:val="SingleTxt"/>
      </w:pPr>
      <w:r>
        <w:tab/>
        <w:t>Закон 2000 года о трудовых отношениях в сфере занятости (ЗОЗ), вст</w:t>
      </w:r>
      <w:r>
        <w:t>у</w:t>
      </w:r>
      <w:r>
        <w:t>пивший в силу 2 октября 2000 года, содержит ряд положений, которые хотя и не касаются непосредственно женщин, тем не менее, направлены на устран</w:t>
      </w:r>
      <w:r>
        <w:t>е</w:t>
      </w:r>
      <w:r>
        <w:t>ние неравенства в заключении коллективных договоров и следовательно защ</w:t>
      </w:r>
      <w:r>
        <w:t>и</w:t>
      </w:r>
      <w:r>
        <w:t>щ</w:t>
      </w:r>
      <w:r>
        <w:t>а</w:t>
      </w:r>
      <w:r>
        <w:t>ют их интересы. Эти положения включают в себя следующее:</w:t>
      </w:r>
    </w:p>
    <w:p w:rsidR="00000000" w:rsidRDefault="00000000">
      <w:pPr>
        <w:pStyle w:val="dot"/>
      </w:pPr>
      <w:r>
        <w:tab/>
      </w:r>
      <w:r>
        <w:tab/>
        <w:t>•</w:t>
      </w:r>
      <w:r>
        <w:tab/>
        <w:t>поощрение коллективных договоров;</w:t>
      </w:r>
    </w:p>
    <w:p w:rsidR="00000000" w:rsidRDefault="00000000">
      <w:pPr>
        <w:pStyle w:val="dot"/>
      </w:pPr>
      <w:r>
        <w:tab/>
      </w:r>
      <w:r>
        <w:tab/>
        <w:t>•</w:t>
      </w:r>
      <w:r>
        <w:tab/>
        <w:t>требование о том, чтобы все участники трудовых отношений, включая р</w:t>
      </w:r>
      <w:r>
        <w:t>а</w:t>
      </w:r>
      <w:r>
        <w:t>ботодателей, наемных рабочих и профсоюзы, строили отношения друг с др</w:t>
      </w:r>
      <w:r>
        <w:t>у</w:t>
      </w:r>
      <w:r>
        <w:t>гом на добросовестной основе;</w:t>
      </w:r>
    </w:p>
    <w:p w:rsidR="00000000" w:rsidRDefault="00000000">
      <w:pPr>
        <w:pStyle w:val="dot"/>
      </w:pPr>
      <w:r>
        <w:tab/>
      </w:r>
      <w:r>
        <w:tab/>
        <w:t>•</w:t>
      </w:r>
      <w:r>
        <w:tab/>
        <w:t>требование о предоставлении новым рабочим, не являющимся членами профсоюза, возможности ра</w:t>
      </w:r>
      <w:r>
        <w:t>с</w:t>
      </w:r>
      <w:r>
        <w:t>смотреть вопрос о вступлении в профсоюз;</w:t>
      </w:r>
    </w:p>
    <w:p w:rsidR="00000000" w:rsidRDefault="00000000">
      <w:pPr>
        <w:pStyle w:val="dot"/>
      </w:pPr>
      <w:r>
        <w:tab/>
      </w:r>
      <w:r>
        <w:tab/>
        <w:t>•</w:t>
      </w:r>
      <w:r>
        <w:tab/>
        <w:t>требование о предоставлении новым рабочим, в случае отсутствия ко</w:t>
      </w:r>
      <w:r>
        <w:t>л</w:t>
      </w:r>
      <w:r>
        <w:t>лективного договора, достаточной информации и соответствующих во</w:t>
      </w:r>
      <w:r>
        <w:t>з</w:t>
      </w:r>
      <w:r>
        <w:t>можностей для получения консультаций до заключения индивидуального дог</w:t>
      </w:r>
      <w:r>
        <w:t>о</w:t>
      </w:r>
      <w:r>
        <w:t>вора найма.</w:t>
      </w:r>
    </w:p>
    <w:p w:rsidR="00000000" w:rsidRDefault="00000000">
      <w:pPr>
        <w:pStyle w:val="SingleTxt"/>
      </w:pPr>
      <w:r>
        <w:t>Кроме того, антидискриминационные положения ЗОЗ по-прежнему обе</w:t>
      </w:r>
      <w:r>
        <w:t>с</w:t>
      </w:r>
      <w:r>
        <w:t>печивают защиту от дискриминации на различной почве, в том числе по пр</w:t>
      </w:r>
      <w:r>
        <w:t>и</w:t>
      </w:r>
      <w:r>
        <w:t>знаку пола и в виде сексуальных домогательств. Согласно закону любой раб</w:t>
      </w:r>
      <w:r>
        <w:t>о</w:t>
      </w:r>
      <w:r>
        <w:t>чий может подавать личные жалобы. Личная жалоба определяется как жалоба, которую может подать рабочий на работодателя или бывшего работодателя на том основании, что:</w:t>
      </w:r>
    </w:p>
    <w:p w:rsidR="00000000" w:rsidRDefault="00000000">
      <w:pPr>
        <w:pStyle w:val="SingleTxt"/>
        <w:ind w:left="2217" w:hanging="953"/>
      </w:pPr>
      <w:r>
        <w:tab/>
      </w:r>
      <w:r>
        <w:tab/>
        <w:t xml:space="preserve">a) </w:t>
      </w:r>
      <w:r>
        <w:tab/>
        <w:t>рабочий уволен без уважительной причины; или</w:t>
      </w:r>
    </w:p>
    <w:p w:rsidR="00000000" w:rsidRDefault="00000000">
      <w:pPr>
        <w:pStyle w:val="SingleTxt"/>
        <w:ind w:left="2217" w:hanging="953"/>
      </w:pPr>
      <w:r>
        <w:tab/>
      </w:r>
      <w:r>
        <w:tab/>
        <w:t xml:space="preserve">b) </w:t>
      </w:r>
      <w:r>
        <w:tab/>
        <w:t>работа по найму или условия работы оказались неблагоприятными в результате неоправданных де</w:t>
      </w:r>
      <w:r>
        <w:t>й</w:t>
      </w:r>
      <w:r>
        <w:t>ствий работодателя; или</w:t>
      </w:r>
    </w:p>
    <w:p w:rsidR="00000000" w:rsidRDefault="00000000">
      <w:pPr>
        <w:pStyle w:val="SingleTxt"/>
        <w:ind w:left="2217" w:hanging="953"/>
      </w:pPr>
      <w:r>
        <w:tab/>
      </w:r>
      <w:r>
        <w:tab/>
        <w:t xml:space="preserve">c) </w:t>
      </w:r>
      <w:r>
        <w:tab/>
        <w:t>рабочий подвергся дискриминации в процессе работы по найму; или</w:t>
      </w:r>
    </w:p>
    <w:p w:rsidR="00000000" w:rsidRDefault="00000000">
      <w:pPr>
        <w:pStyle w:val="SingleTxt"/>
        <w:ind w:left="2217" w:hanging="953"/>
      </w:pPr>
      <w:r>
        <w:tab/>
      </w:r>
      <w:r>
        <w:tab/>
        <w:t xml:space="preserve">d) </w:t>
      </w:r>
      <w:r>
        <w:tab/>
        <w:t>рабочий подвергся сексуальным домогательствам в процессе работы по найму; или</w:t>
      </w:r>
    </w:p>
    <w:p w:rsidR="00000000" w:rsidRDefault="00000000">
      <w:pPr>
        <w:pStyle w:val="SingleTxt"/>
        <w:ind w:left="2217" w:hanging="953"/>
      </w:pPr>
      <w:r>
        <w:tab/>
      </w:r>
      <w:r>
        <w:tab/>
        <w:t xml:space="preserve">e) </w:t>
      </w:r>
      <w:r>
        <w:tab/>
        <w:t>рабочий подвергся расовым преследованиям в процессе работы по найму; или</w:t>
      </w:r>
    </w:p>
    <w:p w:rsidR="00000000" w:rsidRDefault="00000000">
      <w:pPr>
        <w:pStyle w:val="SingleTxt"/>
        <w:ind w:left="2217" w:hanging="953"/>
      </w:pPr>
      <w:r>
        <w:tab/>
      </w:r>
      <w:r>
        <w:tab/>
        <w:t xml:space="preserve">f) </w:t>
      </w:r>
      <w:r>
        <w:tab/>
        <w:t>рабочий подвергся принуждению в связи с членством (отсутствием членства) в профсоюзе или орг</w:t>
      </w:r>
      <w:r>
        <w:t>а</w:t>
      </w:r>
      <w:r>
        <w:t>низации работников.</w:t>
      </w:r>
    </w:p>
    <w:p w:rsidR="00000000" w:rsidRDefault="00000000">
      <w:pPr>
        <w:pStyle w:val="SingleTxt"/>
      </w:pPr>
      <w:r>
        <w:t>Информация о трудовых правах по ЗОЗ, включая информацию о род</w:t>
      </w:r>
      <w:r>
        <w:t>и</w:t>
      </w:r>
      <w:r>
        <w:t>тельском отпуске, предоставлялась через вэб-сайт, бесплатную телефонную линию, информационные брошюры и буклеты на ра</w:t>
      </w:r>
      <w:r>
        <w:t>з</w:t>
      </w:r>
      <w:r>
        <w:t>личных языках.</w:t>
      </w:r>
    </w:p>
    <w:p w:rsidR="00000000" w:rsidRDefault="00000000">
      <w:pPr>
        <w:pStyle w:val="SingleTxt"/>
      </w:pPr>
      <w:r>
        <w:t>Для оценки воздействия ЗОЗ на работодателей, рабочих и профсоюзы Министерство труда проводит трехгодичную оценку применения закона. В краткосрочной перспективе оценка сосредоточена на прямых последствиях применения закона. Долгосрочная оценка может включать в себя более прямые экономические последствия для различных групп населения на рынке труда, вкл</w:t>
      </w:r>
      <w:r>
        <w:t>ю</w:t>
      </w:r>
      <w:r>
        <w:t>чая женщин.</w:t>
      </w:r>
    </w:p>
    <w:p w:rsidR="00000000" w:rsidRDefault="00000000">
      <w:pPr>
        <w:pStyle w:val="H23"/>
      </w:pPr>
      <w:r>
        <w:t>Сексуальные домогательства</w:t>
      </w:r>
    </w:p>
    <w:p w:rsidR="00000000" w:rsidRDefault="00000000">
      <w:pPr>
        <w:pStyle w:val="SingleTxt"/>
      </w:pPr>
      <w:r>
        <w:t>До сентября 2000 года Закон 1991 года о трудовых договорах предоста</w:t>
      </w:r>
      <w:r>
        <w:t>в</w:t>
      </w:r>
      <w:r>
        <w:t>лял всем женщинам право возбуждать дела о сексуальной дискриминации, в том числе о сексуальных домогательствах, в суде по рассмотрению трудовых конфликтов в качестве личной жалобы. Истец был обязан выбирать как основу для рассмотрения жалобы Закон о трудовых договорах или Закон о правах ч</w:t>
      </w:r>
      <w:r>
        <w:t>е</w:t>
      </w:r>
      <w:r>
        <w:t>ловека, и дела не могли п</w:t>
      </w:r>
      <w:r>
        <w:t>е</w:t>
      </w:r>
      <w:r>
        <w:t>редаваться из суда одной юрисдикции в суд другой.</w:t>
      </w:r>
    </w:p>
    <w:p w:rsidR="00000000" w:rsidRDefault="00000000">
      <w:pPr>
        <w:pStyle w:val="SingleTxt"/>
      </w:pPr>
      <w:r>
        <w:t>Когда ЗОЗ заменил собой Закон о трудовых договорах, положения, к</w:t>
      </w:r>
      <w:r>
        <w:t>а</w:t>
      </w:r>
      <w:r>
        <w:t>сающиеся сексуальных домогательств, были усилены путем включения прямых и косвенных непристойных требований или поведения, а также использования видеоматериалов сексуального характера. Если работница подвергается секс</w:t>
      </w:r>
      <w:r>
        <w:t>у</w:t>
      </w:r>
      <w:r>
        <w:t>альным домогательствам на работе со стороны другого работника, клиента или работодателя, то она может подать жалобу своему работодателю. Работодатель должен проверить факты и, если подтвердятся сведения о домогательствах, то он обязан предпринять все соответствующие шаги по недопущению их повт</w:t>
      </w:r>
      <w:r>
        <w:t>о</w:t>
      </w:r>
      <w:r>
        <w:t>рения. В случае их повторения и непринятия работодателем всех соответс</w:t>
      </w:r>
      <w:r>
        <w:t>т</w:t>
      </w:r>
      <w:r>
        <w:t>вующих шагов по их недопущению, работница имеет право на подачу личной жалобы, как если бы ее оскорбителем был раб</w:t>
      </w:r>
      <w:r>
        <w:t>о</w:t>
      </w:r>
      <w:r>
        <w:t>тодатель.</w:t>
      </w:r>
    </w:p>
    <w:p w:rsidR="00000000" w:rsidRDefault="00000000">
      <w:pPr>
        <w:pStyle w:val="SingleTxt"/>
      </w:pPr>
      <w:r>
        <w:tab/>
        <w:t>ЗОЗ предусматривает процедуры урегулирования проблем, стимулиру</w:t>
      </w:r>
      <w:r>
        <w:t>ю</w:t>
      </w:r>
      <w:r>
        <w:t>щие работников и работодателей к их самостоятельному решению. Если эти процедуры не возымеют успеха, то работники могут направлять личные жал</w:t>
      </w:r>
      <w:r>
        <w:t>о</w:t>
      </w:r>
      <w:r>
        <w:t>бы в Управление по трудовым отношениям – следственный орган, действу</w:t>
      </w:r>
      <w:r>
        <w:t>ю</w:t>
      </w:r>
      <w:r>
        <w:t>щий в неофициальном порядке. В качестве основы для рассмотрения жалобы истец может выбирать либо ЗОЗ, либо Закон о правах человека.</w:t>
      </w:r>
    </w:p>
    <w:p w:rsidR="00000000" w:rsidRDefault="00000000">
      <w:pPr>
        <w:pStyle w:val="SingleTxt"/>
      </w:pPr>
      <w:r>
        <w:t xml:space="preserve">В докладе Комиссии по правам человека </w:t>
      </w:r>
      <w:r>
        <w:rPr>
          <w:i/>
        </w:rPr>
        <w:t>«Неспровоцированные и оско</w:t>
      </w:r>
      <w:r>
        <w:rPr>
          <w:i/>
        </w:rPr>
        <w:t>р</w:t>
      </w:r>
      <w:r>
        <w:rPr>
          <w:i/>
        </w:rPr>
        <w:t>бительные: исследование жалоб на сексуальные домогательства, поданных в Комиссию по правам человека, 1995–2000 годы»</w:t>
      </w:r>
      <w:r>
        <w:t xml:space="preserve"> рассматриваются 284 официальные жалобы на сексуальные домогательства, рассмотренные КПЧ за предыдущие пять лет. Он содержит следующую информацию о жалобах на сексуал</w:t>
      </w:r>
      <w:r>
        <w:t>ь</w:t>
      </w:r>
      <w:r>
        <w:t>ные домогательства:</w:t>
      </w:r>
    </w:p>
    <w:p w:rsidR="00000000" w:rsidRDefault="00000000">
      <w:pPr>
        <w:pStyle w:val="dot"/>
      </w:pPr>
      <w:r>
        <w:tab/>
      </w:r>
      <w:r>
        <w:tab/>
        <w:t>•</w:t>
      </w:r>
      <w:r>
        <w:tab/>
        <w:t>в 90 процентах всех поданных жалоб в качестве среды для домогательств фигурирует работа. Небольшое число случаев (менее 5 процентов) в се</w:t>
      </w:r>
      <w:r>
        <w:t>к</w:t>
      </w:r>
      <w:r>
        <w:t>торе образования объясняется активизацией в течение двух десятилетий проведения соответствующей политики, созданием информационных с</w:t>
      </w:r>
      <w:r>
        <w:t>е</w:t>
      </w:r>
      <w:r>
        <w:t>тей для обращений пострадавших и необходимой подготовкой в учебных заведениях и средних школах. Относительно небольшое число случаев в других областях обусловлено незнанием о возмо</w:t>
      </w:r>
      <w:r>
        <w:t>ж</w:t>
      </w:r>
      <w:r>
        <w:t xml:space="preserve">ности подачи жалоб. </w:t>
      </w:r>
    </w:p>
    <w:p w:rsidR="00000000" w:rsidRDefault="00000000">
      <w:pPr>
        <w:pStyle w:val="dot"/>
      </w:pPr>
      <w:r>
        <w:tab/>
      </w:r>
      <w:r>
        <w:tab/>
        <w:t>•</w:t>
      </w:r>
      <w:r>
        <w:tab/>
        <w:t>96 процентов лиц, занимающихся домогательствами, являются мужчины. В 90 процентах случаев они подвергают домогательствам женщин. Же</w:t>
      </w:r>
      <w:r>
        <w:t>н</w:t>
      </w:r>
      <w:r>
        <w:t>щины подвергают домогательствам мужчин в 2 процентах случаев и др</w:t>
      </w:r>
      <w:r>
        <w:t>у</w:t>
      </w:r>
      <w:r>
        <w:t>гих женщин в менее 2 процентах случаев.</w:t>
      </w:r>
    </w:p>
    <w:p w:rsidR="00000000" w:rsidRDefault="00000000">
      <w:pPr>
        <w:pStyle w:val="dot"/>
      </w:pPr>
      <w:r>
        <w:tab/>
      </w:r>
      <w:r>
        <w:tab/>
        <w:t>•</w:t>
      </w:r>
      <w:r>
        <w:tab/>
        <w:t>Жалобы поступают главным образом с предприятий, насчитывающих м</w:t>
      </w:r>
      <w:r>
        <w:t>е</w:t>
      </w:r>
      <w:r>
        <w:t>нее десяти работников. Крупные организации, как правило, располагают внутренними процедурами урегулирования жалоб, учебной подготовкой и политикой по проблемам сексуальных домогательств. Большинство ме</w:t>
      </w:r>
      <w:r>
        <w:t>л</w:t>
      </w:r>
      <w:r>
        <w:t>ких организаций, на которые поданы жалобы, не имеют политики предо</w:t>
      </w:r>
      <w:r>
        <w:t>т</w:t>
      </w:r>
      <w:r>
        <w:t>вращения сексуальных дом</w:t>
      </w:r>
      <w:r>
        <w:t>о</w:t>
      </w:r>
      <w:r>
        <w:t>гательств.</w:t>
      </w:r>
    </w:p>
    <w:p w:rsidR="00000000" w:rsidRDefault="00000000">
      <w:pPr>
        <w:pStyle w:val="dot"/>
      </w:pPr>
      <w:r>
        <w:tab/>
      </w:r>
      <w:r>
        <w:tab/>
        <w:t>•</w:t>
      </w:r>
      <w:r>
        <w:tab/>
        <w:t>Крупнейшим сектором, представленным в статистике жалоб, является продовольственный и представительский сектор. На него приходится 19 процентов жалоб, хотя он составляет всего лишь 4,5 процента рабочей силы. За ним следует сектор здравоохранения и коммунального обслуж</w:t>
      </w:r>
      <w:r>
        <w:t>и</w:t>
      </w:r>
      <w:r>
        <w:t>вания, представляющий 12 процентов жалоб, на который приходится 8 процентов рабочей силы. В обоих этих секторах занятости преобладают женщ</w:t>
      </w:r>
      <w:r>
        <w:t>и</w:t>
      </w:r>
      <w:r>
        <w:t>ны.</w:t>
      </w:r>
    </w:p>
    <w:p w:rsidR="00000000" w:rsidRDefault="00000000">
      <w:pPr>
        <w:pStyle w:val="dot"/>
      </w:pPr>
      <w:r>
        <w:tab/>
      </w:r>
      <w:r>
        <w:tab/>
        <w:t>•</w:t>
      </w:r>
      <w:r>
        <w:tab/>
        <w:t>В строительстве, обрабатывающей промышленности, секторе имущес</w:t>
      </w:r>
      <w:r>
        <w:t>т</w:t>
      </w:r>
      <w:r>
        <w:t>венных и предпринимательских отношений отмечается пропорционально меньше случаев домогательств. Вместе с тем в строительстве и обрабат</w:t>
      </w:r>
      <w:r>
        <w:t>ы</w:t>
      </w:r>
      <w:r>
        <w:t>вающей промышленности занято меньше женщин, а работницы сектора имущественных и предпринимательских отношений, возможно, имеют больше возможностей для найма адвокатов в целях урегулирования пр</w:t>
      </w:r>
      <w:r>
        <w:t>о</w:t>
      </w:r>
      <w:r>
        <w:t xml:space="preserve">блем. </w:t>
      </w:r>
    </w:p>
    <w:p w:rsidR="00000000" w:rsidRDefault="00000000">
      <w:pPr>
        <w:pStyle w:val="dot"/>
      </w:pPr>
      <w:r>
        <w:tab/>
      </w:r>
      <w:r>
        <w:tab/>
        <w:t>•</w:t>
      </w:r>
      <w:r>
        <w:tab/>
        <w:t>Средняя возрастная разница между ответчиками и истцами составляет 17 лет. В подавляющем большинстве случаев предполагаемым виновн</w:t>
      </w:r>
      <w:r>
        <w:t>и</w:t>
      </w:r>
      <w:r>
        <w:t>ком является либо работодатель/владелец предприятия, либо вышесто</w:t>
      </w:r>
      <w:r>
        <w:t>я</w:t>
      </w:r>
      <w:r>
        <w:t>щее должностное лицо. Многие истцы являются дежурными по приёмной, секретарями или н</w:t>
      </w:r>
      <w:r>
        <w:t>е</w:t>
      </w:r>
      <w:r>
        <w:t>квалифицированными рабочими.</w:t>
      </w:r>
    </w:p>
    <w:p w:rsidR="00000000" w:rsidRDefault="00000000">
      <w:pPr>
        <w:pStyle w:val="dot"/>
      </w:pPr>
      <w:r>
        <w:tab/>
      </w:r>
      <w:r>
        <w:tab/>
        <w:t>•</w:t>
      </w:r>
      <w:r>
        <w:tab/>
        <w:t>Почти две трети истцов теряют свою работу. Около половины уходят с р</w:t>
      </w:r>
      <w:r>
        <w:t>а</w:t>
      </w:r>
      <w:r>
        <w:t>боты из-за неблагоприятной рабочей обстановки и одна шестая подверг</w:t>
      </w:r>
      <w:r>
        <w:t>а</w:t>
      </w:r>
      <w:r>
        <w:t>ются увольнению за подачу жалобы. Как правило, сексуальные домог</w:t>
      </w:r>
      <w:r>
        <w:t>а</w:t>
      </w:r>
      <w:r>
        <w:t>тельства являются тяжелой травмой в жизни жертвы, требуют многих м</w:t>
      </w:r>
      <w:r>
        <w:t>е</w:t>
      </w:r>
      <w:r>
        <w:t>сяцев или даже нескольких лет для восстановления душевного равновесия и оказывают серьезное воздействие на физическое здоровье и эмоци</w:t>
      </w:r>
      <w:r>
        <w:t>о</w:t>
      </w:r>
      <w:r>
        <w:t>нальное состояние. Широко распространен страх перед работой, сниж</w:t>
      </w:r>
      <w:r>
        <w:t>е</w:t>
      </w:r>
      <w:r>
        <w:t>ние производительности и ухудшение взаимоотношений в семье и на р</w:t>
      </w:r>
      <w:r>
        <w:t>а</w:t>
      </w:r>
      <w:r>
        <w:t xml:space="preserve">боте. </w:t>
      </w:r>
    </w:p>
    <w:p w:rsidR="00000000" w:rsidRDefault="00000000">
      <w:pPr>
        <w:pStyle w:val="dot"/>
      </w:pPr>
      <w:r>
        <w:tab/>
      </w:r>
      <w:r>
        <w:tab/>
        <w:t>•</w:t>
      </w:r>
      <w:r>
        <w:tab/>
        <w:t>Четверть случаев урегулируется путем посредничества, а почти по пол</w:t>
      </w:r>
      <w:r>
        <w:t>о</w:t>
      </w:r>
      <w:r>
        <w:t>вине случаев проводятся расследования. Из них в 83 процентах случаев признается обоснованность жалобы и применяется процедура примир</w:t>
      </w:r>
      <w:r>
        <w:t>е</w:t>
      </w:r>
      <w:r>
        <w:t>ния. Что касается денежной компенсации, то в одном случае было выпл</w:t>
      </w:r>
      <w:r>
        <w:t>а</w:t>
      </w:r>
      <w:r>
        <w:t>чено почти 80000 долл. США, в одном – 50000 долл. США, а в двух – 30000 долл. США. В большинстве случаев выплачивается около 12000 долл. США, тогда как в среднем – 5746 долл. США. Мировые с</w:t>
      </w:r>
      <w:r>
        <w:t>о</w:t>
      </w:r>
      <w:r>
        <w:t>глашения обычно предусматривают обязательство ввести обучение и п</w:t>
      </w:r>
      <w:r>
        <w:t>о</w:t>
      </w:r>
      <w:r>
        <w:t>литику предотвращения сексуальных домогательств во избежание во</w:t>
      </w:r>
      <w:r>
        <w:t>з</w:t>
      </w:r>
      <w:r>
        <w:t>никновения аналогичных проблем в будущем. Изменения в процедурах урегулирования споров КПЧ см. в разделе «Статья 2: Антидискриминац</w:t>
      </w:r>
      <w:r>
        <w:t>и</w:t>
      </w:r>
      <w:r>
        <w:t>онные м</w:t>
      </w:r>
      <w:r>
        <w:t>е</w:t>
      </w:r>
      <w:r>
        <w:t>ры», стр. 34.</w:t>
      </w:r>
    </w:p>
    <w:p w:rsidR="00000000" w:rsidRDefault="00000000">
      <w:pPr>
        <w:pStyle w:val="H23"/>
      </w:pPr>
      <w:r>
        <w:t>Охрана труда и здоровья</w:t>
      </w:r>
    </w:p>
    <w:p w:rsidR="00000000" w:rsidRDefault="00000000">
      <w:pPr>
        <w:pStyle w:val="SingleTxt"/>
      </w:pPr>
      <w:r>
        <w:t>Согласно Закону 1992 года об охране труда и здоровья на производстве главная ответственность за принятие практических мер, оберегающих здоровье работников на рабочих местах, c учетом степени риска, сопряженного с хара</w:t>
      </w:r>
      <w:r>
        <w:t>к</w:t>
      </w:r>
      <w:r>
        <w:t>тером труда и производственными процессами, а также за его преодоление, возлаг</w:t>
      </w:r>
      <w:r>
        <w:t>а</w:t>
      </w:r>
      <w:r>
        <w:t>ется на работодателей.</w:t>
      </w:r>
    </w:p>
    <w:p w:rsidR="00000000" w:rsidRDefault="00000000">
      <w:pPr>
        <w:pStyle w:val="SingleTxt"/>
      </w:pPr>
      <w:r>
        <w:t>Служба охраны труда и здоровья (ОТЗ) министерства труда выявляет те отрасли, где существует большой риск производственного травматизма и пр</w:t>
      </w:r>
      <w:r>
        <w:t>о</w:t>
      </w:r>
      <w:r>
        <w:t xml:space="preserve">фессиональных заболеваний, и разрабатывает стратегии преодоления такого риска. Подобный подход выявил немного проблем гендерного характера. </w:t>
      </w:r>
    </w:p>
    <w:p w:rsidR="00000000" w:rsidRDefault="00000000">
      <w:pPr>
        <w:pStyle w:val="SingleTxt"/>
      </w:pPr>
      <w:r>
        <w:t>Кроме того, в соответствии с упомянутым выше подходом Служба ОТЗ следит за состоянием дел в секторах, в которых преобладают женщины, в час</w:t>
      </w:r>
      <w:r>
        <w:t>т</w:t>
      </w:r>
      <w:r>
        <w:t>ности в здравоохранении. Медицинские работники сталкиваются с такими фа</w:t>
      </w:r>
      <w:r>
        <w:t>к</w:t>
      </w:r>
      <w:r>
        <w:t>торами риска, как риск насилия при исполнении своего профессионального долга или риск заразиться инфекционной болезнью. Чтобы поднять уровень осведомленности об опасностях в этом секторе и улучшить охрану труда и зд</w:t>
      </w:r>
      <w:r>
        <w:t>о</w:t>
      </w:r>
      <w:r>
        <w:t>ровья медицинских работников, была разработана соответствующая стратегия охраны здоровья. Для достижения этих целей сотрудники ОТЗ на местах пр</w:t>
      </w:r>
      <w:r>
        <w:t>о</w:t>
      </w:r>
      <w:r>
        <w:t>инспектируют отдельных работодателей, чтобы проверить, как они выполняют требования Закона 1992 года об охране труда и здоровья на производстве. Они также будут сотрудничать с представителями этого сектора и правительстве</w:t>
      </w:r>
      <w:r>
        <w:t>н</w:t>
      </w:r>
      <w:r>
        <w:t>ных у</w:t>
      </w:r>
      <w:r>
        <w:t>ч</w:t>
      </w:r>
      <w:r>
        <w:t>реждений, регулирующих оказание и закупку медико-санитарных услуг.</w:t>
      </w:r>
    </w:p>
    <w:p w:rsidR="00000000" w:rsidRDefault="00000000">
      <w:pPr>
        <w:pStyle w:val="SingleTxt"/>
      </w:pPr>
      <w:r>
        <w:t>В этом отношении в предложенной поправке к этому закону содержатся положения, которые, хотя и не учитывают гендерную специфику, тем не менее, м</w:t>
      </w:r>
      <w:r>
        <w:t>о</w:t>
      </w:r>
      <w:r>
        <w:t>гут улучшить охрану труда и здоровья женщин.</w:t>
      </w:r>
    </w:p>
    <w:p w:rsidR="00000000" w:rsidRDefault="00000000">
      <w:pPr>
        <w:pStyle w:val="SingleTxt"/>
      </w:pPr>
      <w:r>
        <w:t>Например:</w:t>
      </w:r>
    </w:p>
    <w:p w:rsidR="00000000" w:rsidRDefault="00000000">
      <w:pPr>
        <w:pStyle w:val="dot"/>
      </w:pPr>
      <w:r>
        <w:tab/>
      </w:r>
      <w:r>
        <w:tab/>
        <w:t>•</w:t>
      </w:r>
      <w:r>
        <w:tab/>
        <w:t>предложение установить гибкую систему отсчета предельных сроков (на основе принципа «разумного установления фактов»), что позволит обле</w:t>
      </w:r>
      <w:r>
        <w:t>г</w:t>
      </w:r>
      <w:r>
        <w:t>чить преследование за нарушение закона, послужившее причиной пр</w:t>
      </w:r>
      <w:r>
        <w:t>о</w:t>
      </w:r>
      <w:r>
        <w:t>фессионального заболевания</w:t>
      </w:r>
    </w:p>
    <w:p w:rsidR="00000000" w:rsidRDefault="00000000">
      <w:pPr>
        <w:pStyle w:val="dot"/>
      </w:pPr>
      <w:r>
        <w:tab/>
      </w:r>
      <w:r>
        <w:tab/>
        <w:t>•</w:t>
      </w:r>
      <w:r>
        <w:tab/>
        <w:t>предложение распространить действие закона на экипажи воздушных с</w:t>
      </w:r>
      <w:r>
        <w:t>у</w:t>
      </w:r>
      <w:r>
        <w:t>дов</w:t>
      </w:r>
    </w:p>
    <w:p w:rsidR="00000000" w:rsidRDefault="00000000">
      <w:pPr>
        <w:pStyle w:val="dot"/>
      </w:pPr>
      <w:r>
        <w:tab/>
      </w:r>
      <w:r>
        <w:tab/>
        <w:t>•</w:t>
      </w:r>
      <w:r>
        <w:tab/>
        <w:t>предложение расширить охват закона, распространив его действие на лиц, работающих не по найму на работодателя за плату или иное вознагражд</w:t>
      </w:r>
      <w:r>
        <w:t>е</w:t>
      </w:r>
      <w:r>
        <w:t xml:space="preserve">ние (согласно исследованию, предпринятому департаментом социального развития, не по найму в основном работают женщины). </w:t>
      </w:r>
    </w:p>
    <w:p w:rsidR="00000000" w:rsidRDefault="00000000">
      <w:pPr>
        <w:pStyle w:val="H23"/>
      </w:pPr>
      <w:r>
        <w:t>Равные возможности в области занятости (РВЗ)</w:t>
      </w:r>
    </w:p>
    <w:p w:rsidR="00000000" w:rsidRDefault="00000000">
      <w:pPr>
        <w:pStyle w:val="SingleTxt"/>
      </w:pPr>
      <w:r>
        <w:t>В соответствии с ЗОЗ все коллективные договоры должны направляться в министерство труда. Собирается информация о количестве соглашений, соде</w:t>
      </w:r>
      <w:r>
        <w:t>р</w:t>
      </w:r>
      <w:r>
        <w:t>жащих положения или программы, которые касаются РВЗ. Семнадцать проце</w:t>
      </w:r>
      <w:r>
        <w:t>н</w:t>
      </w:r>
      <w:r>
        <w:t>тов коллективных договоров, хранящихся в базе данных, содержат положения о РВЗ, которые охватывают 38% работников, участвующих в коллективных дог</w:t>
      </w:r>
      <w:r>
        <w:t>о</w:t>
      </w:r>
      <w:r>
        <w:t>ворах.</w:t>
      </w:r>
    </w:p>
    <w:p w:rsidR="00000000" w:rsidRDefault="00000000">
      <w:pPr>
        <w:pStyle w:val="H4"/>
      </w:pPr>
      <w:r>
        <w:t>Консультативная группа по РВЗ</w:t>
      </w:r>
    </w:p>
    <w:p w:rsidR="00000000" w:rsidRDefault="00000000">
      <w:pPr>
        <w:pStyle w:val="SingleTxt"/>
      </w:pPr>
      <w:r>
        <w:t>В 2001 году в ходе разработки инициативных мер, направленных на то, чтобы все решения по вопросам трудоустройства принимались c учетом ли</w:t>
      </w:r>
      <w:r>
        <w:t>ч</w:t>
      </w:r>
      <w:r>
        <w:t>ных качеств, назначенная правительством консультативная группа по РВЗ представила соответствующий доклад министру труда. Была принята пр</w:t>
      </w:r>
      <w:r>
        <w:t>о</w:t>
      </w:r>
      <w:r>
        <w:t>граммная рекомендация о том, чтобы в состав Комиссии по правам человека был включен специальный комиссар по РВЗ, причем эта должность была учр</w:t>
      </w:r>
      <w:r>
        <w:t>е</w:t>
      </w:r>
      <w:r>
        <w:t>ждена с учетом последних поправок к Закону 1993 года о правах человека. Х</w:t>
      </w:r>
      <w:r>
        <w:t>о</w:t>
      </w:r>
      <w:r>
        <w:t>тя такой комиссар еще не назначен, эта должность была учреждена 1 июля 2002 года, а для этого из бюджета 2002 года на четырехлетний период было а</w:t>
      </w:r>
      <w:r>
        <w:t>с</w:t>
      </w:r>
      <w:r>
        <w:t>сигновано 1, 464 мил. долл. США. К обязанн</w:t>
      </w:r>
      <w:r>
        <w:t>о</w:t>
      </w:r>
      <w:r>
        <w:t>стям комиссара относится:</w:t>
      </w:r>
    </w:p>
    <w:p w:rsidR="00000000" w:rsidRDefault="00000000">
      <w:pPr>
        <w:pStyle w:val="dot"/>
      </w:pPr>
      <w:r>
        <w:tab/>
      </w:r>
      <w:r>
        <w:tab/>
        <w:t>•</w:t>
      </w:r>
      <w:r>
        <w:tab/>
        <w:t>руководство обсуждением вопросов РВЗ в Комиссии, в том числе вопроса о равном возн</w:t>
      </w:r>
      <w:r>
        <w:t>а</w:t>
      </w:r>
      <w:r>
        <w:t>граждении</w:t>
      </w:r>
    </w:p>
    <w:p w:rsidR="00000000" w:rsidRDefault="00000000">
      <w:pPr>
        <w:pStyle w:val="dot"/>
      </w:pPr>
      <w:r>
        <w:tab/>
      </w:r>
      <w:r>
        <w:tab/>
        <w:t>•</w:t>
      </w:r>
      <w:r>
        <w:tab/>
        <w:t>разработка рекомендаций и инструкций, касающихся РВЗ, в ходе мер</w:t>
      </w:r>
      <w:r>
        <w:t>о</w:t>
      </w:r>
      <w:r>
        <w:t>приятий, осуществляемых во исполнение функций Комиссии, как путем непосредственного участия в этих мероприятиях, так и в иных формах при соо</w:t>
      </w:r>
      <w:r>
        <w:t>т</w:t>
      </w:r>
      <w:r>
        <w:t xml:space="preserve">ветствующем обращении </w:t>
      </w:r>
    </w:p>
    <w:p w:rsidR="00000000" w:rsidRDefault="00000000">
      <w:pPr>
        <w:pStyle w:val="dot"/>
      </w:pPr>
      <w:r>
        <w:tab/>
      </w:r>
      <w:r>
        <w:tab/>
        <w:t>•</w:t>
      </w:r>
      <w:r>
        <w:tab/>
        <w:t>оценка на основе разработанных комиссаром ориентировочных критериев роли, которую играют законодательство, руководящие принципы и добр</w:t>
      </w:r>
      <w:r>
        <w:t>о</w:t>
      </w:r>
      <w:r>
        <w:t>вольные кодексы практики в развитии и распространении наилучшей практики в обла</w:t>
      </w:r>
      <w:r>
        <w:t>с</w:t>
      </w:r>
      <w:r>
        <w:t>ти РВЗ</w:t>
      </w:r>
    </w:p>
    <w:p w:rsidR="00000000" w:rsidRDefault="00000000">
      <w:pPr>
        <w:pStyle w:val="dot"/>
      </w:pPr>
      <w:r>
        <w:tab/>
      </w:r>
      <w:r>
        <w:tab/>
        <w:t>•</w:t>
      </w:r>
      <w:r>
        <w:tab/>
        <w:t>руководство разработкой руководящих принципов и добровольных коде</w:t>
      </w:r>
      <w:r>
        <w:t>к</w:t>
      </w:r>
      <w:r>
        <w:t>сов практики в целях содействия распространению наилучшей практики в области РВЗ, в том числе кодексов, которые определяют в законодательс</w:t>
      </w:r>
      <w:r>
        <w:t>т</w:t>
      </w:r>
      <w:r>
        <w:t xml:space="preserve">ве смежные права и обязанности </w:t>
      </w:r>
    </w:p>
    <w:p w:rsidR="00000000" w:rsidRDefault="00000000">
      <w:pPr>
        <w:pStyle w:val="dot"/>
      </w:pPr>
      <w:r>
        <w:tab/>
      </w:r>
      <w:r>
        <w:tab/>
        <w:t>•</w:t>
      </w:r>
      <w:r>
        <w:tab/>
        <w:t>контроль прогресса, достигнутого Новой Зеландией в области РВЗ, анализ этого процесса и представление докладов министру о результатах этого мон</w:t>
      </w:r>
      <w:r>
        <w:t>и</w:t>
      </w:r>
      <w:r>
        <w:t xml:space="preserve">торинга и анализа </w:t>
      </w:r>
    </w:p>
    <w:p w:rsidR="00000000" w:rsidRDefault="00000000">
      <w:pPr>
        <w:pStyle w:val="dot"/>
      </w:pPr>
      <w:r>
        <w:tab/>
      </w:r>
      <w:r>
        <w:tab/>
        <w:t>•</w:t>
      </w:r>
      <w:r>
        <w:tab/>
        <w:t>поддержание контактов с любым фондом или органом, одной из целей к</w:t>
      </w:r>
      <w:r>
        <w:t>о</w:t>
      </w:r>
      <w:r>
        <w:t>торых является с</w:t>
      </w:r>
      <w:r>
        <w:t>о</w:t>
      </w:r>
      <w:r>
        <w:t>действие обеспечению РВЗ, и дополнять их работу.</w:t>
      </w:r>
    </w:p>
    <w:p w:rsidR="00000000" w:rsidRDefault="00000000">
      <w:pPr>
        <w:pStyle w:val="H4"/>
      </w:pPr>
      <w:r>
        <w:t>РВЗ и государственный сектор</w:t>
      </w:r>
    </w:p>
    <w:p w:rsidR="00000000" w:rsidRDefault="00000000">
      <w:pPr>
        <w:pStyle w:val="SingleTxt"/>
      </w:pPr>
      <w:r>
        <w:t>В государственном секторе работодателям вменяется в обязанность, в первую очередь Законом 1988 года о государственном секторе, содействовать РВЗ. В законе имеются положения о РВЗ и прописываются соответствующие обязанности руководителей государственных служб. Одна из основных фун</w:t>
      </w:r>
      <w:r>
        <w:t>к</w:t>
      </w:r>
      <w:r>
        <w:t>ций министра государственных служб заключается в том, чтобы поддерживать, развивать и контролировать меры и программы государственных служб в о</w:t>
      </w:r>
      <w:r>
        <w:t>б</w:t>
      </w:r>
      <w:r>
        <w:t>ласти РВЗ. Руководители государственных ведомств должны проводить кадр</w:t>
      </w:r>
      <w:r>
        <w:t>о</w:t>
      </w:r>
      <w:r>
        <w:t>вую политику, исходя из принципа «образцового работодателя». В этих пол</w:t>
      </w:r>
      <w:r>
        <w:t>о</w:t>
      </w:r>
      <w:r>
        <w:t>жениях учитываются потребности и/или цели адресных групп в области РВЗ, необходимость обеспечить безопасные условия труда, беспристрастный отбор и создать условия для развития способностей каждого отдельного работника. Руководители государственных ведомств обязаны разрабатывать и публиковать программы, содействующие РВЗ, контролировать их выполнение и включать в ежегодные доклады своих ведомств резюме таких программ и результаты их реализации. В соответствии с указанным законом руководители этих департ</w:t>
      </w:r>
      <w:r>
        <w:t>а</w:t>
      </w:r>
      <w:r>
        <w:t>ментов обязаны заполнять должности, исходя из личных качеств сотрудников. В рамках своего «Обзора работы центрального государственного аппарата» правительство рассматривает вопросы, связанные с отчетностью в области РВЗ в государственном секторе.</w:t>
      </w:r>
    </w:p>
    <w:p w:rsidR="00000000" w:rsidRDefault="00000000">
      <w:pPr>
        <w:pStyle w:val="SingleTxt"/>
      </w:pPr>
      <w:r>
        <w:t>См. Статью 7: Политическая и общественная жизнь, стр. 67, Обследов</w:t>
      </w:r>
      <w:r>
        <w:t>а</w:t>
      </w:r>
      <w:r>
        <w:t>ние продвижения по службе и повышения квалификации Комиссии по госуда</w:t>
      </w:r>
      <w:r>
        <w:t>р</w:t>
      </w:r>
      <w:r>
        <w:t>с</w:t>
      </w:r>
      <w:r>
        <w:t>т</w:t>
      </w:r>
      <w:r>
        <w:t>венным службам Новой Зеландии.</w:t>
      </w:r>
    </w:p>
    <w:p w:rsidR="00000000" w:rsidRDefault="00000000">
      <w:pPr>
        <w:pStyle w:val="H4"/>
      </w:pPr>
      <w:r>
        <w:t>Трастовый фонд РВЗ</w:t>
      </w:r>
    </w:p>
    <w:p w:rsidR="00000000" w:rsidRDefault="00000000">
      <w:pPr>
        <w:pStyle w:val="SingleTxt"/>
      </w:pPr>
      <w:r>
        <w:t>Совместный фонд равных возможностей в области занятости прилагает усилия, чтобы предприятия Новой Зеландии содействовали обеспечению ра</w:t>
      </w:r>
      <w:r>
        <w:t>в</w:t>
      </w:r>
      <w:r>
        <w:t>ных возможностей в области занятости, демонстрируя образцовую управленч</w:t>
      </w:r>
      <w:r>
        <w:t>е</w:t>
      </w:r>
      <w:r>
        <w:t>скую практику. Фонд финансируется за счет взносов работодателей и госуда</w:t>
      </w:r>
      <w:r>
        <w:t>р</w:t>
      </w:r>
      <w:r>
        <w:t>ственных средств. В бюджете 2002 года ежегодный взнос правительства в Тр</w:t>
      </w:r>
      <w:r>
        <w:t>а</w:t>
      </w:r>
      <w:r>
        <w:t xml:space="preserve">стовый фонд РВЗ был увеличен более чем в два раза, т.е. с 445 000 долл. США до 1,061 млн. долл. США. </w:t>
      </w:r>
    </w:p>
    <w:p w:rsidR="00000000" w:rsidRDefault="00000000">
      <w:pPr>
        <w:pStyle w:val="SingleTxt"/>
      </w:pPr>
      <w:r>
        <w:t>Группа работодателей по РВЗ, созданная в 1997 году, была увеличена, чтобы помочь организациям выполнять их обязательства в обеспечении РВЗ и научить их ценить разнообразие системы рабочих мест. В настоящее время эта группа насчитывает 296 организаций, из которых 61% относятся к частному сектору.</w:t>
      </w:r>
    </w:p>
    <w:p w:rsidR="00000000" w:rsidRDefault="00000000">
      <w:pPr>
        <w:pStyle w:val="SingleTxt"/>
      </w:pPr>
      <w:r>
        <w:t>Ежегодный индекс разнообразия системы рабочих мест Трастового фонда РВЗ отражает прогресс в обеспечении диверсификации этой системы в Новой Зеландии. Работодателям, которые помогают своим работникам сбалансировать профессиональную деятельность и семейную жизнь, ежегодно вручаются пр</w:t>
      </w:r>
      <w:r>
        <w:t>е</w:t>
      </w:r>
      <w:r>
        <w:t>мии «Работа и семья». Количество претендентов на эти премии, представля</w:t>
      </w:r>
      <w:r>
        <w:t>ю</w:t>
      </w:r>
      <w:r>
        <w:t>щих самые разнообразные государственные и частные организации, значител</w:t>
      </w:r>
      <w:r>
        <w:t>ь</w:t>
      </w:r>
      <w:r>
        <w:t>но выросло.</w:t>
      </w:r>
    </w:p>
    <w:p w:rsidR="00000000" w:rsidRDefault="00000000">
      <w:pPr>
        <w:pStyle w:val="H4"/>
      </w:pPr>
      <w:r>
        <w:t>Поощрительный фонд РВЗ</w:t>
      </w:r>
    </w:p>
    <w:p w:rsidR="00000000" w:rsidRDefault="00000000">
      <w:pPr>
        <w:pStyle w:val="SingleTxt"/>
      </w:pPr>
      <w:r>
        <w:t>Поощрительный фонд равных возможностей в области занятости был у</w:t>
      </w:r>
      <w:r>
        <w:t>ч</w:t>
      </w:r>
      <w:r>
        <w:t>режден, чтобы содействовать реализации программ и практики в области РВЗ на предприятиях частного сектора. Финансирование этого фонда из бюджета 2002 года было прекращено, чтобы направить соответствующие средства на укре</w:t>
      </w:r>
      <w:r>
        <w:t>п</w:t>
      </w:r>
      <w:r>
        <w:t>ление Трастового фонда РВЗ.</w:t>
      </w:r>
    </w:p>
    <w:p w:rsidR="00000000" w:rsidRDefault="00000000">
      <w:pPr>
        <w:pStyle w:val="SingleTxt"/>
      </w:pPr>
      <w:r>
        <w:t>Проекты, которые поддерживал Фонд, позволили получить исходные м</w:t>
      </w:r>
      <w:r>
        <w:t>а</w:t>
      </w:r>
      <w:r>
        <w:t>териалы, которые были публично распространены через Трастовый фонд РВЗ. Фонд использовался для финансирования проектов, обеспечивающих РВЗ ср</w:t>
      </w:r>
      <w:r>
        <w:t>е</w:t>
      </w:r>
      <w:r>
        <w:t>ди некоторых адресных групп. За отчетный период Фонд поддерживал проекты в инт</w:t>
      </w:r>
      <w:r>
        <w:t>е</w:t>
      </w:r>
      <w:r>
        <w:t>ресах женщин по следующим направлениям:</w:t>
      </w:r>
    </w:p>
    <w:p w:rsidR="00000000" w:rsidRDefault="00000000">
      <w:pPr>
        <w:pStyle w:val="dot"/>
      </w:pPr>
      <w:r>
        <w:tab/>
      </w:r>
      <w:r>
        <w:tab/>
        <w:t>•</w:t>
      </w:r>
      <w:r>
        <w:tab/>
        <w:t>вопросы РВЗ, касающиеся мало оплачиваемых работниц</w:t>
      </w:r>
    </w:p>
    <w:p w:rsidR="00000000" w:rsidRDefault="00000000">
      <w:pPr>
        <w:pStyle w:val="dot"/>
      </w:pPr>
      <w:r>
        <w:tab/>
      </w:r>
      <w:r>
        <w:tab/>
        <w:t>•</w:t>
      </w:r>
      <w:r>
        <w:tab/>
        <w:t>профилактика домогательств</w:t>
      </w:r>
    </w:p>
    <w:p w:rsidR="00000000" w:rsidRDefault="00000000">
      <w:pPr>
        <w:pStyle w:val="dot"/>
      </w:pPr>
      <w:r>
        <w:tab/>
      </w:r>
      <w:r>
        <w:tab/>
        <w:t>•</w:t>
      </w:r>
      <w:r>
        <w:tab/>
        <w:t>учет фактора разнообразия</w:t>
      </w:r>
    </w:p>
    <w:p w:rsidR="00000000" w:rsidRDefault="00000000">
      <w:pPr>
        <w:pStyle w:val="dot"/>
      </w:pPr>
      <w:r>
        <w:tab/>
      </w:r>
      <w:r>
        <w:tab/>
        <w:t>•</w:t>
      </w:r>
      <w:r>
        <w:tab/>
        <w:t xml:space="preserve">организация семинаров по тематике РВЗ для малых предприятий </w:t>
      </w:r>
    </w:p>
    <w:p w:rsidR="00000000" w:rsidRDefault="00000000">
      <w:pPr>
        <w:pStyle w:val="dot"/>
      </w:pPr>
      <w:r>
        <w:tab/>
      </w:r>
      <w:r>
        <w:tab/>
        <w:t>•</w:t>
      </w:r>
      <w:r>
        <w:tab/>
        <w:t>генерирование идей для управляющих</w:t>
      </w:r>
    </w:p>
    <w:p w:rsidR="00000000" w:rsidRDefault="00000000">
      <w:pPr>
        <w:pStyle w:val="dot"/>
      </w:pPr>
      <w:r>
        <w:tab/>
      </w:r>
      <w:r>
        <w:tab/>
        <w:t>•</w:t>
      </w:r>
      <w:r>
        <w:tab/>
        <w:t>организационные расходы и преимущества услуг по уходу за иждивенц</w:t>
      </w:r>
      <w:r>
        <w:t>а</w:t>
      </w:r>
      <w:r>
        <w:t>ми, предоставляемых раб</w:t>
      </w:r>
      <w:r>
        <w:t>о</w:t>
      </w:r>
      <w:r>
        <w:t>тодателями</w:t>
      </w:r>
    </w:p>
    <w:p w:rsidR="00000000" w:rsidRDefault="00000000">
      <w:pPr>
        <w:pStyle w:val="dot"/>
      </w:pPr>
      <w:r>
        <w:tab/>
      </w:r>
      <w:r>
        <w:tab/>
        <w:t>•</w:t>
      </w:r>
      <w:r>
        <w:tab/>
        <w:t>подготовка видеоматериалов и брошюры, посвященных преимуществам вн</w:t>
      </w:r>
      <w:r>
        <w:t>е</w:t>
      </w:r>
      <w:r>
        <w:t>школьного ухода</w:t>
      </w:r>
    </w:p>
    <w:p w:rsidR="00000000" w:rsidRDefault="00000000">
      <w:pPr>
        <w:pStyle w:val="dot"/>
      </w:pPr>
      <w:r>
        <w:tab/>
      </w:r>
      <w:r>
        <w:tab/>
        <w:t>•</w:t>
      </w:r>
      <w:r>
        <w:tab/>
        <w:t>справедливое и равное вознаграждение</w:t>
      </w:r>
    </w:p>
    <w:p w:rsidR="00000000" w:rsidRDefault="00000000">
      <w:pPr>
        <w:pStyle w:val="dot"/>
      </w:pPr>
      <w:r>
        <w:tab/>
      </w:r>
      <w:r>
        <w:tab/>
        <w:t>•</w:t>
      </w:r>
      <w:r>
        <w:tab/>
        <w:t>учет интересов работающих родителей и эффективные кадровые страт</w:t>
      </w:r>
      <w:r>
        <w:t>е</w:t>
      </w:r>
      <w:r>
        <w:t>гии – справочная брошюра для работодателей</w:t>
      </w:r>
    </w:p>
    <w:p w:rsidR="00000000" w:rsidRDefault="00000000">
      <w:pPr>
        <w:pStyle w:val="dot"/>
      </w:pPr>
      <w:r>
        <w:tab/>
      </w:r>
      <w:r>
        <w:tab/>
        <w:t>•</w:t>
      </w:r>
      <w:r>
        <w:tab/>
        <w:t>руководство по совмещению грудного вскармливания и оплачиваемой р</w:t>
      </w:r>
      <w:r>
        <w:t>а</w:t>
      </w:r>
      <w:r>
        <w:t>боты</w:t>
      </w:r>
    </w:p>
    <w:p w:rsidR="00000000" w:rsidRDefault="00000000">
      <w:pPr>
        <w:pStyle w:val="dot"/>
      </w:pPr>
      <w:r>
        <w:tab/>
      </w:r>
      <w:r>
        <w:tab/>
        <w:t>•</w:t>
      </w:r>
      <w:r>
        <w:tab/>
        <w:t>расширение информации о законодательных требованиях и деловых выгод для предприятий, которые сулит фактор разнообразия.</w:t>
      </w:r>
    </w:p>
    <w:p w:rsidR="00000000" w:rsidRDefault="00000000">
      <w:pPr>
        <w:pStyle w:val="H23"/>
      </w:pPr>
      <w:r>
        <w:t>Минимальная заработная плата</w:t>
      </w:r>
    </w:p>
    <w:p w:rsidR="00000000" w:rsidRDefault="00000000">
      <w:pPr>
        <w:pStyle w:val="SingleTxt"/>
      </w:pPr>
      <w:r>
        <w:t>После 1999 года правительство существенно увеличило предусмотренные законом размеры минимальной заработанной платы и распространило действие ставок заработанной платы взрослого насел</w:t>
      </w:r>
      <w:r>
        <w:t>е</w:t>
      </w:r>
      <w:r>
        <w:t>ния на молодежь в возрасте 18-19 лет. В 2002 году молодежные ставки (для лиц в возрасте 16-17 лет) были п</w:t>
      </w:r>
      <w:r>
        <w:t>о</w:t>
      </w:r>
      <w:r>
        <w:t>вышены до 80 % ставок зарплаты взрослого населения. На рассмотрение па</w:t>
      </w:r>
      <w:r>
        <w:t>р</w:t>
      </w:r>
      <w:r>
        <w:t>ламента был представлен законопроект, согласно которому размер минимал</w:t>
      </w:r>
      <w:r>
        <w:t>ь</w:t>
      </w:r>
      <w:r>
        <w:t>ной заработной платы можно будет устанавливать исходя из статуса профе</w:t>
      </w:r>
      <w:r>
        <w:t>с</w:t>
      </w:r>
      <w:r>
        <w:t>сиональной подготовки работника. Этот закон будет принят в этом году. Прав</w:t>
      </w:r>
      <w:r>
        <w:t>и</w:t>
      </w:r>
      <w:r>
        <w:t>тельство отметило, что минимальная ученическая заработная плата будет уст</w:t>
      </w:r>
      <w:r>
        <w:t>а</w:t>
      </w:r>
      <w:r>
        <w:t>навливаться по ставке для лиц в возрасте 16-17 лет, которая в настоящее время составляет 6,40 долл. США в час.</w:t>
      </w:r>
    </w:p>
    <w:p w:rsidR="00000000" w:rsidRDefault="00000000">
      <w:pPr>
        <w:pStyle w:val="SingleTxt"/>
      </w:pPr>
      <w:r>
        <w:t>Правительство предполагает, что такое повышение ставки минимальной заработной платы позволит увеличить необходимый уровень доходов низкоо</w:t>
      </w:r>
      <w:r>
        <w:t>п</w:t>
      </w:r>
      <w:r>
        <w:t>лачиваемых граждан, среди которых несоразмерно велика доля женщин и ма</w:t>
      </w:r>
      <w:r>
        <w:t>о</w:t>
      </w:r>
      <w:r>
        <w:t>ри. Вероятно, прямой эффект измененного размера минимальной заработной платы взрослого населения для дифференциации оплаты труда полов и в час</w:t>
      </w:r>
      <w:r>
        <w:t>т</w:t>
      </w:r>
      <w:r>
        <w:t>ности на размер заработной платы женщин едва ли будет значительным, если учитывать, что минимальную заработную плату получают всего лишь 2,8 % взрослых работников.</w:t>
      </w:r>
    </w:p>
    <w:p w:rsidR="00000000" w:rsidRDefault="00000000">
      <w:pPr>
        <w:pStyle w:val="H23"/>
      </w:pPr>
      <w:r>
        <w:t>Поощрительное пособие на профессиональное обучение</w:t>
      </w:r>
    </w:p>
    <w:p w:rsidR="00000000" w:rsidRDefault="00000000">
      <w:pPr>
        <w:pStyle w:val="SingleTxt"/>
      </w:pPr>
      <w:r>
        <w:t>В январе 1999 года вступили в силу поправки, касающиеся поощрител</w:t>
      </w:r>
      <w:r>
        <w:t>ь</w:t>
      </w:r>
      <w:r>
        <w:t>ного пособия на профессиональное обучение (ППО). В результате этого сумма, выделяемая для покрытия расходов на учебу, сократилась со 100% до 60%, а максимальная выделяемая сумма была ограничена 3000 долл. США в год или 75 долл. США в неделю. Был также ограничен доступ к ППО для тех лиц, к</w:t>
      </w:r>
      <w:r>
        <w:t>о</w:t>
      </w:r>
      <w:r>
        <w:t>торые в предшествующие 5 лет уже прошли курс обучения. Это обернулось н</w:t>
      </w:r>
      <w:r>
        <w:t>е</w:t>
      </w:r>
      <w:r>
        <w:t>гативными последствиями для женщин, которые составляют 91% получателей ППО. Чтобы отменить поправки 1999 года, в январе 2000 года был изменен п</w:t>
      </w:r>
      <w:r>
        <w:t>о</w:t>
      </w:r>
      <w:r>
        <w:t>рядок выплаты ППО. Таким образом, было аннулировано положение о 40% с</w:t>
      </w:r>
      <w:r>
        <w:t>о</w:t>
      </w:r>
      <w:r>
        <w:t>вместной оплате и восстановлено право на краткосрочное обучение для лиц, которые уже прошли курс обучения в предыдущие 5 лет. Чтобы найти более эффективные пути оказания помощи гражданам, включая женщин, в получении профессии и образования, было предложено проанализировать, как использ</w:t>
      </w:r>
      <w:r>
        <w:t>у</w:t>
      </w:r>
      <w:r>
        <w:t>ется ППО и как оно сочетается с другими видами помощи на профессионал</w:t>
      </w:r>
      <w:r>
        <w:t>ь</w:t>
      </w:r>
      <w:r>
        <w:t>ное обучение и образование в общей системе пособий</w:t>
      </w:r>
    </w:p>
    <w:p w:rsidR="00000000" w:rsidRDefault="00000000">
      <w:pPr>
        <w:pStyle w:val="H23"/>
      </w:pPr>
      <w:r>
        <w:t>Оплачиваемый отпуск по уходу за ребенком</w:t>
      </w:r>
    </w:p>
    <w:p w:rsidR="00000000" w:rsidRDefault="00000000">
      <w:pPr>
        <w:pStyle w:val="SingleTxt"/>
      </w:pPr>
      <w:r>
        <w:t>Закон о внесении изменений в Закон об отпуске по уходу за ребенком и защите занятости (оплачиваемом отпуске по уходу за ребенком) был принят 30 марта 2002 года и вступил в силу 1 июля 2002 года. Имеющим на это право женщинам предоставляется 12-недельный оплачиваемый правительством о</w:t>
      </w:r>
      <w:r>
        <w:t>т</w:t>
      </w:r>
      <w:r>
        <w:t>пуск по уходу за ребенком, право на который они могут передавать своим партнерам (в том числе партнерам того же пола). Чтобы получить это право, они должны проработать у одного и того же работодателя как минимум 1 год, трудясь, по меньшей мере, 10 часов в неделю. Оплата отпуска полностью п</w:t>
      </w:r>
      <w:r>
        <w:t>о</w:t>
      </w:r>
      <w:r>
        <w:t>крывает существующую оплату труда, валовая сумма которой максимально с</w:t>
      </w:r>
      <w:r>
        <w:t>о</w:t>
      </w:r>
      <w:r>
        <w:t>ставляет 325 долл. США в неделю, что равно 70% средней заработной платы женщин. Женщины могут выбирать между оплатой отпуска по уходу за ребе</w:t>
      </w:r>
      <w:r>
        <w:t>н</w:t>
      </w:r>
      <w:r>
        <w:t>ком и действующими налоговыми льготами для родителей, которые составляют до 150 долл. США в нед</w:t>
      </w:r>
      <w:r>
        <w:t>е</w:t>
      </w:r>
      <w:r>
        <w:t>лю для семей с малыми и средними доходами.</w:t>
      </w:r>
    </w:p>
    <w:p w:rsidR="00000000" w:rsidRDefault="00000000">
      <w:pPr>
        <w:pStyle w:val="SingleTxt"/>
      </w:pPr>
      <w:r>
        <w:t>Правительство приняло активное участие в пересмотре Конвенции 103 МОТ, что привело к принятию Конвенции № 183 МОТ об охране матери</w:t>
      </w:r>
      <w:r>
        <w:t>н</w:t>
      </w:r>
      <w:r>
        <w:t>ства. Закон об отпуске по уходу за ребенком и защите занятости пока еще не приведен в соответствие с Конвенцией № 183, хотя с учетом новых положений проводится работа по пересмотру оговорок к КЛДЖ и Международному пакту об экономических, социальных и кул</w:t>
      </w:r>
      <w:r>
        <w:t>ь</w:t>
      </w:r>
      <w:r>
        <w:t>турных правах.</w:t>
      </w:r>
    </w:p>
    <w:p w:rsidR="00000000" w:rsidRDefault="00000000">
      <w:pPr>
        <w:pStyle w:val="SingleTxt"/>
      </w:pPr>
      <w:r>
        <w:t>Будут проведены оценка осуществления и анализ последствий положений об оплачиваемом отпуске по уходу за ребенком, предложений о повышении эффективности этой программы с точки зрения соответствующего права, и п</w:t>
      </w:r>
      <w:r>
        <w:t>о</w:t>
      </w:r>
      <w:r>
        <w:t>рядка финансирования, результаты которых будут переданы на рассмотрение правительства в июле 2003 года. Это даст возможность проанализировать ц</w:t>
      </w:r>
      <w:r>
        <w:t>е</w:t>
      </w:r>
      <w:r>
        <w:t>лый ряд проблем, затронутых в материалах к законопроекту. В частности речь идет о таких вопросах, как продолжительность отпуска, размер оплаты и п</w:t>
      </w:r>
      <w:r>
        <w:t>о</w:t>
      </w:r>
      <w:r>
        <w:t>следствия действующего критерия предоставления этого права для групп, л</w:t>
      </w:r>
      <w:r>
        <w:t>и</w:t>
      </w:r>
      <w:r>
        <w:t>шенных его, в частности, работающих не по найму лиц, к которым относятся многие сельские женщины, временные работницы или работницы, трудящиеся неполный рабочий день.</w:t>
      </w:r>
    </w:p>
    <w:p w:rsidR="00000000" w:rsidRDefault="00000000">
      <w:pPr>
        <w:pStyle w:val="SingleTxt"/>
      </w:pPr>
      <w:r>
        <w:t>Положения об оплачиваемом отпуске по уходу за ребенком применяются совместно с действующим правом на 52-недельный оплачиваемый отпуск по уходу за ребенком, который предоставляется работницам в соответствии с З</w:t>
      </w:r>
      <w:r>
        <w:t>а</w:t>
      </w:r>
      <w:r>
        <w:t>коном об оплачиваемом отпуске по уходу за ребенком и защите занятости. Н</w:t>
      </w:r>
      <w:r>
        <w:t>и</w:t>
      </w:r>
      <w:r>
        <w:t>же рассматриваются другие дополнительные положения, которые могут обле</w:t>
      </w:r>
      <w:r>
        <w:t>г</w:t>
      </w:r>
      <w:r>
        <w:t>чить трудоустройство женщин, в частности, такие как уход за детьми, дошк</w:t>
      </w:r>
      <w:r>
        <w:t>о</w:t>
      </w:r>
      <w:r>
        <w:t>льное воспитание и финансируемые Трастовым фондом РВЗ проекты в области труда и семьи.</w:t>
      </w:r>
    </w:p>
    <w:p w:rsidR="00000000" w:rsidRDefault="00000000">
      <w:pPr>
        <w:pStyle w:val="H23"/>
      </w:pPr>
      <w:r>
        <w:t>Равная оплата труда</w:t>
      </w:r>
    </w:p>
    <w:p w:rsidR="00000000" w:rsidRDefault="00000000">
      <w:pPr>
        <w:pStyle w:val="SingleTxt"/>
      </w:pPr>
      <w:r>
        <w:t>Информацию о разнице в оплате труда мужчин и женщин см. Оплата тр</w:t>
      </w:r>
      <w:r>
        <w:t>у</w:t>
      </w:r>
      <w:r>
        <w:t>да, стр. 103.</w:t>
      </w:r>
    </w:p>
    <w:p w:rsidR="00000000" w:rsidRDefault="00000000">
      <w:pPr>
        <w:pStyle w:val="SingleTxt"/>
      </w:pPr>
      <w:r>
        <w:t>Закон 1960 года о равной оплате труда государственных служащих и Закон 1972 года о равной оплате труда гарантируют равную оплату труда мужчин и женщин, если они заняты одинаковым трудом. Эти законы направлены на борьбу с прямой дискриминацией женщин в области оплаты труда на фирмах и в организациях. Однако вопрос о равной оплате за труд равной ценности или равной оплате труда в закон</w:t>
      </w:r>
      <w:r>
        <w:t>о</w:t>
      </w:r>
      <w:r>
        <w:t>дательстве не регламентируется.</w:t>
      </w:r>
    </w:p>
    <w:p w:rsidR="00000000" w:rsidRDefault="00000000">
      <w:pPr>
        <w:pStyle w:val="SingleTxt"/>
      </w:pPr>
      <w:r>
        <w:t xml:space="preserve">В июле 2002 года была учреждена должность комиссара по РВЗ в составе Комиссии по правам человека. Одна из обязанностей комиссара заключается в том, чтобы руководить в Комиссии обсуждением вопросов, связанных с РВЗ (см. Статью 11, стр. 109-110). В 1999 году министерство по делам женщин (МДЖ) в ходе ряда исследований, посвященных различиям в оплате труда мужчин и женщин, опубликовало два доклада под названием </w:t>
      </w:r>
      <w:r>
        <w:rPr>
          <w:i/>
        </w:rPr>
        <w:t>«Функциониров</w:t>
      </w:r>
      <w:r>
        <w:rPr>
          <w:i/>
        </w:rPr>
        <w:t>а</w:t>
      </w:r>
      <w:r>
        <w:rPr>
          <w:i/>
        </w:rPr>
        <w:t>ние систем оплаты труда и равноправие: анализ положения дел в 5 организациях Новой Зеландии»</w:t>
      </w:r>
      <w:r>
        <w:t xml:space="preserve"> и </w:t>
      </w:r>
      <w:r>
        <w:rPr>
          <w:i/>
        </w:rPr>
        <w:t>«Сиделки/медсестры на дому: тематич</w:t>
      </w:r>
      <w:r>
        <w:rPr>
          <w:i/>
        </w:rPr>
        <w:t>е</w:t>
      </w:r>
      <w:r>
        <w:rPr>
          <w:i/>
        </w:rPr>
        <w:t xml:space="preserve">ское исследование рода женских занятий». </w:t>
      </w:r>
      <w:r>
        <w:t>Главный вывод исследования, п</w:t>
      </w:r>
      <w:r>
        <w:t>о</w:t>
      </w:r>
      <w:r>
        <w:t>священного функционированию систем оплаты и равноправию, заключается в том, что в имеющихся системах оплаты труда широко практикуется скрытая дискриминация и что те системы, в которых не учитывает трудовой вклад р</w:t>
      </w:r>
      <w:r>
        <w:t>а</w:t>
      </w:r>
      <w:r>
        <w:t>ботниц, в целом функционируют неэффективно. В исследовании, посвященном сиделкам/медсестрам на дому, выделяются текущие проблемы этой преимущ</w:t>
      </w:r>
      <w:r>
        <w:t>е</w:t>
      </w:r>
      <w:r>
        <w:t>ственно женской профессии, в частности такие, как низкие ставки заработной платы, плохие условия труда, ограниченные возможности для профессионал</w:t>
      </w:r>
      <w:r>
        <w:t>ь</w:t>
      </w:r>
      <w:r>
        <w:t>ной подготовки и саморазвития, а также низкий статус специалистов этой пр</w:t>
      </w:r>
      <w:r>
        <w:t>о</w:t>
      </w:r>
      <w:r>
        <w:t>фе</w:t>
      </w:r>
      <w:r>
        <w:t>с</w:t>
      </w:r>
      <w:r>
        <w:t>сии.</w:t>
      </w:r>
    </w:p>
    <w:p w:rsidR="00000000" w:rsidRDefault="00000000">
      <w:pPr>
        <w:pStyle w:val="SingleTxt"/>
      </w:pPr>
      <w:r>
        <w:t>В 2000 году министерство труда опубликовало отдельный доклад, оз</w:t>
      </w:r>
      <w:r>
        <w:t>а</w:t>
      </w:r>
      <w:r>
        <w:t>главленный «</w:t>
      </w:r>
      <w:r>
        <w:rPr>
          <w:i/>
        </w:rPr>
        <w:t xml:space="preserve">Неравная оплата труда мужчин и женщин в Новой Зеландии». </w:t>
      </w:r>
      <w:r>
        <w:t>В исследовании анализируются изменения, коснувшиеся дифференцированной оплаты труда мужчин и женщин в Новой Зеландии в период 1984-1999 годов, т.е. в период, когда соотношение между почасовыми ставками оплаты труда мужчин и женщин сократилось, по оценкам, на 5 процентных пунктов. Была проведена оценка влияния разницы в оплате труда мужчин и женщин на их о</w:t>
      </w:r>
      <w:r>
        <w:t>б</w:t>
      </w:r>
      <w:r>
        <w:t>разовательный уровень, период нахождения в составе рабочей силы и распр</w:t>
      </w:r>
      <w:r>
        <w:t>е</w:t>
      </w:r>
      <w:r>
        <w:t>деление по профессиям. Были проанализированы влияния материнства и труда в течение неполного рабочего дня на заработок женщин. Полученные результ</w:t>
      </w:r>
      <w:r>
        <w:t>а</w:t>
      </w:r>
      <w:r>
        <w:t>ты свидетельствуют о том, что сокращение разрыва в оплате труда мужчин и женщин было обусловлено, с одной стороны, выравниванием измеренных уровней квалификации и распределения должностей и сокращением «остато</w:t>
      </w:r>
      <w:r>
        <w:t>ч</w:t>
      </w:r>
      <w:r>
        <w:t>ной» или необъяснимой дифференциации оплаты труда. По-прежнему нельзя объяснить 10-50% случаев дискриминации в оплаты труда. Отличия в трудовом стаже и роде занятий между мужчинами и женщинами были главными факт</w:t>
      </w:r>
      <w:r>
        <w:t>о</w:t>
      </w:r>
      <w:r>
        <w:t>рами, обуславливающими в конце 90-х годов гендерные отличия в оплате тр</w:t>
      </w:r>
      <w:r>
        <w:t>у</w:t>
      </w:r>
      <w:r>
        <w:t>да.</w:t>
      </w:r>
    </w:p>
    <w:p w:rsidR="00000000" w:rsidRDefault="00000000">
      <w:pPr>
        <w:pStyle w:val="SingleTxt"/>
      </w:pPr>
      <w:r>
        <w:t>МДЖ в консультации с министерством труда и Комиссией по государс</w:t>
      </w:r>
      <w:r>
        <w:t>т</w:t>
      </w:r>
      <w:r>
        <w:t>венным службам осуществляет проект в области равной оплаты труда, в ходе которого будут определены и проанализированы возможные программные м</w:t>
      </w:r>
      <w:r>
        <w:t>е</w:t>
      </w:r>
      <w:r>
        <w:t>ры, с помощью которых можно будет добиться равной оплаты труда в рамках существующей системы трудовых отношений. В качестве первого шага МДЖ опубликовало дискуссионный документ, в котором акцент делается на пробл</w:t>
      </w:r>
      <w:r>
        <w:t>е</w:t>
      </w:r>
      <w:r>
        <w:t>ме одинаковой оплаты за труд равной ценности, чтобы в июле-ноябре 2002 года пр</w:t>
      </w:r>
      <w:r>
        <w:t>о</w:t>
      </w:r>
      <w:r>
        <w:t>вести консультации с общественностью.</w:t>
      </w:r>
    </w:p>
    <w:p w:rsidR="00000000" w:rsidRDefault="00000000">
      <w:pPr>
        <w:pStyle w:val="SingleTxt"/>
      </w:pPr>
      <w:r>
        <w:t>Министерство труда разрабатывает план работы, который может напо</w:t>
      </w:r>
      <w:r>
        <w:t>л</w:t>
      </w:r>
      <w:r>
        <w:t>нить содержанием будущую работу над возможными программными инициат</w:t>
      </w:r>
      <w:r>
        <w:t>и</w:t>
      </w:r>
      <w:r>
        <w:t>вами, призванными обеспечить реализацию политики в области равной оплаты труда. На первом этапе будут изучены характер и охват программных иници</w:t>
      </w:r>
      <w:r>
        <w:t>а</w:t>
      </w:r>
      <w:r>
        <w:t>тив других стран, особенно степень соблюдения конвенции 100 МОТ о равном вознаграждении и КЛДЖ. На втором этапе будут разработаны критерии оценки возможных программных инициатив, призванных обеспечить достижение ра</w:t>
      </w:r>
      <w:r>
        <w:t>в</w:t>
      </w:r>
      <w:r>
        <w:t>ной оплаты труда в системе трудовых отношений Новой Зеландии. Здесь речь идет о выявлении важных эффективных факторов, чтобы оценить, насколько такие инициативы способны сократить гендерное неравенство в оплате труда. На третьем этапе будут определены возможные программные инициативы. Эта программа работы должна быть завершена к июлю 2003 года.</w:t>
      </w:r>
    </w:p>
    <w:p w:rsidR="00000000" w:rsidRDefault="00000000">
      <w:pPr>
        <w:pStyle w:val="H23"/>
        <w:ind w:left="1264" w:firstLine="0"/>
      </w:pPr>
      <w:r>
        <w:t>Инициативы в интересах женщин, оказавшихся в невыгодном положении на рынке труда</w:t>
      </w:r>
    </w:p>
    <w:p w:rsidR="00000000" w:rsidRDefault="00000000">
      <w:pPr>
        <w:pStyle w:val="SingleTxt"/>
      </w:pPr>
      <w:r>
        <w:t>Группа общинной занятости (ГОЗ) министерства труда работает совмес</w:t>
      </w:r>
      <w:r>
        <w:t>т</w:t>
      </w:r>
      <w:r>
        <w:t>но с общинами с целью помочь им добиться социально-экономического пр</w:t>
      </w:r>
      <w:r>
        <w:t>о</w:t>
      </w:r>
      <w:r>
        <w:t>цветания путем создания рабочих мест и развития предприятий. Деятельность ГОЗ направлена на оказание помощи тем группам населения, которые сталк</w:t>
      </w:r>
      <w:r>
        <w:t>и</w:t>
      </w:r>
      <w:r>
        <w:t>ваются с целым рядом трудностей на рынке труда, в частности таких, как ма</w:t>
      </w:r>
      <w:r>
        <w:t>о</w:t>
      </w:r>
      <w:r>
        <w:t>ри, население тихоокеанских островов, женщины и обездоленные сельские и городские жители. ГОЗ прилагает все усилия для расширения сферы и увел</w:t>
      </w:r>
      <w:r>
        <w:t>и</w:t>
      </w:r>
      <w:r>
        <w:t>чения объема помощи женщинам по их трудоустройству в общинах. Для этого ГОЗ разработала стратегию помощи женщинам для преодоления конкретных препятствий, с которыми они сталкиваются (не путать со стратегией помощи женщинам, разрабатываемой министерством по делам женщин). Эта стратегия включает следующие цели:</w:t>
      </w:r>
    </w:p>
    <w:p w:rsidR="00000000" w:rsidRDefault="00000000">
      <w:pPr>
        <w:pStyle w:val="dot"/>
      </w:pPr>
      <w:r>
        <w:tab/>
      </w:r>
      <w:r>
        <w:tab/>
        <w:t>•</w:t>
      </w:r>
      <w:r>
        <w:tab/>
        <w:t>обучение женщин новым трудовым навыкам с учетом современных тр</w:t>
      </w:r>
      <w:r>
        <w:t>е</w:t>
      </w:r>
      <w:r>
        <w:t>бований</w:t>
      </w:r>
    </w:p>
    <w:p w:rsidR="00000000" w:rsidRDefault="00000000">
      <w:pPr>
        <w:pStyle w:val="dot"/>
      </w:pPr>
      <w:r>
        <w:tab/>
      </w:r>
      <w:r>
        <w:tab/>
        <w:t>•</w:t>
      </w:r>
      <w:r>
        <w:tab/>
        <w:t>работа с женщинами, оказавшимися в изоляции в силу проживания в о</w:t>
      </w:r>
      <w:r>
        <w:t>т</w:t>
      </w:r>
      <w:r>
        <w:t>даленных населенных пунктах или необходимости ухаживать дома за детьми</w:t>
      </w:r>
    </w:p>
    <w:p w:rsidR="00000000" w:rsidRDefault="00000000">
      <w:pPr>
        <w:pStyle w:val="dot"/>
      </w:pPr>
      <w:r>
        <w:tab/>
      </w:r>
      <w:r>
        <w:tab/>
        <w:t>•</w:t>
      </w:r>
      <w:r>
        <w:tab/>
        <w:t>помощь женщинам по выходу или возвращению на рынок труда</w:t>
      </w:r>
    </w:p>
    <w:p w:rsidR="00000000" w:rsidRDefault="00000000">
      <w:pPr>
        <w:pStyle w:val="dot"/>
      </w:pPr>
      <w:r>
        <w:tab/>
      </w:r>
      <w:r>
        <w:tab/>
        <w:t>•</w:t>
      </w:r>
      <w:r>
        <w:tab/>
        <w:t>развитие предприятий с опорой на художественные или культурные тр</w:t>
      </w:r>
      <w:r>
        <w:t>а</w:t>
      </w:r>
      <w:r>
        <w:t>диции</w:t>
      </w:r>
    </w:p>
    <w:p w:rsidR="00000000" w:rsidRDefault="00000000">
      <w:pPr>
        <w:pStyle w:val="dot"/>
      </w:pPr>
      <w:r>
        <w:tab/>
      </w:r>
      <w:r>
        <w:tab/>
        <w:t>•</w:t>
      </w:r>
      <w:r>
        <w:tab/>
        <w:t>повышение квалификации и ознакомление женщин с новыми технологи</w:t>
      </w:r>
      <w:r>
        <w:t>я</w:t>
      </w:r>
      <w:r>
        <w:t>ми</w:t>
      </w:r>
    </w:p>
    <w:p w:rsidR="00000000" w:rsidRDefault="00000000">
      <w:pPr>
        <w:pStyle w:val="dot"/>
      </w:pPr>
      <w:r>
        <w:tab/>
      </w:r>
      <w:r>
        <w:tab/>
        <w:t>•</w:t>
      </w:r>
      <w:r>
        <w:tab/>
        <w:t>опора на кустарную промышленность</w:t>
      </w:r>
    </w:p>
    <w:p w:rsidR="00000000" w:rsidRDefault="00000000">
      <w:pPr>
        <w:pStyle w:val="dot"/>
      </w:pPr>
      <w:r>
        <w:tab/>
      </w:r>
      <w:r>
        <w:tab/>
        <w:t>•</w:t>
      </w:r>
      <w:r>
        <w:tab/>
        <w:t>ознакомление женщин с образцовыми ролевыми моделями и наставнич</w:t>
      </w:r>
      <w:r>
        <w:t>е</w:t>
      </w:r>
      <w:r>
        <w:t>ство</w:t>
      </w:r>
    </w:p>
    <w:p w:rsidR="00000000" w:rsidRDefault="00000000">
      <w:pPr>
        <w:pStyle w:val="dot"/>
      </w:pPr>
      <w:r>
        <w:tab/>
      </w:r>
      <w:r>
        <w:tab/>
        <w:t>•</w:t>
      </w:r>
      <w:r>
        <w:tab/>
        <w:t>использование структур «ванау» в интересах женщин-маори для стимул</w:t>
      </w:r>
      <w:r>
        <w:t>и</w:t>
      </w:r>
      <w:r>
        <w:t>рования производ</w:t>
      </w:r>
      <w:r>
        <w:t>и</w:t>
      </w:r>
      <w:r>
        <w:t>тельной деятельности</w:t>
      </w:r>
    </w:p>
    <w:p w:rsidR="00000000" w:rsidRDefault="00000000">
      <w:pPr>
        <w:pStyle w:val="dot"/>
      </w:pPr>
      <w:r>
        <w:tab/>
      </w:r>
      <w:r>
        <w:tab/>
        <w:t>•</w:t>
      </w:r>
      <w:r>
        <w:tab/>
        <w:t>работа с группами женщин тихоокеанских островов для развития эффе</w:t>
      </w:r>
      <w:r>
        <w:t>к</w:t>
      </w:r>
      <w:r>
        <w:t>тивных инициатив и разрабо</w:t>
      </w:r>
      <w:r>
        <w:t>т</w:t>
      </w:r>
      <w:r>
        <w:t xml:space="preserve">ки новых </w:t>
      </w:r>
    </w:p>
    <w:p w:rsidR="00000000" w:rsidRDefault="00000000">
      <w:pPr>
        <w:pStyle w:val="dot"/>
      </w:pPr>
      <w:r>
        <w:tab/>
      </w:r>
      <w:r>
        <w:tab/>
        <w:t>•</w:t>
      </w:r>
      <w:r>
        <w:tab/>
        <w:t>помощь женщинам в стратегическом планировании и реализации планов создания новых предпр</w:t>
      </w:r>
      <w:r>
        <w:t>и</w:t>
      </w:r>
      <w:r>
        <w:t>ятий.</w:t>
      </w:r>
    </w:p>
    <w:p w:rsidR="00000000" w:rsidRDefault="00000000">
      <w:pPr>
        <w:pStyle w:val="H4"/>
      </w:pPr>
      <w:r>
        <w:t>Женщины-маори</w:t>
      </w:r>
    </w:p>
    <w:p w:rsidR="00000000" w:rsidRDefault="00000000">
      <w:pPr>
        <w:pStyle w:val="SingleTxt"/>
      </w:pPr>
      <w:r>
        <w:t>ГОЗ также приступила к реализации нового плана по развитию лидерских качеств женщин, предусматривающего вложение средств в программы разв</w:t>
      </w:r>
      <w:r>
        <w:t>и</w:t>
      </w:r>
      <w:r>
        <w:t>тия женщин-маори, которые обладают ярко выраженными качествами потенц</w:t>
      </w:r>
      <w:r>
        <w:t>и</w:t>
      </w:r>
      <w:r>
        <w:t>альных лидеров, и обеспечение доступа таким женщинам к помощи в таком развитии. Это развитие должно увеличить потенциальные возможности о</w:t>
      </w:r>
      <w:r>
        <w:t>б</w:t>
      </w:r>
      <w:r>
        <w:t>щинных групп, в которых они работают, и тем самым улучшить социальную сферу маори, «иви», «хапу» и «ванау».</w:t>
      </w:r>
    </w:p>
    <w:p w:rsidR="00000000" w:rsidRDefault="00000000">
      <w:pPr>
        <w:pStyle w:val="SingleTxt"/>
      </w:pPr>
      <w:r>
        <w:t>ГОЗ также финансирует Фонд развития женщин-маори, которым управл</w:t>
      </w:r>
      <w:r>
        <w:t>я</w:t>
      </w:r>
      <w:r>
        <w:t>ет организация «Развитие женщин-маори», оказывающая предпринимател</w:t>
      </w:r>
      <w:r>
        <w:t>ь</w:t>
      </w:r>
      <w:r>
        <w:t>скую поддержку и предоставляющая кредиты женщинам-маори для создания собственных предприятий. Полагают, что эта инициатива успешно функцион</w:t>
      </w:r>
      <w:r>
        <w:t>и</w:t>
      </w:r>
      <w:r>
        <w:t>рует в течение уже 12 лет.</w:t>
      </w:r>
    </w:p>
    <w:p w:rsidR="00000000" w:rsidRDefault="00000000">
      <w:pPr>
        <w:pStyle w:val="H4"/>
      </w:pPr>
      <w:r>
        <w:t xml:space="preserve">Женщины тихоокеанских островов </w:t>
      </w:r>
    </w:p>
    <w:p w:rsidR="00000000" w:rsidRDefault="00000000">
      <w:pPr>
        <w:pStyle w:val="SingleTxt"/>
      </w:pPr>
      <w:r>
        <w:t>ГОЗ также реализует План развития лидерских качеств у женщин тих</w:t>
      </w:r>
      <w:r>
        <w:t>о</w:t>
      </w:r>
      <w:r>
        <w:t>океанских островов с целью помочь организациям и общинам в определении потребностей этой категории женщин . При этом упор делается на развитие лидерских способностей, включая навыки управления и обретение уверенн</w:t>
      </w:r>
      <w:r>
        <w:t>о</w:t>
      </w:r>
      <w:r>
        <w:t>сти.</w:t>
      </w:r>
    </w:p>
    <w:p w:rsidR="00000000" w:rsidRDefault="00000000">
      <w:pPr>
        <w:pStyle w:val="H4"/>
      </w:pPr>
      <w:r>
        <w:t xml:space="preserve">Женщины-беженки и женщины-мигранты </w:t>
      </w:r>
    </w:p>
    <w:p w:rsidR="00000000" w:rsidRDefault="00000000">
      <w:pPr>
        <w:pStyle w:val="SingleTxt"/>
      </w:pPr>
      <w:r>
        <w:t>Женщины-беженки и женщины-мигранты находятся под защитой труд</w:t>
      </w:r>
      <w:r>
        <w:t>о</w:t>
      </w:r>
      <w:r>
        <w:t>вого законодательства Новой Зеландии; их также защищает политика и практ</w:t>
      </w:r>
      <w:r>
        <w:t>и</w:t>
      </w:r>
      <w:r>
        <w:t>ка Иммиграционной службы Новой Зеландии, которая стремиться преследовать торговцев людьми и контрабандистов, но не превращать в жертвы тех, кто по</w:t>
      </w:r>
      <w:r>
        <w:t>д</w:t>
      </w:r>
      <w:r>
        <w:t>вергается эксплуатации. Служба занятости министерства труда привлекает к ответственности нарушающих закон работодателей и обращается в суд, чтобы взыскать с них в пользу обманутых работниц невыплаченную зарплату и отп</w:t>
      </w:r>
      <w:r>
        <w:t>у</w:t>
      </w:r>
      <w:r>
        <w:t>скное вознаграждение. В Законе 2002 года о борьбе с транснациональной орг</w:t>
      </w:r>
      <w:r>
        <w:t>а</w:t>
      </w:r>
      <w:r>
        <w:t>низованной преступностью устанавливаются основные санкции против то</w:t>
      </w:r>
      <w:r>
        <w:t>р</w:t>
      </w:r>
      <w:r>
        <w:t xml:space="preserve">говцев людьми и контрабандистов, которые могут также применяться и против нарушающих закон работодателей. </w:t>
      </w:r>
    </w:p>
    <w:p w:rsidR="00000000" w:rsidRDefault="00000000">
      <w:pPr>
        <w:pStyle w:val="H4"/>
      </w:pPr>
      <w:r>
        <w:t>Женщины-инвалиды</w:t>
      </w:r>
    </w:p>
    <w:p w:rsidR="00000000" w:rsidRDefault="00000000">
      <w:pPr>
        <w:pStyle w:val="SingleTxt"/>
      </w:pPr>
      <w:r>
        <w:t>Трастовый фонд РВЗ совместно с Группой работодателей по РВЗ опубл</w:t>
      </w:r>
      <w:r>
        <w:t>и</w:t>
      </w:r>
      <w:r>
        <w:t xml:space="preserve">ковал предназначенную для работодателей серию из 11 брошюр, озаглавленную </w:t>
      </w:r>
      <w:r>
        <w:rPr>
          <w:i/>
        </w:rPr>
        <w:t>«Инвалиды и трудовая деятельность»</w:t>
      </w:r>
      <w:r>
        <w:t>. Она включает брошюру, посвященную проблемам психического здоровья на производстве. Брошюры составлены без учета гендерной специфики.</w:t>
      </w:r>
    </w:p>
    <w:p w:rsidR="00000000" w:rsidRDefault="00000000">
      <w:pPr>
        <w:pStyle w:val="H23"/>
      </w:pPr>
      <w:r>
        <w:t>Уход за детьми и дошкольное воспитание</w:t>
      </w:r>
    </w:p>
    <w:p w:rsidR="00000000" w:rsidRDefault="00000000">
      <w:pPr>
        <w:pStyle w:val="SingleTxt"/>
      </w:pPr>
      <w:r>
        <w:t>Понимая, что отсутствие доступа к учреждениям по уходу за детьми м</w:t>
      </w:r>
      <w:r>
        <w:t>о</w:t>
      </w:r>
      <w:r>
        <w:t>жет мешать трудоустройству женщин, правительство субсидирует работу служб по уходу за детьми дошкольного и школьного возраста. Правительство помогает организовывать внешкольный уход за детьми и дошкольное воспит</w:t>
      </w:r>
      <w:r>
        <w:t>а</w:t>
      </w:r>
      <w:r>
        <w:t xml:space="preserve">ние. Ниже приводится резюме соответствующих последних инициатив. </w:t>
      </w:r>
    </w:p>
    <w:p w:rsidR="00000000" w:rsidRDefault="00000000">
      <w:pPr>
        <w:pStyle w:val="H4"/>
      </w:pPr>
      <w:r>
        <w:t>Национальное обследование по вопросам ухода за детьми</w:t>
      </w:r>
    </w:p>
    <w:p w:rsidR="00000000" w:rsidRDefault="00000000">
      <w:pPr>
        <w:pStyle w:val="SingleTxt"/>
      </w:pPr>
      <w:r>
        <w:t>В июле 1999 года Национальный консультативный совет по занятости женщин (НКСЗЖ) и министерство труда подготовили доклад «</w:t>
      </w:r>
      <w:r>
        <w:rPr>
          <w:i/>
        </w:rPr>
        <w:t>Уход за детьми, семьи и трудовая деятельность: обследование по вопросам ухода за детьми в Новой Зеландии, 1998 год – Обзор дошкольного воспитания и организации ух</w:t>
      </w:r>
      <w:r>
        <w:rPr>
          <w:i/>
        </w:rPr>
        <w:t>о</w:t>
      </w:r>
      <w:r>
        <w:rPr>
          <w:i/>
        </w:rPr>
        <w:t>да за детьми</w:t>
      </w:r>
      <w:r>
        <w:t>», в основу которого были положены результаты обследования по вопросам ухода за детьми 1998 года. В докладе содержится информация о пр</w:t>
      </w:r>
      <w:r>
        <w:t>о</w:t>
      </w:r>
      <w:r>
        <w:t>граммных мерах и перспективных исследованиях в этой о</w:t>
      </w:r>
      <w:r>
        <w:t>б</w:t>
      </w:r>
      <w:r>
        <w:t>ласти.</w:t>
      </w:r>
    </w:p>
    <w:p w:rsidR="00000000" w:rsidRDefault="00000000">
      <w:pPr>
        <w:pStyle w:val="H4"/>
      </w:pPr>
      <w:r>
        <w:t>Дотации на уход за детьми и ВУД</w:t>
      </w:r>
    </w:p>
    <w:p w:rsidR="00000000" w:rsidRDefault="00000000">
      <w:pPr>
        <w:pStyle w:val="SingleTxt"/>
      </w:pPr>
      <w:r>
        <w:t>Чтобы помочь малообеспеченным семьям оплачивать расходы на дошк</w:t>
      </w:r>
      <w:r>
        <w:t>о</w:t>
      </w:r>
      <w:r>
        <w:t>льное воспитание и внешкольный уход, им выплачиваются дотации. Дотации на уход за детьми предоставляются из расчета оплаты любых мероприятий продолжительностью до девяти часов в неделю, при условии, что осущест</w:t>
      </w:r>
      <w:r>
        <w:t>в</w:t>
      </w:r>
      <w:r>
        <w:t>ляющие опеку лица прошли проверку на нуждаемость, а также что ребенок (дети) посещает (посещают) официально зарегистрированные детские учре</w:t>
      </w:r>
      <w:r>
        <w:t>ж</w:t>
      </w:r>
      <w:r>
        <w:t>дения. Для получения доступа к дотациям на оплату мероприятий продолж</w:t>
      </w:r>
      <w:r>
        <w:t>и</w:t>
      </w:r>
      <w:r>
        <w:t>тельностью свыше девяти часов осуществляющее опеку лицо должно иметь работу, учиться или проходить профессиональную подготовку в зарегистрир</w:t>
      </w:r>
      <w:r>
        <w:t>о</w:t>
      </w:r>
      <w:r>
        <w:t>ванном учебном заведении, иметь детей-инвалидов или детей, страдающих т</w:t>
      </w:r>
      <w:r>
        <w:t>я</w:t>
      </w:r>
      <w:r>
        <w:t>желым заболеванием, или самому иметь инвалидность или страдать тяжелым заболеван</w:t>
      </w:r>
      <w:r>
        <w:t>и</w:t>
      </w:r>
      <w:r>
        <w:t>ем.</w:t>
      </w:r>
    </w:p>
    <w:p w:rsidR="00000000" w:rsidRDefault="00000000">
      <w:pPr>
        <w:pStyle w:val="SingleTxt"/>
      </w:pPr>
      <w:r>
        <w:t>С февраля 2001 года количество часов в неделю, субсидируемых для р</w:t>
      </w:r>
      <w:r>
        <w:t>а</w:t>
      </w:r>
      <w:r>
        <w:t>ботающих или обучающихся родителей, было увеличено с 30 до 37. На чет</w:t>
      </w:r>
      <w:r>
        <w:t>ы</w:t>
      </w:r>
      <w:r>
        <w:t>рехлетний период из бюджета 2002 года на субсидирование ухода за детьми было дополнительно ассигновано 4,333 мил. долл. США с учетом предпол</w:t>
      </w:r>
      <w:r>
        <w:t>а</w:t>
      </w:r>
      <w:r>
        <w:t>гаемого увеличения количества пользующихся системой ВУД малоимущих лиц, которые получили доступ к такой дот</w:t>
      </w:r>
      <w:r>
        <w:t>а</w:t>
      </w:r>
      <w:r>
        <w:t>ции.</w:t>
      </w:r>
    </w:p>
    <w:p w:rsidR="00000000" w:rsidRDefault="00000000">
      <w:pPr>
        <w:pStyle w:val="SingleTxt"/>
      </w:pPr>
      <w:r>
        <w:t>В настоящее время проводится работа с целью расширить доступ к учр</w:t>
      </w:r>
      <w:r>
        <w:t>е</w:t>
      </w:r>
      <w:r>
        <w:t>ждениям по уходу за детьми. Сюда может включаться увеличение оплачива</w:t>
      </w:r>
      <w:r>
        <w:t>е</w:t>
      </w:r>
      <w:r>
        <w:t>мых ч</w:t>
      </w:r>
      <w:r>
        <w:t>а</w:t>
      </w:r>
      <w:r>
        <w:t>сов и пересмотр размера дотации на уход за детьми или ВУД.</w:t>
      </w:r>
    </w:p>
    <w:p w:rsidR="00000000" w:rsidRDefault="00000000">
      <w:pPr>
        <w:pStyle w:val="H4"/>
      </w:pPr>
      <w:r>
        <w:t>Внешкольный уход за детьми (ВУД)</w:t>
      </w:r>
    </w:p>
    <w:p w:rsidR="00000000" w:rsidRDefault="00000000">
      <w:pPr>
        <w:pStyle w:val="SingleTxt"/>
      </w:pPr>
      <w:r>
        <w:t>Правительство поддерживает создание программ ВУД с 1996 года. В 1996 и 1997 годах действовала экспериментальная Программа содействия ра</w:t>
      </w:r>
      <w:r>
        <w:t>з</w:t>
      </w:r>
      <w:r>
        <w:t>витию детей, а последующая Программа финансирования ВУД в целях соде</w:t>
      </w:r>
      <w:r>
        <w:t>й</w:t>
      </w:r>
      <w:r>
        <w:t>ствия развитию детей осуществлялась с 1999 года по 2001 год. Финансиров</w:t>
      </w:r>
      <w:r>
        <w:t>а</w:t>
      </w:r>
      <w:r>
        <w:t>ние из бюджета 2001 года было распространено на некоторые учреждения, н</w:t>
      </w:r>
      <w:r>
        <w:t>а</w:t>
      </w:r>
      <w:r>
        <w:t>ходящиеся под угрозой закрытия. Оба проекта выделяли безвозмездные субс</w:t>
      </w:r>
      <w:r>
        <w:t>и</w:t>
      </w:r>
      <w:r>
        <w:t>дии на осуществление новых программ ВУД в районах, где проживало насел</w:t>
      </w:r>
      <w:r>
        <w:t>е</w:t>
      </w:r>
      <w:r>
        <w:t>ние с низкими доходами. В рамках упомянутого последним проекта всем 97 программам на двухлетний период было выделено по 20 тыс. долл. США, чтобы помочь им встать на ноги. Планировалось, что после этого периода они станут самостоятельными, а поэтому 30 июня 2001 года этот проект прекратил существование. На программы, которым, по оценкам, в 2001-2002 годах гроз</w:t>
      </w:r>
      <w:r>
        <w:t>и</w:t>
      </w:r>
      <w:r>
        <w:t>ло закрытие, было выделено дополнительно 360 000 долл. США. Из бюджета 2002 года на следующий четырехлетний период на внешкольный уход за дет</w:t>
      </w:r>
      <w:r>
        <w:t>ь</w:t>
      </w:r>
      <w:r>
        <w:t>ми было ассигновано 36,592 мил. долл. США, причем 29,84 мил. долл. США было выделено непосредственно службам ВУД. Оценка финансирования ВУД в целях содействия развитию детей показала, что многие программы ВУД борю</w:t>
      </w:r>
      <w:r>
        <w:t>т</w:t>
      </w:r>
      <w:r>
        <w:t>ся за финансовую выживаемость, опираясь только на плату родителей. Многие учреждения полагаются на добровольцев и на внешние источники финансир</w:t>
      </w:r>
      <w:r>
        <w:t>о</w:t>
      </w:r>
      <w:r>
        <w:t>вания. В настоящее время проводится работа, чтобы определить наилучшие п</w:t>
      </w:r>
      <w:r>
        <w:t>у</w:t>
      </w:r>
      <w:r>
        <w:t>ти обеспеч</w:t>
      </w:r>
      <w:r>
        <w:t>е</w:t>
      </w:r>
      <w:r>
        <w:t>ния необходимого финансирования программ ВУД.</w:t>
      </w:r>
    </w:p>
    <w:p w:rsidR="00000000" w:rsidRDefault="00000000">
      <w:pPr>
        <w:pStyle w:val="H23"/>
      </w:pPr>
      <w:r>
        <w:t>Сбалансированное сочетание трудовой деятельности и семейной жизни</w:t>
      </w:r>
    </w:p>
    <w:p w:rsidR="00000000" w:rsidRDefault="00000000">
      <w:pPr>
        <w:pStyle w:val="SingleTxt"/>
      </w:pPr>
      <w:r>
        <w:t>В рамках своей программы «Трудовые перспективы» министерство труда реализует двухэтапную программу, нацеленную на решение проблемы сбала</w:t>
      </w:r>
      <w:r>
        <w:t>н</w:t>
      </w:r>
      <w:r>
        <w:t>сированного соотношения между трудовой деятельностью и семейной жизнью. В краткосрочной перспективе министерство готовит информационный проект, который будет содержать вводную информацию о сбалансированном сочетании трудовой деятельности и семейной жизни, связанных с этим типовых преим</w:t>
      </w:r>
      <w:r>
        <w:t>у</w:t>
      </w:r>
      <w:r>
        <w:t>ществах и расходах, условиях, о которых можно договориться, а также об имеющихся ресурсах. Предполагается, что реализация этого проекта начнется в октябре 2002 года через вебстраницу «Трудовые перспективы». В средн</w:t>
      </w:r>
      <w:r>
        <w:t>е</w:t>
      </w:r>
      <w:r>
        <w:t>срочной перспективе министерство предлагает план исследования, которое о</w:t>
      </w:r>
      <w:r>
        <w:t>х</w:t>
      </w:r>
      <w:r>
        <w:t>ватывает изучение проблематики сбалансированного сочетания трудовой де</w:t>
      </w:r>
      <w:r>
        <w:t>я</w:t>
      </w:r>
      <w:r>
        <w:t>тельности и семейной жизни с учетом интересов работодателей и работников. Это исследование позволило бы лучше информировать обе эти группы, пол</w:t>
      </w:r>
      <w:r>
        <w:t>у</w:t>
      </w:r>
      <w:r>
        <w:t>чить больше важной и целевой информации о сбалансированном сочетании трудовой деятельности и семейной жизни и глубже понять соответствующие проблемы для проведения целенаправленной государственной полит</w:t>
      </w:r>
      <w:r>
        <w:t>и</w:t>
      </w:r>
      <w:r>
        <w:t>ки.</w:t>
      </w:r>
    </w:p>
    <w:p w:rsidR="00000000" w:rsidRDefault="00000000">
      <w:pPr>
        <w:pStyle w:val="SingleTxt"/>
      </w:pPr>
      <w:r>
        <w:t>В законопроекте о социальном обеспечении (ЗСЗ) («Способствуя обесп</w:t>
      </w:r>
      <w:r>
        <w:t>е</w:t>
      </w:r>
      <w:r>
        <w:t>чению занятости»), который будет рассмотрен парламентом в конце 2002 года, в качестве одной из его целей предусматривается сделать упор на развитие способностей и обеспечение возможностей для соответствующего доступа. Речь здесь идет о профессиональном обучении и образовании, общественной и общинной деятельности и оплачиваемой работе, насколько это позволяют с</w:t>
      </w:r>
      <w:r>
        <w:t>е</w:t>
      </w:r>
      <w:r>
        <w:t>мейные обязанности.</w:t>
      </w:r>
    </w:p>
    <w:p w:rsidR="00000000" w:rsidRDefault="00000000">
      <w:pPr>
        <w:pStyle w:val="H23"/>
      </w:pPr>
      <w:r>
        <w:t>Современное профессиональное обучение</w:t>
      </w:r>
    </w:p>
    <w:p w:rsidR="00000000" w:rsidRDefault="00000000">
      <w:pPr>
        <w:pStyle w:val="SingleTxt"/>
      </w:pPr>
      <w:r>
        <w:t>Агентство профессионального обучения Новой Зеландии финансирует Систему координаторов современного профессионального обучения, чтобы с</w:t>
      </w:r>
      <w:r>
        <w:t>о</w:t>
      </w:r>
      <w:r>
        <w:t>действовать молодым людям (в возрасте 16-21 лет) в получении специальности и поддержать новых учеников и их работодателей во время обучения. Молодых людей не только обучают специальности, но и вселяют в них уверенность в собственных силах и оказывают всяческую поддержку. Такое наставничество уменьшает затраты и риск работодателей, связанные с обучением молодых учеников, и содействует увеличению количества молодых людей, получающих доступ к профессиональному обучению. Это имеет большое значение для женщин, обучающихся не традиционным для них профессиям.</w:t>
      </w:r>
    </w:p>
    <w:p w:rsidR="00000000" w:rsidRDefault="00000000">
      <w:pPr>
        <w:pStyle w:val="SingleTxt"/>
      </w:pPr>
      <w:r>
        <w:t>Координаторы современного профессионального обучения должны «о</w:t>
      </w:r>
      <w:r>
        <w:t>б</w:t>
      </w:r>
      <w:r>
        <w:t>ращать особое внимание на потребности маори, жителей тихоокеанских остр</w:t>
      </w:r>
      <w:r>
        <w:t>о</w:t>
      </w:r>
      <w:r>
        <w:t>вов, инвалидов и женщин» (Закон о современном профессиональном обуч</w:t>
      </w:r>
      <w:r>
        <w:t>е</w:t>
      </w:r>
      <w:r>
        <w:t>нии). Поскольку участие женщин в этой программе невелико (по состоянию на 30 июня 2002 года их доля составила 5% от всего количества участников), упор в настоящее время делается на развитие этой программы. В будущем усилия будут направлены на расширение участия таких групп, как женщины, маори и жит</w:t>
      </w:r>
      <w:r>
        <w:t>е</w:t>
      </w:r>
      <w:r>
        <w:t>ли тихоокеанских островов.</w:t>
      </w:r>
    </w:p>
    <w:p w:rsidR="00000000" w:rsidRDefault="00000000">
      <w:pPr>
        <w:pStyle w:val="SingleTxt"/>
        <w:ind w:firstLine="0"/>
        <w:jc w:val="left"/>
        <w:rPr>
          <w:b/>
        </w:rPr>
      </w:pPr>
      <w:r>
        <w:rPr>
          <w:b/>
        </w:rPr>
        <w:t xml:space="preserve">Система современного профессионального обучения по состоянию </w:t>
      </w:r>
      <w:r>
        <w:rPr>
          <w:b/>
        </w:rPr>
        <w:br/>
        <w:t>на 31 июня 2002 года в разбивке по э</w:t>
      </w:r>
      <w:r>
        <w:rPr>
          <w:b/>
        </w:rPr>
        <w:t>т</w:t>
      </w:r>
      <w:r>
        <w:rPr>
          <w:b/>
        </w:rPr>
        <w:t>нической принадлежности и полу</w:t>
      </w:r>
    </w:p>
    <w:tbl>
      <w:tblPr>
        <w:tblW w:w="0" w:type="auto"/>
        <w:tblInd w:w="1278" w:type="dxa"/>
        <w:tblLayout w:type="fixed"/>
        <w:tblLook w:val="0000" w:firstRow="0" w:lastRow="0" w:firstColumn="0" w:lastColumn="0" w:noHBand="0" w:noVBand="0"/>
      </w:tblPr>
      <w:tblGrid>
        <w:gridCol w:w="1843"/>
        <w:gridCol w:w="1276"/>
        <w:gridCol w:w="567"/>
        <w:gridCol w:w="1275"/>
        <w:gridCol w:w="567"/>
        <w:gridCol w:w="1276"/>
        <w:gridCol w:w="567"/>
      </w:tblGrid>
      <w:tr w:rsidR="00000000">
        <w:tblPrEx>
          <w:tblCellMar>
            <w:top w:w="0" w:type="dxa"/>
            <w:bottom w:w="0" w:type="dxa"/>
          </w:tblCellMar>
        </w:tblPrEx>
        <w:tc>
          <w:tcPr>
            <w:tcW w:w="1843" w:type="dxa"/>
            <w:tcBorders>
              <w:top w:val="single" w:sz="6" w:space="0" w:color="auto"/>
              <w:bottom w:val="single" w:sz="12" w:space="0" w:color="auto"/>
            </w:tcBorders>
          </w:tcPr>
          <w:p w:rsidR="00000000" w:rsidRDefault="00000000">
            <w:pPr>
              <w:spacing w:before="40" w:after="40" w:line="180" w:lineRule="exact"/>
              <w:rPr>
                <w:sz w:val="17"/>
              </w:rPr>
            </w:pPr>
          </w:p>
        </w:tc>
        <w:tc>
          <w:tcPr>
            <w:tcW w:w="1276" w:type="dxa"/>
            <w:tcBorders>
              <w:top w:val="single" w:sz="6" w:space="0" w:color="auto"/>
              <w:bottom w:val="single" w:sz="12" w:space="0" w:color="auto"/>
            </w:tcBorders>
            <w:vAlign w:val="center"/>
          </w:tcPr>
          <w:p w:rsidR="00000000" w:rsidRDefault="00000000">
            <w:pPr>
              <w:spacing w:before="40" w:after="40" w:line="180" w:lineRule="exact"/>
              <w:jc w:val="center"/>
              <w:rPr>
                <w:i/>
                <w:sz w:val="17"/>
              </w:rPr>
            </w:pPr>
            <w:r>
              <w:rPr>
                <w:i/>
                <w:sz w:val="17"/>
              </w:rPr>
              <w:t xml:space="preserve">Мужчины </w:t>
            </w:r>
            <w:r>
              <w:rPr>
                <w:i/>
                <w:sz w:val="17"/>
              </w:rPr>
              <w:br/>
              <w:t>(кол-во)</w:t>
            </w:r>
          </w:p>
        </w:tc>
        <w:tc>
          <w:tcPr>
            <w:tcW w:w="567" w:type="dxa"/>
            <w:tcBorders>
              <w:top w:val="single" w:sz="6" w:space="0" w:color="auto"/>
              <w:bottom w:val="single" w:sz="12" w:space="0" w:color="auto"/>
            </w:tcBorders>
            <w:vAlign w:val="center"/>
          </w:tcPr>
          <w:p w:rsidR="00000000" w:rsidRDefault="00000000">
            <w:pPr>
              <w:pStyle w:val="FootnoteText"/>
              <w:widowControl/>
              <w:spacing w:before="40" w:after="40" w:line="180" w:lineRule="exact"/>
              <w:ind w:left="0" w:right="0" w:firstLine="0"/>
              <w:jc w:val="center"/>
              <w:rPr>
                <w:i/>
              </w:rPr>
            </w:pPr>
            <w:r>
              <w:rPr>
                <w:i/>
              </w:rPr>
              <w:t>(%)</w:t>
            </w:r>
          </w:p>
        </w:tc>
        <w:tc>
          <w:tcPr>
            <w:tcW w:w="1275" w:type="dxa"/>
            <w:tcBorders>
              <w:top w:val="single" w:sz="6" w:space="0" w:color="auto"/>
              <w:bottom w:val="single" w:sz="12" w:space="0" w:color="auto"/>
            </w:tcBorders>
            <w:vAlign w:val="center"/>
          </w:tcPr>
          <w:p w:rsidR="00000000" w:rsidRDefault="00000000">
            <w:pPr>
              <w:pStyle w:val="FootnoteText"/>
              <w:widowControl/>
              <w:spacing w:before="40" w:after="40" w:line="180" w:lineRule="exact"/>
              <w:ind w:left="0" w:right="0" w:firstLine="0"/>
              <w:jc w:val="center"/>
              <w:rPr>
                <w:i/>
              </w:rPr>
            </w:pPr>
            <w:r>
              <w:rPr>
                <w:i/>
              </w:rPr>
              <w:t xml:space="preserve">Женщины </w:t>
            </w:r>
            <w:r>
              <w:rPr>
                <w:i/>
              </w:rPr>
              <w:br/>
              <w:t>(кол-во)</w:t>
            </w:r>
          </w:p>
        </w:tc>
        <w:tc>
          <w:tcPr>
            <w:tcW w:w="567" w:type="dxa"/>
            <w:tcBorders>
              <w:top w:val="single" w:sz="6" w:space="0" w:color="auto"/>
              <w:bottom w:val="single" w:sz="12" w:space="0" w:color="auto"/>
            </w:tcBorders>
            <w:vAlign w:val="center"/>
          </w:tcPr>
          <w:p w:rsidR="00000000" w:rsidRDefault="00000000">
            <w:pPr>
              <w:spacing w:before="40" w:after="40" w:line="180" w:lineRule="exact"/>
              <w:jc w:val="center"/>
              <w:rPr>
                <w:i/>
                <w:sz w:val="17"/>
              </w:rPr>
            </w:pPr>
            <w:r>
              <w:rPr>
                <w:i/>
                <w:sz w:val="17"/>
              </w:rPr>
              <w:t>(%)</w:t>
            </w:r>
          </w:p>
        </w:tc>
        <w:tc>
          <w:tcPr>
            <w:tcW w:w="1276" w:type="dxa"/>
            <w:tcBorders>
              <w:top w:val="single" w:sz="6" w:space="0" w:color="auto"/>
              <w:bottom w:val="single" w:sz="12" w:space="0" w:color="auto"/>
            </w:tcBorders>
            <w:vAlign w:val="center"/>
          </w:tcPr>
          <w:p w:rsidR="00000000" w:rsidRDefault="00000000">
            <w:pPr>
              <w:spacing w:before="40" w:after="40" w:line="180" w:lineRule="exact"/>
              <w:jc w:val="center"/>
              <w:rPr>
                <w:i/>
                <w:sz w:val="17"/>
              </w:rPr>
            </w:pPr>
            <w:r>
              <w:rPr>
                <w:i/>
                <w:sz w:val="17"/>
              </w:rPr>
              <w:t xml:space="preserve">Всего </w:t>
            </w:r>
            <w:r>
              <w:rPr>
                <w:i/>
                <w:sz w:val="17"/>
              </w:rPr>
              <w:br/>
              <w:t>(кол-во)</w:t>
            </w:r>
          </w:p>
        </w:tc>
        <w:tc>
          <w:tcPr>
            <w:tcW w:w="567" w:type="dxa"/>
            <w:tcBorders>
              <w:top w:val="single" w:sz="6" w:space="0" w:color="auto"/>
              <w:bottom w:val="single" w:sz="12" w:space="0" w:color="auto"/>
            </w:tcBorders>
            <w:vAlign w:val="center"/>
          </w:tcPr>
          <w:p w:rsidR="00000000" w:rsidRDefault="00000000">
            <w:pPr>
              <w:spacing w:before="40" w:after="40" w:line="180" w:lineRule="exact"/>
              <w:jc w:val="center"/>
              <w:rPr>
                <w:i/>
                <w:sz w:val="17"/>
              </w:rPr>
            </w:pPr>
            <w:r>
              <w:rPr>
                <w:i/>
                <w:sz w:val="17"/>
              </w:rPr>
              <w:t>(%)</w:t>
            </w:r>
          </w:p>
        </w:tc>
      </w:tr>
      <w:tr w:rsidR="00000000">
        <w:tblPrEx>
          <w:tblCellMar>
            <w:top w:w="0" w:type="dxa"/>
            <w:bottom w:w="0" w:type="dxa"/>
          </w:tblCellMar>
        </w:tblPrEx>
        <w:trPr>
          <w:trHeight w:val="305"/>
        </w:trPr>
        <w:tc>
          <w:tcPr>
            <w:tcW w:w="1843" w:type="dxa"/>
            <w:tcBorders>
              <w:top w:val="single" w:sz="12" w:space="0" w:color="auto"/>
            </w:tcBorders>
          </w:tcPr>
          <w:p w:rsidR="00000000" w:rsidRDefault="00000000">
            <w:pPr>
              <w:pStyle w:val="FootnoteText"/>
              <w:widowControl/>
              <w:spacing w:before="40" w:after="40" w:line="180" w:lineRule="exact"/>
              <w:ind w:left="0" w:right="0" w:firstLine="0"/>
              <w:jc w:val="left"/>
            </w:pPr>
            <w:r>
              <w:t>Европе</w:t>
            </w:r>
            <w:r>
              <w:t>й</w:t>
            </w:r>
            <w:r>
              <w:t>цы/Пак еха</w:t>
            </w:r>
          </w:p>
        </w:tc>
        <w:tc>
          <w:tcPr>
            <w:tcW w:w="1276" w:type="dxa"/>
            <w:tcBorders>
              <w:top w:val="single" w:sz="12" w:space="0" w:color="auto"/>
            </w:tcBorders>
          </w:tcPr>
          <w:p w:rsidR="00000000" w:rsidRDefault="00000000">
            <w:pPr>
              <w:pStyle w:val="Header"/>
              <w:tabs>
                <w:tab w:val="clear" w:pos="4320"/>
                <w:tab w:val="clear" w:pos="8640"/>
                <w:tab w:val="decimal" w:pos="742"/>
              </w:tabs>
              <w:spacing w:before="40" w:after="40" w:line="180" w:lineRule="exact"/>
              <w:rPr>
                <w:noProof w:val="0"/>
                <w:spacing w:val="4"/>
                <w:w w:val="103"/>
                <w:kern w:val="14"/>
              </w:rPr>
            </w:pPr>
            <w:r>
              <w:rPr>
                <w:noProof w:val="0"/>
                <w:spacing w:val="4"/>
                <w:w w:val="103"/>
                <w:kern w:val="14"/>
              </w:rPr>
              <w:t>2457</w:t>
            </w:r>
          </w:p>
        </w:tc>
        <w:tc>
          <w:tcPr>
            <w:tcW w:w="567" w:type="dxa"/>
            <w:tcBorders>
              <w:top w:val="single" w:sz="12" w:space="0" w:color="auto"/>
            </w:tcBorders>
          </w:tcPr>
          <w:p w:rsidR="00000000" w:rsidRDefault="00000000">
            <w:pPr>
              <w:tabs>
                <w:tab w:val="decimal" w:pos="567"/>
              </w:tabs>
              <w:spacing w:before="40" w:after="40" w:line="180" w:lineRule="exact"/>
              <w:rPr>
                <w:sz w:val="17"/>
              </w:rPr>
            </w:pPr>
          </w:p>
        </w:tc>
        <w:tc>
          <w:tcPr>
            <w:tcW w:w="1275" w:type="dxa"/>
            <w:tcBorders>
              <w:top w:val="single" w:sz="12" w:space="0" w:color="auto"/>
            </w:tcBorders>
          </w:tcPr>
          <w:p w:rsidR="00000000" w:rsidRDefault="00000000">
            <w:pPr>
              <w:pStyle w:val="Header"/>
              <w:tabs>
                <w:tab w:val="clear" w:pos="4320"/>
                <w:tab w:val="clear" w:pos="8640"/>
                <w:tab w:val="decimal" w:pos="742"/>
              </w:tabs>
              <w:spacing w:before="40" w:after="40" w:line="180" w:lineRule="exact"/>
              <w:rPr>
                <w:noProof w:val="0"/>
                <w:spacing w:val="4"/>
                <w:w w:val="103"/>
                <w:kern w:val="14"/>
              </w:rPr>
            </w:pPr>
            <w:r>
              <w:rPr>
                <w:noProof w:val="0"/>
                <w:spacing w:val="4"/>
                <w:w w:val="103"/>
                <w:kern w:val="14"/>
              </w:rPr>
              <w:t>109</w:t>
            </w:r>
          </w:p>
        </w:tc>
        <w:tc>
          <w:tcPr>
            <w:tcW w:w="567" w:type="dxa"/>
            <w:tcBorders>
              <w:top w:val="single" w:sz="12" w:space="0" w:color="auto"/>
            </w:tcBorders>
          </w:tcPr>
          <w:p w:rsidR="00000000" w:rsidRDefault="00000000">
            <w:pPr>
              <w:tabs>
                <w:tab w:val="decimal" w:pos="567"/>
              </w:tabs>
              <w:spacing w:before="40" w:after="40" w:line="180" w:lineRule="exact"/>
              <w:rPr>
                <w:sz w:val="17"/>
              </w:rPr>
            </w:pPr>
          </w:p>
        </w:tc>
        <w:tc>
          <w:tcPr>
            <w:tcW w:w="1276" w:type="dxa"/>
            <w:tcBorders>
              <w:top w:val="single" w:sz="12" w:space="0" w:color="auto"/>
            </w:tcBorders>
          </w:tcPr>
          <w:p w:rsidR="00000000" w:rsidRDefault="00000000">
            <w:pPr>
              <w:pStyle w:val="Header"/>
              <w:tabs>
                <w:tab w:val="clear" w:pos="4320"/>
                <w:tab w:val="clear" w:pos="8640"/>
                <w:tab w:val="decimal" w:pos="743"/>
              </w:tabs>
              <w:spacing w:before="40" w:after="40" w:line="180" w:lineRule="exact"/>
              <w:rPr>
                <w:noProof w:val="0"/>
                <w:spacing w:val="4"/>
                <w:w w:val="103"/>
                <w:kern w:val="14"/>
              </w:rPr>
            </w:pPr>
            <w:r>
              <w:rPr>
                <w:noProof w:val="0"/>
                <w:spacing w:val="4"/>
                <w:w w:val="103"/>
                <w:kern w:val="14"/>
              </w:rPr>
              <w:t>2566</w:t>
            </w:r>
          </w:p>
        </w:tc>
        <w:tc>
          <w:tcPr>
            <w:tcW w:w="567" w:type="dxa"/>
            <w:tcBorders>
              <w:top w:val="single" w:sz="12" w:space="0" w:color="auto"/>
            </w:tcBorders>
          </w:tcPr>
          <w:p w:rsidR="00000000" w:rsidRDefault="00000000">
            <w:pPr>
              <w:pStyle w:val="Header"/>
              <w:tabs>
                <w:tab w:val="clear" w:pos="4320"/>
                <w:tab w:val="clear" w:pos="8640"/>
                <w:tab w:val="decimal" w:pos="176"/>
              </w:tabs>
              <w:spacing w:before="40" w:after="40" w:line="180" w:lineRule="exact"/>
              <w:rPr>
                <w:noProof w:val="0"/>
                <w:spacing w:val="4"/>
                <w:w w:val="103"/>
                <w:kern w:val="14"/>
              </w:rPr>
            </w:pPr>
            <w:r>
              <w:rPr>
                <w:noProof w:val="0"/>
                <w:spacing w:val="4"/>
                <w:w w:val="103"/>
                <w:kern w:val="14"/>
              </w:rPr>
              <w:t>79</w:t>
            </w:r>
          </w:p>
        </w:tc>
      </w:tr>
      <w:tr w:rsidR="00000000">
        <w:tblPrEx>
          <w:tblCellMar>
            <w:top w:w="0" w:type="dxa"/>
            <w:bottom w:w="0" w:type="dxa"/>
          </w:tblCellMar>
        </w:tblPrEx>
        <w:tc>
          <w:tcPr>
            <w:tcW w:w="1843" w:type="dxa"/>
          </w:tcPr>
          <w:p w:rsidR="00000000" w:rsidRDefault="00000000">
            <w:pPr>
              <w:spacing w:before="40" w:after="40" w:line="180" w:lineRule="exact"/>
              <w:rPr>
                <w:sz w:val="17"/>
              </w:rPr>
            </w:pPr>
            <w:r>
              <w:rPr>
                <w:sz w:val="17"/>
              </w:rPr>
              <w:t>Ма</w:t>
            </w:r>
            <w:r>
              <w:rPr>
                <w:sz w:val="17"/>
              </w:rPr>
              <w:t>о</w:t>
            </w:r>
            <w:r>
              <w:rPr>
                <w:sz w:val="17"/>
              </w:rPr>
              <w:t>ри</w:t>
            </w:r>
          </w:p>
        </w:tc>
        <w:tc>
          <w:tcPr>
            <w:tcW w:w="1276" w:type="dxa"/>
          </w:tcPr>
          <w:p w:rsidR="00000000" w:rsidRDefault="00000000">
            <w:pPr>
              <w:tabs>
                <w:tab w:val="decimal" w:pos="742"/>
              </w:tabs>
              <w:spacing w:before="40" w:after="40" w:line="180" w:lineRule="exact"/>
              <w:rPr>
                <w:sz w:val="17"/>
              </w:rPr>
            </w:pPr>
            <w:r>
              <w:rPr>
                <w:sz w:val="17"/>
              </w:rPr>
              <w:t>494</w:t>
            </w:r>
          </w:p>
        </w:tc>
        <w:tc>
          <w:tcPr>
            <w:tcW w:w="567" w:type="dxa"/>
          </w:tcPr>
          <w:p w:rsidR="00000000" w:rsidRDefault="00000000">
            <w:pPr>
              <w:tabs>
                <w:tab w:val="decimal" w:pos="567"/>
              </w:tabs>
              <w:spacing w:before="40" w:after="40" w:line="180" w:lineRule="exact"/>
              <w:rPr>
                <w:sz w:val="17"/>
              </w:rPr>
            </w:pPr>
          </w:p>
        </w:tc>
        <w:tc>
          <w:tcPr>
            <w:tcW w:w="1275" w:type="dxa"/>
          </w:tcPr>
          <w:p w:rsidR="00000000" w:rsidRDefault="00000000">
            <w:pPr>
              <w:tabs>
                <w:tab w:val="decimal" w:pos="742"/>
              </w:tabs>
              <w:spacing w:before="40" w:after="40" w:line="180" w:lineRule="exact"/>
              <w:rPr>
                <w:sz w:val="17"/>
              </w:rPr>
            </w:pPr>
            <w:r>
              <w:rPr>
                <w:sz w:val="17"/>
              </w:rPr>
              <w:t>42</w:t>
            </w:r>
          </w:p>
        </w:tc>
        <w:tc>
          <w:tcPr>
            <w:tcW w:w="567" w:type="dxa"/>
          </w:tcPr>
          <w:p w:rsidR="00000000" w:rsidRDefault="00000000">
            <w:pPr>
              <w:tabs>
                <w:tab w:val="decimal" w:pos="567"/>
              </w:tabs>
              <w:spacing w:before="40" w:after="40" w:line="180" w:lineRule="exact"/>
              <w:rPr>
                <w:sz w:val="17"/>
              </w:rPr>
            </w:pPr>
          </w:p>
        </w:tc>
        <w:tc>
          <w:tcPr>
            <w:tcW w:w="1276" w:type="dxa"/>
          </w:tcPr>
          <w:p w:rsidR="00000000" w:rsidRDefault="00000000">
            <w:pPr>
              <w:tabs>
                <w:tab w:val="decimal" w:pos="743"/>
              </w:tabs>
              <w:spacing w:before="40" w:after="40" w:line="180" w:lineRule="exact"/>
              <w:rPr>
                <w:sz w:val="17"/>
              </w:rPr>
            </w:pPr>
            <w:r>
              <w:rPr>
                <w:sz w:val="17"/>
              </w:rPr>
              <w:t>536</w:t>
            </w:r>
          </w:p>
        </w:tc>
        <w:tc>
          <w:tcPr>
            <w:tcW w:w="567" w:type="dxa"/>
          </w:tcPr>
          <w:p w:rsidR="00000000" w:rsidRDefault="00000000">
            <w:pPr>
              <w:tabs>
                <w:tab w:val="decimal" w:pos="176"/>
              </w:tabs>
              <w:spacing w:before="40" w:after="40" w:line="180" w:lineRule="exact"/>
              <w:rPr>
                <w:sz w:val="17"/>
              </w:rPr>
            </w:pPr>
            <w:r>
              <w:rPr>
                <w:sz w:val="17"/>
              </w:rPr>
              <w:t>16</w:t>
            </w:r>
          </w:p>
        </w:tc>
      </w:tr>
      <w:tr w:rsidR="00000000">
        <w:tblPrEx>
          <w:tblCellMar>
            <w:top w:w="0" w:type="dxa"/>
            <w:bottom w:w="0" w:type="dxa"/>
          </w:tblCellMar>
        </w:tblPrEx>
        <w:tc>
          <w:tcPr>
            <w:tcW w:w="1843" w:type="dxa"/>
          </w:tcPr>
          <w:p w:rsidR="00000000" w:rsidRDefault="00000000">
            <w:pPr>
              <w:spacing w:before="40" w:after="40" w:line="180" w:lineRule="exact"/>
              <w:rPr>
                <w:sz w:val="17"/>
              </w:rPr>
            </w:pPr>
            <w:r>
              <w:rPr>
                <w:sz w:val="17"/>
              </w:rPr>
              <w:t>Жители тихоокеа</w:t>
            </w:r>
            <w:r>
              <w:rPr>
                <w:sz w:val="17"/>
              </w:rPr>
              <w:t>н</w:t>
            </w:r>
            <w:r>
              <w:rPr>
                <w:sz w:val="17"/>
              </w:rPr>
              <w:t>ских ос</w:t>
            </w:r>
            <w:r>
              <w:rPr>
                <w:sz w:val="17"/>
              </w:rPr>
              <w:t>т</w:t>
            </w:r>
            <w:r>
              <w:rPr>
                <w:sz w:val="17"/>
              </w:rPr>
              <w:t xml:space="preserve">ровов </w:t>
            </w:r>
          </w:p>
        </w:tc>
        <w:tc>
          <w:tcPr>
            <w:tcW w:w="1276" w:type="dxa"/>
          </w:tcPr>
          <w:p w:rsidR="00000000" w:rsidRDefault="00000000">
            <w:pPr>
              <w:tabs>
                <w:tab w:val="decimal" w:pos="742"/>
              </w:tabs>
              <w:spacing w:before="40" w:after="40" w:line="180" w:lineRule="exact"/>
              <w:rPr>
                <w:sz w:val="17"/>
              </w:rPr>
            </w:pPr>
            <w:r>
              <w:rPr>
                <w:sz w:val="17"/>
              </w:rPr>
              <w:t>48</w:t>
            </w:r>
          </w:p>
        </w:tc>
        <w:tc>
          <w:tcPr>
            <w:tcW w:w="567" w:type="dxa"/>
          </w:tcPr>
          <w:p w:rsidR="00000000" w:rsidRDefault="00000000">
            <w:pPr>
              <w:tabs>
                <w:tab w:val="decimal" w:pos="567"/>
              </w:tabs>
              <w:spacing w:before="40" w:after="40" w:line="180" w:lineRule="exact"/>
              <w:rPr>
                <w:sz w:val="17"/>
              </w:rPr>
            </w:pPr>
          </w:p>
        </w:tc>
        <w:tc>
          <w:tcPr>
            <w:tcW w:w="1275" w:type="dxa"/>
          </w:tcPr>
          <w:p w:rsidR="00000000" w:rsidRDefault="00000000">
            <w:pPr>
              <w:tabs>
                <w:tab w:val="decimal" w:pos="742"/>
              </w:tabs>
              <w:spacing w:before="40" w:after="40" w:line="180" w:lineRule="exact"/>
              <w:rPr>
                <w:sz w:val="17"/>
              </w:rPr>
            </w:pPr>
            <w:r>
              <w:rPr>
                <w:sz w:val="17"/>
              </w:rPr>
              <w:t>17</w:t>
            </w:r>
          </w:p>
        </w:tc>
        <w:tc>
          <w:tcPr>
            <w:tcW w:w="567" w:type="dxa"/>
          </w:tcPr>
          <w:p w:rsidR="00000000" w:rsidRDefault="00000000">
            <w:pPr>
              <w:tabs>
                <w:tab w:val="decimal" w:pos="567"/>
              </w:tabs>
              <w:spacing w:before="40" w:after="40" w:line="180" w:lineRule="exact"/>
              <w:rPr>
                <w:sz w:val="17"/>
              </w:rPr>
            </w:pPr>
          </w:p>
        </w:tc>
        <w:tc>
          <w:tcPr>
            <w:tcW w:w="1276" w:type="dxa"/>
          </w:tcPr>
          <w:p w:rsidR="00000000" w:rsidRDefault="00000000">
            <w:pPr>
              <w:tabs>
                <w:tab w:val="decimal" w:pos="743"/>
              </w:tabs>
              <w:spacing w:before="40" w:after="40" w:line="180" w:lineRule="exact"/>
              <w:rPr>
                <w:sz w:val="17"/>
              </w:rPr>
            </w:pPr>
            <w:r>
              <w:rPr>
                <w:sz w:val="17"/>
              </w:rPr>
              <w:t>65</w:t>
            </w:r>
          </w:p>
        </w:tc>
        <w:tc>
          <w:tcPr>
            <w:tcW w:w="567" w:type="dxa"/>
          </w:tcPr>
          <w:p w:rsidR="00000000" w:rsidRDefault="00000000">
            <w:pPr>
              <w:tabs>
                <w:tab w:val="decimal" w:pos="176"/>
              </w:tabs>
              <w:spacing w:before="40" w:after="40" w:line="180" w:lineRule="exact"/>
              <w:rPr>
                <w:sz w:val="17"/>
              </w:rPr>
            </w:pPr>
            <w:r>
              <w:rPr>
                <w:sz w:val="17"/>
              </w:rPr>
              <w:t>2</w:t>
            </w:r>
          </w:p>
        </w:tc>
      </w:tr>
      <w:tr w:rsidR="00000000">
        <w:tblPrEx>
          <w:tblCellMar>
            <w:top w:w="0" w:type="dxa"/>
            <w:bottom w:w="0" w:type="dxa"/>
          </w:tblCellMar>
        </w:tblPrEx>
        <w:tc>
          <w:tcPr>
            <w:tcW w:w="1843" w:type="dxa"/>
          </w:tcPr>
          <w:p w:rsidR="00000000" w:rsidRDefault="00000000">
            <w:pPr>
              <w:spacing w:before="40" w:after="40" w:line="180" w:lineRule="exact"/>
              <w:rPr>
                <w:sz w:val="17"/>
              </w:rPr>
            </w:pPr>
            <w:r>
              <w:rPr>
                <w:sz w:val="17"/>
              </w:rPr>
              <w:t>Пр</w:t>
            </w:r>
            <w:r>
              <w:rPr>
                <w:sz w:val="17"/>
              </w:rPr>
              <w:t>о</w:t>
            </w:r>
            <w:r>
              <w:rPr>
                <w:sz w:val="17"/>
              </w:rPr>
              <w:t>чие</w:t>
            </w:r>
          </w:p>
        </w:tc>
        <w:tc>
          <w:tcPr>
            <w:tcW w:w="1276" w:type="dxa"/>
          </w:tcPr>
          <w:p w:rsidR="00000000" w:rsidRDefault="00000000">
            <w:pPr>
              <w:pStyle w:val="FootnoteText"/>
              <w:widowControl/>
              <w:tabs>
                <w:tab w:val="clear" w:pos="418"/>
                <w:tab w:val="decimal" w:pos="742"/>
              </w:tabs>
              <w:spacing w:before="40" w:after="40" w:line="180" w:lineRule="exact"/>
              <w:ind w:left="0" w:right="0" w:firstLine="0"/>
              <w:jc w:val="left"/>
            </w:pPr>
            <w:r>
              <w:t>72</w:t>
            </w:r>
          </w:p>
        </w:tc>
        <w:tc>
          <w:tcPr>
            <w:tcW w:w="567" w:type="dxa"/>
          </w:tcPr>
          <w:p w:rsidR="00000000" w:rsidRDefault="00000000">
            <w:pPr>
              <w:tabs>
                <w:tab w:val="decimal" w:pos="567"/>
              </w:tabs>
              <w:spacing w:before="40" w:after="40" w:line="180" w:lineRule="exact"/>
              <w:rPr>
                <w:sz w:val="17"/>
              </w:rPr>
            </w:pPr>
          </w:p>
        </w:tc>
        <w:tc>
          <w:tcPr>
            <w:tcW w:w="1275" w:type="dxa"/>
          </w:tcPr>
          <w:p w:rsidR="00000000" w:rsidRDefault="00000000">
            <w:pPr>
              <w:tabs>
                <w:tab w:val="decimal" w:pos="742"/>
              </w:tabs>
              <w:spacing w:before="40" w:after="40" w:line="180" w:lineRule="exact"/>
              <w:rPr>
                <w:sz w:val="17"/>
              </w:rPr>
            </w:pPr>
            <w:r>
              <w:rPr>
                <w:sz w:val="17"/>
              </w:rPr>
              <w:t>4</w:t>
            </w:r>
          </w:p>
        </w:tc>
        <w:tc>
          <w:tcPr>
            <w:tcW w:w="567" w:type="dxa"/>
          </w:tcPr>
          <w:p w:rsidR="00000000" w:rsidRDefault="00000000">
            <w:pPr>
              <w:tabs>
                <w:tab w:val="decimal" w:pos="567"/>
              </w:tabs>
              <w:spacing w:before="40" w:after="40" w:line="180" w:lineRule="exact"/>
              <w:rPr>
                <w:sz w:val="17"/>
              </w:rPr>
            </w:pPr>
          </w:p>
        </w:tc>
        <w:tc>
          <w:tcPr>
            <w:tcW w:w="1276" w:type="dxa"/>
          </w:tcPr>
          <w:p w:rsidR="00000000" w:rsidRDefault="00000000">
            <w:pPr>
              <w:tabs>
                <w:tab w:val="decimal" w:pos="743"/>
              </w:tabs>
              <w:spacing w:before="40" w:after="40" w:line="180" w:lineRule="exact"/>
              <w:rPr>
                <w:sz w:val="17"/>
              </w:rPr>
            </w:pPr>
            <w:r>
              <w:rPr>
                <w:sz w:val="17"/>
              </w:rPr>
              <w:t>76</w:t>
            </w:r>
          </w:p>
        </w:tc>
        <w:tc>
          <w:tcPr>
            <w:tcW w:w="567" w:type="dxa"/>
          </w:tcPr>
          <w:p w:rsidR="00000000" w:rsidRDefault="00000000">
            <w:pPr>
              <w:tabs>
                <w:tab w:val="decimal" w:pos="176"/>
              </w:tabs>
              <w:spacing w:before="40" w:after="40" w:line="180" w:lineRule="exact"/>
              <w:rPr>
                <w:sz w:val="17"/>
              </w:rPr>
            </w:pPr>
            <w:r>
              <w:rPr>
                <w:sz w:val="17"/>
              </w:rPr>
              <w:t>2</w:t>
            </w:r>
          </w:p>
        </w:tc>
      </w:tr>
      <w:tr w:rsidR="00000000">
        <w:tblPrEx>
          <w:tblCellMar>
            <w:top w:w="0" w:type="dxa"/>
            <w:bottom w:w="0" w:type="dxa"/>
          </w:tblCellMar>
        </w:tblPrEx>
        <w:trPr>
          <w:trHeight w:val="350"/>
        </w:trPr>
        <w:tc>
          <w:tcPr>
            <w:tcW w:w="1843" w:type="dxa"/>
          </w:tcPr>
          <w:p w:rsidR="00000000" w:rsidRDefault="00000000">
            <w:pPr>
              <w:spacing w:before="40" w:after="40" w:line="180" w:lineRule="exact"/>
              <w:rPr>
                <w:sz w:val="17"/>
              </w:rPr>
            </w:pPr>
            <w:r>
              <w:rPr>
                <w:sz w:val="17"/>
              </w:rPr>
              <w:t>Не ук</w:t>
            </w:r>
            <w:r>
              <w:rPr>
                <w:sz w:val="17"/>
              </w:rPr>
              <w:t>а</w:t>
            </w:r>
            <w:r>
              <w:rPr>
                <w:sz w:val="17"/>
              </w:rPr>
              <w:t>зано</w:t>
            </w:r>
          </w:p>
        </w:tc>
        <w:tc>
          <w:tcPr>
            <w:tcW w:w="1276" w:type="dxa"/>
          </w:tcPr>
          <w:p w:rsidR="00000000" w:rsidRDefault="00000000">
            <w:pPr>
              <w:tabs>
                <w:tab w:val="decimal" w:pos="742"/>
              </w:tabs>
              <w:spacing w:before="40" w:after="40" w:line="180" w:lineRule="exact"/>
              <w:rPr>
                <w:sz w:val="17"/>
              </w:rPr>
            </w:pPr>
            <w:r>
              <w:rPr>
                <w:sz w:val="17"/>
              </w:rPr>
              <w:t>10</w:t>
            </w:r>
          </w:p>
        </w:tc>
        <w:tc>
          <w:tcPr>
            <w:tcW w:w="567" w:type="dxa"/>
          </w:tcPr>
          <w:p w:rsidR="00000000" w:rsidRDefault="00000000">
            <w:pPr>
              <w:tabs>
                <w:tab w:val="decimal" w:pos="567"/>
              </w:tabs>
              <w:spacing w:before="40" w:after="40" w:line="180" w:lineRule="exact"/>
              <w:rPr>
                <w:sz w:val="17"/>
              </w:rPr>
            </w:pPr>
          </w:p>
        </w:tc>
        <w:tc>
          <w:tcPr>
            <w:tcW w:w="1275" w:type="dxa"/>
          </w:tcPr>
          <w:p w:rsidR="00000000" w:rsidRDefault="00000000">
            <w:pPr>
              <w:tabs>
                <w:tab w:val="decimal" w:pos="742"/>
              </w:tabs>
              <w:spacing w:before="40" w:after="40" w:line="180" w:lineRule="exact"/>
              <w:rPr>
                <w:sz w:val="17"/>
              </w:rPr>
            </w:pPr>
            <w:r>
              <w:rPr>
                <w:sz w:val="17"/>
              </w:rPr>
              <w:t>1</w:t>
            </w:r>
          </w:p>
        </w:tc>
        <w:tc>
          <w:tcPr>
            <w:tcW w:w="567" w:type="dxa"/>
          </w:tcPr>
          <w:p w:rsidR="00000000" w:rsidRDefault="00000000">
            <w:pPr>
              <w:tabs>
                <w:tab w:val="decimal" w:pos="567"/>
              </w:tabs>
              <w:spacing w:before="40" w:after="40" w:line="180" w:lineRule="exact"/>
              <w:rPr>
                <w:sz w:val="17"/>
              </w:rPr>
            </w:pPr>
          </w:p>
        </w:tc>
        <w:tc>
          <w:tcPr>
            <w:tcW w:w="1276" w:type="dxa"/>
          </w:tcPr>
          <w:p w:rsidR="00000000" w:rsidRDefault="00000000">
            <w:pPr>
              <w:tabs>
                <w:tab w:val="decimal" w:pos="743"/>
              </w:tabs>
              <w:spacing w:before="40" w:after="40" w:line="180" w:lineRule="exact"/>
              <w:rPr>
                <w:sz w:val="17"/>
              </w:rPr>
            </w:pPr>
            <w:r>
              <w:rPr>
                <w:sz w:val="17"/>
              </w:rPr>
              <w:t>11</w:t>
            </w:r>
          </w:p>
        </w:tc>
        <w:tc>
          <w:tcPr>
            <w:tcW w:w="567" w:type="dxa"/>
          </w:tcPr>
          <w:p w:rsidR="00000000" w:rsidRDefault="00000000">
            <w:pPr>
              <w:tabs>
                <w:tab w:val="decimal" w:pos="176"/>
              </w:tabs>
              <w:spacing w:before="40" w:after="40" w:line="180" w:lineRule="exact"/>
              <w:rPr>
                <w:sz w:val="17"/>
              </w:rPr>
            </w:pPr>
            <w:r>
              <w:rPr>
                <w:sz w:val="17"/>
              </w:rPr>
              <w:t>0</w:t>
            </w:r>
          </w:p>
        </w:tc>
      </w:tr>
      <w:tr w:rsidR="00000000">
        <w:tblPrEx>
          <w:tblCellMar>
            <w:top w:w="0" w:type="dxa"/>
            <w:bottom w:w="0" w:type="dxa"/>
          </w:tblCellMar>
        </w:tblPrEx>
        <w:tc>
          <w:tcPr>
            <w:tcW w:w="1843" w:type="dxa"/>
            <w:tcBorders>
              <w:bottom w:val="single" w:sz="12" w:space="0" w:color="auto"/>
            </w:tcBorders>
          </w:tcPr>
          <w:p w:rsidR="00000000" w:rsidRDefault="00000000">
            <w:pPr>
              <w:spacing w:before="40" w:after="40" w:line="180" w:lineRule="exact"/>
              <w:rPr>
                <w:b/>
                <w:sz w:val="17"/>
              </w:rPr>
            </w:pPr>
            <w:r>
              <w:rPr>
                <w:b/>
                <w:sz w:val="17"/>
              </w:rPr>
              <w:t>Итого</w:t>
            </w:r>
          </w:p>
        </w:tc>
        <w:tc>
          <w:tcPr>
            <w:tcW w:w="1276" w:type="dxa"/>
            <w:tcBorders>
              <w:bottom w:val="single" w:sz="12" w:space="0" w:color="auto"/>
            </w:tcBorders>
          </w:tcPr>
          <w:p w:rsidR="00000000" w:rsidRDefault="00000000">
            <w:pPr>
              <w:tabs>
                <w:tab w:val="decimal" w:pos="742"/>
              </w:tabs>
              <w:spacing w:before="40" w:after="40" w:line="180" w:lineRule="exact"/>
              <w:rPr>
                <w:b/>
                <w:sz w:val="17"/>
              </w:rPr>
            </w:pPr>
            <w:r>
              <w:rPr>
                <w:b/>
                <w:sz w:val="17"/>
              </w:rPr>
              <w:t>3081</w:t>
            </w:r>
          </w:p>
        </w:tc>
        <w:tc>
          <w:tcPr>
            <w:tcW w:w="567" w:type="dxa"/>
            <w:tcBorders>
              <w:bottom w:val="single" w:sz="12" w:space="0" w:color="auto"/>
            </w:tcBorders>
          </w:tcPr>
          <w:p w:rsidR="00000000" w:rsidRDefault="00000000">
            <w:pPr>
              <w:tabs>
                <w:tab w:val="decimal" w:pos="567"/>
              </w:tabs>
              <w:spacing w:before="40" w:after="40" w:line="180" w:lineRule="exact"/>
              <w:rPr>
                <w:b/>
                <w:sz w:val="17"/>
              </w:rPr>
            </w:pPr>
            <w:r>
              <w:rPr>
                <w:b/>
                <w:sz w:val="17"/>
              </w:rPr>
              <w:t>95</w:t>
            </w:r>
          </w:p>
        </w:tc>
        <w:tc>
          <w:tcPr>
            <w:tcW w:w="1275" w:type="dxa"/>
            <w:tcBorders>
              <w:bottom w:val="single" w:sz="12" w:space="0" w:color="auto"/>
            </w:tcBorders>
          </w:tcPr>
          <w:p w:rsidR="00000000" w:rsidRDefault="00000000">
            <w:pPr>
              <w:tabs>
                <w:tab w:val="decimal" w:pos="742"/>
              </w:tabs>
              <w:spacing w:before="40" w:after="40" w:line="180" w:lineRule="exact"/>
              <w:rPr>
                <w:b/>
                <w:sz w:val="17"/>
              </w:rPr>
            </w:pPr>
            <w:r>
              <w:rPr>
                <w:b/>
                <w:sz w:val="17"/>
              </w:rPr>
              <w:t>173</w:t>
            </w:r>
          </w:p>
        </w:tc>
        <w:tc>
          <w:tcPr>
            <w:tcW w:w="567" w:type="dxa"/>
            <w:tcBorders>
              <w:bottom w:val="single" w:sz="12" w:space="0" w:color="auto"/>
            </w:tcBorders>
          </w:tcPr>
          <w:p w:rsidR="00000000" w:rsidRDefault="00000000">
            <w:pPr>
              <w:tabs>
                <w:tab w:val="decimal" w:pos="567"/>
              </w:tabs>
              <w:spacing w:before="40" w:after="40" w:line="180" w:lineRule="exact"/>
              <w:rPr>
                <w:b/>
                <w:sz w:val="17"/>
              </w:rPr>
            </w:pPr>
            <w:r>
              <w:rPr>
                <w:b/>
                <w:sz w:val="17"/>
              </w:rPr>
              <w:t>5</w:t>
            </w:r>
          </w:p>
        </w:tc>
        <w:tc>
          <w:tcPr>
            <w:tcW w:w="1276" w:type="dxa"/>
            <w:tcBorders>
              <w:bottom w:val="single" w:sz="12" w:space="0" w:color="auto"/>
            </w:tcBorders>
          </w:tcPr>
          <w:p w:rsidR="00000000" w:rsidRDefault="00000000">
            <w:pPr>
              <w:tabs>
                <w:tab w:val="decimal" w:pos="743"/>
              </w:tabs>
              <w:spacing w:before="40" w:after="40" w:line="180" w:lineRule="exact"/>
              <w:rPr>
                <w:b/>
                <w:sz w:val="17"/>
              </w:rPr>
            </w:pPr>
            <w:r>
              <w:rPr>
                <w:b/>
                <w:sz w:val="17"/>
              </w:rPr>
              <w:t>3254</w:t>
            </w:r>
          </w:p>
        </w:tc>
        <w:tc>
          <w:tcPr>
            <w:tcW w:w="567" w:type="dxa"/>
            <w:tcBorders>
              <w:bottom w:val="single" w:sz="12" w:space="0" w:color="auto"/>
            </w:tcBorders>
          </w:tcPr>
          <w:p w:rsidR="00000000" w:rsidRDefault="00000000">
            <w:pPr>
              <w:tabs>
                <w:tab w:val="decimal" w:pos="176"/>
              </w:tabs>
              <w:spacing w:before="40" w:after="40" w:line="180" w:lineRule="exact"/>
              <w:rPr>
                <w:b/>
                <w:sz w:val="17"/>
              </w:rPr>
            </w:pPr>
            <w:r>
              <w:rPr>
                <w:b/>
                <w:sz w:val="17"/>
              </w:rPr>
              <w:t>100</w:t>
            </w:r>
          </w:p>
        </w:tc>
      </w:tr>
    </w:tbl>
    <w:p w:rsidR="00000000" w:rsidRDefault="00000000">
      <w:pPr>
        <w:pStyle w:val="SingleTxt"/>
        <w:ind w:firstLine="0"/>
      </w:pPr>
      <w:r>
        <w:rPr>
          <w:i/>
        </w:rPr>
        <w:t>Источник</w:t>
      </w:r>
      <w:r>
        <w:t>: Агентство профессионального обучения Новой Зеландии, 2002 год.</w:t>
      </w:r>
    </w:p>
    <w:p w:rsidR="00000000" w:rsidRDefault="00000000">
      <w:pPr>
        <w:pStyle w:val="SingleTxt"/>
      </w:pPr>
      <w:r>
        <w:t>В настоящее время большинство женщин отдают предпочтение работе в государственных хлебопекарнях и сельском хозяйстве. Проводится работа с целью расширить участие женщин путем вовлечения других привлекательных для женщин отраслей, таких как делопроизводство, розничная торговля и т</w:t>
      </w:r>
      <w:r>
        <w:t>у</w:t>
      </w:r>
      <w:r>
        <w:t>ризм.</w:t>
      </w:r>
    </w:p>
    <w:p w:rsidR="00000000" w:rsidRDefault="00000000">
      <w:pPr>
        <w:pStyle w:val="H23"/>
      </w:pPr>
      <w:r>
        <w:t>Профессионально-техническое обучение в промышленности</w:t>
      </w:r>
    </w:p>
    <w:p w:rsidR="00000000" w:rsidRDefault="00000000">
      <w:pPr>
        <w:pStyle w:val="SingleTxt"/>
      </w:pPr>
      <w:r>
        <w:t>Стратегия профессионально-технического обучения в промышленности стала применяться в 1992 году, чтобы содействовать подготовке конкурент</w:t>
      </w:r>
      <w:r>
        <w:t>о</w:t>
      </w:r>
      <w:r>
        <w:t>способной на международном уровне и высококвалифицированной рабочей с</w:t>
      </w:r>
      <w:r>
        <w:t>и</w:t>
      </w:r>
      <w:r>
        <w:t>лы. Этой стратегией, призванной удовлетворить потребности предприятий и работод</w:t>
      </w:r>
      <w:r>
        <w:t>а</w:t>
      </w:r>
      <w:r>
        <w:t>телей, руководят представители промышленности.</w:t>
      </w:r>
    </w:p>
    <w:p w:rsidR="00000000" w:rsidRDefault="00000000">
      <w:pPr>
        <w:pStyle w:val="SingleTxt"/>
      </w:pPr>
      <w:r>
        <w:t>С 1992 года количество обучающихся в системе профессионально-технического обучения увеличилось с 16711 человек в июне 1992 года до 78240 человек по состоянию на 30 июня 2002 года. В 1992 году на женщин приходилось 12% лиц, обучающихся профессиям в промышленности, а к 2002 году этот показатель вырос до 23%. Хотя профессию парикмахера пр</w:t>
      </w:r>
      <w:r>
        <w:t>о</w:t>
      </w:r>
      <w:r>
        <w:t>должают осваивать большое количество женщин (1397 из 17869 женщин, пр</w:t>
      </w:r>
      <w:r>
        <w:t>о</w:t>
      </w:r>
      <w:r>
        <w:t>ходящих профессиональную подготовку), она уступает по количеству обуча</w:t>
      </w:r>
      <w:r>
        <w:t>ю</w:t>
      </w:r>
      <w:r>
        <w:t>щихся ряду других профессий: первое место занимает профессия общинного социального работника, которой обучаются 2601 женщин; на втором месте н</w:t>
      </w:r>
      <w:r>
        <w:t>а</w:t>
      </w:r>
      <w:r>
        <w:t>ходится гостиничное дело, которое осваивают 1819 женщин, а профессия п</w:t>
      </w:r>
      <w:r>
        <w:t>а</w:t>
      </w:r>
      <w:r>
        <w:t>рикмахера находится на лишь третьем месте. К другим отраслям, где отмечае</w:t>
      </w:r>
      <w:r>
        <w:t>т</w:t>
      </w:r>
      <w:r>
        <w:t>ся сущес</w:t>
      </w:r>
      <w:r>
        <w:t>т</w:t>
      </w:r>
      <w:r>
        <w:t>венная доля женщин-учениц, относятся спортивный и спортивно-оздоровительный секторы, организация отдыха, машиностроительная, пищ</w:t>
      </w:r>
      <w:r>
        <w:t>е</w:t>
      </w:r>
      <w:r>
        <w:t>вая, обрабатывающая промышленности, сельское хозяйство и электротехнич</w:t>
      </w:r>
      <w:r>
        <w:t>е</w:t>
      </w:r>
      <w:r>
        <w:t>ская пр</w:t>
      </w:r>
      <w:r>
        <w:t>о</w:t>
      </w:r>
      <w:r>
        <w:t>мышленность.</w:t>
      </w:r>
    </w:p>
    <w:p w:rsidR="00000000" w:rsidRDefault="00000000">
      <w:pPr>
        <w:pStyle w:val="H23"/>
      </w:pPr>
      <w:r>
        <w:t xml:space="preserve">Закон о выходных и праздничных днях </w:t>
      </w:r>
    </w:p>
    <w:p w:rsidR="00000000" w:rsidRDefault="00000000">
      <w:pPr>
        <w:pStyle w:val="SingleTxt"/>
      </w:pPr>
      <w:r>
        <w:t>Правительство опубликовало ключевые положения нового Закона о в</w:t>
      </w:r>
      <w:r>
        <w:t>ы</w:t>
      </w:r>
      <w:r>
        <w:t>ходных и праздничных днях. Все работники за работу в выходные и праздни</w:t>
      </w:r>
      <w:r>
        <w:t>ч</w:t>
      </w:r>
      <w:r>
        <w:t>ные дни будут получать вознаграждение, в полтора раза превышающее их обычную тарифную ставку, а причитающаяся сумма будет выплачиваться одн</w:t>
      </w:r>
      <w:r>
        <w:t>о</w:t>
      </w:r>
      <w:r>
        <w:t>временно с зарплатой, а не во время оформления отпусков, если работники д</w:t>
      </w:r>
      <w:r>
        <w:t>а</w:t>
      </w:r>
      <w:r>
        <w:t>дут письменное согласие на такой порядок и если их трудовой договор охват</w:t>
      </w:r>
      <w:r>
        <w:t>ы</w:t>
      </w:r>
      <w:r>
        <w:t>вает период меньше 12 месяцев. Изменения предусматривают также предо</w:t>
      </w:r>
      <w:r>
        <w:t>с</w:t>
      </w:r>
      <w:r>
        <w:t>тавление отдельного отпуска в связи со смертью родственников в дополнение к отпуску по болезни/семейным обстоятельствам и допускают увеличение отпу</w:t>
      </w:r>
      <w:r>
        <w:t>с</w:t>
      </w:r>
      <w:r>
        <w:t>ка по б</w:t>
      </w:r>
      <w:r>
        <w:t>о</w:t>
      </w:r>
      <w:r>
        <w:t>лезни максимум до 15 дней.</w:t>
      </w:r>
    </w:p>
    <w:p w:rsidR="00000000" w:rsidRDefault="00000000">
      <w:pPr>
        <w:pStyle w:val="H23"/>
        <w:ind w:left="1264" w:firstLine="0"/>
      </w:pPr>
      <w:r>
        <w:t>Консультативная группа по вопросам аннулирования контрактов, продажи и передачи предприятий</w:t>
      </w:r>
    </w:p>
    <w:p w:rsidR="00000000" w:rsidRDefault="00000000">
      <w:pPr>
        <w:pStyle w:val="SingleTxt"/>
      </w:pPr>
      <w:r>
        <w:t>Министры рассматривают второй доклад консультативной группы, п</w:t>
      </w:r>
      <w:r>
        <w:t>о</w:t>
      </w:r>
      <w:r>
        <w:t>священный средствам защиты работников, чьи контракты были аннулированы или затронуты в результате продажи или передачи предприятия. Нередко анн</w:t>
      </w:r>
      <w:r>
        <w:t>у</w:t>
      </w:r>
      <w:r>
        <w:t>лируются договоры на мало оплачиваемую работу, которую выполняют же</w:t>
      </w:r>
      <w:r>
        <w:t>н</w:t>
      </w:r>
      <w:r>
        <w:t xml:space="preserve">щины. </w:t>
      </w:r>
    </w:p>
    <w:p w:rsidR="00000000" w:rsidRDefault="00000000">
      <w:pPr>
        <w:pStyle w:val="H23"/>
      </w:pPr>
      <w:r>
        <w:t>Специальные временные меры</w:t>
      </w:r>
    </w:p>
    <w:p w:rsidR="00000000" w:rsidRDefault="00000000">
      <w:pPr>
        <w:pStyle w:val="SingleTxt"/>
      </w:pPr>
      <w:r>
        <w:t>Для полного обеспечения фактического равноправия женщин и других адресных групп в частном секторе, через Трастовый фонд РВЗ и Фонд РВЗ (см. стр. 111) и НКСЗЖ принимаются специальные време</w:t>
      </w:r>
      <w:r>
        <w:t>н</w:t>
      </w:r>
      <w:r>
        <w:t>ные меры.</w:t>
      </w:r>
    </w:p>
    <w:p w:rsidR="00000000" w:rsidRDefault="00000000">
      <w:pPr>
        <w:pStyle w:val="SingleTxt"/>
      </w:pPr>
      <w:r>
        <w:t>К последним проектам, которые финансирует Фонд РВЗ, относятся работа над решением проблем справедливого и равного вознаграждения, проблем тр</w:t>
      </w:r>
      <w:r>
        <w:t>у</w:t>
      </w:r>
      <w:r>
        <w:t>да и семьи, распространение знаний о законодательстве и об экономических выгодах разнообразия системы рабочих мест, подготовка руководства для раб</w:t>
      </w:r>
      <w:r>
        <w:t>о</w:t>
      </w:r>
      <w:r>
        <w:t>тодателей по вопросу о том, как увязывать проблему грудного вскармливания с проблемой оплачиваемой работы, и руководства для центров по уходу за дет</w:t>
      </w:r>
      <w:r>
        <w:t>ь</w:t>
      </w:r>
      <w:r>
        <w:t>ми по обработке, хранению и подготовке сц</w:t>
      </w:r>
      <w:r>
        <w:t>е</w:t>
      </w:r>
      <w:r>
        <w:t>женного грудного молока.</w:t>
      </w:r>
    </w:p>
    <w:p w:rsidR="00000000" w:rsidRDefault="00000000">
      <w:pPr>
        <w:pStyle w:val="SingleTxt"/>
      </w:pPr>
      <w:r>
        <w:t>В 2001 году НКСЗЖ финансировал два небольших исследовательских проекта.</w:t>
      </w:r>
    </w:p>
    <w:p w:rsidR="00000000" w:rsidRDefault="00000000">
      <w:pPr>
        <w:pStyle w:val="H1"/>
      </w:pPr>
      <w:r>
        <w:t>Безработица</w:t>
      </w:r>
    </w:p>
    <w:p w:rsidR="00000000" w:rsidRDefault="00000000">
      <w:pPr>
        <w:pStyle w:val="H23"/>
      </w:pPr>
      <w:r>
        <w:t>Субсидирование доходов</w:t>
      </w:r>
    </w:p>
    <w:p w:rsidR="00000000" w:rsidRDefault="00000000">
      <w:pPr>
        <w:pStyle w:val="SingleTxt"/>
      </w:pPr>
      <w:r>
        <w:t>Подробную информацию о помощи семьям, пособиях вдовам и пособии на семейные цели см. статью 13: Экономическая и общественная жизнь, стр. 157.</w:t>
      </w:r>
    </w:p>
    <w:p w:rsidR="00000000" w:rsidRDefault="00000000">
      <w:pPr>
        <w:pStyle w:val="H23"/>
      </w:pPr>
      <w:r>
        <w:t>Программы для лиц, ищущих работу</w:t>
      </w:r>
    </w:p>
    <w:p w:rsidR="00000000" w:rsidRDefault="00000000">
      <w:pPr>
        <w:pStyle w:val="SingleTxt"/>
      </w:pPr>
      <w:r>
        <w:t>Государственную помощь оказывается женщинам, зарегистрированным в качестве безработных и получающим субсидии к доходам, в частности пособия по безработице и пособия для одиноких родителей. Помощь, которая оказыв</w:t>
      </w:r>
      <w:r>
        <w:t>а</w:t>
      </w:r>
      <w:r>
        <w:t>ется как мужчинам, так и женщинам, включает субсидии в виде заработной платы, пособия на начало трудовой деятельности (включая безвозмездные сс</w:t>
      </w:r>
      <w:r>
        <w:t>у</w:t>
      </w:r>
      <w:r>
        <w:t>ды на экипировку, которые можно использовать для покрытия основных расх</w:t>
      </w:r>
      <w:r>
        <w:t>о</w:t>
      </w:r>
      <w:r>
        <w:t>дов, связанных с началом работы), передачу опыта, работу в общинах, оказание помощи в трудоустройстве и обучение профессиям. Предполагается, что благ</w:t>
      </w:r>
      <w:r>
        <w:t>о</w:t>
      </w:r>
      <w:r>
        <w:t>даря Плану «Способствуя занятости» женщины смогут шире пользоваться во</w:t>
      </w:r>
      <w:r>
        <w:t>з</w:t>
      </w:r>
      <w:r>
        <w:t>можностями для профессионального обучения. Эта работа также нацелена на ликвидацию барьеров, препятствующих доступу к учреждениям по уходу за детьми. Одной из крупных инициатив в области профессионального обучения является программа «Возможности для профессионального обучения» (см. ст</w:t>
      </w:r>
      <w:r>
        <w:t>а</w:t>
      </w:r>
      <w:r>
        <w:t>тью 10: Образование, Стр. 82). Договоры об оказании адресной помощи в о</w:t>
      </w:r>
      <w:r>
        <w:t>б</w:t>
      </w:r>
      <w:r>
        <w:t>ласти трудоустройства заключаются регионами главным образом с внешними п</w:t>
      </w:r>
      <w:r>
        <w:t>о</w:t>
      </w:r>
      <w:r>
        <w:t>ставщиками учебных услуг.</w:t>
      </w:r>
    </w:p>
    <w:p w:rsidR="00000000" w:rsidRDefault="00000000">
      <w:pPr>
        <w:pStyle w:val="SingleTxt"/>
      </w:pPr>
      <w:r>
        <w:t>Самостоятельность регионов позволяет им находить решения на местном уровне (в практических национальных рамках), полнее удовлетворяющие п</w:t>
      </w:r>
      <w:r>
        <w:t>о</w:t>
      </w:r>
      <w:r>
        <w:t>требности людей в области занятости. Благодаря инициативе министерства с</w:t>
      </w:r>
      <w:r>
        <w:t>о</w:t>
      </w:r>
      <w:r>
        <w:t>циального обеспечения, направленной на предоставление регионам большей самостоятельности, каждый регион заключил договоры о поставке учебных у</w:t>
      </w:r>
      <w:r>
        <w:t>с</w:t>
      </w:r>
      <w:r>
        <w:t>луг в своих границах с внешними поставщиками. Ниже дается разбивка по в</w:t>
      </w:r>
      <w:r>
        <w:t>и</w:t>
      </w:r>
      <w:r>
        <w:t>дам законтрактованных учебных услуг для ищущих работу женщин.</w:t>
      </w:r>
    </w:p>
    <w:p w:rsidR="00000000" w:rsidRDefault="00000000">
      <w:pPr>
        <w:pStyle w:val="SingleTxt"/>
        <w:ind w:firstLine="0"/>
        <w:rPr>
          <w:b/>
        </w:rPr>
      </w:pPr>
      <w:r>
        <w:rPr>
          <w:b/>
        </w:rPr>
        <w:t>Услуги, специально предназначенные для ищущих работу женщин</w:t>
      </w:r>
    </w:p>
    <w:tbl>
      <w:tblPr>
        <w:tblW w:w="0" w:type="auto"/>
        <w:tblInd w:w="1278" w:type="dxa"/>
        <w:tblLayout w:type="fixed"/>
        <w:tblLook w:val="0000" w:firstRow="0" w:lastRow="0" w:firstColumn="0" w:lastColumn="0" w:noHBand="0" w:noVBand="0"/>
      </w:tblPr>
      <w:tblGrid>
        <w:gridCol w:w="1559"/>
        <w:gridCol w:w="1276"/>
        <w:gridCol w:w="4536"/>
      </w:tblGrid>
      <w:tr w:rsidR="00000000">
        <w:tblPrEx>
          <w:tblCellMar>
            <w:top w:w="0" w:type="dxa"/>
            <w:bottom w:w="0" w:type="dxa"/>
          </w:tblCellMar>
        </w:tblPrEx>
        <w:trPr>
          <w:tblHeader/>
        </w:trPr>
        <w:tc>
          <w:tcPr>
            <w:tcW w:w="1559" w:type="dxa"/>
            <w:tcBorders>
              <w:top w:val="single" w:sz="6" w:space="0" w:color="auto"/>
              <w:bottom w:val="single" w:sz="12" w:space="0" w:color="auto"/>
            </w:tcBorders>
            <w:vAlign w:val="center"/>
          </w:tcPr>
          <w:p w:rsidR="00000000" w:rsidRDefault="00000000">
            <w:pPr>
              <w:pStyle w:val="Heading6"/>
              <w:keepNext w:val="0"/>
              <w:spacing w:line="180" w:lineRule="exact"/>
              <w:jc w:val="left"/>
              <w:rPr>
                <w:b w:val="0"/>
              </w:rPr>
            </w:pPr>
            <w:r>
              <w:rPr>
                <w:b w:val="0"/>
              </w:rPr>
              <w:t>Регион</w:t>
            </w:r>
          </w:p>
        </w:tc>
        <w:tc>
          <w:tcPr>
            <w:tcW w:w="1276" w:type="dxa"/>
            <w:tcBorders>
              <w:top w:val="single" w:sz="6" w:space="0" w:color="auto"/>
              <w:bottom w:val="single" w:sz="12" w:space="0" w:color="auto"/>
            </w:tcBorders>
            <w:vAlign w:val="center"/>
          </w:tcPr>
          <w:p w:rsidR="00000000" w:rsidRDefault="00000000">
            <w:pPr>
              <w:spacing w:before="40" w:after="40" w:line="180" w:lineRule="exact"/>
              <w:jc w:val="center"/>
              <w:rPr>
                <w:i/>
                <w:sz w:val="17"/>
              </w:rPr>
            </w:pPr>
            <w:r>
              <w:rPr>
                <w:i/>
                <w:sz w:val="17"/>
              </w:rPr>
              <w:t>Количество мест в год</w:t>
            </w:r>
          </w:p>
        </w:tc>
        <w:tc>
          <w:tcPr>
            <w:tcW w:w="4536" w:type="dxa"/>
            <w:tcBorders>
              <w:top w:val="single" w:sz="6" w:space="0" w:color="auto"/>
              <w:bottom w:val="single" w:sz="12" w:space="0" w:color="auto"/>
            </w:tcBorders>
            <w:vAlign w:val="center"/>
          </w:tcPr>
          <w:p w:rsidR="00000000" w:rsidRDefault="00000000">
            <w:pPr>
              <w:pStyle w:val="Heading6"/>
              <w:keepNext w:val="0"/>
              <w:spacing w:line="180" w:lineRule="exact"/>
              <w:rPr>
                <w:b w:val="0"/>
              </w:rPr>
            </w:pPr>
            <w:r>
              <w:rPr>
                <w:b w:val="0"/>
              </w:rPr>
              <w:t>Целевые программы для же</w:t>
            </w:r>
            <w:r>
              <w:rPr>
                <w:b w:val="0"/>
              </w:rPr>
              <w:t>н</w:t>
            </w:r>
            <w:r>
              <w:rPr>
                <w:b w:val="0"/>
              </w:rPr>
              <w:t>щин</w:t>
            </w:r>
          </w:p>
        </w:tc>
      </w:tr>
      <w:tr w:rsidR="00000000">
        <w:tblPrEx>
          <w:tblCellMar>
            <w:top w:w="0" w:type="dxa"/>
            <w:bottom w:w="0" w:type="dxa"/>
          </w:tblCellMar>
        </w:tblPrEx>
        <w:tc>
          <w:tcPr>
            <w:tcW w:w="1559" w:type="dxa"/>
            <w:tcBorders>
              <w:top w:val="single" w:sz="12" w:space="0" w:color="auto"/>
            </w:tcBorders>
          </w:tcPr>
          <w:p w:rsidR="00000000" w:rsidRDefault="00000000">
            <w:pPr>
              <w:spacing w:before="40" w:after="40" w:line="180" w:lineRule="exact"/>
              <w:rPr>
                <w:sz w:val="17"/>
              </w:rPr>
            </w:pPr>
            <w:r>
              <w:rPr>
                <w:sz w:val="17"/>
              </w:rPr>
              <w:t>Нортленд</w:t>
            </w:r>
          </w:p>
        </w:tc>
        <w:tc>
          <w:tcPr>
            <w:tcW w:w="1276" w:type="dxa"/>
            <w:tcBorders>
              <w:top w:val="single" w:sz="12" w:space="0" w:color="auto"/>
            </w:tcBorders>
          </w:tcPr>
          <w:p w:rsidR="00000000" w:rsidRDefault="00000000">
            <w:pPr>
              <w:spacing w:before="40" w:after="40" w:line="180" w:lineRule="exact"/>
              <w:rPr>
                <w:sz w:val="17"/>
              </w:rPr>
            </w:pPr>
            <w:r>
              <w:rPr>
                <w:sz w:val="17"/>
              </w:rPr>
              <w:t>87 мест</w:t>
            </w:r>
          </w:p>
        </w:tc>
        <w:tc>
          <w:tcPr>
            <w:tcW w:w="4536" w:type="dxa"/>
            <w:tcBorders>
              <w:top w:val="single" w:sz="12" w:space="0" w:color="auto"/>
            </w:tcBorders>
          </w:tcPr>
          <w:p w:rsidR="00000000" w:rsidRDefault="00000000">
            <w:pPr>
              <w:pStyle w:val="Header"/>
              <w:tabs>
                <w:tab w:val="clear" w:pos="4320"/>
                <w:tab w:val="clear" w:pos="8640"/>
              </w:tabs>
              <w:spacing w:before="40" w:after="40" w:line="180" w:lineRule="exact"/>
              <w:rPr>
                <w:noProof w:val="0"/>
                <w:spacing w:val="4"/>
                <w:w w:val="103"/>
                <w:kern w:val="14"/>
              </w:rPr>
            </w:pPr>
            <w:r>
              <w:rPr>
                <w:noProof w:val="0"/>
                <w:spacing w:val="4"/>
                <w:w w:val="103"/>
                <w:kern w:val="14"/>
              </w:rPr>
              <w:t>Программы подготовки к трудовой деятельности. 60 мест для женщин-маори</w:t>
            </w:r>
          </w:p>
        </w:tc>
      </w:tr>
      <w:tr w:rsidR="00000000">
        <w:tblPrEx>
          <w:tblCellMar>
            <w:top w:w="0" w:type="dxa"/>
            <w:bottom w:w="0" w:type="dxa"/>
          </w:tblCellMar>
        </w:tblPrEx>
        <w:tc>
          <w:tcPr>
            <w:tcW w:w="1559" w:type="dxa"/>
          </w:tcPr>
          <w:p w:rsidR="00000000" w:rsidRDefault="00000000">
            <w:pPr>
              <w:spacing w:before="40" w:after="40" w:line="180" w:lineRule="exact"/>
              <w:rPr>
                <w:sz w:val="17"/>
              </w:rPr>
            </w:pPr>
            <w:r>
              <w:rPr>
                <w:sz w:val="17"/>
              </w:rPr>
              <w:t xml:space="preserve">Северный </w:t>
            </w:r>
            <w:r>
              <w:rPr>
                <w:sz w:val="17"/>
              </w:rPr>
              <w:br/>
              <w:t>О</w:t>
            </w:r>
            <w:r>
              <w:rPr>
                <w:sz w:val="17"/>
              </w:rPr>
              <w:t>к</w:t>
            </w:r>
            <w:r>
              <w:rPr>
                <w:sz w:val="17"/>
              </w:rPr>
              <w:t>ленд</w:t>
            </w:r>
          </w:p>
        </w:tc>
        <w:tc>
          <w:tcPr>
            <w:tcW w:w="1276" w:type="dxa"/>
          </w:tcPr>
          <w:p w:rsidR="00000000" w:rsidRDefault="00000000">
            <w:pPr>
              <w:spacing w:before="40" w:after="40" w:line="180" w:lineRule="exact"/>
              <w:rPr>
                <w:sz w:val="17"/>
              </w:rPr>
            </w:pPr>
            <w:r>
              <w:rPr>
                <w:sz w:val="17"/>
              </w:rPr>
              <w:t>60 мест</w:t>
            </w:r>
          </w:p>
        </w:tc>
        <w:tc>
          <w:tcPr>
            <w:tcW w:w="4536" w:type="dxa"/>
          </w:tcPr>
          <w:p w:rsidR="00000000" w:rsidRDefault="00000000">
            <w:pPr>
              <w:spacing w:before="40" w:after="40" w:line="180" w:lineRule="exact"/>
              <w:rPr>
                <w:sz w:val="17"/>
              </w:rPr>
            </w:pPr>
            <w:r>
              <w:rPr>
                <w:sz w:val="17"/>
              </w:rPr>
              <w:t>Программы профессиональной ориентации и труд</w:t>
            </w:r>
            <w:r>
              <w:rPr>
                <w:sz w:val="17"/>
              </w:rPr>
              <w:t>о</w:t>
            </w:r>
            <w:r>
              <w:rPr>
                <w:sz w:val="17"/>
              </w:rPr>
              <w:t>устройства. 40 мест для женщин-маори</w:t>
            </w:r>
          </w:p>
        </w:tc>
      </w:tr>
      <w:tr w:rsidR="00000000">
        <w:tblPrEx>
          <w:tblCellMar>
            <w:top w:w="0" w:type="dxa"/>
            <w:bottom w:w="0" w:type="dxa"/>
          </w:tblCellMar>
        </w:tblPrEx>
        <w:tc>
          <w:tcPr>
            <w:tcW w:w="1559" w:type="dxa"/>
          </w:tcPr>
          <w:p w:rsidR="00000000" w:rsidRDefault="00000000">
            <w:pPr>
              <w:spacing w:before="40" w:after="40" w:line="180" w:lineRule="exact"/>
              <w:rPr>
                <w:sz w:val="17"/>
              </w:rPr>
            </w:pPr>
            <w:r>
              <w:rPr>
                <w:sz w:val="17"/>
              </w:rPr>
              <w:t>Центральный Окленд</w:t>
            </w:r>
          </w:p>
        </w:tc>
        <w:tc>
          <w:tcPr>
            <w:tcW w:w="1276" w:type="dxa"/>
          </w:tcPr>
          <w:p w:rsidR="00000000" w:rsidRDefault="00000000">
            <w:pPr>
              <w:spacing w:before="40" w:after="40" w:line="180" w:lineRule="exact"/>
              <w:rPr>
                <w:sz w:val="17"/>
              </w:rPr>
            </w:pPr>
            <w:r>
              <w:rPr>
                <w:sz w:val="17"/>
              </w:rPr>
              <w:t>75 мест</w:t>
            </w:r>
          </w:p>
        </w:tc>
        <w:tc>
          <w:tcPr>
            <w:tcW w:w="4536" w:type="dxa"/>
          </w:tcPr>
          <w:p w:rsidR="00000000" w:rsidRDefault="00000000">
            <w:pPr>
              <w:spacing w:before="40" w:after="40" w:line="180" w:lineRule="exact"/>
              <w:rPr>
                <w:sz w:val="17"/>
              </w:rPr>
            </w:pPr>
            <w:r>
              <w:rPr>
                <w:sz w:val="17"/>
              </w:rPr>
              <w:t>Программы подготовки к трудовой деятельности. 12 мест для женщин, получающих ПСЦ, на обучение компьютерной гр</w:t>
            </w:r>
            <w:r>
              <w:rPr>
                <w:sz w:val="17"/>
              </w:rPr>
              <w:t>а</w:t>
            </w:r>
            <w:r>
              <w:rPr>
                <w:sz w:val="17"/>
              </w:rPr>
              <w:t xml:space="preserve">моте </w:t>
            </w:r>
          </w:p>
        </w:tc>
      </w:tr>
      <w:tr w:rsidR="00000000">
        <w:tblPrEx>
          <w:tblCellMar>
            <w:top w:w="0" w:type="dxa"/>
            <w:bottom w:w="0" w:type="dxa"/>
          </w:tblCellMar>
        </w:tblPrEx>
        <w:tc>
          <w:tcPr>
            <w:tcW w:w="1559" w:type="dxa"/>
          </w:tcPr>
          <w:p w:rsidR="00000000" w:rsidRDefault="00000000">
            <w:pPr>
              <w:spacing w:before="40" w:after="40" w:line="180" w:lineRule="exact"/>
              <w:rPr>
                <w:sz w:val="17"/>
              </w:rPr>
            </w:pPr>
            <w:r>
              <w:rPr>
                <w:sz w:val="17"/>
              </w:rPr>
              <w:t>Вайкато</w:t>
            </w:r>
          </w:p>
        </w:tc>
        <w:tc>
          <w:tcPr>
            <w:tcW w:w="1276" w:type="dxa"/>
          </w:tcPr>
          <w:p w:rsidR="00000000" w:rsidRDefault="00000000">
            <w:pPr>
              <w:spacing w:before="40" w:after="40" w:line="180" w:lineRule="exact"/>
              <w:rPr>
                <w:sz w:val="17"/>
              </w:rPr>
            </w:pPr>
            <w:r>
              <w:rPr>
                <w:sz w:val="17"/>
              </w:rPr>
              <w:t>100 мест</w:t>
            </w:r>
          </w:p>
        </w:tc>
        <w:tc>
          <w:tcPr>
            <w:tcW w:w="4536" w:type="dxa"/>
          </w:tcPr>
          <w:p w:rsidR="00000000" w:rsidRDefault="00000000">
            <w:pPr>
              <w:spacing w:before="40" w:after="40" w:line="180" w:lineRule="exact"/>
              <w:rPr>
                <w:sz w:val="17"/>
              </w:rPr>
            </w:pPr>
            <w:r>
              <w:rPr>
                <w:sz w:val="17"/>
              </w:rPr>
              <w:t>Программы подготовки к трудовой деятел</w:t>
            </w:r>
            <w:r>
              <w:rPr>
                <w:sz w:val="17"/>
              </w:rPr>
              <w:t>ь</w:t>
            </w:r>
            <w:r>
              <w:rPr>
                <w:sz w:val="17"/>
              </w:rPr>
              <w:t>ности</w:t>
            </w:r>
          </w:p>
        </w:tc>
      </w:tr>
      <w:tr w:rsidR="00000000">
        <w:tblPrEx>
          <w:tblCellMar>
            <w:top w:w="0" w:type="dxa"/>
            <w:bottom w:w="0" w:type="dxa"/>
          </w:tblCellMar>
        </w:tblPrEx>
        <w:tc>
          <w:tcPr>
            <w:tcW w:w="1559" w:type="dxa"/>
          </w:tcPr>
          <w:p w:rsidR="00000000" w:rsidRDefault="00000000">
            <w:pPr>
              <w:spacing w:before="40" w:after="40" w:line="180" w:lineRule="exact"/>
              <w:rPr>
                <w:sz w:val="17"/>
              </w:rPr>
            </w:pPr>
            <w:r>
              <w:rPr>
                <w:sz w:val="17"/>
              </w:rPr>
              <w:t>Бей-оф-Пленти</w:t>
            </w:r>
          </w:p>
        </w:tc>
        <w:tc>
          <w:tcPr>
            <w:tcW w:w="1276" w:type="dxa"/>
          </w:tcPr>
          <w:p w:rsidR="00000000" w:rsidRDefault="00000000">
            <w:pPr>
              <w:spacing w:before="40" w:after="40" w:line="180" w:lineRule="exact"/>
              <w:rPr>
                <w:sz w:val="17"/>
              </w:rPr>
            </w:pPr>
            <w:r>
              <w:rPr>
                <w:sz w:val="17"/>
              </w:rPr>
              <w:t>414 мест</w:t>
            </w:r>
          </w:p>
        </w:tc>
        <w:tc>
          <w:tcPr>
            <w:tcW w:w="4536" w:type="dxa"/>
          </w:tcPr>
          <w:p w:rsidR="00000000" w:rsidRDefault="00000000">
            <w:pPr>
              <w:spacing w:before="40" w:after="40" w:line="180" w:lineRule="exact"/>
              <w:rPr>
                <w:sz w:val="17"/>
              </w:rPr>
            </w:pPr>
            <w:r>
              <w:rPr>
                <w:sz w:val="17"/>
              </w:rPr>
              <w:t>Программы подготовки к трудовой деятельности. 105 мест для женщин-маори и 15 мест для женщин т</w:t>
            </w:r>
            <w:r>
              <w:rPr>
                <w:sz w:val="17"/>
              </w:rPr>
              <w:t>и</w:t>
            </w:r>
            <w:r>
              <w:rPr>
                <w:sz w:val="17"/>
              </w:rPr>
              <w:t>хоокеанских остр</w:t>
            </w:r>
            <w:r>
              <w:rPr>
                <w:sz w:val="17"/>
              </w:rPr>
              <w:t>о</w:t>
            </w:r>
            <w:r>
              <w:rPr>
                <w:sz w:val="17"/>
              </w:rPr>
              <w:t xml:space="preserve">вов </w:t>
            </w:r>
          </w:p>
        </w:tc>
      </w:tr>
      <w:tr w:rsidR="00000000">
        <w:tblPrEx>
          <w:tblCellMar>
            <w:top w:w="0" w:type="dxa"/>
            <w:bottom w:w="0" w:type="dxa"/>
          </w:tblCellMar>
        </w:tblPrEx>
        <w:tc>
          <w:tcPr>
            <w:tcW w:w="1559" w:type="dxa"/>
          </w:tcPr>
          <w:p w:rsidR="00000000" w:rsidRDefault="00000000">
            <w:pPr>
              <w:spacing w:before="40" w:after="40" w:line="180" w:lineRule="exact"/>
              <w:rPr>
                <w:sz w:val="17"/>
              </w:rPr>
            </w:pPr>
            <w:r>
              <w:rPr>
                <w:sz w:val="17"/>
              </w:rPr>
              <w:t>Централ</w:t>
            </w:r>
            <w:r>
              <w:rPr>
                <w:sz w:val="17"/>
              </w:rPr>
              <w:t>ь</w:t>
            </w:r>
            <w:r>
              <w:rPr>
                <w:sz w:val="17"/>
              </w:rPr>
              <w:t>ный</w:t>
            </w:r>
          </w:p>
        </w:tc>
        <w:tc>
          <w:tcPr>
            <w:tcW w:w="1276" w:type="dxa"/>
          </w:tcPr>
          <w:p w:rsidR="00000000" w:rsidRDefault="00000000">
            <w:pPr>
              <w:spacing w:before="40" w:after="40" w:line="180" w:lineRule="exact"/>
              <w:rPr>
                <w:sz w:val="17"/>
              </w:rPr>
            </w:pPr>
            <w:r>
              <w:rPr>
                <w:sz w:val="17"/>
              </w:rPr>
              <w:t>196 мест</w:t>
            </w:r>
          </w:p>
        </w:tc>
        <w:tc>
          <w:tcPr>
            <w:tcW w:w="4536" w:type="dxa"/>
          </w:tcPr>
          <w:p w:rsidR="00000000" w:rsidRDefault="00000000">
            <w:pPr>
              <w:spacing w:before="40" w:after="40" w:line="180" w:lineRule="exact"/>
              <w:rPr>
                <w:sz w:val="17"/>
              </w:rPr>
            </w:pPr>
            <w:r>
              <w:rPr>
                <w:sz w:val="17"/>
              </w:rPr>
              <w:t>Программы подготовки к трудовой деятельности. 30 мест для женщин-маори и 34 места для женщин, ищущих подходящую работу или нуждающихся в тр</w:t>
            </w:r>
            <w:r>
              <w:rPr>
                <w:sz w:val="17"/>
              </w:rPr>
              <w:t>у</w:t>
            </w:r>
            <w:r>
              <w:rPr>
                <w:sz w:val="17"/>
              </w:rPr>
              <w:t>доустройс</w:t>
            </w:r>
            <w:r>
              <w:rPr>
                <w:sz w:val="17"/>
              </w:rPr>
              <w:t>т</w:t>
            </w:r>
            <w:r>
              <w:rPr>
                <w:sz w:val="17"/>
              </w:rPr>
              <w:t>ве</w:t>
            </w:r>
          </w:p>
        </w:tc>
      </w:tr>
      <w:tr w:rsidR="00000000">
        <w:tblPrEx>
          <w:tblCellMar>
            <w:top w:w="0" w:type="dxa"/>
            <w:bottom w:w="0" w:type="dxa"/>
          </w:tblCellMar>
        </w:tblPrEx>
        <w:tc>
          <w:tcPr>
            <w:tcW w:w="1559" w:type="dxa"/>
          </w:tcPr>
          <w:p w:rsidR="00000000" w:rsidRDefault="00000000">
            <w:pPr>
              <w:spacing w:before="40" w:after="40" w:line="180" w:lineRule="exact"/>
              <w:rPr>
                <w:sz w:val="17"/>
              </w:rPr>
            </w:pPr>
            <w:r>
              <w:rPr>
                <w:sz w:val="17"/>
              </w:rPr>
              <w:t>Таранаки</w:t>
            </w:r>
          </w:p>
        </w:tc>
        <w:tc>
          <w:tcPr>
            <w:tcW w:w="1276" w:type="dxa"/>
          </w:tcPr>
          <w:p w:rsidR="00000000" w:rsidRDefault="00000000">
            <w:pPr>
              <w:spacing w:before="40" w:after="40" w:line="180" w:lineRule="exact"/>
              <w:rPr>
                <w:sz w:val="17"/>
              </w:rPr>
            </w:pPr>
            <w:r>
              <w:rPr>
                <w:sz w:val="17"/>
              </w:rPr>
              <w:t>388 мест</w:t>
            </w:r>
          </w:p>
        </w:tc>
        <w:tc>
          <w:tcPr>
            <w:tcW w:w="4536" w:type="dxa"/>
          </w:tcPr>
          <w:p w:rsidR="00000000" w:rsidRDefault="00000000">
            <w:pPr>
              <w:spacing w:before="40" w:after="40" w:line="180" w:lineRule="exact"/>
              <w:rPr>
                <w:sz w:val="17"/>
              </w:rPr>
            </w:pPr>
            <w:r>
              <w:rPr>
                <w:sz w:val="17"/>
              </w:rPr>
              <w:t>Программы подготовки к трудовой деятельности. 80 мест для женщин-маори</w:t>
            </w:r>
          </w:p>
        </w:tc>
      </w:tr>
      <w:tr w:rsidR="00000000">
        <w:tblPrEx>
          <w:tblCellMar>
            <w:top w:w="0" w:type="dxa"/>
            <w:bottom w:w="0" w:type="dxa"/>
          </w:tblCellMar>
        </w:tblPrEx>
        <w:tc>
          <w:tcPr>
            <w:tcW w:w="1559" w:type="dxa"/>
          </w:tcPr>
          <w:p w:rsidR="00000000" w:rsidRDefault="00000000">
            <w:pPr>
              <w:spacing w:before="40" w:after="40" w:line="180" w:lineRule="exact"/>
              <w:rPr>
                <w:sz w:val="17"/>
              </w:rPr>
            </w:pPr>
            <w:r>
              <w:rPr>
                <w:sz w:val="17"/>
              </w:rPr>
              <w:t>Веллин</w:t>
            </w:r>
            <w:r>
              <w:rPr>
                <w:sz w:val="17"/>
              </w:rPr>
              <w:t>г</w:t>
            </w:r>
            <w:r>
              <w:rPr>
                <w:sz w:val="17"/>
              </w:rPr>
              <w:t>тон</w:t>
            </w:r>
          </w:p>
        </w:tc>
        <w:tc>
          <w:tcPr>
            <w:tcW w:w="1276" w:type="dxa"/>
          </w:tcPr>
          <w:p w:rsidR="00000000" w:rsidRDefault="00000000">
            <w:pPr>
              <w:spacing w:before="40" w:after="40" w:line="180" w:lineRule="exact"/>
              <w:rPr>
                <w:sz w:val="17"/>
              </w:rPr>
            </w:pPr>
            <w:r>
              <w:rPr>
                <w:sz w:val="17"/>
              </w:rPr>
              <w:t>199 мест</w:t>
            </w:r>
          </w:p>
        </w:tc>
        <w:tc>
          <w:tcPr>
            <w:tcW w:w="4536" w:type="dxa"/>
          </w:tcPr>
          <w:p w:rsidR="00000000" w:rsidRDefault="00000000">
            <w:pPr>
              <w:spacing w:before="40" w:after="40" w:line="180" w:lineRule="exact"/>
              <w:rPr>
                <w:sz w:val="17"/>
              </w:rPr>
            </w:pPr>
            <w:r>
              <w:rPr>
                <w:sz w:val="17"/>
              </w:rPr>
              <w:t xml:space="preserve">Программы подготовки к трудовой деятельности. 72 места для женщин-маори </w:t>
            </w:r>
          </w:p>
        </w:tc>
      </w:tr>
      <w:tr w:rsidR="00000000">
        <w:tblPrEx>
          <w:tblCellMar>
            <w:top w:w="0" w:type="dxa"/>
            <w:bottom w:w="0" w:type="dxa"/>
          </w:tblCellMar>
        </w:tblPrEx>
        <w:tc>
          <w:tcPr>
            <w:tcW w:w="1559" w:type="dxa"/>
          </w:tcPr>
          <w:p w:rsidR="00000000" w:rsidRDefault="00000000">
            <w:pPr>
              <w:spacing w:before="40" w:after="40" w:line="180" w:lineRule="exact"/>
              <w:rPr>
                <w:sz w:val="17"/>
              </w:rPr>
            </w:pPr>
            <w:r>
              <w:rPr>
                <w:sz w:val="17"/>
              </w:rPr>
              <w:t>Нельсон</w:t>
            </w:r>
          </w:p>
        </w:tc>
        <w:tc>
          <w:tcPr>
            <w:tcW w:w="1276" w:type="dxa"/>
          </w:tcPr>
          <w:p w:rsidR="00000000" w:rsidRDefault="00000000">
            <w:pPr>
              <w:spacing w:before="40" w:after="40" w:line="180" w:lineRule="exact"/>
              <w:rPr>
                <w:sz w:val="17"/>
              </w:rPr>
            </w:pPr>
            <w:r>
              <w:rPr>
                <w:sz w:val="17"/>
              </w:rPr>
              <w:t>255 мест</w:t>
            </w:r>
          </w:p>
        </w:tc>
        <w:tc>
          <w:tcPr>
            <w:tcW w:w="4536" w:type="dxa"/>
          </w:tcPr>
          <w:p w:rsidR="00000000" w:rsidRDefault="00000000">
            <w:pPr>
              <w:spacing w:before="40" w:after="40" w:line="180" w:lineRule="exact"/>
              <w:rPr>
                <w:sz w:val="17"/>
              </w:rPr>
            </w:pPr>
            <w:r>
              <w:rPr>
                <w:sz w:val="17"/>
              </w:rPr>
              <w:t>Программы подготовки к трудовой деятельности. 12 мест для женщин-маори</w:t>
            </w:r>
          </w:p>
        </w:tc>
      </w:tr>
      <w:tr w:rsidR="00000000">
        <w:tblPrEx>
          <w:tblCellMar>
            <w:top w:w="0" w:type="dxa"/>
            <w:bottom w:w="0" w:type="dxa"/>
          </w:tblCellMar>
        </w:tblPrEx>
        <w:tc>
          <w:tcPr>
            <w:tcW w:w="1559" w:type="dxa"/>
          </w:tcPr>
          <w:p w:rsidR="00000000" w:rsidRDefault="00000000">
            <w:pPr>
              <w:keepNext/>
              <w:spacing w:before="40" w:after="40" w:line="180" w:lineRule="exact"/>
              <w:rPr>
                <w:sz w:val="17"/>
              </w:rPr>
            </w:pPr>
            <w:r>
              <w:rPr>
                <w:sz w:val="17"/>
              </w:rPr>
              <w:t>Кантерб</w:t>
            </w:r>
            <w:r>
              <w:rPr>
                <w:sz w:val="17"/>
              </w:rPr>
              <w:t>э</w:t>
            </w:r>
            <w:r>
              <w:rPr>
                <w:sz w:val="17"/>
              </w:rPr>
              <w:t>ри</w:t>
            </w:r>
          </w:p>
        </w:tc>
        <w:tc>
          <w:tcPr>
            <w:tcW w:w="1276" w:type="dxa"/>
          </w:tcPr>
          <w:p w:rsidR="00000000" w:rsidRDefault="00000000">
            <w:pPr>
              <w:keepNext/>
              <w:spacing w:before="40" w:after="40" w:line="180" w:lineRule="exact"/>
              <w:rPr>
                <w:sz w:val="17"/>
              </w:rPr>
            </w:pPr>
            <w:r>
              <w:rPr>
                <w:sz w:val="17"/>
              </w:rPr>
              <w:t>80 мест</w:t>
            </w:r>
          </w:p>
        </w:tc>
        <w:tc>
          <w:tcPr>
            <w:tcW w:w="4536" w:type="dxa"/>
          </w:tcPr>
          <w:p w:rsidR="00000000" w:rsidRDefault="00000000">
            <w:pPr>
              <w:keepNext/>
              <w:spacing w:before="40" w:after="40" w:line="180" w:lineRule="exact"/>
              <w:rPr>
                <w:sz w:val="17"/>
              </w:rPr>
            </w:pPr>
            <w:r>
              <w:rPr>
                <w:sz w:val="17"/>
              </w:rPr>
              <w:t>Программы подготовки к трудовой деятел</w:t>
            </w:r>
            <w:r>
              <w:rPr>
                <w:sz w:val="17"/>
              </w:rPr>
              <w:t>ь</w:t>
            </w:r>
            <w:r>
              <w:rPr>
                <w:sz w:val="17"/>
              </w:rPr>
              <w:t>ности</w:t>
            </w:r>
          </w:p>
        </w:tc>
      </w:tr>
      <w:tr w:rsidR="00000000">
        <w:tblPrEx>
          <w:tblCellMar>
            <w:top w:w="0" w:type="dxa"/>
            <w:bottom w:w="0" w:type="dxa"/>
          </w:tblCellMar>
        </w:tblPrEx>
        <w:tc>
          <w:tcPr>
            <w:tcW w:w="1559" w:type="dxa"/>
            <w:tcBorders>
              <w:bottom w:val="single" w:sz="12" w:space="0" w:color="auto"/>
            </w:tcBorders>
          </w:tcPr>
          <w:p w:rsidR="00000000" w:rsidRDefault="00000000">
            <w:pPr>
              <w:keepNext/>
              <w:spacing w:before="40" w:after="40" w:line="180" w:lineRule="exact"/>
              <w:rPr>
                <w:sz w:val="17"/>
              </w:rPr>
            </w:pPr>
            <w:r>
              <w:rPr>
                <w:sz w:val="17"/>
              </w:rPr>
              <w:t>Южный</w:t>
            </w:r>
          </w:p>
        </w:tc>
        <w:tc>
          <w:tcPr>
            <w:tcW w:w="1276" w:type="dxa"/>
            <w:tcBorders>
              <w:bottom w:val="single" w:sz="12" w:space="0" w:color="auto"/>
            </w:tcBorders>
          </w:tcPr>
          <w:p w:rsidR="00000000" w:rsidRDefault="00000000">
            <w:pPr>
              <w:keepNext/>
              <w:spacing w:before="40" w:after="40" w:line="180" w:lineRule="exact"/>
              <w:rPr>
                <w:sz w:val="17"/>
              </w:rPr>
            </w:pPr>
            <w:r>
              <w:rPr>
                <w:sz w:val="17"/>
              </w:rPr>
              <w:t>250 мест</w:t>
            </w:r>
          </w:p>
        </w:tc>
        <w:tc>
          <w:tcPr>
            <w:tcW w:w="4536" w:type="dxa"/>
            <w:tcBorders>
              <w:bottom w:val="single" w:sz="12" w:space="0" w:color="auto"/>
            </w:tcBorders>
          </w:tcPr>
          <w:p w:rsidR="00000000" w:rsidRDefault="00000000">
            <w:pPr>
              <w:keepNext/>
              <w:spacing w:before="40" w:after="40" w:line="180" w:lineRule="exact"/>
              <w:rPr>
                <w:sz w:val="17"/>
              </w:rPr>
            </w:pPr>
            <w:r>
              <w:rPr>
                <w:sz w:val="17"/>
              </w:rPr>
              <w:t>Программы подготовки к трудовой деятел</w:t>
            </w:r>
            <w:r>
              <w:rPr>
                <w:sz w:val="17"/>
              </w:rPr>
              <w:t>ь</w:t>
            </w:r>
            <w:r>
              <w:rPr>
                <w:sz w:val="17"/>
              </w:rPr>
              <w:t>ности</w:t>
            </w:r>
          </w:p>
        </w:tc>
      </w:tr>
    </w:tbl>
    <w:p w:rsidR="00000000" w:rsidRDefault="00000000">
      <w:pPr>
        <w:pStyle w:val="SingleTxt"/>
        <w:ind w:firstLine="0"/>
      </w:pPr>
      <w:r>
        <w:rPr>
          <w:i/>
        </w:rPr>
        <w:t>Источник</w:t>
      </w:r>
      <w:r>
        <w:t>: Министерство труда, 2001 г.</w:t>
      </w:r>
    </w:p>
    <w:p w:rsidR="00000000" w:rsidRDefault="00000000">
      <w:pPr>
        <w:pStyle w:val="SingleTxt"/>
      </w:pPr>
      <w:r>
        <w:t>Проводиться работа по оказанию помощи женщинам с высшим образов</w:t>
      </w:r>
      <w:r>
        <w:t>а</w:t>
      </w:r>
      <w:r>
        <w:t>нием, включая специальное пособие, и в настоящее время проводится тщ</w:t>
      </w:r>
      <w:r>
        <w:t>а</w:t>
      </w:r>
      <w:r>
        <w:t>тельная оценка последствий Закона СЗ.</w:t>
      </w:r>
    </w:p>
    <w:p w:rsidR="00000000" w:rsidRDefault="00000000">
      <w:pPr>
        <w:pStyle w:val="H23"/>
      </w:pPr>
      <w:r>
        <w:t>Женщины-инвалиды</w:t>
      </w:r>
    </w:p>
    <w:p w:rsidR="00000000" w:rsidRDefault="00000000">
      <w:pPr>
        <w:pStyle w:val="SingleTxt"/>
      </w:pPr>
      <w:r>
        <w:t>Государство финансирует специальные службы занятости для инвалидов, в том числе для женщин-инвалидов и лиц, страдающих психическими забол</w:t>
      </w:r>
      <w:r>
        <w:t>е</w:t>
      </w:r>
      <w:r>
        <w:t>ваниями. Цель этих служб – расширить участие инвалидов в рабочей силе и жизни их общин. Они дополняют другие финансируемые правительством пр</w:t>
      </w:r>
      <w:r>
        <w:t>о</w:t>
      </w:r>
      <w:r>
        <w:t>граммы и службы занятости, к которым могут получать доступ инвалиды нар</w:t>
      </w:r>
      <w:r>
        <w:t>я</w:t>
      </w:r>
      <w:r>
        <w:t>ду с другими категориями лиц, ищущих работу. Эти службы лишены гендерной спец</w:t>
      </w:r>
      <w:r>
        <w:t>и</w:t>
      </w:r>
      <w:r>
        <w:t>фики.</w:t>
      </w:r>
    </w:p>
    <w:p w:rsidR="00000000" w:rsidRDefault="00000000">
      <w:pPr>
        <w:pStyle w:val="SingleTxt"/>
      </w:pPr>
      <w:r>
        <w:t>«Трудоспособные» – «Нга пукенга хей вай махи» – так называется новая инициатива по оказанию помощи лицам, получающим пособия по болезни и инвалидности, в устройстве на постоянную оплачиваемую работу. В июне 2002 года общественные поставщики совместно с министерством социального развития приступили к реализации четырех двухгодичных экспериментальных проектов. Правительство ассигновало на эти экспериментальные проекты 3 мил. долл. США. Участие в них носит добровольный характер, причем при выборе услуг будет учитываться тот факт, что в некоторых районах для успе</w:t>
      </w:r>
      <w:r>
        <w:t>ш</w:t>
      </w:r>
      <w:r>
        <w:t>ного осуществления этих программ может потребоваться целостный подход. Три из четырех проектов нацелены на оказание помощи людям с психическими расстройствами, поскольку результаты последнего обзора професси</w:t>
      </w:r>
      <w:r>
        <w:t>о</w:t>
      </w:r>
      <w:r>
        <w:t>нально-технического обучения показали, что действующие службы занятости уделяют недостаточное внимание этой группе. Будет проведен полный анализ результ</w:t>
      </w:r>
      <w:r>
        <w:t>а</w:t>
      </w:r>
      <w:r>
        <w:t>тов этих проектов, чтобы выяснить, какой из них сможет наилучшим образом помочь лицам, получающим пособия по болезни и инвалидности, найти работу и з</w:t>
      </w:r>
      <w:r>
        <w:t>а</w:t>
      </w:r>
      <w:r>
        <w:t>крепиться на ней.</w:t>
      </w:r>
    </w:p>
    <w:p w:rsidR="00000000" w:rsidRDefault="00000000">
      <w:pPr>
        <w:pStyle w:val="H1"/>
      </w:pPr>
      <w:r>
        <w:t>Неоплачиваемый труд женщин</w:t>
      </w:r>
    </w:p>
    <w:p w:rsidR="00000000" w:rsidRDefault="00000000">
      <w:pPr>
        <w:pStyle w:val="SingleTxt"/>
      </w:pPr>
      <w:r>
        <w:t>См. главу 2: Антидискриминационные меры, стр. 34.</w:t>
      </w:r>
    </w:p>
    <w:p w:rsidR="00000000" w:rsidRDefault="00000000">
      <w:pPr>
        <w:pStyle w:val="H1"/>
      </w:pPr>
      <w:r>
        <w:t>Библиография</w:t>
      </w:r>
    </w:p>
    <w:p w:rsidR="00000000" w:rsidRDefault="00000000">
      <w:pPr>
        <w:spacing w:after="120"/>
        <w:ind w:left="1740" w:right="1264" w:hanging="476"/>
        <w:jc w:val="both"/>
      </w:pPr>
      <w:r>
        <w:t xml:space="preserve">Burton, Clare, 1998, </w:t>
      </w:r>
      <w:r>
        <w:rPr>
          <w:i/>
        </w:rPr>
        <w:t>Report of the Gender Integration Audit of the New Zealand Defence Force conducted by Dr Clare Burton</w:t>
      </w:r>
      <w:r>
        <w:t>, New Zealand Defence Force, Wellin</w:t>
      </w:r>
      <w:r>
        <w:t>g</w:t>
      </w:r>
      <w:r>
        <w:t>ton.</w:t>
      </w:r>
    </w:p>
    <w:p w:rsidR="00000000" w:rsidRDefault="00000000">
      <w:pPr>
        <w:spacing w:after="120"/>
        <w:ind w:left="1740" w:right="1264" w:hanging="476"/>
        <w:jc w:val="both"/>
      </w:pPr>
      <w:r>
        <w:t xml:space="preserve">Dixon, Sylvia, 1999, </w:t>
      </w:r>
      <w:r>
        <w:rPr>
          <w:i/>
        </w:rPr>
        <w:t>Gender Disparities in the Labour Market</w:t>
      </w:r>
      <w:r>
        <w:t>, Wellington.</w:t>
      </w:r>
    </w:p>
    <w:p w:rsidR="00000000" w:rsidRDefault="00000000">
      <w:pPr>
        <w:spacing w:after="120"/>
        <w:ind w:left="1740" w:right="1264" w:hanging="476"/>
        <w:jc w:val="both"/>
      </w:pPr>
      <w:r>
        <w:t xml:space="preserve">Ministry of Health, 2001, </w:t>
      </w:r>
      <w:r>
        <w:rPr>
          <w:i/>
        </w:rPr>
        <w:t>The New Zealand Disability Strategy: Maling a World of Difference – Whakanui Oranga</w:t>
      </w:r>
      <w:r>
        <w:t>, Wellington</w:t>
      </w:r>
    </w:p>
    <w:p w:rsidR="00000000" w:rsidRDefault="00000000">
      <w:pPr>
        <w:spacing w:after="120"/>
        <w:ind w:left="1740" w:right="1264" w:hanging="476"/>
        <w:jc w:val="both"/>
      </w:pPr>
      <w:r>
        <w:t xml:space="preserve">Ministry of Women’s Affairs, 1999, </w:t>
      </w:r>
      <w:r>
        <w:rPr>
          <w:i/>
        </w:rPr>
        <w:t>Homecare Workers: A Case Study of a Female Occupation</w:t>
      </w:r>
      <w:r>
        <w:t>, Wellington.</w:t>
      </w:r>
    </w:p>
    <w:p w:rsidR="00000000" w:rsidRDefault="00000000">
      <w:pPr>
        <w:spacing w:after="120"/>
        <w:ind w:left="1740" w:right="1264" w:hanging="476"/>
        <w:jc w:val="both"/>
      </w:pPr>
      <w:r>
        <w:t xml:space="preserve">Ministry of Women’s Affairs, 1999, </w:t>
      </w:r>
      <w:r>
        <w:rPr>
          <w:i/>
        </w:rPr>
        <w:t>Performance Pay Systems and Equity: An Analysis in Five New Zealand O</w:t>
      </w:r>
      <w:r>
        <w:rPr>
          <w:i/>
        </w:rPr>
        <w:t>r</w:t>
      </w:r>
      <w:r>
        <w:rPr>
          <w:i/>
        </w:rPr>
        <w:t>ganisations</w:t>
      </w:r>
      <w:r>
        <w:t>, Wellington.</w:t>
      </w:r>
    </w:p>
    <w:p w:rsidR="00000000" w:rsidRDefault="00000000">
      <w:pPr>
        <w:spacing w:after="120"/>
        <w:ind w:left="1740" w:right="1264" w:hanging="476"/>
        <w:jc w:val="both"/>
      </w:pPr>
      <w:r>
        <w:t xml:space="preserve">Ministry of Women”s Affairs, 2001, </w:t>
      </w:r>
      <w:r>
        <w:rPr>
          <w:i/>
        </w:rPr>
        <w:t>Maori Women:: Mapping Inequalities &amp; Pointing Ways Forward</w:t>
      </w:r>
      <w:r>
        <w:t>, Wellin</w:t>
      </w:r>
      <w:r>
        <w:t>g</w:t>
      </w:r>
      <w:r>
        <w:t>ton.</w:t>
      </w:r>
    </w:p>
    <w:p w:rsidR="00000000" w:rsidRDefault="00000000">
      <w:pPr>
        <w:spacing w:after="120"/>
        <w:ind w:left="1740" w:right="1264" w:hanging="476"/>
        <w:jc w:val="both"/>
      </w:pPr>
      <w:r>
        <w:t>Ministry of Women”s Affairs, 2002,</w:t>
      </w:r>
      <w:r>
        <w:rPr>
          <w:i/>
        </w:rPr>
        <w:t xml:space="preserve"> Next Steps Towards Pay Equity: A Discussion Document for Consultation</w:t>
      </w:r>
      <w:r>
        <w:t>, Wellington.</w:t>
      </w:r>
    </w:p>
    <w:p w:rsidR="00000000" w:rsidRDefault="00000000">
      <w:pPr>
        <w:spacing w:after="120"/>
        <w:ind w:left="1740" w:right="1264" w:hanging="476"/>
        <w:jc w:val="both"/>
      </w:pPr>
      <w:r>
        <w:t xml:space="preserve">National Advisory Council on the Employment of Women and the Department of Labour, 1999, </w:t>
      </w:r>
      <w:r>
        <w:rPr>
          <w:i/>
        </w:rPr>
        <w:t>Childcare, Families and Work: The New Zealand Childcare Survey 1998: A Survey of Childhood Education and Care Arrangements for Children</w:t>
      </w:r>
      <w:r>
        <w:t>, L</w:t>
      </w:r>
      <w:r>
        <w:t>a</w:t>
      </w:r>
      <w:r>
        <w:t>bour Market Policy Group, Department of Labour, Wellington.</w:t>
      </w:r>
    </w:p>
    <w:p w:rsidR="00000000" w:rsidRDefault="00000000">
      <w:pPr>
        <w:spacing w:after="120"/>
        <w:ind w:left="1740" w:right="1264" w:hanging="476"/>
        <w:jc w:val="both"/>
      </w:pPr>
      <w:r>
        <w:t>Preliminary Report of the Holidays Act Advisory Group to the Minister of Labour, May 2001, Wellington</w:t>
      </w:r>
    </w:p>
    <w:p w:rsidR="00000000" w:rsidRDefault="00000000">
      <w:pPr>
        <w:spacing w:after="120"/>
        <w:ind w:left="1740" w:right="1264" w:hanging="476"/>
        <w:jc w:val="both"/>
      </w:pPr>
      <w:r>
        <w:t xml:space="preserve">Report of the Advisory Group on Contracting Out and Sale and Transfer of Buisiness to the Minister of Labour, April 2001, </w:t>
      </w:r>
      <w:r>
        <w:rPr>
          <w:i/>
        </w:rPr>
        <w:t>Minimum Employment Standards R</w:t>
      </w:r>
      <w:r>
        <w:rPr>
          <w:i/>
        </w:rPr>
        <w:t>e</w:t>
      </w:r>
      <w:r>
        <w:rPr>
          <w:i/>
        </w:rPr>
        <w:t>view</w:t>
      </w:r>
      <w:r>
        <w:t>, Wellington.</w:t>
      </w:r>
    </w:p>
    <w:p w:rsidR="00000000" w:rsidRDefault="00000000">
      <w:pPr>
        <w:spacing w:after="120"/>
        <w:ind w:left="1740" w:right="1264" w:hanging="476"/>
        <w:jc w:val="both"/>
      </w:pPr>
      <w:r>
        <w:t xml:space="preserve">State Services Commission, 2002, </w:t>
      </w:r>
      <w:r>
        <w:rPr>
          <w:i/>
        </w:rPr>
        <w:t>Career Progression and Development Survey, 2000: Results for the New Ze</w:t>
      </w:r>
      <w:r>
        <w:rPr>
          <w:i/>
        </w:rPr>
        <w:t>a</w:t>
      </w:r>
      <w:r>
        <w:rPr>
          <w:i/>
        </w:rPr>
        <w:t>land Public Service</w:t>
      </w:r>
      <w:r>
        <w:t xml:space="preserve">, Wellington. </w:t>
      </w:r>
    </w:p>
    <w:p w:rsidR="00000000" w:rsidRDefault="00000000">
      <w:pPr>
        <w:spacing w:after="120"/>
        <w:ind w:left="1740" w:right="1264" w:hanging="476"/>
        <w:jc w:val="both"/>
      </w:pPr>
      <w:r>
        <w:t xml:space="preserve">Statistics New Zealand, </w:t>
      </w:r>
      <w:r>
        <w:rPr>
          <w:i/>
        </w:rPr>
        <w:t>Household Labour Force Survey</w:t>
      </w:r>
      <w:r>
        <w:t>, Wellington.</w:t>
      </w:r>
    </w:p>
    <w:p w:rsidR="00000000" w:rsidRDefault="00000000">
      <w:pPr>
        <w:pStyle w:val="HCh"/>
        <w:pageBreakBefore/>
        <w:spacing w:before="0"/>
      </w:pPr>
      <w:bookmarkStart w:id="31" w:name="_Toc30302896"/>
      <w:r>
        <w:t>Статья 12</w:t>
      </w:r>
      <w:bookmarkEnd w:id="31"/>
    </w:p>
    <w:p w:rsidR="00000000" w:rsidRDefault="00000000">
      <w:pPr>
        <w:pStyle w:val="HCh"/>
      </w:pPr>
      <w:bookmarkStart w:id="32" w:name="_Toc30302897"/>
      <w:r>
        <w:t>Здравоохранение</w:t>
      </w:r>
      <w:bookmarkEnd w:id="32"/>
    </w:p>
    <w:p w:rsidR="00000000" w:rsidRDefault="00000000">
      <w:pPr>
        <w:pStyle w:val="SingleTxt"/>
        <w:ind w:left="1740" w:hanging="476"/>
        <w:rPr>
          <w:i/>
        </w:rPr>
      </w:pPr>
      <w:r>
        <w:tab/>
      </w:r>
      <w:r>
        <w:rPr>
          <w:i/>
        </w:rPr>
        <w:t>1.</w:t>
      </w:r>
      <w:r>
        <w:rPr>
          <w:i/>
        </w:rPr>
        <w:tab/>
        <w:t>Государства-участники принимают все соответствующие меры для ли</w:t>
      </w:r>
      <w:r>
        <w:rPr>
          <w:i/>
        </w:rPr>
        <w:t>к</w:t>
      </w:r>
      <w:r>
        <w:rPr>
          <w:i/>
        </w:rPr>
        <w:t>видации дискриминации в отношении женщин в области здравоохран</w:t>
      </w:r>
      <w:r>
        <w:rPr>
          <w:i/>
        </w:rPr>
        <w:t>е</w:t>
      </w:r>
      <w:r>
        <w:rPr>
          <w:i/>
        </w:rPr>
        <w:t>ния, с тем чтобы обеспечить на основе равенства мужчин и женщин доступ к медицинскому обслуживанию, в частности в том, что касается планирования семьи.</w:t>
      </w:r>
    </w:p>
    <w:p w:rsidR="00000000" w:rsidRDefault="00000000">
      <w:pPr>
        <w:pStyle w:val="SingleTxt"/>
        <w:ind w:left="1740" w:hanging="476"/>
        <w:rPr>
          <w:i/>
        </w:rPr>
      </w:pPr>
      <w:r>
        <w:rPr>
          <w:i/>
        </w:rPr>
        <w:tab/>
        <w:t>2.</w:t>
      </w:r>
      <w:r>
        <w:rPr>
          <w:i/>
        </w:rPr>
        <w:tab/>
        <w:t>Наряду с положениями пункта 1 этой статьи государства-участники обеспечивают женщинам соответствующее обслуживание в период б</w:t>
      </w:r>
      <w:r>
        <w:rPr>
          <w:i/>
        </w:rPr>
        <w:t>е</w:t>
      </w:r>
      <w:r>
        <w:rPr>
          <w:i/>
        </w:rPr>
        <w:t>ременности, родов и послеродовой период, предоставляя, когда это нео</w:t>
      </w:r>
      <w:r>
        <w:rPr>
          <w:i/>
        </w:rPr>
        <w:t>б</w:t>
      </w:r>
      <w:r>
        <w:rPr>
          <w:i/>
        </w:rPr>
        <w:t>ходимо, бесплатные услуги а также соответствующее питание в период беременности и кормления.</w:t>
      </w:r>
    </w:p>
    <w:p w:rsidR="00000000" w:rsidRDefault="00000000">
      <w:pPr>
        <w:pStyle w:val="H1"/>
      </w:pPr>
      <w:r>
        <w:t xml:space="preserve">Система здравоохранения Новой Зеландии </w:t>
      </w:r>
    </w:p>
    <w:p w:rsidR="00000000" w:rsidRDefault="00000000">
      <w:pPr>
        <w:pStyle w:val="SingleTxt"/>
      </w:pPr>
      <w:r>
        <w:t>Государственное финансирование большинства услуг, доступ к которым основывается на принципе необходимости, является краеугольным камнем си</w:t>
      </w:r>
      <w:r>
        <w:t>с</w:t>
      </w:r>
      <w:r>
        <w:t>темы здравоохранения Новой Зеландии. Основной объем медицинской помощи в Новой Зеландии предоставляется бесплатно за исключением первичной м</w:t>
      </w:r>
      <w:r>
        <w:t>е</w:t>
      </w:r>
      <w:r>
        <w:t>дицинской помощи, где введена плата за услуги для граждан старше шести лет, хотя люди с низкими доходами или лица, которые постоянно нуждаются в т</w:t>
      </w:r>
      <w:r>
        <w:t>а</w:t>
      </w:r>
      <w:r>
        <w:t>кой помощи, могут получать субсидируемую п</w:t>
      </w:r>
      <w:r>
        <w:t>о</w:t>
      </w:r>
      <w:r>
        <w:t>мощь.</w:t>
      </w:r>
    </w:p>
    <w:p w:rsidR="00000000" w:rsidRDefault="00000000">
      <w:pPr>
        <w:pStyle w:val="SingleTxt"/>
      </w:pPr>
      <w:r>
        <w:t>Однако в финансируемой государством системе предоставляются не все медицинские услуги. Гражданам иногда приходится ждать, чтобы получить ту или иную помощь, особенно, когда речь идет о несрочном (факультативном) лечении, и они могут свободно лечиться в частном секторе, если они способны за это платить.</w:t>
      </w:r>
    </w:p>
    <w:p w:rsidR="00000000" w:rsidRDefault="00000000">
      <w:pPr>
        <w:pStyle w:val="H23"/>
      </w:pPr>
      <w:r>
        <w:t xml:space="preserve">Недавние структурные реформы </w:t>
      </w:r>
    </w:p>
    <w:p w:rsidR="00000000" w:rsidRDefault="00000000">
      <w:pPr>
        <w:pStyle w:val="SingleTxt"/>
      </w:pPr>
      <w:r>
        <w:t>В последние десять лет организация здравоохранения и помощи инвал</w:t>
      </w:r>
      <w:r>
        <w:t>и</w:t>
      </w:r>
      <w:r>
        <w:t>дам в Новой Зеландии менялась несколько раз. Эта система эволюционировала от рыночной модели «покупатель/поставщик» к применяемой в настоящее вр</w:t>
      </w:r>
      <w:r>
        <w:t>е</w:t>
      </w:r>
      <w:r>
        <w:t>мя более массовой модели.</w:t>
      </w:r>
    </w:p>
    <w:p w:rsidR="00000000" w:rsidRDefault="00000000">
      <w:pPr>
        <w:pStyle w:val="SingleTxt"/>
      </w:pPr>
      <w:r>
        <w:t>В соответствии с новым Законом 2000 года об общественном здравоохр</w:t>
      </w:r>
      <w:r>
        <w:t>а</w:t>
      </w:r>
      <w:r>
        <w:t>нении и инвалидности Новой Зеландии была создана структура, отражающая стремление отойти от централизованного подхода к процессу принятия реш</w:t>
      </w:r>
      <w:r>
        <w:t>е</w:t>
      </w:r>
      <w:r>
        <w:t>ний. С этой целью был учреждена 21 окружная медико-санитарная комиссия (ОМСК). На эти комиссии возложена ответственность за оказание медико-санитарных услуг населению и организацию клинической неотложной помощи в четко о</w:t>
      </w:r>
      <w:r>
        <w:t>п</w:t>
      </w:r>
      <w:r>
        <w:t>ределенных географических районах.</w:t>
      </w:r>
    </w:p>
    <w:p w:rsidR="00000000" w:rsidRDefault="00000000">
      <w:pPr>
        <w:pStyle w:val="SingleTxt"/>
      </w:pPr>
      <w:r>
        <w:t>Планируется, что для удовлетворения местных потребностей ОМСК б</w:t>
      </w:r>
      <w:r>
        <w:t>у</w:t>
      </w:r>
      <w:r>
        <w:t>дут закупать и оказывать такие услуги. Все это отражает отход от модели пе</w:t>
      </w:r>
      <w:r>
        <w:t>р</w:t>
      </w:r>
      <w:r>
        <w:t>вичной медико-санитарной помощи, в которой существовало деление на пок</w:t>
      </w:r>
      <w:r>
        <w:t>у</w:t>
      </w:r>
      <w:r>
        <w:t>пателей и поставщиков услуг. Большинство членов советов этих комиссий и</w:t>
      </w:r>
      <w:r>
        <w:t>з</w:t>
      </w:r>
      <w:r>
        <w:t>бираются (разбивку членов этих советов по полу и этнической принадлежности см. статью 7: Политическая и общественная жизнь). Задачи этих отделов нац</w:t>
      </w:r>
      <w:r>
        <w:t>е</w:t>
      </w:r>
      <w:r>
        <w:t>лены на укрепление здоровья женщин и расширению их уч</w:t>
      </w:r>
      <w:r>
        <w:t>а</w:t>
      </w:r>
      <w:r>
        <w:t>стия в этой сфере.</w:t>
      </w:r>
    </w:p>
    <w:p w:rsidR="00000000" w:rsidRDefault="00000000">
      <w:pPr>
        <w:pStyle w:val="H23"/>
      </w:pPr>
      <w:r>
        <w:t>Новозеландская стратегия в области здравоохранения</w:t>
      </w:r>
    </w:p>
    <w:p w:rsidR="00000000" w:rsidRDefault="00000000">
      <w:pPr>
        <w:pStyle w:val="SingleTxt"/>
      </w:pPr>
      <w:r>
        <w:t>Стратегия Новой Зеландии в области здравоохранения (НЗСЗ) закладыв</w:t>
      </w:r>
      <w:r>
        <w:t>а</w:t>
      </w:r>
      <w:r>
        <w:t>ет основу, на которой в кратко- и среднесрочной перспективе может развиват</w:t>
      </w:r>
      <w:r>
        <w:t>ь</w:t>
      </w:r>
      <w:r>
        <w:t>ся сектор здравоохранения. Важное место в ней занимают приоритеты, которые были установлены после анализа вероятных направлений, способных макс</w:t>
      </w:r>
      <w:r>
        <w:t>и</w:t>
      </w:r>
      <w:r>
        <w:t>мально укрепить здоровье, и после широких консультаций с общественностью. Из 61 одной задачи в НЗСЗ определяются 13 приоритетных направлений укр</w:t>
      </w:r>
      <w:r>
        <w:t>е</w:t>
      </w:r>
      <w:r>
        <w:t>пления здоровья населения, на которых следует сосредоточить усилия в кра</w:t>
      </w:r>
      <w:r>
        <w:t>т</w:t>
      </w:r>
      <w:r>
        <w:t>косрочной и среднесрочной перспективе, причем все они имеют отношение к укреплению здоровья женщин. НЗСЗ направлена на укрепление здоровья нас</w:t>
      </w:r>
      <w:r>
        <w:t>е</w:t>
      </w:r>
      <w:r>
        <w:t>ления, устранение неравенства в сфере здравоохранения и улучшение качества услуг. В ней подтверждается, что в здравоохранении гендерный фактор являе</w:t>
      </w:r>
      <w:r>
        <w:t>т</w:t>
      </w:r>
      <w:r>
        <w:t>ся определяющим. Кроме упомянутых 13 приоритетных областей непосредс</w:t>
      </w:r>
      <w:r>
        <w:t>т</w:t>
      </w:r>
      <w:r>
        <w:t>венно женщин касаются три следующих направления:</w:t>
      </w:r>
    </w:p>
    <w:p w:rsidR="00000000" w:rsidRDefault="00000000">
      <w:pPr>
        <w:pStyle w:val="dot"/>
      </w:pPr>
      <w:r>
        <w:tab/>
      </w:r>
      <w:r>
        <w:tab/>
        <w:t>•</w:t>
      </w:r>
      <w:r>
        <w:tab/>
        <w:t>мероприятия и программы, содействующие грудному вскармливанию</w:t>
      </w:r>
    </w:p>
    <w:p w:rsidR="00000000" w:rsidRDefault="00000000">
      <w:pPr>
        <w:pStyle w:val="dot"/>
      </w:pPr>
      <w:r>
        <w:tab/>
      </w:r>
      <w:r>
        <w:tab/>
        <w:t>•</w:t>
      </w:r>
      <w:r>
        <w:tab/>
        <w:t>укрепление сексуального и репродуктивного здоровья</w:t>
      </w:r>
    </w:p>
    <w:p w:rsidR="00000000" w:rsidRDefault="00000000">
      <w:pPr>
        <w:pStyle w:val="dot"/>
      </w:pPr>
      <w:r>
        <w:tab/>
      </w:r>
      <w:r>
        <w:tab/>
        <w:t>•</w:t>
      </w:r>
      <w:r>
        <w:tab/>
        <w:t>обеспечение доступа к необходимым службам первичной медико-санитарной помощи, охраны материнства и общественного здравоохран</w:t>
      </w:r>
      <w:r>
        <w:t>е</w:t>
      </w:r>
      <w:r>
        <w:t>ния.</w:t>
      </w:r>
    </w:p>
    <w:p w:rsidR="00000000" w:rsidRDefault="00000000">
      <w:pPr>
        <w:pStyle w:val="SingleTxt"/>
      </w:pPr>
      <w:r>
        <w:t>НЗСЗ, стратегия в области первичной медико-санитарной помощи и стр</w:t>
      </w:r>
      <w:r>
        <w:t>а</w:t>
      </w:r>
      <w:r>
        <w:t>тегия помощи инвалидам образуют стратегическое направление развития се</w:t>
      </w:r>
      <w:r>
        <w:t>к</w:t>
      </w:r>
      <w:r>
        <w:t>тора здравоохранения и помощи инвалидам. Они подкрепляются рядом более специализированных стратегий, в частности такими, как стратегия укрепления здоровья маори, стратегия укрепления здоровья пожилых людей и стратегия укрепления сексуального и репроду</w:t>
      </w:r>
      <w:r>
        <w:t>к</w:t>
      </w:r>
      <w:r>
        <w:t>тивного здоровья.</w:t>
      </w:r>
    </w:p>
    <w:p w:rsidR="00000000" w:rsidRDefault="00000000">
      <w:pPr>
        <w:pStyle w:val="SingleTxt"/>
      </w:pPr>
      <w:r>
        <w:t>НЗСЗ будет осуществляться путем:</w:t>
      </w:r>
    </w:p>
    <w:p w:rsidR="00000000" w:rsidRDefault="00000000">
      <w:pPr>
        <w:pStyle w:val="dot"/>
      </w:pPr>
      <w:r>
        <w:tab/>
      </w:r>
      <w:r>
        <w:tab/>
        <w:t>•</w:t>
      </w:r>
      <w:r>
        <w:tab/>
        <w:t>разработки пакета программ, определяющих меры, которые могли бы предпринять различные организации и поставщики для достижения пе</w:t>
      </w:r>
      <w:r>
        <w:t>р</w:t>
      </w:r>
      <w:r>
        <w:t>воочередных целей</w:t>
      </w:r>
    </w:p>
    <w:p w:rsidR="00000000" w:rsidRDefault="00000000">
      <w:pPr>
        <w:pStyle w:val="dot"/>
      </w:pPr>
      <w:r>
        <w:tab/>
      </w:r>
      <w:r>
        <w:tab/>
        <w:t>•</w:t>
      </w:r>
      <w:r>
        <w:tab/>
        <w:t>разработки подробных прикладных стратегий по конкретным проблемам здр</w:t>
      </w:r>
      <w:r>
        <w:t>а</w:t>
      </w:r>
      <w:r>
        <w:t>воохранения, услугам и группам населения</w:t>
      </w:r>
    </w:p>
    <w:p w:rsidR="00000000" w:rsidRDefault="00000000">
      <w:pPr>
        <w:pStyle w:val="dot"/>
      </w:pPr>
      <w:r>
        <w:tab/>
      </w:r>
      <w:r>
        <w:tab/>
        <w:t>•</w:t>
      </w:r>
      <w:r>
        <w:tab/>
        <w:t>заключения соглашений о реализации и финансировании между мин</w:t>
      </w:r>
      <w:r>
        <w:t>и</w:t>
      </w:r>
      <w:r>
        <w:t>стерством здравоохр</w:t>
      </w:r>
      <w:r>
        <w:t>а</w:t>
      </w:r>
      <w:r>
        <w:t>нения, ОМСК и поставщиками услуг.</w:t>
      </w:r>
    </w:p>
    <w:p w:rsidR="00000000" w:rsidRDefault="00000000">
      <w:pPr>
        <w:pStyle w:val="SingleTxt"/>
      </w:pPr>
      <w:r>
        <w:t>В соответствии с Законом 2000 года об общественном здравоохранении и инвалидности министр здравоохранения обязан ежегодно представлять парл</w:t>
      </w:r>
      <w:r>
        <w:t>а</w:t>
      </w:r>
      <w:r>
        <w:t xml:space="preserve">менту доклад о ходе выполнения НЗСЗ. Первый доклад, озаглавленный </w:t>
      </w:r>
      <w:r>
        <w:rPr>
          <w:i/>
        </w:rPr>
        <w:t>«Здр</w:t>
      </w:r>
      <w:r>
        <w:rPr>
          <w:i/>
        </w:rPr>
        <w:t>а</w:t>
      </w:r>
      <w:r>
        <w:rPr>
          <w:i/>
        </w:rPr>
        <w:t>воохранительная стратегия Новой Зеландии в 2001 году»</w:t>
      </w:r>
      <w:r>
        <w:t>, был представлен в д</w:t>
      </w:r>
      <w:r>
        <w:t>е</w:t>
      </w:r>
      <w:r>
        <w:t>кабре 2001 года.</w:t>
      </w:r>
    </w:p>
    <w:p w:rsidR="00000000" w:rsidRDefault="00000000">
      <w:pPr>
        <w:pStyle w:val="H23"/>
      </w:pPr>
      <w:r>
        <w:t>Стратегия в области первичной медико-санитарной помощи</w:t>
      </w:r>
    </w:p>
    <w:p w:rsidR="00000000" w:rsidRDefault="00000000">
      <w:pPr>
        <w:pStyle w:val="SingleTxt"/>
      </w:pPr>
      <w:r>
        <w:t>Одиннадцатого декабря 2000 года кабинет утвердил стратегию в области первичной медико-санитарной помощи, в которой упор делается на укрепление здоровья новозеландцев и преодоление неравенства в сфере здравоохранения путем развития прочной системы первичной медико-санитарной помощи. К основным элементам этой стратегии относятся:</w:t>
      </w:r>
    </w:p>
    <w:p w:rsidR="00000000" w:rsidRDefault="00000000">
      <w:pPr>
        <w:pStyle w:val="dot"/>
      </w:pPr>
      <w:r>
        <w:tab/>
      </w:r>
      <w:r>
        <w:tab/>
        <w:t>•</w:t>
      </w:r>
      <w:r>
        <w:tab/>
        <w:t>создание первичных учреждений здравоохранения (ПУЗ), финансируемых ОМСК в завис</w:t>
      </w:r>
      <w:r>
        <w:t>и</w:t>
      </w:r>
      <w:r>
        <w:t>мости от обслуживаемого ими населения</w:t>
      </w:r>
    </w:p>
    <w:p w:rsidR="00000000" w:rsidRDefault="00000000">
      <w:pPr>
        <w:pStyle w:val="dot"/>
      </w:pPr>
      <w:r>
        <w:tab/>
      </w:r>
      <w:r>
        <w:tab/>
        <w:t>•</w:t>
      </w:r>
      <w:r>
        <w:tab/>
        <w:t>первоочередное внимание потребностям населения путем скоординир</w:t>
      </w:r>
      <w:r>
        <w:t>о</w:t>
      </w:r>
      <w:r>
        <w:t xml:space="preserve">ванного оказания услуг по укреплению, сохранению и восстановлению здоровья </w:t>
      </w:r>
    </w:p>
    <w:p w:rsidR="00000000" w:rsidRDefault="00000000">
      <w:pPr>
        <w:pStyle w:val="dot"/>
      </w:pPr>
      <w:r>
        <w:tab/>
      </w:r>
      <w:r>
        <w:tab/>
        <w:t>•</w:t>
      </w:r>
      <w:r>
        <w:tab/>
        <w:t>финансирование, независящее от специализации врача и количества п</w:t>
      </w:r>
      <w:r>
        <w:t>о</w:t>
      </w:r>
      <w:r>
        <w:t>сещений, что тем самым позволяет применять инновационные модели оказания помощи и оптимально определять с</w:t>
      </w:r>
      <w:r>
        <w:t>о</w:t>
      </w:r>
      <w:r>
        <w:t>став врачей</w:t>
      </w:r>
    </w:p>
    <w:p w:rsidR="00000000" w:rsidRDefault="00000000">
      <w:pPr>
        <w:pStyle w:val="dot"/>
      </w:pPr>
      <w:r>
        <w:tab/>
      </w:r>
      <w:r>
        <w:tab/>
        <w:t>•</w:t>
      </w:r>
      <w:r>
        <w:tab/>
        <w:t>гарантированное обеспечение своевременного и равноправного доступа всех новозеландцев к услугам независимо от их платежеспособности.</w:t>
      </w:r>
    </w:p>
    <w:p w:rsidR="00000000" w:rsidRDefault="00000000">
      <w:pPr>
        <w:pStyle w:val="SingleTxt"/>
      </w:pPr>
      <w:r>
        <w:t>ПУЗ являются организациями местных поставщиков услуг, через которые ОМСК будут реализов</w:t>
      </w:r>
      <w:r>
        <w:t>ы</w:t>
      </w:r>
      <w:r>
        <w:t>вать стратегию в области первичной медико-санитарной помощи. Они будут предоставлять населению, по меньшей мере, минимальный набор необходимых массовых и индивидуальных услуг. Они б</w:t>
      </w:r>
      <w:r>
        <w:t>у</w:t>
      </w:r>
      <w:r>
        <w:t>дут некоммерческими учреждениями, в полном объеме и открыто отвечающ</w:t>
      </w:r>
      <w:r>
        <w:t>и</w:t>
      </w:r>
      <w:r>
        <w:t>ми за использование государственных средств и за качество и эффективность услуг. С 1 июля 2002 года поставщики, сотрудничающие со своими ОМСК, м</w:t>
      </w:r>
      <w:r>
        <w:t>о</w:t>
      </w:r>
      <w:r>
        <w:t>гут создавать самостоятельные ПУЗ. В формуле с использованием ОМСК с</w:t>
      </w:r>
      <w:r>
        <w:t>а</w:t>
      </w:r>
      <w:r>
        <w:t>мое пристальное внимание уделяется удовлетворению потребностей женщин детородного возраста и пожилых женщин. В схеме финансирования и в страт</w:t>
      </w:r>
      <w:r>
        <w:t>е</w:t>
      </w:r>
      <w:r>
        <w:t>гии в области первичной медико-санитарной помощи главный упор на удовл</w:t>
      </w:r>
      <w:r>
        <w:t>е</w:t>
      </w:r>
      <w:r>
        <w:t>творение потребностей населения также означает, что женщинам будет оказ</w:t>
      </w:r>
      <w:r>
        <w:t>ы</w:t>
      </w:r>
      <w:r>
        <w:t>ваться больше помощи и предоставляться больше средств, поскольку на них ложится основное бремя ухода за детьми и престар</w:t>
      </w:r>
      <w:r>
        <w:t>е</w:t>
      </w:r>
      <w:r>
        <w:t>лыми.</w:t>
      </w:r>
    </w:p>
    <w:p w:rsidR="00000000" w:rsidRDefault="00000000">
      <w:pPr>
        <w:pStyle w:val="H1"/>
      </w:pPr>
      <w:r>
        <w:t>Укрепление здоровья маори</w:t>
      </w:r>
    </w:p>
    <w:p w:rsidR="00000000" w:rsidRDefault="00000000">
      <w:pPr>
        <w:pStyle w:val="H23"/>
      </w:pPr>
      <w:r>
        <w:t>«Хе коровай оранга» – стратегия в области укрепления здоровья маори</w:t>
      </w:r>
    </w:p>
    <w:p w:rsidR="00000000" w:rsidRDefault="00000000">
      <w:pPr>
        <w:pStyle w:val="SingleTxt"/>
      </w:pPr>
      <w:r>
        <w:t>«Хе коровай оранга» разрабатывается с целью обеспечить решение задач по укреплению здоровья маори, намеченных в Законе 2000 года об обществе</w:t>
      </w:r>
      <w:r>
        <w:t>н</w:t>
      </w:r>
      <w:r>
        <w:t>ном здравоохранении и инвалидности и НЗСЗ. В апреле 2001 года был опубл</w:t>
      </w:r>
      <w:r>
        <w:t>и</w:t>
      </w:r>
      <w:r>
        <w:t>кован дискуссионный документ, содержащий проект стратегии, а ее оконч</w:t>
      </w:r>
      <w:r>
        <w:t>а</w:t>
      </w:r>
      <w:r>
        <w:t>тельный вариант в настоящее время находится на утверждении правительства. Одновременно будет опубликован «Вакататака», план реализации этой страт</w:t>
      </w:r>
      <w:r>
        <w:t>е</w:t>
      </w:r>
      <w:r>
        <w:t>гии.</w:t>
      </w:r>
    </w:p>
    <w:p w:rsidR="00000000" w:rsidRDefault="00000000">
      <w:pPr>
        <w:ind w:left="1264" w:right="1264"/>
        <w:jc w:val="both"/>
      </w:pPr>
      <w:r>
        <w:t>Для достижения цели «ванау ора» (благополучие семьи) в стратегии намечаю</w:t>
      </w:r>
      <w:r>
        <w:t>т</w:t>
      </w:r>
      <w:r>
        <w:t>ся четыре направления:</w:t>
      </w:r>
    </w:p>
    <w:p w:rsidR="00000000" w:rsidRDefault="00000000">
      <w:pPr>
        <w:pStyle w:val="dot"/>
      </w:pPr>
      <w:r>
        <w:tab/>
      </w:r>
      <w:r>
        <w:tab/>
        <w:t>•</w:t>
      </w:r>
      <w:r>
        <w:tab/>
        <w:t>первое направление: развитие “ванау, хапу и иви” и общин маори</w:t>
      </w:r>
    </w:p>
    <w:p w:rsidR="00000000" w:rsidRDefault="00000000">
      <w:pPr>
        <w:pStyle w:val="dot"/>
      </w:pPr>
      <w:r>
        <w:tab/>
      </w:r>
      <w:r>
        <w:tab/>
        <w:t>•</w:t>
      </w:r>
      <w:r>
        <w:tab/>
        <w:t>второе направление: участие маори</w:t>
      </w:r>
    </w:p>
    <w:p w:rsidR="00000000" w:rsidRDefault="00000000">
      <w:pPr>
        <w:pStyle w:val="dot"/>
      </w:pPr>
      <w:r>
        <w:tab/>
      </w:r>
      <w:r>
        <w:tab/>
        <w:t>•</w:t>
      </w:r>
      <w:r>
        <w:tab/>
        <w:t>третье направление: эффективные медико-санитарные службы и службы п</w:t>
      </w:r>
      <w:r>
        <w:t>о</w:t>
      </w:r>
      <w:r>
        <w:t>мощи инвалидам</w:t>
      </w:r>
    </w:p>
    <w:p w:rsidR="00000000" w:rsidRDefault="00000000">
      <w:pPr>
        <w:pStyle w:val="dot"/>
      </w:pPr>
      <w:r>
        <w:tab/>
      </w:r>
      <w:r>
        <w:tab/>
        <w:t>•</w:t>
      </w:r>
      <w:r>
        <w:tab/>
        <w:t>четвертое направление: сотрудничество со всеми секторам</w:t>
      </w:r>
    </w:p>
    <w:p w:rsidR="00000000" w:rsidRDefault="00000000">
      <w:pPr>
        <w:pStyle w:val="H23"/>
      </w:pPr>
      <w:r>
        <w:t>Развитие служб медико-санитарной помощи для маори</w:t>
      </w:r>
    </w:p>
    <w:p w:rsidR="00000000" w:rsidRDefault="00000000">
      <w:pPr>
        <w:pStyle w:val="SingleTxt"/>
      </w:pPr>
      <w:r>
        <w:t>Программа развития служб медико-санитарной помощи для маори (ПРМС) финансируется уже ч</w:t>
      </w:r>
      <w:r>
        <w:t>е</w:t>
      </w:r>
      <w:r>
        <w:t>тыре года. В 2000/2001 годах медико-санитарным службам маори было выделено 10 мил. долл. США на подготовку клинических руководств, нормативов, создание инфраструктуры и професси</w:t>
      </w:r>
      <w:r>
        <w:t>о</w:t>
      </w:r>
      <w:r>
        <w:t>нальное обучение по ряду направлений, включая административное управл</w:t>
      </w:r>
      <w:r>
        <w:t>е</w:t>
      </w:r>
      <w:r>
        <w:t>ние, финансовый менеджмент, консультации, “те рео” (язык маори) и “тиканга” (обычаи).</w:t>
      </w:r>
    </w:p>
    <w:p w:rsidR="00000000" w:rsidRDefault="00000000">
      <w:pPr>
        <w:pStyle w:val="SingleTxt"/>
      </w:pPr>
      <w:r>
        <w:t>Помощь на подготовку кадров, которая предназначена для людей, уже р</w:t>
      </w:r>
      <w:r>
        <w:t>а</w:t>
      </w:r>
      <w:r>
        <w:t>ботающих в здравоохранительных организациях маори, дополняют стипендии, выделяемые маори для учебы в медицинских учебных заведениях. В 2001 году стипендии получили 446 студентов, т.е. 97% всех заявителей. Из всех лиц, п</w:t>
      </w:r>
      <w:r>
        <w:t>о</w:t>
      </w:r>
      <w:r>
        <w:t>лучивших стипендии, 16% приходилось на учащихся последнего года обуч</w:t>
      </w:r>
      <w:r>
        <w:t>е</w:t>
      </w:r>
      <w:r>
        <w:t>ния. К стипендиатам относились учащиеся шестого и седьмого классов сре</w:t>
      </w:r>
      <w:r>
        <w:t>д</w:t>
      </w:r>
      <w:r>
        <w:t>ней школы, врачи, медицинские сестры, акушерки, физиотерапевты, стомат</w:t>
      </w:r>
      <w:r>
        <w:t>о</w:t>
      </w:r>
      <w:r>
        <w:t>логи-терапевты, стоматологи-гигиенисты, фармакологи и общинные социал</w:t>
      </w:r>
      <w:r>
        <w:t>ь</w:t>
      </w:r>
      <w:r>
        <w:t>ные работники. Разбивки по полу не имеется.</w:t>
      </w:r>
    </w:p>
    <w:p w:rsidR="00000000" w:rsidRDefault="00000000">
      <w:pPr>
        <w:pStyle w:val="H23"/>
      </w:pPr>
      <w:r>
        <w:t xml:space="preserve">Передвижная государственная амбулаторно-профилактическая служба </w:t>
      </w:r>
    </w:p>
    <w:p w:rsidR="00000000" w:rsidRDefault="00000000">
      <w:pPr>
        <w:pStyle w:val="SingleTxt"/>
      </w:pPr>
      <w:r>
        <w:t>Передвижная государственная амбулаторно-профилактическая служба представляет собой новую передвижную сестринскую службу, цель которой состоит в том, чтобы расширить доступ маори к медицинской помощи при з</w:t>
      </w:r>
      <w:r>
        <w:t>а</w:t>
      </w:r>
      <w:r>
        <w:t>болеваниях легких, сердца и диабете. Конкретно, перед службой ставятся зад</w:t>
      </w:r>
      <w:r>
        <w:t>а</w:t>
      </w:r>
      <w:r>
        <w:t>чи раннего выявления и вмешательства, предоставление индивидуумам и “в</w:t>
      </w:r>
      <w:r>
        <w:t>а</w:t>
      </w:r>
      <w:r>
        <w:t>нау” возможностей для эффективного сохранения здоровья и расширение до</w:t>
      </w:r>
      <w:r>
        <w:t>с</w:t>
      </w:r>
      <w:r>
        <w:t>тупа к качественной первичной и вторичной помощи. Результаты работы этой службы еще предстоит проанализировать.</w:t>
      </w:r>
    </w:p>
    <w:p w:rsidR="00000000" w:rsidRDefault="00000000">
      <w:pPr>
        <w:pStyle w:val="SingleTxt"/>
      </w:pPr>
      <w:r>
        <w:t>К числу новых инициатив, направленных на улучшение помощи маори, отн</w:t>
      </w:r>
      <w:r>
        <w:t>о</w:t>
      </w:r>
      <w:r>
        <w:t>сятся:</w:t>
      </w:r>
    </w:p>
    <w:p w:rsidR="00000000" w:rsidRDefault="00000000">
      <w:pPr>
        <w:pStyle w:val="H4"/>
      </w:pPr>
      <w:r>
        <w:t>Интенсивное обслуживание на дому</w:t>
      </w:r>
    </w:p>
    <w:p w:rsidR="00000000" w:rsidRDefault="00000000">
      <w:pPr>
        <w:pStyle w:val="SingleTxt"/>
      </w:pPr>
      <w:r>
        <w:t>Цель службы обслуживания на дому – ликвидировать неравенство в с</w:t>
      </w:r>
      <w:r>
        <w:t>о</w:t>
      </w:r>
      <w:r>
        <w:t>стоянии здоровья и последствия инвалидности для тех новозеландцев, которые сталкиваются с серьезными лишениями, включая группы женщин и престар</w:t>
      </w:r>
      <w:r>
        <w:t>е</w:t>
      </w:r>
      <w:r>
        <w:t>лых путем просвещения, образования, помощи, пропагандистской поддержки и расширения доступа к другим услугам. Служба также стремится теснее с</w:t>
      </w:r>
      <w:r>
        <w:t>о</w:t>
      </w:r>
      <w:r>
        <w:t>трудничать с другими службами, в частности с органами образования, соц</w:t>
      </w:r>
      <w:r>
        <w:t>и</w:t>
      </w:r>
      <w:r>
        <w:t>ального обеспечения и жилищными службами, от которых также зависит с</w:t>
      </w:r>
      <w:r>
        <w:t>о</w:t>
      </w:r>
      <w:r>
        <w:t>стояние здоровья.</w:t>
      </w:r>
    </w:p>
    <w:p w:rsidR="00000000" w:rsidRDefault="00000000">
      <w:pPr>
        <w:pStyle w:val="SingleTxt"/>
      </w:pPr>
      <w:r>
        <w:t>Для создания этой новой службы после проведения открытых торгов были отобраны два экспериментальных района (район в сельской местности в Ток</w:t>
      </w:r>
      <w:r>
        <w:t>о</w:t>
      </w:r>
      <w:r>
        <w:t>роа/Мангакино и городской район в Мангере). По свидетельствам поставщиков услуг, на первоначальном этапе от отдельных граждан и семей, желающих п</w:t>
      </w:r>
      <w:r>
        <w:t>о</w:t>
      </w:r>
      <w:r>
        <w:t>лучить доступ к Службе обслуживания на дому, в среднем еженедельно пост</w:t>
      </w:r>
      <w:r>
        <w:t>у</w:t>
      </w:r>
      <w:r>
        <w:t>пало около 30 писем. В мае 2002 года после организации этой службы в Манг</w:t>
      </w:r>
      <w:r>
        <w:t>а</w:t>
      </w:r>
      <w:r>
        <w:t>кино были проведены дополнительные консульт</w:t>
      </w:r>
      <w:r>
        <w:t>а</w:t>
      </w:r>
      <w:r>
        <w:t>ции с общиной.</w:t>
      </w:r>
    </w:p>
    <w:p w:rsidR="00000000" w:rsidRDefault="00000000">
      <w:pPr>
        <w:pStyle w:val="H4"/>
        <w:ind w:left="1264" w:firstLine="0"/>
      </w:pPr>
      <w:r>
        <w:t xml:space="preserve">Проекты межотраслевых общинных мероприятий в области здравоохранения (МОМЗ) </w:t>
      </w:r>
    </w:p>
    <w:p w:rsidR="00000000" w:rsidRDefault="00000000">
      <w:pPr>
        <w:pStyle w:val="SingleTxt"/>
      </w:pPr>
      <w:r>
        <w:t>Эти проекты нацелены на укрепление здоровья маори путем налаживания сотрудничества между различными секторами. Обычно в них используются опыт и возможности центрального правительства и местных органов власти, «иви» и других местных организаций, ОМСК и местных поставщиков услуг с ц</w:t>
      </w:r>
      <w:r>
        <w:t>е</w:t>
      </w:r>
      <w:r>
        <w:t>лью мобилизовать общины и расширить доступ к первичной медико-санитарной помощи. В настоящее время в Капити, Порируа и южной части О</w:t>
      </w:r>
      <w:r>
        <w:t>к</w:t>
      </w:r>
      <w:r>
        <w:t>ленда реализуются три МОМЗ, и еще один разрабатывается в Нор</w:t>
      </w:r>
      <w:r>
        <w:t>т</w:t>
      </w:r>
      <w:r>
        <w:t>ленде.</w:t>
      </w:r>
    </w:p>
    <w:p w:rsidR="00000000" w:rsidRDefault="00000000">
      <w:pPr>
        <w:pStyle w:val="SingleTxt"/>
      </w:pPr>
      <w:r>
        <w:t>Поскольку инициативы, связанные со Службой интенсивного обслужив</w:t>
      </w:r>
      <w:r>
        <w:t>а</w:t>
      </w:r>
      <w:r>
        <w:t>ния на дому и МОМЗ, стали реализовываться недавно, пока невозможно ск</w:t>
      </w:r>
      <w:r>
        <w:t>а</w:t>
      </w:r>
      <w:r>
        <w:t>зать, какое воздействие они окажут на состояние здоровья женщин и девушек- маори.</w:t>
      </w:r>
    </w:p>
    <w:p w:rsidR="00000000" w:rsidRDefault="00000000">
      <w:pPr>
        <w:pStyle w:val="H1"/>
      </w:pPr>
      <w:r>
        <w:t>Стратегия, направленная на укрепление здоровья женщин</w:t>
      </w:r>
    </w:p>
    <w:p w:rsidR="00000000" w:rsidRDefault="00000000">
      <w:pPr>
        <w:pStyle w:val="SingleTxt"/>
      </w:pPr>
      <w:r>
        <w:t>Министерство по делам женщин (МДЖ) пропагандирует гендерный по</w:t>
      </w:r>
      <w:r>
        <w:t>д</w:t>
      </w:r>
      <w:r>
        <w:t>ход к здравоохранительной политике, а не просто меры, направленные на укр</w:t>
      </w:r>
      <w:r>
        <w:t>е</w:t>
      </w:r>
      <w:r>
        <w:t>пление здоровья женщин. Речь здесь идет об учете последствий для женщин и мужчин, принадлежащих к различным этническим группам и культурам.</w:t>
      </w:r>
    </w:p>
    <w:p w:rsidR="00000000" w:rsidRDefault="00000000">
      <w:pPr>
        <w:pStyle w:val="SingleTxt"/>
      </w:pPr>
      <w:r>
        <w:t>Подход, основанный только на укреплении здоровья женщин, опасен тем, что охрана их здоровья может ограничиться несколькими узкими областями, определенными исключительно биологическими различиями, в частности о</w:t>
      </w:r>
      <w:r>
        <w:t>х</w:t>
      </w:r>
      <w:r>
        <w:t>раной материнства и массовыми обследованиями женщин для выявления рака молочной железы и шейки матки. Биомедицинские и социальные исследования различий в состоянии здоровья женщин и мужчин традиционно касались р</w:t>
      </w:r>
      <w:r>
        <w:t>е</w:t>
      </w:r>
      <w:r>
        <w:t>продуктивных систем. При всей важности этого подхода в нем, как правило, не учитывается сложная организация социальных, культурных и политических ролей в обществе и их воздействие на более широкие детерминанты здрав</w:t>
      </w:r>
      <w:r>
        <w:t>о</w:t>
      </w:r>
      <w:r>
        <w:t>охранения и механизмы влияния этих факт</w:t>
      </w:r>
      <w:r>
        <w:t>о</w:t>
      </w:r>
      <w:r>
        <w:t>ров на них.</w:t>
      </w:r>
    </w:p>
    <w:p w:rsidR="00000000" w:rsidRDefault="00000000">
      <w:pPr>
        <w:pStyle w:val="SingleTxt"/>
      </w:pPr>
      <w:r>
        <w:t>МДЖ распространило дискуссионный документ с целью выяснить мнение женщин относительно гендерного подхода к здравоохранению и разработке стратегии, направленной на укрепление здоровья женщин (СЗЖ). Консультации по СЗЖ показали, что применение гендерного подхода МДЖ к укреплению здоровья и обеспечению благополучия женщин пользуется широкой поддер</w:t>
      </w:r>
      <w:r>
        <w:t>ж</w:t>
      </w:r>
      <w:r>
        <w:t>кой и что необходимо найти пути его осуществления. Эта работа МДЖ будет осуществляться в рамках стратегии в интересах женщин (см. ст</w:t>
      </w:r>
      <w:r>
        <w:t>а</w:t>
      </w:r>
      <w:r>
        <w:t>тью 3, стр. 45).</w:t>
      </w:r>
    </w:p>
    <w:p w:rsidR="00000000" w:rsidRDefault="00000000">
      <w:pPr>
        <w:pStyle w:val="SingleTxt"/>
      </w:pPr>
      <w:r>
        <w:t>Пакет здравоохранительных документов, разработанный в качестве рук</w:t>
      </w:r>
      <w:r>
        <w:t>о</w:t>
      </w:r>
      <w:r>
        <w:t>водства для ОМСК, является еще одним средством укрепления здоровья же</w:t>
      </w:r>
      <w:r>
        <w:t>н</w:t>
      </w:r>
      <w:r>
        <w:t>щин. МДЖ будет сотрудничать с министерством здравоохранения, когда поз</w:t>
      </w:r>
      <w:r>
        <w:t>д</w:t>
      </w:r>
      <w:r>
        <w:t>нее в 2002 году будут анализироваться эти документы. МДЖ будет помогать проведению гендерного анализа и будет рекомендовать конкретные меры по охране здоровья женщин в рамках Пакета здравоохранительных документов. Чтобы официально оформить отношения, распределить конкретные обязанн</w:t>
      </w:r>
      <w:r>
        <w:t>о</w:t>
      </w:r>
      <w:r>
        <w:t>сти и определить сроки, министерство здравоохранения и МДЖ подпишут м</w:t>
      </w:r>
      <w:r>
        <w:t>е</w:t>
      </w:r>
      <w:r>
        <w:t>морандум о взаим</w:t>
      </w:r>
      <w:r>
        <w:t>о</w:t>
      </w:r>
      <w:r>
        <w:t>понимании.</w:t>
      </w:r>
    </w:p>
    <w:p w:rsidR="00000000" w:rsidRDefault="00000000">
      <w:pPr>
        <w:pStyle w:val="H1"/>
      </w:pPr>
      <w:r>
        <w:t>Преодолевая неравенство в состоянии здоровья</w:t>
      </w:r>
    </w:p>
    <w:p w:rsidR="00000000" w:rsidRDefault="00000000">
      <w:pPr>
        <w:pStyle w:val="SingleTxt"/>
      </w:pPr>
      <w:r>
        <w:t>Причины неравенства в состоянии здоровья имеют сложную природу и обычно не подвластны большинству людей, на которых это отражается в на</w:t>
      </w:r>
      <w:r>
        <w:t>и</w:t>
      </w:r>
      <w:r>
        <w:t>большей степени . В Новой Зеландии, как и в других странах, существует нер</w:t>
      </w:r>
      <w:r>
        <w:t>а</w:t>
      </w:r>
      <w:r>
        <w:t>венство в состоянии здоровья между различными социально-экономическими группами, между мужчинами и женщинами, а также между людьми, прож</w:t>
      </w:r>
      <w:r>
        <w:t>и</w:t>
      </w:r>
      <w:r>
        <w:t>вающими а различных географических зонах. Стратегии по ликвидации нер</w:t>
      </w:r>
      <w:r>
        <w:t>а</w:t>
      </w:r>
      <w:r>
        <w:t>венства в состоянии здоровья, следует комплексно ориентировать на подда</w:t>
      </w:r>
      <w:r>
        <w:t>ю</w:t>
      </w:r>
      <w:r>
        <w:t>щиеся измен</w:t>
      </w:r>
      <w:r>
        <w:t>е</w:t>
      </w:r>
      <w:r>
        <w:t>нию показатели здравоохранения.</w:t>
      </w:r>
    </w:p>
    <w:p w:rsidR="00000000" w:rsidRDefault="00000000">
      <w:pPr>
        <w:pStyle w:val="SingleTxt"/>
      </w:pPr>
      <w:r>
        <w:t>Цели и задачи НЗСЗ призваны мобилизовать усилия на укрепление здор</w:t>
      </w:r>
      <w:r>
        <w:t>о</w:t>
      </w:r>
      <w:r>
        <w:t>вья всего населения и ликвидацию неравенства в уровнях здоровья между ра</w:t>
      </w:r>
      <w:r>
        <w:t>з</w:t>
      </w:r>
      <w:r>
        <w:t>личными группами населения. Эти цели будут достигнуты благодаря эффе</w:t>
      </w:r>
      <w:r>
        <w:t>к</w:t>
      </w:r>
      <w:r>
        <w:t>тивн</w:t>
      </w:r>
      <w:r>
        <w:t>о</w:t>
      </w:r>
      <w:r>
        <w:t>му осуществлению НЗСЗ.</w:t>
      </w:r>
    </w:p>
    <w:p w:rsidR="00000000" w:rsidRDefault="00000000">
      <w:pPr>
        <w:pStyle w:val="SingleTxt"/>
      </w:pPr>
      <w:r>
        <w:t>Говоря более конкретно, у министерства здравоохранения есть программа работы по ликвидации неравенства в уровнях здоровья, которая состоит из следующих элементов:</w:t>
      </w:r>
    </w:p>
    <w:p w:rsidR="00000000" w:rsidRDefault="00000000">
      <w:pPr>
        <w:pStyle w:val="dot"/>
      </w:pPr>
      <w:r>
        <w:tab/>
      </w:r>
      <w:r>
        <w:tab/>
        <w:t>•</w:t>
      </w:r>
      <w:r>
        <w:tab/>
        <w:t>разработка и публикация общего документа, содержащего факты нераве</w:t>
      </w:r>
      <w:r>
        <w:t>н</w:t>
      </w:r>
      <w:r>
        <w:t>ства в уровнях здоровья, к</w:t>
      </w:r>
      <w:r>
        <w:t>о</w:t>
      </w:r>
      <w:r>
        <w:t>торое необходимо устранить</w:t>
      </w:r>
    </w:p>
    <w:p w:rsidR="00000000" w:rsidRDefault="00000000">
      <w:pPr>
        <w:pStyle w:val="dot"/>
      </w:pPr>
      <w:r>
        <w:tab/>
      </w:r>
      <w:r>
        <w:tab/>
        <w:t>•</w:t>
      </w:r>
      <w:r>
        <w:tab/>
        <w:t>разработка и публикация программы, в которой определяются меры вм</w:t>
      </w:r>
      <w:r>
        <w:t>е</w:t>
      </w:r>
      <w:r>
        <w:t>шательства для ли</w:t>
      </w:r>
      <w:r>
        <w:t>к</w:t>
      </w:r>
      <w:r>
        <w:t>видации неравенства в уровнях здоровья</w:t>
      </w:r>
    </w:p>
    <w:p w:rsidR="00000000" w:rsidRDefault="00000000">
      <w:pPr>
        <w:pStyle w:val="dot"/>
      </w:pPr>
      <w:r>
        <w:tab/>
      </w:r>
      <w:r>
        <w:tab/>
        <w:t>•</w:t>
      </w:r>
      <w:r>
        <w:tab/>
        <w:t>разработка и публикация пакета мер, содержащего практические рекоме</w:t>
      </w:r>
      <w:r>
        <w:t>н</w:t>
      </w:r>
      <w:r>
        <w:t>дации по ликвидации неравенства в уровнях здоровья и образцы наилу</w:t>
      </w:r>
      <w:r>
        <w:t>ч</w:t>
      </w:r>
      <w:r>
        <w:t>шей практики текущих и предыдущих программ, направленных на ликв</w:t>
      </w:r>
      <w:r>
        <w:t>и</w:t>
      </w:r>
      <w:r>
        <w:t>дацию такого нер</w:t>
      </w:r>
      <w:r>
        <w:t>а</w:t>
      </w:r>
      <w:r>
        <w:t>венства</w:t>
      </w:r>
    </w:p>
    <w:p w:rsidR="00000000" w:rsidRDefault="00000000">
      <w:pPr>
        <w:pStyle w:val="dot"/>
      </w:pPr>
      <w:r>
        <w:tab/>
      </w:r>
      <w:r>
        <w:tab/>
        <w:t>•</w:t>
      </w:r>
      <w:r>
        <w:tab/>
        <w:t>проведение рабочих совещаний с работниками министерства здравоохр</w:t>
      </w:r>
      <w:r>
        <w:t>а</w:t>
      </w:r>
      <w:r>
        <w:t>нения и ОМСК по вопросам реализации этой программы</w:t>
      </w:r>
    </w:p>
    <w:p w:rsidR="00000000" w:rsidRDefault="00000000">
      <w:pPr>
        <w:pStyle w:val="dot"/>
      </w:pPr>
      <w:r>
        <w:tab/>
      </w:r>
      <w:r>
        <w:tab/>
        <w:t>•</w:t>
      </w:r>
      <w:r>
        <w:tab/>
        <w:t>укрепление систем отчетности и функционирования министерства и всего сектора, чтобы н</w:t>
      </w:r>
      <w:r>
        <w:t>а</w:t>
      </w:r>
      <w:r>
        <w:t>править больше усилий на ликвидацию неравенства</w:t>
      </w:r>
    </w:p>
    <w:p w:rsidR="00000000" w:rsidRDefault="00000000">
      <w:pPr>
        <w:pStyle w:val="dot"/>
      </w:pPr>
      <w:r>
        <w:tab/>
      </w:r>
      <w:r>
        <w:tab/>
        <w:t>•</w:t>
      </w:r>
      <w:r>
        <w:tab/>
        <w:t>разработка комплекса показателей для мониторинга прогресса, достигн</w:t>
      </w:r>
      <w:r>
        <w:t>у</w:t>
      </w:r>
      <w:r>
        <w:t>того в ликвидации неравенс</w:t>
      </w:r>
      <w:r>
        <w:t>т</w:t>
      </w:r>
      <w:r>
        <w:t>ва.</w:t>
      </w:r>
    </w:p>
    <w:p w:rsidR="00000000" w:rsidRDefault="00000000">
      <w:pPr>
        <w:pStyle w:val="SingleTxt"/>
      </w:pPr>
      <w:r>
        <w:t>Программа по ликвидации неравенства и предложенная программа раб</w:t>
      </w:r>
      <w:r>
        <w:t>о</w:t>
      </w:r>
      <w:r>
        <w:t>ты обеспечат экспертов, организаторов здравоохранения и поставщиков услуг инструментами, которые помогут им добиться цели правительства по ликвид</w:t>
      </w:r>
      <w:r>
        <w:t>а</w:t>
      </w:r>
      <w:r>
        <w:t>ции неравенства.</w:t>
      </w:r>
    </w:p>
    <w:p w:rsidR="00000000" w:rsidRDefault="00000000">
      <w:pPr>
        <w:pStyle w:val="SingleTxt"/>
      </w:pPr>
      <w:r>
        <w:t>Кроме того, реализуемые в настоящее время демонстрационные проекты, которые финансируются в целях срочного обеспечения социальной справедл</w:t>
      </w:r>
      <w:r>
        <w:t>и</w:t>
      </w:r>
      <w:r>
        <w:t>вости, позволят сектору здравоохранения получить ценную информацию о мнении населения относительно реализации программ, направленных на ли</w:t>
      </w:r>
      <w:r>
        <w:t>к</w:t>
      </w:r>
      <w:r>
        <w:t>видацию н</w:t>
      </w:r>
      <w:r>
        <w:t>е</w:t>
      </w:r>
      <w:r>
        <w:t>равенства.</w:t>
      </w:r>
    </w:p>
    <w:p w:rsidR="00000000" w:rsidRDefault="00000000">
      <w:pPr>
        <w:pStyle w:val="H1"/>
      </w:pPr>
      <w:r>
        <w:t>Общие показатели состояния здоровья населения</w:t>
      </w:r>
    </w:p>
    <w:p w:rsidR="00000000" w:rsidRDefault="00000000">
      <w:pPr>
        <w:pStyle w:val="SingleTxt"/>
      </w:pPr>
      <w:r>
        <w:t>Состояние здоровья женщин в Новой Зеландии характеризуют следующие о</w:t>
      </w:r>
      <w:r>
        <w:t>т</w:t>
      </w:r>
      <w:r>
        <w:t>дельные показатели.</w:t>
      </w:r>
    </w:p>
    <w:p w:rsidR="00000000" w:rsidRDefault="00000000">
      <w:pPr>
        <w:pStyle w:val="H23"/>
      </w:pPr>
      <w:r>
        <w:t>Фертильность</w:t>
      </w:r>
    </w:p>
    <w:p w:rsidR="00000000" w:rsidRDefault="00000000">
      <w:pPr>
        <w:pStyle w:val="SingleTxt"/>
      </w:pPr>
      <w:r>
        <w:t>Небольшие изменения хронически низких коэффициентов фертильности свидетельствуют о том, что в настоящее время в Новой Зеландии достигнуты наивысшие с 1993 года общие коэффициенты фертильности. Данные за 1999 года показывают, что средний показатель деторождений у женщин Новой З</w:t>
      </w:r>
      <w:r>
        <w:t>е</w:t>
      </w:r>
      <w:r>
        <w:t>ландии составляет 2,05 детей.</w:t>
      </w:r>
      <w:r>
        <w:rPr>
          <w:rStyle w:val="FootnoteReference"/>
        </w:rPr>
        <w:footnoteReference w:id="11"/>
      </w:r>
    </w:p>
    <w:p w:rsidR="00000000" w:rsidRDefault="00000000">
      <w:pPr>
        <w:pStyle w:val="SingleTxt"/>
      </w:pPr>
      <w:r>
        <w:t>Уровень рождаемости у маори превышает этот показатель для всего нас</w:t>
      </w:r>
      <w:r>
        <w:t>е</w:t>
      </w:r>
      <w:r>
        <w:t>ления. В среднем женщины маори рожают 2,58 д</w:t>
      </w:r>
      <w:r>
        <w:t>е</w:t>
      </w:r>
      <w:r>
        <w:t>тей.</w:t>
      </w:r>
      <w:r>
        <w:rPr>
          <w:rStyle w:val="FootnoteReference"/>
        </w:rPr>
        <w:footnoteReference w:id="12"/>
      </w:r>
    </w:p>
    <w:p w:rsidR="00000000" w:rsidRDefault="00000000">
      <w:pPr>
        <w:pStyle w:val="H23"/>
      </w:pPr>
      <w:r>
        <w:t>Ожидаемая продолжительность жизни</w:t>
      </w:r>
    </w:p>
    <w:p w:rsidR="00000000" w:rsidRDefault="00000000">
      <w:pPr>
        <w:pStyle w:val="SingleTxt"/>
      </w:pPr>
      <w:r>
        <w:t>В Новой Зеландии, где хронические заболевания являются самой распр</w:t>
      </w:r>
      <w:r>
        <w:t>о</w:t>
      </w:r>
      <w:r>
        <w:t>страненной причиной смерти, ожидаемая продолжительность жизни при ро</w:t>
      </w:r>
      <w:r>
        <w:t>ж</w:t>
      </w:r>
      <w:r>
        <w:t>дении служит общим показателем состояния здоровья в предшествовавшие д</w:t>
      </w:r>
      <w:r>
        <w:t>е</w:t>
      </w:r>
      <w:r>
        <w:t>сятилетия. За последние десять лет наиболее значительное увеличение ож</w:t>
      </w:r>
      <w:r>
        <w:t>и</w:t>
      </w:r>
      <w:r>
        <w:t>даемой продолжительности жизни было зарегистрировано у старших возра</w:t>
      </w:r>
      <w:r>
        <w:t>с</w:t>
      </w:r>
      <w:r>
        <w:t>тных групп, особенно у людей в во</w:t>
      </w:r>
      <w:r>
        <w:t>з</w:t>
      </w:r>
      <w:r>
        <w:t>расте 65 лет и старше.</w:t>
      </w:r>
      <w:r>
        <w:rPr>
          <w:rStyle w:val="FootnoteReference"/>
        </w:rPr>
        <w:footnoteReference w:id="13"/>
        <w:t>11</w:t>
      </w:r>
    </w:p>
    <w:p w:rsidR="00000000" w:rsidRDefault="00000000">
      <w:pPr>
        <w:pStyle w:val="SingleTxt"/>
      </w:pPr>
      <w:r>
        <w:t>Средняя ожидаемая продолжительность жизни у женщин составляет 80,8 лет по сравнению с 75,7 годами у мужчин (1998/2000 годы).</w:t>
      </w:r>
      <w:r>
        <w:rPr>
          <w:rStyle w:val="FootnoteReference"/>
        </w:rPr>
        <w:footnoteReference w:id="14"/>
        <w:t>12 </w:t>
      </w:r>
      <w:r>
        <w:t>Разница м</w:t>
      </w:r>
      <w:r>
        <w:t>е</w:t>
      </w:r>
      <w:r>
        <w:t>жду ожидаемой продолжительностью жизни женщин и мужчин сократилась в результате более значительного увеличения жизни мужчин за последние дв</w:t>
      </w:r>
      <w:r>
        <w:t>а</w:t>
      </w:r>
      <w:r>
        <w:t>дцать лет XX столетия по сравнению с ожидаемой продолжительностью жизни женщин.</w:t>
      </w:r>
    </w:p>
    <w:p w:rsidR="00000000" w:rsidRDefault="00000000">
      <w:pPr>
        <w:pStyle w:val="SingleTxt"/>
      </w:pPr>
      <w:r>
        <w:t>В 1995-97 годах ожидаемая продолжительность жизни при рождении у женщин-маори составляла 71,6 лет по сравнению с 80,6 лет у женщин других этнических групп, а ожидаемая продолжительность жизни мужчин-маори была равна 67,2 лет по сравнению с 75,3 лет у мужчин других этнических групп.</w:t>
      </w:r>
      <w:r>
        <w:rPr>
          <w:rStyle w:val="FootnoteReference"/>
        </w:rPr>
        <w:footnoteReference w:id="15"/>
        <w:t>13 </w:t>
      </w:r>
    </w:p>
    <w:p w:rsidR="00000000" w:rsidRDefault="00000000">
      <w:pPr>
        <w:pStyle w:val="SingleTxt"/>
      </w:pPr>
      <w:r>
        <w:t>Ожидаемая продолжительность жизни при рождении у жителей тихоок</w:t>
      </w:r>
      <w:r>
        <w:t>е</w:t>
      </w:r>
      <w:r>
        <w:t>анских островов несколько выше – 70 лет у мужчин и 76 лет женщин.</w:t>
      </w:r>
    </w:p>
    <w:p w:rsidR="00000000" w:rsidRDefault="00000000">
      <w:pPr>
        <w:pStyle w:val="SingleTxt"/>
      </w:pPr>
      <w:r>
        <w:t>Ожидаемая продолжительность жизни увеличивается по мере улучшения условий жизни. Среди женщин ожидаемая продолжительность жизни при ро</w:t>
      </w:r>
      <w:r>
        <w:t>ж</w:t>
      </w:r>
      <w:r>
        <w:t>дении колеблется от 77,2 лет у наиболее обездоленных категорий до 82,8 лет у наименее нуждающихся, т.е. разница составляет 5,6 лет (данные за 1998/2000 годы).</w:t>
      </w:r>
      <w:r>
        <w:rPr>
          <w:rStyle w:val="FootnoteReference"/>
        </w:rPr>
        <w:footnoteReference w:id="16"/>
        <w:t>14 </w:t>
      </w:r>
      <w:r>
        <w:t>В настоящем анализе социально-экономический статус оц</w:t>
      </w:r>
      <w:r>
        <w:t>е</w:t>
      </w:r>
      <w:r>
        <w:t>нивается с помощью основанного на материалах переписи зонального индекса бедности, NZDep96.</w:t>
      </w:r>
      <w:r>
        <w:rPr>
          <w:rStyle w:val="FootnoteReference"/>
        </w:rPr>
        <w:footnoteReference w:id="17"/>
        <w:t>15</w:t>
      </w:r>
    </w:p>
    <w:p w:rsidR="00000000" w:rsidRDefault="00000000">
      <w:pPr>
        <w:pStyle w:val="H23"/>
      </w:pPr>
      <w:r>
        <w:t>Младенческая смертность</w:t>
      </w:r>
    </w:p>
    <w:p w:rsidR="00000000" w:rsidRDefault="00000000">
      <w:pPr>
        <w:pStyle w:val="SingleTxt"/>
      </w:pPr>
      <w:r>
        <w:t>Коэффициент младенческой смертности в стране, т.е. количество рожде</w:t>
      </w:r>
      <w:r>
        <w:t>н</w:t>
      </w:r>
      <w:r>
        <w:t>ных живыми младенцев на 1000 живорождений, умерших до истечения первого года жизни, рассматривается в качестве чуткого п</w:t>
      </w:r>
      <w:r>
        <w:t>о</w:t>
      </w:r>
      <w:r>
        <w:t>казателя социально-экономического состояния общества. Уменьшение коэффициента младенческой смертности в Новой Зеландии после начала 90-х годов в значительной степени объясняется сокращением показателя синдрома внезапной младенческой сме</w:t>
      </w:r>
      <w:r>
        <w:t>р</w:t>
      </w:r>
      <w:r>
        <w:t>ти (СВМС) в результате изменений в режимах сна.</w:t>
      </w:r>
    </w:p>
    <w:p w:rsidR="00000000" w:rsidRDefault="00000000">
      <w:pPr>
        <w:pStyle w:val="SingleTxt"/>
      </w:pPr>
      <w:r>
        <w:t>В совокупности в 1998 году коэффициент младенческой смертности для обоих полов составлял 5,4 на 1000 живорождений. У маори он был равен 7,7 на 1000 живорождений, у жителей тихоокеанских островов – 7,7 и 4,1 у «прочих этн</w:t>
      </w:r>
      <w:r>
        <w:t>и</w:t>
      </w:r>
      <w:r>
        <w:t>ческих групп».</w:t>
      </w:r>
      <w:r>
        <w:rPr>
          <w:rStyle w:val="FootnoteReference"/>
        </w:rPr>
        <w:footnoteReference w:id="18"/>
        <w:t>16</w:t>
      </w:r>
    </w:p>
    <w:p w:rsidR="00000000" w:rsidRDefault="00000000">
      <w:pPr>
        <w:pStyle w:val="H23"/>
      </w:pPr>
      <w:r>
        <w:t>Уровень самоубийств среди молодежи</w:t>
      </w:r>
    </w:p>
    <w:p w:rsidR="00000000" w:rsidRDefault="00000000">
      <w:pPr>
        <w:pStyle w:val="SingleTxt"/>
      </w:pPr>
      <w:r>
        <w:t>В 1998 показатель самоубийств среди женщин в возрасте 15-24 лет сост</w:t>
      </w:r>
      <w:r>
        <w:t>а</w:t>
      </w:r>
      <w:r>
        <w:t>вил 13,3 на 100000 женщин по сравнению с 38,5 среди мужчин. В конце 80-х годов уровень самоубийств среди молодежи увеличился. В 1999 году впервые было зарегистрировано уменьшение этого показателя. В 80-е годы и в начале 90-х годов уровень самоубийств среди девушек незначительно, но постепенно возрастал, причем самое заметное увеличение было отмечено в середине 90-х годов. Среди женщин наблюдается более высокий показатель попыток сам</w:t>
      </w:r>
      <w:r>
        <w:t>о</w:t>
      </w:r>
      <w:r>
        <w:t>убийств, чем у мужчин.</w:t>
      </w:r>
    </w:p>
    <w:p w:rsidR="00000000" w:rsidRDefault="00000000">
      <w:pPr>
        <w:pStyle w:val="SingleTxt"/>
      </w:pPr>
      <w:r>
        <w:t>Уровень самоубийств среди маори превышает этот показатель для других этнических групп. Уровень самоубийств у девушек маори составлял 24,4 на 100000 человек по сравнению с 56,1 у юношей ма</w:t>
      </w:r>
      <w:r>
        <w:t>о</w:t>
      </w:r>
      <w:r>
        <w:t>ри.</w:t>
      </w:r>
      <w:r>
        <w:rPr>
          <w:rStyle w:val="FootnoteReference"/>
        </w:rPr>
        <w:footnoteReference w:id="19"/>
        <w:t>17</w:t>
      </w:r>
    </w:p>
    <w:p w:rsidR="00000000" w:rsidRDefault="00000000">
      <w:pPr>
        <w:pStyle w:val="SingleTxt"/>
      </w:pPr>
      <w:r>
        <w:t>Подробную информацию о стратегии профилактики самоубийств среди молодежи Новой Зела</w:t>
      </w:r>
      <w:r>
        <w:t>н</w:t>
      </w:r>
      <w:r>
        <w:t xml:space="preserve">дии см. на стр. </w:t>
      </w:r>
      <w:r>
        <w:rPr>
          <w:lang w:val="en-US"/>
        </w:rPr>
        <w:t>148</w:t>
      </w:r>
      <w:r>
        <w:t>.</w:t>
      </w:r>
    </w:p>
    <w:p w:rsidR="00000000" w:rsidRDefault="00000000">
      <w:pPr>
        <w:pStyle w:val="H23"/>
      </w:pPr>
      <w:r>
        <w:t>Смертность от ишемической болезни сердца</w:t>
      </w:r>
    </w:p>
    <w:p w:rsidR="00000000" w:rsidRDefault="00000000">
      <w:pPr>
        <w:pStyle w:val="SingleTxt"/>
      </w:pPr>
      <w:r>
        <w:t>Хотя смертность от ишемической болезни сердца (ИБС) сокращалась в течении десятилетий, это заболевание остается наиболее распространенной причиной смерти как женщин, так и мужчин.</w:t>
      </w:r>
    </w:p>
    <w:p w:rsidR="00000000" w:rsidRDefault="00000000">
      <w:pPr>
        <w:pStyle w:val="SingleTxt"/>
      </w:pPr>
      <w:r>
        <w:t>В 1998 году стандартизованный повозрастной коэффициент смертности от ИБС у женщин составил 75,1 на 100000 человек по сравнению с 157,9 на 100000 человек у мужчин (Segi world population ). Стандартизованный повозр</w:t>
      </w:r>
      <w:r>
        <w:t>а</w:t>
      </w:r>
      <w:r>
        <w:t>стной коэффициент смертности у женщин-маори был равен 118,6 на 100000 женщин; у женщин этнической группы «Европейцы/Прочие»</w:t>
      </w:r>
      <w:r>
        <w:rPr>
          <w:rStyle w:val="FootnoteReference"/>
        </w:rPr>
        <w:t xml:space="preserve"> </w:t>
      </w:r>
      <w:r>
        <w:rPr>
          <w:rStyle w:val="FootnoteReference"/>
        </w:rPr>
        <w:footnoteReference w:id="20"/>
        <w:t>18 </w:t>
      </w:r>
      <w:r>
        <w:t>этот п</w:t>
      </w:r>
      <w:r>
        <w:t>о</w:t>
      </w:r>
      <w:r>
        <w:t>казатель составил 71,4 на 100000 человек, а у женщин тихоокеанских остр</w:t>
      </w:r>
      <w:r>
        <w:t>о</w:t>
      </w:r>
      <w:r>
        <w:t>вов – 76,9 на 100000 человек.</w:t>
      </w:r>
      <w:r>
        <w:rPr>
          <w:rStyle w:val="FootnoteReference"/>
        </w:rPr>
        <w:footnoteReference w:customMarkFollows="1" w:id="21"/>
        <w:t>19 </w:t>
      </w:r>
    </w:p>
    <w:p w:rsidR="00000000" w:rsidRDefault="00000000">
      <w:pPr>
        <w:pStyle w:val="H23"/>
      </w:pPr>
      <w:r>
        <w:t>Рак шейки матки</w:t>
      </w:r>
    </w:p>
    <w:p w:rsidR="00000000" w:rsidRDefault="00000000">
      <w:pPr>
        <w:pStyle w:val="SingleTxt"/>
      </w:pPr>
      <w:r>
        <w:t>В 1997 году было зарегистрировано 218 случаев рака шейки матки, пр</w:t>
      </w:r>
      <w:r>
        <w:t>и</w:t>
      </w:r>
      <w:r>
        <w:t>чем показатель регистрации составил 8,9 на 100000 человек. Коэффициенты заболеваемости раком шейки матки и смертности продолжают сокращаться. С 1988 по 1997 год коэффициент заболеваемости уменьшился на 39%. В 1998 году от рака шейки матки умерло 77 женщин по сравнению с 82 женщинами в 1996 году. В 1998 году коэффициент смертности составил 3,2 на 100000 женщин по сравнению с 3,4 на 100000 женщин в 1996 году. С 1988 по 1997 год коэффициент смертности от рака шейки матки сократился на 44%. По коэффициенту смертности на уровне 2,8 смертей на 100000 женщин Новая Зеландия з</w:t>
      </w:r>
      <w:r>
        <w:t>а</w:t>
      </w:r>
      <w:r>
        <w:t>нимает пятое место среди стран-членов ОЭСР.</w:t>
      </w:r>
      <w:r>
        <w:rPr>
          <w:rStyle w:val="FootnoteReference"/>
        </w:rPr>
        <w:footnoteReference w:customMarkFollows="1" w:id="22"/>
        <w:t>20</w:t>
      </w:r>
    </w:p>
    <w:p w:rsidR="00000000" w:rsidRDefault="00000000">
      <w:pPr>
        <w:pStyle w:val="SingleTxt"/>
      </w:pPr>
      <w:r>
        <w:t>Женщины-маори больше подвержены риску умереть от рака шейки матки, чем женщины других этнических групп. В 1998 году коэффициент смертности от рака шейки матки у женщин-маори был примерно в четыре раза выше, чем у женщин этнической группы «Европейцы/Прочие».</w:t>
      </w:r>
      <w:r>
        <w:rPr>
          <w:rStyle w:val="FootnoteReference"/>
        </w:rPr>
        <w:footnoteReference w:customMarkFollows="1" w:id="23"/>
        <w:t>21</w:t>
      </w:r>
    </w:p>
    <w:p w:rsidR="00000000" w:rsidRDefault="00000000">
      <w:pPr>
        <w:pStyle w:val="SingleTxt"/>
      </w:pPr>
      <w:r>
        <w:t>Подробную информацию о Программе обследования для выявления же</w:t>
      </w:r>
      <w:r>
        <w:t>н</w:t>
      </w:r>
      <w:r>
        <w:t>щин с высоким риском заболев</w:t>
      </w:r>
      <w:r>
        <w:t>а</w:t>
      </w:r>
      <w:r>
        <w:t xml:space="preserve">ния раком шейки матки см. стр. </w:t>
      </w:r>
      <w:r>
        <w:rPr>
          <w:lang w:val="en-US"/>
        </w:rPr>
        <w:t>146</w:t>
      </w:r>
      <w:r>
        <w:t>.</w:t>
      </w:r>
    </w:p>
    <w:p w:rsidR="00000000" w:rsidRDefault="00000000">
      <w:pPr>
        <w:pStyle w:val="H23"/>
      </w:pPr>
      <w:r>
        <w:t>Рак молочной железы</w:t>
      </w:r>
    </w:p>
    <w:p w:rsidR="00000000" w:rsidRDefault="00000000">
      <w:pPr>
        <w:pStyle w:val="SingleTxt"/>
      </w:pPr>
      <w:r>
        <w:t>В 1998 году коэффициент смертности от рака молочной железы у женщин в возрасте 50-69 лет</w:t>
      </w:r>
      <w:r>
        <w:rPr>
          <w:rStyle w:val="FootnoteReference"/>
        </w:rPr>
        <w:footnoteReference w:customMarkFollows="1" w:id="24"/>
        <w:t>22 </w:t>
      </w:r>
      <w:r>
        <w:t>составлял 74,3 на 100000 женщин. У женщин-маори этой возрастной группы он был равен 86,1, а в категории «Прочие» – 71,1.</w:t>
      </w:r>
      <w:r>
        <w:rPr>
          <w:rStyle w:val="FootnoteReference"/>
        </w:rPr>
        <w:footnoteReference w:customMarkFollows="1" w:id="25"/>
        <w:t>23 </w:t>
      </w:r>
      <w:r>
        <w:t>Среди всех зарегистрированных случаев онкологических заболеваний рак молочной железы занимал первое место, причем это онкологическое заболевание наиб</w:t>
      </w:r>
      <w:r>
        <w:t>о</w:t>
      </w:r>
      <w:r>
        <w:t>лее часто встречалось у женщин в 1997 году, в году, за который имеются п</w:t>
      </w:r>
      <w:r>
        <w:t>о</w:t>
      </w:r>
      <w:r>
        <w:t>следние данные. Увеличение количества новых выявленных случаев заболев</w:t>
      </w:r>
      <w:r>
        <w:t>а</w:t>
      </w:r>
      <w:r>
        <w:t>ния раком молочной железы в период 1993-1997 годов, возможно, объясняется более подробной отчетностью после внедрения системы обязательной отчетн</w:t>
      </w:r>
      <w:r>
        <w:t>о</w:t>
      </w:r>
      <w:r>
        <w:t>сти в соответствии с Законом 1993 года о реестре онкологических заболеваний. По этой причине данные за 1997 год нельзя сравнивать с данными за предыд</w:t>
      </w:r>
      <w:r>
        <w:t>у</w:t>
      </w:r>
      <w:r>
        <w:t>щие годы. Хотя рак молочной железы являлся главной причиной смертности от онкологических заболеваний у женщин (23,3 на 100000), соотношение сме</w:t>
      </w:r>
      <w:r>
        <w:t>р</w:t>
      </w:r>
      <w:r>
        <w:t>тельных исходов и заболеваемости было низким, составляя 0,31. В период м</w:t>
      </w:r>
      <w:r>
        <w:t>е</w:t>
      </w:r>
      <w:r>
        <w:t>жду 1988 и 1997 годами коэффициент смертности от рака молочной железы с</w:t>
      </w:r>
      <w:r>
        <w:t>о</w:t>
      </w:r>
      <w:r>
        <w:t>кратился на 16%. По коэффициенту смертности от рака молочной железы Н</w:t>
      </w:r>
      <w:r>
        <w:t>о</w:t>
      </w:r>
      <w:r>
        <w:t>вая Зела</w:t>
      </w:r>
      <w:r>
        <w:t>н</w:t>
      </w:r>
      <w:r>
        <w:t>дия занимает 6 место среди стран-членов ОЭСР.</w:t>
      </w:r>
    </w:p>
    <w:p w:rsidR="00000000" w:rsidRDefault="00000000">
      <w:pPr>
        <w:pStyle w:val="SingleTxt"/>
      </w:pPr>
      <w:r>
        <w:t>Подробную информацию о национальной программе обследования для выявления женщин с высоким риском заболевания раком молочной железы см. стр. 145.</w:t>
      </w:r>
    </w:p>
    <w:p w:rsidR="00000000" w:rsidRDefault="00000000">
      <w:pPr>
        <w:pStyle w:val="H1"/>
      </w:pPr>
      <w:r>
        <w:t>Факторы риска для состояния здоровья</w:t>
      </w:r>
    </w:p>
    <w:p w:rsidR="00000000" w:rsidRDefault="00000000">
      <w:pPr>
        <w:pStyle w:val="H23"/>
      </w:pPr>
      <w:r>
        <w:t>Курение</w:t>
      </w:r>
    </w:p>
    <w:p w:rsidR="00000000" w:rsidRDefault="00000000">
      <w:pPr>
        <w:pStyle w:val="SingleTxt"/>
      </w:pPr>
      <w:r>
        <w:t>В 2001 году распространенность курения среди лиц в возрасте 15 лет и старше составляла 25% у обоих полов. Распространенность курения за после</w:t>
      </w:r>
      <w:r>
        <w:t>д</w:t>
      </w:r>
      <w:r>
        <w:t>ние 10 лет XX столетия сократилась незначительно (примерно на 2 процентных пун</w:t>
      </w:r>
      <w:r>
        <w:t>к</w:t>
      </w:r>
      <w:r>
        <w:t>та по сравнению с началом 90-х годов).</w:t>
      </w:r>
      <w:r>
        <w:rPr>
          <w:rStyle w:val="FootnoteReference"/>
        </w:rPr>
        <w:footnoteReference w:customMarkFollows="1" w:id="26"/>
        <w:t>24</w:t>
      </w:r>
    </w:p>
    <w:p w:rsidR="00000000" w:rsidRDefault="00000000">
      <w:pPr>
        <w:pStyle w:val="SingleTxt"/>
      </w:pPr>
      <w:r>
        <w:t>В возрастной группе младше 35 лет курение больше распространено ср</w:t>
      </w:r>
      <w:r>
        <w:t>е</w:t>
      </w:r>
      <w:r>
        <w:t>ди женщин, чем среди мужчин. Количество курящих девушек сокращается.</w:t>
      </w:r>
      <w:r>
        <w:rPr>
          <w:rStyle w:val="FootnoteReference"/>
        </w:rPr>
        <w:footnoteReference w:customMarkFollows="1" w:id="27"/>
        <w:t>25</w:t>
      </w:r>
    </w:p>
    <w:p w:rsidR="00000000" w:rsidRDefault="00000000">
      <w:pPr>
        <w:pStyle w:val="SingleTxt"/>
      </w:pPr>
      <w:r>
        <w:t>Самое большое количество курящих женщин зарегистрировано среди маори (52,5%), женщины тихоокеанских островов занимают промежуточное место (28,5%), наименьшее количество курящих женщин было отмечено в э</w:t>
      </w:r>
      <w:r>
        <w:t>т</w:t>
      </w:r>
      <w:r>
        <w:t>нической группе «Европейцы/Прочие» (21,7%). (Примечание: распростране</w:t>
      </w:r>
      <w:r>
        <w:t>н</w:t>
      </w:r>
      <w:r>
        <w:t>ность курения не стандартизована по возрасту.)</w:t>
      </w:r>
    </w:p>
    <w:p w:rsidR="00000000" w:rsidRDefault="00000000">
      <w:pPr>
        <w:pStyle w:val="H23"/>
      </w:pPr>
      <w:r>
        <w:t>Ожирение</w:t>
      </w:r>
    </w:p>
    <w:p w:rsidR="00000000" w:rsidRDefault="00000000">
      <w:pPr>
        <w:pStyle w:val="SingleTxt"/>
      </w:pPr>
      <w:r>
        <w:t>Количество лиц, страдающих ожирением, среди взрослого населения Н</w:t>
      </w:r>
      <w:r>
        <w:t>о</w:t>
      </w:r>
      <w:r>
        <w:t>вой Зеландии увеличилось с 11% в 1989 году до 17% в 1997 году. В 1997 году свыше 50% взрослого населения Новой Зеландии имело избыточный вес или страдало ожирением. В приводящейся ниже таблице приводятся процентные доли взрослого населения, страдавшего ожирением в 1997 году, в разбивке по полу и этнической принадле</w:t>
      </w:r>
      <w:r>
        <w:t>ж</w:t>
      </w:r>
      <w:r>
        <w:t>ности.</w:t>
      </w:r>
    </w:p>
    <w:p w:rsidR="00000000" w:rsidRDefault="00000000">
      <w:pPr>
        <w:pStyle w:val="SingleTxt"/>
        <w:ind w:firstLine="0"/>
        <w:jc w:val="left"/>
        <w:rPr>
          <w:b/>
        </w:rPr>
      </w:pPr>
      <w:r>
        <w:rPr>
          <w:b/>
        </w:rPr>
        <w:t xml:space="preserve">Процентная доля взрослого населения, страдающего ожирением, </w:t>
      </w:r>
      <w:r>
        <w:rPr>
          <w:b/>
        </w:rPr>
        <w:br/>
        <w:t>в разбивке по э</w:t>
      </w:r>
      <w:r>
        <w:rPr>
          <w:b/>
        </w:rPr>
        <w:t>т</w:t>
      </w:r>
      <w:r>
        <w:rPr>
          <w:b/>
        </w:rPr>
        <w:t>нической принадлежности и полу, 1997 год</w:t>
      </w:r>
    </w:p>
    <w:tbl>
      <w:tblPr>
        <w:tblW w:w="0" w:type="auto"/>
        <w:tblInd w:w="1278" w:type="dxa"/>
        <w:tblLayout w:type="fixed"/>
        <w:tblLook w:val="0000" w:firstRow="0" w:lastRow="0" w:firstColumn="0" w:lastColumn="0" w:noHBand="0" w:noVBand="0"/>
      </w:tblPr>
      <w:tblGrid>
        <w:gridCol w:w="2835"/>
        <w:gridCol w:w="2268"/>
        <w:gridCol w:w="2268"/>
      </w:tblGrid>
      <w:tr w:rsidR="00000000">
        <w:tblPrEx>
          <w:tblCellMar>
            <w:top w:w="0" w:type="dxa"/>
            <w:bottom w:w="0" w:type="dxa"/>
          </w:tblCellMar>
        </w:tblPrEx>
        <w:tc>
          <w:tcPr>
            <w:tcW w:w="2835" w:type="dxa"/>
            <w:tcBorders>
              <w:top w:val="single" w:sz="6" w:space="0" w:color="auto"/>
              <w:bottom w:val="single" w:sz="12" w:space="0" w:color="auto"/>
            </w:tcBorders>
          </w:tcPr>
          <w:p w:rsidR="00000000" w:rsidRDefault="00000000">
            <w:pPr>
              <w:spacing w:before="40" w:after="40" w:line="180" w:lineRule="exact"/>
              <w:rPr>
                <w:sz w:val="17"/>
              </w:rPr>
            </w:pPr>
          </w:p>
        </w:tc>
        <w:tc>
          <w:tcPr>
            <w:tcW w:w="2268" w:type="dxa"/>
            <w:tcBorders>
              <w:top w:val="single" w:sz="6" w:space="0" w:color="auto"/>
              <w:bottom w:val="single" w:sz="12" w:space="0" w:color="auto"/>
            </w:tcBorders>
          </w:tcPr>
          <w:p w:rsidR="00000000" w:rsidRDefault="00000000">
            <w:pPr>
              <w:spacing w:before="40" w:after="40" w:line="180" w:lineRule="exact"/>
              <w:rPr>
                <w:sz w:val="17"/>
              </w:rPr>
            </w:pPr>
          </w:p>
        </w:tc>
        <w:tc>
          <w:tcPr>
            <w:tcW w:w="2268" w:type="dxa"/>
            <w:tcBorders>
              <w:top w:val="single" w:sz="6" w:space="0" w:color="auto"/>
              <w:bottom w:val="single" w:sz="12" w:space="0" w:color="auto"/>
            </w:tcBorders>
          </w:tcPr>
          <w:p w:rsidR="00000000" w:rsidRDefault="00000000">
            <w:pPr>
              <w:spacing w:before="40" w:after="40" w:line="180" w:lineRule="exact"/>
              <w:rPr>
                <w:sz w:val="17"/>
              </w:rPr>
            </w:pPr>
          </w:p>
        </w:tc>
      </w:tr>
      <w:tr w:rsidR="00000000">
        <w:tblPrEx>
          <w:tblCellMar>
            <w:top w:w="0" w:type="dxa"/>
            <w:bottom w:w="0" w:type="dxa"/>
          </w:tblCellMar>
        </w:tblPrEx>
        <w:tc>
          <w:tcPr>
            <w:tcW w:w="2835" w:type="dxa"/>
            <w:tcBorders>
              <w:top w:val="single" w:sz="12" w:space="0" w:color="auto"/>
            </w:tcBorders>
          </w:tcPr>
          <w:p w:rsidR="00000000" w:rsidRDefault="00000000">
            <w:pPr>
              <w:spacing w:before="40" w:after="40" w:line="180" w:lineRule="exact"/>
              <w:rPr>
                <w:sz w:val="17"/>
              </w:rPr>
            </w:pPr>
            <w:r>
              <w:rPr>
                <w:sz w:val="17"/>
              </w:rPr>
              <w:t>Европе</w:t>
            </w:r>
            <w:r>
              <w:rPr>
                <w:sz w:val="17"/>
              </w:rPr>
              <w:t>й</w:t>
            </w:r>
            <w:r>
              <w:rPr>
                <w:sz w:val="17"/>
              </w:rPr>
              <w:t>цы/Прочие</w:t>
            </w:r>
          </w:p>
        </w:tc>
        <w:tc>
          <w:tcPr>
            <w:tcW w:w="2268" w:type="dxa"/>
            <w:tcBorders>
              <w:top w:val="single" w:sz="12" w:space="0" w:color="auto"/>
            </w:tcBorders>
          </w:tcPr>
          <w:p w:rsidR="00000000" w:rsidRDefault="00000000">
            <w:pPr>
              <w:spacing w:before="40" w:after="40" w:line="180" w:lineRule="exact"/>
              <w:jc w:val="center"/>
              <w:rPr>
                <w:sz w:val="17"/>
              </w:rPr>
            </w:pPr>
            <w:r>
              <w:rPr>
                <w:sz w:val="17"/>
              </w:rPr>
              <w:t>16,7</w:t>
            </w:r>
          </w:p>
        </w:tc>
        <w:tc>
          <w:tcPr>
            <w:tcW w:w="2268" w:type="dxa"/>
            <w:tcBorders>
              <w:top w:val="single" w:sz="12" w:space="0" w:color="auto"/>
            </w:tcBorders>
          </w:tcPr>
          <w:p w:rsidR="00000000" w:rsidRDefault="00000000">
            <w:pPr>
              <w:spacing w:before="40" w:after="40" w:line="180" w:lineRule="exact"/>
              <w:jc w:val="center"/>
              <w:rPr>
                <w:sz w:val="17"/>
              </w:rPr>
            </w:pPr>
            <w:r>
              <w:rPr>
                <w:sz w:val="17"/>
              </w:rPr>
              <w:t>12,6</w:t>
            </w:r>
          </w:p>
        </w:tc>
      </w:tr>
      <w:tr w:rsidR="00000000">
        <w:tblPrEx>
          <w:tblCellMar>
            <w:top w:w="0" w:type="dxa"/>
            <w:bottom w:w="0" w:type="dxa"/>
          </w:tblCellMar>
        </w:tblPrEx>
        <w:tc>
          <w:tcPr>
            <w:tcW w:w="2835" w:type="dxa"/>
          </w:tcPr>
          <w:p w:rsidR="00000000" w:rsidRDefault="00000000">
            <w:pPr>
              <w:spacing w:before="40" w:after="40" w:line="180" w:lineRule="exact"/>
              <w:rPr>
                <w:sz w:val="17"/>
              </w:rPr>
            </w:pPr>
            <w:r>
              <w:rPr>
                <w:sz w:val="17"/>
              </w:rPr>
              <w:t>Маори</w:t>
            </w:r>
          </w:p>
        </w:tc>
        <w:tc>
          <w:tcPr>
            <w:tcW w:w="2268" w:type="dxa"/>
          </w:tcPr>
          <w:p w:rsidR="00000000" w:rsidRDefault="00000000">
            <w:pPr>
              <w:spacing w:before="40" w:after="40" w:line="180" w:lineRule="exact"/>
              <w:jc w:val="center"/>
              <w:rPr>
                <w:sz w:val="17"/>
              </w:rPr>
            </w:pPr>
            <w:r>
              <w:rPr>
                <w:sz w:val="17"/>
              </w:rPr>
              <w:t>27,9</w:t>
            </w:r>
          </w:p>
        </w:tc>
        <w:tc>
          <w:tcPr>
            <w:tcW w:w="2268" w:type="dxa"/>
          </w:tcPr>
          <w:p w:rsidR="00000000" w:rsidRDefault="00000000">
            <w:pPr>
              <w:spacing w:before="40" w:after="40" w:line="180" w:lineRule="exact"/>
              <w:jc w:val="center"/>
              <w:rPr>
                <w:sz w:val="17"/>
              </w:rPr>
            </w:pPr>
            <w:r>
              <w:rPr>
                <w:sz w:val="17"/>
              </w:rPr>
              <w:t>27,0</w:t>
            </w:r>
          </w:p>
        </w:tc>
      </w:tr>
      <w:tr w:rsidR="00000000">
        <w:tblPrEx>
          <w:tblCellMar>
            <w:top w:w="0" w:type="dxa"/>
            <w:bottom w:w="0" w:type="dxa"/>
          </w:tblCellMar>
        </w:tblPrEx>
        <w:tc>
          <w:tcPr>
            <w:tcW w:w="2835" w:type="dxa"/>
            <w:tcBorders>
              <w:bottom w:val="single" w:sz="12" w:space="0" w:color="auto"/>
            </w:tcBorders>
          </w:tcPr>
          <w:p w:rsidR="00000000" w:rsidRDefault="00000000">
            <w:pPr>
              <w:spacing w:before="40" w:after="40" w:line="180" w:lineRule="exact"/>
              <w:rPr>
                <w:sz w:val="17"/>
              </w:rPr>
            </w:pPr>
            <w:r>
              <w:rPr>
                <w:sz w:val="17"/>
              </w:rPr>
              <w:t>Жители тихоокеанских остр</w:t>
            </w:r>
            <w:r>
              <w:rPr>
                <w:sz w:val="17"/>
              </w:rPr>
              <w:t>о</w:t>
            </w:r>
            <w:r>
              <w:rPr>
                <w:sz w:val="17"/>
              </w:rPr>
              <w:t xml:space="preserve">вов </w:t>
            </w:r>
          </w:p>
        </w:tc>
        <w:tc>
          <w:tcPr>
            <w:tcW w:w="2268" w:type="dxa"/>
            <w:tcBorders>
              <w:bottom w:val="single" w:sz="12" w:space="0" w:color="auto"/>
            </w:tcBorders>
          </w:tcPr>
          <w:p w:rsidR="00000000" w:rsidRDefault="00000000">
            <w:pPr>
              <w:spacing w:before="40" w:after="40" w:line="180" w:lineRule="exact"/>
              <w:jc w:val="center"/>
              <w:rPr>
                <w:sz w:val="17"/>
              </w:rPr>
            </w:pPr>
            <w:r>
              <w:rPr>
                <w:sz w:val="17"/>
              </w:rPr>
              <w:t>47,2</w:t>
            </w:r>
          </w:p>
        </w:tc>
        <w:tc>
          <w:tcPr>
            <w:tcW w:w="2268" w:type="dxa"/>
            <w:tcBorders>
              <w:bottom w:val="single" w:sz="12" w:space="0" w:color="auto"/>
            </w:tcBorders>
          </w:tcPr>
          <w:p w:rsidR="00000000" w:rsidRDefault="00000000">
            <w:pPr>
              <w:spacing w:before="40" w:after="40" w:line="180" w:lineRule="exact"/>
              <w:jc w:val="center"/>
              <w:rPr>
                <w:sz w:val="17"/>
              </w:rPr>
            </w:pPr>
            <w:r>
              <w:rPr>
                <w:sz w:val="17"/>
              </w:rPr>
              <w:t>26,2</w:t>
            </w:r>
          </w:p>
        </w:tc>
      </w:tr>
    </w:tbl>
    <w:p w:rsidR="00000000" w:rsidRDefault="00000000">
      <w:pPr>
        <w:pStyle w:val="SingleTxt"/>
        <w:ind w:firstLine="0"/>
      </w:pPr>
      <w:r>
        <w:rPr>
          <w:i/>
        </w:rPr>
        <w:t>Источник</w:t>
      </w:r>
      <w:r>
        <w:t>: Министерство здравоохранения, 1999а</w:t>
      </w:r>
    </w:p>
    <w:p w:rsidR="00000000" w:rsidRDefault="00000000">
      <w:pPr>
        <w:pStyle w:val="H23"/>
      </w:pPr>
      <w:r>
        <w:t>Физическая активность</w:t>
      </w:r>
    </w:p>
    <w:p w:rsidR="00000000" w:rsidRDefault="00000000">
      <w:pPr>
        <w:pStyle w:val="SingleTxt"/>
      </w:pPr>
      <w:r>
        <w:t>Согласно обследованию 1996-97 годов примерно одинаковое количество мужчин и женщин посвящали 2,5 часов своего досуга физической деятельн</w:t>
      </w:r>
      <w:r>
        <w:t>о</w:t>
      </w:r>
      <w:r>
        <w:t>сти в течение предшествовавших 7 дней (60,3% женщин и 61,5% мужчин). Среди взрослых женщин-маори, женщин европейского происхождения и женщин, проживающих на островах Тихого океана, физической деятельностью заним</w:t>
      </w:r>
      <w:r>
        <w:t>а</w:t>
      </w:r>
      <w:r>
        <w:t>лись соответственно 61,6%, 54,6% и 56,9%.</w:t>
      </w:r>
    </w:p>
    <w:p w:rsidR="00000000" w:rsidRDefault="00000000">
      <w:pPr>
        <w:pStyle w:val="H23"/>
      </w:pPr>
      <w:r>
        <w:t>Потребление алкоголя</w:t>
      </w:r>
    </w:p>
    <w:p w:rsidR="00000000" w:rsidRDefault="00000000">
      <w:pPr>
        <w:pStyle w:val="SingleTxt"/>
      </w:pPr>
      <w:r>
        <w:t>Сопоставление результатов обследований 1995 и 2000 годов показало, что в течение пятилетнего периода женщины в возрасте 14-17 лет и старше 25 лет стали потреблять больше алкоголя. Хотя женщины потребляют алкоголь реже мужчин, в отличие от них они увеличивают частотность потребления алкоголя. Это справедливо для женщин в возрасте 14-17 и 30-40 лет.</w:t>
      </w:r>
    </w:p>
    <w:p w:rsidR="00000000" w:rsidRDefault="00000000">
      <w:pPr>
        <w:pStyle w:val="SingleTxt"/>
      </w:pPr>
      <w:r>
        <w:t>Женщины также увеличили свою обычную норму с двух порций спир</w:t>
      </w:r>
      <w:r>
        <w:t>т</w:t>
      </w:r>
      <w:r>
        <w:t>ных напитков за один прием до трех-четырех. Женщины всех возрастных групп увеличили обычную норму потребления спиртных напитков, причем наиболее з</w:t>
      </w:r>
      <w:r>
        <w:t>а</w:t>
      </w:r>
      <w:r>
        <w:t>метное увеличение наблюдалось в возрастной группе 16-18 лет.</w:t>
      </w:r>
    </w:p>
    <w:p w:rsidR="00000000" w:rsidRDefault="00000000">
      <w:pPr>
        <w:pStyle w:val="H1"/>
      </w:pPr>
      <w:r>
        <w:t>Здоровье беженцев и мигрантов</w:t>
      </w:r>
    </w:p>
    <w:p w:rsidR="00000000" w:rsidRDefault="00000000">
      <w:pPr>
        <w:pStyle w:val="SingleTxt"/>
      </w:pPr>
      <w:r>
        <w:t>«</w:t>
      </w:r>
      <w:r>
        <w:rPr>
          <w:i/>
        </w:rPr>
        <w:t>Охрана здоровья беженцев: Руководство для работников здравоохран</w:t>
      </w:r>
      <w:r>
        <w:rPr>
          <w:i/>
        </w:rPr>
        <w:t>е</w:t>
      </w:r>
      <w:r>
        <w:rPr>
          <w:i/>
        </w:rPr>
        <w:t>ния</w:t>
      </w:r>
      <w:r>
        <w:t>» появилось в ноябре 2001 года. Это руководство предназначено для врачей общей практики и других работников здравоохранения, на которых возлагается забота о беженцах. В нем содержится информация о культурных и этнических истоках основных групп беженцев в Новой Зеландии и инструкции относ</w:t>
      </w:r>
      <w:r>
        <w:t>и</w:t>
      </w:r>
      <w:r>
        <w:t>тельно проведения деликатных с точки зрения культуры консультаций, а также эффективного использования услуг переводчиков. В нем излагаются сведения об общих для беженцев проблемах физического и психического здоровья, о к</w:t>
      </w:r>
      <w:r>
        <w:t>о</w:t>
      </w:r>
      <w:r>
        <w:t>торых могут не знать новозеландские специалисты. В брошюре также помещен контактный перечень компетентных и гуманитарных учреждений .</w:t>
      </w:r>
    </w:p>
    <w:p w:rsidR="00000000" w:rsidRDefault="00000000">
      <w:pPr>
        <w:pStyle w:val="SingleTxt"/>
      </w:pPr>
      <w:r>
        <w:t>Министерство здравоохранения финансирует оказание ряда здравоохр</w:t>
      </w:r>
      <w:r>
        <w:t>а</w:t>
      </w:r>
      <w:r>
        <w:t>нительных услуг беженцам, включая обследование подпадающих под действие въездных квот беженцев и просителей убежища, координацию охраны здоровья беженцев и деятельность общинных работников здравоохранения, просвещ</w:t>
      </w:r>
      <w:r>
        <w:t>е</w:t>
      </w:r>
      <w:r>
        <w:t>ние по вопросам ВИЧ/СПИД, просвещение по проблеме калечащих операций на женских половых орг</w:t>
      </w:r>
      <w:r>
        <w:t>а</w:t>
      </w:r>
      <w:r>
        <w:t>нах, а также развитие общин.</w:t>
      </w:r>
    </w:p>
    <w:p w:rsidR="00000000" w:rsidRDefault="00000000">
      <w:pPr>
        <w:ind w:left="1264" w:right="1264"/>
        <w:jc w:val="both"/>
        <w:rPr>
          <w:b/>
        </w:rPr>
      </w:pPr>
      <w:r>
        <w:rPr>
          <w:b/>
        </w:rPr>
        <w:t xml:space="preserve">Калечащие операции на женских половых органах </w:t>
      </w:r>
    </w:p>
    <w:p w:rsidR="00000000" w:rsidRDefault="00000000">
      <w:pPr>
        <w:pStyle w:val="H23"/>
        <w:ind w:left="1264" w:firstLine="0"/>
      </w:pPr>
      <w:r>
        <w:t>С момента представления последнего периодического доклада не произошло каких-либо существенных изменений. Текущая работа включает:</w:t>
      </w:r>
    </w:p>
    <w:p w:rsidR="00000000" w:rsidRDefault="00000000">
      <w:pPr>
        <w:pStyle w:val="dot"/>
      </w:pPr>
      <w:r>
        <w:tab/>
      </w:r>
      <w:r>
        <w:tab/>
        <w:t>•</w:t>
      </w:r>
      <w:r>
        <w:tab/>
        <w:t>осуществление просветительского проекта в районе Окленда</w:t>
      </w:r>
    </w:p>
    <w:p w:rsidR="00000000" w:rsidRDefault="00000000">
      <w:pPr>
        <w:pStyle w:val="dot"/>
      </w:pPr>
      <w:r>
        <w:tab/>
      </w:r>
      <w:r>
        <w:tab/>
        <w:t>•</w:t>
      </w:r>
      <w:r>
        <w:tab/>
        <w:t>обновление и осуществление руководящих принципов по охране здоровья и защите детей</w:t>
      </w:r>
    </w:p>
    <w:p w:rsidR="00000000" w:rsidRDefault="00000000">
      <w:pPr>
        <w:pStyle w:val="dot"/>
      </w:pPr>
      <w:r>
        <w:tab/>
      </w:r>
      <w:r>
        <w:tab/>
        <w:t>•</w:t>
      </w:r>
      <w:r>
        <w:tab/>
        <w:t>распределение ресурсов между специалистами здравоохранения</w:t>
      </w:r>
    </w:p>
    <w:p w:rsidR="00000000" w:rsidRDefault="00000000">
      <w:pPr>
        <w:pStyle w:val="dot"/>
      </w:pPr>
      <w:r>
        <w:tab/>
      </w:r>
      <w:r>
        <w:tab/>
        <w:t>•</w:t>
      </w:r>
      <w:r>
        <w:tab/>
        <w:t>обучение и оказание помощи, включая техническую помощь</w:t>
      </w:r>
    </w:p>
    <w:p w:rsidR="00000000" w:rsidRDefault="00000000">
      <w:pPr>
        <w:pStyle w:val="dot"/>
      </w:pPr>
      <w:r>
        <w:tab/>
      </w:r>
      <w:r>
        <w:tab/>
        <w:t>•</w:t>
      </w:r>
      <w:r>
        <w:tab/>
        <w:t>просвещение в общинах, в которых распространены калечащие операции на женских половых орг</w:t>
      </w:r>
      <w:r>
        <w:t>а</w:t>
      </w:r>
      <w:r>
        <w:t>нах.</w:t>
      </w:r>
    </w:p>
    <w:p w:rsidR="00000000" w:rsidRDefault="00000000">
      <w:pPr>
        <w:pStyle w:val="H1"/>
      </w:pPr>
      <w:r>
        <w:t>Психическое здоровье</w:t>
      </w:r>
    </w:p>
    <w:p w:rsidR="00000000" w:rsidRDefault="00000000">
      <w:pPr>
        <w:pStyle w:val="SingleTxt"/>
      </w:pPr>
      <w:r>
        <w:t>В настоящее время разворачивается эпидемиологическое исследование психиатрического профиля, результаты которого будут известны в 2005 году. Это исследование позволит сопоставить ряд особенностей психического здор</w:t>
      </w:r>
      <w:r>
        <w:t>о</w:t>
      </w:r>
      <w:r>
        <w:t>вья женщин и мужчин и распространенность поддающихся диагностике псих</w:t>
      </w:r>
      <w:r>
        <w:t>и</w:t>
      </w:r>
      <w:r>
        <w:t>ческих расстройств. Уже завершены клинические исследования.</w:t>
      </w:r>
    </w:p>
    <w:p w:rsidR="00000000" w:rsidRDefault="00000000">
      <w:pPr>
        <w:pStyle w:val="SingleTxt"/>
      </w:pPr>
      <w:r>
        <w:t>Тяжелые психические заболевания, видимо, встречаются с равной часто</w:t>
      </w:r>
      <w:r>
        <w:t>т</w:t>
      </w:r>
      <w:r>
        <w:t>ностью у обоих полов. Однако у женщин в более позднем возрасте развивается шизофрения, но у них более благоприятный прогноз развития болезни, чем у мужчин. Женщины также больше подвержены общим психическим заболев</w:t>
      </w:r>
      <w:r>
        <w:t>а</w:t>
      </w:r>
      <w:r>
        <w:t>ниям, включая такие мягкие формы, как депрессивные, тревожно-фобические и соматические расстройства. Преобладание женщин среди лиц, страдающих общими психическими расстройствами, наблюдается в средних возрастных группах, т.е. в период, когда социальные роли и обязанности женщин наиболее заметно расходятся с ролями и обязанностями мужчин. Женщины также чаще обращаются за помощью для лечения этих расстройств.</w:t>
      </w:r>
      <w:r>
        <w:rPr>
          <w:rStyle w:val="FootnoteReference"/>
        </w:rPr>
        <w:footnoteReference w:customMarkFollows="1" w:id="28"/>
        <w:t>26</w:t>
      </w:r>
    </w:p>
    <w:p w:rsidR="00000000" w:rsidRDefault="00000000">
      <w:pPr>
        <w:pStyle w:val="SingleTxt"/>
      </w:pPr>
      <w:r>
        <w:t>К факторам риска для женщин и причинам психических расстройств о</w:t>
      </w:r>
      <w:r>
        <w:t>т</w:t>
      </w:r>
      <w:r>
        <w:t>нося</w:t>
      </w:r>
      <w:r>
        <w:t>т</w:t>
      </w:r>
      <w:r>
        <w:t>ся:</w:t>
      </w:r>
    </w:p>
    <w:p w:rsidR="00000000" w:rsidRDefault="00000000">
      <w:pPr>
        <w:pStyle w:val="dot"/>
      </w:pPr>
      <w:r>
        <w:tab/>
      </w:r>
      <w:r>
        <w:tab/>
        <w:t>•</w:t>
      </w:r>
      <w:r>
        <w:tab/>
        <w:t>вероятность никогда не выйти замуж, жить раздельно от мужа или быть с ним в разводе или оказаться в одиночестве</w:t>
      </w:r>
    </w:p>
    <w:p w:rsidR="00000000" w:rsidRDefault="00000000">
      <w:pPr>
        <w:pStyle w:val="dot"/>
      </w:pPr>
      <w:r>
        <w:tab/>
      </w:r>
      <w:r>
        <w:tab/>
        <w:t>•</w:t>
      </w:r>
      <w:r>
        <w:tab/>
        <w:t>рождение в многодетной семье</w:t>
      </w:r>
    </w:p>
    <w:p w:rsidR="00000000" w:rsidRDefault="00000000">
      <w:pPr>
        <w:pStyle w:val="dot"/>
      </w:pPr>
      <w:r>
        <w:tab/>
      </w:r>
      <w:r>
        <w:tab/>
        <w:t>•</w:t>
      </w:r>
      <w:r>
        <w:tab/>
        <w:t>низкий социально-экономический статус, включая негарантированную з</w:t>
      </w:r>
      <w:r>
        <w:t>а</w:t>
      </w:r>
      <w:r>
        <w:t>нятость, низкую зарплату, труд, не приносящий удовлетворения, и недо</w:t>
      </w:r>
      <w:r>
        <w:t>с</w:t>
      </w:r>
      <w:r>
        <w:t>таточную финансовую безопасность</w:t>
      </w:r>
    </w:p>
    <w:p w:rsidR="00000000" w:rsidRDefault="00000000">
      <w:pPr>
        <w:pStyle w:val="dot"/>
      </w:pPr>
      <w:r>
        <w:tab/>
      </w:r>
      <w:r>
        <w:tab/>
        <w:t>•</w:t>
      </w:r>
      <w:r>
        <w:tab/>
        <w:t>некрепкие социальные связи</w:t>
      </w:r>
    </w:p>
    <w:p w:rsidR="00000000" w:rsidRDefault="00000000">
      <w:pPr>
        <w:pStyle w:val="dot"/>
      </w:pPr>
      <w:r>
        <w:tab/>
      </w:r>
      <w:r>
        <w:tab/>
        <w:t>•</w:t>
      </w:r>
      <w:r>
        <w:tab/>
        <w:t>плохое физическое здоровье</w:t>
      </w:r>
    </w:p>
    <w:p w:rsidR="00000000" w:rsidRDefault="00000000">
      <w:pPr>
        <w:pStyle w:val="dot"/>
      </w:pPr>
      <w:r>
        <w:tab/>
      </w:r>
      <w:r>
        <w:tab/>
        <w:t>•</w:t>
      </w:r>
      <w:r>
        <w:tab/>
        <w:t>бездетность</w:t>
      </w:r>
    </w:p>
    <w:p w:rsidR="00000000" w:rsidRDefault="00000000">
      <w:pPr>
        <w:pStyle w:val="dot"/>
      </w:pPr>
      <w:r>
        <w:tab/>
      </w:r>
      <w:r>
        <w:tab/>
        <w:t>•</w:t>
      </w:r>
      <w:r>
        <w:tab/>
        <w:t>злоупотребление алкоголем</w:t>
      </w:r>
    </w:p>
    <w:p w:rsidR="00000000" w:rsidRDefault="00000000">
      <w:pPr>
        <w:pStyle w:val="dot"/>
      </w:pPr>
      <w:r>
        <w:tab/>
      </w:r>
      <w:r>
        <w:tab/>
        <w:t>•</w:t>
      </w:r>
      <w:r>
        <w:tab/>
        <w:t>физические и сексуальные надругательства</w:t>
      </w:r>
    </w:p>
    <w:p w:rsidR="00000000" w:rsidRDefault="00000000">
      <w:pPr>
        <w:pStyle w:val="dot"/>
      </w:pPr>
      <w:r>
        <w:tab/>
      </w:r>
      <w:r>
        <w:tab/>
        <w:t>•</w:t>
      </w:r>
      <w:r>
        <w:tab/>
        <w:t>заниженная самооценка</w:t>
      </w:r>
    </w:p>
    <w:p w:rsidR="00000000" w:rsidRDefault="00000000">
      <w:pPr>
        <w:pStyle w:val="SingleTxt"/>
      </w:pPr>
      <w:r>
        <w:t>Женщины-маори подвержены большему риску психических заболеваний по сравнению с женщинами др</w:t>
      </w:r>
      <w:r>
        <w:t>у</w:t>
      </w:r>
      <w:r>
        <w:t>гих этнических групп.</w:t>
      </w:r>
    </w:p>
    <w:p w:rsidR="00000000" w:rsidRDefault="00000000">
      <w:pPr>
        <w:pStyle w:val="SingleTxt"/>
      </w:pPr>
      <w:r>
        <w:t>К другим проблемам психического здоровья, свойственным только же</w:t>
      </w:r>
      <w:r>
        <w:t>н</w:t>
      </w:r>
      <w:r>
        <w:t>щинам, относятся психиатрические синдромы, связанные с менструальным циклом и послеродовой депрессией.</w:t>
      </w:r>
      <w:r>
        <w:rPr>
          <w:rStyle w:val="FootnoteReference"/>
        </w:rPr>
        <w:footnoteReference w:customMarkFollows="1" w:id="29"/>
        <w:t>27</w:t>
      </w:r>
    </w:p>
    <w:p w:rsidR="00000000" w:rsidRDefault="00000000">
      <w:pPr>
        <w:pStyle w:val="H1"/>
      </w:pPr>
      <w:r>
        <w:t>Пожилые женщины</w:t>
      </w:r>
    </w:p>
    <w:p w:rsidR="00000000" w:rsidRDefault="00000000">
      <w:pPr>
        <w:pStyle w:val="SingleTxt"/>
      </w:pPr>
      <w:r>
        <w:t>Хотя ожидаемая продолжительность жизни женщин неизменно превыш</w:t>
      </w:r>
      <w:r>
        <w:t>а</w:t>
      </w:r>
      <w:r>
        <w:t>ет ожидаемую продолжительность жизни мужчин, у пожилых женщин отмеч</w:t>
      </w:r>
      <w:r>
        <w:t>а</w:t>
      </w:r>
      <w:r>
        <w:t>ются более высокие коэффициенты заболеваемости хроническими болезнями и бремя инвалидности, чем у пожилых мужчин, которые обычно страдают тяж</w:t>
      </w:r>
      <w:r>
        <w:t>е</w:t>
      </w:r>
      <w:r>
        <w:t>лыми формами. В среднем бремя инвалидности у пожилых женщин составляет 7,6 лет. У женщин-маори оно равно 7,5 лет. Этот показатель составляет 6,2 лет для всех мужчин и 5,2 лет для мужчин-маори. Поскольку система охраны зд</w:t>
      </w:r>
      <w:r>
        <w:t>о</w:t>
      </w:r>
      <w:r>
        <w:t>ровья ориентирована на программы неотложной помощи, в ней обычно не уч</w:t>
      </w:r>
      <w:r>
        <w:t>и</w:t>
      </w:r>
      <w:r>
        <w:t>тываются потребности пожилых женщин, которые больше нуждаются в уходе на дому, чем в го</w:t>
      </w:r>
      <w:r>
        <w:t>с</w:t>
      </w:r>
      <w:r>
        <w:t>питализации.</w:t>
      </w:r>
      <w:r>
        <w:rPr>
          <w:rStyle w:val="FootnoteReference"/>
        </w:rPr>
        <w:footnoteReference w:customMarkFollows="1" w:id="30"/>
        <w:t>28 </w:t>
      </w:r>
    </w:p>
    <w:p w:rsidR="00000000" w:rsidRDefault="00000000">
      <w:pPr>
        <w:ind w:left="1264" w:right="1264"/>
        <w:jc w:val="both"/>
      </w:pPr>
      <w:r>
        <w:t>Как правило, женщины имеют меньше средств по сравнению с мужчинами. У них больше шансов:</w:t>
      </w:r>
    </w:p>
    <w:p w:rsidR="00000000" w:rsidRDefault="00000000">
      <w:pPr>
        <w:pStyle w:val="dot"/>
      </w:pPr>
      <w:r>
        <w:tab/>
      </w:r>
      <w:r>
        <w:tab/>
        <w:t>•</w:t>
      </w:r>
      <w:r>
        <w:tab/>
        <w:t>овдоветь</w:t>
      </w:r>
      <w:r>
        <w:rPr>
          <w:rStyle w:val="FootnoteReference"/>
        </w:rPr>
        <w:footnoteReference w:customMarkFollows="1" w:id="31"/>
        <w:t>29</w:t>
      </w:r>
    </w:p>
    <w:p w:rsidR="00000000" w:rsidRDefault="00000000">
      <w:pPr>
        <w:pStyle w:val="dot"/>
      </w:pPr>
      <w:r>
        <w:tab/>
      </w:r>
      <w:r>
        <w:tab/>
        <w:t>•</w:t>
      </w:r>
      <w:r>
        <w:tab/>
        <w:t>оказаться в одиночестве</w:t>
      </w:r>
      <w:r>
        <w:rPr>
          <w:rStyle w:val="FootnoteReference"/>
        </w:rPr>
        <w:footnoteReference w:customMarkFollows="1" w:id="32"/>
        <w:t>30</w:t>
      </w:r>
    </w:p>
    <w:p w:rsidR="00000000" w:rsidRDefault="00000000">
      <w:pPr>
        <w:pStyle w:val="dot"/>
      </w:pPr>
      <w:r>
        <w:tab/>
      </w:r>
      <w:r>
        <w:tab/>
        <w:t>•</w:t>
      </w:r>
      <w:r>
        <w:tab/>
        <w:t>получать меньше дохода</w:t>
      </w:r>
    </w:p>
    <w:p w:rsidR="00000000" w:rsidRDefault="00000000">
      <w:pPr>
        <w:pStyle w:val="dot"/>
      </w:pPr>
      <w:r>
        <w:tab/>
      </w:r>
      <w:r>
        <w:tab/>
        <w:t>•</w:t>
      </w:r>
      <w:r>
        <w:tab/>
        <w:t>оказаться в социальной изоляции или в изоляции из-за проживания в сельской местности</w:t>
      </w:r>
    </w:p>
    <w:p w:rsidR="00000000" w:rsidRDefault="00000000">
      <w:pPr>
        <w:pStyle w:val="dot"/>
      </w:pPr>
      <w:r>
        <w:tab/>
      </w:r>
      <w:r>
        <w:tab/>
        <w:t>•</w:t>
      </w:r>
      <w:r>
        <w:tab/>
        <w:t>ухаживать за немощным партнером или престарелыми родителями</w:t>
      </w:r>
    </w:p>
    <w:p w:rsidR="00000000" w:rsidRDefault="00000000">
      <w:pPr>
        <w:pStyle w:val="SingleTxt"/>
      </w:pPr>
      <w:r>
        <w:t>В особенно трудном положении находятся женщины-маори, поскольку у них больше вероятности одновременно овдоветь, жить изолированно в сел</w:t>
      </w:r>
      <w:r>
        <w:t>ь</w:t>
      </w:r>
      <w:r>
        <w:t>ской местности и получать небольшой доход.</w:t>
      </w:r>
    </w:p>
    <w:p w:rsidR="00000000" w:rsidRDefault="00000000">
      <w:pPr>
        <w:pStyle w:val="SingleTxt"/>
      </w:pPr>
      <w:r>
        <w:t>Вероятность того, что женщины в возрасте 85 лет и старше будут пом</w:t>
      </w:r>
      <w:r>
        <w:t>е</w:t>
      </w:r>
      <w:r>
        <w:t>щены в учреждениях для престарелых, на 50 с лишнем процентов выше такой же вероятности у мужчин. Цифры по Новой Зеландии колеблются в среднем и верхнем диапазоне: 22,2% мужчин и 31,7% женщин в возрасте 85 лет и старше жили в учреждениях для престарелых.</w:t>
      </w:r>
      <w:r>
        <w:rPr>
          <w:rStyle w:val="FootnoteReference"/>
        </w:rPr>
        <w:footnoteReference w:customMarkFollows="1" w:id="33"/>
        <w:t>31 </w:t>
      </w:r>
    </w:p>
    <w:p w:rsidR="00000000" w:rsidRDefault="00000000">
      <w:pPr>
        <w:pStyle w:val="H23"/>
      </w:pPr>
      <w:r>
        <w:t>Социально-экономическое неравенство</w:t>
      </w:r>
    </w:p>
    <w:p w:rsidR="00000000" w:rsidRDefault="00000000">
      <w:pPr>
        <w:pStyle w:val="SingleTxt"/>
      </w:pPr>
      <w:r>
        <w:t>Есть свидетельства того, что социально-экономическое неравенство ок</w:t>
      </w:r>
      <w:r>
        <w:t>а</w:t>
      </w:r>
      <w:r>
        <w:t>зывает все большее воздействие на состояние здоровья.</w:t>
      </w:r>
      <w:r>
        <w:rPr>
          <w:rStyle w:val="FootnoteReference"/>
        </w:rPr>
        <w:footnoteReference w:customMarkFollows="1" w:id="34"/>
        <w:t>32 </w:t>
      </w:r>
      <w:r>
        <w:t>В пожилом возрасте это усугубляется последствиями различных лишений, перенесенных на прот</w:t>
      </w:r>
      <w:r>
        <w:t>я</w:t>
      </w:r>
      <w:r>
        <w:t>жении всей жизни (например, плохое питание в детстве), и болезнями. Эти факт</w:t>
      </w:r>
      <w:r>
        <w:t>о</w:t>
      </w:r>
      <w:r>
        <w:t>ры, как правило, особенно сильно сказываются на положении женщин-маори и жителей тихоокеанских островов.</w:t>
      </w:r>
    </w:p>
    <w:p w:rsidR="00000000" w:rsidRDefault="00000000">
      <w:pPr>
        <w:pStyle w:val="SingleTxt"/>
      </w:pPr>
      <w:r>
        <w:t>Проведенное недавно в Новой Зеландии исследование</w:t>
      </w:r>
      <w:r>
        <w:rPr>
          <w:rStyle w:val="FootnoteReference"/>
        </w:rPr>
        <w:footnoteReference w:customMarkFollows="1" w:id="35"/>
        <w:t>33 </w:t>
      </w:r>
      <w:r>
        <w:t>показало, что на общее материальное благосостояние пожилых людей влияет совокупное во</w:t>
      </w:r>
      <w:r>
        <w:t>з</w:t>
      </w:r>
      <w:r>
        <w:t>действие трех групп факторов:</w:t>
      </w:r>
    </w:p>
    <w:p w:rsidR="00000000" w:rsidRDefault="00000000">
      <w:pPr>
        <w:pStyle w:val="dot"/>
      </w:pPr>
      <w:r>
        <w:tab/>
      </w:r>
      <w:r>
        <w:tab/>
        <w:t>•</w:t>
      </w:r>
      <w:r>
        <w:tab/>
        <w:t>нынешние экономические условия — чистый доход, объем накоплений и инвестиций и стоимость ж</w:t>
      </w:r>
      <w:r>
        <w:t>и</w:t>
      </w:r>
      <w:r>
        <w:t>лья</w:t>
      </w:r>
    </w:p>
    <w:p w:rsidR="00000000" w:rsidRDefault="00000000">
      <w:pPr>
        <w:pStyle w:val="dot"/>
      </w:pPr>
      <w:r>
        <w:tab/>
      </w:r>
      <w:r>
        <w:tab/>
        <w:t>•</w:t>
      </w:r>
      <w:r>
        <w:tab/>
        <w:t>подверженность экономическим стрессам в прошлом и в настоящее время</w:t>
      </w:r>
    </w:p>
    <w:p w:rsidR="00000000" w:rsidRDefault="00000000">
      <w:pPr>
        <w:pStyle w:val="dot"/>
      </w:pPr>
      <w:r>
        <w:tab/>
      </w:r>
      <w:r>
        <w:tab/>
        <w:t>•</w:t>
      </w:r>
      <w:r>
        <w:tab/>
        <w:t>социальные факторы — состав семьи, возраст, этническое происхожд</w:t>
      </w:r>
      <w:r>
        <w:t>е</w:t>
      </w:r>
      <w:r>
        <w:t>ние, с</w:t>
      </w:r>
      <w:r>
        <w:t>о</w:t>
      </w:r>
      <w:r>
        <w:t>циально-экономический статус.</w:t>
      </w:r>
    </w:p>
    <w:p w:rsidR="00000000" w:rsidRDefault="00000000">
      <w:pPr>
        <w:pStyle w:val="SingleTxt"/>
      </w:pPr>
      <w:r>
        <w:t>Три четверти одиноких участников обследования составляли женщины, однако в исследовании содержится мало конкретных замечаний по гендерным факторам. Большая часть сопоставлений проводилась между одинокими люд</w:t>
      </w:r>
      <w:r>
        <w:t>ь</w:t>
      </w:r>
      <w:r>
        <w:t>ми и пар</w:t>
      </w:r>
      <w:r>
        <w:t>а</w:t>
      </w:r>
      <w:r>
        <w:t>ми/супругами и возрастными группами, а не с разбивкой по полу.</w:t>
      </w:r>
    </w:p>
    <w:p w:rsidR="00000000" w:rsidRDefault="00000000">
      <w:pPr>
        <w:pStyle w:val="H23"/>
      </w:pPr>
      <w:r>
        <w:t>Стратегия в области улучшения состояния здоровья пожилых людей</w:t>
      </w:r>
    </w:p>
    <w:p w:rsidR="00000000" w:rsidRDefault="00000000">
      <w:pPr>
        <w:pStyle w:val="SingleTxt"/>
      </w:pPr>
      <w:r>
        <w:t>Документ «</w:t>
      </w:r>
      <w:r>
        <w:rPr>
          <w:i/>
        </w:rPr>
        <w:t>Стратегия в области улучшения состояния здоровья пожилых людей: меры, которые будут приняты в секторе здравоохранения к 2010 году в целях поддержки позитивного старения</w:t>
      </w:r>
      <w:r>
        <w:t>», опубликованный в 2002 году, служит всеобъемлющей основой для планирования, финансирования и оказания услуг пожилым людям в Новой Зеландии.</w:t>
      </w:r>
    </w:p>
    <w:p w:rsidR="00000000" w:rsidRDefault="00000000">
      <w:pPr>
        <w:pStyle w:val="SingleTxt"/>
      </w:pPr>
      <w:r>
        <w:t>Основная цель этой стратегии заключается в разработке комплексного подхода к услугам в области здравоохранения и поддержки инвалидов, который позволит удовлетворять различные и изменяющиеся потребности пожилых л</w:t>
      </w:r>
      <w:r>
        <w:t>ю</w:t>
      </w:r>
      <w:r>
        <w:t>дей. В соответствии с НЗСЗ и НЗСР упор в ней сделан на развитие здравоохр</w:t>
      </w:r>
      <w:r>
        <w:t>а</w:t>
      </w:r>
      <w:r>
        <w:t>нения, профилактику заболеваний и травматизма, повышение качества жизни и обеспечение своевременного и справедливого доступа к услугам в области здравоохранения и поддержки инвалидов.</w:t>
      </w:r>
    </w:p>
    <w:p w:rsidR="00000000" w:rsidRDefault="00000000">
      <w:pPr>
        <w:pStyle w:val="SingleTxt"/>
      </w:pPr>
      <w:r>
        <w:t>В стратегию входит программа работы для министерства здравоохранения по созданию национальной основы для осуществления стратегии, а также для ОМСК в целях разработки комплексного подхода к обслуживанию в их соо</w:t>
      </w:r>
      <w:r>
        <w:t>т</w:t>
      </w:r>
      <w:r>
        <w:t>ветствующих округах. Осуществление стратегии потребует от министерства здравоохранения и ОМСК регулярного пересмотра и переориентации услуг в целях лучшего удовлетворения потребностей пожилых людей в настоящее вр</w:t>
      </w:r>
      <w:r>
        <w:t>е</w:t>
      </w:r>
      <w:r>
        <w:t>мя и в будущем.</w:t>
      </w:r>
    </w:p>
    <w:p w:rsidR="00000000" w:rsidRDefault="00000000">
      <w:pPr>
        <w:pStyle w:val="H4"/>
      </w:pPr>
      <w:r>
        <w:t>Плохое обращение с пожилыми людьми</w:t>
      </w:r>
    </w:p>
    <w:p w:rsidR="00000000" w:rsidRDefault="00000000">
      <w:pPr>
        <w:pStyle w:val="SingleTxt"/>
      </w:pPr>
      <w:r>
        <w:t>Одной из мер, которые будут приниматься в рамках стратегии в области улучшения состояния здоровья пожилых людей, является защита находящихся в уязвимом положении пожилых людей от плохого обращения. Министерство здравоохранения заключило также контракт с организацией «Забота о прест</w:t>
      </w:r>
      <w:r>
        <w:t>а</w:t>
      </w:r>
      <w:r>
        <w:t>релых» на разработку руководящих принципов по предупреждению плохого обращения с престарелыми. Департамент по вопросам обслуживания детей, молодежи и семьи финансирует услуги в области предупреждения плохого о</w:t>
      </w:r>
      <w:r>
        <w:t>б</w:t>
      </w:r>
      <w:r>
        <w:t>ращения с престарелыми, включая координацию, просвещение и консультац</w:t>
      </w:r>
      <w:r>
        <w:t>и</w:t>
      </w:r>
      <w:r>
        <w:t>онные услуги.</w:t>
      </w:r>
    </w:p>
    <w:p w:rsidR="00000000" w:rsidRDefault="00000000">
      <w:pPr>
        <w:pStyle w:val="H1"/>
      </w:pPr>
      <w:r>
        <w:t>Сексуальное и репродуктивное здоровье</w:t>
      </w:r>
    </w:p>
    <w:p w:rsidR="00000000" w:rsidRDefault="00000000">
      <w:pPr>
        <w:pStyle w:val="H23"/>
      </w:pPr>
      <w:r>
        <w:t>Информация и данные</w:t>
      </w:r>
    </w:p>
    <w:p w:rsidR="00000000" w:rsidRDefault="00000000">
      <w:pPr>
        <w:pStyle w:val="SingleTxt"/>
      </w:pPr>
      <w:r>
        <w:t>Информация относительно состояния сексуального и репродуктивного здоровья и соответствующего поведения в Новой Зеландии поступает из ра</w:t>
      </w:r>
      <w:r>
        <w:t>з</w:t>
      </w:r>
      <w:r>
        <w:t>личных источников и является неполной. Необходима дополнительная инфо</w:t>
      </w:r>
      <w:r>
        <w:t>р</w:t>
      </w:r>
      <w:r>
        <w:t>мация о количестве рождений и соответствующей смертности и о количестве абортов, включая информацию о возрасте женщин, а также разбивка информ</w:t>
      </w:r>
      <w:r>
        <w:t>а</w:t>
      </w:r>
      <w:r>
        <w:t>ции о количестве рожд</w:t>
      </w:r>
      <w:r>
        <w:t>е</w:t>
      </w:r>
      <w:r>
        <w:t>ний и абортов по округам/районам.</w:t>
      </w:r>
    </w:p>
    <w:p w:rsidR="00000000" w:rsidRDefault="00000000">
      <w:pPr>
        <w:pStyle w:val="H23"/>
      </w:pPr>
      <w:r>
        <w:t>Сексуальное поведение</w:t>
      </w:r>
    </w:p>
    <w:p w:rsidR="00000000" w:rsidRDefault="00000000">
      <w:pPr>
        <w:pStyle w:val="SingleTxt"/>
      </w:pPr>
      <w:r>
        <w:t>Есть информация о том, что небольшая, но все же значительная часть н</w:t>
      </w:r>
      <w:r>
        <w:t>о</w:t>
      </w:r>
      <w:r>
        <w:t>возеландских подростков имели первый половой контакт до достижения ими 16-летнего возраста. Есть также свидетельства того, что по сравнению с пр</w:t>
      </w:r>
      <w:r>
        <w:t>е</w:t>
      </w:r>
      <w:r>
        <w:t>дыдущими поколениями женщины раньше начинают вести половую жизнь.</w:t>
      </w:r>
      <w:r>
        <w:rPr>
          <w:rStyle w:val="FootnoteReference"/>
        </w:rPr>
        <w:footnoteReference w:customMarkFollows="1" w:id="36"/>
        <w:t>34</w:t>
      </w:r>
    </w:p>
    <w:p w:rsidR="00000000" w:rsidRDefault="00000000">
      <w:pPr>
        <w:pStyle w:val="SingleTxt"/>
      </w:pPr>
      <w:r>
        <w:t>Межсекторальное исследование</w:t>
      </w:r>
      <w:r>
        <w:rPr>
          <w:rStyle w:val="FootnoteReference"/>
        </w:rPr>
        <w:footnoteReference w:customMarkFollows="1" w:id="37"/>
        <w:t>35</w:t>
      </w:r>
      <w:r>
        <w:t>, проведенное в рамках категории лиц одного возраста, в которую входили 477 мужчин и 458 женщин, показало, что средний возраст, когда происходит первый половой контакт, составлял 17 лет для мужчин и 16 лет для женщин. В 15-летнем возрасте 32 процента девушек и 28 процентов юношей уже имели половые сношения.</w:t>
      </w:r>
      <w:r>
        <w:rPr>
          <w:rStyle w:val="FootnoteReference"/>
        </w:rPr>
        <w:footnoteReference w:customMarkFollows="1" w:id="38"/>
        <w:t>36 </w:t>
      </w:r>
      <w:r>
        <w:t>В исследовании также был сделан вывод о том, что среди женщин, которые имели половые сношения до достижения ими 16-летнего возраста, 70 процентов сожалели об этом.</w:t>
      </w:r>
    </w:p>
    <w:p w:rsidR="00000000" w:rsidRDefault="00000000">
      <w:pPr>
        <w:pStyle w:val="SingleTxt"/>
      </w:pPr>
      <w:r>
        <w:t>Еще в одном новозеландском исследовании (опрос 654 учащихся в во</w:t>
      </w:r>
      <w:r>
        <w:t>з</w:t>
      </w:r>
      <w:r>
        <w:t>расте 14 лет в районе залива Хок) был сделан вывод о том, что сексуальная а</w:t>
      </w:r>
      <w:r>
        <w:t>к</w:t>
      </w:r>
      <w:r>
        <w:t>тивность среди учащихся из числа маори почти в три раза выше, чем среди других учащихся.</w:t>
      </w:r>
      <w:r>
        <w:rPr>
          <w:rStyle w:val="FootnoteReference"/>
        </w:rPr>
        <w:footnoteReference w:customMarkFollows="1" w:id="39"/>
        <w:t>37</w:t>
      </w:r>
    </w:p>
    <w:p w:rsidR="00000000" w:rsidRDefault="00000000">
      <w:pPr>
        <w:pStyle w:val="SingleTxt"/>
      </w:pPr>
      <w:r>
        <w:t>Никакой информации о возрасте, в котором начинают вести половую жизнь молодые юноши или девушки — гомосексуалисты, нет.</w:t>
      </w:r>
    </w:p>
    <w:p w:rsidR="00000000" w:rsidRDefault="00000000">
      <w:pPr>
        <w:pStyle w:val="H23"/>
      </w:pPr>
      <w:r>
        <w:t>Фертильность</w:t>
      </w:r>
    </w:p>
    <w:p w:rsidR="00000000" w:rsidRDefault="00000000">
      <w:pPr>
        <w:pStyle w:val="SingleTxt"/>
      </w:pPr>
      <w:r>
        <w:t>См. общие показатели состояния здоровья населения, страница 130.</w:t>
      </w:r>
    </w:p>
    <w:p w:rsidR="00000000" w:rsidRDefault="00000000">
      <w:pPr>
        <w:pStyle w:val="H23"/>
      </w:pPr>
      <w:r>
        <w:t>Фертильность среди подростков</w:t>
      </w:r>
    </w:p>
    <w:p w:rsidR="00000000" w:rsidRDefault="00000000">
      <w:pPr>
        <w:pStyle w:val="SingleTxt"/>
      </w:pPr>
      <w:r>
        <w:t>После колебаний, отмечавшихся в начале 90-х годов, уровень фертильн</w:t>
      </w:r>
      <w:r>
        <w:t>о</w:t>
      </w:r>
      <w:r>
        <w:t>сти среди подростков с 1995 года снизился. В 2001 году коэффициент фертил</w:t>
      </w:r>
      <w:r>
        <w:t>ь</w:t>
      </w:r>
      <w:r>
        <w:t>ности для лиц в возрасте моложе 20 лет составил 28,1 на 1000. Аналогичный показатель для подростков из числа маори составил 67,4.</w:t>
      </w:r>
      <w:r>
        <w:rPr>
          <w:rStyle w:val="FootnoteReference"/>
        </w:rPr>
        <w:footnoteReference w:customMarkFollows="1" w:id="40"/>
        <w:t>38</w:t>
      </w:r>
    </w:p>
    <w:p w:rsidR="00000000" w:rsidRDefault="00000000">
      <w:pPr>
        <w:pStyle w:val="SingleTxt"/>
      </w:pPr>
      <w:r>
        <w:t>На основании проведенного исследования</w:t>
      </w:r>
      <w:r>
        <w:rPr>
          <w:rStyle w:val="FootnoteReference"/>
        </w:rPr>
        <w:footnoteReference w:customMarkFollows="1" w:id="41"/>
        <w:t>39 </w:t>
      </w:r>
      <w:r>
        <w:t>был сделан вывод о том, что в Новой Зеландии беременность среди подростков является более распростр</w:t>
      </w:r>
      <w:r>
        <w:t>а</w:t>
      </w:r>
      <w:r>
        <w:t>ненным явлением среди женщин-маори и же</w:t>
      </w:r>
      <w:r>
        <w:t>н</w:t>
      </w:r>
      <w:r>
        <w:t>щин, которые:</w:t>
      </w:r>
    </w:p>
    <w:p w:rsidR="00000000" w:rsidRDefault="00000000">
      <w:pPr>
        <w:pStyle w:val="dot"/>
      </w:pPr>
      <w:r>
        <w:tab/>
      </w:r>
      <w:r>
        <w:tab/>
        <w:t>•</w:t>
      </w:r>
      <w:r>
        <w:tab/>
        <w:t>оставили школу до достижения 15-летнего возраста</w:t>
      </w:r>
    </w:p>
    <w:p w:rsidR="00000000" w:rsidRDefault="00000000">
      <w:pPr>
        <w:pStyle w:val="dot"/>
      </w:pPr>
      <w:r>
        <w:tab/>
      </w:r>
      <w:r>
        <w:tab/>
        <w:t>•</w:t>
      </w:r>
      <w:r>
        <w:tab/>
        <w:t>имели половые сношения до достижения 15-летнего возраста</w:t>
      </w:r>
    </w:p>
    <w:p w:rsidR="00000000" w:rsidRDefault="00000000">
      <w:pPr>
        <w:pStyle w:val="dot"/>
      </w:pPr>
      <w:r>
        <w:tab/>
      </w:r>
      <w:r>
        <w:tab/>
        <w:t>•</w:t>
      </w:r>
      <w:r>
        <w:tab/>
        <w:t>не использовали противозачаточные средства во время первого полового сн</w:t>
      </w:r>
      <w:r>
        <w:t>о</w:t>
      </w:r>
      <w:r>
        <w:t>шения.</w:t>
      </w:r>
    </w:p>
    <w:p w:rsidR="00000000" w:rsidRDefault="00000000">
      <w:pPr>
        <w:pStyle w:val="SingleTxt"/>
      </w:pPr>
      <w:r>
        <w:t>В 2001 году у матерей в возрасте моложе 20 лет было 3773 живорождения. Немногим менее одной трети (31 процент) этих рождений приходилось на по</w:t>
      </w:r>
      <w:r>
        <w:t>д</w:t>
      </w:r>
      <w:r>
        <w:t>ростков в возрасте моложе 18 лет. В 2001 году коэффициент фертильности для подростков в возрасте 13-17 лет составлял 8,6 на 1000, и на них приходилось 2,1 процента живорождений в Новой Зеландии.</w:t>
      </w:r>
    </w:p>
    <w:p w:rsidR="00000000" w:rsidRDefault="00000000">
      <w:pPr>
        <w:pStyle w:val="SingleTxt"/>
      </w:pPr>
      <w:r>
        <w:t>В 2001 году у матерей-подростков из числа маори было 1939 живорождений. Коэффициент фертильности для женщин-маори в возра</w:t>
      </w:r>
      <w:r>
        <w:t>с</w:t>
      </w:r>
      <w:r>
        <w:t>те 13-17 лет составил 21,9 на 1000, и это более чем в четыре раза превышает аналогичный показатель для женщин, не принадлежащих к маори (4,7 на 1000).</w:t>
      </w:r>
    </w:p>
    <w:p w:rsidR="00000000" w:rsidRDefault="00000000">
      <w:pPr>
        <w:pStyle w:val="H23"/>
      </w:pPr>
      <w:r>
        <w:t>Аборты</w:t>
      </w:r>
    </w:p>
    <w:p w:rsidR="00000000" w:rsidRDefault="00000000">
      <w:pPr>
        <w:pStyle w:val="SingleTxt"/>
      </w:pPr>
      <w:r>
        <w:t>В 2001 году в Новой Зеландии было сделано 16410 абортов по сравнению с 16103 в 2000 году, и это представляет собой увеличение на 1,9 процента. Этот рост можно сравнить с увеличением этого показателя на 3,9 процента в 2000 году и среднегодовым ростом в размере 5,6 процента в период с 1993 по 1997 год. В период с 2000 по 2001 год возрастало количество абортов среди женщин в возрасте от 15 до 34 лет. Количество абортов среди женщин в во</w:t>
      </w:r>
      <w:r>
        <w:t>з</w:t>
      </w:r>
      <w:r>
        <w:t>расте от 15 до 19 лет возрастало на 2,6 процента, а среди женщин в возрасте от 20 до 34 лет — в среднем на 4,1 процента.</w:t>
      </w:r>
    </w:p>
    <w:p w:rsidR="00000000" w:rsidRDefault="00000000">
      <w:pPr>
        <w:pStyle w:val="SingleTxt"/>
      </w:pPr>
      <w:r>
        <w:t>Точно определить различия в количестве абортов между этническими группами трудно, поскольку данные об абортах по конкретным этническим группам и другие демографические данные (например, о числе рождений) не поддаются прямому сопоставлению. Это обусловлено различиями в вопросах, которые задавали при сборе информации по этническим группам. Однако о</w:t>
      </w:r>
      <w:r>
        <w:t>б</w:t>
      </w:r>
      <w:r>
        <w:t>щие сопоставления показывают, что в 2001 году относительные показатели абортов (число абортов на 1000 известных беременностей) для женщин азиа</w:t>
      </w:r>
      <w:r>
        <w:t>т</w:t>
      </w:r>
      <w:r>
        <w:t>ского происхождения (364 на 1000), женщин-маори (280) и женщин с тихоок</w:t>
      </w:r>
      <w:r>
        <w:t>е</w:t>
      </w:r>
      <w:r>
        <w:t>анских островов (255) были выше, чем в среднем по стране (226) и для женщин европейского происхождения (207).</w:t>
      </w:r>
    </w:p>
    <w:p w:rsidR="00000000" w:rsidRDefault="00000000">
      <w:pPr>
        <w:pStyle w:val="H4"/>
      </w:pPr>
      <w:r>
        <w:t>Законодательство</w:t>
      </w:r>
    </w:p>
    <w:p w:rsidR="00000000" w:rsidRDefault="00000000">
      <w:pPr>
        <w:pStyle w:val="SingleTxt"/>
      </w:pPr>
      <w:r>
        <w:t>Юридические основания для проведения аборта излагаются в разд</w:t>
      </w:r>
      <w:r>
        <w:t>е</w:t>
      </w:r>
      <w:r>
        <w:t>ле 187А Закона 1961 года о преступлениях. Аборт считается законным, если срок беременности не превышает 20 недель, а лицо, производящее аборт, сч</w:t>
      </w:r>
      <w:r>
        <w:t>и</w:t>
      </w:r>
      <w:r>
        <w:t>тает, что:</w:t>
      </w:r>
    </w:p>
    <w:p w:rsidR="00000000" w:rsidRDefault="00000000">
      <w:pPr>
        <w:pStyle w:val="dot"/>
      </w:pPr>
      <w:r>
        <w:tab/>
      </w:r>
      <w:r>
        <w:tab/>
        <w:t>•</w:t>
      </w:r>
      <w:r>
        <w:tab/>
        <w:t>если бы беременность была сохранена, это создало бы серьезную угрозу жизни или физическому или психическому здоровью женщины или д</w:t>
      </w:r>
      <w:r>
        <w:t>е</w:t>
      </w:r>
      <w:r>
        <w:t>вочки; или</w:t>
      </w:r>
    </w:p>
    <w:p w:rsidR="00000000" w:rsidRDefault="00000000">
      <w:pPr>
        <w:pStyle w:val="dot"/>
      </w:pPr>
      <w:r>
        <w:tab/>
      </w:r>
      <w:r>
        <w:tab/>
        <w:t>•</w:t>
      </w:r>
      <w:r>
        <w:tab/>
        <w:t>существует серьезный риск того, что в случае рождения ребенок будет иметь такие физические или умственные отклонения, что это приведет к его серьезной инвалидности; или</w:t>
      </w:r>
    </w:p>
    <w:p w:rsidR="00000000" w:rsidRDefault="00000000">
      <w:pPr>
        <w:pStyle w:val="dot"/>
      </w:pPr>
      <w:r>
        <w:tab/>
      </w:r>
      <w:r>
        <w:tab/>
        <w:t>•</w:t>
      </w:r>
      <w:r>
        <w:tab/>
        <w:t>беременность является результатом полового сношения между ближа</w:t>
      </w:r>
      <w:r>
        <w:t>й</w:t>
      </w:r>
      <w:r>
        <w:t>шими родственник</w:t>
      </w:r>
      <w:r>
        <w:t>а</w:t>
      </w:r>
      <w:r>
        <w:t>ми, включая дедов и бабок и внуков; или</w:t>
      </w:r>
    </w:p>
    <w:p w:rsidR="00000000" w:rsidRDefault="00000000">
      <w:pPr>
        <w:pStyle w:val="dot"/>
      </w:pPr>
      <w:r>
        <w:tab/>
      </w:r>
      <w:r>
        <w:tab/>
        <w:t>•</w:t>
      </w:r>
      <w:r>
        <w:tab/>
        <w:t>беременность является результатом полового сношения, которое считае</w:t>
      </w:r>
      <w:r>
        <w:t>т</w:t>
      </w:r>
      <w:r>
        <w:t>ся правонарушением согласно разделу 131(1) Закона 1961 года о престу</w:t>
      </w:r>
      <w:r>
        <w:t>п</w:t>
      </w:r>
      <w:r>
        <w:t>лениях (то есть половое сношение с девочкой, которая находится под в</w:t>
      </w:r>
      <w:r>
        <w:t>а</w:t>
      </w:r>
      <w:r>
        <w:t>шей опекой и защитой); или</w:t>
      </w:r>
    </w:p>
    <w:p w:rsidR="00000000" w:rsidRDefault="00000000">
      <w:pPr>
        <w:pStyle w:val="dot"/>
      </w:pPr>
      <w:r>
        <w:tab/>
      </w:r>
      <w:r>
        <w:tab/>
        <w:t>•</w:t>
      </w:r>
      <w:r>
        <w:tab/>
        <w:t>женщина или девочка имеет серьезные умственные отклонения по смыслу раздела 138(2) З</w:t>
      </w:r>
      <w:r>
        <w:t>а</w:t>
      </w:r>
      <w:r>
        <w:t>кона 1961 года о преступлениях.</w:t>
      </w:r>
    </w:p>
    <w:p w:rsidR="00000000" w:rsidRDefault="00000000">
      <w:pPr>
        <w:pStyle w:val="SingleTxt"/>
      </w:pPr>
      <w:r>
        <w:t>Следующие факторы, хотя сами по себе и не служат основанием для або</w:t>
      </w:r>
      <w:r>
        <w:t>р</w:t>
      </w:r>
      <w:r>
        <w:t>та, могут приниматься во внимание при установлении, создаст ли сохранение беременности серьезную угрозу жизни женщины или ее физическому или пс</w:t>
      </w:r>
      <w:r>
        <w:t>и</w:t>
      </w:r>
      <w:r>
        <w:t>хическому здоровью:</w:t>
      </w:r>
    </w:p>
    <w:p w:rsidR="00000000" w:rsidRDefault="00000000">
      <w:pPr>
        <w:pStyle w:val="dot"/>
      </w:pPr>
      <w:r>
        <w:tab/>
      </w:r>
      <w:r>
        <w:tab/>
        <w:t>•</w:t>
      </w:r>
      <w:r>
        <w:tab/>
        <w:t>возраст женщины или девочки близок к началу или окончанию обычного детородного пери</w:t>
      </w:r>
      <w:r>
        <w:t>о</w:t>
      </w:r>
      <w:r>
        <w:t>да</w:t>
      </w:r>
    </w:p>
    <w:p w:rsidR="00000000" w:rsidRDefault="00000000">
      <w:pPr>
        <w:pStyle w:val="dot"/>
      </w:pPr>
      <w:r>
        <w:tab/>
      </w:r>
      <w:r>
        <w:tab/>
        <w:t>•</w:t>
      </w:r>
      <w:r>
        <w:tab/>
        <w:t>есть веские основания полагать, что беременность является результатом преступления на се</w:t>
      </w:r>
      <w:r>
        <w:t>к</w:t>
      </w:r>
      <w:r>
        <w:t>суальной почве.</w:t>
      </w:r>
    </w:p>
    <w:p w:rsidR="00000000" w:rsidRDefault="00000000">
      <w:pPr>
        <w:pStyle w:val="SingleTxt"/>
      </w:pPr>
      <w:r>
        <w:t>Аборт может производиться на законных основаниях при беременности со сроком более 20 недель только в том случае, если лицо, производящее аборт, считает, что аборт необходим для спасения жизни женщины или девочки или для предотвращения серьезного долговременного вреда ее физическому или психическ</w:t>
      </w:r>
      <w:r>
        <w:t>о</w:t>
      </w:r>
      <w:r>
        <w:t>му здоровью.</w:t>
      </w:r>
    </w:p>
    <w:p w:rsidR="00000000" w:rsidRDefault="00000000">
      <w:pPr>
        <w:pStyle w:val="SingleTxt"/>
      </w:pPr>
      <w:r>
        <w:t>Закон 1977 года о контрацепции, стерилизации и абортах в значительной степени стал отражением доклада королевской комиссии по изучению данного вопроса и после весьма продолжительного обсуждения был принят в ходе св</w:t>
      </w:r>
      <w:r>
        <w:t>о</w:t>
      </w:r>
      <w:r>
        <w:t>бодного голосования всеми членами парламента. Этот закон защищает права нерожденного ребенка следующим образом. Длинное название свидетельств</w:t>
      </w:r>
      <w:r>
        <w:t>у</w:t>
      </w:r>
      <w:r>
        <w:t>ет, помимо прочего, о том, что этот закон призван «предусмотреть условия и процедуры, при которых аборты могут быть разрешены после всестороннего учета прав нерожденного ребенка». Кроме того, основное содержание закона устанавливает процедуры, которые должны соблюдаться, и определяет юрид</w:t>
      </w:r>
      <w:r>
        <w:t>и</w:t>
      </w:r>
      <w:r>
        <w:t>ческие критерии для проведения аборта. В каждом конкретном случае квал</w:t>
      </w:r>
      <w:r>
        <w:t>и</w:t>
      </w:r>
      <w:r>
        <w:t>фицированные консультанты должны определить, имеются ли законные осн</w:t>
      </w:r>
      <w:r>
        <w:t>о</w:t>
      </w:r>
      <w:r>
        <w:t>вания для аборта в соответствии с этими процедурами и критериями, содерж</w:t>
      </w:r>
      <w:r>
        <w:t>а</w:t>
      </w:r>
      <w:r>
        <w:t>щимися в разделе 187А Закона 1961 года о преступлениях. Эти положения св</w:t>
      </w:r>
      <w:r>
        <w:t>и</w:t>
      </w:r>
      <w:r>
        <w:t>детельствуют о намерении парламента установить надлежащий баланс между интересами нерожденного ребенка и другими интересами, включая интересы беременной женщины.</w:t>
      </w:r>
    </w:p>
    <w:p w:rsidR="00000000" w:rsidRDefault="00000000">
      <w:pPr>
        <w:pStyle w:val="H23"/>
      </w:pPr>
      <w:r>
        <w:t>Болезни, передающиеся половым путем</w:t>
      </w:r>
    </w:p>
    <w:p w:rsidR="00000000" w:rsidRDefault="00000000">
      <w:pPr>
        <w:pStyle w:val="SingleTxt"/>
      </w:pPr>
      <w:r>
        <w:t>За исключением СПИДа, болезни, передающиеся половым путем, не я</w:t>
      </w:r>
      <w:r>
        <w:t>в</w:t>
      </w:r>
      <w:r>
        <w:t>ляются инфекционными заболеваниями, подлежащими обязательной регистр</w:t>
      </w:r>
      <w:r>
        <w:t>а</w:t>
      </w:r>
      <w:r>
        <w:t>ции. Поэтому контроль за такими болезнями в Новой Зеландии традиционно основывался на данных, получаемых от специальных клиник, занимающихся вопросами сексуального здоровья. При такой системе подлинные масштабы з</w:t>
      </w:r>
      <w:r>
        <w:t>а</w:t>
      </w:r>
      <w:r>
        <w:t>болеваний занижаются, поскольку значительная доля болезней, передаваемых половым путем, диагностируется другими медицинскими учреждениями, в ч</w:t>
      </w:r>
      <w:r>
        <w:t>а</w:t>
      </w:r>
      <w:r>
        <w:t>стности врачами общей практики.</w:t>
      </w:r>
      <w:r>
        <w:rPr>
          <w:rStyle w:val="FootnoteReference"/>
        </w:rPr>
        <w:footnoteReference w:customMarkFollows="1" w:id="42"/>
        <w:t>40</w:t>
      </w:r>
    </w:p>
    <w:p w:rsidR="00000000" w:rsidRDefault="00000000">
      <w:pPr>
        <w:pStyle w:val="SingleTxt"/>
      </w:pPr>
      <w:r>
        <w:t>Большая часть людей, посещающих клиники, занимающиеся вопросами сексуального здоровья, находится в возрасте от 15 до 44 лет, а среди них 53,3 процента — в возрасте от 15 до 24 лет. Данные учета клиник, занима</w:t>
      </w:r>
      <w:r>
        <w:t>ю</w:t>
      </w:r>
      <w:r>
        <w:t>щихся вопросами сексуального здоровья, показывают, что болезни, переда</w:t>
      </w:r>
      <w:r>
        <w:t>ю</w:t>
      </w:r>
      <w:r>
        <w:t>щиеся половым путем, встречаются относительно редко среди лиц моложе 15 лет. Гораздо большее число болезней, передающихся половым путем, диа</w:t>
      </w:r>
      <w:r>
        <w:t>г</w:t>
      </w:r>
      <w:r>
        <w:t>ностируется у людей в возрасте от 15 до 24 лет.</w:t>
      </w:r>
      <w:r>
        <w:rPr>
          <w:rStyle w:val="FootnoteReference"/>
        </w:rPr>
        <w:footnoteReference w:customMarkFollows="1" w:id="43"/>
        <w:t>41</w:t>
      </w:r>
    </w:p>
    <w:p w:rsidR="00000000" w:rsidRDefault="00000000">
      <w:pPr>
        <w:pStyle w:val="SingleTxt"/>
      </w:pPr>
      <w:r>
        <w:t>В период с 1996 по 2001 год возросло как число посещений клиник, зан</w:t>
      </w:r>
      <w:r>
        <w:t>и</w:t>
      </w:r>
      <w:r>
        <w:t>мающихся вопросами сексуального здоровья, в целом и в рамках каждой во</w:t>
      </w:r>
      <w:r>
        <w:t>з</w:t>
      </w:r>
      <w:r>
        <w:t>растной группы, так и число случаев диагностирования большинства из наиб</w:t>
      </w:r>
      <w:r>
        <w:t>о</w:t>
      </w:r>
      <w:r>
        <w:t>лее распространенных болезней, передающихся половым путем. Число случаев бактериальных инфекций (хламидия и гонорея) стабильно возрастало среди лиц в возрасте от 15 до 24 лет. Число вирусных инфекций (генитальный герпес и кандиломы) снижалось.</w:t>
      </w:r>
      <w:r>
        <w:rPr>
          <w:rStyle w:val="FootnoteReference"/>
        </w:rPr>
        <w:footnoteReference w:customMarkFollows="1" w:id="44"/>
        <w:t>42</w:t>
      </w:r>
    </w:p>
    <w:p w:rsidR="00000000" w:rsidRDefault="00000000">
      <w:pPr>
        <w:pStyle w:val="SingleTxt"/>
      </w:pPr>
      <w:r>
        <w:t>В 2001 году доля представителей каждой этнической группы, посетивших клиники, занимающиеся вопросами сексуального здоровья, была приблиз</w:t>
      </w:r>
      <w:r>
        <w:t>и</w:t>
      </w:r>
      <w:r>
        <w:t>тельно такая же, как и их доля в общей численности населения. Однако лица европейского происхождения и представители маори посещали эти клиники несколько чаще, а жители тихоокеанских островов — немного реже.</w:t>
      </w:r>
    </w:p>
    <w:p w:rsidR="00000000" w:rsidRDefault="00000000">
      <w:pPr>
        <w:pStyle w:val="SingleTxt"/>
      </w:pPr>
      <w:r>
        <w:t>Явно большее число заболеваний среди мужчин и, вероятно, также среди маори и жителей тихоокеанских островов следует истолковывать осторожно, поскольку данные основываются на частоте посещения клиник, занимающихся вопросами сексуального здоровья. Среди женщин, как правило, выше доля бе</w:t>
      </w:r>
      <w:r>
        <w:t>с</w:t>
      </w:r>
      <w:r>
        <w:t>симптомных посещений, а также ниже уровень заболеваемости, в то время как среди мужчин доля бессимптомных посещений, как правило, ниже, а уровень заболеваемости выше.</w:t>
      </w:r>
    </w:p>
    <w:p w:rsidR="00000000" w:rsidRDefault="00000000">
      <w:pPr>
        <w:pStyle w:val="H23"/>
      </w:pPr>
      <w:r>
        <w:t>ВИЧ/СПИД</w:t>
      </w:r>
    </w:p>
    <w:p w:rsidR="00000000" w:rsidRDefault="00000000">
      <w:pPr>
        <w:pStyle w:val="SingleTxt"/>
      </w:pPr>
      <w:r>
        <w:t>В группы населения с высоким риском подверженности и передачи ВИЧ в Новой Зеландии входят:</w:t>
      </w:r>
    </w:p>
    <w:p w:rsidR="00000000" w:rsidRDefault="00000000">
      <w:pPr>
        <w:pStyle w:val="dot"/>
      </w:pPr>
      <w:r>
        <w:tab/>
      </w:r>
      <w:r>
        <w:tab/>
        <w:t>•</w:t>
      </w:r>
      <w:r>
        <w:tab/>
        <w:t>мужчины, имеющие половую связь с мужчинами, — в 80 процентах всех случаев СПИД п</w:t>
      </w:r>
      <w:r>
        <w:t>е</w:t>
      </w:r>
      <w:r>
        <w:t>редавался в результате гомосексуальных контактов</w:t>
      </w:r>
    </w:p>
    <w:p w:rsidR="00000000" w:rsidRDefault="00000000">
      <w:pPr>
        <w:pStyle w:val="dot"/>
      </w:pPr>
      <w:r>
        <w:tab/>
      </w:r>
      <w:r>
        <w:tab/>
        <w:t>•</w:t>
      </w:r>
      <w:r>
        <w:tab/>
        <w:t>наркоманы, использующие инъекции</w:t>
      </w:r>
    </w:p>
    <w:p w:rsidR="00000000" w:rsidRDefault="00000000">
      <w:pPr>
        <w:pStyle w:val="dot"/>
      </w:pPr>
      <w:r>
        <w:tab/>
      </w:r>
      <w:r>
        <w:tab/>
        <w:t>•</w:t>
      </w:r>
      <w:r>
        <w:tab/>
        <w:t>лица, которые получили продукты крови до ведения их проверки</w:t>
      </w:r>
    </w:p>
    <w:p w:rsidR="00000000" w:rsidRDefault="00000000">
      <w:pPr>
        <w:pStyle w:val="dot"/>
      </w:pPr>
      <w:r>
        <w:tab/>
      </w:r>
      <w:r>
        <w:tab/>
        <w:t>•</w:t>
      </w:r>
      <w:r>
        <w:tab/>
        <w:t>лица, которые прибыли из районов мира с большим числом случаев пер</w:t>
      </w:r>
      <w:r>
        <w:t>е</w:t>
      </w:r>
      <w:r>
        <w:t>дачи инфекции в ходе гетеросексуальных контактов, как, например, б</w:t>
      </w:r>
      <w:r>
        <w:t>е</w:t>
      </w:r>
      <w:r>
        <w:t>женцы из некоторых районов, или которые имели контакты с такими людьми</w:t>
      </w:r>
    </w:p>
    <w:p w:rsidR="00000000" w:rsidRDefault="00000000">
      <w:pPr>
        <w:pStyle w:val="dot"/>
      </w:pPr>
      <w:r>
        <w:tab/>
      </w:r>
      <w:r>
        <w:tab/>
        <w:t>•</w:t>
      </w:r>
      <w:r>
        <w:tab/>
        <w:t>партнеры членов вышеупомянутых групп.</w:t>
      </w:r>
    </w:p>
    <w:p w:rsidR="00000000" w:rsidRDefault="00000000">
      <w:pPr>
        <w:pStyle w:val="SingleTxt"/>
      </w:pPr>
      <w:r>
        <w:t>Беременная ВИЧ-инфицированная женщина также может передать и</w:t>
      </w:r>
      <w:r>
        <w:t>н</w:t>
      </w:r>
      <w:r>
        <w:t xml:space="preserve">фекцию своему ребенку. До сих пор риск передачи ВИЧ среди жителей Новой Зеландии, не входящих в эти группы, был невелик. </w:t>
      </w:r>
    </w:p>
    <w:p w:rsidR="00000000" w:rsidRDefault="00000000">
      <w:pPr>
        <w:pStyle w:val="SingleTxt"/>
      </w:pPr>
      <w:r>
        <w:t>До последнего времени ежегодное число инфицированных женщин ост</w:t>
      </w:r>
      <w:r>
        <w:t>а</w:t>
      </w:r>
      <w:r>
        <w:t>валось стабильным. До конца д</w:t>
      </w:r>
      <w:r>
        <w:t>е</w:t>
      </w:r>
      <w:r>
        <w:t>кабря 2000 года в общей сложности было ВИЧ-инфицировано 1478 человек, из которых 189 были женщины. Число регистр</w:t>
      </w:r>
      <w:r>
        <w:t>и</w:t>
      </w:r>
      <w:r>
        <w:t>руемых каждый год случаев СПИДа, после того как оно достигло в 1991 году макс</w:t>
      </w:r>
      <w:r>
        <w:t>и</w:t>
      </w:r>
      <w:r>
        <w:t>мальной цифры в 78 человек, сократилось в 2000 году до 27.</w:t>
      </w:r>
    </w:p>
    <w:p w:rsidR="00000000" w:rsidRDefault="00000000">
      <w:pPr>
        <w:pStyle w:val="SingleTxt"/>
      </w:pPr>
      <w:r>
        <w:t>Из числа лиц, которые, как было установлено, были ВИЧ-инфицированы в период с 1996 по 2000 год, 46,9 процента составили выходцы из Европы, 5,8 процента — маори, 3,1 процента — жители тихоокеанских островов, 38,1 процента — представители других этнических групп и 5,7 процента — лица, этнич</w:t>
      </w:r>
      <w:r>
        <w:t>е</w:t>
      </w:r>
      <w:r>
        <w:t>ское происхождение которых неизвестно.</w:t>
      </w:r>
    </w:p>
    <w:p w:rsidR="00000000" w:rsidRDefault="00000000">
      <w:pPr>
        <w:pStyle w:val="H23"/>
      </w:pPr>
      <w:r>
        <w:t>Стратегия в области сексуального и репродуктивного здоровья</w:t>
      </w:r>
    </w:p>
    <w:p w:rsidR="00000000" w:rsidRDefault="00000000">
      <w:pPr>
        <w:pStyle w:val="SingleTxt"/>
      </w:pPr>
      <w:r>
        <w:t>В октябре 2001 года правительство начало осуществление первого этапа стратегии в области сексуального и репродуктивного здоровья. Общей задачей этой стратегии является достижение в Новой Зеландии позитивных и высоких результатов в области сексуального и репродуктивного здоровья. На первом этапе разработаны руководящие принципы и изложены стратегические напра</w:t>
      </w:r>
      <w:r>
        <w:t>в</w:t>
      </w:r>
      <w:r>
        <w:t>ления планов действий, которые затронут ключевые проблемы, включая боле</w:t>
      </w:r>
      <w:r>
        <w:t>з</w:t>
      </w:r>
      <w:r>
        <w:t>ни, передающиеся половым путем, и нежелательную/непредусмотренную б</w:t>
      </w:r>
      <w:r>
        <w:t>е</w:t>
      </w:r>
      <w:r>
        <w:t>ременность.</w:t>
      </w:r>
    </w:p>
    <w:p w:rsidR="00000000" w:rsidRDefault="00000000">
      <w:pPr>
        <w:pStyle w:val="SingleTxt"/>
      </w:pPr>
      <w:r>
        <w:t>Вторым этапом стратегии является разработка планов действий для сн</w:t>
      </w:r>
      <w:r>
        <w:t>и</w:t>
      </w:r>
      <w:r>
        <w:t>жения числа случаев заболеваний, передающихся половым путем, включая ВИЧ/СПИД, и нежелательной/непредусмотренной беременности, с уделением основного внимания улучшению состояния здоровья молодежи, а также маори и жителей тихоокеанских островов. Эти планы действий будут завершены к сентябрю 2002 года. Разработка стратегии должна помочь решить затронутые Комитетом по ликвидации дискриминации в отношении женщин проблемы в связи с большим числом случаев подростковой беременности среди молодых же</w:t>
      </w:r>
      <w:r>
        <w:t>н</w:t>
      </w:r>
      <w:r>
        <w:t>щин-маори.</w:t>
      </w:r>
    </w:p>
    <w:p w:rsidR="00000000" w:rsidRDefault="00000000">
      <w:pPr>
        <w:pStyle w:val="SingleTxt"/>
      </w:pPr>
      <w:r>
        <w:t>Бесплатные и субсидируемые услуги в области сексуального и репроду</w:t>
      </w:r>
      <w:r>
        <w:t>к</w:t>
      </w:r>
      <w:r>
        <w:t>тивного здоровья предоставляются следующим адресным группам: молодежь (в возрасте 22 лет и младше), лица с низким уровнем дохода, маори и жители тихоокеанских островов.</w:t>
      </w:r>
    </w:p>
    <w:p w:rsidR="00000000" w:rsidRDefault="00000000">
      <w:pPr>
        <w:pStyle w:val="H4"/>
      </w:pPr>
      <w:r>
        <w:t>Инвалидность</w:t>
      </w:r>
    </w:p>
    <w:p w:rsidR="00000000" w:rsidRDefault="00000000">
      <w:pPr>
        <w:pStyle w:val="SingleTxt"/>
      </w:pPr>
      <w:r>
        <w:t>Что касается инвалидности, то здесь выражалась озабоченность по поводу того, что решение проблемы сексуального поведения и репродуктивного здор</w:t>
      </w:r>
      <w:r>
        <w:t>о</w:t>
      </w:r>
      <w:r>
        <w:t>вья женщин с умственными недостатками носит слишком медицинский хара</w:t>
      </w:r>
      <w:r>
        <w:t>к</w:t>
      </w:r>
      <w:r>
        <w:t>тер и что здесь проявляется чрезмерная активность, и это наносит ущерб пр</w:t>
      </w:r>
      <w:r>
        <w:t>а</w:t>
      </w:r>
      <w:r>
        <w:t>вам соответствующих женщин. Министерство здравоохранения проводит и</w:t>
      </w:r>
      <w:r>
        <w:t>с</w:t>
      </w:r>
      <w:r>
        <w:t>следование, связанное с медицинским вмешательством в сферу репродуктивн</w:t>
      </w:r>
      <w:r>
        <w:t>о</w:t>
      </w:r>
      <w:r>
        <w:t>го здоровья женщин с умственными недостатками. Это исследование включает анализ отдельных случаев, и его результатом станет пересмотр политики. Пе</w:t>
      </w:r>
      <w:r>
        <w:t>р</w:t>
      </w:r>
      <w:r>
        <w:t>вый этап стратегии в области сексуального и репродуктивного здоровья также непосредственно связан с потребностями и правами людей с инв</w:t>
      </w:r>
      <w:r>
        <w:t>а</w:t>
      </w:r>
      <w:r>
        <w:t>лидностью.</w:t>
      </w:r>
    </w:p>
    <w:p w:rsidR="00000000" w:rsidRDefault="00000000">
      <w:pPr>
        <w:pStyle w:val="H1"/>
      </w:pPr>
      <w:r>
        <w:t>Услуги, связанные с беременностью и родами</w:t>
      </w:r>
    </w:p>
    <w:p w:rsidR="00000000" w:rsidRDefault="00000000">
      <w:pPr>
        <w:pStyle w:val="SingleTxt"/>
      </w:pPr>
      <w:r>
        <w:t>Создана система информации о матерях и новорожденных, объединяющая данные, предоставляемые больницами, и первичные данные по вопросам мат</w:t>
      </w:r>
      <w:r>
        <w:t>е</w:t>
      </w:r>
      <w:r>
        <w:t>ринства. В январе 2002 года был опубликован первый доклад, подготовленный благодаря этой информационной системе. В докладе женщины могут найти статистические данные, которые дают более четкое представление о том, чего они могут ждать от системы услуг, связанных с беременностью и родами, в Н</w:t>
      </w:r>
      <w:r>
        <w:t>о</w:t>
      </w:r>
      <w:r>
        <w:t>вой Зеландии.</w:t>
      </w:r>
    </w:p>
    <w:p w:rsidR="00000000" w:rsidRDefault="00000000">
      <w:pPr>
        <w:pStyle w:val="SingleTxt"/>
      </w:pPr>
      <w:r>
        <w:t>Осуществлялся следующий контроль за услугами, связанными с береме</w:t>
      </w:r>
      <w:r>
        <w:t>н</w:t>
      </w:r>
      <w:r>
        <w:t>ностью и родами:</w:t>
      </w:r>
    </w:p>
    <w:p w:rsidR="00000000" w:rsidRDefault="00000000">
      <w:pPr>
        <w:pStyle w:val="dot"/>
      </w:pPr>
      <w:r>
        <w:tab/>
      </w:r>
      <w:r>
        <w:tab/>
        <w:t>•</w:t>
      </w:r>
      <w:r>
        <w:tab/>
        <w:t>проверка всех родильных домов второго уровня на предмет соблюдения культурных традиций показала уровень соблюдения таких традиций при предоставлении ими своих услуг женщинам-маори. Во всех больницах эти традиции соблюдаются с той или иной степенью эффективности. Больницам были сделаны индивидуальные рекомендации по совершенс</w:t>
      </w:r>
      <w:r>
        <w:t>т</w:t>
      </w:r>
      <w:r>
        <w:t>вованию их обслуживания без установления каких-либо конкретных ит</w:t>
      </w:r>
      <w:r>
        <w:t>о</w:t>
      </w:r>
      <w:r>
        <w:t>говых п</w:t>
      </w:r>
      <w:r>
        <w:t>о</w:t>
      </w:r>
      <w:r>
        <w:t>казателей для оценки эффективности.</w:t>
      </w:r>
    </w:p>
    <w:p w:rsidR="00000000" w:rsidRDefault="00000000">
      <w:pPr>
        <w:pStyle w:val="dot"/>
      </w:pPr>
      <w:r>
        <w:tab/>
      </w:r>
      <w:r>
        <w:tab/>
        <w:t>•</w:t>
      </w:r>
      <w:r>
        <w:tab/>
        <w:t>Была произведена оценка прогресса, достигнутого 30 процентами от всех родильных домов (первого и второго уровня) в получении статуса бол</w:t>
      </w:r>
      <w:r>
        <w:t>ь</w:t>
      </w:r>
      <w:r>
        <w:t>ницы с благоприятными условиями для новорожденных, в соответствии с инициативой Всемирной организации здравоохранения «10 шагов на пути к грудному вскармливанию». Некоторые больницы близки к тому, чтобы получить статус больницы с благоприятными условиями для новорожде</w:t>
      </w:r>
      <w:r>
        <w:t>н</w:t>
      </w:r>
      <w:r>
        <w:t>ных. Что касается больниц, которые еще не готовы к получению такого статуса, то здесь следить за прогрессом позволят предварительные оценки и ориентировочные р</w:t>
      </w:r>
      <w:r>
        <w:t>е</w:t>
      </w:r>
      <w:r>
        <w:t>зультаты.</w:t>
      </w:r>
    </w:p>
    <w:p w:rsidR="00000000" w:rsidRDefault="00000000">
      <w:pPr>
        <w:pStyle w:val="SingleTxt"/>
      </w:pPr>
      <w:r>
        <w:t>Междисциплинарный комитет, в состав которого входят и потребители, работает над национальным рук</w:t>
      </w:r>
      <w:r>
        <w:t>о</w:t>
      </w:r>
      <w:r>
        <w:t>водством по операциям кесарева сечения.</w:t>
      </w:r>
    </w:p>
    <w:p w:rsidR="00000000" w:rsidRDefault="00000000">
      <w:pPr>
        <w:pStyle w:val="SingleTxt"/>
      </w:pPr>
      <w:r>
        <w:t>Контракты на оказание первичной помощи в связи с беременностью и р</w:t>
      </w:r>
      <w:r>
        <w:t>о</w:t>
      </w:r>
      <w:r>
        <w:t>дами в настоящее время составляются в стандартной форме, что отвечает си</w:t>
      </w:r>
      <w:r>
        <w:t>с</w:t>
      </w:r>
      <w:r>
        <w:t>теме, при которой каждая женщина получает постоянную помощь через вед</w:t>
      </w:r>
      <w:r>
        <w:t>у</w:t>
      </w:r>
      <w:r>
        <w:t>щее учреждение по оказанию помощи в связи с беременностью и родами, и благодаря этому женщины участвуют в организации оказываемой им помощи (см. раздел, посвященный медици</w:t>
      </w:r>
      <w:r>
        <w:t>н</w:t>
      </w:r>
      <w:r>
        <w:t>ским сестрам и акушеркам, стр. 151-152).</w:t>
      </w:r>
    </w:p>
    <w:p w:rsidR="00000000" w:rsidRDefault="00000000">
      <w:pPr>
        <w:pStyle w:val="SingleTxt"/>
      </w:pPr>
      <w:r>
        <w:t>Женщины могут получить информацию об услугах, связанных с береме</w:t>
      </w:r>
      <w:r>
        <w:t>н</w:t>
      </w:r>
      <w:r>
        <w:t>ностью и родами (в том числе о том, как получить доступ к таким услугам и какие женщины имеют право на них), по бесплатным телефонным линиям ко</w:t>
      </w:r>
      <w:r>
        <w:t>н</w:t>
      </w:r>
      <w:r>
        <w:t>сультирования по вопросам беременности и родов министерства здравоохран</w:t>
      </w:r>
      <w:r>
        <w:t>е</w:t>
      </w:r>
      <w:r>
        <w:t>ния, а также в подборках информационных материалов по вопросам береме</w:t>
      </w:r>
      <w:r>
        <w:t>н</w:t>
      </w:r>
      <w:r>
        <w:t>ности и родов. В июле 2002 года распространение таких комплектов практ</w:t>
      </w:r>
      <w:r>
        <w:t>и</w:t>
      </w:r>
      <w:r>
        <w:t>кующими врачами стало обязательным. Женщины, нуждающиеся в помощи специалистов, могут бесплатно получить ее через службы оказания помощи в связи с беременностью и родами второго уровня. Частичная оплата услуг сп</w:t>
      </w:r>
      <w:r>
        <w:t>е</w:t>
      </w:r>
      <w:r>
        <w:t>циалистов производится только в том случае, если женщина решает обратиться к частному специалисту. Ведущее учреждение по оказанию помощи в связи с беременностью и родами определяет, когда женщина готова к родам, и оно должно обеспечить посещение ее на дому акушеркой для оказания помощи в организации грудного вскармливания.</w:t>
      </w:r>
    </w:p>
    <w:p w:rsidR="00000000" w:rsidRDefault="00000000">
      <w:pPr>
        <w:pStyle w:val="H23"/>
        <w:ind w:left="1264" w:firstLine="0"/>
      </w:pPr>
      <w:r>
        <w:t>Стратегия в области грудного вскармливания — грудное вскармливание: руководство к действию</w:t>
      </w:r>
    </w:p>
    <w:p w:rsidR="00000000" w:rsidRDefault="00000000">
      <w:pPr>
        <w:pStyle w:val="SingleTxt"/>
      </w:pPr>
      <w:r>
        <w:t>Хотя в Новой Зеландии доля женщин, прибегающих к грудному вскар</w:t>
      </w:r>
      <w:r>
        <w:t>м</w:t>
      </w:r>
      <w:r>
        <w:t>ливанию, относительно высока по сравнению с другими странами – членами ОЭСР, за последние 10 лет эта доля практически не увеличилась, а среди маори она все еще остается низкой.</w:t>
      </w:r>
    </w:p>
    <w:p w:rsidR="00000000" w:rsidRDefault="00000000">
      <w:pPr>
        <w:pStyle w:val="SingleTxt"/>
      </w:pPr>
      <w:r>
        <w:t>В этой связи правительство в настоящее время разрабатывает план дейс</w:t>
      </w:r>
      <w:r>
        <w:t>т</w:t>
      </w:r>
      <w:r>
        <w:t>вий, который преследует цель повысить общую долю женщин в Новой Зела</w:t>
      </w:r>
      <w:r>
        <w:t>н</w:t>
      </w:r>
      <w:r>
        <w:t>дии, прибегающих к грудному вскармливанию, и довести эту долю среди же</w:t>
      </w:r>
      <w:r>
        <w:t>н</w:t>
      </w:r>
      <w:r>
        <w:t>щин-маори до уровня показателей, характеризующих положение в других э</w:t>
      </w:r>
      <w:r>
        <w:t>т</w:t>
      </w:r>
      <w:r>
        <w:t>нических группах. План должен обеспечить постоянное контролирование и расширение существующих услуг и стратегий наряду с постоянным предоста</w:t>
      </w:r>
      <w:r>
        <w:t>в</w:t>
      </w:r>
      <w:r>
        <w:t>лением обновленной информации о грудном вскармливании, а также помочь сконцентрировать усилия в масштабах всей страны на достижении больницами официального статуса больниц с благоприятными условиями для новорожде</w:t>
      </w:r>
      <w:r>
        <w:t>н</w:t>
      </w:r>
      <w:r>
        <w:t>ных.</w:t>
      </w:r>
    </w:p>
    <w:p w:rsidR="00000000" w:rsidRDefault="00000000">
      <w:pPr>
        <w:pStyle w:val="SingleTxt"/>
      </w:pPr>
      <w:r>
        <w:t>В плане действий особо выделены пять областей, которым необходимо уделить первоочередное внимание:</w:t>
      </w:r>
    </w:p>
    <w:p w:rsidR="00000000" w:rsidRDefault="00000000">
      <w:pPr>
        <w:pStyle w:val="dot"/>
      </w:pPr>
      <w:r>
        <w:tab/>
      </w:r>
      <w:r>
        <w:tab/>
        <w:t>•</w:t>
      </w:r>
      <w:r>
        <w:tab/>
        <w:t>активизация информационно-пропагандистской работы и координация деятельности, связанной с грудным вскармливанием, на национальном и м</w:t>
      </w:r>
      <w:r>
        <w:t>е</w:t>
      </w:r>
      <w:r>
        <w:t>стном уровнях</w:t>
      </w:r>
    </w:p>
    <w:p w:rsidR="00000000" w:rsidRDefault="00000000">
      <w:pPr>
        <w:pStyle w:val="dot"/>
      </w:pPr>
      <w:r>
        <w:tab/>
      </w:r>
      <w:r>
        <w:tab/>
        <w:t>•</w:t>
      </w:r>
      <w:r>
        <w:tab/>
        <w:t>получение больницами статуса больниц с благоприятными условиями для н</w:t>
      </w:r>
      <w:r>
        <w:t>о</w:t>
      </w:r>
      <w:r>
        <w:t>ворожденных на всей территории Новой Зеландии</w:t>
      </w:r>
    </w:p>
    <w:p w:rsidR="00000000" w:rsidRDefault="00000000">
      <w:pPr>
        <w:pStyle w:val="dot"/>
      </w:pPr>
      <w:r>
        <w:tab/>
      </w:r>
      <w:r>
        <w:tab/>
        <w:t>•</w:t>
      </w:r>
      <w:r>
        <w:tab/>
        <w:t>создание единой национальной системы отчетности и сбора статистич</w:t>
      </w:r>
      <w:r>
        <w:t>е</w:t>
      </w:r>
      <w:r>
        <w:t>ских данных по вопр</w:t>
      </w:r>
      <w:r>
        <w:t>о</w:t>
      </w:r>
      <w:r>
        <w:t>сам грудного вскармливания</w:t>
      </w:r>
    </w:p>
    <w:p w:rsidR="00000000" w:rsidRDefault="00000000">
      <w:pPr>
        <w:pStyle w:val="dot"/>
      </w:pPr>
      <w:r>
        <w:tab/>
      </w:r>
      <w:r>
        <w:tab/>
        <w:t>•</w:t>
      </w:r>
      <w:r>
        <w:tab/>
        <w:t>обеспечение беременным женщинам возможности получить доступ к на</w:t>
      </w:r>
      <w:r>
        <w:t>д</w:t>
      </w:r>
      <w:r>
        <w:t>лежащему дородовому пр</w:t>
      </w:r>
      <w:r>
        <w:t>о</w:t>
      </w:r>
      <w:r>
        <w:t>свещению</w:t>
      </w:r>
    </w:p>
    <w:p w:rsidR="00000000" w:rsidRDefault="00000000">
      <w:pPr>
        <w:pStyle w:val="dot"/>
      </w:pPr>
      <w:r>
        <w:tab/>
      </w:r>
      <w:r>
        <w:tab/>
        <w:t>•</w:t>
      </w:r>
      <w:r>
        <w:tab/>
        <w:t>обеспечение наивысшего уровня качества и непрерывности послеродов</w:t>
      </w:r>
      <w:r>
        <w:t>о</w:t>
      </w:r>
      <w:r>
        <w:t>го ухода.</w:t>
      </w:r>
    </w:p>
    <w:p w:rsidR="00000000" w:rsidRDefault="00000000">
      <w:pPr>
        <w:pStyle w:val="SingleTxt"/>
      </w:pPr>
      <w:r>
        <w:t>Инициатива по созданию больниц с благоприятными условиями для нов</w:t>
      </w:r>
      <w:r>
        <w:t>о</w:t>
      </w:r>
      <w:r>
        <w:t>рожденных оказывает существенное воздействие на увеличение доли женщин, прибегающих к грудному вскармливанию, в других странах, и проведенная н</w:t>
      </w:r>
      <w:r>
        <w:t>е</w:t>
      </w:r>
      <w:r>
        <w:t>давно проверка отдельных родильных отделений в Новой Зеландии показывает, что они добиваются в этой области больших успехов. В настоящее время ОМСС с помощью специального показателя в своих отчетных документах должны информировать о достигнутом ими прогрессе в осуществлении этой инициативы. План действий должен быть опубликован в октябре 2002 года.</w:t>
      </w:r>
    </w:p>
    <w:p w:rsidR="00000000" w:rsidRDefault="00000000">
      <w:pPr>
        <w:pStyle w:val="H23"/>
      </w:pPr>
      <w:r>
        <w:t>Работа по укреплению здоровья детей</w:t>
      </w:r>
    </w:p>
    <w:p w:rsidR="00000000" w:rsidRDefault="00000000">
      <w:pPr>
        <w:pStyle w:val="SingleTxt"/>
      </w:pPr>
      <w:r>
        <w:t>Одной из приоритетных задач правительства является обеспечение дост</w:t>
      </w:r>
      <w:r>
        <w:t>у</w:t>
      </w:r>
      <w:r>
        <w:t>па к надлежащим услугам, связанным с укреплением здоровья и иммунизацией детей, и оказание поддержки семьям. Для достижения этой цели министерство здравоохранения организовало проект по разработке новой рамочной програ</w:t>
      </w:r>
      <w:r>
        <w:t>м</w:t>
      </w:r>
      <w:r>
        <w:t>мы для оказания «помощи в укреплении здоровья детей». Работа по укрепл</w:t>
      </w:r>
      <w:r>
        <w:t>е</w:t>
      </w:r>
      <w:r>
        <w:t>нию здоровья детей/«Тамарики Ора» — это услуги по проведению обследов</w:t>
      </w:r>
      <w:r>
        <w:t>а</w:t>
      </w:r>
      <w:r>
        <w:t>ния, осуществлению контроля, просвещению и оказанию поддержки, предо</w:t>
      </w:r>
      <w:r>
        <w:t>с</w:t>
      </w:r>
      <w:r>
        <w:t>тавляемые всем новозеландским детям и их семьям или ванау на протяжении первых пяти лет жизни. Основная задача такого обслуживания заключается в поддержке семей/ванау/лиц, осуществляющих уход, в целях максимального развития потенциала детей и укрепления их здоровья в период от рождения до 5 лет и создания прочной основы для постоянного здорового развития. Новая рамочная программа призвана обеспечить, чтобы все дети получали то, на что они в принципе имеют право, и чтобы при необходимости осуществлялся д</w:t>
      </w:r>
      <w:r>
        <w:t>о</w:t>
      </w:r>
      <w:r>
        <w:t>полнительный уход. Средства будут выделяться с учетом «степени обездоле</w:t>
      </w:r>
      <w:r>
        <w:t>н</w:t>
      </w:r>
      <w:r>
        <w:t>ности», поскольку эти критерии давно сформировались как характерные пок</w:t>
      </w:r>
      <w:r>
        <w:t>а</w:t>
      </w:r>
      <w:r>
        <w:t>затели уровня жизни. Тридцать пять процентов новозеландских младенцев ра</w:t>
      </w:r>
      <w:r>
        <w:t>с</w:t>
      </w:r>
      <w:r>
        <w:t>тут в семьях, относящихся к категории восьмой-десятой степени обездоленн</w:t>
      </w:r>
      <w:r>
        <w:t>о</w:t>
      </w:r>
      <w:r>
        <w:t>сти (наиболее обездоленные).</w:t>
      </w:r>
    </w:p>
    <w:p w:rsidR="00000000" w:rsidRDefault="00000000">
      <w:pPr>
        <w:pStyle w:val="H1"/>
      </w:pPr>
      <w:r>
        <w:t>Общественное здравоохранение</w:t>
      </w:r>
    </w:p>
    <w:p w:rsidR="00000000" w:rsidRDefault="00000000">
      <w:pPr>
        <w:pStyle w:val="H23"/>
        <w:ind w:left="1264" w:firstLine="0"/>
      </w:pPr>
      <w:r>
        <w:t>Национальная программа обследований на предмет выявления рака молочной железы</w:t>
      </w:r>
    </w:p>
    <w:p w:rsidR="00000000" w:rsidRDefault="00000000">
      <w:pPr>
        <w:pStyle w:val="SingleTxt"/>
      </w:pPr>
      <w:r>
        <w:t>Национальная программа обследований на предмет выявления рака м</w:t>
      </w:r>
      <w:r>
        <w:t>о</w:t>
      </w:r>
      <w:r>
        <w:t>лочной железы — «БрестСкрин Аотеароа» — начала осуществляться в декабре 1998 года. Она предусматривает бесплатное проведение маммографии и посл</w:t>
      </w:r>
      <w:r>
        <w:t>е</w:t>
      </w:r>
      <w:r>
        <w:t>дующее наблюдение за всеми женщинами в возрасте от 50 до 64 лет. Эта пр</w:t>
      </w:r>
      <w:r>
        <w:t>о</w:t>
      </w:r>
      <w:r>
        <w:t>грамма преследует цель обследовать бессимптомных женщин в этой возра</w:t>
      </w:r>
      <w:r>
        <w:t>с</w:t>
      </w:r>
      <w:r>
        <w:t>тной группе каждые два года. Женщины могут пройти обследование в спец</w:t>
      </w:r>
      <w:r>
        <w:t>и</w:t>
      </w:r>
      <w:r>
        <w:t>альных заведениях или на передвижных установках.</w:t>
      </w:r>
    </w:p>
    <w:p w:rsidR="00000000" w:rsidRDefault="00000000">
      <w:pPr>
        <w:pStyle w:val="SingleTxt"/>
      </w:pPr>
      <w:r>
        <w:t>Для стимулирования участия женщин-маори в национальных программах обследований на предмет выявления рака молочной железы и шейки матки и разработки специальной политики для женщин-маори, охваченных этими пр</w:t>
      </w:r>
      <w:r>
        <w:t>о</w:t>
      </w:r>
      <w:r>
        <w:t>граммами, была создана новая должность — руководитель разработки пр</w:t>
      </w:r>
      <w:r>
        <w:t>о</w:t>
      </w:r>
      <w:r>
        <w:t>грамм обследования здоровья маори. Первое назначение состоялось в сентябре 2001 года, и пока еще невозможно определить, как это отразилось на полож</w:t>
      </w:r>
      <w:r>
        <w:t>е</w:t>
      </w:r>
      <w:r>
        <w:t>нии женщин-маори.</w:t>
      </w:r>
    </w:p>
    <w:p w:rsidR="00000000" w:rsidRDefault="00000000">
      <w:pPr>
        <w:pStyle w:val="H23"/>
      </w:pPr>
      <w:r>
        <w:t>Национальная программа цервикальных обследований</w:t>
      </w:r>
    </w:p>
    <w:p w:rsidR="00000000" w:rsidRDefault="00000000">
      <w:pPr>
        <w:pStyle w:val="SingleTxt"/>
      </w:pPr>
      <w:r>
        <w:t>Национальная программа цервикальных обследований (НПЦО) начала осуществляться в 1990 году. Всем женщинам в возрасте от 20 до 69 лет рек</w:t>
      </w:r>
      <w:r>
        <w:t>о</w:t>
      </w:r>
      <w:r>
        <w:t>мендуется проходить регулярное обследование (взятие мазка) и предоставить данные о себе для внесения в реестр НПЦО. С 1998 года доля женщин указа</w:t>
      </w:r>
      <w:r>
        <w:t>н</w:t>
      </w:r>
      <w:r>
        <w:t>ного возраста, данные обследования которых были занесены в реестр в течение пяти предшествующих лет, составила около 85 процентов. Женщины этого во</w:t>
      </w:r>
      <w:r>
        <w:t>з</w:t>
      </w:r>
      <w:r>
        <w:t>раста обычно проходят обследование каждые три года.</w:t>
      </w:r>
    </w:p>
    <w:p w:rsidR="00000000" w:rsidRDefault="00000000">
      <w:pPr>
        <w:pStyle w:val="SingleTxt"/>
      </w:pPr>
      <w:r>
        <w:t>Проведенное министерством расследование, связанное с неполным пре</w:t>
      </w:r>
      <w:r>
        <w:t>д</w:t>
      </w:r>
      <w:r>
        <w:t>ставлением данных о нарушениях, которые были выявлены в цервикальных о</w:t>
      </w:r>
      <w:r>
        <w:t>б</w:t>
      </w:r>
      <w:r>
        <w:t>следованиях в регионе Гисборн, показало наличие проблем в связи с НПЦО. Согласно данным расследования, информация о нарушениях, обнаруженных в ходе цервикальных обследований в регионе Гисборн, предоставлялась в непо</w:t>
      </w:r>
      <w:r>
        <w:t>л</w:t>
      </w:r>
      <w:r>
        <w:t>ном объеме, и в апреле 2001 года министерству здравоохранения был предста</w:t>
      </w:r>
      <w:r>
        <w:t>в</w:t>
      </w:r>
      <w:r>
        <w:t>лен доклад, в котором содержалось 47 рекомендаций по повышению безопа</w:t>
      </w:r>
      <w:r>
        <w:t>с</w:t>
      </w:r>
      <w:r>
        <w:t>ности этой программы. Изменения включают заключение контрактов на пров</w:t>
      </w:r>
      <w:r>
        <w:t>е</w:t>
      </w:r>
      <w:r>
        <w:t>дение лабораторных работ и внесение поправок в законодательство, с тем чт</w:t>
      </w:r>
      <w:r>
        <w:t>о</w:t>
      </w:r>
      <w:r>
        <w:t>бы обеспечить доступ к регистрационным данным отдельных женщин в реес</w:t>
      </w:r>
      <w:r>
        <w:t>т</w:t>
      </w:r>
      <w:r>
        <w:t>ре НПЦО для целей проверки и контроля за безопасным осуществлением этой программы (см. стр. 151-152).</w:t>
      </w:r>
    </w:p>
    <w:p w:rsidR="00000000" w:rsidRDefault="00000000">
      <w:pPr>
        <w:pStyle w:val="SingleTxt"/>
      </w:pPr>
      <w:r>
        <w:t>В настоящее время проводится оценка программы обследований. В сер</w:t>
      </w:r>
      <w:r>
        <w:t>е</w:t>
      </w:r>
      <w:r>
        <w:t>дине 2002 года в рамках проверки случаев возникновения инвазивного рака шейки матки будет проведен опрос женщин. Принять участие в проверке будет предложено примерно 550 женщинам, у которых развился инвазивный рак шейки матки в период с 1 января 2000 года по 30 сентября 2001 года.</w:t>
      </w:r>
    </w:p>
    <w:p w:rsidR="00000000" w:rsidRDefault="00000000">
      <w:pPr>
        <w:pStyle w:val="SingleTxt"/>
      </w:pPr>
      <w:r>
        <w:t>Министр здравоохранения назначил цитопатолога из Шотландии д-ра Юфимию Макгуган для предоставления независимых экспертных консульт</w:t>
      </w:r>
      <w:r>
        <w:t>а</w:t>
      </w:r>
      <w:r>
        <w:t>ций в отношении прогресса, качества и всестороннего характера осуществл</w:t>
      </w:r>
      <w:r>
        <w:t>е</w:t>
      </w:r>
      <w:r>
        <w:t>ния рекомендаций, сделанных в ходе расследования в Гисборне. В апреле до</w:t>
      </w:r>
      <w:r>
        <w:t>к</w:t>
      </w:r>
      <w:r>
        <w:t>тор Макгуган посетила Новую Зеландию для проведения своего второго обзора и провела встречи примерно с 30 простыми людьми и представителями орган</w:t>
      </w:r>
      <w:r>
        <w:t>и</w:t>
      </w:r>
      <w:r>
        <w:t>заций, включая МДЖ. Второй доклад д-ра Макгуган охватывает период до а</w:t>
      </w:r>
      <w:r>
        <w:t>п</w:t>
      </w:r>
      <w:r>
        <w:t>реля 2002 года.</w:t>
      </w:r>
    </w:p>
    <w:p w:rsidR="00000000" w:rsidRDefault="00000000">
      <w:pPr>
        <w:pStyle w:val="H23"/>
      </w:pPr>
      <w:r>
        <w:t>Физическая активность</w:t>
      </w:r>
    </w:p>
    <w:p w:rsidR="00000000" w:rsidRDefault="00000000">
      <w:pPr>
        <w:pStyle w:val="SingleTxt"/>
      </w:pPr>
      <w:r>
        <w:t>В настоящее время министерство здравоохранения разрабатывает проект стратегии «</w:t>
      </w:r>
      <w:r>
        <w:rPr>
          <w:i/>
        </w:rPr>
        <w:t>Меры по укреплению здоровья: здоровое питание</w:t>
      </w:r>
      <w:r>
        <w:t>» в целях решения проблем, связанных с питанием, физической активностью и ожирением. Все это в настоящее время пересматривается, с тем чтобы включить сюда инфо</w:t>
      </w:r>
      <w:r>
        <w:t>р</w:t>
      </w:r>
      <w:r>
        <w:t>мацию, полученную в ходе консультаций с общественностью, которые были проведены в феврале и марте 2002 года, и осуществление стратегии начнется в конце 2002 года. Для оказания исполнителям помощи в деле применения стр</w:t>
      </w:r>
      <w:r>
        <w:t>а</w:t>
      </w:r>
      <w:r>
        <w:t>тегии будет также разработан план ее осуществления.</w:t>
      </w:r>
    </w:p>
    <w:p w:rsidR="00000000" w:rsidRDefault="00000000">
      <w:pPr>
        <w:pStyle w:val="SingleTxt"/>
      </w:pPr>
      <w:r>
        <w:t>В январе 2001 года министерская целевая группа по спорту, физической подготовке и досугу подготовила доклад «</w:t>
      </w:r>
      <w:r>
        <w:rPr>
          <w:i/>
        </w:rPr>
        <w:t>Подготовка к созданию активной нации</w:t>
      </w:r>
      <w:r>
        <w:t>», в котором рекомендуется произвести серьезные структурные измен</w:t>
      </w:r>
      <w:r>
        <w:t>е</w:t>
      </w:r>
      <w:r>
        <w:t>ния в секторе отдыха и спорта. Они включали роспуск Комиссии Хиллари и слияние ее функций с функциями Фонда спорта и функциями Управления по туризму и спорту, связанными с полит</w:t>
      </w:r>
      <w:r>
        <w:t>и</w:t>
      </w:r>
      <w:r>
        <w:t>кой в области спорта и отдыха.</w:t>
      </w:r>
    </w:p>
    <w:p w:rsidR="00000000" w:rsidRDefault="00000000">
      <w:pPr>
        <w:pStyle w:val="SingleTxt"/>
      </w:pPr>
      <w:r>
        <w:t>В ответ на эти рекомендации 1 февраля 2002 года было создано новое у</w:t>
      </w:r>
      <w:r>
        <w:t>ч</w:t>
      </w:r>
      <w:r>
        <w:t>реждение по вопросам спорта и отдыха. Оно выполняет функции Фонда спорта и отделения Управления по туризму и спорту, занимающегося вопросами спо</w:t>
      </w:r>
      <w:r>
        <w:t>р</w:t>
      </w:r>
      <w:r>
        <w:t>тивной политики. Это учреждение призвано консультировать по основным в</w:t>
      </w:r>
      <w:r>
        <w:t>о</w:t>
      </w:r>
      <w:r>
        <w:t>просам министра спорта, физкультуры и отдыха.</w:t>
      </w:r>
    </w:p>
    <w:p w:rsidR="00000000" w:rsidRDefault="00000000">
      <w:pPr>
        <w:pStyle w:val="H23"/>
      </w:pPr>
      <w:r>
        <w:t>Азартные игры</w:t>
      </w:r>
    </w:p>
    <w:p w:rsidR="00000000" w:rsidRDefault="00000000">
      <w:pPr>
        <w:pStyle w:val="SingleTxt"/>
      </w:pPr>
      <w:r>
        <w:t>Недавно правительство завершило обзор по азартным играм и позднее (февраль 2002 года) представило в парламент законопроект об ответственной организации азартных игр.</w:t>
      </w:r>
    </w:p>
    <w:p w:rsidR="00000000" w:rsidRDefault="00000000">
      <w:pPr>
        <w:pStyle w:val="SingleTxt"/>
      </w:pPr>
      <w:r>
        <w:t>В рамках этого обзора департамент внутренних дел осуществил исслед</w:t>
      </w:r>
      <w:r>
        <w:t>о</w:t>
      </w:r>
      <w:r>
        <w:t>вательский проект по азартным играм и проблемным азартным играм в Новой Зеландии («</w:t>
      </w:r>
      <w:r>
        <w:rPr>
          <w:i/>
        </w:rPr>
        <w:t>Исследование по азартным играм в Новой Зеландии</w:t>
      </w:r>
      <w:r>
        <w:t>»); он также опубликовал недавно четвертое из своих пятилетних обследований участия л</w:t>
      </w:r>
      <w:r>
        <w:t>ю</w:t>
      </w:r>
      <w:r>
        <w:t>дей в азартных играх и их отношения к ним. В документе «</w:t>
      </w:r>
      <w:r>
        <w:rPr>
          <w:i/>
        </w:rPr>
        <w:t>Исследование по азартным играм в Новой Зеландии, участию людей в азартных играх и их о</w:t>
      </w:r>
      <w:r>
        <w:rPr>
          <w:i/>
        </w:rPr>
        <w:t>т</w:t>
      </w:r>
      <w:r>
        <w:rPr>
          <w:i/>
        </w:rPr>
        <w:t>ношению к ним, 1985-2000 годы</w:t>
      </w:r>
      <w:r>
        <w:t>» гендерный фактор является одним из ва</w:t>
      </w:r>
      <w:r>
        <w:t>ж</w:t>
      </w:r>
      <w:r>
        <w:t>нейших показателей; по мере целесообразности в свете относительно огран</w:t>
      </w:r>
      <w:r>
        <w:t>и</w:t>
      </w:r>
      <w:r>
        <w:t>ченной значимости проблемы азартных игр в этих исследованиях гендерные факторы рассматриваются также с разбивкой по этническому происхождению и возрасту.</w:t>
      </w:r>
    </w:p>
    <w:p w:rsidR="00000000" w:rsidRDefault="00000000">
      <w:pPr>
        <w:pStyle w:val="SingleTxt"/>
      </w:pPr>
      <w:r>
        <w:t>В целом исследование показывает, что женщины, и в частности женщины-маори и жительницы тихоокеанских островов, вероятно, испытывают все большие проблемы в результате распространения игровых автоматов в казино и за их пределами в Новой Зеландии в последние 15 лет.</w:t>
      </w:r>
    </w:p>
    <w:p w:rsidR="00000000" w:rsidRDefault="00000000">
      <w:pPr>
        <w:pStyle w:val="SingleTxt"/>
      </w:pPr>
      <w:r>
        <w:t>Этот вывод сделан на основании данных независимого Комитета по пр</w:t>
      </w:r>
      <w:r>
        <w:t>о</w:t>
      </w:r>
      <w:r>
        <w:t>блемным азартным играм. В течение года, закончившегося в декабре 2001 года, на женщин приходилось:</w:t>
      </w:r>
    </w:p>
    <w:p w:rsidR="00000000" w:rsidRDefault="00000000">
      <w:pPr>
        <w:pStyle w:val="dot"/>
      </w:pPr>
      <w:r>
        <w:tab/>
      </w:r>
      <w:r>
        <w:tab/>
        <w:t>•</w:t>
      </w:r>
      <w:r>
        <w:tab/>
        <w:t>50 процентов азартных игроков, которые впервые позвонили в телефо</w:t>
      </w:r>
      <w:r>
        <w:t>н</w:t>
      </w:r>
      <w:r>
        <w:t>ную службу помощи проблемным азартным игрокам, по сравнению с 38,4 процента в 1998 году</w:t>
      </w:r>
    </w:p>
    <w:p w:rsidR="00000000" w:rsidRDefault="00000000">
      <w:pPr>
        <w:pStyle w:val="dot"/>
      </w:pPr>
      <w:r>
        <w:tab/>
      </w:r>
      <w:r>
        <w:tab/>
        <w:t>•</w:t>
      </w:r>
      <w:r>
        <w:tab/>
        <w:t>41 процент новых клиентов, обратившихся за личными консультациями по проблемным азартным играм, по сравнению с 32,7 процента в 1998 году.</w:t>
      </w:r>
    </w:p>
    <w:p w:rsidR="00000000" w:rsidRDefault="00000000">
      <w:pPr>
        <w:pStyle w:val="SingleTxt"/>
      </w:pPr>
      <w:r>
        <w:t>Из новых клиенток, обратившихся за личными консультациями в 2001 году, у 77,5 процента основным видом азартных игр были игровые авт</w:t>
      </w:r>
      <w:r>
        <w:t>о</w:t>
      </w:r>
      <w:r>
        <w:t>маты, установленные вне казино, по сравнению с 67,6 процента у мужчин. И</w:t>
      </w:r>
      <w:r>
        <w:t>г</w:t>
      </w:r>
      <w:r>
        <w:t>ровые автоматы, установленные в казино, были основным видом азартных игр еще у 16,3 процента женщин, которые впервые обратились за личными ко</w:t>
      </w:r>
      <w:r>
        <w:t>н</w:t>
      </w:r>
      <w:r>
        <w:t>сультациями, по сравн</w:t>
      </w:r>
      <w:r>
        <w:t>е</w:t>
      </w:r>
      <w:r>
        <w:t>нию с 9,7 процента у мужчин.</w:t>
      </w:r>
    </w:p>
    <w:p w:rsidR="00000000" w:rsidRDefault="00000000">
      <w:pPr>
        <w:pStyle w:val="H23"/>
      </w:pPr>
      <w:r>
        <w:t>Самоубийства среди молодежи</w:t>
      </w:r>
    </w:p>
    <w:p w:rsidR="00000000" w:rsidRDefault="00000000">
      <w:pPr>
        <w:pStyle w:val="H4"/>
      </w:pPr>
      <w:r>
        <w:t>Новозеландская стратегия предотвращения самоубийств среди молодежи</w:t>
      </w:r>
    </w:p>
    <w:p w:rsidR="00000000" w:rsidRDefault="00000000">
      <w:pPr>
        <w:pStyle w:val="SingleTxt"/>
      </w:pPr>
      <w:r>
        <w:t>Новозеландская стратегия предотвращения самоубийств среди молодежи была разработана в 1998 году с целью сокращения числа самоубийств среди молодежи. Эта стратегия состоит из двух частей:</w:t>
      </w:r>
    </w:p>
    <w:p w:rsidR="00000000" w:rsidRDefault="00000000">
      <w:pPr>
        <w:pStyle w:val="dot"/>
      </w:pPr>
      <w:r>
        <w:tab/>
      </w:r>
      <w:r>
        <w:tab/>
        <w:t>•</w:t>
      </w:r>
      <w:r>
        <w:tab/>
        <w:t xml:space="preserve"> «</w:t>
      </w:r>
      <w:r>
        <w:rPr>
          <w:i/>
        </w:rPr>
        <w:t>В наших руках</w:t>
      </w:r>
      <w:r>
        <w:t>» — стратегия для населения в целом</w:t>
      </w:r>
    </w:p>
    <w:p w:rsidR="00000000" w:rsidRDefault="00000000">
      <w:pPr>
        <w:pStyle w:val="dot"/>
      </w:pPr>
      <w:r>
        <w:tab/>
      </w:r>
      <w:r>
        <w:tab/>
        <w:t>•</w:t>
      </w:r>
      <w:r>
        <w:tab/>
        <w:t xml:space="preserve"> «</w:t>
      </w:r>
      <w:r>
        <w:rPr>
          <w:i/>
        </w:rPr>
        <w:t>Киа Пики те Ора о те Тайтамарики</w:t>
      </w:r>
      <w:r>
        <w:t>» — эта часть ориентирована на особые потребности и концепции маори.</w:t>
      </w:r>
    </w:p>
    <w:p w:rsidR="00000000" w:rsidRDefault="00000000">
      <w:pPr>
        <w:pStyle w:val="SingleTxt"/>
      </w:pPr>
      <w:r>
        <w:t>Стратегия служит основой для понимания работы по предотвращению самоубийств и помогает правительственным учреждениям, службам, общинам, иви, хапу и ванау определять меры, которые могут быть приняты в целях св</w:t>
      </w:r>
      <w:r>
        <w:t>е</w:t>
      </w:r>
      <w:r>
        <w:t>дения до минимума факторов риска и сокращения числа самоубийств в возра</w:t>
      </w:r>
      <w:r>
        <w:t>с</w:t>
      </w:r>
      <w:r>
        <w:t>тной группе от 15 до 24 лет. В целом эта стратегия объединяет целый ряд а</w:t>
      </w:r>
      <w:r>
        <w:t>к</w:t>
      </w:r>
      <w:r>
        <w:t>тивных мер, осуществляемых в рамках ее двух частей. В части «</w:t>
      </w:r>
      <w:r>
        <w:rPr>
          <w:i/>
        </w:rPr>
        <w:t>В наших р</w:t>
      </w:r>
      <w:r>
        <w:rPr>
          <w:i/>
        </w:rPr>
        <w:t>у</w:t>
      </w:r>
      <w:r>
        <w:rPr>
          <w:i/>
        </w:rPr>
        <w:t>ках</w:t>
      </w:r>
      <w:r>
        <w:t>» основной упор сделан на общественное здравоохранение, а часть «</w:t>
      </w:r>
      <w:r>
        <w:rPr>
          <w:i/>
        </w:rPr>
        <w:t>Киа Пики те Ора о те Тайтамарики</w:t>
      </w:r>
      <w:r>
        <w:t>» основывается в основном на концепции о</w:t>
      </w:r>
      <w:r>
        <w:t>б</w:t>
      </w:r>
      <w:r>
        <w:t>щинного развития маори. Общей для обеих частей является одна основная це</w:t>
      </w:r>
      <w:r>
        <w:t>н</w:t>
      </w:r>
      <w:r>
        <w:t>тральная концепция, подкрепляемая исследованиями и информацией и закл</w:t>
      </w:r>
      <w:r>
        <w:t>ю</w:t>
      </w:r>
      <w:r>
        <w:t>чающаяся в следующем:</w:t>
      </w:r>
    </w:p>
    <w:p w:rsidR="00000000" w:rsidRDefault="00000000">
      <w:pPr>
        <w:pStyle w:val="dot"/>
      </w:pPr>
      <w:r>
        <w:tab/>
      </w:r>
      <w:r>
        <w:tab/>
        <w:t>•</w:t>
      </w:r>
      <w:r>
        <w:tab/>
        <w:t>укрепление семей, молодежи, ванау и общин</w:t>
      </w:r>
    </w:p>
    <w:p w:rsidR="00000000" w:rsidRDefault="00000000">
      <w:pPr>
        <w:pStyle w:val="dot"/>
      </w:pPr>
      <w:r>
        <w:tab/>
      </w:r>
      <w:r>
        <w:tab/>
        <w:t>•</w:t>
      </w:r>
      <w:r>
        <w:tab/>
        <w:t>оперативное принятие активных мер</w:t>
      </w:r>
    </w:p>
    <w:p w:rsidR="00000000" w:rsidRDefault="00000000">
      <w:pPr>
        <w:pStyle w:val="dot"/>
      </w:pPr>
      <w:r>
        <w:tab/>
      </w:r>
      <w:r>
        <w:tab/>
        <w:t>•</w:t>
      </w:r>
      <w:r>
        <w:tab/>
        <w:t>осуществление вмешательства/лечения</w:t>
      </w:r>
    </w:p>
    <w:p w:rsidR="00000000" w:rsidRDefault="00000000">
      <w:pPr>
        <w:pStyle w:val="dot"/>
      </w:pPr>
      <w:r>
        <w:tab/>
      </w:r>
      <w:r>
        <w:tab/>
        <w:t>•</w:t>
      </w:r>
      <w:r>
        <w:tab/>
        <w:t>оказание послекризисной поддержки.</w:t>
      </w:r>
    </w:p>
    <w:p w:rsidR="00000000" w:rsidRDefault="00000000">
      <w:pPr>
        <w:pStyle w:val="SingleTxt"/>
      </w:pPr>
      <w:r>
        <w:t>Работа правительства в области сокращения числа самоубийств среди м</w:t>
      </w:r>
      <w:r>
        <w:t>о</w:t>
      </w:r>
      <w:r>
        <w:t>лодежи координируется в рамках плана осуществления, который ежегодно о</w:t>
      </w:r>
      <w:r>
        <w:t>б</w:t>
      </w:r>
      <w:r>
        <w:t>новляется вед</w:t>
      </w:r>
      <w:r>
        <w:t>у</w:t>
      </w:r>
      <w:r>
        <w:t>щим учреждением — министерством по делам молодежи.</w:t>
      </w:r>
    </w:p>
    <w:p w:rsidR="00000000" w:rsidRDefault="00000000">
      <w:pPr>
        <w:pStyle w:val="H4"/>
      </w:pPr>
      <w:r>
        <w:t>Фонд развития молодежи</w:t>
      </w:r>
    </w:p>
    <w:p w:rsidR="00000000" w:rsidRDefault="00000000">
      <w:pPr>
        <w:pStyle w:val="SingleTxt"/>
      </w:pPr>
      <w:r>
        <w:t>В настоящее время осуществляется оценка программ предотвращения с</w:t>
      </w:r>
      <w:r>
        <w:t>а</w:t>
      </w:r>
      <w:r>
        <w:t>моубийств среди молодежи, финансируемых Фондом развития молодежи, кот</w:t>
      </w:r>
      <w:r>
        <w:t>о</w:t>
      </w:r>
      <w:r>
        <w:t>рый находится в ведении департамента внутренних дел. Основное внимание в этой работе уделяется эффективности методов вмешательства в деле предо</w:t>
      </w:r>
      <w:r>
        <w:t>т</w:t>
      </w:r>
      <w:r>
        <w:t>вращения самоубийств среди молодежи. Ожидается, что это исследование б</w:t>
      </w:r>
      <w:r>
        <w:t>у</w:t>
      </w:r>
      <w:r>
        <w:t>дет завершено к сентябрю 2002 года и что оно будет способствовать разработке политики и внесению изменений в законодательс</w:t>
      </w:r>
      <w:r>
        <w:t>т</w:t>
      </w:r>
      <w:r>
        <w:t xml:space="preserve">во. </w:t>
      </w:r>
    </w:p>
    <w:p w:rsidR="00000000" w:rsidRDefault="00000000">
      <w:pPr>
        <w:pStyle w:val="H23"/>
      </w:pPr>
      <w:r>
        <w:t>Насилие в отношении женщин</w:t>
      </w:r>
    </w:p>
    <w:p w:rsidR="00000000" w:rsidRDefault="00000000">
      <w:pPr>
        <w:pStyle w:val="SingleTxt"/>
      </w:pPr>
      <w:r>
        <w:t>Одной из 13 первоочередных задач НЗСЗ является сокращение масштабов насилия в межличностных отношениях, в семьях, школах и общинах. См. ст</w:t>
      </w:r>
      <w:r>
        <w:t>а</w:t>
      </w:r>
      <w:r>
        <w:t>тью 16: Брак и семейная жизнь, стр. 196-198.</w:t>
      </w:r>
    </w:p>
    <w:p w:rsidR="00000000" w:rsidRDefault="00000000">
      <w:pPr>
        <w:pStyle w:val="H23"/>
      </w:pPr>
      <w:r>
        <w:t>Борьба с курением</w:t>
      </w:r>
    </w:p>
    <w:p w:rsidR="00000000" w:rsidRDefault="00000000">
      <w:pPr>
        <w:pStyle w:val="SingleTxt"/>
      </w:pPr>
      <w:r>
        <w:t>«Аукати Каи Пайпа» — это программа борьбы с курением, которая ра</w:t>
      </w:r>
      <w:r>
        <w:t>с</w:t>
      </w:r>
      <w:r>
        <w:t>считана на женщин-маори и их ванау. В рамках этой программы субсидируется распространение никотинового пластыря и жевательной резинки наряду с а</w:t>
      </w:r>
      <w:r>
        <w:t>к</w:t>
      </w:r>
      <w:r>
        <w:t>тивным индивидуальным консультированием. Осуществлением программы борьбы с курением занимаются маори, которые готовы оказать помощь женщ</w:t>
      </w:r>
      <w:r>
        <w:t>и</w:t>
      </w:r>
      <w:r>
        <w:t>нам, желающим бросить курить. Первые результаты свидетельствуют о том, что эта программа является гораздо более успешной, чем можно было бы ож</w:t>
      </w:r>
      <w:r>
        <w:t>и</w:t>
      </w:r>
      <w:r>
        <w:t>дать от программ, не предусматривающих таких весьма активных мер. Эта программа подкрепляется кампанией в средствах массовой информации под лозунгом «Это — ванау», в которой освещается важность роли женщин как примера для своих семей в том, что касается отношения к курению. Министе</w:t>
      </w:r>
      <w:r>
        <w:t>р</w:t>
      </w:r>
      <w:r>
        <w:t>ство здравоохранения финансирует также программы борьбы с курением для беременных женщин, а также профессиональную подготовку акушерок в о</w:t>
      </w:r>
      <w:r>
        <w:t>б</w:t>
      </w:r>
      <w:r>
        <w:t>ласти борьбы с курением.</w:t>
      </w:r>
    </w:p>
    <w:p w:rsidR="00000000" w:rsidRDefault="00000000">
      <w:pPr>
        <w:pStyle w:val="H23"/>
      </w:pPr>
      <w:r>
        <w:t>Корпорация по компенсациям в связи с несчастными случаями (ККНС)</w:t>
      </w:r>
    </w:p>
    <w:p w:rsidR="00000000" w:rsidRDefault="00000000">
      <w:pPr>
        <w:pStyle w:val="SingleTxt"/>
      </w:pPr>
      <w:r>
        <w:t>Компенсация за несчастные случаи предоставляется всем жителям Новой Зеландии круглосуточно независимо от причины несчастного случая. К несч</w:t>
      </w:r>
      <w:r>
        <w:t>а</w:t>
      </w:r>
      <w:r>
        <w:t>стным случаям относятся и травмы, ставшие результатами некоторых престу</w:t>
      </w:r>
      <w:r>
        <w:t>п</w:t>
      </w:r>
      <w:r>
        <w:t>лений, включая преступления на сексуальной почве. ККНС также обеспечивает реабилитацию и компенсацию за определенные травмы, ставшие результатом медицинского несчастного случая.</w:t>
      </w:r>
    </w:p>
    <w:p w:rsidR="00000000" w:rsidRDefault="00000000">
      <w:pPr>
        <w:pStyle w:val="SingleTxt"/>
      </w:pPr>
      <w:r>
        <w:t>Женщины, как правило, чаще подают иски, связанные с медицинскими несчастными случаями, и на них приходится до 54 процентов исков по тра</w:t>
      </w:r>
      <w:r>
        <w:t>в</w:t>
      </w:r>
      <w:r>
        <w:t>мам, связанным с особенностями условий работы, как, например, условия, в</w:t>
      </w:r>
      <w:r>
        <w:t>ы</w:t>
      </w:r>
      <w:r>
        <w:t>зывающие синдром опасного превышения рабочей нормы.</w:t>
      </w:r>
    </w:p>
    <w:p w:rsidR="00000000" w:rsidRDefault="00000000">
      <w:pPr>
        <w:pStyle w:val="SingleTxt"/>
      </w:pPr>
      <w:r>
        <w:t>1 апреля 2002 года вступил в силу Закон о профилактике травматизма, л</w:t>
      </w:r>
      <w:r>
        <w:t>е</w:t>
      </w:r>
      <w:r>
        <w:t>чении и компенсации. Этот закон способствует профилактике травматизма и восстанавливает единовременную компенсацию лицам, получившим серьезные травмы, вместо ежеквартальной выплаты пособия для обеспечения независ</w:t>
      </w:r>
      <w:r>
        <w:t>и</w:t>
      </w:r>
      <w:r>
        <w:t>мого существования. Он также позволяет лицам, находящимся в неоплачива</w:t>
      </w:r>
      <w:r>
        <w:t>е</w:t>
      </w:r>
      <w:r>
        <w:t>мом отпуске по уходу за ребенком, получать еженедельную компенсацию, если они в результате получения травмы не могут вернуться на работу. Закон пред</w:t>
      </w:r>
      <w:r>
        <w:t>у</w:t>
      </w:r>
      <w:r>
        <w:t>сматривает капитализацию еженедельной компенсации, выплачиваемой в</w:t>
      </w:r>
      <w:r>
        <w:t>ы</w:t>
      </w:r>
      <w:r>
        <w:t>жившим партнерам лиц, погибших в результате несчастного случая. Это о</w:t>
      </w:r>
      <w:r>
        <w:t>с</w:t>
      </w:r>
      <w:r>
        <w:t>новные изменения, которые окажут определенное воздействие на положение женщин.</w:t>
      </w:r>
    </w:p>
    <w:p w:rsidR="00000000" w:rsidRDefault="00000000">
      <w:pPr>
        <w:pStyle w:val="SingleTxt"/>
      </w:pPr>
      <w:r>
        <w:t>Помощь в деле реабилитации, включая уход за детьми, помощь по дому, услуги сиделки и профессиональную реабилитацию, оказывается в тех случ</w:t>
      </w:r>
      <w:r>
        <w:t>а</w:t>
      </w:r>
      <w:r>
        <w:t>ях, когда установлена и подтверждена необходимость этого.</w:t>
      </w:r>
    </w:p>
    <w:p w:rsidR="00000000" w:rsidRDefault="00000000">
      <w:pPr>
        <w:pStyle w:val="H1"/>
      </w:pPr>
      <w:r>
        <w:t>Система подачи и рассмотрения жалоб</w:t>
      </w:r>
    </w:p>
    <w:p w:rsidR="00000000" w:rsidRDefault="00000000">
      <w:pPr>
        <w:pStyle w:val="SingleTxt"/>
      </w:pPr>
      <w:r>
        <w:t>Предлагается представить в парламент два законопроекта в целях пов</w:t>
      </w:r>
      <w:r>
        <w:t>ы</w:t>
      </w:r>
      <w:r>
        <w:t>шения безопасности и качества в секторе здравоохранения, включая соверше</w:t>
      </w:r>
      <w:r>
        <w:t>н</w:t>
      </w:r>
      <w:r>
        <w:t>ствование системы подачи и рассмотрения жалоб. Первый из них — это сво</w:t>
      </w:r>
      <w:r>
        <w:t>д</w:t>
      </w:r>
      <w:r>
        <w:t>ный законопроект с тремя отдельными разделами. Второй законопроект п</w:t>
      </w:r>
      <w:r>
        <w:t>о</w:t>
      </w:r>
      <w:r>
        <w:t>священ конкретно совершенствованию национальной программы цервикал</w:t>
      </w:r>
      <w:r>
        <w:t>ь</w:t>
      </w:r>
      <w:r>
        <w:t>ных обследований. В программе 2002 года по законодательству этим закон</w:t>
      </w:r>
      <w:r>
        <w:t>о</w:t>
      </w:r>
      <w:r>
        <w:t>проектам была присвоена третья степень очередности (по мере возможности должны быть приняты в 2002 году).</w:t>
      </w:r>
    </w:p>
    <w:p w:rsidR="00000000" w:rsidRDefault="00000000">
      <w:pPr>
        <w:pStyle w:val="H23"/>
      </w:pPr>
      <w:r>
        <w:t>Сводный законопроект</w:t>
      </w:r>
    </w:p>
    <w:p w:rsidR="00000000" w:rsidRDefault="00000000">
      <w:pPr>
        <w:pStyle w:val="SingleTxt"/>
      </w:pPr>
      <w:r>
        <w:t>Закон 2001 года о гарантиях компетентности медицинских работников (ГКМР) отменит действие и заменит 11 законов, которые в настоящее время регламентируют деятельность медицинских работников. ГКМР будет регулир</w:t>
      </w:r>
      <w:r>
        <w:t>о</w:t>
      </w:r>
      <w:r>
        <w:t>вать деятельность практикующих медицинских работников, работа которых связана с определенным риском для общества. Новый закон будет включать п</w:t>
      </w:r>
      <w:r>
        <w:t>о</w:t>
      </w:r>
      <w:r>
        <w:t>ложения, касающиеся регистрации, компетентности и дисциплины. Он будет также содействовать надлежащему обмену информацией между ККНС, коми</w:t>
      </w:r>
      <w:r>
        <w:t>с</w:t>
      </w:r>
      <w:r>
        <w:t>саром по вопросам здравоохранения и инвалидности и регистрирующими о</w:t>
      </w:r>
      <w:r>
        <w:t>р</w:t>
      </w:r>
      <w:r>
        <w:t>ганами.</w:t>
      </w:r>
    </w:p>
    <w:p w:rsidR="00000000" w:rsidRDefault="00000000">
      <w:pPr>
        <w:pStyle w:val="SingleTxt"/>
      </w:pPr>
      <w:r>
        <w:t>В Закон 1994 года о комиссаре по вопросам здравоохранения и инвали</w:t>
      </w:r>
      <w:r>
        <w:t>д</w:t>
      </w:r>
      <w:r>
        <w:t>ности будут внесены поправки с учетом проведенного в 1999 году обзора де</w:t>
      </w:r>
      <w:r>
        <w:t>й</w:t>
      </w:r>
      <w:r>
        <w:t>ствия этого закона (проведенного в то время комиссаром по вопросам здрав</w:t>
      </w:r>
      <w:r>
        <w:t>о</w:t>
      </w:r>
      <w:r>
        <w:t>охранения и инвалидности), доклада Калла о неблагоприятных медицинских событиях и расследования практики цервикальных обследований в Гисборне. Цель таких поправок —упорядочить процесс подачи и рассмотрения жалоб и общее функционирование управления комиссара по вопросам здравоохранения и инвалидности.</w:t>
      </w:r>
    </w:p>
    <w:p w:rsidR="00000000" w:rsidRDefault="00000000">
      <w:pPr>
        <w:pStyle w:val="SingleTxt"/>
      </w:pPr>
      <w:r>
        <w:t>В результате принятия Закона о ГКМР будут внесены изменения в Закон 1981 года о лекарственных средствах, который отменяет действие Закона о фармации. В Законе о лекарственных средствах с внесенными в него поправк</w:t>
      </w:r>
      <w:r>
        <w:t>а</w:t>
      </w:r>
      <w:r>
        <w:t xml:space="preserve">ми будут содержаться положения, призванные обеспечить общественности доступ к лекарственным средствам в безопасных и контролируемых условиях. Владельцы аптек должны будут выполнить условия лицензирования, прежде чем получить лицензию на открытие аптек. Кроме того, если ранее владельцы аптек могли иметь в своей собственности только одну аптеку, то теперь они смогут иметь до пяти аптек. </w:t>
      </w:r>
    </w:p>
    <w:p w:rsidR="00000000" w:rsidRDefault="00000000">
      <w:pPr>
        <w:pStyle w:val="H23"/>
        <w:ind w:left="1264" w:firstLine="0"/>
      </w:pPr>
      <w:r>
        <w:t>Законопроект о внесении поправок (в программы обследований) в области здравоохранения</w:t>
      </w:r>
    </w:p>
    <w:p w:rsidR="00000000" w:rsidRDefault="00000000">
      <w:pPr>
        <w:pStyle w:val="SingleTxt"/>
      </w:pPr>
      <w:r>
        <w:t>Законопроект о внесении поправок (в программы обследований) в области здравоохранения, представленный в парламент в мае 2002 года, преследует цель повысить безопасность и качество услуг в области цервикальных обсл</w:t>
      </w:r>
      <w:r>
        <w:t>е</w:t>
      </w:r>
      <w:r>
        <w:t>дований, предоставляемых новозеландским женщинам. Он будет способств</w:t>
      </w:r>
      <w:r>
        <w:t>о</w:t>
      </w:r>
      <w:r>
        <w:t>вать выполнению рекомендаций проведенного министерством расследования случаев неполного представления информации об отклонениях, выявленных в ходе цервикальных обследований в районе Гисборна. В докладе по итогам ра</w:t>
      </w:r>
      <w:r>
        <w:t>с</w:t>
      </w:r>
      <w:r>
        <w:t>следования были отмечены серьезные препятствия в действующем законод</w:t>
      </w:r>
      <w:r>
        <w:t>а</w:t>
      </w:r>
      <w:r>
        <w:t>тельстве в деле осуществления эффективного контроля, проверки и оценки. После принятия этот законопроект заменит нынешний раздел 74А Закона 1956 года о здравоохранении новой частью 4А.</w:t>
      </w:r>
    </w:p>
    <w:p w:rsidR="00000000" w:rsidRDefault="00000000">
      <w:pPr>
        <w:pStyle w:val="SingleTxt"/>
      </w:pPr>
      <w:r>
        <w:t>В законопроекте излагаются задачи национальной программы цервикал</w:t>
      </w:r>
      <w:r>
        <w:t>ь</w:t>
      </w:r>
      <w:r>
        <w:t>ных обследований (НПЦО) и предусматривается назначение экспертов для б</w:t>
      </w:r>
      <w:r>
        <w:t>о</w:t>
      </w:r>
      <w:r>
        <w:t>лее полной оценки эффективности и безопасности НПЦО. Эксперты смогут а</w:t>
      </w:r>
      <w:r>
        <w:t>в</w:t>
      </w:r>
      <w:r>
        <w:t>томатически оценивать информацию о женщинах, хранящуюся в реестре НПЦО, а также информацию, имеющуюся в медицинских картах и на лабор</w:t>
      </w:r>
      <w:r>
        <w:t>а</w:t>
      </w:r>
      <w:r>
        <w:t>торных снимках. Тем не менее экспертам необходимо будет получить прямо выраженное согласие женщин на изучение их медицинских карт, хранящихся в медико-санитарных учреждениях первичной помощи, включая врачей общей практики. Новое законодательство позволит также женщинам вообще отказат</w:t>
      </w:r>
      <w:r>
        <w:t>ь</w:t>
      </w:r>
      <w:r>
        <w:t>ся от участия в НПЦО.</w:t>
      </w:r>
    </w:p>
    <w:p w:rsidR="00000000" w:rsidRDefault="00000000">
      <w:pPr>
        <w:pStyle w:val="SingleTxt"/>
      </w:pPr>
      <w:r>
        <w:t>Эксперты, которые будут назначаться генеральным директором по вопр</w:t>
      </w:r>
      <w:r>
        <w:t>о</w:t>
      </w:r>
      <w:r>
        <w:t>сам здравоохранения, должны будут обеспечивать конфиденциальность и с</w:t>
      </w:r>
      <w:r>
        <w:t>о</w:t>
      </w:r>
      <w:r>
        <w:t>хранность всей персональной информации. Результаты проведенных оценок помогут выявить те аспекты НПЦО (и соответствующие услуги по лечению), которые, во</w:t>
      </w:r>
      <w:r>
        <w:t>з</w:t>
      </w:r>
      <w:r>
        <w:t>можно, необходимо улучшить.</w:t>
      </w:r>
    </w:p>
    <w:p w:rsidR="00000000" w:rsidRDefault="00000000">
      <w:pPr>
        <w:pStyle w:val="SingleTxt"/>
      </w:pPr>
      <w:r>
        <w:t>Информацию о национальной программе цервикальных обследований см. на стр. 146.</w:t>
      </w:r>
    </w:p>
    <w:p w:rsidR="00000000" w:rsidRDefault="00000000">
      <w:pPr>
        <w:pStyle w:val="H1"/>
      </w:pPr>
      <w:r>
        <w:t>Женщины, работающие в системе здравоохранения</w:t>
      </w:r>
    </w:p>
    <w:p w:rsidR="00000000" w:rsidRDefault="00000000">
      <w:pPr>
        <w:pStyle w:val="H23"/>
      </w:pPr>
      <w:r>
        <w:t>Консультативный комитет по трудовым ресурсам в сфере здравоохранения</w:t>
      </w:r>
    </w:p>
    <w:p w:rsidR="00000000" w:rsidRDefault="00000000">
      <w:pPr>
        <w:pStyle w:val="SingleTxt"/>
      </w:pPr>
      <w:r>
        <w:t>Министр здравоохранения назначил консультативный комитет по труд</w:t>
      </w:r>
      <w:r>
        <w:t>о</w:t>
      </w:r>
      <w:r>
        <w:t>вым ресурсам в сфере здравоохранения для проведения независимой оценки, консультирования и подготовки рекомендаций в целях развития надлежащего потенциала трудовых ресурсов в сфере здравоохранения. Комитету известно, что основные проблемы, с которыми сталкиваются медико-санитарные рабо</w:t>
      </w:r>
      <w:r>
        <w:t>т</w:t>
      </w:r>
      <w:r>
        <w:t>ники, связаны с возможностями, наймом и снижением текучести кадров, разв</w:t>
      </w:r>
      <w:r>
        <w:t>и</w:t>
      </w:r>
      <w:r>
        <w:t>тием и этическими принципами. В сфере здравоохранения была выявлена н</w:t>
      </w:r>
      <w:r>
        <w:t>е</w:t>
      </w:r>
      <w:r>
        <w:t>хватка таких работников, как врачи общей практики, медицинские сестры, пс</w:t>
      </w:r>
      <w:r>
        <w:t>и</w:t>
      </w:r>
      <w:r>
        <w:t>х</w:t>
      </w:r>
      <w:r>
        <w:t>и</w:t>
      </w:r>
      <w:r>
        <w:t>атры, радиологи и онкологи.</w:t>
      </w:r>
    </w:p>
    <w:p w:rsidR="00000000" w:rsidRDefault="00000000">
      <w:pPr>
        <w:pStyle w:val="H23"/>
      </w:pPr>
      <w:r>
        <w:t>Медицинские сестры и акушерки</w:t>
      </w:r>
    </w:p>
    <w:p w:rsidR="00000000" w:rsidRDefault="00000000">
      <w:pPr>
        <w:pStyle w:val="SingleTxt"/>
      </w:pPr>
      <w:r>
        <w:t>Судя по данным за 2001 год, в Новой Зеландии среди медицинских сестер женщины составляют очень в</w:t>
      </w:r>
      <w:r>
        <w:t>ы</w:t>
      </w:r>
      <w:r>
        <w:t>сокую долю — 90,2 процента.</w:t>
      </w:r>
    </w:p>
    <w:p w:rsidR="00000000" w:rsidRDefault="00000000">
      <w:pPr>
        <w:pStyle w:val="SingleTxt"/>
      </w:pPr>
      <w:r>
        <w:t>Средний возраст медицинских сестер возрастает, и выясняется, что мед</w:t>
      </w:r>
      <w:r>
        <w:t>и</w:t>
      </w:r>
      <w:r>
        <w:t>цинские сестры и акушерки позже выходят на пенсию. Все большая часть м</w:t>
      </w:r>
      <w:r>
        <w:t>е</w:t>
      </w:r>
      <w:r>
        <w:t>дицинских сестер находятся в возрасте старше 60 лет. Согласно данным обсл</w:t>
      </w:r>
      <w:r>
        <w:t>е</w:t>
      </w:r>
      <w:r>
        <w:t>дования, проведенного Советом по вопросам здравоохранения округа Мидленд, средний срок работы медицинских сестер был немногим более семи лет.</w:t>
      </w:r>
      <w:r>
        <w:rPr>
          <w:rStyle w:val="FootnoteReference"/>
        </w:rPr>
        <w:footnoteReference w:customMarkFollows="1" w:id="45"/>
        <w:t>43 </w:t>
      </w:r>
      <w:r>
        <w:t>Меньше также становится медицинских сестер в возрасте моложе 25 лет, что свидетельствует о нехватке новых дипломированных медицинских сестер и акушерок, а также о снижении числа таких работниц, получающих подготовку в рамках соответствующих новозеландских программ, и увеличении возраста лиц, обучающихся на медици</w:t>
      </w:r>
      <w:r>
        <w:t>н</w:t>
      </w:r>
      <w:r>
        <w:t>ских сестер.</w:t>
      </w:r>
      <w:r>
        <w:rPr>
          <w:rStyle w:val="FootnoteReference"/>
        </w:rPr>
        <w:footnoteReference w:customMarkFollows="1" w:id="46"/>
        <w:t>44</w:t>
      </w:r>
    </w:p>
    <w:p w:rsidR="00000000" w:rsidRDefault="00000000">
      <w:pPr>
        <w:pStyle w:val="SingleTxt"/>
        <w:ind w:firstLine="0"/>
        <w:jc w:val="left"/>
        <w:rPr>
          <w:b/>
        </w:rPr>
      </w:pPr>
      <w:r>
        <w:rPr>
          <w:b/>
        </w:rPr>
        <w:t>Работающий дипломированный средний медицинский персонал (мед</w:t>
      </w:r>
      <w:r>
        <w:rPr>
          <w:b/>
        </w:rPr>
        <w:t>и</w:t>
      </w:r>
      <w:r>
        <w:rPr>
          <w:b/>
        </w:rPr>
        <w:t>цинские сестры и акушеры) в Новой Зеландии с разбивкой по полу и во</w:t>
      </w:r>
      <w:r>
        <w:rPr>
          <w:b/>
        </w:rPr>
        <w:t>з</w:t>
      </w:r>
      <w:r>
        <w:rPr>
          <w:b/>
        </w:rPr>
        <w:t>расту, 2001 год</w:t>
      </w:r>
    </w:p>
    <w:tbl>
      <w:tblPr>
        <w:tblW w:w="0" w:type="auto"/>
        <w:tblInd w:w="1278" w:type="dxa"/>
        <w:tblLayout w:type="fixed"/>
        <w:tblLook w:val="0000" w:firstRow="0" w:lastRow="0" w:firstColumn="0" w:lastColumn="0" w:noHBand="0" w:noVBand="0"/>
      </w:tblPr>
      <w:tblGrid>
        <w:gridCol w:w="1140"/>
        <w:gridCol w:w="779"/>
        <w:gridCol w:w="778"/>
        <w:gridCol w:w="778"/>
        <w:gridCol w:w="778"/>
        <w:gridCol w:w="778"/>
        <w:gridCol w:w="781"/>
        <w:gridCol w:w="778"/>
        <w:gridCol w:w="780"/>
      </w:tblGrid>
      <w:tr w:rsidR="00000000">
        <w:tblPrEx>
          <w:tblCellMar>
            <w:top w:w="0" w:type="dxa"/>
            <w:bottom w:w="0" w:type="dxa"/>
          </w:tblCellMar>
        </w:tblPrEx>
        <w:trPr>
          <w:cantSplit/>
        </w:trPr>
        <w:tc>
          <w:tcPr>
            <w:tcW w:w="1140" w:type="dxa"/>
            <w:vMerge w:val="restart"/>
            <w:tcBorders>
              <w:top w:val="single" w:sz="6" w:space="0" w:color="auto"/>
            </w:tcBorders>
          </w:tcPr>
          <w:p w:rsidR="00000000" w:rsidRDefault="00000000">
            <w:pPr>
              <w:spacing w:before="40" w:after="40" w:line="180" w:lineRule="exact"/>
              <w:rPr>
                <w:i/>
                <w:sz w:val="17"/>
              </w:rPr>
            </w:pPr>
            <w:r>
              <w:rPr>
                <w:i/>
                <w:sz w:val="17"/>
              </w:rPr>
              <w:t>Возра</w:t>
            </w:r>
            <w:r>
              <w:rPr>
                <w:i/>
                <w:sz w:val="17"/>
              </w:rPr>
              <w:t>с</w:t>
            </w:r>
            <w:r>
              <w:rPr>
                <w:i/>
                <w:sz w:val="17"/>
              </w:rPr>
              <w:t>тная гру</w:t>
            </w:r>
            <w:r>
              <w:rPr>
                <w:i/>
                <w:sz w:val="17"/>
              </w:rPr>
              <w:t>п</w:t>
            </w:r>
            <w:r>
              <w:rPr>
                <w:i/>
                <w:sz w:val="17"/>
              </w:rPr>
              <w:t>па</w:t>
            </w:r>
          </w:p>
        </w:tc>
        <w:tc>
          <w:tcPr>
            <w:tcW w:w="1557" w:type="dxa"/>
            <w:gridSpan w:val="2"/>
            <w:tcBorders>
              <w:top w:val="single" w:sz="6" w:space="0" w:color="auto"/>
              <w:bottom w:val="single" w:sz="6" w:space="0" w:color="auto"/>
            </w:tcBorders>
            <w:vAlign w:val="center"/>
          </w:tcPr>
          <w:p w:rsidR="00000000" w:rsidRDefault="00000000">
            <w:pPr>
              <w:spacing w:before="40" w:after="40" w:line="180" w:lineRule="exact"/>
              <w:jc w:val="center"/>
              <w:rPr>
                <w:i/>
                <w:sz w:val="17"/>
              </w:rPr>
            </w:pPr>
            <w:r>
              <w:rPr>
                <w:i/>
                <w:sz w:val="17"/>
              </w:rPr>
              <w:t>Мужчины</w:t>
            </w:r>
          </w:p>
        </w:tc>
        <w:tc>
          <w:tcPr>
            <w:tcW w:w="1556" w:type="dxa"/>
            <w:gridSpan w:val="2"/>
            <w:tcBorders>
              <w:top w:val="single" w:sz="6" w:space="0" w:color="auto"/>
              <w:bottom w:val="single" w:sz="6" w:space="0" w:color="auto"/>
            </w:tcBorders>
            <w:vAlign w:val="center"/>
          </w:tcPr>
          <w:p w:rsidR="00000000" w:rsidRDefault="00000000">
            <w:pPr>
              <w:spacing w:before="40" w:after="40" w:line="180" w:lineRule="exact"/>
              <w:jc w:val="center"/>
              <w:rPr>
                <w:i/>
                <w:sz w:val="17"/>
              </w:rPr>
            </w:pPr>
            <w:r>
              <w:rPr>
                <w:i/>
                <w:sz w:val="17"/>
              </w:rPr>
              <w:t>Женщины</w:t>
            </w:r>
          </w:p>
        </w:tc>
        <w:tc>
          <w:tcPr>
            <w:tcW w:w="1559" w:type="dxa"/>
            <w:gridSpan w:val="2"/>
            <w:tcBorders>
              <w:top w:val="single" w:sz="6" w:space="0" w:color="auto"/>
              <w:bottom w:val="single" w:sz="6" w:space="0" w:color="auto"/>
            </w:tcBorders>
            <w:vAlign w:val="center"/>
          </w:tcPr>
          <w:p w:rsidR="00000000" w:rsidRDefault="00000000">
            <w:pPr>
              <w:spacing w:before="40" w:after="40" w:line="180" w:lineRule="exact"/>
              <w:jc w:val="center"/>
              <w:rPr>
                <w:i/>
                <w:sz w:val="17"/>
              </w:rPr>
            </w:pPr>
            <w:r>
              <w:rPr>
                <w:i/>
                <w:sz w:val="17"/>
              </w:rPr>
              <w:t>Не указано</w:t>
            </w:r>
          </w:p>
        </w:tc>
        <w:tc>
          <w:tcPr>
            <w:tcW w:w="1558" w:type="dxa"/>
            <w:gridSpan w:val="2"/>
            <w:tcBorders>
              <w:top w:val="single" w:sz="6" w:space="0" w:color="auto"/>
              <w:bottom w:val="single" w:sz="6" w:space="0" w:color="auto"/>
            </w:tcBorders>
            <w:vAlign w:val="center"/>
          </w:tcPr>
          <w:p w:rsidR="00000000" w:rsidRDefault="00000000">
            <w:pPr>
              <w:spacing w:before="40" w:after="40" w:line="180" w:lineRule="exact"/>
              <w:jc w:val="center"/>
              <w:rPr>
                <w:i/>
                <w:sz w:val="17"/>
              </w:rPr>
            </w:pPr>
            <w:r>
              <w:rPr>
                <w:i/>
                <w:sz w:val="17"/>
              </w:rPr>
              <w:t>Всего</w:t>
            </w:r>
          </w:p>
        </w:tc>
      </w:tr>
      <w:tr w:rsidR="00000000">
        <w:tblPrEx>
          <w:tblCellMar>
            <w:top w:w="0" w:type="dxa"/>
            <w:bottom w:w="0" w:type="dxa"/>
          </w:tblCellMar>
        </w:tblPrEx>
        <w:trPr>
          <w:cantSplit/>
        </w:trPr>
        <w:tc>
          <w:tcPr>
            <w:tcW w:w="1140" w:type="dxa"/>
            <w:vMerge/>
            <w:tcBorders>
              <w:bottom w:val="single" w:sz="12" w:space="0" w:color="auto"/>
            </w:tcBorders>
          </w:tcPr>
          <w:p w:rsidR="00000000" w:rsidRDefault="00000000">
            <w:pPr>
              <w:spacing w:before="40" w:after="40" w:line="180" w:lineRule="exact"/>
              <w:jc w:val="center"/>
              <w:rPr>
                <w:i/>
                <w:sz w:val="17"/>
              </w:rPr>
            </w:pPr>
          </w:p>
        </w:tc>
        <w:tc>
          <w:tcPr>
            <w:tcW w:w="779" w:type="dxa"/>
            <w:tcBorders>
              <w:top w:val="single" w:sz="6" w:space="0" w:color="auto"/>
              <w:bottom w:val="single" w:sz="12" w:space="0" w:color="auto"/>
            </w:tcBorders>
            <w:vAlign w:val="center"/>
          </w:tcPr>
          <w:p w:rsidR="00000000" w:rsidRDefault="00000000">
            <w:pPr>
              <w:spacing w:before="40" w:after="40" w:line="180" w:lineRule="exact"/>
              <w:jc w:val="center"/>
              <w:rPr>
                <w:i/>
                <w:sz w:val="17"/>
              </w:rPr>
            </w:pPr>
            <w:r>
              <w:rPr>
                <w:i/>
                <w:sz w:val="17"/>
              </w:rPr>
              <w:t>число</w:t>
            </w:r>
          </w:p>
        </w:tc>
        <w:tc>
          <w:tcPr>
            <w:tcW w:w="778" w:type="dxa"/>
            <w:tcBorders>
              <w:top w:val="single" w:sz="6" w:space="0" w:color="auto"/>
              <w:bottom w:val="single" w:sz="12" w:space="0" w:color="auto"/>
            </w:tcBorders>
            <w:vAlign w:val="center"/>
          </w:tcPr>
          <w:p w:rsidR="00000000" w:rsidRDefault="00000000">
            <w:pPr>
              <w:spacing w:before="40" w:after="40" w:line="180" w:lineRule="exact"/>
              <w:jc w:val="center"/>
              <w:rPr>
                <w:i/>
                <w:sz w:val="17"/>
              </w:rPr>
            </w:pPr>
            <w:r>
              <w:rPr>
                <w:i/>
                <w:sz w:val="17"/>
              </w:rPr>
              <w:t>%</w:t>
            </w:r>
          </w:p>
        </w:tc>
        <w:tc>
          <w:tcPr>
            <w:tcW w:w="778" w:type="dxa"/>
            <w:tcBorders>
              <w:top w:val="single" w:sz="6" w:space="0" w:color="auto"/>
              <w:bottom w:val="single" w:sz="12" w:space="0" w:color="auto"/>
            </w:tcBorders>
            <w:vAlign w:val="center"/>
          </w:tcPr>
          <w:p w:rsidR="00000000" w:rsidRDefault="00000000">
            <w:pPr>
              <w:spacing w:before="40" w:after="40" w:line="180" w:lineRule="exact"/>
              <w:jc w:val="center"/>
              <w:rPr>
                <w:i/>
                <w:sz w:val="17"/>
              </w:rPr>
            </w:pPr>
            <w:r>
              <w:rPr>
                <w:i/>
                <w:sz w:val="17"/>
              </w:rPr>
              <w:t>число</w:t>
            </w:r>
          </w:p>
        </w:tc>
        <w:tc>
          <w:tcPr>
            <w:tcW w:w="778" w:type="dxa"/>
            <w:tcBorders>
              <w:top w:val="single" w:sz="6" w:space="0" w:color="auto"/>
              <w:bottom w:val="single" w:sz="12" w:space="0" w:color="auto"/>
            </w:tcBorders>
            <w:vAlign w:val="center"/>
          </w:tcPr>
          <w:p w:rsidR="00000000" w:rsidRDefault="00000000">
            <w:pPr>
              <w:spacing w:before="40" w:after="40" w:line="180" w:lineRule="exact"/>
              <w:jc w:val="center"/>
              <w:rPr>
                <w:i/>
                <w:sz w:val="17"/>
              </w:rPr>
            </w:pPr>
            <w:r>
              <w:rPr>
                <w:i/>
                <w:sz w:val="17"/>
              </w:rPr>
              <w:t>%</w:t>
            </w:r>
          </w:p>
        </w:tc>
        <w:tc>
          <w:tcPr>
            <w:tcW w:w="778" w:type="dxa"/>
            <w:tcBorders>
              <w:top w:val="single" w:sz="6" w:space="0" w:color="auto"/>
              <w:bottom w:val="single" w:sz="12" w:space="0" w:color="auto"/>
            </w:tcBorders>
            <w:vAlign w:val="center"/>
          </w:tcPr>
          <w:p w:rsidR="00000000" w:rsidRDefault="00000000">
            <w:pPr>
              <w:spacing w:before="40" w:after="40" w:line="180" w:lineRule="exact"/>
              <w:jc w:val="center"/>
              <w:rPr>
                <w:i/>
                <w:sz w:val="17"/>
              </w:rPr>
            </w:pPr>
            <w:r>
              <w:rPr>
                <w:i/>
                <w:sz w:val="17"/>
              </w:rPr>
              <w:t>число</w:t>
            </w:r>
          </w:p>
        </w:tc>
        <w:tc>
          <w:tcPr>
            <w:tcW w:w="781" w:type="dxa"/>
            <w:tcBorders>
              <w:top w:val="single" w:sz="6" w:space="0" w:color="auto"/>
              <w:bottom w:val="single" w:sz="12" w:space="0" w:color="auto"/>
            </w:tcBorders>
            <w:vAlign w:val="center"/>
          </w:tcPr>
          <w:p w:rsidR="00000000" w:rsidRDefault="00000000">
            <w:pPr>
              <w:spacing w:before="40" w:after="40" w:line="180" w:lineRule="exact"/>
              <w:jc w:val="center"/>
              <w:rPr>
                <w:i/>
                <w:sz w:val="17"/>
              </w:rPr>
            </w:pPr>
            <w:r>
              <w:rPr>
                <w:i/>
                <w:sz w:val="17"/>
              </w:rPr>
              <w:t>%</w:t>
            </w:r>
          </w:p>
        </w:tc>
        <w:tc>
          <w:tcPr>
            <w:tcW w:w="778" w:type="dxa"/>
            <w:tcBorders>
              <w:top w:val="single" w:sz="6" w:space="0" w:color="auto"/>
              <w:bottom w:val="single" w:sz="12" w:space="0" w:color="auto"/>
            </w:tcBorders>
            <w:vAlign w:val="center"/>
          </w:tcPr>
          <w:p w:rsidR="00000000" w:rsidRDefault="00000000">
            <w:pPr>
              <w:spacing w:before="40" w:after="40" w:line="180" w:lineRule="exact"/>
              <w:jc w:val="center"/>
              <w:rPr>
                <w:i/>
                <w:sz w:val="17"/>
              </w:rPr>
            </w:pPr>
            <w:r>
              <w:rPr>
                <w:i/>
                <w:sz w:val="17"/>
              </w:rPr>
              <w:t>число</w:t>
            </w:r>
          </w:p>
        </w:tc>
        <w:tc>
          <w:tcPr>
            <w:tcW w:w="780" w:type="dxa"/>
            <w:tcBorders>
              <w:top w:val="single" w:sz="6" w:space="0" w:color="auto"/>
              <w:bottom w:val="single" w:sz="12" w:space="0" w:color="auto"/>
            </w:tcBorders>
            <w:vAlign w:val="center"/>
          </w:tcPr>
          <w:p w:rsidR="00000000" w:rsidRDefault="00000000">
            <w:pPr>
              <w:spacing w:before="40" w:after="40" w:line="180" w:lineRule="exact"/>
              <w:jc w:val="center"/>
              <w:rPr>
                <w:i/>
                <w:sz w:val="17"/>
              </w:rPr>
            </w:pPr>
            <w:r>
              <w:rPr>
                <w:i/>
                <w:sz w:val="17"/>
              </w:rPr>
              <w:t>%</w:t>
            </w:r>
          </w:p>
        </w:tc>
      </w:tr>
      <w:tr w:rsidR="00000000">
        <w:tblPrEx>
          <w:tblCellMar>
            <w:top w:w="0" w:type="dxa"/>
            <w:bottom w:w="0" w:type="dxa"/>
          </w:tblCellMar>
        </w:tblPrEx>
        <w:tc>
          <w:tcPr>
            <w:tcW w:w="1140" w:type="dxa"/>
            <w:tcBorders>
              <w:top w:val="single" w:sz="12" w:space="0" w:color="auto"/>
            </w:tcBorders>
          </w:tcPr>
          <w:p w:rsidR="00000000" w:rsidRDefault="00000000">
            <w:pPr>
              <w:spacing w:before="40" w:after="40" w:line="180" w:lineRule="exact"/>
              <w:rPr>
                <w:sz w:val="17"/>
              </w:rPr>
            </w:pPr>
            <w:r>
              <w:rPr>
                <w:sz w:val="17"/>
              </w:rPr>
              <w:t>Моложе 20 лет</w:t>
            </w:r>
          </w:p>
        </w:tc>
        <w:tc>
          <w:tcPr>
            <w:tcW w:w="779" w:type="dxa"/>
            <w:tcBorders>
              <w:top w:val="single" w:sz="12" w:space="0" w:color="auto"/>
            </w:tcBorders>
            <w:vAlign w:val="bottom"/>
          </w:tcPr>
          <w:p w:rsidR="00000000" w:rsidRDefault="00000000">
            <w:pPr>
              <w:pStyle w:val="Header"/>
              <w:tabs>
                <w:tab w:val="clear" w:pos="4320"/>
                <w:tab w:val="clear" w:pos="8640"/>
                <w:tab w:val="decimal" w:pos="453"/>
              </w:tabs>
              <w:spacing w:before="40" w:after="40" w:line="180" w:lineRule="exact"/>
              <w:rPr>
                <w:noProof w:val="0"/>
                <w:spacing w:val="4"/>
                <w:w w:val="103"/>
                <w:kern w:val="14"/>
              </w:rPr>
            </w:pPr>
            <w:r>
              <w:rPr>
                <w:noProof w:val="0"/>
                <w:spacing w:val="4"/>
                <w:w w:val="103"/>
                <w:kern w:val="14"/>
              </w:rPr>
              <w:t>1</w:t>
            </w:r>
          </w:p>
        </w:tc>
        <w:tc>
          <w:tcPr>
            <w:tcW w:w="778" w:type="dxa"/>
            <w:tcBorders>
              <w:top w:val="single" w:sz="12" w:space="0" w:color="auto"/>
            </w:tcBorders>
            <w:vAlign w:val="bottom"/>
          </w:tcPr>
          <w:p w:rsidR="00000000" w:rsidRDefault="00000000">
            <w:pPr>
              <w:tabs>
                <w:tab w:val="decimal" w:pos="453"/>
              </w:tabs>
              <w:spacing w:before="40" w:after="40" w:line="180" w:lineRule="exact"/>
              <w:rPr>
                <w:sz w:val="17"/>
              </w:rPr>
            </w:pPr>
            <w:r>
              <w:rPr>
                <w:sz w:val="17"/>
              </w:rPr>
              <w:t>0,0</w:t>
            </w:r>
          </w:p>
        </w:tc>
        <w:tc>
          <w:tcPr>
            <w:tcW w:w="778" w:type="dxa"/>
            <w:tcBorders>
              <w:top w:val="single" w:sz="12" w:space="0" w:color="auto"/>
            </w:tcBorders>
            <w:vAlign w:val="bottom"/>
          </w:tcPr>
          <w:p w:rsidR="00000000" w:rsidRDefault="00000000">
            <w:pPr>
              <w:tabs>
                <w:tab w:val="decimal" w:pos="453"/>
              </w:tabs>
              <w:spacing w:before="40" w:after="40" w:line="180" w:lineRule="exact"/>
              <w:rPr>
                <w:sz w:val="17"/>
              </w:rPr>
            </w:pPr>
            <w:r>
              <w:rPr>
                <w:sz w:val="17"/>
              </w:rPr>
              <w:t>9</w:t>
            </w:r>
          </w:p>
        </w:tc>
        <w:tc>
          <w:tcPr>
            <w:tcW w:w="778" w:type="dxa"/>
            <w:tcBorders>
              <w:top w:val="single" w:sz="12" w:space="0" w:color="auto"/>
            </w:tcBorders>
            <w:vAlign w:val="bottom"/>
          </w:tcPr>
          <w:p w:rsidR="00000000" w:rsidRDefault="00000000">
            <w:pPr>
              <w:tabs>
                <w:tab w:val="decimal" w:pos="453"/>
              </w:tabs>
              <w:spacing w:before="40" w:after="40" w:line="180" w:lineRule="exact"/>
              <w:rPr>
                <w:sz w:val="17"/>
              </w:rPr>
            </w:pPr>
            <w:r>
              <w:rPr>
                <w:sz w:val="17"/>
              </w:rPr>
              <w:t>0,0</w:t>
            </w:r>
          </w:p>
        </w:tc>
        <w:tc>
          <w:tcPr>
            <w:tcW w:w="778" w:type="dxa"/>
            <w:tcBorders>
              <w:top w:val="single" w:sz="12" w:space="0" w:color="auto"/>
            </w:tcBorders>
            <w:vAlign w:val="bottom"/>
          </w:tcPr>
          <w:p w:rsidR="00000000" w:rsidRDefault="00000000">
            <w:pPr>
              <w:tabs>
                <w:tab w:val="decimal" w:pos="453"/>
              </w:tabs>
              <w:spacing w:before="40" w:after="40" w:line="180" w:lineRule="exact"/>
              <w:rPr>
                <w:sz w:val="17"/>
              </w:rPr>
            </w:pPr>
            <w:r>
              <w:rPr>
                <w:sz w:val="17"/>
              </w:rPr>
              <w:t>1</w:t>
            </w:r>
          </w:p>
        </w:tc>
        <w:tc>
          <w:tcPr>
            <w:tcW w:w="781" w:type="dxa"/>
            <w:tcBorders>
              <w:top w:val="single" w:sz="12" w:space="0" w:color="auto"/>
            </w:tcBorders>
            <w:vAlign w:val="bottom"/>
          </w:tcPr>
          <w:p w:rsidR="00000000" w:rsidRDefault="00000000">
            <w:pPr>
              <w:tabs>
                <w:tab w:val="decimal" w:pos="453"/>
              </w:tabs>
              <w:spacing w:before="40" w:after="40" w:line="180" w:lineRule="exact"/>
              <w:rPr>
                <w:sz w:val="17"/>
              </w:rPr>
            </w:pPr>
            <w:r>
              <w:rPr>
                <w:sz w:val="17"/>
              </w:rPr>
              <w:t>0,0</w:t>
            </w:r>
          </w:p>
        </w:tc>
        <w:tc>
          <w:tcPr>
            <w:tcW w:w="778" w:type="dxa"/>
            <w:tcBorders>
              <w:top w:val="single" w:sz="12" w:space="0" w:color="auto"/>
            </w:tcBorders>
            <w:vAlign w:val="bottom"/>
          </w:tcPr>
          <w:p w:rsidR="00000000" w:rsidRDefault="00000000">
            <w:pPr>
              <w:tabs>
                <w:tab w:val="decimal" w:pos="453"/>
              </w:tabs>
              <w:spacing w:before="40" w:after="40" w:line="180" w:lineRule="exact"/>
              <w:rPr>
                <w:sz w:val="17"/>
              </w:rPr>
            </w:pPr>
            <w:r>
              <w:rPr>
                <w:sz w:val="17"/>
              </w:rPr>
              <w:t>11</w:t>
            </w:r>
          </w:p>
        </w:tc>
        <w:tc>
          <w:tcPr>
            <w:tcW w:w="780" w:type="dxa"/>
            <w:tcBorders>
              <w:top w:val="single" w:sz="12" w:space="0" w:color="auto"/>
            </w:tcBorders>
            <w:vAlign w:val="bottom"/>
          </w:tcPr>
          <w:p w:rsidR="00000000" w:rsidRDefault="00000000">
            <w:pPr>
              <w:tabs>
                <w:tab w:val="decimal" w:pos="453"/>
              </w:tabs>
              <w:spacing w:before="40" w:after="40" w:line="180" w:lineRule="exact"/>
              <w:rPr>
                <w:sz w:val="17"/>
              </w:rPr>
            </w:pPr>
            <w:r>
              <w:rPr>
                <w:sz w:val="17"/>
              </w:rPr>
              <w:t>0,0</w:t>
            </w:r>
          </w:p>
        </w:tc>
      </w:tr>
      <w:tr w:rsidR="00000000">
        <w:tblPrEx>
          <w:tblCellMar>
            <w:top w:w="0" w:type="dxa"/>
            <w:bottom w:w="0" w:type="dxa"/>
          </w:tblCellMar>
        </w:tblPrEx>
        <w:tc>
          <w:tcPr>
            <w:tcW w:w="1140" w:type="dxa"/>
          </w:tcPr>
          <w:p w:rsidR="00000000" w:rsidRDefault="00000000">
            <w:pPr>
              <w:spacing w:before="40" w:after="40" w:line="180" w:lineRule="exact"/>
              <w:rPr>
                <w:sz w:val="17"/>
              </w:rPr>
            </w:pPr>
            <w:r>
              <w:rPr>
                <w:sz w:val="17"/>
              </w:rPr>
              <w:t>20-24</w:t>
            </w:r>
          </w:p>
        </w:tc>
        <w:tc>
          <w:tcPr>
            <w:tcW w:w="779" w:type="dxa"/>
            <w:vAlign w:val="bottom"/>
          </w:tcPr>
          <w:p w:rsidR="00000000" w:rsidRDefault="00000000">
            <w:pPr>
              <w:tabs>
                <w:tab w:val="decimal" w:pos="453"/>
              </w:tabs>
              <w:spacing w:before="40" w:after="40" w:line="180" w:lineRule="exact"/>
              <w:rPr>
                <w:sz w:val="17"/>
              </w:rPr>
            </w:pPr>
            <w:r>
              <w:rPr>
                <w:sz w:val="17"/>
              </w:rPr>
              <w:t>34</w:t>
            </w:r>
          </w:p>
        </w:tc>
        <w:tc>
          <w:tcPr>
            <w:tcW w:w="778" w:type="dxa"/>
            <w:vAlign w:val="bottom"/>
          </w:tcPr>
          <w:p w:rsidR="00000000" w:rsidRDefault="00000000">
            <w:pPr>
              <w:tabs>
                <w:tab w:val="decimal" w:pos="453"/>
              </w:tabs>
              <w:spacing w:before="40" w:after="40" w:line="180" w:lineRule="exact"/>
              <w:rPr>
                <w:sz w:val="17"/>
              </w:rPr>
            </w:pPr>
            <w:r>
              <w:rPr>
                <w:sz w:val="17"/>
              </w:rPr>
              <w:t>0,1</w:t>
            </w:r>
          </w:p>
        </w:tc>
        <w:tc>
          <w:tcPr>
            <w:tcW w:w="778" w:type="dxa"/>
            <w:vAlign w:val="bottom"/>
          </w:tcPr>
          <w:p w:rsidR="00000000" w:rsidRDefault="00000000">
            <w:pPr>
              <w:tabs>
                <w:tab w:val="decimal" w:pos="453"/>
              </w:tabs>
              <w:spacing w:before="40" w:after="40" w:line="180" w:lineRule="exact"/>
              <w:rPr>
                <w:sz w:val="17"/>
              </w:rPr>
            </w:pPr>
            <w:r>
              <w:rPr>
                <w:sz w:val="17"/>
              </w:rPr>
              <w:t>830</w:t>
            </w:r>
          </w:p>
        </w:tc>
        <w:tc>
          <w:tcPr>
            <w:tcW w:w="778" w:type="dxa"/>
            <w:vAlign w:val="bottom"/>
          </w:tcPr>
          <w:p w:rsidR="00000000" w:rsidRDefault="00000000">
            <w:pPr>
              <w:tabs>
                <w:tab w:val="decimal" w:pos="453"/>
              </w:tabs>
              <w:spacing w:before="40" w:after="40" w:line="180" w:lineRule="exact"/>
              <w:rPr>
                <w:sz w:val="17"/>
              </w:rPr>
            </w:pPr>
            <w:r>
              <w:rPr>
                <w:sz w:val="17"/>
              </w:rPr>
              <w:t>2,5</w:t>
            </w:r>
          </w:p>
        </w:tc>
        <w:tc>
          <w:tcPr>
            <w:tcW w:w="778" w:type="dxa"/>
            <w:vAlign w:val="bottom"/>
          </w:tcPr>
          <w:p w:rsidR="00000000" w:rsidRDefault="00000000">
            <w:pPr>
              <w:tabs>
                <w:tab w:val="decimal" w:pos="453"/>
              </w:tabs>
              <w:spacing w:before="40" w:after="40" w:line="180" w:lineRule="exact"/>
              <w:rPr>
                <w:sz w:val="17"/>
              </w:rPr>
            </w:pPr>
            <w:r>
              <w:rPr>
                <w:sz w:val="17"/>
              </w:rPr>
              <w:t>6</w:t>
            </w:r>
          </w:p>
        </w:tc>
        <w:tc>
          <w:tcPr>
            <w:tcW w:w="781" w:type="dxa"/>
            <w:vAlign w:val="bottom"/>
          </w:tcPr>
          <w:p w:rsidR="00000000" w:rsidRDefault="00000000">
            <w:pPr>
              <w:tabs>
                <w:tab w:val="decimal" w:pos="453"/>
              </w:tabs>
              <w:spacing w:before="40" w:after="40" w:line="180" w:lineRule="exact"/>
              <w:rPr>
                <w:sz w:val="17"/>
              </w:rPr>
            </w:pPr>
            <w:r>
              <w:rPr>
                <w:sz w:val="17"/>
              </w:rPr>
              <w:t>0,0</w:t>
            </w:r>
          </w:p>
        </w:tc>
        <w:tc>
          <w:tcPr>
            <w:tcW w:w="778" w:type="dxa"/>
            <w:vAlign w:val="bottom"/>
          </w:tcPr>
          <w:p w:rsidR="00000000" w:rsidRDefault="00000000">
            <w:pPr>
              <w:tabs>
                <w:tab w:val="decimal" w:pos="453"/>
              </w:tabs>
              <w:spacing w:before="40" w:after="40" w:line="180" w:lineRule="exact"/>
              <w:rPr>
                <w:sz w:val="17"/>
              </w:rPr>
            </w:pPr>
            <w:r>
              <w:rPr>
                <w:sz w:val="17"/>
              </w:rPr>
              <w:t>870</w:t>
            </w:r>
          </w:p>
        </w:tc>
        <w:tc>
          <w:tcPr>
            <w:tcW w:w="780" w:type="dxa"/>
            <w:vAlign w:val="bottom"/>
          </w:tcPr>
          <w:p w:rsidR="00000000" w:rsidRDefault="00000000">
            <w:pPr>
              <w:tabs>
                <w:tab w:val="decimal" w:pos="453"/>
              </w:tabs>
              <w:spacing w:before="40" w:after="40" w:line="180" w:lineRule="exact"/>
              <w:rPr>
                <w:sz w:val="17"/>
              </w:rPr>
            </w:pPr>
            <w:r>
              <w:rPr>
                <w:sz w:val="17"/>
              </w:rPr>
              <w:t>2,6</w:t>
            </w:r>
          </w:p>
        </w:tc>
      </w:tr>
      <w:tr w:rsidR="00000000">
        <w:tblPrEx>
          <w:tblCellMar>
            <w:top w:w="0" w:type="dxa"/>
            <w:bottom w:w="0" w:type="dxa"/>
          </w:tblCellMar>
        </w:tblPrEx>
        <w:tc>
          <w:tcPr>
            <w:tcW w:w="1140" w:type="dxa"/>
          </w:tcPr>
          <w:p w:rsidR="00000000" w:rsidRDefault="00000000">
            <w:pPr>
              <w:spacing w:before="40" w:after="40" w:line="180" w:lineRule="exact"/>
              <w:rPr>
                <w:sz w:val="17"/>
              </w:rPr>
            </w:pPr>
            <w:r>
              <w:rPr>
                <w:sz w:val="17"/>
              </w:rPr>
              <w:t>25-29</w:t>
            </w:r>
          </w:p>
        </w:tc>
        <w:tc>
          <w:tcPr>
            <w:tcW w:w="779" w:type="dxa"/>
            <w:vAlign w:val="bottom"/>
          </w:tcPr>
          <w:p w:rsidR="00000000" w:rsidRDefault="00000000">
            <w:pPr>
              <w:tabs>
                <w:tab w:val="decimal" w:pos="453"/>
              </w:tabs>
              <w:spacing w:before="40" w:after="40" w:line="180" w:lineRule="exact"/>
              <w:rPr>
                <w:sz w:val="17"/>
              </w:rPr>
            </w:pPr>
            <w:r>
              <w:rPr>
                <w:sz w:val="17"/>
              </w:rPr>
              <w:t>175</w:t>
            </w:r>
          </w:p>
        </w:tc>
        <w:tc>
          <w:tcPr>
            <w:tcW w:w="778" w:type="dxa"/>
            <w:vAlign w:val="bottom"/>
          </w:tcPr>
          <w:p w:rsidR="00000000" w:rsidRDefault="00000000">
            <w:pPr>
              <w:tabs>
                <w:tab w:val="decimal" w:pos="453"/>
              </w:tabs>
              <w:spacing w:before="40" w:after="40" w:line="180" w:lineRule="exact"/>
              <w:rPr>
                <w:sz w:val="17"/>
              </w:rPr>
            </w:pPr>
            <w:r>
              <w:rPr>
                <w:sz w:val="17"/>
              </w:rPr>
              <w:t>0,5</w:t>
            </w:r>
          </w:p>
        </w:tc>
        <w:tc>
          <w:tcPr>
            <w:tcW w:w="778" w:type="dxa"/>
            <w:vAlign w:val="bottom"/>
          </w:tcPr>
          <w:p w:rsidR="00000000" w:rsidRDefault="00000000">
            <w:pPr>
              <w:tabs>
                <w:tab w:val="decimal" w:pos="453"/>
              </w:tabs>
              <w:spacing w:before="40" w:after="40" w:line="180" w:lineRule="exact"/>
              <w:rPr>
                <w:sz w:val="17"/>
              </w:rPr>
            </w:pPr>
            <w:r>
              <w:rPr>
                <w:sz w:val="17"/>
              </w:rPr>
              <w:t>2433</w:t>
            </w:r>
          </w:p>
        </w:tc>
        <w:tc>
          <w:tcPr>
            <w:tcW w:w="778" w:type="dxa"/>
            <w:vAlign w:val="bottom"/>
          </w:tcPr>
          <w:p w:rsidR="00000000" w:rsidRDefault="00000000">
            <w:pPr>
              <w:tabs>
                <w:tab w:val="decimal" w:pos="453"/>
              </w:tabs>
              <w:spacing w:before="40" w:after="40" w:line="180" w:lineRule="exact"/>
              <w:rPr>
                <w:sz w:val="17"/>
              </w:rPr>
            </w:pPr>
            <w:r>
              <w:rPr>
                <w:sz w:val="17"/>
              </w:rPr>
              <w:t>7,4</w:t>
            </w:r>
          </w:p>
        </w:tc>
        <w:tc>
          <w:tcPr>
            <w:tcW w:w="778" w:type="dxa"/>
            <w:vAlign w:val="bottom"/>
          </w:tcPr>
          <w:p w:rsidR="00000000" w:rsidRDefault="00000000">
            <w:pPr>
              <w:tabs>
                <w:tab w:val="decimal" w:pos="453"/>
              </w:tabs>
              <w:spacing w:before="40" w:after="40" w:line="180" w:lineRule="exact"/>
              <w:rPr>
                <w:sz w:val="17"/>
              </w:rPr>
            </w:pPr>
            <w:r>
              <w:rPr>
                <w:sz w:val="17"/>
              </w:rPr>
              <w:t>114</w:t>
            </w:r>
          </w:p>
        </w:tc>
        <w:tc>
          <w:tcPr>
            <w:tcW w:w="781" w:type="dxa"/>
            <w:vAlign w:val="bottom"/>
          </w:tcPr>
          <w:p w:rsidR="00000000" w:rsidRDefault="00000000">
            <w:pPr>
              <w:tabs>
                <w:tab w:val="decimal" w:pos="453"/>
              </w:tabs>
              <w:spacing w:before="40" w:after="40" w:line="180" w:lineRule="exact"/>
              <w:rPr>
                <w:sz w:val="17"/>
              </w:rPr>
            </w:pPr>
            <w:r>
              <w:rPr>
                <w:sz w:val="17"/>
              </w:rPr>
              <w:t>0,3</w:t>
            </w:r>
          </w:p>
        </w:tc>
        <w:tc>
          <w:tcPr>
            <w:tcW w:w="778" w:type="dxa"/>
            <w:vAlign w:val="bottom"/>
          </w:tcPr>
          <w:p w:rsidR="00000000" w:rsidRDefault="00000000">
            <w:pPr>
              <w:tabs>
                <w:tab w:val="decimal" w:pos="453"/>
              </w:tabs>
              <w:spacing w:before="40" w:after="40" w:line="180" w:lineRule="exact"/>
              <w:rPr>
                <w:sz w:val="17"/>
              </w:rPr>
            </w:pPr>
            <w:r>
              <w:rPr>
                <w:sz w:val="17"/>
              </w:rPr>
              <w:t>2722</w:t>
            </w:r>
          </w:p>
        </w:tc>
        <w:tc>
          <w:tcPr>
            <w:tcW w:w="780" w:type="dxa"/>
            <w:vAlign w:val="bottom"/>
          </w:tcPr>
          <w:p w:rsidR="00000000" w:rsidRDefault="00000000">
            <w:pPr>
              <w:tabs>
                <w:tab w:val="decimal" w:pos="453"/>
              </w:tabs>
              <w:spacing w:before="40" w:after="40" w:line="180" w:lineRule="exact"/>
              <w:rPr>
                <w:sz w:val="17"/>
              </w:rPr>
            </w:pPr>
            <w:r>
              <w:rPr>
                <w:sz w:val="17"/>
              </w:rPr>
              <w:t>8,2</w:t>
            </w:r>
          </w:p>
        </w:tc>
      </w:tr>
      <w:tr w:rsidR="00000000">
        <w:tblPrEx>
          <w:tblCellMar>
            <w:top w:w="0" w:type="dxa"/>
            <w:bottom w:w="0" w:type="dxa"/>
          </w:tblCellMar>
        </w:tblPrEx>
        <w:tc>
          <w:tcPr>
            <w:tcW w:w="1140" w:type="dxa"/>
          </w:tcPr>
          <w:p w:rsidR="00000000" w:rsidRDefault="00000000">
            <w:pPr>
              <w:spacing w:before="40" w:after="40" w:line="180" w:lineRule="exact"/>
              <w:rPr>
                <w:sz w:val="17"/>
              </w:rPr>
            </w:pPr>
            <w:r>
              <w:rPr>
                <w:sz w:val="17"/>
              </w:rPr>
              <w:t>30-34</w:t>
            </w:r>
          </w:p>
        </w:tc>
        <w:tc>
          <w:tcPr>
            <w:tcW w:w="779" w:type="dxa"/>
            <w:vAlign w:val="bottom"/>
          </w:tcPr>
          <w:p w:rsidR="00000000" w:rsidRDefault="00000000">
            <w:pPr>
              <w:tabs>
                <w:tab w:val="decimal" w:pos="453"/>
              </w:tabs>
              <w:spacing w:before="40" w:after="40" w:line="180" w:lineRule="exact"/>
              <w:rPr>
                <w:sz w:val="17"/>
              </w:rPr>
            </w:pPr>
            <w:r>
              <w:rPr>
                <w:sz w:val="17"/>
              </w:rPr>
              <w:t>270</w:t>
            </w:r>
          </w:p>
        </w:tc>
        <w:tc>
          <w:tcPr>
            <w:tcW w:w="778" w:type="dxa"/>
            <w:vAlign w:val="bottom"/>
          </w:tcPr>
          <w:p w:rsidR="00000000" w:rsidRDefault="00000000">
            <w:pPr>
              <w:tabs>
                <w:tab w:val="decimal" w:pos="453"/>
              </w:tabs>
              <w:spacing w:before="40" w:after="40" w:line="180" w:lineRule="exact"/>
              <w:rPr>
                <w:sz w:val="17"/>
              </w:rPr>
            </w:pPr>
            <w:r>
              <w:rPr>
                <w:sz w:val="17"/>
              </w:rPr>
              <w:t>0,8</w:t>
            </w:r>
          </w:p>
        </w:tc>
        <w:tc>
          <w:tcPr>
            <w:tcW w:w="778" w:type="dxa"/>
            <w:vAlign w:val="bottom"/>
          </w:tcPr>
          <w:p w:rsidR="00000000" w:rsidRDefault="00000000">
            <w:pPr>
              <w:tabs>
                <w:tab w:val="decimal" w:pos="453"/>
              </w:tabs>
              <w:spacing w:before="40" w:after="40" w:line="180" w:lineRule="exact"/>
              <w:rPr>
                <w:sz w:val="17"/>
              </w:rPr>
            </w:pPr>
            <w:r>
              <w:rPr>
                <w:sz w:val="17"/>
              </w:rPr>
              <w:t>3358</w:t>
            </w:r>
          </w:p>
        </w:tc>
        <w:tc>
          <w:tcPr>
            <w:tcW w:w="778" w:type="dxa"/>
            <w:vAlign w:val="bottom"/>
          </w:tcPr>
          <w:p w:rsidR="00000000" w:rsidRDefault="00000000">
            <w:pPr>
              <w:tabs>
                <w:tab w:val="decimal" w:pos="453"/>
              </w:tabs>
              <w:spacing w:before="40" w:after="40" w:line="180" w:lineRule="exact"/>
              <w:rPr>
                <w:sz w:val="17"/>
              </w:rPr>
            </w:pPr>
            <w:r>
              <w:rPr>
                <w:sz w:val="17"/>
              </w:rPr>
              <w:t>10,2</w:t>
            </w:r>
          </w:p>
        </w:tc>
        <w:tc>
          <w:tcPr>
            <w:tcW w:w="778" w:type="dxa"/>
            <w:vAlign w:val="bottom"/>
          </w:tcPr>
          <w:p w:rsidR="00000000" w:rsidRDefault="00000000">
            <w:pPr>
              <w:tabs>
                <w:tab w:val="decimal" w:pos="453"/>
              </w:tabs>
              <w:spacing w:before="40" w:after="40" w:line="180" w:lineRule="exact"/>
              <w:rPr>
                <w:sz w:val="17"/>
              </w:rPr>
            </w:pPr>
            <w:r>
              <w:rPr>
                <w:sz w:val="17"/>
              </w:rPr>
              <w:t>279</w:t>
            </w:r>
          </w:p>
        </w:tc>
        <w:tc>
          <w:tcPr>
            <w:tcW w:w="781" w:type="dxa"/>
            <w:vAlign w:val="bottom"/>
          </w:tcPr>
          <w:p w:rsidR="00000000" w:rsidRDefault="00000000">
            <w:pPr>
              <w:tabs>
                <w:tab w:val="decimal" w:pos="453"/>
              </w:tabs>
              <w:spacing w:before="40" w:after="40" w:line="180" w:lineRule="exact"/>
              <w:rPr>
                <w:sz w:val="17"/>
              </w:rPr>
            </w:pPr>
            <w:r>
              <w:rPr>
                <w:sz w:val="17"/>
              </w:rPr>
              <w:t>0,8</w:t>
            </w:r>
          </w:p>
        </w:tc>
        <w:tc>
          <w:tcPr>
            <w:tcW w:w="778" w:type="dxa"/>
            <w:vAlign w:val="bottom"/>
          </w:tcPr>
          <w:p w:rsidR="00000000" w:rsidRDefault="00000000">
            <w:pPr>
              <w:tabs>
                <w:tab w:val="decimal" w:pos="453"/>
              </w:tabs>
              <w:spacing w:before="40" w:after="40" w:line="180" w:lineRule="exact"/>
              <w:rPr>
                <w:sz w:val="17"/>
              </w:rPr>
            </w:pPr>
            <w:r>
              <w:rPr>
                <w:sz w:val="17"/>
              </w:rPr>
              <w:t>3907</w:t>
            </w:r>
          </w:p>
        </w:tc>
        <w:tc>
          <w:tcPr>
            <w:tcW w:w="780" w:type="dxa"/>
            <w:vAlign w:val="bottom"/>
          </w:tcPr>
          <w:p w:rsidR="00000000" w:rsidRDefault="00000000">
            <w:pPr>
              <w:tabs>
                <w:tab w:val="decimal" w:pos="453"/>
              </w:tabs>
              <w:spacing w:before="40" w:after="40" w:line="180" w:lineRule="exact"/>
              <w:rPr>
                <w:sz w:val="17"/>
              </w:rPr>
            </w:pPr>
            <w:r>
              <w:rPr>
                <w:sz w:val="17"/>
              </w:rPr>
              <w:t>11,8</w:t>
            </w:r>
          </w:p>
        </w:tc>
      </w:tr>
      <w:tr w:rsidR="00000000">
        <w:tblPrEx>
          <w:tblCellMar>
            <w:top w:w="0" w:type="dxa"/>
            <w:bottom w:w="0" w:type="dxa"/>
          </w:tblCellMar>
        </w:tblPrEx>
        <w:tc>
          <w:tcPr>
            <w:tcW w:w="1140" w:type="dxa"/>
          </w:tcPr>
          <w:p w:rsidR="00000000" w:rsidRDefault="00000000">
            <w:pPr>
              <w:spacing w:before="40" w:after="40" w:line="180" w:lineRule="exact"/>
              <w:rPr>
                <w:sz w:val="17"/>
              </w:rPr>
            </w:pPr>
            <w:r>
              <w:rPr>
                <w:sz w:val="17"/>
              </w:rPr>
              <w:t>35-39</w:t>
            </w:r>
          </w:p>
        </w:tc>
        <w:tc>
          <w:tcPr>
            <w:tcW w:w="779" w:type="dxa"/>
            <w:vAlign w:val="bottom"/>
          </w:tcPr>
          <w:p w:rsidR="00000000" w:rsidRDefault="00000000">
            <w:pPr>
              <w:tabs>
                <w:tab w:val="decimal" w:pos="453"/>
              </w:tabs>
              <w:spacing w:before="40" w:after="40" w:line="180" w:lineRule="exact"/>
              <w:rPr>
                <w:sz w:val="17"/>
              </w:rPr>
            </w:pPr>
            <w:r>
              <w:rPr>
                <w:sz w:val="17"/>
              </w:rPr>
              <w:t>343</w:t>
            </w:r>
          </w:p>
        </w:tc>
        <w:tc>
          <w:tcPr>
            <w:tcW w:w="778" w:type="dxa"/>
            <w:vAlign w:val="bottom"/>
          </w:tcPr>
          <w:p w:rsidR="00000000" w:rsidRDefault="00000000">
            <w:pPr>
              <w:tabs>
                <w:tab w:val="decimal" w:pos="453"/>
              </w:tabs>
              <w:spacing w:before="40" w:after="40" w:line="180" w:lineRule="exact"/>
              <w:rPr>
                <w:sz w:val="17"/>
              </w:rPr>
            </w:pPr>
            <w:r>
              <w:rPr>
                <w:sz w:val="17"/>
              </w:rPr>
              <w:t>1,0</w:t>
            </w:r>
          </w:p>
        </w:tc>
        <w:tc>
          <w:tcPr>
            <w:tcW w:w="778" w:type="dxa"/>
            <w:vAlign w:val="bottom"/>
          </w:tcPr>
          <w:p w:rsidR="00000000" w:rsidRDefault="00000000">
            <w:pPr>
              <w:tabs>
                <w:tab w:val="decimal" w:pos="453"/>
              </w:tabs>
              <w:spacing w:before="40" w:after="40" w:line="180" w:lineRule="exact"/>
              <w:rPr>
                <w:sz w:val="17"/>
              </w:rPr>
            </w:pPr>
            <w:r>
              <w:rPr>
                <w:sz w:val="17"/>
              </w:rPr>
              <w:t>4241</w:t>
            </w:r>
          </w:p>
        </w:tc>
        <w:tc>
          <w:tcPr>
            <w:tcW w:w="778" w:type="dxa"/>
            <w:vAlign w:val="bottom"/>
          </w:tcPr>
          <w:p w:rsidR="00000000" w:rsidRDefault="00000000">
            <w:pPr>
              <w:tabs>
                <w:tab w:val="decimal" w:pos="453"/>
              </w:tabs>
              <w:spacing w:before="40" w:after="40" w:line="180" w:lineRule="exact"/>
              <w:rPr>
                <w:sz w:val="17"/>
              </w:rPr>
            </w:pPr>
            <w:r>
              <w:rPr>
                <w:sz w:val="17"/>
              </w:rPr>
              <w:t>12,8</w:t>
            </w:r>
          </w:p>
        </w:tc>
        <w:tc>
          <w:tcPr>
            <w:tcW w:w="778" w:type="dxa"/>
            <w:vAlign w:val="bottom"/>
          </w:tcPr>
          <w:p w:rsidR="00000000" w:rsidRDefault="00000000">
            <w:pPr>
              <w:tabs>
                <w:tab w:val="decimal" w:pos="453"/>
              </w:tabs>
              <w:spacing w:before="40" w:after="40" w:line="180" w:lineRule="exact"/>
              <w:rPr>
                <w:sz w:val="17"/>
              </w:rPr>
            </w:pPr>
            <w:r>
              <w:rPr>
                <w:sz w:val="17"/>
              </w:rPr>
              <w:t>236</w:t>
            </w:r>
          </w:p>
        </w:tc>
        <w:tc>
          <w:tcPr>
            <w:tcW w:w="781" w:type="dxa"/>
            <w:vAlign w:val="bottom"/>
          </w:tcPr>
          <w:p w:rsidR="00000000" w:rsidRDefault="00000000">
            <w:pPr>
              <w:tabs>
                <w:tab w:val="decimal" w:pos="453"/>
              </w:tabs>
              <w:spacing w:before="40" w:after="40" w:line="180" w:lineRule="exact"/>
              <w:rPr>
                <w:sz w:val="17"/>
              </w:rPr>
            </w:pPr>
            <w:r>
              <w:rPr>
                <w:sz w:val="17"/>
              </w:rPr>
              <w:t>0,7</w:t>
            </w:r>
          </w:p>
        </w:tc>
        <w:tc>
          <w:tcPr>
            <w:tcW w:w="778" w:type="dxa"/>
            <w:vAlign w:val="bottom"/>
          </w:tcPr>
          <w:p w:rsidR="00000000" w:rsidRDefault="00000000">
            <w:pPr>
              <w:tabs>
                <w:tab w:val="decimal" w:pos="453"/>
              </w:tabs>
              <w:spacing w:before="40" w:after="40" w:line="180" w:lineRule="exact"/>
              <w:rPr>
                <w:sz w:val="17"/>
              </w:rPr>
            </w:pPr>
            <w:r>
              <w:rPr>
                <w:sz w:val="17"/>
              </w:rPr>
              <w:t>4820</w:t>
            </w:r>
          </w:p>
        </w:tc>
        <w:tc>
          <w:tcPr>
            <w:tcW w:w="780" w:type="dxa"/>
            <w:vAlign w:val="bottom"/>
          </w:tcPr>
          <w:p w:rsidR="00000000" w:rsidRDefault="00000000">
            <w:pPr>
              <w:tabs>
                <w:tab w:val="decimal" w:pos="453"/>
              </w:tabs>
              <w:spacing w:before="40" w:after="40" w:line="180" w:lineRule="exact"/>
              <w:rPr>
                <w:sz w:val="17"/>
              </w:rPr>
            </w:pPr>
            <w:r>
              <w:rPr>
                <w:sz w:val="17"/>
              </w:rPr>
              <w:t>14,6</w:t>
            </w:r>
          </w:p>
        </w:tc>
      </w:tr>
      <w:tr w:rsidR="00000000">
        <w:tblPrEx>
          <w:tblCellMar>
            <w:top w:w="0" w:type="dxa"/>
            <w:bottom w:w="0" w:type="dxa"/>
          </w:tblCellMar>
        </w:tblPrEx>
        <w:tc>
          <w:tcPr>
            <w:tcW w:w="1140" w:type="dxa"/>
          </w:tcPr>
          <w:p w:rsidR="00000000" w:rsidRDefault="00000000">
            <w:pPr>
              <w:spacing w:before="40" w:after="40" w:line="180" w:lineRule="exact"/>
              <w:rPr>
                <w:sz w:val="17"/>
              </w:rPr>
            </w:pPr>
            <w:r>
              <w:rPr>
                <w:sz w:val="17"/>
              </w:rPr>
              <w:t>40-44</w:t>
            </w:r>
          </w:p>
        </w:tc>
        <w:tc>
          <w:tcPr>
            <w:tcW w:w="779" w:type="dxa"/>
            <w:vAlign w:val="bottom"/>
          </w:tcPr>
          <w:p w:rsidR="00000000" w:rsidRDefault="00000000">
            <w:pPr>
              <w:tabs>
                <w:tab w:val="decimal" w:pos="453"/>
              </w:tabs>
              <w:spacing w:before="40" w:after="40" w:line="180" w:lineRule="exact"/>
              <w:rPr>
                <w:sz w:val="17"/>
              </w:rPr>
            </w:pPr>
            <w:r>
              <w:rPr>
                <w:sz w:val="17"/>
              </w:rPr>
              <w:t>400</w:t>
            </w:r>
          </w:p>
        </w:tc>
        <w:tc>
          <w:tcPr>
            <w:tcW w:w="778" w:type="dxa"/>
            <w:vAlign w:val="bottom"/>
          </w:tcPr>
          <w:p w:rsidR="00000000" w:rsidRDefault="00000000">
            <w:pPr>
              <w:tabs>
                <w:tab w:val="decimal" w:pos="453"/>
              </w:tabs>
              <w:spacing w:before="40" w:after="40" w:line="180" w:lineRule="exact"/>
              <w:rPr>
                <w:sz w:val="17"/>
              </w:rPr>
            </w:pPr>
            <w:r>
              <w:rPr>
                <w:sz w:val="17"/>
              </w:rPr>
              <w:t>1,2</w:t>
            </w:r>
          </w:p>
        </w:tc>
        <w:tc>
          <w:tcPr>
            <w:tcW w:w="778" w:type="dxa"/>
            <w:vAlign w:val="bottom"/>
          </w:tcPr>
          <w:p w:rsidR="00000000" w:rsidRDefault="00000000">
            <w:pPr>
              <w:tabs>
                <w:tab w:val="decimal" w:pos="453"/>
              </w:tabs>
              <w:spacing w:before="40" w:after="40" w:line="180" w:lineRule="exact"/>
              <w:rPr>
                <w:sz w:val="17"/>
              </w:rPr>
            </w:pPr>
            <w:r>
              <w:rPr>
                <w:sz w:val="17"/>
              </w:rPr>
              <w:t>5441</w:t>
            </w:r>
          </w:p>
        </w:tc>
        <w:tc>
          <w:tcPr>
            <w:tcW w:w="778" w:type="dxa"/>
            <w:vAlign w:val="bottom"/>
          </w:tcPr>
          <w:p w:rsidR="00000000" w:rsidRDefault="00000000">
            <w:pPr>
              <w:tabs>
                <w:tab w:val="decimal" w:pos="453"/>
              </w:tabs>
              <w:spacing w:before="40" w:after="40" w:line="180" w:lineRule="exact"/>
              <w:rPr>
                <w:sz w:val="17"/>
              </w:rPr>
            </w:pPr>
            <w:r>
              <w:rPr>
                <w:sz w:val="17"/>
              </w:rPr>
              <w:t>16,4</w:t>
            </w:r>
          </w:p>
        </w:tc>
        <w:tc>
          <w:tcPr>
            <w:tcW w:w="778" w:type="dxa"/>
            <w:vAlign w:val="bottom"/>
          </w:tcPr>
          <w:p w:rsidR="00000000" w:rsidRDefault="00000000">
            <w:pPr>
              <w:tabs>
                <w:tab w:val="decimal" w:pos="453"/>
              </w:tabs>
              <w:spacing w:before="40" w:after="40" w:line="180" w:lineRule="exact"/>
              <w:rPr>
                <w:sz w:val="17"/>
              </w:rPr>
            </w:pPr>
            <w:r>
              <w:rPr>
                <w:sz w:val="17"/>
              </w:rPr>
              <w:t>236</w:t>
            </w:r>
          </w:p>
        </w:tc>
        <w:tc>
          <w:tcPr>
            <w:tcW w:w="781" w:type="dxa"/>
            <w:vAlign w:val="bottom"/>
          </w:tcPr>
          <w:p w:rsidR="00000000" w:rsidRDefault="00000000">
            <w:pPr>
              <w:tabs>
                <w:tab w:val="decimal" w:pos="453"/>
              </w:tabs>
              <w:spacing w:before="40" w:after="40" w:line="180" w:lineRule="exact"/>
              <w:rPr>
                <w:sz w:val="17"/>
              </w:rPr>
            </w:pPr>
            <w:r>
              <w:rPr>
                <w:sz w:val="17"/>
              </w:rPr>
              <w:t>0,7</w:t>
            </w:r>
          </w:p>
        </w:tc>
        <w:tc>
          <w:tcPr>
            <w:tcW w:w="778" w:type="dxa"/>
            <w:vAlign w:val="bottom"/>
          </w:tcPr>
          <w:p w:rsidR="00000000" w:rsidRDefault="00000000">
            <w:pPr>
              <w:tabs>
                <w:tab w:val="decimal" w:pos="453"/>
              </w:tabs>
              <w:spacing w:before="40" w:after="40" w:line="180" w:lineRule="exact"/>
              <w:rPr>
                <w:sz w:val="17"/>
              </w:rPr>
            </w:pPr>
            <w:r>
              <w:rPr>
                <w:sz w:val="17"/>
              </w:rPr>
              <w:t>6077</w:t>
            </w:r>
          </w:p>
        </w:tc>
        <w:tc>
          <w:tcPr>
            <w:tcW w:w="780" w:type="dxa"/>
            <w:vAlign w:val="bottom"/>
          </w:tcPr>
          <w:p w:rsidR="00000000" w:rsidRDefault="00000000">
            <w:pPr>
              <w:tabs>
                <w:tab w:val="decimal" w:pos="453"/>
              </w:tabs>
              <w:spacing w:before="40" w:after="40" w:line="180" w:lineRule="exact"/>
              <w:rPr>
                <w:sz w:val="17"/>
              </w:rPr>
            </w:pPr>
            <w:r>
              <w:rPr>
                <w:sz w:val="17"/>
              </w:rPr>
              <w:t>18,4</w:t>
            </w:r>
          </w:p>
        </w:tc>
      </w:tr>
      <w:tr w:rsidR="00000000">
        <w:tblPrEx>
          <w:tblCellMar>
            <w:top w:w="0" w:type="dxa"/>
            <w:bottom w:w="0" w:type="dxa"/>
          </w:tblCellMar>
        </w:tblPrEx>
        <w:tc>
          <w:tcPr>
            <w:tcW w:w="1140" w:type="dxa"/>
          </w:tcPr>
          <w:p w:rsidR="00000000" w:rsidRDefault="00000000">
            <w:pPr>
              <w:spacing w:before="40" w:after="40" w:line="180" w:lineRule="exact"/>
              <w:rPr>
                <w:sz w:val="17"/>
              </w:rPr>
            </w:pPr>
            <w:r>
              <w:rPr>
                <w:sz w:val="17"/>
              </w:rPr>
              <w:t>45-49</w:t>
            </w:r>
          </w:p>
        </w:tc>
        <w:tc>
          <w:tcPr>
            <w:tcW w:w="779" w:type="dxa"/>
            <w:vAlign w:val="bottom"/>
          </w:tcPr>
          <w:p w:rsidR="00000000" w:rsidRDefault="00000000">
            <w:pPr>
              <w:tabs>
                <w:tab w:val="decimal" w:pos="453"/>
              </w:tabs>
              <w:spacing w:before="40" w:after="40" w:line="180" w:lineRule="exact"/>
              <w:rPr>
                <w:sz w:val="17"/>
              </w:rPr>
            </w:pPr>
            <w:r>
              <w:rPr>
                <w:sz w:val="17"/>
              </w:rPr>
              <w:t>404</w:t>
            </w:r>
          </w:p>
        </w:tc>
        <w:tc>
          <w:tcPr>
            <w:tcW w:w="778" w:type="dxa"/>
            <w:vAlign w:val="bottom"/>
          </w:tcPr>
          <w:p w:rsidR="00000000" w:rsidRDefault="00000000">
            <w:pPr>
              <w:tabs>
                <w:tab w:val="decimal" w:pos="453"/>
              </w:tabs>
              <w:spacing w:before="40" w:after="40" w:line="180" w:lineRule="exact"/>
              <w:rPr>
                <w:sz w:val="17"/>
              </w:rPr>
            </w:pPr>
            <w:r>
              <w:rPr>
                <w:sz w:val="17"/>
              </w:rPr>
              <w:t>1,2</w:t>
            </w:r>
          </w:p>
        </w:tc>
        <w:tc>
          <w:tcPr>
            <w:tcW w:w="778" w:type="dxa"/>
            <w:vAlign w:val="bottom"/>
          </w:tcPr>
          <w:p w:rsidR="00000000" w:rsidRDefault="00000000">
            <w:pPr>
              <w:tabs>
                <w:tab w:val="decimal" w:pos="453"/>
              </w:tabs>
              <w:spacing w:before="40" w:after="40" w:line="180" w:lineRule="exact"/>
              <w:rPr>
                <w:sz w:val="17"/>
              </w:rPr>
            </w:pPr>
            <w:r>
              <w:rPr>
                <w:sz w:val="17"/>
              </w:rPr>
              <w:t>4659</w:t>
            </w:r>
          </w:p>
        </w:tc>
        <w:tc>
          <w:tcPr>
            <w:tcW w:w="778" w:type="dxa"/>
            <w:vAlign w:val="bottom"/>
          </w:tcPr>
          <w:p w:rsidR="00000000" w:rsidRDefault="00000000">
            <w:pPr>
              <w:tabs>
                <w:tab w:val="decimal" w:pos="453"/>
              </w:tabs>
              <w:spacing w:before="40" w:after="40" w:line="180" w:lineRule="exact"/>
              <w:rPr>
                <w:sz w:val="17"/>
              </w:rPr>
            </w:pPr>
            <w:r>
              <w:rPr>
                <w:sz w:val="17"/>
              </w:rPr>
              <w:t>14,1</w:t>
            </w:r>
          </w:p>
        </w:tc>
        <w:tc>
          <w:tcPr>
            <w:tcW w:w="778" w:type="dxa"/>
            <w:vAlign w:val="bottom"/>
          </w:tcPr>
          <w:p w:rsidR="00000000" w:rsidRDefault="00000000">
            <w:pPr>
              <w:tabs>
                <w:tab w:val="decimal" w:pos="453"/>
              </w:tabs>
              <w:spacing w:before="40" w:after="40" w:line="180" w:lineRule="exact"/>
              <w:rPr>
                <w:sz w:val="17"/>
              </w:rPr>
            </w:pPr>
            <w:r>
              <w:rPr>
                <w:sz w:val="17"/>
              </w:rPr>
              <w:t>167</w:t>
            </w:r>
          </w:p>
        </w:tc>
        <w:tc>
          <w:tcPr>
            <w:tcW w:w="781" w:type="dxa"/>
            <w:vAlign w:val="bottom"/>
          </w:tcPr>
          <w:p w:rsidR="00000000" w:rsidRDefault="00000000">
            <w:pPr>
              <w:tabs>
                <w:tab w:val="decimal" w:pos="453"/>
              </w:tabs>
              <w:spacing w:before="40" w:after="40" w:line="180" w:lineRule="exact"/>
              <w:rPr>
                <w:sz w:val="17"/>
              </w:rPr>
            </w:pPr>
            <w:r>
              <w:rPr>
                <w:sz w:val="17"/>
              </w:rPr>
              <w:t>0,5</w:t>
            </w:r>
          </w:p>
        </w:tc>
        <w:tc>
          <w:tcPr>
            <w:tcW w:w="778" w:type="dxa"/>
            <w:vAlign w:val="bottom"/>
          </w:tcPr>
          <w:p w:rsidR="00000000" w:rsidRDefault="00000000">
            <w:pPr>
              <w:tabs>
                <w:tab w:val="decimal" w:pos="453"/>
              </w:tabs>
              <w:spacing w:before="40" w:after="40" w:line="180" w:lineRule="exact"/>
              <w:rPr>
                <w:sz w:val="17"/>
              </w:rPr>
            </w:pPr>
            <w:r>
              <w:rPr>
                <w:sz w:val="17"/>
              </w:rPr>
              <w:t>5230</w:t>
            </w:r>
          </w:p>
        </w:tc>
        <w:tc>
          <w:tcPr>
            <w:tcW w:w="780" w:type="dxa"/>
            <w:vAlign w:val="bottom"/>
          </w:tcPr>
          <w:p w:rsidR="00000000" w:rsidRDefault="00000000">
            <w:pPr>
              <w:tabs>
                <w:tab w:val="decimal" w:pos="453"/>
              </w:tabs>
              <w:spacing w:before="40" w:after="40" w:line="180" w:lineRule="exact"/>
              <w:rPr>
                <w:sz w:val="17"/>
              </w:rPr>
            </w:pPr>
            <w:r>
              <w:rPr>
                <w:sz w:val="17"/>
              </w:rPr>
              <w:t>15,8</w:t>
            </w:r>
          </w:p>
        </w:tc>
      </w:tr>
      <w:tr w:rsidR="00000000">
        <w:tblPrEx>
          <w:tblCellMar>
            <w:top w:w="0" w:type="dxa"/>
            <w:bottom w:w="0" w:type="dxa"/>
          </w:tblCellMar>
        </w:tblPrEx>
        <w:tc>
          <w:tcPr>
            <w:tcW w:w="1140" w:type="dxa"/>
          </w:tcPr>
          <w:p w:rsidR="00000000" w:rsidRDefault="00000000">
            <w:pPr>
              <w:spacing w:before="40" w:after="40" w:line="180" w:lineRule="exact"/>
              <w:rPr>
                <w:sz w:val="17"/>
              </w:rPr>
            </w:pPr>
            <w:r>
              <w:rPr>
                <w:sz w:val="17"/>
              </w:rPr>
              <w:t>50-54</w:t>
            </w:r>
          </w:p>
        </w:tc>
        <w:tc>
          <w:tcPr>
            <w:tcW w:w="779" w:type="dxa"/>
            <w:vAlign w:val="bottom"/>
          </w:tcPr>
          <w:p w:rsidR="00000000" w:rsidRDefault="00000000">
            <w:pPr>
              <w:tabs>
                <w:tab w:val="decimal" w:pos="453"/>
              </w:tabs>
              <w:spacing w:before="40" w:after="40" w:line="180" w:lineRule="exact"/>
              <w:rPr>
                <w:sz w:val="17"/>
              </w:rPr>
            </w:pPr>
            <w:r>
              <w:rPr>
                <w:sz w:val="17"/>
              </w:rPr>
              <w:t>197</w:t>
            </w:r>
          </w:p>
        </w:tc>
        <w:tc>
          <w:tcPr>
            <w:tcW w:w="778" w:type="dxa"/>
            <w:vAlign w:val="bottom"/>
          </w:tcPr>
          <w:p w:rsidR="00000000" w:rsidRDefault="00000000">
            <w:pPr>
              <w:tabs>
                <w:tab w:val="decimal" w:pos="453"/>
              </w:tabs>
              <w:spacing w:before="40" w:after="40" w:line="180" w:lineRule="exact"/>
              <w:rPr>
                <w:sz w:val="17"/>
              </w:rPr>
            </w:pPr>
            <w:r>
              <w:rPr>
                <w:sz w:val="17"/>
              </w:rPr>
              <w:t>0,6</w:t>
            </w:r>
          </w:p>
        </w:tc>
        <w:tc>
          <w:tcPr>
            <w:tcW w:w="778" w:type="dxa"/>
            <w:vAlign w:val="bottom"/>
          </w:tcPr>
          <w:p w:rsidR="00000000" w:rsidRDefault="00000000">
            <w:pPr>
              <w:tabs>
                <w:tab w:val="decimal" w:pos="453"/>
              </w:tabs>
              <w:spacing w:before="40" w:after="40" w:line="180" w:lineRule="exact"/>
              <w:rPr>
                <w:sz w:val="17"/>
              </w:rPr>
            </w:pPr>
            <w:r>
              <w:rPr>
                <w:sz w:val="17"/>
              </w:rPr>
              <w:t>3875</w:t>
            </w:r>
          </w:p>
        </w:tc>
        <w:tc>
          <w:tcPr>
            <w:tcW w:w="778" w:type="dxa"/>
            <w:vAlign w:val="bottom"/>
          </w:tcPr>
          <w:p w:rsidR="00000000" w:rsidRDefault="00000000">
            <w:pPr>
              <w:tabs>
                <w:tab w:val="decimal" w:pos="453"/>
              </w:tabs>
              <w:spacing w:before="40" w:after="40" w:line="180" w:lineRule="exact"/>
              <w:rPr>
                <w:sz w:val="17"/>
              </w:rPr>
            </w:pPr>
            <w:r>
              <w:rPr>
                <w:sz w:val="17"/>
              </w:rPr>
              <w:t>11,7</w:t>
            </w:r>
          </w:p>
        </w:tc>
        <w:tc>
          <w:tcPr>
            <w:tcW w:w="778" w:type="dxa"/>
            <w:vAlign w:val="bottom"/>
          </w:tcPr>
          <w:p w:rsidR="00000000" w:rsidRDefault="00000000">
            <w:pPr>
              <w:tabs>
                <w:tab w:val="decimal" w:pos="453"/>
              </w:tabs>
              <w:spacing w:before="40" w:after="40" w:line="180" w:lineRule="exact"/>
              <w:rPr>
                <w:sz w:val="17"/>
              </w:rPr>
            </w:pPr>
            <w:r>
              <w:rPr>
                <w:sz w:val="17"/>
              </w:rPr>
              <w:t>104</w:t>
            </w:r>
          </w:p>
        </w:tc>
        <w:tc>
          <w:tcPr>
            <w:tcW w:w="781" w:type="dxa"/>
            <w:vAlign w:val="bottom"/>
          </w:tcPr>
          <w:p w:rsidR="00000000" w:rsidRDefault="00000000">
            <w:pPr>
              <w:tabs>
                <w:tab w:val="decimal" w:pos="453"/>
              </w:tabs>
              <w:spacing w:before="40" w:after="40" w:line="180" w:lineRule="exact"/>
              <w:rPr>
                <w:sz w:val="17"/>
              </w:rPr>
            </w:pPr>
            <w:r>
              <w:rPr>
                <w:sz w:val="17"/>
              </w:rPr>
              <w:t>0,3</w:t>
            </w:r>
          </w:p>
        </w:tc>
        <w:tc>
          <w:tcPr>
            <w:tcW w:w="778" w:type="dxa"/>
            <w:vAlign w:val="bottom"/>
          </w:tcPr>
          <w:p w:rsidR="00000000" w:rsidRDefault="00000000">
            <w:pPr>
              <w:tabs>
                <w:tab w:val="decimal" w:pos="453"/>
              </w:tabs>
              <w:spacing w:before="40" w:after="40" w:line="180" w:lineRule="exact"/>
              <w:rPr>
                <w:sz w:val="17"/>
              </w:rPr>
            </w:pPr>
            <w:r>
              <w:rPr>
                <w:sz w:val="17"/>
              </w:rPr>
              <w:t>4176</w:t>
            </w:r>
          </w:p>
        </w:tc>
        <w:tc>
          <w:tcPr>
            <w:tcW w:w="780" w:type="dxa"/>
            <w:vAlign w:val="bottom"/>
          </w:tcPr>
          <w:p w:rsidR="00000000" w:rsidRDefault="00000000">
            <w:pPr>
              <w:tabs>
                <w:tab w:val="decimal" w:pos="453"/>
              </w:tabs>
              <w:spacing w:before="40" w:after="40" w:line="180" w:lineRule="exact"/>
              <w:rPr>
                <w:sz w:val="17"/>
              </w:rPr>
            </w:pPr>
            <w:r>
              <w:rPr>
                <w:sz w:val="17"/>
              </w:rPr>
              <w:t>12,6</w:t>
            </w:r>
          </w:p>
        </w:tc>
      </w:tr>
      <w:tr w:rsidR="00000000">
        <w:tblPrEx>
          <w:tblCellMar>
            <w:top w:w="0" w:type="dxa"/>
            <w:bottom w:w="0" w:type="dxa"/>
          </w:tblCellMar>
        </w:tblPrEx>
        <w:tc>
          <w:tcPr>
            <w:tcW w:w="1140" w:type="dxa"/>
          </w:tcPr>
          <w:p w:rsidR="00000000" w:rsidRDefault="00000000">
            <w:pPr>
              <w:spacing w:before="40" w:after="40" w:line="180" w:lineRule="exact"/>
              <w:rPr>
                <w:sz w:val="17"/>
              </w:rPr>
            </w:pPr>
            <w:r>
              <w:rPr>
                <w:sz w:val="17"/>
              </w:rPr>
              <w:t>55-59</w:t>
            </w:r>
          </w:p>
        </w:tc>
        <w:tc>
          <w:tcPr>
            <w:tcW w:w="779" w:type="dxa"/>
            <w:vAlign w:val="bottom"/>
          </w:tcPr>
          <w:p w:rsidR="00000000" w:rsidRDefault="00000000">
            <w:pPr>
              <w:tabs>
                <w:tab w:val="decimal" w:pos="453"/>
              </w:tabs>
              <w:spacing w:before="40" w:after="40" w:line="180" w:lineRule="exact"/>
              <w:rPr>
                <w:sz w:val="17"/>
              </w:rPr>
            </w:pPr>
            <w:r>
              <w:rPr>
                <w:sz w:val="17"/>
              </w:rPr>
              <w:t>100</w:t>
            </w:r>
          </w:p>
        </w:tc>
        <w:tc>
          <w:tcPr>
            <w:tcW w:w="778" w:type="dxa"/>
            <w:vAlign w:val="bottom"/>
          </w:tcPr>
          <w:p w:rsidR="00000000" w:rsidRDefault="00000000">
            <w:pPr>
              <w:tabs>
                <w:tab w:val="decimal" w:pos="453"/>
              </w:tabs>
              <w:spacing w:before="40" w:after="40" w:line="180" w:lineRule="exact"/>
              <w:rPr>
                <w:sz w:val="17"/>
              </w:rPr>
            </w:pPr>
            <w:r>
              <w:rPr>
                <w:sz w:val="17"/>
              </w:rPr>
              <w:t>0,3</w:t>
            </w:r>
          </w:p>
        </w:tc>
        <w:tc>
          <w:tcPr>
            <w:tcW w:w="778" w:type="dxa"/>
            <w:vAlign w:val="bottom"/>
          </w:tcPr>
          <w:p w:rsidR="00000000" w:rsidRDefault="00000000">
            <w:pPr>
              <w:tabs>
                <w:tab w:val="decimal" w:pos="453"/>
              </w:tabs>
              <w:spacing w:before="40" w:after="40" w:line="180" w:lineRule="exact"/>
              <w:rPr>
                <w:sz w:val="17"/>
              </w:rPr>
            </w:pPr>
            <w:r>
              <w:rPr>
                <w:sz w:val="17"/>
              </w:rPr>
              <w:t>2626</w:t>
            </w:r>
          </w:p>
        </w:tc>
        <w:tc>
          <w:tcPr>
            <w:tcW w:w="778" w:type="dxa"/>
            <w:vAlign w:val="bottom"/>
          </w:tcPr>
          <w:p w:rsidR="00000000" w:rsidRDefault="00000000">
            <w:pPr>
              <w:tabs>
                <w:tab w:val="decimal" w:pos="453"/>
              </w:tabs>
              <w:spacing w:before="40" w:after="40" w:line="180" w:lineRule="exact"/>
              <w:rPr>
                <w:sz w:val="17"/>
              </w:rPr>
            </w:pPr>
            <w:r>
              <w:rPr>
                <w:sz w:val="17"/>
              </w:rPr>
              <w:t>7,9</w:t>
            </w:r>
          </w:p>
        </w:tc>
        <w:tc>
          <w:tcPr>
            <w:tcW w:w="778" w:type="dxa"/>
            <w:vAlign w:val="bottom"/>
          </w:tcPr>
          <w:p w:rsidR="00000000" w:rsidRDefault="00000000">
            <w:pPr>
              <w:tabs>
                <w:tab w:val="decimal" w:pos="453"/>
              </w:tabs>
              <w:spacing w:before="40" w:after="40" w:line="180" w:lineRule="exact"/>
              <w:rPr>
                <w:sz w:val="17"/>
              </w:rPr>
            </w:pPr>
            <w:r>
              <w:rPr>
                <w:sz w:val="17"/>
              </w:rPr>
              <w:t>58</w:t>
            </w:r>
          </w:p>
        </w:tc>
        <w:tc>
          <w:tcPr>
            <w:tcW w:w="781" w:type="dxa"/>
            <w:vAlign w:val="bottom"/>
          </w:tcPr>
          <w:p w:rsidR="00000000" w:rsidRDefault="00000000">
            <w:pPr>
              <w:tabs>
                <w:tab w:val="decimal" w:pos="453"/>
              </w:tabs>
              <w:spacing w:before="40" w:after="40" w:line="180" w:lineRule="exact"/>
              <w:rPr>
                <w:sz w:val="17"/>
              </w:rPr>
            </w:pPr>
            <w:r>
              <w:rPr>
                <w:sz w:val="17"/>
              </w:rPr>
              <w:t>0,2</w:t>
            </w:r>
          </w:p>
        </w:tc>
        <w:tc>
          <w:tcPr>
            <w:tcW w:w="778" w:type="dxa"/>
            <w:vAlign w:val="bottom"/>
          </w:tcPr>
          <w:p w:rsidR="00000000" w:rsidRDefault="00000000">
            <w:pPr>
              <w:tabs>
                <w:tab w:val="decimal" w:pos="453"/>
              </w:tabs>
              <w:spacing w:before="40" w:after="40" w:line="180" w:lineRule="exact"/>
              <w:rPr>
                <w:sz w:val="17"/>
              </w:rPr>
            </w:pPr>
            <w:r>
              <w:rPr>
                <w:sz w:val="17"/>
              </w:rPr>
              <w:t>2784</w:t>
            </w:r>
          </w:p>
        </w:tc>
        <w:tc>
          <w:tcPr>
            <w:tcW w:w="780" w:type="dxa"/>
            <w:vAlign w:val="bottom"/>
          </w:tcPr>
          <w:p w:rsidR="00000000" w:rsidRDefault="00000000">
            <w:pPr>
              <w:tabs>
                <w:tab w:val="decimal" w:pos="453"/>
              </w:tabs>
              <w:spacing w:before="40" w:after="40" w:line="180" w:lineRule="exact"/>
              <w:rPr>
                <w:sz w:val="17"/>
              </w:rPr>
            </w:pPr>
            <w:r>
              <w:rPr>
                <w:sz w:val="17"/>
              </w:rPr>
              <w:t>8,4</w:t>
            </w:r>
          </w:p>
        </w:tc>
      </w:tr>
      <w:tr w:rsidR="00000000">
        <w:tblPrEx>
          <w:tblCellMar>
            <w:top w:w="0" w:type="dxa"/>
            <w:bottom w:w="0" w:type="dxa"/>
          </w:tblCellMar>
        </w:tblPrEx>
        <w:tc>
          <w:tcPr>
            <w:tcW w:w="1140" w:type="dxa"/>
          </w:tcPr>
          <w:p w:rsidR="00000000" w:rsidRDefault="00000000">
            <w:pPr>
              <w:spacing w:before="40" w:after="40" w:line="180" w:lineRule="exact"/>
              <w:rPr>
                <w:sz w:val="17"/>
              </w:rPr>
            </w:pPr>
            <w:r>
              <w:rPr>
                <w:sz w:val="17"/>
              </w:rPr>
              <w:t>60 лет и ста</w:t>
            </w:r>
            <w:r>
              <w:rPr>
                <w:sz w:val="17"/>
              </w:rPr>
              <w:t>р</w:t>
            </w:r>
            <w:r>
              <w:rPr>
                <w:sz w:val="17"/>
              </w:rPr>
              <w:t>ше</w:t>
            </w:r>
          </w:p>
        </w:tc>
        <w:tc>
          <w:tcPr>
            <w:tcW w:w="779" w:type="dxa"/>
            <w:vAlign w:val="bottom"/>
          </w:tcPr>
          <w:p w:rsidR="00000000" w:rsidRDefault="00000000">
            <w:pPr>
              <w:tabs>
                <w:tab w:val="decimal" w:pos="453"/>
              </w:tabs>
              <w:spacing w:before="40" w:after="40" w:line="180" w:lineRule="exact"/>
              <w:rPr>
                <w:sz w:val="17"/>
              </w:rPr>
            </w:pPr>
            <w:r>
              <w:rPr>
                <w:sz w:val="17"/>
              </w:rPr>
              <w:t>81</w:t>
            </w:r>
          </w:p>
        </w:tc>
        <w:tc>
          <w:tcPr>
            <w:tcW w:w="778" w:type="dxa"/>
            <w:vAlign w:val="bottom"/>
          </w:tcPr>
          <w:p w:rsidR="00000000" w:rsidRDefault="00000000">
            <w:pPr>
              <w:tabs>
                <w:tab w:val="decimal" w:pos="453"/>
              </w:tabs>
              <w:spacing w:before="40" w:after="40" w:line="180" w:lineRule="exact"/>
              <w:rPr>
                <w:sz w:val="17"/>
              </w:rPr>
            </w:pPr>
            <w:r>
              <w:rPr>
                <w:sz w:val="17"/>
              </w:rPr>
              <w:t>0,2</w:t>
            </w:r>
          </w:p>
        </w:tc>
        <w:tc>
          <w:tcPr>
            <w:tcW w:w="778" w:type="dxa"/>
            <w:vAlign w:val="bottom"/>
          </w:tcPr>
          <w:p w:rsidR="00000000" w:rsidRDefault="00000000">
            <w:pPr>
              <w:tabs>
                <w:tab w:val="decimal" w:pos="453"/>
              </w:tabs>
              <w:spacing w:before="40" w:after="40" w:line="180" w:lineRule="exact"/>
              <w:rPr>
                <w:sz w:val="17"/>
              </w:rPr>
            </w:pPr>
            <w:r>
              <w:rPr>
                <w:sz w:val="17"/>
              </w:rPr>
              <w:t>2106</w:t>
            </w:r>
          </w:p>
        </w:tc>
        <w:tc>
          <w:tcPr>
            <w:tcW w:w="778" w:type="dxa"/>
            <w:vAlign w:val="bottom"/>
          </w:tcPr>
          <w:p w:rsidR="00000000" w:rsidRDefault="00000000">
            <w:pPr>
              <w:tabs>
                <w:tab w:val="decimal" w:pos="453"/>
              </w:tabs>
              <w:spacing w:before="40" w:after="40" w:line="180" w:lineRule="exact"/>
              <w:rPr>
                <w:sz w:val="17"/>
              </w:rPr>
            </w:pPr>
            <w:r>
              <w:rPr>
                <w:sz w:val="17"/>
              </w:rPr>
              <w:t>6,4</w:t>
            </w:r>
          </w:p>
        </w:tc>
        <w:tc>
          <w:tcPr>
            <w:tcW w:w="778" w:type="dxa"/>
            <w:vAlign w:val="bottom"/>
          </w:tcPr>
          <w:p w:rsidR="00000000" w:rsidRDefault="00000000">
            <w:pPr>
              <w:pStyle w:val="Header"/>
              <w:tabs>
                <w:tab w:val="clear" w:pos="4320"/>
                <w:tab w:val="clear" w:pos="8640"/>
                <w:tab w:val="decimal" w:pos="453"/>
              </w:tabs>
              <w:spacing w:before="40" w:after="40" w:line="180" w:lineRule="exact"/>
              <w:rPr>
                <w:noProof w:val="0"/>
                <w:spacing w:val="4"/>
                <w:w w:val="103"/>
                <w:kern w:val="14"/>
              </w:rPr>
            </w:pPr>
            <w:r>
              <w:rPr>
                <w:noProof w:val="0"/>
                <w:spacing w:val="4"/>
                <w:w w:val="103"/>
                <w:kern w:val="14"/>
              </w:rPr>
              <w:t>24</w:t>
            </w:r>
          </w:p>
        </w:tc>
        <w:tc>
          <w:tcPr>
            <w:tcW w:w="781" w:type="dxa"/>
            <w:vAlign w:val="bottom"/>
          </w:tcPr>
          <w:p w:rsidR="00000000" w:rsidRDefault="00000000">
            <w:pPr>
              <w:tabs>
                <w:tab w:val="decimal" w:pos="453"/>
              </w:tabs>
              <w:spacing w:before="40" w:after="40" w:line="180" w:lineRule="exact"/>
              <w:rPr>
                <w:sz w:val="17"/>
              </w:rPr>
            </w:pPr>
            <w:r>
              <w:rPr>
                <w:sz w:val="17"/>
              </w:rPr>
              <w:t>0,1</w:t>
            </w:r>
          </w:p>
        </w:tc>
        <w:tc>
          <w:tcPr>
            <w:tcW w:w="778" w:type="dxa"/>
            <w:vAlign w:val="bottom"/>
          </w:tcPr>
          <w:p w:rsidR="00000000" w:rsidRDefault="00000000">
            <w:pPr>
              <w:tabs>
                <w:tab w:val="decimal" w:pos="453"/>
              </w:tabs>
              <w:spacing w:before="40" w:after="40" w:line="180" w:lineRule="exact"/>
              <w:rPr>
                <w:sz w:val="17"/>
              </w:rPr>
            </w:pPr>
            <w:r>
              <w:rPr>
                <w:sz w:val="17"/>
              </w:rPr>
              <w:t>2211</w:t>
            </w:r>
          </w:p>
        </w:tc>
        <w:tc>
          <w:tcPr>
            <w:tcW w:w="780" w:type="dxa"/>
            <w:vAlign w:val="bottom"/>
          </w:tcPr>
          <w:p w:rsidR="00000000" w:rsidRDefault="00000000">
            <w:pPr>
              <w:tabs>
                <w:tab w:val="decimal" w:pos="453"/>
              </w:tabs>
              <w:spacing w:before="40" w:after="40" w:line="180" w:lineRule="exact"/>
              <w:rPr>
                <w:sz w:val="17"/>
              </w:rPr>
            </w:pPr>
            <w:r>
              <w:rPr>
                <w:sz w:val="17"/>
              </w:rPr>
              <w:t>6,7</w:t>
            </w:r>
          </w:p>
        </w:tc>
      </w:tr>
      <w:tr w:rsidR="00000000">
        <w:tblPrEx>
          <w:tblCellMar>
            <w:top w:w="0" w:type="dxa"/>
            <w:bottom w:w="0" w:type="dxa"/>
          </w:tblCellMar>
        </w:tblPrEx>
        <w:tc>
          <w:tcPr>
            <w:tcW w:w="1140" w:type="dxa"/>
          </w:tcPr>
          <w:p w:rsidR="00000000" w:rsidRDefault="00000000">
            <w:pPr>
              <w:spacing w:before="40" w:after="40" w:line="180" w:lineRule="exact"/>
              <w:rPr>
                <w:sz w:val="17"/>
              </w:rPr>
            </w:pPr>
            <w:r>
              <w:rPr>
                <w:sz w:val="17"/>
              </w:rPr>
              <w:t>Не указано</w:t>
            </w:r>
          </w:p>
        </w:tc>
        <w:tc>
          <w:tcPr>
            <w:tcW w:w="779" w:type="dxa"/>
            <w:vAlign w:val="bottom"/>
          </w:tcPr>
          <w:p w:rsidR="00000000" w:rsidRDefault="00000000">
            <w:pPr>
              <w:tabs>
                <w:tab w:val="decimal" w:pos="453"/>
              </w:tabs>
              <w:spacing w:before="40" w:after="40" w:line="180" w:lineRule="exact"/>
              <w:rPr>
                <w:sz w:val="17"/>
              </w:rPr>
            </w:pPr>
            <w:r>
              <w:rPr>
                <w:sz w:val="17"/>
              </w:rPr>
              <w:t>6</w:t>
            </w:r>
          </w:p>
        </w:tc>
        <w:tc>
          <w:tcPr>
            <w:tcW w:w="778" w:type="dxa"/>
            <w:vAlign w:val="bottom"/>
          </w:tcPr>
          <w:p w:rsidR="00000000" w:rsidRDefault="00000000">
            <w:pPr>
              <w:tabs>
                <w:tab w:val="decimal" w:pos="453"/>
              </w:tabs>
              <w:spacing w:before="40" w:after="40" w:line="180" w:lineRule="exact"/>
              <w:rPr>
                <w:sz w:val="17"/>
              </w:rPr>
            </w:pPr>
            <w:r>
              <w:rPr>
                <w:sz w:val="17"/>
              </w:rPr>
              <w:t>0,0</w:t>
            </w:r>
          </w:p>
        </w:tc>
        <w:tc>
          <w:tcPr>
            <w:tcW w:w="778" w:type="dxa"/>
            <w:vAlign w:val="bottom"/>
          </w:tcPr>
          <w:p w:rsidR="00000000" w:rsidRDefault="00000000">
            <w:pPr>
              <w:tabs>
                <w:tab w:val="decimal" w:pos="453"/>
              </w:tabs>
              <w:spacing w:before="40" w:after="40" w:line="180" w:lineRule="exact"/>
              <w:rPr>
                <w:sz w:val="17"/>
              </w:rPr>
            </w:pPr>
            <w:r>
              <w:rPr>
                <w:sz w:val="17"/>
              </w:rPr>
              <w:t>262</w:t>
            </w:r>
          </w:p>
        </w:tc>
        <w:tc>
          <w:tcPr>
            <w:tcW w:w="778" w:type="dxa"/>
            <w:vAlign w:val="bottom"/>
          </w:tcPr>
          <w:p w:rsidR="00000000" w:rsidRDefault="00000000">
            <w:pPr>
              <w:tabs>
                <w:tab w:val="decimal" w:pos="453"/>
              </w:tabs>
              <w:spacing w:before="40" w:after="40" w:line="180" w:lineRule="exact"/>
              <w:rPr>
                <w:sz w:val="17"/>
              </w:rPr>
            </w:pPr>
            <w:r>
              <w:rPr>
                <w:sz w:val="17"/>
              </w:rPr>
              <w:t>0,8</w:t>
            </w:r>
          </w:p>
        </w:tc>
        <w:tc>
          <w:tcPr>
            <w:tcW w:w="778" w:type="dxa"/>
            <w:vAlign w:val="bottom"/>
          </w:tcPr>
          <w:p w:rsidR="00000000" w:rsidRDefault="00000000">
            <w:pPr>
              <w:tabs>
                <w:tab w:val="decimal" w:pos="453"/>
              </w:tabs>
              <w:spacing w:before="40" w:after="40" w:line="180" w:lineRule="exact"/>
              <w:rPr>
                <w:sz w:val="17"/>
              </w:rPr>
            </w:pPr>
            <w:r>
              <w:rPr>
                <w:sz w:val="17"/>
              </w:rPr>
              <w:t>2</w:t>
            </w:r>
          </w:p>
        </w:tc>
        <w:tc>
          <w:tcPr>
            <w:tcW w:w="781" w:type="dxa"/>
            <w:vAlign w:val="bottom"/>
          </w:tcPr>
          <w:p w:rsidR="00000000" w:rsidRDefault="00000000">
            <w:pPr>
              <w:tabs>
                <w:tab w:val="decimal" w:pos="453"/>
              </w:tabs>
              <w:spacing w:before="40" w:after="40" w:line="180" w:lineRule="exact"/>
              <w:rPr>
                <w:sz w:val="17"/>
              </w:rPr>
            </w:pPr>
            <w:r>
              <w:rPr>
                <w:sz w:val="17"/>
              </w:rPr>
              <w:t>0,0</w:t>
            </w:r>
          </w:p>
        </w:tc>
        <w:tc>
          <w:tcPr>
            <w:tcW w:w="778" w:type="dxa"/>
            <w:vAlign w:val="bottom"/>
          </w:tcPr>
          <w:p w:rsidR="00000000" w:rsidRDefault="00000000">
            <w:pPr>
              <w:tabs>
                <w:tab w:val="decimal" w:pos="453"/>
              </w:tabs>
              <w:spacing w:before="40" w:after="40" w:line="180" w:lineRule="exact"/>
              <w:rPr>
                <w:sz w:val="17"/>
              </w:rPr>
            </w:pPr>
            <w:r>
              <w:rPr>
                <w:sz w:val="17"/>
              </w:rPr>
              <w:t>270</w:t>
            </w:r>
          </w:p>
        </w:tc>
        <w:tc>
          <w:tcPr>
            <w:tcW w:w="780" w:type="dxa"/>
            <w:vAlign w:val="bottom"/>
          </w:tcPr>
          <w:p w:rsidR="00000000" w:rsidRDefault="00000000">
            <w:pPr>
              <w:tabs>
                <w:tab w:val="decimal" w:pos="453"/>
              </w:tabs>
              <w:spacing w:before="40" w:after="40" w:line="180" w:lineRule="exact"/>
              <w:rPr>
                <w:sz w:val="17"/>
              </w:rPr>
            </w:pPr>
            <w:r>
              <w:rPr>
                <w:sz w:val="17"/>
              </w:rPr>
              <w:t>0,8</w:t>
            </w:r>
          </w:p>
        </w:tc>
      </w:tr>
      <w:tr w:rsidR="00000000">
        <w:tblPrEx>
          <w:tblCellMar>
            <w:top w:w="0" w:type="dxa"/>
            <w:bottom w:w="0" w:type="dxa"/>
          </w:tblCellMar>
        </w:tblPrEx>
        <w:tc>
          <w:tcPr>
            <w:tcW w:w="1140" w:type="dxa"/>
            <w:tcBorders>
              <w:bottom w:val="single" w:sz="12" w:space="0" w:color="auto"/>
            </w:tcBorders>
          </w:tcPr>
          <w:p w:rsidR="00000000" w:rsidRDefault="00000000">
            <w:pPr>
              <w:spacing w:before="40" w:after="40" w:line="180" w:lineRule="exact"/>
              <w:rPr>
                <w:b/>
                <w:sz w:val="17"/>
              </w:rPr>
            </w:pPr>
            <w:r>
              <w:rPr>
                <w:b/>
                <w:sz w:val="17"/>
              </w:rPr>
              <w:t>Всего</w:t>
            </w:r>
          </w:p>
        </w:tc>
        <w:tc>
          <w:tcPr>
            <w:tcW w:w="779" w:type="dxa"/>
            <w:tcBorders>
              <w:bottom w:val="single" w:sz="12" w:space="0" w:color="auto"/>
            </w:tcBorders>
            <w:vAlign w:val="bottom"/>
          </w:tcPr>
          <w:p w:rsidR="00000000" w:rsidRDefault="00000000">
            <w:pPr>
              <w:tabs>
                <w:tab w:val="decimal" w:pos="453"/>
              </w:tabs>
              <w:spacing w:before="40" w:after="40" w:line="180" w:lineRule="exact"/>
              <w:rPr>
                <w:b/>
                <w:sz w:val="17"/>
              </w:rPr>
            </w:pPr>
            <w:r>
              <w:rPr>
                <w:b/>
                <w:sz w:val="17"/>
              </w:rPr>
              <w:t>2011</w:t>
            </w:r>
          </w:p>
        </w:tc>
        <w:tc>
          <w:tcPr>
            <w:tcW w:w="778" w:type="dxa"/>
            <w:tcBorders>
              <w:bottom w:val="single" w:sz="12" w:space="0" w:color="auto"/>
            </w:tcBorders>
            <w:vAlign w:val="bottom"/>
          </w:tcPr>
          <w:p w:rsidR="00000000" w:rsidRDefault="00000000">
            <w:pPr>
              <w:tabs>
                <w:tab w:val="decimal" w:pos="453"/>
              </w:tabs>
              <w:spacing w:before="40" w:after="40" w:line="180" w:lineRule="exact"/>
              <w:rPr>
                <w:b/>
                <w:sz w:val="17"/>
              </w:rPr>
            </w:pPr>
            <w:r>
              <w:rPr>
                <w:b/>
                <w:sz w:val="17"/>
              </w:rPr>
              <w:t>6,1</w:t>
            </w:r>
          </w:p>
        </w:tc>
        <w:tc>
          <w:tcPr>
            <w:tcW w:w="778" w:type="dxa"/>
            <w:tcBorders>
              <w:bottom w:val="single" w:sz="12" w:space="0" w:color="auto"/>
            </w:tcBorders>
            <w:vAlign w:val="bottom"/>
          </w:tcPr>
          <w:p w:rsidR="00000000" w:rsidRDefault="00000000">
            <w:pPr>
              <w:tabs>
                <w:tab w:val="decimal" w:pos="453"/>
              </w:tabs>
              <w:spacing w:before="40" w:after="40" w:line="180" w:lineRule="exact"/>
              <w:rPr>
                <w:b/>
                <w:sz w:val="17"/>
              </w:rPr>
            </w:pPr>
            <w:r>
              <w:rPr>
                <w:b/>
                <w:sz w:val="17"/>
              </w:rPr>
              <w:t>29840</w:t>
            </w:r>
          </w:p>
        </w:tc>
        <w:tc>
          <w:tcPr>
            <w:tcW w:w="778" w:type="dxa"/>
            <w:tcBorders>
              <w:bottom w:val="single" w:sz="12" w:space="0" w:color="auto"/>
            </w:tcBorders>
            <w:vAlign w:val="bottom"/>
          </w:tcPr>
          <w:p w:rsidR="00000000" w:rsidRDefault="00000000">
            <w:pPr>
              <w:tabs>
                <w:tab w:val="decimal" w:pos="453"/>
              </w:tabs>
              <w:spacing w:before="40" w:after="40" w:line="180" w:lineRule="exact"/>
              <w:rPr>
                <w:b/>
                <w:sz w:val="17"/>
              </w:rPr>
            </w:pPr>
            <w:r>
              <w:rPr>
                <w:b/>
                <w:sz w:val="17"/>
              </w:rPr>
              <w:t>90,2</w:t>
            </w:r>
          </w:p>
        </w:tc>
        <w:tc>
          <w:tcPr>
            <w:tcW w:w="778" w:type="dxa"/>
            <w:tcBorders>
              <w:bottom w:val="single" w:sz="12" w:space="0" w:color="auto"/>
            </w:tcBorders>
            <w:vAlign w:val="bottom"/>
          </w:tcPr>
          <w:p w:rsidR="00000000" w:rsidRDefault="00000000">
            <w:pPr>
              <w:tabs>
                <w:tab w:val="decimal" w:pos="453"/>
              </w:tabs>
              <w:spacing w:before="40" w:after="40" w:line="180" w:lineRule="exact"/>
              <w:rPr>
                <w:b/>
                <w:sz w:val="17"/>
              </w:rPr>
            </w:pPr>
            <w:r>
              <w:rPr>
                <w:b/>
                <w:sz w:val="17"/>
              </w:rPr>
              <w:t>1227</w:t>
            </w:r>
          </w:p>
        </w:tc>
        <w:tc>
          <w:tcPr>
            <w:tcW w:w="781" w:type="dxa"/>
            <w:tcBorders>
              <w:bottom w:val="single" w:sz="12" w:space="0" w:color="auto"/>
            </w:tcBorders>
            <w:vAlign w:val="bottom"/>
          </w:tcPr>
          <w:p w:rsidR="00000000" w:rsidRDefault="00000000">
            <w:pPr>
              <w:tabs>
                <w:tab w:val="decimal" w:pos="453"/>
              </w:tabs>
              <w:spacing w:before="40" w:after="40" w:line="180" w:lineRule="exact"/>
              <w:rPr>
                <w:b/>
                <w:sz w:val="17"/>
              </w:rPr>
            </w:pPr>
            <w:r>
              <w:rPr>
                <w:b/>
                <w:sz w:val="17"/>
              </w:rPr>
              <w:t>3,7</w:t>
            </w:r>
          </w:p>
        </w:tc>
        <w:tc>
          <w:tcPr>
            <w:tcW w:w="778" w:type="dxa"/>
            <w:tcBorders>
              <w:bottom w:val="single" w:sz="12" w:space="0" w:color="auto"/>
            </w:tcBorders>
            <w:vAlign w:val="bottom"/>
          </w:tcPr>
          <w:p w:rsidR="00000000" w:rsidRDefault="00000000">
            <w:pPr>
              <w:tabs>
                <w:tab w:val="decimal" w:pos="453"/>
              </w:tabs>
              <w:spacing w:before="40" w:after="40" w:line="180" w:lineRule="exact"/>
              <w:rPr>
                <w:b/>
                <w:sz w:val="17"/>
              </w:rPr>
            </w:pPr>
            <w:r>
              <w:rPr>
                <w:b/>
                <w:sz w:val="17"/>
              </w:rPr>
              <w:t>33078</w:t>
            </w:r>
          </w:p>
        </w:tc>
        <w:tc>
          <w:tcPr>
            <w:tcW w:w="780" w:type="dxa"/>
            <w:tcBorders>
              <w:bottom w:val="single" w:sz="12" w:space="0" w:color="auto"/>
            </w:tcBorders>
            <w:vAlign w:val="bottom"/>
          </w:tcPr>
          <w:p w:rsidR="00000000" w:rsidRDefault="00000000">
            <w:pPr>
              <w:tabs>
                <w:tab w:val="decimal" w:pos="453"/>
              </w:tabs>
              <w:spacing w:before="40" w:after="40" w:line="180" w:lineRule="exact"/>
              <w:rPr>
                <w:b/>
                <w:sz w:val="17"/>
              </w:rPr>
            </w:pPr>
            <w:r>
              <w:rPr>
                <w:b/>
                <w:sz w:val="17"/>
              </w:rPr>
              <w:t>100,0</w:t>
            </w:r>
          </w:p>
        </w:tc>
      </w:tr>
    </w:tbl>
    <w:p w:rsidR="00000000" w:rsidRDefault="00000000">
      <w:pPr>
        <w:pStyle w:val="SingleTxt"/>
        <w:ind w:firstLine="0"/>
      </w:pPr>
      <w:r>
        <w:rPr>
          <w:i/>
        </w:rPr>
        <w:t>Источник</w:t>
      </w:r>
      <w:r>
        <w:t>: Совет по делам среднего медицинского персонала Новой Зеландии, 2002 год.</w:t>
      </w:r>
    </w:p>
    <w:p w:rsidR="00000000" w:rsidRDefault="00000000">
      <w:pPr>
        <w:pStyle w:val="SingleTxt"/>
      </w:pPr>
      <w:r>
        <w:t>Первичные услуги в связи с беременностью и родами основываются на предоставлении женщинам широкого выбора в вопросах дородового и посл</w:t>
      </w:r>
      <w:r>
        <w:t>е</w:t>
      </w:r>
      <w:r>
        <w:t>родового обслуживания. В основе этой модели лежат отношения сотрудничес</w:t>
      </w:r>
      <w:r>
        <w:t>т</w:t>
      </w:r>
      <w:r>
        <w:t>ва между практикующими врачами и женщинами. Правительство будет обесп</w:t>
      </w:r>
      <w:r>
        <w:t>е</w:t>
      </w:r>
      <w:r>
        <w:t>чивать, чтобы у женщин был выбор индивидуального ведущего специалиста по оказанию помощи в связи с беременностью и родами, однако у них нет права на выбор конкретного вида практикующего врача. Ведущими специалистами по оказанию помощи в связи с беременностью и родами могут быть три кат</w:t>
      </w:r>
      <w:r>
        <w:t>е</w:t>
      </w:r>
      <w:r>
        <w:t>гории практикующих врачей — акушеры-гинекологи, врачи общей практики и традиционные акушерки, и все они обладают равным правом на оказание у</w:t>
      </w:r>
      <w:r>
        <w:t>с</w:t>
      </w:r>
      <w:r>
        <w:t>луг.</w:t>
      </w:r>
    </w:p>
    <w:p w:rsidR="00000000" w:rsidRDefault="00000000">
      <w:pPr>
        <w:pStyle w:val="SingleTxt"/>
      </w:pPr>
      <w:r>
        <w:t>Для оказания первичных услуг в связи с беременностью и родами необх</w:t>
      </w:r>
      <w:r>
        <w:t>о</w:t>
      </w:r>
      <w:r>
        <w:t>димо, чтобы ведущие специалисты по оказанию помощи брали на себя перед женщинами обязательство с учетом всех соответствующих обстоятельств пр</w:t>
      </w:r>
      <w:r>
        <w:t>и</w:t>
      </w:r>
      <w:r>
        <w:t>сутствовать при родах. Это имеет важное значение для обеспечения качестве</w:t>
      </w:r>
      <w:r>
        <w:t>н</w:t>
      </w:r>
      <w:r>
        <w:t>ного обслуживания. Многие врачи общей практики не в состоянии выполнить это условие из-за характера их работы, не связанной с оказанием помощи в связи с беременностью и родами, и поэтому им приходится отказываться от оказания услуг в этой сфере.</w:t>
      </w:r>
    </w:p>
    <w:p w:rsidR="00000000" w:rsidRDefault="00000000">
      <w:pPr>
        <w:pStyle w:val="H23"/>
      </w:pPr>
      <w:r>
        <w:t>Врачи</w:t>
      </w:r>
    </w:p>
    <w:p w:rsidR="00000000" w:rsidRDefault="00000000">
      <w:pPr>
        <w:pStyle w:val="SingleTxt"/>
      </w:pPr>
      <w:r>
        <w:t>Многие женщины становятся врачами. Поскольку доля женщин, учас</w:t>
      </w:r>
      <w:r>
        <w:t>т</w:t>
      </w:r>
      <w:r>
        <w:t>вующих в трудовой деятельности в качестве врачей, ниже по сравнению с му</w:t>
      </w:r>
      <w:r>
        <w:t>ж</w:t>
      </w:r>
      <w:r>
        <w:t>чинами</w:t>
      </w:r>
      <w:r>
        <w:rPr>
          <w:rStyle w:val="FootnoteReference"/>
        </w:rPr>
        <w:footnoteReference w:customMarkFollows="1" w:id="47"/>
        <w:t>45</w:t>
      </w:r>
      <w:r>
        <w:t>, это необходимо учитывать при сопоставлении числа практикующих врачей в расчете на численность населения за определенные временные пери</w:t>
      </w:r>
      <w:r>
        <w:t>о</w:t>
      </w:r>
      <w:r>
        <w:t>ды. Хотя количество врачей в расчете на численность населения возрастает, большее число таких врачей работают неполный рабочий день и на протяжении более короткого срока в своей трудовой жизни.</w:t>
      </w:r>
    </w:p>
    <w:p w:rsidR="00000000" w:rsidRDefault="00000000">
      <w:pPr>
        <w:pStyle w:val="SingleTxt"/>
      </w:pPr>
      <w:r>
        <w:t>Большое число женщин начали заниматься медицинской деятельностью в 70-е годы, и к 1991 году доля женщин, получивших соответствующую подг</w:t>
      </w:r>
      <w:r>
        <w:t>о</w:t>
      </w:r>
      <w:r>
        <w:t>товку, была такая же, как и у мужчин. Растущая доля женщин среди медици</w:t>
      </w:r>
      <w:r>
        <w:t>н</w:t>
      </w:r>
      <w:r>
        <w:t>ских работников является самым крупным изменением, характеризующим тр</w:t>
      </w:r>
      <w:r>
        <w:t>у</w:t>
      </w:r>
      <w:r>
        <w:t>довые ресурсы в сфере здравоохранения в последние годы: эта доля увелич</w:t>
      </w:r>
      <w:r>
        <w:t>и</w:t>
      </w:r>
      <w:r>
        <w:t>лась с 24 процентов в 1990 году до 32,6 процента в 2000 году.</w:t>
      </w:r>
      <w:r>
        <w:rPr>
          <w:rStyle w:val="FootnoteReference"/>
        </w:rPr>
        <w:footnoteReference w:customMarkFollows="1" w:id="48"/>
        <w:t>46 </w:t>
      </w:r>
      <w:r>
        <w:t>Поскольку н</w:t>
      </w:r>
      <w:r>
        <w:t>ы</w:t>
      </w:r>
      <w:r>
        <w:t>нешняя тенденция, свидетельствующая о том, что равное число женщин и мужчин получают медицинское образование, как ожидается, сохранится, через 30 лет число мужчин и женщин в трудовых ресурсах в этой сфере будет пр</w:t>
      </w:r>
      <w:r>
        <w:t>и</w:t>
      </w:r>
      <w:r>
        <w:t>мерно одинаковым.</w:t>
      </w:r>
    </w:p>
    <w:p w:rsidR="00000000" w:rsidRDefault="00000000">
      <w:pPr>
        <w:pStyle w:val="H23"/>
      </w:pPr>
      <w:r>
        <w:t>Инвалидность</w:t>
      </w:r>
    </w:p>
    <w:p w:rsidR="00000000" w:rsidRDefault="00000000">
      <w:pPr>
        <w:pStyle w:val="SingleTxt"/>
      </w:pPr>
      <w:r>
        <w:t>Большую часть оплачиваемых и неоплачиваемых работников по оказанию помощи инвалидам составляют женщины. Как правило, работники, оказыва</w:t>
      </w:r>
      <w:r>
        <w:t>ю</w:t>
      </w:r>
      <w:r>
        <w:t>щие помощь инвалидам, сталкиваются с серьезными проблемами, и некоторые из этих проблем решаются министерством здравоохранения как в краткосро</w:t>
      </w:r>
      <w:r>
        <w:t>ч</w:t>
      </w:r>
      <w:r>
        <w:t>ной, так и в долгосрочной перспективе.</w:t>
      </w:r>
    </w:p>
    <w:p w:rsidR="00000000" w:rsidRDefault="00000000">
      <w:pPr>
        <w:pStyle w:val="H4"/>
      </w:pPr>
      <w:r>
        <w:t>Воздействие рамочной программы по оказанию помощи инвалидам</w:t>
      </w:r>
    </w:p>
    <w:p w:rsidR="00000000" w:rsidRDefault="00000000">
      <w:pPr>
        <w:pStyle w:val="SingleTxt"/>
      </w:pPr>
      <w:r>
        <w:t>Начало осуществления в 1997 году рамочной программы по оказанию п</w:t>
      </w:r>
      <w:r>
        <w:t>о</w:t>
      </w:r>
      <w:r>
        <w:t>мощи инвалидам привело к возникновению новых потребностей в рабочей с</w:t>
      </w:r>
      <w:r>
        <w:t>и</w:t>
      </w:r>
      <w:r>
        <w:t>ле, в частности специалистов по выявлению потребностей, координаторов п</w:t>
      </w:r>
      <w:r>
        <w:t>о</w:t>
      </w:r>
      <w:r>
        <w:t>мощи, работников по осуществлению персонального ухода и специалистов по оказанию специальной помощи. В работе по развитию обслуживания, пров</w:t>
      </w:r>
      <w:r>
        <w:t>о</w:t>
      </w:r>
      <w:r>
        <w:t>димой министерством здравоохранения и сконцентрированной на оценке п</w:t>
      </w:r>
      <w:r>
        <w:t>о</w:t>
      </w:r>
      <w:r>
        <w:t>требностей и координации обслуживания, подготовке аккредитованных сп</w:t>
      </w:r>
      <w:r>
        <w:t>е</w:t>
      </w:r>
      <w:r>
        <w:t>циалистов по оценке оборудования и работников по оказанию помощи на дому, особое внимание уделяется обеспечению компетентности и профессиональной подготовки персонала.</w:t>
      </w:r>
    </w:p>
    <w:p w:rsidR="00000000" w:rsidRDefault="00000000">
      <w:pPr>
        <w:pStyle w:val="H4"/>
      </w:pPr>
      <w:r>
        <w:t>Работники по оказанию помощи на дому</w:t>
      </w:r>
    </w:p>
    <w:p w:rsidR="00000000" w:rsidRDefault="00000000">
      <w:pPr>
        <w:pStyle w:val="SingleTxt"/>
      </w:pPr>
      <w:r>
        <w:t>В связи с работниками по оказанию помощи на дому возникают серьезные вопросы, связанные с трудовыми ресурсами. См. статью 11: Занятость, стр. 115, где содержится подробная информация о докладе МДЖ за 1999 год «</w:t>
      </w:r>
      <w:r>
        <w:rPr>
          <w:i/>
        </w:rPr>
        <w:t>Р</w:t>
      </w:r>
      <w:r>
        <w:rPr>
          <w:i/>
        </w:rPr>
        <w:t>а</w:t>
      </w:r>
      <w:r>
        <w:rPr>
          <w:i/>
        </w:rPr>
        <w:t>ботники по оказанию помощи на дому</w:t>
      </w:r>
      <w:r>
        <w:t>» (Homecare Workers).</w:t>
      </w:r>
    </w:p>
    <w:p w:rsidR="00000000" w:rsidRDefault="00000000">
      <w:pPr>
        <w:pStyle w:val="SingleTxt"/>
      </w:pPr>
      <w:r>
        <w:t>По оценкам, помощь на дому и услуги по персональному уходу (поддер</w:t>
      </w:r>
      <w:r>
        <w:t>ж</w:t>
      </w:r>
      <w:r>
        <w:t>ка на дому), финансируемые министерством здравоохранения, оказывают св</w:t>
      </w:r>
      <w:r>
        <w:t>ы</w:t>
      </w:r>
      <w:r>
        <w:t>ше 30000 работников средней квалификации, и эта деятельность практически не регулируется. Министерство уже проделало определенную работу в этой о</w:t>
      </w:r>
      <w:r>
        <w:t>б</w:t>
      </w:r>
      <w:r>
        <w:t>ласти, включая разработку более совершенных требований к услугам по оказ</w:t>
      </w:r>
      <w:r>
        <w:t>а</w:t>
      </w:r>
      <w:r>
        <w:t>нию помощи на дому с уделением особого внимания профессиональной подг</w:t>
      </w:r>
      <w:r>
        <w:t>о</w:t>
      </w:r>
      <w:r>
        <w:t>товке персонала и осуществлению надз</w:t>
      </w:r>
      <w:r>
        <w:t>о</w:t>
      </w:r>
      <w:r>
        <w:t>ра и контроля.</w:t>
      </w:r>
    </w:p>
    <w:p w:rsidR="00000000" w:rsidRDefault="00000000">
      <w:pPr>
        <w:pStyle w:val="SingleTxt"/>
      </w:pPr>
      <w:r>
        <w:t>Как правило, на ставки оплаты работников по оказанию помощи на дому влияют существенные финансовые ограничения. Отдельным работникам еще предстоит оценить последствия работы, осуществляемой министерством здр</w:t>
      </w:r>
      <w:r>
        <w:t>а</w:t>
      </w:r>
      <w:r>
        <w:t>воохранения в этой области в целях решения вопросов, которые были поста</w:t>
      </w:r>
      <w:r>
        <w:t>в</w:t>
      </w:r>
      <w:r>
        <w:t>лены в докладе МДЖ, посвященном работникам по оказанию помощи на дому.</w:t>
      </w:r>
    </w:p>
    <w:p w:rsidR="00000000" w:rsidRDefault="00000000">
      <w:pPr>
        <w:pStyle w:val="H4"/>
      </w:pPr>
      <w:r>
        <w:t>Подготовка неформальных работников по осуществлению ухода</w:t>
      </w:r>
    </w:p>
    <w:p w:rsidR="00000000" w:rsidRDefault="00000000">
      <w:pPr>
        <w:pStyle w:val="SingleTxt"/>
      </w:pPr>
      <w:r>
        <w:t>Оказание поддержки работникам по осуществлению ухода имеет важное значение, и министерство здравоохранения финансирует ряд мер, призванных поддержать таких работников. Сюда входят:</w:t>
      </w:r>
    </w:p>
    <w:p w:rsidR="00000000" w:rsidRDefault="00000000">
      <w:pPr>
        <w:pStyle w:val="dot"/>
      </w:pPr>
      <w:r>
        <w:tab/>
      </w:r>
      <w:r>
        <w:tab/>
        <w:t>•</w:t>
      </w:r>
      <w:r>
        <w:tab/>
        <w:t>субсидии для поддержки лиц, осуществляющих уход</w:t>
      </w:r>
    </w:p>
    <w:p w:rsidR="00000000" w:rsidRDefault="00000000">
      <w:pPr>
        <w:pStyle w:val="dot"/>
      </w:pPr>
      <w:r>
        <w:tab/>
      </w:r>
      <w:r>
        <w:tab/>
        <w:t>•</w:t>
      </w:r>
      <w:r>
        <w:tab/>
        <w:t>временная подмена лиц, осуществляющих уход</w:t>
      </w:r>
    </w:p>
    <w:p w:rsidR="00000000" w:rsidRDefault="00000000">
      <w:pPr>
        <w:pStyle w:val="dot"/>
      </w:pPr>
      <w:r>
        <w:tab/>
      </w:r>
      <w:r>
        <w:tab/>
        <w:t>•</w:t>
      </w:r>
      <w:r>
        <w:tab/>
        <w:t>дневные программы</w:t>
      </w:r>
    </w:p>
    <w:p w:rsidR="00000000" w:rsidRDefault="00000000">
      <w:pPr>
        <w:pStyle w:val="dot"/>
      </w:pPr>
      <w:r>
        <w:tab/>
      </w:r>
      <w:r>
        <w:tab/>
        <w:t>•</w:t>
      </w:r>
      <w:r>
        <w:tab/>
        <w:t>профессиональная подготовка неформальных работников, осуществля</w:t>
      </w:r>
      <w:r>
        <w:t>ю</w:t>
      </w:r>
      <w:r>
        <w:t>щих уход.</w:t>
      </w:r>
    </w:p>
    <w:p w:rsidR="00000000" w:rsidRDefault="00000000">
      <w:pPr>
        <w:pStyle w:val="SingleTxt"/>
      </w:pPr>
      <w:r>
        <w:t>В последнее время в рамках этой работы была создана группа по защите интересов лиц, осуществляющих уход, и основное внимание она уделяет п</w:t>
      </w:r>
      <w:r>
        <w:t>о</w:t>
      </w:r>
      <w:r>
        <w:t>вышению значимости таких лиц.</w:t>
      </w:r>
    </w:p>
    <w:p w:rsidR="00000000" w:rsidRDefault="00000000">
      <w:pPr>
        <w:pStyle w:val="H1"/>
      </w:pPr>
      <w:r>
        <w:t>Библиография</w:t>
      </w:r>
    </w:p>
    <w:p w:rsidR="00000000" w:rsidRDefault="00000000">
      <w:pPr>
        <w:spacing w:after="120"/>
        <w:ind w:left="1740" w:right="1264" w:hanging="476"/>
        <w:jc w:val="both"/>
      </w:pPr>
      <w:r>
        <w:t xml:space="preserve">Abortion Supervisory Committee, 2000, </w:t>
      </w:r>
      <w:r>
        <w:rPr>
          <w:i/>
        </w:rPr>
        <w:t xml:space="preserve">Abortion Supervisory Committee’s Report to Parliament, </w:t>
      </w:r>
      <w:r>
        <w:t>Wellington.</w:t>
      </w:r>
    </w:p>
    <w:p w:rsidR="00000000" w:rsidRDefault="00000000">
      <w:pPr>
        <w:spacing w:after="120"/>
        <w:ind w:left="1740" w:right="1264" w:hanging="476"/>
        <w:jc w:val="both"/>
        <w:rPr>
          <w:i/>
        </w:rPr>
      </w:pPr>
      <w:r>
        <w:t xml:space="preserve">AIDS Epidemiology Group, 2001, </w:t>
      </w:r>
      <w:r>
        <w:rPr>
          <w:i/>
        </w:rPr>
        <w:t xml:space="preserve">AIDS New Zealand, </w:t>
      </w:r>
      <w:r>
        <w:t>Issue 47, Dunedin, University of Otago.</w:t>
      </w:r>
    </w:p>
    <w:p w:rsidR="00000000" w:rsidRDefault="00000000">
      <w:pPr>
        <w:spacing w:after="120"/>
        <w:ind w:left="1740" w:right="1264" w:hanging="476"/>
        <w:jc w:val="both"/>
        <w:rPr>
          <w:i/>
        </w:rPr>
      </w:pPr>
      <w:r>
        <w:t xml:space="preserve">Dharmalingham, A., Dickson, J., Fish, J. </w:t>
      </w:r>
      <w:r>
        <w:rPr>
          <w:i/>
        </w:rPr>
        <w:t xml:space="preserve">et al., </w:t>
      </w:r>
      <w:r>
        <w:t>1997,</w:t>
      </w:r>
      <w:r>
        <w:rPr>
          <w:i/>
        </w:rPr>
        <w:t xml:space="preserve"> New Zealand Women 1955–1995. Family, Employment, Education, </w:t>
      </w:r>
      <w:r>
        <w:t>Report presented to National Council of Women Conference.</w:t>
      </w:r>
    </w:p>
    <w:p w:rsidR="00000000" w:rsidRDefault="00000000">
      <w:pPr>
        <w:spacing w:after="120"/>
        <w:ind w:left="1740" w:right="1264" w:hanging="476"/>
        <w:jc w:val="both"/>
      </w:pPr>
      <w:r>
        <w:t xml:space="preserve">Dickson, N., Paul, C., Herbison, P. </w:t>
      </w:r>
      <w:r>
        <w:rPr>
          <w:i/>
        </w:rPr>
        <w:t xml:space="preserve">et al., </w:t>
      </w:r>
      <w:r>
        <w:t xml:space="preserve">1998, “First sexual intercourse: age, coercion, and later regrets reported by a birth cohort”, </w:t>
      </w:r>
      <w:r>
        <w:rPr>
          <w:i/>
        </w:rPr>
        <w:t>British Medical Journal,</w:t>
      </w:r>
      <w:r>
        <w:t xml:space="preserve"> 316: 29-33.</w:t>
      </w:r>
    </w:p>
    <w:p w:rsidR="00000000" w:rsidRDefault="00000000">
      <w:pPr>
        <w:spacing w:after="120"/>
        <w:ind w:left="1740" w:right="1264" w:hanging="476"/>
        <w:jc w:val="both"/>
      </w:pPr>
      <w:r>
        <w:t xml:space="preserve">Dickson, N., Sporle, A., Rimene, C. </w:t>
      </w:r>
      <w:r>
        <w:rPr>
          <w:i/>
        </w:rPr>
        <w:t>et al.</w:t>
      </w:r>
      <w:r>
        <w:t xml:space="preserve">, 2000, “Pregnancies among New Zealand teenagers: Trends, current status and international comparisons”, </w:t>
      </w:r>
      <w:r>
        <w:rPr>
          <w:i/>
        </w:rPr>
        <w:t>New Zealand Medical Journal</w:t>
      </w:r>
      <w:r>
        <w:t>, 113: 241–5.</w:t>
      </w:r>
    </w:p>
    <w:p w:rsidR="00000000" w:rsidRDefault="00000000">
      <w:pPr>
        <w:spacing w:after="120"/>
        <w:ind w:left="1740" w:right="1264" w:hanging="476"/>
        <w:jc w:val="both"/>
      </w:pPr>
      <w:r>
        <w:t xml:space="preserve">Fenwick, R. and Purdie, G., 2000, “The sexual activity of 654 fourth form Hawke’s Bay students”, </w:t>
      </w:r>
      <w:r>
        <w:rPr>
          <w:i/>
        </w:rPr>
        <w:t>New Zealand Medical Journal</w:t>
      </w:r>
      <w:r>
        <w:t>, 460–3.</w:t>
      </w:r>
    </w:p>
    <w:p w:rsidR="00000000" w:rsidRDefault="00000000">
      <w:pPr>
        <w:spacing w:after="120"/>
        <w:ind w:left="1740" w:right="1264" w:hanging="476"/>
        <w:jc w:val="both"/>
      </w:pPr>
      <w:r>
        <w:t xml:space="preserve">Habgood, R., Casswell, S., Pledger, M. and Bhatta, K., November 2001, </w:t>
      </w:r>
      <w:r>
        <w:rPr>
          <w:i/>
        </w:rPr>
        <w:t>Drinking in New Zealand: National Surveys Comparison 1995 &amp; 2000</w:t>
      </w:r>
      <w:r>
        <w:t>, Alcohol and Public Health Research Unit, University of Auckland.</w:t>
      </w:r>
    </w:p>
    <w:p w:rsidR="00000000" w:rsidRDefault="00000000">
      <w:pPr>
        <w:spacing w:after="120"/>
        <w:ind w:left="1740" w:right="1264" w:hanging="476"/>
        <w:jc w:val="both"/>
      </w:pPr>
      <w:r>
        <w:t>Jaffee, S. R., Caspi, A. and Moffitt, T. E., 2001, “Why are children born to teen mothers at risk for adverse ou</w:t>
      </w:r>
      <w:r>
        <w:t>t</w:t>
      </w:r>
      <w:r>
        <w:t xml:space="preserve">comes in young childhood? Results from a 20-year longitudinal study”, </w:t>
      </w:r>
      <w:r>
        <w:rPr>
          <w:i/>
        </w:rPr>
        <w:t>Development and Psychop</w:t>
      </w:r>
      <w:r>
        <w:rPr>
          <w:i/>
        </w:rPr>
        <w:t>a</w:t>
      </w:r>
      <w:r>
        <w:rPr>
          <w:i/>
        </w:rPr>
        <w:t>thology</w:t>
      </w:r>
      <w:r>
        <w:t>, 13: 377–97.</w:t>
      </w:r>
    </w:p>
    <w:p w:rsidR="00000000" w:rsidRDefault="00000000">
      <w:pPr>
        <w:spacing w:after="120"/>
        <w:ind w:left="1740" w:right="1264" w:hanging="476"/>
        <w:jc w:val="both"/>
      </w:pPr>
      <w:r>
        <w:t xml:space="preserve">Ministry of Health, 1997, “Wider mental health issues for women”, </w:t>
      </w:r>
      <w:r>
        <w:rPr>
          <w:i/>
        </w:rPr>
        <w:t>Mental Health in New Zealand from a Pu</w:t>
      </w:r>
      <w:r>
        <w:rPr>
          <w:i/>
        </w:rPr>
        <w:t>b</w:t>
      </w:r>
      <w:r>
        <w:rPr>
          <w:i/>
        </w:rPr>
        <w:t>lic Health Perspective</w:t>
      </w:r>
      <w:r>
        <w:t>, Wellington.</w:t>
      </w:r>
    </w:p>
    <w:p w:rsidR="00000000" w:rsidRDefault="00000000">
      <w:pPr>
        <w:spacing w:after="120"/>
        <w:ind w:left="1740" w:right="1264" w:hanging="476"/>
        <w:jc w:val="both"/>
      </w:pPr>
      <w:r>
        <w:t xml:space="preserve">Ministry of Health, 1999, </w:t>
      </w:r>
      <w:r>
        <w:rPr>
          <w:i/>
        </w:rPr>
        <w:t>Progress on Health Outcome Targets: Te Haere Whakamua ki Ngä Whäinga Hua mö te Hauora. The State of the Public Health in New Zealand 1999</w:t>
      </w:r>
      <w:r>
        <w:t>, Wellington.</w:t>
      </w:r>
    </w:p>
    <w:p w:rsidR="00000000" w:rsidRDefault="00000000">
      <w:pPr>
        <w:spacing w:after="120"/>
        <w:ind w:left="1740" w:right="1264" w:hanging="476"/>
        <w:jc w:val="both"/>
      </w:pPr>
      <w:r>
        <w:t xml:space="preserve">Ministry of Health, 1999a, </w:t>
      </w:r>
      <w:r>
        <w:rPr>
          <w:i/>
        </w:rPr>
        <w:t>New Zealand Food: New Zealand People, Key results of the 1997 National Nutr</w:t>
      </w:r>
      <w:r>
        <w:rPr>
          <w:i/>
        </w:rPr>
        <w:t>i</w:t>
      </w:r>
      <w:r>
        <w:rPr>
          <w:i/>
        </w:rPr>
        <w:t>tion Survey</w:t>
      </w:r>
      <w:r>
        <w:t>, Wellington.</w:t>
      </w:r>
    </w:p>
    <w:p w:rsidR="00000000" w:rsidRDefault="00000000">
      <w:pPr>
        <w:spacing w:after="120"/>
        <w:ind w:left="1740" w:right="1264" w:hanging="476"/>
        <w:jc w:val="both"/>
      </w:pPr>
      <w:r>
        <w:t xml:space="preserve">Ministry of Health, 1999b, </w:t>
      </w:r>
      <w:r>
        <w:rPr>
          <w:i/>
        </w:rPr>
        <w:t>Our Health, Our Future: Hauora Pakari, Koiora Roa: The Health of New Zealan</w:t>
      </w:r>
      <w:r>
        <w:rPr>
          <w:i/>
        </w:rPr>
        <w:t>d</w:t>
      </w:r>
      <w:r>
        <w:rPr>
          <w:i/>
        </w:rPr>
        <w:t>ers 1999</w:t>
      </w:r>
      <w:r>
        <w:t>, Wellington.</w:t>
      </w:r>
    </w:p>
    <w:p w:rsidR="00000000" w:rsidRDefault="00000000">
      <w:pPr>
        <w:spacing w:after="120"/>
        <w:ind w:left="1740" w:right="1264" w:hanging="476"/>
        <w:jc w:val="both"/>
      </w:pPr>
      <w:r>
        <w:t xml:space="preserve">Ministry of Health, 2000, </w:t>
      </w:r>
      <w:r>
        <w:rPr>
          <w:i/>
        </w:rPr>
        <w:t>The New Zealand Health Strategy</w:t>
      </w:r>
      <w:r>
        <w:t>, Wellington.</w:t>
      </w:r>
    </w:p>
    <w:p w:rsidR="00000000" w:rsidRDefault="00000000">
      <w:pPr>
        <w:spacing w:after="120"/>
        <w:ind w:left="1740" w:right="1264" w:hanging="476"/>
        <w:jc w:val="both"/>
      </w:pPr>
      <w:r>
        <w:t xml:space="preserve">Ministry of Health, 2000, </w:t>
      </w:r>
      <w:r>
        <w:rPr>
          <w:i/>
        </w:rPr>
        <w:t>Tobacco Facts 2000</w:t>
      </w:r>
      <w:r>
        <w:t xml:space="preserve">, </w:t>
      </w:r>
      <w:r>
        <w:rPr>
          <w:u w:val="single"/>
        </w:rPr>
        <w:t>www.moh.govt.nz.</w:t>
      </w:r>
    </w:p>
    <w:p w:rsidR="00000000" w:rsidRDefault="00000000">
      <w:pPr>
        <w:pStyle w:val="BodyText"/>
        <w:ind w:left="1740" w:right="1264" w:hanging="476"/>
      </w:pPr>
      <w:r>
        <w:t>Ministry of Health, 2001, He Korowai Oranga: Mäori Health Strategy Discussion Document, Wellington.</w:t>
      </w:r>
    </w:p>
    <w:p w:rsidR="00000000" w:rsidRDefault="00000000">
      <w:pPr>
        <w:spacing w:after="120"/>
        <w:ind w:left="1740" w:right="1264" w:hanging="476"/>
        <w:jc w:val="both"/>
      </w:pPr>
      <w:r>
        <w:t xml:space="preserve">Ministry of Health, 2002, </w:t>
      </w:r>
      <w:r>
        <w:rPr>
          <w:i/>
        </w:rPr>
        <w:t>An Indication of New Zealanders’ Health: Public Health Intelligence Occasional Report No 1</w:t>
      </w:r>
      <w:r>
        <w:t>, Wellington.</w:t>
      </w:r>
    </w:p>
    <w:p w:rsidR="00000000" w:rsidRDefault="00000000">
      <w:pPr>
        <w:spacing w:after="120"/>
        <w:ind w:left="1740" w:right="1264" w:hanging="476"/>
        <w:jc w:val="both"/>
      </w:pPr>
      <w:r>
        <w:t xml:space="preserve">Ministry of Social Policy, 2001, Report to the Minister for Disability Issues, </w:t>
      </w:r>
      <w:r>
        <w:rPr>
          <w:i/>
        </w:rPr>
        <w:t>Services and Support for People with Disabilities: Issues Relating to Equity of Access and to Coherence</w:t>
      </w:r>
      <w:r>
        <w:t>, Wellington.</w:t>
      </w:r>
    </w:p>
    <w:p w:rsidR="00000000" w:rsidRDefault="00000000">
      <w:pPr>
        <w:spacing w:after="120"/>
        <w:ind w:left="1740" w:right="1264" w:hanging="476"/>
        <w:jc w:val="both"/>
      </w:pPr>
      <w:r>
        <w:t xml:space="preserve">Ministry of Women’s Affairs, 1999, </w:t>
      </w:r>
      <w:r>
        <w:rPr>
          <w:i/>
        </w:rPr>
        <w:t>Homecare Workers: A Case Study of a Female Occupation</w:t>
      </w:r>
      <w:r>
        <w:t>, Wellington.</w:t>
      </w:r>
    </w:p>
    <w:p w:rsidR="00000000" w:rsidRDefault="00000000">
      <w:pPr>
        <w:spacing w:after="120"/>
        <w:ind w:left="1740" w:right="1264" w:hanging="476"/>
        <w:jc w:val="both"/>
      </w:pPr>
      <w:r>
        <w:t xml:space="preserve">Ministry of Women’s Affairs, 2001, </w:t>
      </w:r>
      <w:r>
        <w:rPr>
          <w:i/>
        </w:rPr>
        <w:t>Women’s Health Strategy Discussion Document</w:t>
      </w:r>
      <w:r>
        <w:t>, Wellington.</w:t>
      </w:r>
    </w:p>
    <w:p w:rsidR="00000000" w:rsidRDefault="00000000">
      <w:pPr>
        <w:spacing w:after="120"/>
        <w:ind w:left="1740" w:right="1264" w:hanging="476"/>
        <w:jc w:val="both"/>
      </w:pPr>
      <w:r>
        <w:t xml:space="preserve">Ministry of Women’s Affairs, 2001, </w:t>
      </w:r>
      <w:r>
        <w:rPr>
          <w:i/>
        </w:rPr>
        <w:t>Mäori Women: Mapping Inequalities &amp; Pointing Ways Forward</w:t>
      </w:r>
      <w:r>
        <w:t>, Wellin</w:t>
      </w:r>
      <w:r>
        <w:t>g</w:t>
      </w:r>
      <w:r>
        <w:t>ton.</w:t>
      </w:r>
    </w:p>
    <w:p w:rsidR="00000000" w:rsidRDefault="00000000">
      <w:pPr>
        <w:spacing w:after="120"/>
        <w:ind w:left="1740" w:right="1264" w:hanging="476"/>
        <w:jc w:val="both"/>
      </w:pPr>
      <w:r>
        <w:t xml:space="preserve">New Zealand Health Information Service, 2000, </w:t>
      </w:r>
      <w:r>
        <w:rPr>
          <w:i/>
        </w:rPr>
        <w:t>Fetal and Infant Deaths 1997</w:t>
      </w:r>
      <w:r>
        <w:t>, NZHIS, Wellington.</w:t>
      </w:r>
    </w:p>
    <w:p w:rsidR="00000000" w:rsidRDefault="00000000">
      <w:pPr>
        <w:spacing w:after="120"/>
        <w:ind w:left="1740" w:right="1264" w:hanging="476"/>
        <w:jc w:val="both"/>
      </w:pPr>
      <w:r>
        <w:t xml:space="preserve">Salmond, C., Crampton, P. and Sutton, F., 1998, </w:t>
      </w:r>
      <w:r>
        <w:rPr>
          <w:i/>
        </w:rPr>
        <w:t>NZDep96 Index of Deprivation: Research Report No 8</w:t>
      </w:r>
      <w:r>
        <w:t>, Health Services Research Centre, Wellington.</w:t>
      </w:r>
    </w:p>
    <w:p w:rsidR="00000000" w:rsidRDefault="00000000">
      <w:pPr>
        <w:spacing w:after="120"/>
        <w:ind w:left="1740" w:right="1264" w:hanging="476"/>
        <w:jc w:val="both"/>
      </w:pPr>
      <w:r>
        <w:t xml:space="preserve">Statistics New Zealand, 2001, </w:t>
      </w:r>
      <w:r>
        <w:rPr>
          <w:i/>
        </w:rPr>
        <w:t>Abortion: Summary of Latest Trends</w:t>
      </w:r>
      <w:r>
        <w:t>, 2001, Wellington.</w:t>
      </w:r>
    </w:p>
    <w:p w:rsidR="00000000" w:rsidRDefault="00000000">
      <w:pPr>
        <w:spacing w:after="120"/>
        <w:ind w:left="1740" w:right="1264" w:hanging="476"/>
        <w:jc w:val="both"/>
      </w:pPr>
      <w:r>
        <w:t xml:space="preserve">Statistics New Zealand, 1996, </w:t>
      </w:r>
      <w:r>
        <w:rPr>
          <w:i/>
        </w:rPr>
        <w:t>Demographic Trends</w:t>
      </w:r>
      <w:r>
        <w:t>, Wellington.</w:t>
      </w:r>
    </w:p>
    <w:p w:rsidR="00000000" w:rsidRDefault="00000000">
      <w:pPr>
        <w:spacing w:after="120"/>
        <w:ind w:left="1740" w:right="1264" w:hanging="476"/>
        <w:jc w:val="both"/>
      </w:pPr>
      <w:r>
        <w:t xml:space="preserve">Statistics New Zealand, 1999, </w:t>
      </w:r>
      <w:r>
        <w:rPr>
          <w:i/>
        </w:rPr>
        <w:t>Demographic Trends</w:t>
      </w:r>
      <w:r>
        <w:t>, Wellington.</w:t>
      </w:r>
    </w:p>
    <w:p w:rsidR="00000000" w:rsidRDefault="00000000">
      <w:pPr>
        <w:spacing w:after="120"/>
        <w:ind w:left="1740" w:right="1264" w:hanging="476"/>
        <w:jc w:val="both"/>
      </w:pPr>
      <w:r>
        <w:t xml:space="preserve">Statistics New Zealand, 2000, </w:t>
      </w:r>
      <w:r>
        <w:rPr>
          <w:i/>
        </w:rPr>
        <w:t>Demographic Trends</w:t>
      </w:r>
      <w:r>
        <w:t>, Wellington.</w:t>
      </w:r>
    </w:p>
    <w:p w:rsidR="00000000" w:rsidRDefault="00000000">
      <w:pPr>
        <w:spacing w:after="120"/>
        <w:ind w:left="1740" w:right="1264" w:hanging="476"/>
        <w:jc w:val="both"/>
      </w:pPr>
      <w:r>
        <w:t xml:space="preserve">Turley, M., McNicholas and Garrett, N., 2000, </w:t>
      </w:r>
      <w:r>
        <w:rPr>
          <w:i/>
        </w:rPr>
        <w:t>STI in New Zealand: Surveillance Report, 2000</w:t>
      </w:r>
      <w:r>
        <w:t>, ESR report to Ministry of Health, Wellington.</w:t>
      </w:r>
    </w:p>
    <w:p w:rsidR="00000000" w:rsidRDefault="00000000">
      <w:pPr>
        <w:spacing w:after="120"/>
        <w:ind w:left="1740" w:right="1264" w:hanging="476"/>
        <w:jc w:val="both"/>
      </w:pPr>
      <w:r>
        <w:t xml:space="preserve">Woodward, L. J., Horwood, L. J. and Fergusson, D. M., 2001, “Teenage pregnancy: cause for concern”, </w:t>
      </w:r>
      <w:r>
        <w:rPr>
          <w:i/>
        </w:rPr>
        <w:t>New Ze</w:t>
      </w:r>
      <w:r>
        <w:rPr>
          <w:i/>
        </w:rPr>
        <w:t>a</w:t>
      </w:r>
      <w:r>
        <w:rPr>
          <w:i/>
        </w:rPr>
        <w:t>land Medical Journal</w:t>
      </w:r>
      <w:r>
        <w:t>, 114: 301–3.</w:t>
      </w:r>
    </w:p>
    <w:p w:rsidR="00000000" w:rsidRDefault="00000000">
      <w:pPr>
        <w:pStyle w:val="HCh"/>
      </w:pPr>
      <w:r>
        <w:br w:type="page"/>
      </w:r>
      <w:bookmarkStart w:id="33" w:name="_Toc30302898"/>
      <w:r>
        <w:t>Статья 13</w:t>
      </w:r>
      <w:bookmarkEnd w:id="33"/>
    </w:p>
    <w:p w:rsidR="00000000" w:rsidRDefault="00000000">
      <w:pPr>
        <w:pStyle w:val="HCh"/>
      </w:pPr>
      <w:bookmarkStart w:id="34" w:name="_Toc30302899"/>
      <w:r>
        <w:t>Экономическая и социальная жизнь</w:t>
      </w:r>
      <w:bookmarkEnd w:id="34"/>
    </w:p>
    <w:p w:rsidR="00000000" w:rsidRDefault="00000000">
      <w:pPr>
        <w:pStyle w:val="SingleTxt"/>
        <w:ind w:left="1740" w:hanging="476"/>
        <w:rPr>
          <w:i/>
        </w:rPr>
      </w:pPr>
      <w:r>
        <w:tab/>
      </w:r>
      <w:r>
        <w:rPr>
          <w:i/>
        </w:rPr>
        <w:tab/>
        <w:t>Государства-участники принимают все соответствующие меры для ли</w:t>
      </w:r>
      <w:r>
        <w:rPr>
          <w:i/>
        </w:rPr>
        <w:t>к</w:t>
      </w:r>
      <w:r>
        <w:rPr>
          <w:i/>
        </w:rPr>
        <w:t>видации дискриминации в отношении женщин в других областях экон</w:t>
      </w:r>
      <w:r>
        <w:rPr>
          <w:i/>
        </w:rPr>
        <w:t>о</w:t>
      </w:r>
      <w:r>
        <w:rPr>
          <w:i/>
        </w:rPr>
        <w:t>мической и социальной жизни, с тем чтобы обеспечить на основе раве</w:t>
      </w:r>
      <w:r>
        <w:rPr>
          <w:i/>
        </w:rPr>
        <w:t>н</w:t>
      </w:r>
      <w:r>
        <w:rPr>
          <w:i/>
        </w:rPr>
        <w:t xml:space="preserve">ства мужчин и женщин равные права, в частности: </w:t>
      </w:r>
    </w:p>
    <w:p w:rsidR="00000000" w:rsidRDefault="00000000">
      <w:pPr>
        <w:pStyle w:val="SingleTxt"/>
        <w:ind w:left="2217" w:hanging="953"/>
        <w:rPr>
          <w:i/>
        </w:rPr>
      </w:pPr>
      <w:r>
        <w:rPr>
          <w:i/>
        </w:rPr>
        <w:tab/>
      </w:r>
      <w:r>
        <w:rPr>
          <w:i/>
        </w:rPr>
        <w:tab/>
        <w:t>a)</w:t>
      </w:r>
      <w:r>
        <w:rPr>
          <w:i/>
        </w:rPr>
        <w:tab/>
        <w:t>право на семейные пособия;</w:t>
      </w:r>
    </w:p>
    <w:p w:rsidR="00000000" w:rsidRDefault="00000000">
      <w:pPr>
        <w:pStyle w:val="SingleTxt"/>
        <w:ind w:left="2217" w:hanging="953"/>
        <w:rPr>
          <w:i/>
        </w:rPr>
      </w:pPr>
      <w:r>
        <w:rPr>
          <w:i/>
        </w:rPr>
        <w:tab/>
      </w:r>
      <w:r>
        <w:rPr>
          <w:i/>
        </w:rPr>
        <w:tab/>
        <w:t>b)</w:t>
      </w:r>
      <w:r>
        <w:rPr>
          <w:i/>
        </w:rPr>
        <w:tab/>
        <w:t>право на получение займов, ссуд под недвижимость и других форм финансового кр</w:t>
      </w:r>
      <w:r>
        <w:rPr>
          <w:i/>
        </w:rPr>
        <w:t>е</w:t>
      </w:r>
      <w:r>
        <w:rPr>
          <w:i/>
        </w:rPr>
        <w:t>дита;</w:t>
      </w:r>
    </w:p>
    <w:p w:rsidR="00000000" w:rsidRDefault="00000000">
      <w:pPr>
        <w:pStyle w:val="SingleTxt"/>
        <w:ind w:left="2217" w:hanging="953"/>
        <w:rPr>
          <w:i/>
        </w:rPr>
      </w:pPr>
      <w:r>
        <w:rPr>
          <w:i/>
        </w:rPr>
        <w:tab/>
      </w:r>
      <w:r>
        <w:rPr>
          <w:i/>
        </w:rPr>
        <w:tab/>
        <w:t>c)</w:t>
      </w:r>
      <w:r>
        <w:rPr>
          <w:i/>
        </w:rPr>
        <w:tab/>
        <w:t>право участвовать в мероприятиях, связанных с отдыхом, занятиях спортом и во всех областях культурной жизни.</w:t>
      </w:r>
    </w:p>
    <w:p w:rsidR="00000000" w:rsidRDefault="00000000">
      <w:pPr>
        <w:pStyle w:val="H1"/>
      </w:pPr>
      <w:r>
        <w:t>Семейные пособия</w:t>
      </w:r>
    </w:p>
    <w:p w:rsidR="00000000" w:rsidRDefault="00000000">
      <w:pPr>
        <w:pStyle w:val="H23"/>
      </w:pPr>
      <w:r>
        <w:t>Поддержка семьи</w:t>
      </w:r>
    </w:p>
    <w:p w:rsidR="00000000" w:rsidRDefault="00000000">
      <w:pPr>
        <w:pStyle w:val="SingleTxt"/>
      </w:pPr>
      <w:r>
        <w:t>В январе 1998 года были повышены уровни поддержки семьи для нах</w:t>
      </w:r>
      <w:r>
        <w:t>о</w:t>
      </w:r>
      <w:r>
        <w:t>дящихся на иждивении детей в возрасте от 16 до 18 лет.</w:t>
      </w:r>
    </w:p>
    <w:p w:rsidR="00000000" w:rsidRDefault="00000000">
      <w:pPr>
        <w:pStyle w:val="SingleTxt"/>
      </w:pPr>
      <w:r>
        <w:t>Министерство социального развития совместно с фондом для оказания помощи дедушкам и бабушкам, воспитывающим внуков, и различными прав</w:t>
      </w:r>
      <w:r>
        <w:t>и</w:t>
      </w:r>
      <w:r>
        <w:t>тельственными ведомствами опубликовало брошюру «</w:t>
      </w:r>
      <w:r>
        <w:rPr>
          <w:i/>
        </w:rPr>
        <w:t>Помощь для лиц, на п</w:t>
      </w:r>
      <w:r>
        <w:rPr>
          <w:i/>
        </w:rPr>
        <w:t>о</w:t>
      </w:r>
      <w:r>
        <w:rPr>
          <w:i/>
        </w:rPr>
        <w:t>печении которых находятся близкие родственники</w:t>
      </w:r>
      <w:r>
        <w:t>» (</w:t>
      </w:r>
      <w:r>
        <w:rPr>
          <w:i/>
        </w:rPr>
        <w:t>Help for Kinship Carers</w:t>
      </w:r>
      <w:r>
        <w:t>), с тем чтобы помочь бабушкам и дедушкам получить доступ к государственной помощи. Рассматривается также вопрос о дополнительной финансовой помощи для некоторых лиц, на попечении которых находятся близкие родс</w:t>
      </w:r>
      <w:r>
        <w:t>т</w:t>
      </w:r>
      <w:r>
        <w:t>венники.</w:t>
      </w:r>
    </w:p>
    <w:p w:rsidR="00000000" w:rsidRDefault="00000000">
      <w:pPr>
        <w:pStyle w:val="SingleTxt"/>
      </w:pPr>
      <w:r>
        <w:t>Положение пожилых женщин, которые осуществляют уход, регламент</w:t>
      </w:r>
      <w:r>
        <w:t>и</w:t>
      </w:r>
      <w:r>
        <w:t>руется законопроектом «Работа по обеспечению занятости», в котором разр</w:t>
      </w:r>
      <w:r>
        <w:t>а</w:t>
      </w:r>
      <w:r>
        <w:t>ботан более гибкий и индивидуальный подход к оказанию поддержки родит</w:t>
      </w:r>
      <w:r>
        <w:t>е</w:t>
      </w:r>
      <w:r>
        <w:t>лям-одиночкам и вдовам. Кроме того, в этом законопроекте «семейные обяза</w:t>
      </w:r>
      <w:r>
        <w:t>н</w:t>
      </w:r>
      <w:r>
        <w:t>ности» признаются как один из элементов изложенного в нем более общего подхода к социальному развитию. См. статью 11: Занятость, где содержатся информация об уходе за детьми и дошкольном воспитании и сбалансированном сочетании между трудовой деятельностью и семейной жизнью, стр. 117-118.</w:t>
      </w:r>
    </w:p>
    <w:p w:rsidR="00000000" w:rsidRDefault="00000000">
      <w:pPr>
        <w:pStyle w:val="H23"/>
      </w:pPr>
      <w:r>
        <w:t>Пособие для вдов и пособие на семейные цели</w:t>
      </w:r>
    </w:p>
    <w:p w:rsidR="00000000" w:rsidRDefault="00000000">
      <w:pPr>
        <w:pStyle w:val="SingleTxt"/>
      </w:pPr>
      <w:r>
        <w:t>С апреля 1997 года для получателей пособия на семейные цели (для род</w:t>
      </w:r>
      <w:r>
        <w:t>и</w:t>
      </w:r>
      <w:r>
        <w:t>телей-одиночек) и пособия для вдов были установлены двусторонние обяз</w:t>
      </w:r>
      <w:r>
        <w:t>а</w:t>
      </w:r>
      <w:r>
        <w:t>тельства, включая проверку режима работы с учетом возраста самого младшего из детей. Те лица, у кого не было детей, или у кого самый младший из детей был в возрасте 14 лет или старше, подлежали проверке на предмет работы в т</w:t>
      </w:r>
      <w:r>
        <w:t>е</w:t>
      </w:r>
      <w:r>
        <w:t>чение неполного рабочего дня, а те, у кого самый младший из детей был в во</w:t>
      </w:r>
      <w:r>
        <w:t>з</w:t>
      </w:r>
      <w:r>
        <w:t>расте от 6 до 13 лет, должны были пройти ежегодное плановое собеседование. В феврале 1999 года эта система была расширена, и в нее была включена пр</w:t>
      </w:r>
      <w:r>
        <w:t>о</w:t>
      </w:r>
      <w:r>
        <w:t>верка режима работы для супругов-получателей пособия по безработице, а также были изменены обязательства. Проверке на предмет работы в течение полного рабочего дня подвергались все те, у кого не было детей или у кого с</w:t>
      </w:r>
      <w:r>
        <w:t>а</w:t>
      </w:r>
      <w:r>
        <w:t>мый младший из детей был в возрасте 14 лет или старше, а проверке на пре</w:t>
      </w:r>
      <w:r>
        <w:t>д</w:t>
      </w:r>
      <w:r>
        <w:t>мет работы в течение неполного рабочего дня подвергались те лица, у кого с</w:t>
      </w:r>
      <w:r>
        <w:t>а</w:t>
      </w:r>
      <w:r>
        <w:t>мый младший из детей был в возрасте от 6 до 13 лет. Те лица, у кого возраст самого младшего из детей не превышал 5 лет, должны были проходить ежего</w:t>
      </w:r>
      <w:r>
        <w:t>д</w:t>
      </w:r>
      <w:r>
        <w:t>ное обязательное собеседование. Двойной режим льгот позволял получателям пособий, проходящим проверку на предмет работы в течение неполного раб</w:t>
      </w:r>
      <w:r>
        <w:t>о</w:t>
      </w:r>
      <w:r>
        <w:t>чего дня, сохранять большую часть своего заработка, а для тех, кто подлежал проверке на основе полного рабочего дня, устанавливались более жесткие тр</w:t>
      </w:r>
      <w:r>
        <w:t>е</w:t>
      </w:r>
      <w:r>
        <w:t>бования в связи с предоставлением льгот, с тем чтобы побудить их перейти от работы в течение неполного рабочего дня к работе в течение полного рабочего дня. Система проверки режима работы предусматривала и режим санкций для сокращение размера пособия в том случае, если человек не отвечал требован</w:t>
      </w:r>
      <w:r>
        <w:t>и</w:t>
      </w:r>
      <w:r>
        <w:t>ям такой проверки без каких-либо веских причин для этого. Цель такого усил</w:t>
      </w:r>
      <w:r>
        <w:t>е</w:t>
      </w:r>
      <w:r>
        <w:t>ния обязательств и штрафных санкций заключалась в том, чтобы стимулир</w:t>
      </w:r>
      <w:r>
        <w:t>о</w:t>
      </w:r>
      <w:r>
        <w:t>вать работу, образование и профессиональную подготовку людей и повысить уровень самообеспеченности.</w:t>
      </w:r>
    </w:p>
    <w:p w:rsidR="00000000" w:rsidRDefault="00000000">
      <w:pPr>
        <w:pStyle w:val="SingleTxt"/>
      </w:pPr>
      <w:r>
        <w:t>Оценка показала, что несмотря на активизацию участия в оплачиваемой трудовой деятельности система проверки режима работы не учитывала в до</w:t>
      </w:r>
      <w:r>
        <w:t>с</w:t>
      </w:r>
      <w:r>
        <w:t>таточной степени сложность жизни родителей-одиночек, их различные исхо</w:t>
      </w:r>
      <w:r>
        <w:t>д</w:t>
      </w:r>
      <w:r>
        <w:t>ные позиции в связи с оплачиваемой трудовой деятельностью и необходимость установления баланса между профессиональными и семейными обязанност</w:t>
      </w:r>
      <w:r>
        <w:t>я</w:t>
      </w:r>
      <w:r>
        <w:t>ми. Не учитывала эта система и положение женщин, которые в прошлом ос</w:t>
      </w:r>
      <w:r>
        <w:t>у</w:t>
      </w:r>
      <w:r>
        <w:t>ществляли уход за другими лицами. По мнению правительства, необходимо было разработать более гибкий и индивидуальный подход к оказанию по</w:t>
      </w:r>
      <w:r>
        <w:t>д</w:t>
      </w:r>
      <w:r>
        <w:t>держки родителям-одиночкам, с тем чтобы они могли начать и продолжать о</w:t>
      </w:r>
      <w:r>
        <w:t>п</w:t>
      </w:r>
      <w:r>
        <w:t>лачиваемую трудовую де</w:t>
      </w:r>
      <w:r>
        <w:t>я</w:t>
      </w:r>
      <w:r>
        <w:t>тельность.</w:t>
      </w:r>
    </w:p>
    <w:p w:rsidR="00000000" w:rsidRDefault="00000000">
      <w:pPr>
        <w:pStyle w:val="SingleTxt"/>
      </w:pPr>
      <w:r>
        <w:t>В августе 2002 года правительство приступило к осуществлению первого предусмотренного законом этапа новой концепции социального обеспечения — социальное обеспечение через социальное развитие. Этот этап предусматрив</w:t>
      </w:r>
      <w:r>
        <w:t>а</w:t>
      </w:r>
      <w:r>
        <w:t>ет серьезные перемены для родителей-одиночек и пожилых женщин, получа</w:t>
      </w:r>
      <w:r>
        <w:t>ю</w:t>
      </w:r>
      <w:r>
        <w:t>щих пособие на семейные цели, а также вдов, получающих пособие для вдов. В частности, изменения позволят аннулировать обязательства, связанные с пр</w:t>
      </w:r>
      <w:r>
        <w:t>о</w:t>
      </w:r>
      <w:r>
        <w:t>веркой режима работы, и внедрить следу</w:t>
      </w:r>
      <w:r>
        <w:t>ю</w:t>
      </w:r>
      <w:r>
        <w:t>щие элементы:</w:t>
      </w:r>
    </w:p>
    <w:p w:rsidR="00000000" w:rsidRDefault="00000000">
      <w:pPr>
        <w:pStyle w:val="dot"/>
      </w:pPr>
      <w:r>
        <w:tab/>
      </w:r>
      <w:r>
        <w:tab/>
        <w:t>•</w:t>
      </w:r>
      <w:r>
        <w:tab/>
        <w:t>расширенная модель индивидуального регулирования, которая заменит нынешнюю модель общего регулирования и специализированную пр</w:t>
      </w:r>
      <w:r>
        <w:t>о</w:t>
      </w:r>
      <w:r>
        <w:t>грамму КОМПАСС</w:t>
      </w:r>
    </w:p>
    <w:p w:rsidR="00000000" w:rsidRDefault="00000000">
      <w:pPr>
        <w:pStyle w:val="dot"/>
      </w:pPr>
      <w:r>
        <w:tab/>
      </w:r>
      <w:r>
        <w:tab/>
        <w:t>•</w:t>
      </w:r>
      <w:r>
        <w:tab/>
        <w:t>более общий подход по сравнению с нынешним упором на доход и опл</w:t>
      </w:r>
      <w:r>
        <w:t>а</w:t>
      </w:r>
      <w:r>
        <w:t>чиваемую трудовую деятел</w:t>
      </w:r>
      <w:r>
        <w:t>ь</w:t>
      </w:r>
      <w:r>
        <w:t>ность</w:t>
      </w:r>
    </w:p>
    <w:p w:rsidR="00000000" w:rsidRDefault="00000000">
      <w:pPr>
        <w:pStyle w:val="dot"/>
      </w:pPr>
      <w:r>
        <w:tab/>
      </w:r>
      <w:r>
        <w:tab/>
        <w:t>•</w:t>
      </w:r>
      <w:r>
        <w:tab/>
        <w:t>гибкость и поддержка с учетом индивидуальных потребностей</w:t>
      </w:r>
    </w:p>
    <w:p w:rsidR="00000000" w:rsidRDefault="00000000">
      <w:pPr>
        <w:pStyle w:val="dot"/>
      </w:pPr>
      <w:r>
        <w:tab/>
      </w:r>
      <w:r>
        <w:tab/>
        <w:t>•</w:t>
      </w:r>
      <w:r>
        <w:tab/>
        <w:t>уделение основного внимания поощрению и поддержке получателей п</w:t>
      </w:r>
      <w:r>
        <w:t>о</w:t>
      </w:r>
      <w:r>
        <w:t>мощи в целях план</w:t>
      </w:r>
      <w:r>
        <w:t>и</w:t>
      </w:r>
      <w:r>
        <w:t>рования их будущего</w:t>
      </w:r>
    </w:p>
    <w:p w:rsidR="00000000" w:rsidRDefault="00000000">
      <w:pPr>
        <w:pStyle w:val="dot"/>
      </w:pPr>
      <w:r>
        <w:tab/>
      </w:r>
      <w:r>
        <w:tab/>
        <w:t>•</w:t>
      </w:r>
      <w:r>
        <w:tab/>
        <w:t>индивидуальные социальные работники, работающие с получателями п</w:t>
      </w:r>
      <w:r>
        <w:t>о</w:t>
      </w:r>
      <w:r>
        <w:t>мощи и стимул</w:t>
      </w:r>
      <w:r>
        <w:t>и</w:t>
      </w:r>
      <w:r>
        <w:t>рующие их с помощью условий выплаты пособий</w:t>
      </w:r>
    </w:p>
    <w:p w:rsidR="00000000" w:rsidRDefault="00000000">
      <w:pPr>
        <w:pStyle w:val="dot"/>
      </w:pPr>
      <w:r>
        <w:tab/>
      </w:r>
      <w:r>
        <w:tab/>
        <w:t>•</w:t>
      </w:r>
      <w:r>
        <w:tab/>
        <w:t>процесс планирования, в ходе которого почти все получатели пособия на семейные цели и пособия для вдов при содействии своих социальных р</w:t>
      </w:r>
      <w:r>
        <w:t>а</w:t>
      </w:r>
      <w:r>
        <w:t>ботников должны будут разработать и подписать план «Работа в целях трудоустройства»</w:t>
      </w:r>
    </w:p>
    <w:p w:rsidR="00000000" w:rsidRDefault="00000000">
      <w:pPr>
        <w:pStyle w:val="dot"/>
      </w:pPr>
      <w:r>
        <w:tab/>
      </w:r>
      <w:r>
        <w:tab/>
        <w:t>•</w:t>
      </w:r>
      <w:r>
        <w:tab/>
        <w:t>требования и соответствующие санкции, связанные с процессом планир</w:t>
      </w:r>
      <w:r>
        <w:t>о</w:t>
      </w:r>
      <w:r>
        <w:t>вания</w:t>
      </w:r>
    </w:p>
    <w:p w:rsidR="00000000" w:rsidRDefault="00000000">
      <w:pPr>
        <w:pStyle w:val="dot"/>
      </w:pPr>
      <w:r>
        <w:tab/>
      </w:r>
      <w:r>
        <w:tab/>
        <w:t>•</w:t>
      </w:r>
      <w:r>
        <w:tab/>
        <w:t>единый режим льгот, предусматривающий снижение объема льгот для лиц с более взрослыми детьми и позволяющий бенефициарам зарабатывать больше в то время, когда они получают пос</w:t>
      </w:r>
      <w:r>
        <w:t>о</w:t>
      </w:r>
      <w:r>
        <w:t>бие.</w:t>
      </w:r>
    </w:p>
    <w:p w:rsidR="00000000" w:rsidRDefault="00000000">
      <w:pPr>
        <w:pStyle w:val="SingleTxt"/>
      </w:pPr>
      <w:r>
        <w:t xml:space="preserve">Этот новый процесс призван создать различные уровни поддержки для родителей-одиночек, одиноких и пожилых женщин, а также стимулировать и поощрять женщин всех возрастов к планированию своего будущего. </w:t>
      </w:r>
      <w:r>
        <w:rPr>
          <w:caps/>
        </w:rPr>
        <w:t>п</w:t>
      </w:r>
      <w:r>
        <w:t>олучат</w:t>
      </w:r>
      <w:r>
        <w:t>е</w:t>
      </w:r>
      <w:r>
        <w:t>ли помощи будут работать совместно со своими социальными работниками в целях определения своих ближайших и долгосрочных потребностей по самому широкому ряду вопросов. Предполагается, что такой более гибкий и индивид</w:t>
      </w:r>
      <w:r>
        <w:t>у</w:t>
      </w:r>
      <w:r>
        <w:t>альный подход поможет учитывать положение пожилых женщин и даст же</w:t>
      </w:r>
      <w:r>
        <w:t>н</w:t>
      </w:r>
      <w:r>
        <w:t>щинам возможность получить доступ к услугам и программам в их регионах.</w:t>
      </w:r>
    </w:p>
    <w:p w:rsidR="00000000" w:rsidRDefault="00000000">
      <w:pPr>
        <w:pStyle w:val="H23"/>
      </w:pPr>
      <w:r>
        <w:t>Женщины-инвалиды</w:t>
      </w:r>
    </w:p>
    <w:p w:rsidR="00000000" w:rsidRDefault="00000000">
      <w:pPr>
        <w:pStyle w:val="SingleTxt"/>
      </w:pPr>
      <w:r>
        <w:t>В рамках разработки программных вопросов, связанных с законопроектом «Работа в целях трудоустройства», разрабатываются процедуры для провед</w:t>
      </w:r>
      <w:r>
        <w:t>е</w:t>
      </w:r>
      <w:r>
        <w:t>ния дальнейших консультаций по проблемам, св</w:t>
      </w:r>
      <w:r>
        <w:t>я</w:t>
      </w:r>
      <w:r>
        <w:t>занным с женщинами-инвалидами, с другими учреждениями, которые занимаются оказанием помощи инвалидам, включая помощь, связанную с психическим здоровьем. Кроме того, эффективное индивидуальное регулирование, о котором говорится в закон</w:t>
      </w:r>
      <w:r>
        <w:t>о</w:t>
      </w:r>
      <w:r>
        <w:t>проекте, позволит оказывать более активную поддержку женщинам-инвалидам и обеспечивать им доступ к соответствующей деятельности и организациям в общине. См. статью 11: Занятость, стр. 117-118, где содержится информация об ух</w:t>
      </w:r>
      <w:r>
        <w:t>о</w:t>
      </w:r>
      <w:r>
        <w:t>де за детьми и субсидиях ВУД.</w:t>
      </w:r>
    </w:p>
    <w:p w:rsidR="00000000" w:rsidRDefault="00000000">
      <w:pPr>
        <w:pStyle w:val="H1"/>
      </w:pPr>
      <w:r>
        <w:t>Экономическое развитие</w:t>
      </w:r>
    </w:p>
    <w:p w:rsidR="00000000" w:rsidRDefault="00000000">
      <w:pPr>
        <w:pStyle w:val="SingleTxt"/>
      </w:pPr>
      <w:r>
        <w:t>Государственная помощь на цели экономического развития предоставл</w:t>
      </w:r>
      <w:r>
        <w:t>я</w:t>
      </w:r>
      <w:r>
        <w:t>ется в рамках программ «Индустрия Новой Зеландии». Финансовые средства, предоставляемые по линии таких программ, не являются оперативными и предназначены для оказания помощи деловым кругам в получении професси</w:t>
      </w:r>
      <w:r>
        <w:t>о</w:t>
      </w:r>
      <w:r>
        <w:t>нальных консультаций и приобретении навыков, которые помогут им быстрее принимать более эффективные решения. Программа «Индустрия Новой Зела</w:t>
      </w:r>
      <w:r>
        <w:t>н</w:t>
      </w:r>
      <w:r>
        <w:t>дии» была учреждена в 2000 году, и в настоящее время разрабатываются пр</w:t>
      </w:r>
      <w:r>
        <w:t>о</w:t>
      </w:r>
      <w:r>
        <w:t>цедуры осуществления ежегодных оценок и контроля.</w:t>
      </w:r>
    </w:p>
    <w:p w:rsidR="00000000" w:rsidRDefault="00000000">
      <w:pPr>
        <w:pStyle w:val="SingleTxt"/>
      </w:pPr>
      <w:r>
        <w:t>Программы без каких-либо специфических гендерных элементов, напра</w:t>
      </w:r>
      <w:r>
        <w:t>в</w:t>
      </w:r>
      <w:r>
        <w:t>ленные на оказание поддержки деловым кругам и промышленным секторам, предусматривают следующее:</w:t>
      </w:r>
    </w:p>
    <w:p w:rsidR="00000000" w:rsidRDefault="00000000">
      <w:pPr>
        <w:pStyle w:val="dot"/>
      </w:pPr>
      <w:r>
        <w:tab/>
      </w:r>
      <w:r>
        <w:tab/>
        <w:t>•</w:t>
      </w:r>
      <w:r>
        <w:tab/>
        <w:t>Служба развития предпринимательской деятельности и Фонд развития предпринимательской деятельности предназначены для компаний, кот</w:t>
      </w:r>
      <w:r>
        <w:t>о</w:t>
      </w:r>
      <w:r>
        <w:t>рые имеют хороший потенциал для роста, и помогают им расширить свой опыт и возможности в целях обеспечения быстрого роста, получения до</w:t>
      </w:r>
      <w:r>
        <w:t>с</w:t>
      </w:r>
      <w:r>
        <w:t>тупа к важнейшим ресурсам, координации поддержки, оказываемой дел</w:t>
      </w:r>
      <w:r>
        <w:t>о</w:t>
      </w:r>
      <w:r>
        <w:t>вым кругам самыми различными правительственными департаментами, и налаживания прочных партнерских отношений.</w:t>
      </w:r>
    </w:p>
    <w:p w:rsidR="00000000" w:rsidRDefault="00000000">
      <w:pPr>
        <w:pStyle w:val="dot"/>
      </w:pPr>
      <w:r>
        <w:tab/>
      </w:r>
      <w:r>
        <w:tab/>
        <w:t>•</w:t>
      </w:r>
      <w:r>
        <w:tab/>
        <w:t>Служба крупных инвестиций оказывает помощь в осуществлении кру</w:t>
      </w:r>
      <w:r>
        <w:t>п</w:t>
      </w:r>
      <w:r>
        <w:t>ных инвестиций в Новой Зеландии, а Фонд крупных инвестиций помогает финансировать проведение анализов экономической целесообразности и компенсировать большие затраты на осуществление.</w:t>
      </w:r>
    </w:p>
    <w:p w:rsidR="00000000" w:rsidRDefault="00000000">
      <w:pPr>
        <w:pStyle w:val="dot"/>
      </w:pPr>
      <w:r>
        <w:tab/>
      </w:r>
      <w:r>
        <w:tab/>
        <w:t>•</w:t>
      </w:r>
      <w:r>
        <w:tab/>
        <w:t>Для выявления и устранения барьеров на пути роста разрабатываются секторальные страт</w:t>
      </w:r>
      <w:r>
        <w:t>е</w:t>
      </w:r>
      <w:r>
        <w:t>гии.</w:t>
      </w:r>
    </w:p>
    <w:p w:rsidR="00000000" w:rsidRDefault="00000000">
      <w:pPr>
        <w:pStyle w:val="SingleTxt"/>
      </w:pPr>
      <w:r>
        <w:t>Программы без каких-либо специфических гендерных элементов, напра</w:t>
      </w:r>
      <w:r>
        <w:t>в</w:t>
      </w:r>
      <w:r>
        <w:t>ленные на оказание помощи малым и средним предприятиям, предусматривают следующие меры:</w:t>
      </w:r>
    </w:p>
    <w:p w:rsidR="00000000" w:rsidRDefault="00000000">
      <w:pPr>
        <w:pStyle w:val="dot"/>
      </w:pPr>
      <w:r>
        <w:tab/>
      </w:r>
      <w:r>
        <w:tab/>
        <w:t>•</w:t>
      </w:r>
      <w:r>
        <w:tab/>
        <w:t>В рамках программы БИЗ для малых и средних предприятий с помощью сети отделений, расположенных по всей стране, организуются бесплатная профессиональная подготовка и семинары по вопросам управления пре</w:t>
      </w:r>
      <w:r>
        <w:t>д</w:t>
      </w:r>
      <w:r>
        <w:t>принимательской деятельностью и создания потенциала. Предоставляется также бесплатное информационно-справочное обслуживание по источн</w:t>
      </w:r>
      <w:r>
        <w:t>и</w:t>
      </w:r>
      <w:r>
        <w:t>кам помощи деловым кругам. Одной из адресных групп этой программы являются женщины, и оценка показала, что будь то мужчины или женщ</w:t>
      </w:r>
      <w:r>
        <w:t>и</w:t>
      </w:r>
      <w:r>
        <w:t>ны, маори или лица, не принадлежащие к народности маори, — никто не встречает серьезных препятствий в получении доступа к этой программе.</w:t>
      </w:r>
    </w:p>
    <w:p w:rsidR="00000000" w:rsidRDefault="00000000">
      <w:pPr>
        <w:pStyle w:val="dot"/>
      </w:pPr>
      <w:r>
        <w:tab/>
      </w:r>
      <w:r>
        <w:tab/>
        <w:t>•</w:t>
      </w:r>
      <w:r>
        <w:tab/>
        <w:t>Программа премирования предприятий предусматривает оказание фина</w:t>
      </w:r>
      <w:r>
        <w:t>н</w:t>
      </w:r>
      <w:r>
        <w:t>совой и практической поддержки предпринимателям-новаторам и вл</w:t>
      </w:r>
      <w:r>
        <w:t>а</w:t>
      </w:r>
      <w:r>
        <w:t>дельцам малых предприятий, с тем чтобы помочь им опробовать и разр</w:t>
      </w:r>
      <w:r>
        <w:t>а</w:t>
      </w:r>
      <w:r>
        <w:t>ботать перспективные с коммерческой точки зрения концепции.</w:t>
      </w:r>
    </w:p>
    <w:p w:rsidR="00000000" w:rsidRDefault="00000000">
      <w:pPr>
        <w:pStyle w:val="dot"/>
      </w:pPr>
      <w:r>
        <w:tab/>
      </w:r>
      <w:r>
        <w:tab/>
        <w:t>•</w:t>
      </w:r>
      <w:r>
        <w:tab/>
        <w:t>Программа подготовки к инвестициям помогает мелким компаниям и предпринимателям подготовиться к мобилизации финансовых ресурсов на начальных этапах своего развития. Сюда входит семинар по подготовке мелких компаний к инвестициям и профессиональная подготовка в форме семинара-практикума по вопросам получения средств, а также посредн</w:t>
      </w:r>
      <w:r>
        <w:t>и</w:t>
      </w:r>
      <w:r>
        <w:t>чество в заключении сделок в малом бизнесе для выработки идей и з</w:t>
      </w:r>
      <w:r>
        <w:t>а</w:t>
      </w:r>
      <w:r>
        <w:t>ключения сделок в целях мобилизации финансовых средств на сумму до 5 млн. долларов.</w:t>
      </w:r>
    </w:p>
    <w:p w:rsidR="00000000" w:rsidRDefault="00000000">
      <w:pPr>
        <w:pStyle w:val="H23"/>
      </w:pPr>
      <w:r>
        <w:t>Экономическое развитие женщин-маори</w:t>
      </w:r>
    </w:p>
    <w:p w:rsidR="00000000" w:rsidRDefault="00000000">
      <w:pPr>
        <w:pStyle w:val="H4"/>
      </w:pPr>
      <w:r>
        <w:t>«Те Ара Кайпакихи»</w:t>
      </w:r>
    </w:p>
    <w:p w:rsidR="00000000" w:rsidRDefault="00000000">
      <w:pPr>
        <w:pStyle w:val="SingleTxt"/>
      </w:pPr>
      <w:r>
        <w:t>Эта инициатива, организованная в феврале 2001 года, направлена на ра</w:t>
      </w:r>
      <w:r>
        <w:t>с</w:t>
      </w:r>
      <w:r>
        <w:t>ширение возможностей развития предпринимательской деятельности для же</w:t>
      </w:r>
      <w:r>
        <w:t>н</w:t>
      </w:r>
      <w:r>
        <w:t>щин-маори, занимающихся собственным бизнесом. В «Те Ара Кайпакихи» применяется скоординированная государственная концепция с участием мин</w:t>
      </w:r>
      <w:r>
        <w:t>и</w:t>
      </w:r>
      <w:r>
        <w:t>стерства по делам женщин (МДЖ), Управления налоговых сборов, департаме</w:t>
      </w:r>
      <w:r>
        <w:t>н</w:t>
      </w:r>
      <w:r>
        <w:t>та труда, «Те Пуни Кокири», министерства экономического развития, програ</w:t>
      </w:r>
      <w:r>
        <w:t>м</w:t>
      </w:r>
      <w:r>
        <w:t>мы «Индустрия Новой Зеландии» и министерства социального развития. Эта инициатива включает следующие элементы:</w:t>
      </w:r>
    </w:p>
    <w:p w:rsidR="00000000" w:rsidRDefault="00000000">
      <w:pPr>
        <w:pStyle w:val="dot"/>
      </w:pPr>
      <w:r>
        <w:tab/>
      </w:r>
      <w:r>
        <w:tab/>
        <w:t>•</w:t>
      </w:r>
      <w:r>
        <w:tab/>
        <w:t>профессиональная подготовка в целях повышения эффективности де</w:t>
      </w:r>
      <w:r>
        <w:t>я</w:t>
      </w:r>
      <w:r>
        <w:t>тельности правительс</w:t>
      </w:r>
      <w:r>
        <w:t>т</w:t>
      </w:r>
      <w:r>
        <w:t>венных сотрудников при работе с женщинами-маори</w:t>
      </w:r>
    </w:p>
    <w:p w:rsidR="00000000" w:rsidRDefault="00000000">
      <w:pPr>
        <w:pStyle w:val="dot"/>
      </w:pPr>
      <w:r>
        <w:tab/>
      </w:r>
      <w:r>
        <w:tab/>
        <w:t>•</w:t>
      </w:r>
      <w:r>
        <w:tab/>
        <w:t>разработка программы оказания помощи сотрудникам на местах в их р</w:t>
      </w:r>
      <w:r>
        <w:t>а</w:t>
      </w:r>
      <w:r>
        <w:t>боте с женщинами-маори, з</w:t>
      </w:r>
      <w:r>
        <w:t>а</w:t>
      </w:r>
      <w:r>
        <w:t>нятыми в собственном бизнесе</w:t>
      </w:r>
    </w:p>
    <w:p w:rsidR="00000000" w:rsidRDefault="00000000">
      <w:pPr>
        <w:pStyle w:val="dot"/>
      </w:pPr>
      <w:r>
        <w:tab/>
      </w:r>
      <w:r>
        <w:tab/>
        <w:t>•</w:t>
      </w:r>
      <w:r>
        <w:tab/>
        <w:t>проведение раз в три месяца межведомственных региональных совещ</w:t>
      </w:r>
      <w:r>
        <w:t>а</w:t>
      </w:r>
      <w:r>
        <w:t>ний.</w:t>
      </w:r>
    </w:p>
    <w:p w:rsidR="00000000" w:rsidRDefault="00000000">
      <w:pPr>
        <w:pStyle w:val="SingleTxt"/>
      </w:pPr>
      <w:r>
        <w:t>В рамках «Те Ара Кайпакихи» женщины-маори также получают инфо</w:t>
      </w:r>
      <w:r>
        <w:t>р</w:t>
      </w:r>
      <w:r>
        <w:t>мационные материалы по следу</w:t>
      </w:r>
      <w:r>
        <w:t>ю</w:t>
      </w:r>
      <w:r>
        <w:t>щим вопросам:</w:t>
      </w:r>
    </w:p>
    <w:p w:rsidR="00000000" w:rsidRDefault="00000000">
      <w:pPr>
        <w:pStyle w:val="dot"/>
      </w:pPr>
      <w:r>
        <w:tab/>
      </w:r>
      <w:r>
        <w:tab/>
        <w:t>•</w:t>
      </w:r>
      <w:r>
        <w:tab/>
        <w:t>организация своего собственного дела</w:t>
      </w:r>
    </w:p>
    <w:p w:rsidR="00000000" w:rsidRDefault="00000000">
      <w:pPr>
        <w:pStyle w:val="dot"/>
      </w:pPr>
      <w:r>
        <w:tab/>
      </w:r>
      <w:r>
        <w:tab/>
        <w:t>•</w:t>
      </w:r>
      <w:r>
        <w:tab/>
        <w:t>совершенствование своего бизнеса</w:t>
      </w:r>
    </w:p>
    <w:p w:rsidR="00000000" w:rsidRDefault="00000000">
      <w:pPr>
        <w:pStyle w:val="dot"/>
      </w:pPr>
      <w:r>
        <w:tab/>
      </w:r>
      <w:r>
        <w:tab/>
        <w:t>•</w:t>
      </w:r>
      <w:r>
        <w:tab/>
        <w:t>развитие своего бизнеса.</w:t>
      </w:r>
    </w:p>
    <w:p w:rsidR="00000000" w:rsidRDefault="00000000">
      <w:pPr>
        <w:pStyle w:val="H4"/>
      </w:pPr>
      <w:r>
        <w:t>«Те Таи о Марокура» (ТТОМ)</w:t>
      </w:r>
    </w:p>
    <w:p w:rsidR="00000000" w:rsidRDefault="00000000">
      <w:pPr>
        <w:pStyle w:val="SingleTxt"/>
      </w:pPr>
      <w:r>
        <w:t>Министерство по делам женщин работает с ТТОМ — организацией соц</w:t>
      </w:r>
      <w:r>
        <w:t>и</w:t>
      </w:r>
      <w:r>
        <w:t>ального обслуживания маори в Кайкоуре. Руководство и управление ТТОМ осуществляется женщинами-маори, которые являются авторитетными лидер</w:t>
      </w:r>
      <w:r>
        <w:t>а</w:t>
      </w:r>
      <w:r>
        <w:t>ми. В течение следующих пяти лет эта организация будет уделять основное внимание осуществлению инициативы в области экономического развития в целях рационализации социальных услуг и экономического развития в рамках модели развития маори «каупапа».</w:t>
      </w:r>
    </w:p>
    <w:p w:rsidR="00000000" w:rsidRDefault="00000000">
      <w:pPr>
        <w:pStyle w:val="SingleTxt"/>
      </w:pPr>
      <w:r>
        <w:t>В 2000-2001 годах министерство по делам женщин оказывало ТТОМ по</w:t>
      </w:r>
      <w:r>
        <w:t>д</w:t>
      </w:r>
      <w:r>
        <w:t>держку для достижения ее целей. Это включало:</w:t>
      </w:r>
    </w:p>
    <w:p w:rsidR="00000000" w:rsidRDefault="00000000">
      <w:pPr>
        <w:pStyle w:val="dot"/>
      </w:pPr>
      <w:r>
        <w:tab/>
      </w:r>
      <w:r>
        <w:tab/>
        <w:t>•</w:t>
      </w:r>
      <w:r>
        <w:tab/>
        <w:t>обеспечение взаимосвязи между предпринимателями из числа женщин-маори и политикой правительства и центральными механизмами управл</w:t>
      </w:r>
      <w:r>
        <w:t>е</w:t>
      </w:r>
      <w:r>
        <w:t>ния</w:t>
      </w:r>
    </w:p>
    <w:p w:rsidR="00000000" w:rsidRDefault="00000000">
      <w:pPr>
        <w:pStyle w:val="dot"/>
      </w:pPr>
      <w:r>
        <w:tab/>
      </w:r>
      <w:r>
        <w:tab/>
        <w:t>•</w:t>
      </w:r>
      <w:r>
        <w:tab/>
        <w:t>осуществление контроля за ТТОМ на ежеквартальной основе, с тем чтобы информировать эту орган</w:t>
      </w:r>
      <w:r>
        <w:t>и</w:t>
      </w:r>
      <w:r>
        <w:t>зацию о результатах ее работы</w:t>
      </w:r>
    </w:p>
    <w:p w:rsidR="00000000" w:rsidRDefault="00000000">
      <w:pPr>
        <w:pStyle w:val="dot"/>
      </w:pPr>
      <w:r>
        <w:tab/>
      </w:r>
      <w:r>
        <w:tab/>
        <w:t>•</w:t>
      </w:r>
      <w:r>
        <w:tab/>
        <w:t>содействие контактам со специалистами и наставниками в деловых кругах женщин-маори в рамках работы службы содействия развитию предпр</w:t>
      </w:r>
      <w:r>
        <w:t>и</w:t>
      </w:r>
      <w:r>
        <w:t>нимательства среди маори</w:t>
      </w:r>
    </w:p>
    <w:p w:rsidR="00000000" w:rsidRDefault="00000000">
      <w:pPr>
        <w:pStyle w:val="dot"/>
      </w:pPr>
      <w:r>
        <w:tab/>
      </w:r>
      <w:r>
        <w:tab/>
        <w:t>•</w:t>
      </w:r>
      <w:r>
        <w:tab/>
        <w:t>постоянное участие в межучрежденческой деятельности, направленной на эк</w:t>
      </w:r>
      <w:r>
        <w:t>о</w:t>
      </w:r>
      <w:r>
        <w:t>номическое развитие женщин-маори.</w:t>
      </w:r>
    </w:p>
    <w:p w:rsidR="00000000" w:rsidRDefault="00000000">
      <w:pPr>
        <w:pStyle w:val="SingleTxt"/>
      </w:pPr>
      <w:r>
        <w:t>См. статью 11: Занятость, стр. 116, где содержится подробная информации о фонде развития женщин-маори.</w:t>
      </w:r>
    </w:p>
    <w:p w:rsidR="00000000" w:rsidRDefault="00000000">
      <w:pPr>
        <w:pStyle w:val="H1"/>
      </w:pPr>
      <w:r>
        <w:t>Отдых и спорт</w:t>
      </w:r>
    </w:p>
    <w:p w:rsidR="00000000" w:rsidRDefault="00000000">
      <w:pPr>
        <w:pStyle w:val="H23"/>
        <w:ind w:left="1264" w:firstLine="0"/>
      </w:pPr>
      <w:r>
        <w:t>Обследования занятий спортом и физической активности, проведенные в 1997-1998 и 1998-1999 годах</w:t>
      </w:r>
    </w:p>
    <w:p w:rsidR="00000000" w:rsidRDefault="00000000">
      <w:pPr>
        <w:pStyle w:val="SingleTxt"/>
      </w:pPr>
      <w:r>
        <w:t>Последние обследования, проведенные Комиссией Хиллари, показывают, что более 90 процентов жителей Новой Зеландии в возрасте старше пяти лет занимаются по крайней мере одним видом спорта или активного отдыха. Одн</w:t>
      </w:r>
      <w:r>
        <w:t>а</w:t>
      </w:r>
      <w:r>
        <w:t>ко уровень участия в таких занятиях людей в возрасте 16-17 лет ниже (80 процентов) по сравнению с другими возрастными группами, а среди дев</w:t>
      </w:r>
      <w:r>
        <w:t>у</w:t>
      </w:r>
      <w:r>
        <w:t>шек этого возраста уровень участия самый ни</w:t>
      </w:r>
      <w:r>
        <w:t>з</w:t>
      </w:r>
      <w:r>
        <w:t>кий (74 процента).</w:t>
      </w:r>
    </w:p>
    <w:p w:rsidR="00000000" w:rsidRDefault="00000000">
      <w:pPr>
        <w:pStyle w:val="SingleTxt"/>
      </w:pPr>
      <w:r>
        <w:t>Девочки и женщины реже, чем мальчики и мужчины, занимаются орган</w:t>
      </w:r>
      <w:r>
        <w:t>и</w:t>
      </w:r>
      <w:r>
        <w:t>зованными видами спорта. Девочки и женщины проявляют также меньшую ф</w:t>
      </w:r>
      <w:r>
        <w:t>и</w:t>
      </w:r>
      <w:r>
        <w:t>зическую активность по сравнению с мальчиками и мужчинами, если судить по показателям, установленным медициной в отношении здорового образа жизни. 36 процентов девочек и 34 процента женщин проявляют каждую неделю акти</w:t>
      </w:r>
      <w:r>
        <w:t>в</w:t>
      </w:r>
      <w:r>
        <w:t>ность, недостаточную для укрепления здоровья, в то время как среди мальч</w:t>
      </w:r>
      <w:r>
        <w:t>и</w:t>
      </w:r>
      <w:r>
        <w:t>ков этот показатель составляет 27 процентов, а среди мужчин — 31 процент.</w:t>
      </w:r>
    </w:p>
    <w:p w:rsidR="00000000" w:rsidRDefault="00000000">
      <w:pPr>
        <w:pStyle w:val="SingleTxt"/>
      </w:pPr>
      <w:r>
        <w:t>И среди мальчиков, и среди девочек наиболее популярным видом спорта является плавание, однако для других видов спорта и занятий разница между полами более заметна. Мальчики чаще играют в регби, футбол и крикет, в то время как девочки отдают предпочтение спортивным упражнениям, играм на св</w:t>
      </w:r>
      <w:r>
        <w:t>е</w:t>
      </w:r>
      <w:r>
        <w:t>жем воздухе и нетболу.</w:t>
      </w:r>
    </w:p>
    <w:p w:rsidR="00000000" w:rsidRDefault="00000000">
      <w:pPr>
        <w:pStyle w:val="SingleTxt"/>
      </w:pPr>
      <w:r>
        <w:t>Среди женщин участие в активных видах отдыха (как, например, работа в саду, пешие прогулки, плавание, спортивные упражнения дома) и некоторых видах спорта, как, например, нетбол, выше по сравнению с мужчинами.</w:t>
      </w:r>
    </w:p>
    <w:p w:rsidR="00000000" w:rsidRDefault="00000000">
      <w:pPr>
        <w:pStyle w:val="SingleTxt"/>
      </w:pPr>
      <w:r>
        <w:t>20 процентов мужчин и 14 процентов женщин являются добровольными спортивными работниками — тренерами, администраторами и должностными лицами. Однако женщины более склонны поддерживать молодежный спорт: здесь 15 процентов выступают в роли родителей-помощников, в то время как среди мужчин этот показатель составляет 10 процентов.</w:t>
      </w:r>
    </w:p>
    <w:p w:rsidR="00000000" w:rsidRDefault="00000000">
      <w:pPr>
        <w:pStyle w:val="H23"/>
      </w:pPr>
      <w:r>
        <w:t>Женщины-маори</w:t>
      </w:r>
    </w:p>
    <w:p w:rsidR="00000000" w:rsidRDefault="00000000">
      <w:pPr>
        <w:pStyle w:val="SingleTxt"/>
      </w:pPr>
      <w:r>
        <w:t>Комиссия Хиллари продолжала организовывать спортивные программы и программы активного отдыха для общин маори в местах их проживания в ра</w:t>
      </w:r>
      <w:r>
        <w:t>м</w:t>
      </w:r>
      <w:r>
        <w:t>ках программы «Хе Оранга Поутама» (ХОП). В регионах ХОП организованы четырнадцать кайвакахаере (спортивные координаторы маори). Мероприятия и занятия ориентированы на уровни ванау, хапу и иви, однако есть несколько программ, предназначенных для же</w:t>
      </w:r>
      <w:r>
        <w:t>н</w:t>
      </w:r>
      <w:r>
        <w:t>щин-маори. В их число входят:</w:t>
      </w:r>
    </w:p>
    <w:p w:rsidR="00000000" w:rsidRDefault="00000000">
      <w:pPr>
        <w:pStyle w:val="dot"/>
      </w:pPr>
      <w:r>
        <w:tab/>
      </w:r>
      <w:r>
        <w:tab/>
        <w:t>•</w:t>
      </w:r>
      <w:r>
        <w:tab/>
        <w:t>группа степ-танца «Роторуа Марае», которая демонстрирует пользу еж</w:t>
      </w:r>
      <w:r>
        <w:t>е</w:t>
      </w:r>
      <w:r>
        <w:t>дневных упражнений. Группа начала свою деятельность в 1995 году и в настоящее время насчитывает около 200 членов. Ей удалось побудить др</w:t>
      </w:r>
      <w:r>
        <w:t>у</w:t>
      </w:r>
      <w:r>
        <w:t>гих женщин-маори на всей территории страны проявлять физическую а</w:t>
      </w:r>
      <w:r>
        <w:t>к</w:t>
      </w:r>
      <w:r>
        <w:t>тивность. Эта группа завоевала множество престижных премий и получ</w:t>
      </w:r>
      <w:r>
        <w:t>и</w:t>
      </w:r>
      <w:r>
        <w:t>ла признание у многих видных деятелей Новой Зеландии. Возраст же</w:t>
      </w:r>
      <w:r>
        <w:t>н</w:t>
      </w:r>
      <w:r>
        <w:t>щин в группе составляет от 50 до 70 лет, а возраст трех ее участниц пр</w:t>
      </w:r>
      <w:r>
        <w:t>е</w:t>
      </w:r>
      <w:r>
        <w:t>вышает 80 лет.</w:t>
      </w:r>
    </w:p>
    <w:p w:rsidR="00000000" w:rsidRDefault="00000000">
      <w:pPr>
        <w:pStyle w:val="dot"/>
      </w:pPr>
      <w:r>
        <w:tab/>
      </w:r>
      <w:r>
        <w:tab/>
        <w:t>•</w:t>
      </w:r>
      <w:r>
        <w:tab/>
        <w:t>программа «Вахини Мау Ракау» (искусство владения оружием маори), к</w:t>
      </w:r>
      <w:r>
        <w:t>о</w:t>
      </w:r>
      <w:r>
        <w:t>торая на еженедельной основе осуществляется спортивной организацией Окленда. Раз в год организуется также национальный «Вахини Мау Р</w:t>
      </w:r>
      <w:r>
        <w:t>а</w:t>
      </w:r>
      <w:r>
        <w:t>кау» вананга (семинар).</w:t>
      </w:r>
    </w:p>
    <w:p w:rsidR="00000000" w:rsidRDefault="00000000">
      <w:pPr>
        <w:pStyle w:val="H23"/>
      </w:pPr>
      <w:r>
        <w:t>Стратегия «женщины-победительницы» — «Вахине Тоа»</w:t>
      </w:r>
    </w:p>
    <w:p w:rsidR="00000000" w:rsidRDefault="00000000">
      <w:pPr>
        <w:pStyle w:val="SingleTxt"/>
      </w:pPr>
      <w:r>
        <w:t>Исследование, проведенное Комиссией Хиллари, показывает, что девочки и женщины реже занимаются спортом и активными видами отдыха по сравн</w:t>
      </w:r>
      <w:r>
        <w:t>е</w:t>
      </w:r>
      <w:r>
        <w:t>нию с мальчиками и мужчинами и поэтому политика Комиссии заключается в обеспечении того, чтобы большее число девочек и женщин занимались спо</w:t>
      </w:r>
      <w:r>
        <w:t>р</w:t>
      </w:r>
      <w:r>
        <w:t>том и занимали ведущие позиции на всех уровнях.</w:t>
      </w:r>
    </w:p>
    <w:p w:rsidR="00000000" w:rsidRDefault="00000000">
      <w:pPr>
        <w:pStyle w:val="SingleTxt"/>
      </w:pPr>
      <w:r>
        <w:t>Команды новозеландских женщин воодушевляют примеры выступлений на международных соревнованиях, когда были завоеваны звания чемпионов мира по регби, крикету и бегу в горах. Женскому спорту также уделяется бол</w:t>
      </w:r>
      <w:r>
        <w:t>ь</w:t>
      </w:r>
      <w:r>
        <w:t>ше эфирного времени на телевидении Новой Зеландии, и в целом он получает более шир</w:t>
      </w:r>
      <w:r>
        <w:t>о</w:t>
      </w:r>
      <w:r>
        <w:t>кое освещение в средствах массовой информации.</w:t>
      </w:r>
    </w:p>
    <w:p w:rsidR="00000000" w:rsidRDefault="00000000">
      <w:pPr>
        <w:pStyle w:val="SingleTxt"/>
      </w:pPr>
      <w:r>
        <w:t>Для того чтобы обеспечить женщинам и девочкам беспрепятственный доступ к избранному ими виду спорта, разработанная Комиссией стратегия «Женщины-победительницы», Хартия женщин-победительниц и политика в области молодежного спорта направлены на стимулирование участия девочек и женщин и их активных занятий спортом. Среди программ и видов деятельн</w:t>
      </w:r>
      <w:r>
        <w:t>о</w:t>
      </w:r>
      <w:r>
        <w:t>сти можно назвать сл</w:t>
      </w:r>
      <w:r>
        <w:t>е</w:t>
      </w:r>
      <w:r>
        <w:t>дующие:</w:t>
      </w:r>
    </w:p>
    <w:p w:rsidR="00000000" w:rsidRDefault="00000000">
      <w:pPr>
        <w:pStyle w:val="dot"/>
      </w:pPr>
      <w:r>
        <w:tab/>
      </w:r>
      <w:r>
        <w:tab/>
        <w:t>•</w:t>
      </w:r>
      <w:r>
        <w:tab/>
        <w:t>проекты «Женщины в спорте» — помогают национальным спортивным организациям разрабатывать стратегии для вовлечения большего числа же</w:t>
      </w:r>
      <w:r>
        <w:t>н</w:t>
      </w:r>
      <w:r>
        <w:t>щин в занятия спортом</w:t>
      </w:r>
    </w:p>
    <w:p w:rsidR="00000000" w:rsidRDefault="00000000">
      <w:pPr>
        <w:pStyle w:val="dot"/>
      </w:pPr>
      <w:r>
        <w:tab/>
      </w:r>
      <w:r>
        <w:tab/>
        <w:t>•</w:t>
      </w:r>
      <w:r>
        <w:tab/>
        <w:t xml:space="preserve"> «Равенство мужчин и женщин» — эта программа помогает спортивным организациям определить, предоставляют ли они женщинам и девочкам нео</w:t>
      </w:r>
      <w:r>
        <w:t>б</w:t>
      </w:r>
      <w:r>
        <w:t>ходимые и равные возможности</w:t>
      </w:r>
    </w:p>
    <w:p w:rsidR="00000000" w:rsidRDefault="00000000">
      <w:pPr>
        <w:pStyle w:val="dot"/>
      </w:pPr>
      <w:r>
        <w:tab/>
      </w:r>
      <w:r>
        <w:tab/>
        <w:t>•</w:t>
      </w:r>
      <w:r>
        <w:tab/>
        <w:t>курсы и семинары по развитию навыков лидеров — каждый год эти курсы з</w:t>
      </w:r>
      <w:r>
        <w:t>а</w:t>
      </w:r>
      <w:r>
        <w:t>канчивают около 1000 женщин</w:t>
      </w:r>
    </w:p>
    <w:p w:rsidR="00000000" w:rsidRDefault="00000000">
      <w:pPr>
        <w:pStyle w:val="dot"/>
      </w:pPr>
      <w:r>
        <w:tab/>
      </w:r>
      <w:r>
        <w:tab/>
        <w:t>•</w:t>
      </w:r>
      <w:r>
        <w:tab/>
        <w:t>программы «Образец для подражания» — около 120 женщин-спортсменок учатся, как выступать на публике и поддерживать отношения со средств</w:t>
      </w:r>
      <w:r>
        <w:t>а</w:t>
      </w:r>
      <w:r>
        <w:t>ми массовой информации, и они могут также выст</w:t>
      </w:r>
      <w:r>
        <w:t>у</w:t>
      </w:r>
      <w:r>
        <w:t>пать в школах</w:t>
      </w:r>
    </w:p>
    <w:p w:rsidR="00000000" w:rsidRDefault="00000000">
      <w:pPr>
        <w:pStyle w:val="dot"/>
      </w:pPr>
      <w:r>
        <w:tab/>
      </w:r>
      <w:r>
        <w:tab/>
        <w:t>•</w:t>
      </w:r>
      <w:r>
        <w:tab/>
        <w:t>программы физического воспитания — способствуют привлечению бол</w:t>
      </w:r>
      <w:r>
        <w:t>ь</w:t>
      </w:r>
      <w:r>
        <w:t>шего числа девочек к занят</w:t>
      </w:r>
      <w:r>
        <w:t>и</w:t>
      </w:r>
      <w:r>
        <w:t>ям спортом в начальной и средней школе</w:t>
      </w:r>
    </w:p>
    <w:p w:rsidR="00000000" w:rsidRDefault="00000000">
      <w:pPr>
        <w:pStyle w:val="dot"/>
      </w:pPr>
      <w:r>
        <w:tab/>
      </w:r>
      <w:r>
        <w:tab/>
        <w:t>•</w:t>
      </w:r>
      <w:r>
        <w:tab/>
        <w:t xml:space="preserve"> «Женщины на пути к успеху» — программа, которая демонстрирует во</w:t>
      </w:r>
      <w:r>
        <w:t>з</w:t>
      </w:r>
      <w:r>
        <w:t>можности достижения успехов в спорте девушкам, учащимся в средней школе.</w:t>
      </w:r>
    </w:p>
    <w:p w:rsidR="00000000" w:rsidRDefault="00000000">
      <w:pPr>
        <w:pStyle w:val="SingleTxt"/>
      </w:pPr>
      <w:r>
        <w:t>К 2001 году десять национальных спортивных организаций достигли того уровня качества спортивной работы, который был установлен Комиссией Хи</w:t>
      </w:r>
      <w:r>
        <w:t>л</w:t>
      </w:r>
      <w:r>
        <w:t>лари и который необходим для их участия в иници</w:t>
      </w:r>
      <w:r>
        <w:t>а</w:t>
      </w:r>
      <w:r>
        <w:t>тиве «Женщины-победительницы», а 37 организаций работали над достижением этого уровня.</w:t>
      </w:r>
    </w:p>
    <w:p w:rsidR="00000000" w:rsidRDefault="00000000">
      <w:pPr>
        <w:pStyle w:val="SingleTxt"/>
      </w:pPr>
      <w:r>
        <w:t>В сентябре 1999 года в Крайстчерче был проведен второй семинар «Же</w:t>
      </w:r>
      <w:r>
        <w:t>н</w:t>
      </w:r>
      <w:r>
        <w:t>щины-победительницы», с тем чтобы стимулировать большее число женщин к занятиям спортом и признать заслуги тех, кто уже занимает ведущие позиции. Ораторы из различных стран говорили о глобальных проблемах, с которыми по-прежнему сталкиваются женщины в спорте.</w:t>
      </w:r>
    </w:p>
    <w:p w:rsidR="00000000" w:rsidRDefault="00000000">
      <w:pPr>
        <w:pStyle w:val="SingleTxt"/>
      </w:pPr>
      <w:r>
        <w:t>Комиссия также способствовала разработке глобальных стратегий с п</w:t>
      </w:r>
      <w:r>
        <w:t>о</w:t>
      </w:r>
      <w:r>
        <w:t>мощью международной рабочей группы «Женщины в спорте», а в марте 2000 года ее вклад в развитие женского спорта был признан Международным олимпийским комитетом (МОК), который присудил ей премию «Женщины в спорте».</w:t>
      </w:r>
    </w:p>
    <w:p w:rsidR="00000000" w:rsidRDefault="00000000">
      <w:pPr>
        <w:pStyle w:val="SingleTxt"/>
      </w:pPr>
      <w:r>
        <w:t>В 1998-1999 годах Комиссия разрабатывала политику и процедуры для з</w:t>
      </w:r>
      <w:r>
        <w:t>а</w:t>
      </w:r>
      <w:r>
        <w:t>нятий спортом без угрозы каких-либо посягательств. Были опубликованы бр</w:t>
      </w:r>
      <w:r>
        <w:t>о</w:t>
      </w:r>
      <w:r>
        <w:t>шюры для пропаганды этой политики и процедур среди спортсменов, тренеров, администраторов и спортивных организаций. Для содействия осуществлению этой политики региональными и национальными спортивными организациями и подготовки персонала в качестве сотрудников для контактов и рассмотрения жалоб было проведено четыре общенациональных учебных семин</w:t>
      </w:r>
      <w:r>
        <w:t>а</w:t>
      </w:r>
      <w:r>
        <w:t>ра.</w:t>
      </w:r>
    </w:p>
    <w:p w:rsidR="00000000" w:rsidRDefault="00000000">
      <w:pPr>
        <w:pStyle w:val="H23"/>
      </w:pPr>
      <w:r>
        <w:t>Программа в школах</w:t>
      </w:r>
    </w:p>
    <w:p w:rsidR="00000000" w:rsidRDefault="00000000">
      <w:pPr>
        <w:pStyle w:val="SingleTxt"/>
      </w:pPr>
      <w:r>
        <w:t>Новый курс, направленный на укрепление здоровья и развития физич</w:t>
      </w:r>
      <w:r>
        <w:t>е</w:t>
      </w:r>
      <w:r>
        <w:t>ского воспитания, в учебном плане Новой Зеландии является основой для ус</w:t>
      </w:r>
      <w:r>
        <w:t>т</w:t>
      </w:r>
      <w:r>
        <w:t>ранения барьеров на пути занятий спортом среди учащихся. Комиссия Хиллари оказала существенную поддержку в деле увеличения числа девушек, занима</w:t>
      </w:r>
      <w:r>
        <w:t>ю</w:t>
      </w:r>
      <w:r>
        <w:t>щихся спортом и активными видами отдыха. Исследование показывает, что благодаря разработанной Комиссией видоизмененной спортивной программе «Киви спорт» и проекту создания сети спортивных координаторов для средней школы «Спортлифт» уровень занятий спортом среди девочек и мальчиков в возрасте до 12 лет практически один и тот же.</w:t>
      </w:r>
    </w:p>
    <w:p w:rsidR="00000000" w:rsidRDefault="00000000">
      <w:pPr>
        <w:pStyle w:val="SingleTxt"/>
      </w:pPr>
      <w:r>
        <w:t>Участие девушек в занятиях спортом в средней школе также продолжало возрастать. С 1991 по 2000 год уровень участия возрос на 19 процентных пун</w:t>
      </w:r>
      <w:r>
        <w:t>к</w:t>
      </w:r>
      <w:r>
        <w:t>тов. Добившимся высоких результатов девушкам-спортсменкам также помог</w:t>
      </w:r>
      <w:r>
        <w:t>а</w:t>
      </w:r>
      <w:r>
        <w:t>ют сочетать занятия спортом с учебой и другими аспектами их жизни с пом</w:t>
      </w:r>
      <w:r>
        <w:t>о</w:t>
      </w:r>
      <w:r>
        <w:t>щью семинаров, организуемых в их школах «послами спорта».</w:t>
      </w:r>
    </w:p>
    <w:p w:rsidR="00000000" w:rsidRDefault="00000000">
      <w:pPr>
        <w:pStyle w:val="SingleTxt"/>
        <w:ind w:firstLine="0"/>
        <w:jc w:val="left"/>
        <w:rPr>
          <w:b/>
        </w:rPr>
      </w:pPr>
      <w:r>
        <w:rPr>
          <w:b/>
        </w:rPr>
        <w:t xml:space="preserve">Участие жителей Новой Зеландии в занятиях спортом </w:t>
      </w:r>
      <w:r>
        <w:rPr>
          <w:b/>
        </w:rPr>
        <w:br/>
        <w:t>и активных видах отдыха</w:t>
      </w:r>
    </w:p>
    <w:tbl>
      <w:tblPr>
        <w:tblW w:w="0" w:type="auto"/>
        <w:tblInd w:w="1329" w:type="dxa"/>
        <w:tblLayout w:type="fixed"/>
        <w:tblCellMar>
          <w:left w:w="57" w:type="dxa"/>
          <w:right w:w="57" w:type="dxa"/>
        </w:tblCellMar>
        <w:tblLook w:val="0000" w:firstRow="0" w:lastRow="0" w:firstColumn="0" w:lastColumn="0" w:noHBand="0" w:noVBand="0"/>
      </w:tblPr>
      <w:tblGrid>
        <w:gridCol w:w="2249"/>
        <w:gridCol w:w="795"/>
        <w:gridCol w:w="795"/>
        <w:gridCol w:w="795"/>
        <w:gridCol w:w="940"/>
        <w:gridCol w:w="865"/>
        <w:gridCol w:w="857"/>
      </w:tblGrid>
      <w:tr w:rsidR="00000000">
        <w:tblPrEx>
          <w:tblCellMar>
            <w:top w:w="0" w:type="dxa"/>
            <w:bottom w:w="0" w:type="dxa"/>
          </w:tblCellMar>
        </w:tblPrEx>
        <w:trPr>
          <w:tblHeader/>
        </w:trPr>
        <w:tc>
          <w:tcPr>
            <w:tcW w:w="2249" w:type="dxa"/>
            <w:tcBorders>
              <w:top w:val="single" w:sz="6" w:space="0" w:color="auto"/>
            </w:tcBorders>
          </w:tcPr>
          <w:p w:rsidR="00000000" w:rsidRDefault="00000000">
            <w:pPr>
              <w:spacing w:before="40" w:after="40" w:line="160" w:lineRule="exact"/>
              <w:rPr>
                <w:sz w:val="17"/>
              </w:rPr>
            </w:pPr>
          </w:p>
        </w:tc>
        <w:tc>
          <w:tcPr>
            <w:tcW w:w="795" w:type="dxa"/>
            <w:tcBorders>
              <w:top w:val="single" w:sz="6" w:space="0" w:color="auto"/>
              <w:bottom w:val="single" w:sz="6" w:space="0" w:color="auto"/>
            </w:tcBorders>
            <w:vAlign w:val="center"/>
          </w:tcPr>
          <w:p w:rsidR="00000000" w:rsidRDefault="00000000">
            <w:pPr>
              <w:spacing w:before="40" w:after="40" w:line="160" w:lineRule="exact"/>
              <w:jc w:val="center"/>
              <w:rPr>
                <w:i/>
                <w:sz w:val="14"/>
              </w:rPr>
            </w:pPr>
            <w:r>
              <w:rPr>
                <w:i/>
                <w:sz w:val="14"/>
              </w:rPr>
              <w:t>Мал</w:t>
            </w:r>
            <w:r>
              <w:rPr>
                <w:i/>
                <w:sz w:val="14"/>
              </w:rPr>
              <w:t>ь</w:t>
            </w:r>
            <w:r>
              <w:rPr>
                <w:i/>
                <w:sz w:val="14"/>
              </w:rPr>
              <w:t>чики</w:t>
            </w:r>
          </w:p>
        </w:tc>
        <w:tc>
          <w:tcPr>
            <w:tcW w:w="795" w:type="dxa"/>
            <w:tcBorders>
              <w:top w:val="single" w:sz="6" w:space="0" w:color="auto"/>
              <w:bottom w:val="single" w:sz="6" w:space="0" w:color="auto"/>
            </w:tcBorders>
            <w:vAlign w:val="center"/>
          </w:tcPr>
          <w:p w:rsidR="00000000" w:rsidRDefault="00000000">
            <w:pPr>
              <w:spacing w:before="40" w:after="40" w:line="160" w:lineRule="exact"/>
              <w:jc w:val="center"/>
              <w:rPr>
                <w:i/>
                <w:sz w:val="14"/>
              </w:rPr>
            </w:pPr>
            <w:r>
              <w:rPr>
                <w:i/>
                <w:sz w:val="14"/>
              </w:rPr>
              <w:t>Дево</w:t>
            </w:r>
            <w:r>
              <w:rPr>
                <w:i/>
                <w:sz w:val="14"/>
              </w:rPr>
              <w:t>ч</w:t>
            </w:r>
            <w:r>
              <w:rPr>
                <w:i/>
                <w:sz w:val="14"/>
              </w:rPr>
              <w:t>ки</w:t>
            </w:r>
          </w:p>
        </w:tc>
        <w:tc>
          <w:tcPr>
            <w:tcW w:w="795" w:type="dxa"/>
            <w:tcBorders>
              <w:top w:val="single" w:sz="6" w:space="0" w:color="auto"/>
              <w:bottom w:val="single" w:sz="6" w:space="0" w:color="auto"/>
            </w:tcBorders>
            <w:vAlign w:val="center"/>
          </w:tcPr>
          <w:p w:rsidR="00000000" w:rsidRDefault="00000000">
            <w:pPr>
              <w:spacing w:before="40" w:after="40" w:line="160" w:lineRule="exact"/>
              <w:jc w:val="center"/>
              <w:rPr>
                <w:i/>
                <w:sz w:val="14"/>
              </w:rPr>
            </w:pPr>
            <w:r>
              <w:rPr>
                <w:i/>
                <w:sz w:val="14"/>
              </w:rPr>
              <w:t>Все мол</w:t>
            </w:r>
            <w:r>
              <w:rPr>
                <w:i/>
                <w:sz w:val="14"/>
              </w:rPr>
              <w:t>о</w:t>
            </w:r>
            <w:r>
              <w:rPr>
                <w:i/>
                <w:sz w:val="14"/>
              </w:rPr>
              <w:t xml:space="preserve">дые люди </w:t>
            </w:r>
            <w:r>
              <w:rPr>
                <w:i/>
                <w:sz w:val="14"/>
              </w:rPr>
              <w:br/>
              <w:t>(5-17 лет)</w:t>
            </w:r>
          </w:p>
        </w:tc>
        <w:tc>
          <w:tcPr>
            <w:tcW w:w="940" w:type="dxa"/>
            <w:tcBorders>
              <w:top w:val="single" w:sz="6" w:space="0" w:color="auto"/>
              <w:bottom w:val="single" w:sz="6" w:space="0" w:color="auto"/>
            </w:tcBorders>
            <w:vAlign w:val="center"/>
          </w:tcPr>
          <w:p w:rsidR="00000000" w:rsidRDefault="00000000">
            <w:pPr>
              <w:spacing w:before="40" w:after="40" w:line="160" w:lineRule="exact"/>
              <w:jc w:val="center"/>
              <w:rPr>
                <w:i/>
                <w:sz w:val="14"/>
              </w:rPr>
            </w:pPr>
            <w:r>
              <w:rPr>
                <w:i/>
                <w:sz w:val="14"/>
              </w:rPr>
              <w:t>Мужч</w:t>
            </w:r>
            <w:r>
              <w:rPr>
                <w:i/>
                <w:sz w:val="14"/>
              </w:rPr>
              <w:t>и</w:t>
            </w:r>
            <w:r>
              <w:rPr>
                <w:i/>
                <w:sz w:val="14"/>
              </w:rPr>
              <w:t>ны</w:t>
            </w:r>
          </w:p>
        </w:tc>
        <w:tc>
          <w:tcPr>
            <w:tcW w:w="865" w:type="dxa"/>
            <w:tcBorders>
              <w:top w:val="single" w:sz="6" w:space="0" w:color="auto"/>
              <w:bottom w:val="single" w:sz="6" w:space="0" w:color="auto"/>
            </w:tcBorders>
            <w:vAlign w:val="center"/>
          </w:tcPr>
          <w:p w:rsidR="00000000" w:rsidRDefault="00000000">
            <w:pPr>
              <w:spacing w:before="40" w:after="40" w:line="160" w:lineRule="exact"/>
              <w:jc w:val="center"/>
              <w:rPr>
                <w:i/>
                <w:sz w:val="14"/>
              </w:rPr>
            </w:pPr>
            <w:r>
              <w:rPr>
                <w:i/>
                <w:sz w:val="14"/>
              </w:rPr>
              <w:t>Же</w:t>
            </w:r>
            <w:r>
              <w:rPr>
                <w:i/>
                <w:sz w:val="14"/>
              </w:rPr>
              <w:t>н</w:t>
            </w:r>
            <w:r>
              <w:rPr>
                <w:i/>
                <w:sz w:val="14"/>
              </w:rPr>
              <w:t>щины</w:t>
            </w:r>
          </w:p>
        </w:tc>
        <w:tc>
          <w:tcPr>
            <w:tcW w:w="857" w:type="dxa"/>
            <w:tcBorders>
              <w:top w:val="single" w:sz="6" w:space="0" w:color="auto"/>
              <w:bottom w:val="single" w:sz="6" w:space="0" w:color="auto"/>
            </w:tcBorders>
            <w:vAlign w:val="center"/>
          </w:tcPr>
          <w:p w:rsidR="00000000" w:rsidRDefault="00000000">
            <w:pPr>
              <w:spacing w:before="40" w:after="40" w:line="160" w:lineRule="exact"/>
              <w:jc w:val="center"/>
              <w:rPr>
                <w:i/>
                <w:sz w:val="14"/>
              </w:rPr>
            </w:pPr>
            <w:r>
              <w:rPr>
                <w:i/>
                <w:sz w:val="14"/>
              </w:rPr>
              <w:t>Все взро</w:t>
            </w:r>
            <w:r>
              <w:rPr>
                <w:i/>
                <w:sz w:val="14"/>
              </w:rPr>
              <w:t>с</w:t>
            </w:r>
            <w:r>
              <w:rPr>
                <w:i/>
                <w:sz w:val="14"/>
              </w:rPr>
              <w:t>лые (18 лет и ста</w:t>
            </w:r>
            <w:r>
              <w:rPr>
                <w:i/>
                <w:sz w:val="14"/>
              </w:rPr>
              <w:t>р</w:t>
            </w:r>
            <w:r>
              <w:rPr>
                <w:i/>
                <w:sz w:val="14"/>
              </w:rPr>
              <w:t>ше)</w:t>
            </w:r>
          </w:p>
        </w:tc>
      </w:tr>
      <w:tr w:rsidR="00000000">
        <w:tblPrEx>
          <w:tblCellMar>
            <w:top w:w="0" w:type="dxa"/>
            <w:bottom w:w="0" w:type="dxa"/>
          </w:tblCellMar>
        </w:tblPrEx>
        <w:trPr>
          <w:cantSplit/>
          <w:tblHeader/>
        </w:trPr>
        <w:tc>
          <w:tcPr>
            <w:tcW w:w="2249" w:type="dxa"/>
            <w:tcBorders>
              <w:bottom w:val="single" w:sz="12" w:space="0" w:color="auto"/>
            </w:tcBorders>
          </w:tcPr>
          <w:p w:rsidR="00000000" w:rsidRDefault="00000000">
            <w:pPr>
              <w:spacing w:before="40" w:after="40" w:line="160" w:lineRule="exact"/>
              <w:rPr>
                <w:sz w:val="17"/>
              </w:rPr>
            </w:pPr>
          </w:p>
        </w:tc>
        <w:tc>
          <w:tcPr>
            <w:tcW w:w="2385" w:type="dxa"/>
            <w:gridSpan w:val="3"/>
            <w:tcBorders>
              <w:top w:val="single" w:sz="6" w:space="0" w:color="auto"/>
              <w:bottom w:val="single" w:sz="12" w:space="0" w:color="auto"/>
            </w:tcBorders>
          </w:tcPr>
          <w:p w:rsidR="00000000" w:rsidRDefault="00000000">
            <w:pPr>
              <w:spacing w:before="40" w:after="40" w:line="160" w:lineRule="exact"/>
              <w:jc w:val="center"/>
              <w:rPr>
                <w:i/>
                <w:sz w:val="14"/>
              </w:rPr>
            </w:pPr>
            <w:r>
              <w:rPr>
                <w:i/>
                <w:sz w:val="14"/>
              </w:rPr>
              <w:t>Двухнедельный охват</w:t>
            </w:r>
          </w:p>
        </w:tc>
        <w:tc>
          <w:tcPr>
            <w:tcW w:w="2662" w:type="dxa"/>
            <w:gridSpan w:val="3"/>
            <w:tcBorders>
              <w:top w:val="single" w:sz="6" w:space="0" w:color="auto"/>
              <w:bottom w:val="single" w:sz="12" w:space="0" w:color="auto"/>
            </w:tcBorders>
          </w:tcPr>
          <w:p w:rsidR="00000000" w:rsidRDefault="00000000">
            <w:pPr>
              <w:spacing w:before="40" w:after="40" w:line="160" w:lineRule="exact"/>
              <w:jc w:val="center"/>
              <w:rPr>
                <w:i/>
                <w:sz w:val="14"/>
              </w:rPr>
            </w:pPr>
            <w:r>
              <w:rPr>
                <w:i/>
                <w:sz w:val="14"/>
              </w:rPr>
              <w:t>Годовой охват</w:t>
            </w:r>
          </w:p>
        </w:tc>
      </w:tr>
      <w:tr w:rsidR="00000000">
        <w:tblPrEx>
          <w:tblCellMar>
            <w:top w:w="0" w:type="dxa"/>
            <w:bottom w:w="0" w:type="dxa"/>
          </w:tblCellMar>
        </w:tblPrEx>
        <w:tc>
          <w:tcPr>
            <w:tcW w:w="2249" w:type="dxa"/>
            <w:tcBorders>
              <w:top w:val="single" w:sz="12" w:space="0" w:color="auto"/>
            </w:tcBorders>
          </w:tcPr>
          <w:p w:rsidR="00000000" w:rsidRDefault="00000000">
            <w:pPr>
              <w:pStyle w:val="Header"/>
              <w:tabs>
                <w:tab w:val="clear" w:pos="4320"/>
                <w:tab w:val="clear" w:pos="8640"/>
              </w:tabs>
              <w:spacing w:before="40" w:after="40" w:line="180" w:lineRule="exact"/>
              <w:rPr>
                <w:noProof w:val="0"/>
                <w:spacing w:val="4"/>
                <w:w w:val="103"/>
                <w:kern w:val="14"/>
              </w:rPr>
            </w:pPr>
            <w:r>
              <w:rPr>
                <w:noProof w:val="0"/>
                <w:spacing w:val="4"/>
                <w:w w:val="103"/>
                <w:kern w:val="14"/>
              </w:rPr>
              <w:t>Процентная доля лиц, принимающих участие в занятиях по крайней мере одним видом спорта или активного отдыха</w:t>
            </w:r>
          </w:p>
        </w:tc>
        <w:tc>
          <w:tcPr>
            <w:tcW w:w="795" w:type="dxa"/>
            <w:tcBorders>
              <w:top w:val="single" w:sz="12" w:space="0" w:color="auto"/>
            </w:tcBorders>
            <w:vAlign w:val="bottom"/>
          </w:tcPr>
          <w:p w:rsidR="00000000" w:rsidRDefault="00000000">
            <w:pPr>
              <w:spacing w:before="40" w:after="40" w:line="180" w:lineRule="exact"/>
              <w:jc w:val="right"/>
              <w:rPr>
                <w:sz w:val="17"/>
              </w:rPr>
            </w:pPr>
            <w:r>
              <w:rPr>
                <w:sz w:val="17"/>
              </w:rPr>
              <w:t>93%</w:t>
            </w:r>
          </w:p>
        </w:tc>
        <w:tc>
          <w:tcPr>
            <w:tcW w:w="795" w:type="dxa"/>
            <w:tcBorders>
              <w:top w:val="single" w:sz="12" w:space="0" w:color="auto"/>
            </w:tcBorders>
            <w:vAlign w:val="bottom"/>
          </w:tcPr>
          <w:p w:rsidR="00000000" w:rsidRDefault="00000000">
            <w:pPr>
              <w:spacing w:before="40" w:after="40" w:line="180" w:lineRule="exact"/>
              <w:jc w:val="right"/>
              <w:rPr>
                <w:sz w:val="17"/>
              </w:rPr>
            </w:pPr>
            <w:r>
              <w:rPr>
                <w:sz w:val="17"/>
              </w:rPr>
              <w:t>92%</w:t>
            </w:r>
          </w:p>
        </w:tc>
        <w:tc>
          <w:tcPr>
            <w:tcW w:w="795" w:type="dxa"/>
            <w:tcBorders>
              <w:top w:val="single" w:sz="12" w:space="0" w:color="auto"/>
            </w:tcBorders>
            <w:vAlign w:val="bottom"/>
          </w:tcPr>
          <w:p w:rsidR="00000000" w:rsidRDefault="00000000">
            <w:pPr>
              <w:spacing w:before="40" w:after="40" w:line="180" w:lineRule="exact"/>
              <w:jc w:val="right"/>
              <w:rPr>
                <w:sz w:val="17"/>
              </w:rPr>
            </w:pPr>
            <w:r>
              <w:rPr>
                <w:sz w:val="17"/>
              </w:rPr>
              <w:t>93%</w:t>
            </w:r>
          </w:p>
        </w:tc>
        <w:tc>
          <w:tcPr>
            <w:tcW w:w="940" w:type="dxa"/>
            <w:tcBorders>
              <w:top w:val="single" w:sz="12" w:space="0" w:color="auto"/>
            </w:tcBorders>
            <w:vAlign w:val="bottom"/>
          </w:tcPr>
          <w:p w:rsidR="00000000" w:rsidRDefault="00000000">
            <w:pPr>
              <w:spacing w:before="40" w:after="40" w:line="180" w:lineRule="exact"/>
              <w:jc w:val="right"/>
              <w:rPr>
                <w:sz w:val="17"/>
              </w:rPr>
            </w:pPr>
            <w:r>
              <w:rPr>
                <w:sz w:val="17"/>
              </w:rPr>
              <w:t>98%</w:t>
            </w:r>
          </w:p>
        </w:tc>
        <w:tc>
          <w:tcPr>
            <w:tcW w:w="865" w:type="dxa"/>
            <w:tcBorders>
              <w:top w:val="single" w:sz="12" w:space="0" w:color="auto"/>
            </w:tcBorders>
            <w:vAlign w:val="bottom"/>
          </w:tcPr>
          <w:p w:rsidR="00000000" w:rsidRDefault="00000000">
            <w:pPr>
              <w:spacing w:before="40" w:after="40" w:line="180" w:lineRule="exact"/>
              <w:jc w:val="right"/>
              <w:rPr>
                <w:sz w:val="17"/>
              </w:rPr>
            </w:pPr>
            <w:r>
              <w:rPr>
                <w:sz w:val="17"/>
              </w:rPr>
              <w:t>98%</w:t>
            </w:r>
          </w:p>
        </w:tc>
        <w:tc>
          <w:tcPr>
            <w:tcW w:w="857" w:type="dxa"/>
            <w:tcBorders>
              <w:top w:val="single" w:sz="12" w:space="0" w:color="auto"/>
            </w:tcBorders>
            <w:vAlign w:val="bottom"/>
          </w:tcPr>
          <w:p w:rsidR="00000000" w:rsidRDefault="00000000">
            <w:pPr>
              <w:spacing w:before="40" w:after="40" w:line="180" w:lineRule="exact"/>
              <w:jc w:val="right"/>
              <w:rPr>
                <w:sz w:val="17"/>
              </w:rPr>
            </w:pPr>
            <w:r>
              <w:rPr>
                <w:sz w:val="17"/>
              </w:rPr>
              <w:t>98%</w:t>
            </w:r>
          </w:p>
        </w:tc>
      </w:tr>
      <w:tr w:rsidR="00000000">
        <w:tblPrEx>
          <w:tblCellMar>
            <w:top w:w="0" w:type="dxa"/>
            <w:bottom w:w="0" w:type="dxa"/>
          </w:tblCellMar>
        </w:tblPrEx>
        <w:tc>
          <w:tcPr>
            <w:tcW w:w="2249" w:type="dxa"/>
          </w:tcPr>
          <w:p w:rsidR="00000000" w:rsidRDefault="00000000">
            <w:pPr>
              <w:spacing w:before="40" w:after="40" w:line="180" w:lineRule="exact"/>
              <w:rPr>
                <w:sz w:val="17"/>
              </w:rPr>
            </w:pPr>
            <w:r>
              <w:rPr>
                <w:sz w:val="17"/>
              </w:rPr>
              <w:t>Число зан</w:t>
            </w:r>
            <w:r>
              <w:rPr>
                <w:sz w:val="17"/>
              </w:rPr>
              <w:t>и</w:t>
            </w:r>
            <w:r>
              <w:rPr>
                <w:sz w:val="17"/>
              </w:rPr>
              <w:t>мающихся лиц</w:t>
            </w:r>
          </w:p>
        </w:tc>
        <w:tc>
          <w:tcPr>
            <w:tcW w:w="795" w:type="dxa"/>
            <w:vAlign w:val="bottom"/>
          </w:tcPr>
          <w:p w:rsidR="00000000" w:rsidRDefault="00000000">
            <w:pPr>
              <w:spacing w:before="40" w:after="40" w:line="180" w:lineRule="exact"/>
              <w:jc w:val="right"/>
              <w:rPr>
                <w:sz w:val="17"/>
              </w:rPr>
            </w:pPr>
            <w:r>
              <w:rPr>
                <w:sz w:val="17"/>
              </w:rPr>
              <w:t>339000</w:t>
            </w:r>
          </w:p>
        </w:tc>
        <w:tc>
          <w:tcPr>
            <w:tcW w:w="795" w:type="dxa"/>
            <w:vAlign w:val="bottom"/>
          </w:tcPr>
          <w:p w:rsidR="00000000" w:rsidRDefault="00000000">
            <w:pPr>
              <w:spacing w:before="40" w:after="40" w:line="180" w:lineRule="exact"/>
              <w:jc w:val="right"/>
              <w:rPr>
                <w:sz w:val="17"/>
              </w:rPr>
            </w:pPr>
            <w:r>
              <w:rPr>
                <w:sz w:val="17"/>
              </w:rPr>
              <w:t>319000</w:t>
            </w:r>
          </w:p>
        </w:tc>
        <w:tc>
          <w:tcPr>
            <w:tcW w:w="795" w:type="dxa"/>
            <w:vAlign w:val="bottom"/>
          </w:tcPr>
          <w:p w:rsidR="00000000" w:rsidRDefault="00000000">
            <w:pPr>
              <w:spacing w:before="40" w:after="40" w:line="180" w:lineRule="exact"/>
              <w:jc w:val="right"/>
              <w:rPr>
                <w:sz w:val="17"/>
              </w:rPr>
            </w:pPr>
            <w:r>
              <w:rPr>
                <w:sz w:val="17"/>
              </w:rPr>
              <w:t>661000</w:t>
            </w:r>
          </w:p>
        </w:tc>
        <w:tc>
          <w:tcPr>
            <w:tcW w:w="940" w:type="dxa"/>
            <w:vAlign w:val="bottom"/>
          </w:tcPr>
          <w:p w:rsidR="00000000" w:rsidRDefault="00000000">
            <w:pPr>
              <w:spacing w:before="40" w:after="40" w:line="180" w:lineRule="exact"/>
              <w:jc w:val="right"/>
              <w:rPr>
                <w:sz w:val="17"/>
              </w:rPr>
            </w:pPr>
            <w:r>
              <w:rPr>
                <w:sz w:val="17"/>
              </w:rPr>
              <w:t>1,24 млн.</w:t>
            </w:r>
          </w:p>
        </w:tc>
        <w:tc>
          <w:tcPr>
            <w:tcW w:w="865" w:type="dxa"/>
            <w:vAlign w:val="bottom"/>
          </w:tcPr>
          <w:p w:rsidR="00000000" w:rsidRDefault="00000000">
            <w:pPr>
              <w:spacing w:before="40" w:after="40" w:line="180" w:lineRule="exact"/>
              <w:jc w:val="right"/>
              <w:rPr>
                <w:sz w:val="17"/>
              </w:rPr>
            </w:pPr>
            <w:r>
              <w:rPr>
                <w:sz w:val="17"/>
              </w:rPr>
              <w:t>1,33 млн.</w:t>
            </w:r>
          </w:p>
        </w:tc>
        <w:tc>
          <w:tcPr>
            <w:tcW w:w="857" w:type="dxa"/>
            <w:vAlign w:val="bottom"/>
          </w:tcPr>
          <w:p w:rsidR="00000000" w:rsidRDefault="00000000">
            <w:pPr>
              <w:spacing w:before="40" w:after="40" w:line="180" w:lineRule="exact"/>
              <w:jc w:val="right"/>
              <w:rPr>
                <w:sz w:val="17"/>
              </w:rPr>
            </w:pPr>
            <w:r>
              <w:rPr>
                <w:sz w:val="17"/>
              </w:rPr>
              <w:t>2,58 млн.</w:t>
            </w:r>
          </w:p>
        </w:tc>
      </w:tr>
      <w:tr w:rsidR="00000000">
        <w:tblPrEx>
          <w:tblCellMar>
            <w:top w:w="0" w:type="dxa"/>
            <w:bottom w:w="0" w:type="dxa"/>
          </w:tblCellMar>
        </w:tblPrEx>
        <w:tc>
          <w:tcPr>
            <w:tcW w:w="2249" w:type="dxa"/>
          </w:tcPr>
          <w:p w:rsidR="00000000" w:rsidRDefault="00000000">
            <w:pPr>
              <w:pStyle w:val="Header"/>
              <w:keepNext/>
              <w:tabs>
                <w:tab w:val="clear" w:pos="4320"/>
                <w:tab w:val="clear" w:pos="8640"/>
              </w:tabs>
              <w:spacing w:before="40" w:after="40" w:line="180" w:lineRule="exact"/>
              <w:rPr>
                <w:noProof w:val="0"/>
                <w:spacing w:val="4"/>
                <w:w w:val="103"/>
                <w:kern w:val="14"/>
              </w:rPr>
            </w:pPr>
            <w:r>
              <w:rPr>
                <w:noProof w:val="0"/>
                <w:spacing w:val="4"/>
                <w:w w:val="103"/>
                <w:kern w:val="14"/>
              </w:rPr>
              <w:t>Процентная доля лиц, принимающих участие в занятиях организованными вид</w:t>
            </w:r>
            <w:r>
              <w:rPr>
                <w:noProof w:val="0"/>
                <w:spacing w:val="4"/>
                <w:w w:val="103"/>
                <w:kern w:val="14"/>
              </w:rPr>
              <w:t>а</w:t>
            </w:r>
            <w:r>
              <w:rPr>
                <w:noProof w:val="0"/>
                <w:spacing w:val="4"/>
                <w:w w:val="103"/>
                <w:kern w:val="14"/>
              </w:rPr>
              <w:t>ми спорта</w:t>
            </w:r>
          </w:p>
        </w:tc>
        <w:tc>
          <w:tcPr>
            <w:tcW w:w="795" w:type="dxa"/>
            <w:vAlign w:val="bottom"/>
          </w:tcPr>
          <w:p w:rsidR="00000000" w:rsidRDefault="00000000">
            <w:pPr>
              <w:keepNext/>
              <w:spacing w:before="40" w:after="40" w:line="180" w:lineRule="exact"/>
              <w:jc w:val="right"/>
              <w:rPr>
                <w:sz w:val="17"/>
              </w:rPr>
            </w:pPr>
            <w:r>
              <w:rPr>
                <w:sz w:val="17"/>
              </w:rPr>
              <w:t>47%</w:t>
            </w:r>
          </w:p>
        </w:tc>
        <w:tc>
          <w:tcPr>
            <w:tcW w:w="795" w:type="dxa"/>
            <w:vAlign w:val="bottom"/>
          </w:tcPr>
          <w:p w:rsidR="00000000" w:rsidRDefault="00000000">
            <w:pPr>
              <w:pStyle w:val="Header"/>
              <w:keepNext/>
              <w:tabs>
                <w:tab w:val="clear" w:pos="4320"/>
                <w:tab w:val="clear" w:pos="8640"/>
              </w:tabs>
              <w:spacing w:before="40" w:after="40" w:line="180" w:lineRule="exact"/>
              <w:jc w:val="right"/>
              <w:rPr>
                <w:noProof w:val="0"/>
                <w:spacing w:val="4"/>
                <w:w w:val="103"/>
                <w:kern w:val="14"/>
              </w:rPr>
            </w:pPr>
            <w:r>
              <w:rPr>
                <w:noProof w:val="0"/>
                <w:spacing w:val="4"/>
                <w:w w:val="103"/>
                <w:kern w:val="14"/>
              </w:rPr>
              <w:t>40%</w:t>
            </w:r>
          </w:p>
        </w:tc>
        <w:tc>
          <w:tcPr>
            <w:tcW w:w="795" w:type="dxa"/>
            <w:vAlign w:val="bottom"/>
          </w:tcPr>
          <w:p w:rsidR="00000000" w:rsidRDefault="00000000">
            <w:pPr>
              <w:keepNext/>
              <w:spacing w:before="40" w:after="40" w:line="180" w:lineRule="exact"/>
              <w:jc w:val="right"/>
              <w:rPr>
                <w:sz w:val="17"/>
              </w:rPr>
            </w:pPr>
            <w:r>
              <w:rPr>
                <w:sz w:val="17"/>
              </w:rPr>
              <w:t>43%</w:t>
            </w:r>
          </w:p>
        </w:tc>
        <w:tc>
          <w:tcPr>
            <w:tcW w:w="940" w:type="dxa"/>
            <w:vAlign w:val="bottom"/>
          </w:tcPr>
          <w:p w:rsidR="00000000" w:rsidRDefault="00000000">
            <w:pPr>
              <w:keepNext/>
              <w:spacing w:before="40" w:after="40" w:line="180" w:lineRule="exact"/>
              <w:jc w:val="right"/>
              <w:rPr>
                <w:sz w:val="17"/>
              </w:rPr>
            </w:pPr>
            <w:r>
              <w:rPr>
                <w:sz w:val="17"/>
              </w:rPr>
              <w:t>33%</w:t>
            </w:r>
          </w:p>
        </w:tc>
        <w:tc>
          <w:tcPr>
            <w:tcW w:w="865" w:type="dxa"/>
            <w:vAlign w:val="bottom"/>
          </w:tcPr>
          <w:p w:rsidR="00000000" w:rsidRDefault="00000000">
            <w:pPr>
              <w:keepNext/>
              <w:spacing w:before="40" w:after="40" w:line="180" w:lineRule="exact"/>
              <w:jc w:val="right"/>
              <w:rPr>
                <w:sz w:val="17"/>
              </w:rPr>
            </w:pPr>
            <w:r>
              <w:rPr>
                <w:sz w:val="17"/>
              </w:rPr>
              <w:t>17%</w:t>
            </w:r>
          </w:p>
        </w:tc>
        <w:tc>
          <w:tcPr>
            <w:tcW w:w="857" w:type="dxa"/>
            <w:vAlign w:val="bottom"/>
          </w:tcPr>
          <w:p w:rsidR="00000000" w:rsidRDefault="00000000">
            <w:pPr>
              <w:keepNext/>
              <w:spacing w:before="40" w:after="40" w:line="180" w:lineRule="exact"/>
              <w:jc w:val="right"/>
              <w:rPr>
                <w:sz w:val="17"/>
              </w:rPr>
            </w:pPr>
            <w:r>
              <w:rPr>
                <w:sz w:val="17"/>
              </w:rPr>
              <w:t>25%</w:t>
            </w:r>
          </w:p>
        </w:tc>
      </w:tr>
      <w:tr w:rsidR="00000000">
        <w:tblPrEx>
          <w:tblCellMar>
            <w:top w:w="0" w:type="dxa"/>
            <w:bottom w:w="0" w:type="dxa"/>
          </w:tblCellMar>
        </w:tblPrEx>
        <w:trPr>
          <w:cantSplit/>
        </w:trPr>
        <w:tc>
          <w:tcPr>
            <w:tcW w:w="7296" w:type="dxa"/>
            <w:gridSpan w:val="7"/>
            <w:tcBorders>
              <w:bottom w:val="single" w:sz="12" w:space="0" w:color="auto"/>
            </w:tcBorders>
          </w:tcPr>
          <w:p w:rsidR="00000000" w:rsidRDefault="00000000">
            <w:pPr>
              <w:keepNext/>
              <w:spacing w:before="40" w:after="40" w:line="180" w:lineRule="exact"/>
              <w:ind w:left="1026" w:hanging="1026"/>
              <w:rPr>
                <w:sz w:val="17"/>
              </w:rPr>
            </w:pPr>
            <w:r>
              <w:rPr>
                <w:sz w:val="17"/>
              </w:rPr>
              <w:t>Примечание:</w:t>
            </w:r>
            <w:r>
              <w:rPr>
                <w:sz w:val="17"/>
              </w:rPr>
              <w:tab/>
              <w:t>Число молодых людей приведено в тысячах с округлением до ближайшей т</w:t>
            </w:r>
            <w:r>
              <w:rPr>
                <w:sz w:val="17"/>
              </w:rPr>
              <w:t>ы</w:t>
            </w:r>
            <w:r>
              <w:rPr>
                <w:sz w:val="17"/>
              </w:rPr>
              <w:t>сячи. Число взрослых приведено в миллионах с округлением до ближайших десяти тысяч.</w:t>
            </w:r>
          </w:p>
        </w:tc>
      </w:tr>
    </w:tbl>
    <w:p w:rsidR="00000000" w:rsidRDefault="00000000">
      <w:pPr>
        <w:pStyle w:val="SingleTxt"/>
        <w:ind w:firstLine="0"/>
      </w:pPr>
      <w:r>
        <w:rPr>
          <w:i/>
        </w:rPr>
        <w:t>Источник</w:t>
      </w:r>
      <w:r>
        <w:t>: Обследования занятий спортом и физической активности, которые были проведены Комиссией Хиллари в 1997-1998 и 1998-1999 годах и котор</w:t>
      </w:r>
      <w:r>
        <w:t>ы</w:t>
      </w:r>
      <w:r>
        <w:t>ми было охвачено 3135 молодых людей и 9517 взрослых.</w:t>
      </w:r>
    </w:p>
    <w:p w:rsidR="00000000" w:rsidRDefault="00000000">
      <w:pPr>
        <w:pStyle w:val="SingleTxt"/>
        <w:ind w:firstLine="0"/>
        <w:rPr>
          <w:b/>
        </w:rPr>
      </w:pPr>
      <w:r>
        <w:rPr>
          <w:b/>
        </w:rPr>
        <w:t>Пять видов спорта и занятий, наиболее популярных среди молодежи</w:t>
      </w:r>
    </w:p>
    <w:tbl>
      <w:tblPr>
        <w:tblW w:w="0" w:type="auto"/>
        <w:tblInd w:w="1278" w:type="dxa"/>
        <w:tblLayout w:type="fixed"/>
        <w:tblLook w:val="0000" w:firstRow="0" w:lastRow="0" w:firstColumn="0" w:lastColumn="0" w:noHBand="0" w:noVBand="0"/>
      </w:tblPr>
      <w:tblGrid>
        <w:gridCol w:w="2977"/>
        <w:gridCol w:w="709"/>
        <w:gridCol w:w="3118"/>
        <w:gridCol w:w="567"/>
      </w:tblGrid>
      <w:tr w:rsidR="00000000">
        <w:tblPrEx>
          <w:tblCellMar>
            <w:top w:w="0" w:type="dxa"/>
            <w:bottom w:w="0" w:type="dxa"/>
          </w:tblCellMar>
        </w:tblPrEx>
        <w:tc>
          <w:tcPr>
            <w:tcW w:w="2977" w:type="dxa"/>
            <w:tcBorders>
              <w:top w:val="single" w:sz="6" w:space="0" w:color="auto"/>
              <w:bottom w:val="single" w:sz="12" w:space="0" w:color="auto"/>
            </w:tcBorders>
          </w:tcPr>
          <w:p w:rsidR="00000000" w:rsidRDefault="00000000">
            <w:pPr>
              <w:spacing w:before="40" w:after="40" w:line="180" w:lineRule="exact"/>
              <w:rPr>
                <w:i/>
                <w:sz w:val="17"/>
              </w:rPr>
            </w:pPr>
            <w:r>
              <w:rPr>
                <w:i/>
                <w:sz w:val="17"/>
              </w:rPr>
              <w:t>Мальчики</w:t>
            </w:r>
          </w:p>
        </w:tc>
        <w:tc>
          <w:tcPr>
            <w:tcW w:w="709" w:type="dxa"/>
            <w:tcBorders>
              <w:top w:val="single" w:sz="6" w:space="0" w:color="auto"/>
              <w:bottom w:val="single" w:sz="12" w:space="0" w:color="auto"/>
            </w:tcBorders>
          </w:tcPr>
          <w:p w:rsidR="00000000" w:rsidRDefault="00000000">
            <w:pPr>
              <w:spacing w:before="40" w:after="40" w:line="180" w:lineRule="exact"/>
              <w:rPr>
                <w:i/>
                <w:sz w:val="17"/>
              </w:rPr>
            </w:pPr>
          </w:p>
        </w:tc>
        <w:tc>
          <w:tcPr>
            <w:tcW w:w="3118" w:type="dxa"/>
            <w:tcBorders>
              <w:top w:val="single" w:sz="6" w:space="0" w:color="auto"/>
              <w:bottom w:val="single" w:sz="12" w:space="0" w:color="auto"/>
            </w:tcBorders>
          </w:tcPr>
          <w:p w:rsidR="00000000" w:rsidRDefault="00000000">
            <w:pPr>
              <w:spacing w:before="40" w:after="40" w:line="180" w:lineRule="exact"/>
              <w:rPr>
                <w:i/>
                <w:sz w:val="17"/>
              </w:rPr>
            </w:pPr>
            <w:r>
              <w:rPr>
                <w:i/>
                <w:sz w:val="17"/>
              </w:rPr>
              <w:t>Девочки</w:t>
            </w:r>
          </w:p>
        </w:tc>
        <w:tc>
          <w:tcPr>
            <w:tcW w:w="567" w:type="dxa"/>
            <w:tcBorders>
              <w:top w:val="single" w:sz="6" w:space="0" w:color="auto"/>
              <w:bottom w:val="single" w:sz="12" w:space="0" w:color="auto"/>
            </w:tcBorders>
          </w:tcPr>
          <w:p w:rsidR="00000000" w:rsidRDefault="00000000">
            <w:pPr>
              <w:spacing w:before="40" w:after="40" w:line="180" w:lineRule="exact"/>
              <w:rPr>
                <w:b/>
                <w:sz w:val="17"/>
              </w:rPr>
            </w:pPr>
          </w:p>
        </w:tc>
      </w:tr>
      <w:tr w:rsidR="00000000">
        <w:tblPrEx>
          <w:tblCellMar>
            <w:top w:w="0" w:type="dxa"/>
            <w:bottom w:w="0" w:type="dxa"/>
          </w:tblCellMar>
        </w:tblPrEx>
        <w:tc>
          <w:tcPr>
            <w:tcW w:w="2977" w:type="dxa"/>
            <w:tcBorders>
              <w:top w:val="single" w:sz="12" w:space="0" w:color="auto"/>
            </w:tcBorders>
          </w:tcPr>
          <w:p w:rsidR="00000000" w:rsidRDefault="00000000">
            <w:pPr>
              <w:spacing w:before="40" w:after="40" w:line="180" w:lineRule="exact"/>
              <w:ind w:left="176" w:hanging="176"/>
              <w:rPr>
                <w:sz w:val="17"/>
              </w:rPr>
            </w:pPr>
            <w:r>
              <w:rPr>
                <w:sz w:val="17"/>
              </w:rPr>
              <w:t>1</w:t>
            </w:r>
            <w:r>
              <w:rPr>
                <w:sz w:val="17"/>
              </w:rPr>
              <w:tab/>
              <w:t>Плавание</w:t>
            </w:r>
          </w:p>
        </w:tc>
        <w:tc>
          <w:tcPr>
            <w:tcW w:w="709" w:type="dxa"/>
            <w:tcBorders>
              <w:top w:val="single" w:sz="12" w:space="0" w:color="auto"/>
            </w:tcBorders>
          </w:tcPr>
          <w:p w:rsidR="00000000" w:rsidRDefault="00000000">
            <w:pPr>
              <w:spacing w:before="40" w:after="40" w:line="180" w:lineRule="exact"/>
              <w:jc w:val="right"/>
              <w:rPr>
                <w:sz w:val="17"/>
              </w:rPr>
            </w:pPr>
            <w:r>
              <w:rPr>
                <w:sz w:val="17"/>
              </w:rPr>
              <w:t>28%</w:t>
            </w:r>
          </w:p>
        </w:tc>
        <w:tc>
          <w:tcPr>
            <w:tcW w:w="3118" w:type="dxa"/>
            <w:tcBorders>
              <w:top w:val="single" w:sz="12" w:space="0" w:color="auto"/>
            </w:tcBorders>
          </w:tcPr>
          <w:p w:rsidR="00000000" w:rsidRDefault="00000000">
            <w:pPr>
              <w:spacing w:before="40" w:after="40" w:line="180" w:lineRule="exact"/>
              <w:ind w:left="175" w:hanging="175"/>
              <w:rPr>
                <w:sz w:val="17"/>
              </w:rPr>
            </w:pPr>
            <w:r>
              <w:rPr>
                <w:sz w:val="17"/>
              </w:rPr>
              <w:t>1</w:t>
            </w:r>
            <w:r>
              <w:rPr>
                <w:sz w:val="17"/>
              </w:rPr>
              <w:tab/>
              <w:t>Плавание</w:t>
            </w:r>
          </w:p>
        </w:tc>
        <w:tc>
          <w:tcPr>
            <w:tcW w:w="567" w:type="dxa"/>
            <w:tcBorders>
              <w:top w:val="single" w:sz="12" w:space="0" w:color="auto"/>
            </w:tcBorders>
          </w:tcPr>
          <w:p w:rsidR="00000000" w:rsidRDefault="00000000">
            <w:pPr>
              <w:spacing w:before="40" w:after="40" w:line="180" w:lineRule="exact"/>
              <w:jc w:val="right"/>
              <w:rPr>
                <w:sz w:val="17"/>
              </w:rPr>
            </w:pPr>
            <w:r>
              <w:rPr>
                <w:sz w:val="17"/>
              </w:rPr>
              <w:t>32%</w:t>
            </w:r>
          </w:p>
        </w:tc>
      </w:tr>
      <w:tr w:rsidR="00000000">
        <w:tblPrEx>
          <w:tblCellMar>
            <w:top w:w="0" w:type="dxa"/>
            <w:bottom w:w="0" w:type="dxa"/>
          </w:tblCellMar>
        </w:tblPrEx>
        <w:tc>
          <w:tcPr>
            <w:tcW w:w="2977" w:type="dxa"/>
          </w:tcPr>
          <w:p w:rsidR="00000000" w:rsidRDefault="00000000">
            <w:pPr>
              <w:spacing w:before="40" w:after="40" w:line="180" w:lineRule="exact"/>
              <w:ind w:left="176" w:hanging="176"/>
              <w:rPr>
                <w:sz w:val="17"/>
              </w:rPr>
            </w:pPr>
            <w:r>
              <w:rPr>
                <w:sz w:val="17"/>
              </w:rPr>
              <w:t>2</w:t>
            </w:r>
            <w:r>
              <w:rPr>
                <w:sz w:val="17"/>
              </w:rPr>
              <w:tab/>
              <w:t>Союз регби</w:t>
            </w:r>
          </w:p>
        </w:tc>
        <w:tc>
          <w:tcPr>
            <w:tcW w:w="709" w:type="dxa"/>
          </w:tcPr>
          <w:p w:rsidR="00000000" w:rsidRDefault="00000000">
            <w:pPr>
              <w:spacing w:before="40" w:after="40" w:line="180" w:lineRule="exact"/>
              <w:jc w:val="right"/>
              <w:rPr>
                <w:sz w:val="17"/>
              </w:rPr>
            </w:pPr>
            <w:r>
              <w:rPr>
                <w:sz w:val="17"/>
              </w:rPr>
              <w:t>24%</w:t>
            </w:r>
          </w:p>
        </w:tc>
        <w:tc>
          <w:tcPr>
            <w:tcW w:w="3118" w:type="dxa"/>
          </w:tcPr>
          <w:p w:rsidR="00000000" w:rsidRDefault="00000000">
            <w:pPr>
              <w:spacing w:before="40" w:after="40" w:line="180" w:lineRule="exact"/>
              <w:ind w:left="175" w:hanging="175"/>
              <w:rPr>
                <w:sz w:val="17"/>
              </w:rPr>
            </w:pPr>
            <w:r>
              <w:rPr>
                <w:sz w:val="17"/>
              </w:rPr>
              <w:t>2</w:t>
            </w:r>
            <w:r>
              <w:rPr>
                <w:sz w:val="17"/>
              </w:rPr>
              <w:tab/>
              <w:t>Спортивные упражнения / занятия на тренажерах</w:t>
            </w:r>
          </w:p>
        </w:tc>
        <w:tc>
          <w:tcPr>
            <w:tcW w:w="567" w:type="dxa"/>
          </w:tcPr>
          <w:p w:rsidR="00000000" w:rsidRDefault="00000000">
            <w:pPr>
              <w:spacing w:before="40" w:after="40" w:line="180" w:lineRule="exact"/>
              <w:jc w:val="right"/>
              <w:rPr>
                <w:sz w:val="17"/>
              </w:rPr>
            </w:pPr>
            <w:r>
              <w:rPr>
                <w:sz w:val="17"/>
              </w:rPr>
              <w:t>26%</w:t>
            </w:r>
          </w:p>
        </w:tc>
      </w:tr>
      <w:tr w:rsidR="00000000">
        <w:tblPrEx>
          <w:tblCellMar>
            <w:top w:w="0" w:type="dxa"/>
            <w:bottom w:w="0" w:type="dxa"/>
          </w:tblCellMar>
        </w:tblPrEx>
        <w:tc>
          <w:tcPr>
            <w:tcW w:w="2977" w:type="dxa"/>
          </w:tcPr>
          <w:p w:rsidR="00000000" w:rsidRDefault="00000000">
            <w:pPr>
              <w:spacing w:before="40" w:after="40" w:line="180" w:lineRule="exact"/>
              <w:ind w:left="176" w:hanging="176"/>
              <w:rPr>
                <w:sz w:val="17"/>
              </w:rPr>
            </w:pPr>
            <w:r>
              <w:rPr>
                <w:sz w:val="17"/>
              </w:rPr>
              <w:t>3</w:t>
            </w:r>
            <w:r>
              <w:rPr>
                <w:sz w:val="17"/>
              </w:rPr>
              <w:tab/>
              <w:t>Футбол</w:t>
            </w:r>
          </w:p>
        </w:tc>
        <w:tc>
          <w:tcPr>
            <w:tcW w:w="709" w:type="dxa"/>
          </w:tcPr>
          <w:p w:rsidR="00000000" w:rsidRDefault="00000000">
            <w:pPr>
              <w:spacing w:before="40" w:after="40" w:line="180" w:lineRule="exact"/>
              <w:jc w:val="right"/>
              <w:rPr>
                <w:sz w:val="17"/>
              </w:rPr>
            </w:pPr>
            <w:r>
              <w:rPr>
                <w:sz w:val="17"/>
              </w:rPr>
              <w:t>22%</w:t>
            </w:r>
          </w:p>
        </w:tc>
        <w:tc>
          <w:tcPr>
            <w:tcW w:w="3118" w:type="dxa"/>
          </w:tcPr>
          <w:p w:rsidR="00000000" w:rsidRDefault="00000000">
            <w:pPr>
              <w:spacing w:before="40" w:after="40" w:line="180" w:lineRule="exact"/>
              <w:ind w:left="175" w:hanging="175"/>
              <w:rPr>
                <w:sz w:val="17"/>
              </w:rPr>
            </w:pPr>
            <w:r>
              <w:rPr>
                <w:sz w:val="17"/>
              </w:rPr>
              <w:t>3</w:t>
            </w:r>
            <w:r>
              <w:rPr>
                <w:sz w:val="17"/>
              </w:rPr>
              <w:tab/>
              <w:t>Игры/занятия на свежем во</w:t>
            </w:r>
            <w:r>
              <w:rPr>
                <w:sz w:val="17"/>
              </w:rPr>
              <w:t>з</w:t>
            </w:r>
            <w:r>
              <w:rPr>
                <w:sz w:val="17"/>
              </w:rPr>
              <w:t>духе</w:t>
            </w:r>
          </w:p>
        </w:tc>
        <w:tc>
          <w:tcPr>
            <w:tcW w:w="567" w:type="dxa"/>
          </w:tcPr>
          <w:p w:rsidR="00000000" w:rsidRDefault="00000000">
            <w:pPr>
              <w:spacing w:before="40" w:after="40" w:line="180" w:lineRule="exact"/>
              <w:jc w:val="right"/>
              <w:rPr>
                <w:sz w:val="17"/>
              </w:rPr>
            </w:pPr>
            <w:r>
              <w:rPr>
                <w:sz w:val="17"/>
              </w:rPr>
              <w:t>30%</w:t>
            </w:r>
          </w:p>
        </w:tc>
      </w:tr>
      <w:tr w:rsidR="00000000">
        <w:tblPrEx>
          <w:tblCellMar>
            <w:top w:w="0" w:type="dxa"/>
            <w:bottom w:w="0" w:type="dxa"/>
          </w:tblCellMar>
        </w:tblPrEx>
        <w:tc>
          <w:tcPr>
            <w:tcW w:w="2977" w:type="dxa"/>
          </w:tcPr>
          <w:p w:rsidR="00000000" w:rsidRDefault="00000000">
            <w:pPr>
              <w:spacing w:before="40" w:after="40" w:line="180" w:lineRule="exact"/>
              <w:ind w:left="176" w:hanging="176"/>
              <w:rPr>
                <w:sz w:val="17"/>
              </w:rPr>
            </w:pPr>
            <w:r>
              <w:rPr>
                <w:sz w:val="17"/>
              </w:rPr>
              <w:t>4</w:t>
            </w:r>
            <w:r>
              <w:rPr>
                <w:sz w:val="17"/>
              </w:rPr>
              <w:tab/>
              <w:t>Крикет</w:t>
            </w:r>
          </w:p>
        </w:tc>
        <w:tc>
          <w:tcPr>
            <w:tcW w:w="709" w:type="dxa"/>
          </w:tcPr>
          <w:p w:rsidR="00000000" w:rsidRDefault="00000000">
            <w:pPr>
              <w:spacing w:before="40" w:after="40" w:line="180" w:lineRule="exact"/>
              <w:jc w:val="right"/>
              <w:rPr>
                <w:sz w:val="17"/>
              </w:rPr>
            </w:pPr>
            <w:r>
              <w:rPr>
                <w:sz w:val="17"/>
              </w:rPr>
              <w:t>21%</w:t>
            </w:r>
          </w:p>
        </w:tc>
        <w:tc>
          <w:tcPr>
            <w:tcW w:w="3118" w:type="dxa"/>
          </w:tcPr>
          <w:p w:rsidR="00000000" w:rsidRDefault="00000000">
            <w:pPr>
              <w:spacing w:before="40" w:after="40" w:line="180" w:lineRule="exact"/>
              <w:ind w:left="175" w:hanging="175"/>
              <w:rPr>
                <w:sz w:val="17"/>
              </w:rPr>
            </w:pPr>
            <w:r>
              <w:rPr>
                <w:sz w:val="17"/>
              </w:rPr>
              <w:t>4</w:t>
            </w:r>
            <w:r>
              <w:rPr>
                <w:sz w:val="17"/>
              </w:rPr>
              <w:tab/>
              <w:t>Нетбол</w:t>
            </w:r>
          </w:p>
        </w:tc>
        <w:tc>
          <w:tcPr>
            <w:tcW w:w="567" w:type="dxa"/>
          </w:tcPr>
          <w:p w:rsidR="00000000" w:rsidRDefault="00000000">
            <w:pPr>
              <w:spacing w:before="40" w:after="40" w:line="180" w:lineRule="exact"/>
              <w:jc w:val="right"/>
              <w:rPr>
                <w:sz w:val="17"/>
              </w:rPr>
            </w:pPr>
            <w:r>
              <w:rPr>
                <w:sz w:val="17"/>
              </w:rPr>
              <w:t>18%</w:t>
            </w:r>
          </w:p>
        </w:tc>
      </w:tr>
      <w:tr w:rsidR="00000000">
        <w:tblPrEx>
          <w:tblCellMar>
            <w:top w:w="0" w:type="dxa"/>
            <w:bottom w:w="0" w:type="dxa"/>
          </w:tblCellMar>
        </w:tblPrEx>
        <w:tc>
          <w:tcPr>
            <w:tcW w:w="2977" w:type="dxa"/>
          </w:tcPr>
          <w:p w:rsidR="00000000" w:rsidRDefault="00000000">
            <w:pPr>
              <w:spacing w:before="40" w:after="40" w:line="180" w:lineRule="exact"/>
              <w:ind w:left="176" w:hanging="176"/>
              <w:rPr>
                <w:sz w:val="17"/>
              </w:rPr>
            </w:pPr>
            <w:r>
              <w:rPr>
                <w:sz w:val="17"/>
              </w:rPr>
              <w:t>5</w:t>
            </w:r>
            <w:r>
              <w:rPr>
                <w:sz w:val="17"/>
              </w:rPr>
              <w:tab/>
              <w:t>Велоспорт</w:t>
            </w:r>
          </w:p>
        </w:tc>
        <w:tc>
          <w:tcPr>
            <w:tcW w:w="709" w:type="dxa"/>
          </w:tcPr>
          <w:p w:rsidR="00000000" w:rsidRDefault="00000000">
            <w:pPr>
              <w:spacing w:before="40" w:after="40" w:line="180" w:lineRule="exact"/>
              <w:jc w:val="right"/>
              <w:rPr>
                <w:sz w:val="17"/>
              </w:rPr>
            </w:pPr>
            <w:r>
              <w:rPr>
                <w:sz w:val="17"/>
              </w:rPr>
              <w:t>20%</w:t>
            </w:r>
          </w:p>
        </w:tc>
        <w:tc>
          <w:tcPr>
            <w:tcW w:w="3118" w:type="dxa"/>
          </w:tcPr>
          <w:p w:rsidR="00000000" w:rsidRDefault="00000000">
            <w:pPr>
              <w:spacing w:before="40" w:after="40" w:line="180" w:lineRule="exact"/>
              <w:ind w:left="175" w:hanging="175"/>
              <w:rPr>
                <w:sz w:val="17"/>
              </w:rPr>
            </w:pPr>
            <w:r>
              <w:rPr>
                <w:sz w:val="17"/>
              </w:rPr>
              <w:t>5</w:t>
            </w:r>
            <w:r>
              <w:rPr>
                <w:sz w:val="17"/>
              </w:rPr>
              <w:tab/>
              <w:t>Велоспорт</w:t>
            </w:r>
          </w:p>
        </w:tc>
        <w:tc>
          <w:tcPr>
            <w:tcW w:w="567" w:type="dxa"/>
          </w:tcPr>
          <w:p w:rsidR="00000000" w:rsidRDefault="00000000">
            <w:pPr>
              <w:spacing w:before="40" w:after="40" w:line="180" w:lineRule="exact"/>
              <w:jc w:val="right"/>
              <w:rPr>
                <w:sz w:val="17"/>
              </w:rPr>
            </w:pPr>
            <w:r>
              <w:rPr>
                <w:sz w:val="17"/>
              </w:rPr>
              <w:t>17%</w:t>
            </w:r>
          </w:p>
        </w:tc>
      </w:tr>
      <w:tr w:rsidR="00000000">
        <w:tblPrEx>
          <w:tblCellMar>
            <w:top w:w="0" w:type="dxa"/>
            <w:bottom w:w="0" w:type="dxa"/>
          </w:tblCellMar>
        </w:tblPrEx>
        <w:tc>
          <w:tcPr>
            <w:tcW w:w="2977" w:type="dxa"/>
          </w:tcPr>
          <w:p w:rsidR="00000000" w:rsidRDefault="00000000">
            <w:pPr>
              <w:spacing w:before="40" w:after="40" w:line="180" w:lineRule="exact"/>
              <w:ind w:left="176" w:hanging="176"/>
              <w:rPr>
                <w:sz w:val="17"/>
              </w:rPr>
            </w:pPr>
            <w:r>
              <w:rPr>
                <w:sz w:val="17"/>
              </w:rPr>
              <w:t>5</w:t>
            </w:r>
            <w:r>
              <w:rPr>
                <w:sz w:val="17"/>
              </w:rPr>
              <w:tab/>
              <w:t>Спортивные упражнения / зан</w:t>
            </w:r>
            <w:r>
              <w:rPr>
                <w:sz w:val="17"/>
              </w:rPr>
              <w:t>я</w:t>
            </w:r>
            <w:r>
              <w:rPr>
                <w:sz w:val="17"/>
              </w:rPr>
              <w:t>тия на тренажерах</w:t>
            </w:r>
          </w:p>
        </w:tc>
        <w:tc>
          <w:tcPr>
            <w:tcW w:w="709" w:type="dxa"/>
          </w:tcPr>
          <w:p w:rsidR="00000000" w:rsidRDefault="00000000">
            <w:pPr>
              <w:spacing w:before="40" w:after="40" w:line="180" w:lineRule="exact"/>
              <w:jc w:val="right"/>
              <w:rPr>
                <w:sz w:val="17"/>
              </w:rPr>
            </w:pPr>
            <w:r>
              <w:rPr>
                <w:sz w:val="17"/>
              </w:rPr>
              <w:t>20%</w:t>
            </w:r>
          </w:p>
        </w:tc>
        <w:tc>
          <w:tcPr>
            <w:tcW w:w="3118" w:type="dxa"/>
          </w:tcPr>
          <w:p w:rsidR="00000000" w:rsidRDefault="00000000">
            <w:pPr>
              <w:spacing w:before="40" w:after="40" w:line="180" w:lineRule="exact"/>
              <w:rPr>
                <w:sz w:val="17"/>
              </w:rPr>
            </w:pPr>
          </w:p>
        </w:tc>
        <w:tc>
          <w:tcPr>
            <w:tcW w:w="567" w:type="dxa"/>
          </w:tcPr>
          <w:p w:rsidR="00000000" w:rsidRDefault="00000000">
            <w:pPr>
              <w:spacing w:before="40" w:after="40" w:line="180" w:lineRule="exact"/>
              <w:jc w:val="right"/>
              <w:rPr>
                <w:sz w:val="17"/>
              </w:rPr>
            </w:pPr>
          </w:p>
        </w:tc>
      </w:tr>
      <w:tr w:rsidR="00000000">
        <w:tblPrEx>
          <w:tblCellMar>
            <w:top w:w="0" w:type="dxa"/>
            <w:bottom w:w="0" w:type="dxa"/>
          </w:tblCellMar>
        </w:tblPrEx>
        <w:trPr>
          <w:cantSplit/>
        </w:trPr>
        <w:tc>
          <w:tcPr>
            <w:tcW w:w="7371" w:type="dxa"/>
            <w:gridSpan w:val="4"/>
            <w:tcBorders>
              <w:bottom w:val="single" w:sz="12" w:space="0" w:color="auto"/>
            </w:tcBorders>
          </w:tcPr>
          <w:p w:rsidR="00000000" w:rsidRDefault="00000000">
            <w:pPr>
              <w:spacing w:before="40" w:after="40" w:line="180" w:lineRule="exact"/>
              <w:rPr>
                <w:sz w:val="17"/>
              </w:rPr>
            </w:pPr>
            <w:r>
              <w:rPr>
                <w:sz w:val="17"/>
              </w:rPr>
              <w:t>Цифры показывают занятия в течение двух недель, предшествовавших опросу.</w:t>
            </w:r>
          </w:p>
        </w:tc>
      </w:tr>
    </w:tbl>
    <w:p w:rsidR="00000000" w:rsidRDefault="00000000">
      <w:pPr>
        <w:pStyle w:val="SingleTxt"/>
        <w:ind w:firstLine="0"/>
      </w:pPr>
      <w:r>
        <w:rPr>
          <w:i/>
        </w:rPr>
        <w:t>Источник</w:t>
      </w:r>
      <w:r>
        <w:t>: Комиссия Хиллари, обследования занятий спортом и физической активности, проведенные в 1997-1998 и 1998-1999 годах.</w:t>
      </w:r>
    </w:p>
    <w:p w:rsidR="00000000" w:rsidRDefault="00000000">
      <w:pPr>
        <w:pStyle w:val="SingleTxt"/>
        <w:ind w:firstLine="0"/>
        <w:jc w:val="left"/>
        <w:rPr>
          <w:b/>
        </w:rPr>
      </w:pPr>
      <w:r>
        <w:rPr>
          <w:b/>
        </w:rPr>
        <w:t xml:space="preserve">Десять видов спорта и занятий, наиболее популярных среди мужчин </w:t>
      </w:r>
      <w:r>
        <w:rPr>
          <w:b/>
        </w:rPr>
        <w:br/>
        <w:t>и женщин</w:t>
      </w: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709"/>
        <w:gridCol w:w="3118"/>
        <w:gridCol w:w="567"/>
      </w:tblGrid>
      <w:tr w:rsidR="00000000">
        <w:tblPrEx>
          <w:tblCellMar>
            <w:top w:w="0" w:type="dxa"/>
            <w:bottom w:w="0" w:type="dxa"/>
          </w:tblCellMar>
        </w:tblPrEx>
        <w:tc>
          <w:tcPr>
            <w:tcW w:w="2977" w:type="dxa"/>
            <w:tcBorders>
              <w:top w:val="single" w:sz="6" w:space="0" w:color="auto"/>
              <w:left w:val="nil"/>
              <w:bottom w:val="single" w:sz="12" w:space="0" w:color="auto"/>
              <w:right w:val="nil"/>
            </w:tcBorders>
          </w:tcPr>
          <w:p w:rsidR="00000000" w:rsidRDefault="00000000">
            <w:pPr>
              <w:spacing w:before="40" w:after="40" w:line="180" w:lineRule="exact"/>
              <w:rPr>
                <w:i/>
                <w:sz w:val="17"/>
              </w:rPr>
            </w:pPr>
            <w:r>
              <w:rPr>
                <w:i/>
                <w:sz w:val="17"/>
              </w:rPr>
              <w:t>Мужчины</w:t>
            </w:r>
          </w:p>
        </w:tc>
        <w:tc>
          <w:tcPr>
            <w:tcW w:w="709" w:type="dxa"/>
            <w:tcBorders>
              <w:top w:val="single" w:sz="6" w:space="0" w:color="auto"/>
              <w:left w:val="nil"/>
              <w:bottom w:val="single" w:sz="12" w:space="0" w:color="auto"/>
              <w:right w:val="nil"/>
            </w:tcBorders>
          </w:tcPr>
          <w:p w:rsidR="00000000" w:rsidRDefault="00000000">
            <w:pPr>
              <w:spacing w:before="40" w:after="40" w:line="180" w:lineRule="exact"/>
              <w:rPr>
                <w:i/>
                <w:sz w:val="17"/>
              </w:rPr>
            </w:pPr>
          </w:p>
        </w:tc>
        <w:tc>
          <w:tcPr>
            <w:tcW w:w="3118" w:type="dxa"/>
            <w:tcBorders>
              <w:top w:val="single" w:sz="6" w:space="0" w:color="auto"/>
              <w:left w:val="nil"/>
              <w:bottom w:val="single" w:sz="12" w:space="0" w:color="auto"/>
              <w:right w:val="nil"/>
            </w:tcBorders>
          </w:tcPr>
          <w:p w:rsidR="00000000" w:rsidRDefault="00000000">
            <w:pPr>
              <w:spacing w:before="40" w:after="40" w:line="180" w:lineRule="exact"/>
              <w:rPr>
                <w:i/>
                <w:sz w:val="17"/>
              </w:rPr>
            </w:pPr>
            <w:r>
              <w:rPr>
                <w:i/>
                <w:sz w:val="17"/>
              </w:rPr>
              <w:t>Женщины</w:t>
            </w:r>
          </w:p>
        </w:tc>
        <w:tc>
          <w:tcPr>
            <w:tcW w:w="567" w:type="dxa"/>
            <w:tcBorders>
              <w:top w:val="single" w:sz="6" w:space="0" w:color="auto"/>
              <w:left w:val="nil"/>
              <w:bottom w:val="single" w:sz="12" w:space="0" w:color="auto"/>
              <w:right w:val="nil"/>
            </w:tcBorders>
          </w:tcPr>
          <w:p w:rsidR="00000000" w:rsidRDefault="00000000">
            <w:pPr>
              <w:spacing w:before="40" w:after="40" w:line="180" w:lineRule="exact"/>
              <w:rPr>
                <w:b/>
                <w:sz w:val="17"/>
              </w:rPr>
            </w:pPr>
          </w:p>
        </w:tc>
      </w:tr>
      <w:tr w:rsidR="00000000">
        <w:tblPrEx>
          <w:tblCellMar>
            <w:top w:w="0" w:type="dxa"/>
            <w:bottom w:w="0" w:type="dxa"/>
          </w:tblCellMar>
        </w:tblPrEx>
        <w:tc>
          <w:tcPr>
            <w:tcW w:w="2977" w:type="dxa"/>
            <w:tcBorders>
              <w:top w:val="single" w:sz="12" w:space="0" w:color="auto"/>
              <w:left w:val="nil"/>
              <w:bottom w:val="nil"/>
              <w:right w:val="nil"/>
            </w:tcBorders>
          </w:tcPr>
          <w:p w:rsidR="00000000" w:rsidRDefault="00000000">
            <w:pPr>
              <w:spacing w:before="40" w:after="40" w:line="180" w:lineRule="exact"/>
              <w:ind w:left="176" w:hanging="176"/>
              <w:rPr>
                <w:sz w:val="17"/>
              </w:rPr>
            </w:pPr>
            <w:r>
              <w:rPr>
                <w:sz w:val="17"/>
              </w:rPr>
              <w:t>1</w:t>
            </w:r>
            <w:r>
              <w:rPr>
                <w:sz w:val="17"/>
              </w:rPr>
              <w:tab/>
              <w:t>Пешие прогулки</w:t>
            </w:r>
          </w:p>
        </w:tc>
        <w:tc>
          <w:tcPr>
            <w:tcW w:w="709" w:type="dxa"/>
            <w:tcBorders>
              <w:top w:val="single" w:sz="12" w:space="0" w:color="auto"/>
              <w:left w:val="nil"/>
              <w:bottom w:val="nil"/>
              <w:right w:val="nil"/>
            </w:tcBorders>
          </w:tcPr>
          <w:p w:rsidR="00000000" w:rsidRDefault="00000000">
            <w:pPr>
              <w:spacing w:before="40" w:after="40" w:line="180" w:lineRule="exact"/>
              <w:jc w:val="right"/>
              <w:rPr>
                <w:sz w:val="17"/>
              </w:rPr>
            </w:pPr>
            <w:r>
              <w:rPr>
                <w:sz w:val="17"/>
              </w:rPr>
              <w:t>60%</w:t>
            </w:r>
          </w:p>
        </w:tc>
        <w:tc>
          <w:tcPr>
            <w:tcW w:w="3118" w:type="dxa"/>
            <w:tcBorders>
              <w:top w:val="single" w:sz="12" w:space="0" w:color="auto"/>
              <w:left w:val="nil"/>
              <w:bottom w:val="nil"/>
              <w:right w:val="nil"/>
            </w:tcBorders>
          </w:tcPr>
          <w:p w:rsidR="00000000" w:rsidRDefault="00000000">
            <w:pPr>
              <w:spacing w:before="40" w:after="40" w:line="180" w:lineRule="exact"/>
              <w:ind w:left="175" w:hanging="175"/>
              <w:rPr>
                <w:sz w:val="17"/>
              </w:rPr>
            </w:pPr>
            <w:r>
              <w:rPr>
                <w:sz w:val="17"/>
              </w:rPr>
              <w:t>1</w:t>
            </w:r>
            <w:r>
              <w:rPr>
                <w:sz w:val="17"/>
              </w:rPr>
              <w:tab/>
              <w:t>Пешие прогулки</w:t>
            </w:r>
          </w:p>
        </w:tc>
        <w:tc>
          <w:tcPr>
            <w:tcW w:w="567" w:type="dxa"/>
            <w:tcBorders>
              <w:top w:val="single" w:sz="12" w:space="0" w:color="auto"/>
              <w:left w:val="nil"/>
              <w:bottom w:val="nil"/>
              <w:right w:val="nil"/>
            </w:tcBorders>
          </w:tcPr>
          <w:p w:rsidR="00000000" w:rsidRDefault="00000000">
            <w:pPr>
              <w:spacing w:before="40" w:after="40" w:line="180" w:lineRule="exact"/>
              <w:jc w:val="right"/>
              <w:rPr>
                <w:sz w:val="17"/>
              </w:rPr>
            </w:pPr>
            <w:r>
              <w:rPr>
                <w:sz w:val="17"/>
              </w:rPr>
              <w:t>81%</w:t>
            </w:r>
          </w:p>
        </w:tc>
      </w:tr>
      <w:tr w:rsidR="00000000">
        <w:tblPrEx>
          <w:tblCellMar>
            <w:top w:w="0" w:type="dxa"/>
            <w:bottom w:w="0" w:type="dxa"/>
          </w:tblCellMar>
        </w:tblPrEx>
        <w:tc>
          <w:tcPr>
            <w:tcW w:w="2977" w:type="dxa"/>
            <w:tcBorders>
              <w:top w:val="nil"/>
              <w:left w:val="nil"/>
              <w:bottom w:val="nil"/>
              <w:right w:val="nil"/>
            </w:tcBorders>
          </w:tcPr>
          <w:p w:rsidR="00000000" w:rsidRDefault="00000000">
            <w:pPr>
              <w:spacing w:before="40" w:after="40" w:line="180" w:lineRule="exact"/>
              <w:ind w:left="176" w:hanging="176"/>
              <w:rPr>
                <w:sz w:val="17"/>
              </w:rPr>
            </w:pPr>
            <w:r>
              <w:rPr>
                <w:sz w:val="17"/>
              </w:rPr>
              <w:t>2</w:t>
            </w:r>
            <w:r>
              <w:rPr>
                <w:sz w:val="17"/>
              </w:rPr>
              <w:tab/>
              <w:t>Работа в саду</w:t>
            </w:r>
          </w:p>
        </w:tc>
        <w:tc>
          <w:tcPr>
            <w:tcW w:w="709" w:type="dxa"/>
            <w:tcBorders>
              <w:top w:val="nil"/>
              <w:left w:val="nil"/>
              <w:bottom w:val="nil"/>
              <w:right w:val="nil"/>
            </w:tcBorders>
          </w:tcPr>
          <w:p w:rsidR="00000000" w:rsidRDefault="00000000">
            <w:pPr>
              <w:spacing w:before="40" w:after="40" w:line="180" w:lineRule="exact"/>
              <w:jc w:val="right"/>
              <w:rPr>
                <w:sz w:val="17"/>
              </w:rPr>
            </w:pPr>
            <w:r>
              <w:rPr>
                <w:sz w:val="17"/>
              </w:rPr>
              <w:t>52%</w:t>
            </w:r>
          </w:p>
        </w:tc>
        <w:tc>
          <w:tcPr>
            <w:tcW w:w="3118" w:type="dxa"/>
            <w:tcBorders>
              <w:top w:val="nil"/>
              <w:left w:val="nil"/>
              <w:bottom w:val="nil"/>
              <w:right w:val="nil"/>
            </w:tcBorders>
          </w:tcPr>
          <w:p w:rsidR="00000000" w:rsidRDefault="00000000">
            <w:pPr>
              <w:spacing w:before="40" w:after="40" w:line="180" w:lineRule="exact"/>
              <w:ind w:left="175" w:hanging="175"/>
              <w:rPr>
                <w:sz w:val="17"/>
              </w:rPr>
            </w:pPr>
            <w:r>
              <w:rPr>
                <w:sz w:val="17"/>
              </w:rPr>
              <w:t>2</w:t>
            </w:r>
            <w:r>
              <w:rPr>
                <w:sz w:val="17"/>
              </w:rPr>
              <w:tab/>
              <w:t>Работа в саду</w:t>
            </w:r>
          </w:p>
        </w:tc>
        <w:tc>
          <w:tcPr>
            <w:tcW w:w="567" w:type="dxa"/>
            <w:tcBorders>
              <w:top w:val="nil"/>
              <w:left w:val="nil"/>
              <w:bottom w:val="nil"/>
              <w:right w:val="nil"/>
            </w:tcBorders>
          </w:tcPr>
          <w:p w:rsidR="00000000" w:rsidRDefault="00000000">
            <w:pPr>
              <w:spacing w:before="40" w:after="40" w:line="180" w:lineRule="exact"/>
              <w:jc w:val="right"/>
              <w:rPr>
                <w:sz w:val="17"/>
              </w:rPr>
            </w:pPr>
            <w:r>
              <w:rPr>
                <w:sz w:val="17"/>
              </w:rPr>
              <w:t>68%</w:t>
            </w:r>
          </w:p>
        </w:tc>
      </w:tr>
      <w:tr w:rsidR="00000000">
        <w:tblPrEx>
          <w:tblCellMar>
            <w:top w:w="0" w:type="dxa"/>
            <w:bottom w:w="0" w:type="dxa"/>
          </w:tblCellMar>
        </w:tblPrEx>
        <w:tc>
          <w:tcPr>
            <w:tcW w:w="2977" w:type="dxa"/>
            <w:tcBorders>
              <w:top w:val="nil"/>
              <w:left w:val="nil"/>
              <w:bottom w:val="nil"/>
              <w:right w:val="nil"/>
            </w:tcBorders>
          </w:tcPr>
          <w:p w:rsidR="00000000" w:rsidRDefault="00000000">
            <w:pPr>
              <w:spacing w:before="40" w:after="40" w:line="180" w:lineRule="exact"/>
              <w:ind w:left="176" w:hanging="176"/>
              <w:rPr>
                <w:sz w:val="17"/>
              </w:rPr>
            </w:pPr>
            <w:r>
              <w:rPr>
                <w:sz w:val="17"/>
              </w:rPr>
              <w:t>3</w:t>
            </w:r>
            <w:r>
              <w:rPr>
                <w:sz w:val="17"/>
              </w:rPr>
              <w:tab/>
              <w:t>Рыбная ловля</w:t>
            </w:r>
          </w:p>
        </w:tc>
        <w:tc>
          <w:tcPr>
            <w:tcW w:w="709" w:type="dxa"/>
            <w:tcBorders>
              <w:top w:val="nil"/>
              <w:left w:val="nil"/>
              <w:bottom w:val="nil"/>
              <w:right w:val="nil"/>
            </w:tcBorders>
          </w:tcPr>
          <w:p w:rsidR="00000000" w:rsidRDefault="00000000">
            <w:pPr>
              <w:spacing w:before="40" w:after="40" w:line="180" w:lineRule="exact"/>
              <w:jc w:val="right"/>
              <w:rPr>
                <w:sz w:val="17"/>
              </w:rPr>
            </w:pPr>
            <w:r>
              <w:rPr>
                <w:sz w:val="17"/>
              </w:rPr>
              <w:t>37%</w:t>
            </w:r>
          </w:p>
        </w:tc>
        <w:tc>
          <w:tcPr>
            <w:tcW w:w="3118" w:type="dxa"/>
            <w:tcBorders>
              <w:top w:val="nil"/>
              <w:left w:val="nil"/>
              <w:bottom w:val="nil"/>
              <w:right w:val="nil"/>
            </w:tcBorders>
          </w:tcPr>
          <w:p w:rsidR="00000000" w:rsidRDefault="00000000">
            <w:pPr>
              <w:spacing w:before="40" w:after="40" w:line="180" w:lineRule="exact"/>
              <w:ind w:left="175" w:hanging="175"/>
              <w:rPr>
                <w:sz w:val="17"/>
              </w:rPr>
            </w:pPr>
            <w:r>
              <w:rPr>
                <w:sz w:val="17"/>
              </w:rPr>
              <w:t>3</w:t>
            </w:r>
            <w:r>
              <w:rPr>
                <w:sz w:val="17"/>
              </w:rPr>
              <w:tab/>
              <w:t>Плавание</w:t>
            </w:r>
          </w:p>
        </w:tc>
        <w:tc>
          <w:tcPr>
            <w:tcW w:w="567" w:type="dxa"/>
            <w:tcBorders>
              <w:top w:val="nil"/>
              <w:left w:val="nil"/>
              <w:bottom w:val="nil"/>
              <w:right w:val="nil"/>
            </w:tcBorders>
          </w:tcPr>
          <w:p w:rsidR="00000000" w:rsidRDefault="00000000">
            <w:pPr>
              <w:spacing w:before="40" w:after="40" w:line="180" w:lineRule="exact"/>
              <w:jc w:val="right"/>
              <w:rPr>
                <w:sz w:val="17"/>
              </w:rPr>
            </w:pPr>
            <w:r>
              <w:rPr>
                <w:sz w:val="17"/>
              </w:rPr>
              <w:t>38%</w:t>
            </w:r>
          </w:p>
        </w:tc>
      </w:tr>
      <w:tr w:rsidR="00000000">
        <w:tblPrEx>
          <w:tblCellMar>
            <w:top w:w="0" w:type="dxa"/>
            <w:bottom w:w="0" w:type="dxa"/>
          </w:tblCellMar>
        </w:tblPrEx>
        <w:tc>
          <w:tcPr>
            <w:tcW w:w="2977" w:type="dxa"/>
            <w:tcBorders>
              <w:top w:val="nil"/>
              <w:left w:val="nil"/>
              <w:bottom w:val="nil"/>
              <w:right w:val="nil"/>
            </w:tcBorders>
          </w:tcPr>
          <w:p w:rsidR="00000000" w:rsidRDefault="00000000">
            <w:pPr>
              <w:spacing w:before="40" w:after="40" w:line="180" w:lineRule="exact"/>
              <w:ind w:left="176" w:hanging="176"/>
              <w:rPr>
                <w:sz w:val="17"/>
              </w:rPr>
            </w:pPr>
            <w:r>
              <w:rPr>
                <w:sz w:val="17"/>
              </w:rPr>
              <w:t>4</w:t>
            </w:r>
            <w:r>
              <w:rPr>
                <w:sz w:val="17"/>
              </w:rPr>
              <w:tab/>
              <w:t>Плавание</w:t>
            </w:r>
          </w:p>
        </w:tc>
        <w:tc>
          <w:tcPr>
            <w:tcW w:w="709" w:type="dxa"/>
            <w:tcBorders>
              <w:top w:val="nil"/>
              <w:left w:val="nil"/>
              <w:bottom w:val="nil"/>
              <w:right w:val="nil"/>
            </w:tcBorders>
          </w:tcPr>
          <w:p w:rsidR="00000000" w:rsidRDefault="00000000">
            <w:pPr>
              <w:spacing w:before="40" w:after="40" w:line="180" w:lineRule="exact"/>
              <w:jc w:val="right"/>
              <w:rPr>
                <w:sz w:val="17"/>
              </w:rPr>
            </w:pPr>
            <w:r>
              <w:rPr>
                <w:sz w:val="17"/>
              </w:rPr>
              <w:t>34%</w:t>
            </w:r>
          </w:p>
        </w:tc>
        <w:tc>
          <w:tcPr>
            <w:tcW w:w="3118" w:type="dxa"/>
            <w:tcBorders>
              <w:top w:val="nil"/>
              <w:left w:val="nil"/>
              <w:bottom w:val="nil"/>
              <w:right w:val="nil"/>
            </w:tcBorders>
          </w:tcPr>
          <w:p w:rsidR="00000000" w:rsidRDefault="00000000">
            <w:pPr>
              <w:spacing w:before="40" w:after="40" w:line="180" w:lineRule="exact"/>
              <w:ind w:left="175" w:hanging="175"/>
              <w:rPr>
                <w:sz w:val="17"/>
              </w:rPr>
            </w:pPr>
            <w:r>
              <w:rPr>
                <w:sz w:val="17"/>
              </w:rPr>
              <w:t>4</w:t>
            </w:r>
            <w:r>
              <w:rPr>
                <w:sz w:val="17"/>
              </w:rPr>
              <w:tab/>
              <w:t>Спортивные упражнения д</w:t>
            </w:r>
            <w:r>
              <w:rPr>
                <w:sz w:val="17"/>
              </w:rPr>
              <w:t>о</w:t>
            </w:r>
            <w:r>
              <w:rPr>
                <w:sz w:val="17"/>
              </w:rPr>
              <w:t>ма</w:t>
            </w:r>
          </w:p>
        </w:tc>
        <w:tc>
          <w:tcPr>
            <w:tcW w:w="567" w:type="dxa"/>
            <w:tcBorders>
              <w:top w:val="nil"/>
              <w:left w:val="nil"/>
              <w:bottom w:val="nil"/>
              <w:right w:val="nil"/>
            </w:tcBorders>
          </w:tcPr>
          <w:p w:rsidR="00000000" w:rsidRDefault="00000000">
            <w:pPr>
              <w:spacing w:before="40" w:after="40" w:line="180" w:lineRule="exact"/>
              <w:jc w:val="right"/>
              <w:rPr>
                <w:sz w:val="17"/>
              </w:rPr>
            </w:pPr>
            <w:r>
              <w:rPr>
                <w:sz w:val="17"/>
              </w:rPr>
              <w:t>35%</w:t>
            </w:r>
          </w:p>
        </w:tc>
      </w:tr>
      <w:tr w:rsidR="00000000">
        <w:tblPrEx>
          <w:tblCellMar>
            <w:top w:w="0" w:type="dxa"/>
            <w:bottom w:w="0" w:type="dxa"/>
          </w:tblCellMar>
        </w:tblPrEx>
        <w:tc>
          <w:tcPr>
            <w:tcW w:w="2977" w:type="dxa"/>
            <w:tcBorders>
              <w:top w:val="nil"/>
              <w:left w:val="nil"/>
              <w:bottom w:val="nil"/>
              <w:right w:val="nil"/>
            </w:tcBorders>
          </w:tcPr>
          <w:p w:rsidR="00000000" w:rsidRDefault="00000000">
            <w:pPr>
              <w:spacing w:before="40" w:after="40" w:line="180" w:lineRule="exact"/>
              <w:ind w:left="176" w:hanging="176"/>
              <w:rPr>
                <w:sz w:val="17"/>
              </w:rPr>
            </w:pPr>
            <w:r>
              <w:rPr>
                <w:sz w:val="17"/>
              </w:rPr>
              <w:t>5</w:t>
            </w:r>
            <w:r>
              <w:rPr>
                <w:sz w:val="17"/>
              </w:rPr>
              <w:tab/>
              <w:t>Гольф</w:t>
            </w:r>
          </w:p>
        </w:tc>
        <w:tc>
          <w:tcPr>
            <w:tcW w:w="709" w:type="dxa"/>
            <w:tcBorders>
              <w:top w:val="nil"/>
              <w:left w:val="nil"/>
              <w:bottom w:val="nil"/>
              <w:right w:val="nil"/>
            </w:tcBorders>
          </w:tcPr>
          <w:p w:rsidR="00000000" w:rsidRDefault="00000000">
            <w:pPr>
              <w:spacing w:before="40" w:after="40" w:line="180" w:lineRule="exact"/>
              <w:jc w:val="right"/>
              <w:rPr>
                <w:sz w:val="17"/>
              </w:rPr>
            </w:pPr>
            <w:r>
              <w:rPr>
                <w:sz w:val="17"/>
              </w:rPr>
              <w:t>28%</w:t>
            </w:r>
          </w:p>
        </w:tc>
        <w:tc>
          <w:tcPr>
            <w:tcW w:w="3118" w:type="dxa"/>
            <w:tcBorders>
              <w:top w:val="nil"/>
              <w:left w:val="nil"/>
              <w:bottom w:val="nil"/>
              <w:right w:val="nil"/>
            </w:tcBorders>
          </w:tcPr>
          <w:p w:rsidR="00000000" w:rsidRDefault="00000000">
            <w:pPr>
              <w:spacing w:before="40" w:after="40" w:line="180" w:lineRule="exact"/>
              <w:ind w:left="175" w:hanging="175"/>
              <w:rPr>
                <w:sz w:val="17"/>
              </w:rPr>
            </w:pPr>
            <w:r>
              <w:rPr>
                <w:sz w:val="17"/>
              </w:rPr>
              <w:t>5</w:t>
            </w:r>
            <w:r>
              <w:rPr>
                <w:sz w:val="17"/>
              </w:rPr>
              <w:tab/>
              <w:t>Спортивные упражнения / пос</w:t>
            </w:r>
            <w:r>
              <w:rPr>
                <w:sz w:val="17"/>
              </w:rPr>
              <w:t>е</w:t>
            </w:r>
            <w:r>
              <w:rPr>
                <w:sz w:val="17"/>
              </w:rPr>
              <w:t>щение тренажерного з</w:t>
            </w:r>
            <w:r>
              <w:rPr>
                <w:sz w:val="17"/>
              </w:rPr>
              <w:t>а</w:t>
            </w:r>
            <w:r>
              <w:rPr>
                <w:sz w:val="17"/>
              </w:rPr>
              <w:t>ла</w:t>
            </w:r>
          </w:p>
        </w:tc>
        <w:tc>
          <w:tcPr>
            <w:tcW w:w="567" w:type="dxa"/>
            <w:tcBorders>
              <w:top w:val="nil"/>
              <w:left w:val="nil"/>
              <w:bottom w:val="nil"/>
              <w:right w:val="nil"/>
            </w:tcBorders>
          </w:tcPr>
          <w:p w:rsidR="00000000" w:rsidRDefault="00000000">
            <w:pPr>
              <w:spacing w:before="40" w:after="40" w:line="180" w:lineRule="exact"/>
              <w:jc w:val="right"/>
              <w:rPr>
                <w:sz w:val="17"/>
              </w:rPr>
            </w:pPr>
            <w:r>
              <w:rPr>
                <w:sz w:val="17"/>
              </w:rPr>
              <w:t>19%</w:t>
            </w:r>
          </w:p>
        </w:tc>
      </w:tr>
      <w:tr w:rsidR="00000000">
        <w:tblPrEx>
          <w:tblCellMar>
            <w:top w:w="0" w:type="dxa"/>
            <w:bottom w:w="0" w:type="dxa"/>
          </w:tblCellMar>
        </w:tblPrEx>
        <w:tc>
          <w:tcPr>
            <w:tcW w:w="2977" w:type="dxa"/>
            <w:tcBorders>
              <w:top w:val="nil"/>
              <w:left w:val="nil"/>
              <w:bottom w:val="nil"/>
              <w:right w:val="nil"/>
            </w:tcBorders>
          </w:tcPr>
          <w:p w:rsidR="00000000" w:rsidRDefault="00000000">
            <w:pPr>
              <w:spacing w:before="40" w:after="40" w:line="180" w:lineRule="exact"/>
              <w:ind w:left="176" w:hanging="176"/>
              <w:rPr>
                <w:sz w:val="17"/>
              </w:rPr>
            </w:pPr>
            <w:r>
              <w:rPr>
                <w:sz w:val="17"/>
              </w:rPr>
              <w:t>6</w:t>
            </w:r>
            <w:r>
              <w:rPr>
                <w:sz w:val="17"/>
              </w:rPr>
              <w:tab/>
              <w:t>Спортивные упражнения дома</w:t>
            </w:r>
          </w:p>
        </w:tc>
        <w:tc>
          <w:tcPr>
            <w:tcW w:w="709" w:type="dxa"/>
            <w:tcBorders>
              <w:top w:val="nil"/>
              <w:left w:val="nil"/>
              <w:bottom w:val="nil"/>
              <w:right w:val="nil"/>
            </w:tcBorders>
          </w:tcPr>
          <w:p w:rsidR="00000000" w:rsidRDefault="00000000">
            <w:pPr>
              <w:spacing w:before="40" w:after="40" w:line="180" w:lineRule="exact"/>
              <w:jc w:val="right"/>
              <w:rPr>
                <w:sz w:val="17"/>
              </w:rPr>
            </w:pPr>
            <w:r>
              <w:rPr>
                <w:sz w:val="17"/>
              </w:rPr>
              <w:t>26%</w:t>
            </w:r>
          </w:p>
        </w:tc>
        <w:tc>
          <w:tcPr>
            <w:tcW w:w="3118" w:type="dxa"/>
            <w:tcBorders>
              <w:top w:val="nil"/>
              <w:left w:val="nil"/>
              <w:bottom w:val="nil"/>
              <w:right w:val="nil"/>
            </w:tcBorders>
          </w:tcPr>
          <w:p w:rsidR="00000000" w:rsidRDefault="00000000">
            <w:pPr>
              <w:spacing w:before="40" w:after="40" w:line="180" w:lineRule="exact"/>
              <w:ind w:left="175" w:hanging="175"/>
              <w:rPr>
                <w:sz w:val="17"/>
              </w:rPr>
            </w:pPr>
            <w:r>
              <w:rPr>
                <w:sz w:val="17"/>
              </w:rPr>
              <w:t>6</w:t>
            </w:r>
            <w:r>
              <w:rPr>
                <w:sz w:val="17"/>
              </w:rPr>
              <w:tab/>
              <w:t>Аэробика</w:t>
            </w:r>
          </w:p>
        </w:tc>
        <w:tc>
          <w:tcPr>
            <w:tcW w:w="567" w:type="dxa"/>
            <w:tcBorders>
              <w:top w:val="nil"/>
              <w:left w:val="nil"/>
              <w:bottom w:val="nil"/>
              <w:right w:val="nil"/>
            </w:tcBorders>
          </w:tcPr>
          <w:p w:rsidR="00000000" w:rsidRDefault="00000000">
            <w:pPr>
              <w:spacing w:before="40" w:after="40" w:line="180" w:lineRule="exact"/>
              <w:jc w:val="right"/>
              <w:rPr>
                <w:sz w:val="17"/>
              </w:rPr>
            </w:pPr>
            <w:r>
              <w:rPr>
                <w:sz w:val="17"/>
              </w:rPr>
              <w:t>17%</w:t>
            </w:r>
          </w:p>
        </w:tc>
      </w:tr>
      <w:tr w:rsidR="00000000">
        <w:tblPrEx>
          <w:tblCellMar>
            <w:top w:w="0" w:type="dxa"/>
            <w:bottom w:w="0" w:type="dxa"/>
          </w:tblCellMar>
        </w:tblPrEx>
        <w:tc>
          <w:tcPr>
            <w:tcW w:w="2977" w:type="dxa"/>
            <w:tcBorders>
              <w:top w:val="nil"/>
              <w:left w:val="nil"/>
              <w:bottom w:val="nil"/>
              <w:right w:val="nil"/>
            </w:tcBorders>
          </w:tcPr>
          <w:p w:rsidR="00000000" w:rsidRDefault="00000000">
            <w:pPr>
              <w:spacing w:before="40" w:after="40" w:line="180" w:lineRule="exact"/>
              <w:ind w:left="176" w:hanging="176"/>
              <w:rPr>
                <w:sz w:val="17"/>
              </w:rPr>
            </w:pPr>
            <w:r>
              <w:rPr>
                <w:sz w:val="17"/>
              </w:rPr>
              <w:t>7</w:t>
            </w:r>
            <w:r>
              <w:rPr>
                <w:sz w:val="17"/>
              </w:rPr>
              <w:tab/>
              <w:t>Спортивные упражнения / п</w:t>
            </w:r>
            <w:r>
              <w:rPr>
                <w:sz w:val="17"/>
              </w:rPr>
              <w:t>о</w:t>
            </w:r>
            <w:r>
              <w:rPr>
                <w:sz w:val="17"/>
              </w:rPr>
              <w:t>сещение тренажерного з</w:t>
            </w:r>
            <w:r>
              <w:rPr>
                <w:sz w:val="17"/>
              </w:rPr>
              <w:t>а</w:t>
            </w:r>
            <w:r>
              <w:rPr>
                <w:sz w:val="17"/>
              </w:rPr>
              <w:t>ла</w:t>
            </w:r>
          </w:p>
        </w:tc>
        <w:tc>
          <w:tcPr>
            <w:tcW w:w="709" w:type="dxa"/>
            <w:tcBorders>
              <w:top w:val="nil"/>
              <w:left w:val="nil"/>
              <w:bottom w:val="nil"/>
              <w:right w:val="nil"/>
            </w:tcBorders>
          </w:tcPr>
          <w:p w:rsidR="00000000" w:rsidRDefault="00000000">
            <w:pPr>
              <w:spacing w:before="40" w:after="40" w:line="180" w:lineRule="exact"/>
              <w:jc w:val="right"/>
              <w:rPr>
                <w:sz w:val="17"/>
              </w:rPr>
            </w:pPr>
            <w:r>
              <w:rPr>
                <w:sz w:val="17"/>
              </w:rPr>
              <w:t>19%</w:t>
            </w:r>
          </w:p>
        </w:tc>
        <w:tc>
          <w:tcPr>
            <w:tcW w:w="3118" w:type="dxa"/>
            <w:tcBorders>
              <w:top w:val="nil"/>
              <w:left w:val="nil"/>
              <w:bottom w:val="nil"/>
              <w:right w:val="nil"/>
            </w:tcBorders>
          </w:tcPr>
          <w:p w:rsidR="00000000" w:rsidRDefault="00000000">
            <w:pPr>
              <w:spacing w:before="40" w:after="40" w:line="180" w:lineRule="exact"/>
              <w:ind w:left="175" w:hanging="175"/>
              <w:rPr>
                <w:sz w:val="17"/>
              </w:rPr>
            </w:pPr>
            <w:r>
              <w:rPr>
                <w:sz w:val="17"/>
              </w:rPr>
              <w:t>7</w:t>
            </w:r>
            <w:r>
              <w:rPr>
                <w:sz w:val="17"/>
              </w:rPr>
              <w:tab/>
              <w:t>Рыбная ловля</w:t>
            </w:r>
          </w:p>
        </w:tc>
        <w:tc>
          <w:tcPr>
            <w:tcW w:w="567" w:type="dxa"/>
            <w:tcBorders>
              <w:top w:val="nil"/>
              <w:left w:val="nil"/>
              <w:bottom w:val="nil"/>
              <w:right w:val="nil"/>
            </w:tcBorders>
          </w:tcPr>
          <w:p w:rsidR="00000000" w:rsidRDefault="00000000">
            <w:pPr>
              <w:spacing w:before="40" w:after="40" w:line="180" w:lineRule="exact"/>
              <w:jc w:val="right"/>
              <w:rPr>
                <w:sz w:val="17"/>
              </w:rPr>
            </w:pPr>
            <w:r>
              <w:rPr>
                <w:sz w:val="17"/>
              </w:rPr>
              <w:t>14%</w:t>
            </w:r>
          </w:p>
        </w:tc>
      </w:tr>
      <w:tr w:rsidR="00000000">
        <w:tblPrEx>
          <w:tblCellMar>
            <w:top w:w="0" w:type="dxa"/>
            <w:bottom w:w="0" w:type="dxa"/>
          </w:tblCellMar>
        </w:tblPrEx>
        <w:tc>
          <w:tcPr>
            <w:tcW w:w="2977" w:type="dxa"/>
            <w:tcBorders>
              <w:top w:val="nil"/>
              <w:left w:val="nil"/>
              <w:bottom w:val="nil"/>
              <w:right w:val="nil"/>
            </w:tcBorders>
          </w:tcPr>
          <w:p w:rsidR="00000000" w:rsidRDefault="00000000">
            <w:pPr>
              <w:spacing w:before="40" w:after="40" w:line="180" w:lineRule="exact"/>
              <w:ind w:left="176" w:hanging="176"/>
              <w:rPr>
                <w:sz w:val="17"/>
              </w:rPr>
            </w:pPr>
            <w:r>
              <w:rPr>
                <w:sz w:val="17"/>
              </w:rPr>
              <w:t>8</w:t>
            </w:r>
            <w:r>
              <w:rPr>
                <w:sz w:val="17"/>
              </w:rPr>
              <w:tab/>
              <w:t>Бег/бег трусцой</w:t>
            </w:r>
          </w:p>
        </w:tc>
        <w:tc>
          <w:tcPr>
            <w:tcW w:w="709" w:type="dxa"/>
            <w:tcBorders>
              <w:top w:val="nil"/>
              <w:left w:val="nil"/>
              <w:bottom w:val="nil"/>
              <w:right w:val="nil"/>
            </w:tcBorders>
          </w:tcPr>
          <w:p w:rsidR="00000000" w:rsidRDefault="00000000">
            <w:pPr>
              <w:spacing w:before="40" w:after="40" w:line="180" w:lineRule="exact"/>
              <w:jc w:val="right"/>
              <w:rPr>
                <w:sz w:val="17"/>
              </w:rPr>
            </w:pPr>
            <w:r>
              <w:rPr>
                <w:sz w:val="17"/>
              </w:rPr>
              <w:t>18%</w:t>
            </w:r>
          </w:p>
        </w:tc>
        <w:tc>
          <w:tcPr>
            <w:tcW w:w="3118" w:type="dxa"/>
            <w:tcBorders>
              <w:top w:val="nil"/>
              <w:left w:val="nil"/>
              <w:bottom w:val="nil"/>
              <w:right w:val="nil"/>
            </w:tcBorders>
          </w:tcPr>
          <w:p w:rsidR="00000000" w:rsidRDefault="00000000">
            <w:pPr>
              <w:spacing w:before="40" w:after="40" w:line="180" w:lineRule="exact"/>
              <w:ind w:left="175" w:hanging="175"/>
              <w:rPr>
                <w:sz w:val="17"/>
              </w:rPr>
            </w:pPr>
            <w:r>
              <w:rPr>
                <w:sz w:val="17"/>
              </w:rPr>
              <w:t>8</w:t>
            </w:r>
            <w:r>
              <w:rPr>
                <w:sz w:val="17"/>
              </w:rPr>
              <w:tab/>
              <w:t>Велоспорт</w:t>
            </w:r>
          </w:p>
        </w:tc>
        <w:tc>
          <w:tcPr>
            <w:tcW w:w="567" w:type="dxa"/>
            <w:tcBorders>
              <w:top w:val="nil"/>
              <w:left w:val="nil"/>
              <w:bottom w:val="nil"/>
              <w:right w:val="nil"/>
            </w:tcBorders>
          </w:tcPr>
          <w:p w:rsidR="00000000" w:rsidRDefault="00000000">
            <w:pPr>
              <w:spacing w:before="40" w:after="40" w:line="180" w:lineRule="exact"/>
              <w:jc w:val="right"/>
              <w:rPr>
                <w:sz w:val="17"/>
              </w:rPr>
            </w:pPr>
            <w:r>
              <w:rPr>
                <w:sz w:val="17"/>
              </w:rPr>
              <w:t>13%</w:t>
            </w:r>
          </w:p>
        </w:tc>
      </w:tr>
      <w:tr w:rsidR="00000000">
        <w:tblPrEx>
          <w:tblCellMar>
            <w:top w:w="0" w:type="dxa"/>
            <w:bottom w:w="0" w:type="dxa"/>
          </w:tblCellMar>
        </w:tblPrEx>
        <w:tc>
          <w:tcPr>
            <w:tcW w:w="2977" w:type="dxa"/>
            <w:tcBorders>
              <w:top w:val="nil"/>
              <w:left w:val="nil"/>
              <w:bottom w:val="nil"/>
              <w:right w:val="nil"/>
            </w:tcBorders>
          </w:tcPr>
          <w:p w:rsidR="00000000" w:rsidRDefault="00000000">
            <w:pPr>
              <w:spacing w:before="40" w:after="40" w:line="180" w:lineRule="exact"/>
              <w:ind w:left="176" w:hanging="176"/>
              <w:rPr>
                <w:sz w:val="17"/>
              </w:rPr>
            </w:pPr>
            <w:r>
              <w:rPr>
                <w:sz w:val="17"/>
              </w:rPr>
              <w:t>9</w:t>
            </w:r>
            <w:r>
              <w:rPr>
                <w:sz w:val="17"/>
              </w:rPr>
              <w:tab/>
              <w:t>Велоспорт</w:t>
            </w:r>
          </w:p>
        </w:tc>
        <w:tc>
          <w:tcPr>
            <w:tcW w:w="709" w:type="dxa"/>
            <w:tcBorders>
              <w:top w:val="nil"/>
              <w:left w:val="nil"/>
              <w:bottom w:val="nil"/>
              <w:right w:val="nil"/>
            </w:tcBorders>
          </w:tcPr>
          <w:p w:rsidR="00000000" w:rsidRDefault="00000000">
            <w:pPr>
              <w:spacing w:before="40" w:after="40" w:line="180" w:lineRule="exact"/>
              <w:jc w:val="right"/>
              <w:rPr>
                <w:sz w:val="17"/>
              </w:rPr>
            </w:pPr>
            <w:r>
              <w:rPr>
                <w:sz w:val="17"/>
              </w:rPr>
              <w:t>17%</w:t>
            </w:r>
          </w:p>
        </w:tc>
        <w:tc>
          <w:tcPr>
            <w:tcW w:w="3118" w:type="dxa"/>
            <w:tcBorders>
              <w:top w:val="nil"/>
              <w:left w:val="nil"/>
              <w:bottom w:val="nil"/>
              <w:right w:val="nil"/>
            </w:tcBorders>
          </w:tcPr>
          <w:p w:rsidR="00000000" w:rsidRDefault="00000000">
            <w:pPr>
              <w:spacing w:before="40" w:after="40" w:line="180" w:lineRule="exact"/>
              <w:ind w:left="175" w:hanging="175"/>
              <w:rPr>
                <w:sz w:val="17"/>
              </w:rPr>
            </w:pPr>
            <w:r>
              <w:rPr>
                <w:sz w:val="17"/>
              </w:rPr>
              <w:t>9</w:t>
            </w:r>
            <w:r>
              <w:rPr>
                <w:sz w:val="17"/>
              </w:rPr>
              <w:tab/>
              <w:t>Нетбол</w:t>
            </w:r>
          </w:p>
        </w:tc>
        <w:tc>
          <w:tcPr>
            <w:tcW w:w="567" w:type="dxa"/>
            <w:tcBorders>
              <w:top w:val="nil"/>
              <w:left w:val="nil"/>
              <w:bottom w:val="nil"/>
              <w:right w:val="nil"/>
            </w:tcBorders>
          </w:tcPr>
          <w:p w:rsidR="00000000" w:rsidRDefault="00000000">
            <w:pPr>
              <w:spacing w:before="40" w:after="40" w:line="180" w:lineRule="exact"/>
              <w:jc w:val="right"/>
              <w:rPr>
                <w:sz w:val="17"/>
              </w:rPr>
            </w:pPr>
            <w:r>
              <w:rPr>
                <w:sz w:val="17"/>
              </w:rPr>
              <w:t>10%</w:t>
            </w:r>
          </w:p>
        </w:tc>
      </w:tr>
      <w:tr w:rsidR="00000000">
        <w:tblPrEx>
          <w:tblCellMar>
            <w:top w:w="0" w:type="dxa"/>
            <w:bottom w:w="0" w:type="dxa"/>
          </w:tblCellMar>
        </w:tblPrEx>
        <w:tc>
          <w:tcPr>
            <w:tcW w:w="2977" w:type="dxa"/>
            <w:tcBorders>
              <w:top w:val="nil"/>
              <w:left w:val="nil"/>
              <w:bottom w:val="nil"/>
              <w:right w:val="nil"/>
            </w:tcBorders>
          </w:tcPr>
          <w:p w:rsidR="00000000" w:rsidRDefault="00000000">
            <w:pPr>
              <w:spacing w:before="40" w:after="40" w:line="180" w:lineRule="exact"/>
              <w:ind w:left="176" w:hanging="176"/>
              <w:rPr>
                <w:sz w:val="17"/>
              </w:rPr>
            </w:pPr>
            <w:r>
              <w:rPr>
                <w:sz w:val="17"/>
              </w:rPr>
              <w:t>10</w:t>
            </w:r>
            <w:r>
              <w:rPr>
                <w:sz w:val="17"/>
              </w:rPr>
              <w:tab/>
              <w:t>Теннис</w:t>
            </w:r>
          </w:p>
        </w:tc>
        <w:tc>
          <w:tcPr>
            <w:tcW w:w="709" w:type="dxa"/>
            <w:tcBorders>
              <w:top w:val="nil"/>
              <w:left w:val="nil"/>
              <w:bottom w:val="nil"/>
              <w:right w:val="nil"/>
            </w:tcBorders>
          </w:tcPr>
          <w:p w:rsidR="00000000" w:rsidRDefault="00000000">
            <w:pPr>
              <w:spacing w:before="40" w:after="40" w:line="180" w:lineRule="exact"/>
              <w:jc w:val="right"/>
              <w:rPr>
                <w:sz w:val="17"/>
              </w:rPr>
            </w:pPr>
            <w:r>
              <w:rPr>
                <w:sz w:val="17"/>
              </w:rPr>
              <w:t>15%</w:t>
            </w:r>
          </w:p>
        </w:tc>
        <w:tc>
          <w:tcPr>
            <w:tcW w:w="3118" w:type="dxa"/>
            <w:tcBorders>
              <w:top w:val="nil"/>
              <w:left w:val="nil"/>
              <w:bottom w:val="nil"/>
              <w:right w:val="nil"/>
            </w:tcBorders>
          </w:tcPr>
          <w:p w:rsidR="00000000" w:rsidRDefault="00000000">
            <w:pPr>
              <w:spacing w:before="40" w:after="40" w:line="180" w:lineRule="exact"/>
              <w:ind w:left="175" w:hanging="175"/>
              <w:rPr>
                <w:sz w:val="17"/>
              </w:rPr>
            </w:pPr>
            <w:r>
              <w:rPr>
                <w:sz w:val="17"/>
              </w:rPr>
              <w:t>10</w:t>
            </w:r>
            <w:r>
              <w:rPr>
                <w:sz w:val="17"/>
              </w:rPr>
              <w:tab/>
              <w:t>Бег/бег трусцой</w:t>
            </w:r>
          </w:p>
        </w:tc>
        <w:tc>
          <w:tcPr>
            <w:tcW w:w="567" w:type="dxa"/>
            <w:tcBorders>
              <w:top w:val="nil"/>
              <w:left w:val="nil"/>
              <w:bottom w:val="nil"/>
              <w:right w:val="nil"/>
            </w:tcBorders>
          </w:tcPr>
          <w:p w:rsidR="00000000" w:rsidRDefault="00000000">
            <w:pPr>
              <w:spacing w:before="40" w:after="40" w:line="180" w:lineRule="exact"/>
              <w:jc w:val="right"/>
              <w:rPr>
                <w:sz w:val="17"/>
              </w:rPr>
            </w:pPr>
            <w:r>
              <w:rPr>
                <w:sz w:val="17"/>
              </w:rPr>
              <w:t>10%</w:t>
            </w:r>
          </w:p>
        </w:tc>
      </w:tr>
      <w:tr w:rsidR="00000000">
        <w:tblPrEx>
          <w:tblCellMar>
            <w:top w:w="0" w:type="dxa"/>
            <w:bottom w:w="0" w:type="dxa"/>
          </w:tblCellMar>
        </w:tblPrEx>
        <w:trPr>
          <w:cantSplit/>
        </w:trPr>
        <w:tc>
          <w:tcPr>
            <w:tcW w:w="7371" w:type="dxa"/>
            <w:gridSpan w:val="4"/>
            <w:tcBorders>
              <w:top w:val="nil"/>
              <w:left w:val="nil"/>
              <w:bottom w:val="single" w:sz="12" w:space="0" w:color="auto"/>
              <w:right w:val="nil"/>
            </w:tcBorders>
          </w:tcPr>
          <w:p w:rsidR="00000000" w:rsidRDefault="00000000">
            <w:pPr>
              <w:spacing w:before="40" w:after="40" w:line="180" w:lineRule="exact"/>
              <w:rPr>
                <w:sz w:val="17"/>
              </w:rPr>
            </w:pPr>
            <w:r>
              <w:rPr>
                <w:sz w:val="17"/>
              </w:rPr>
              <w:t>Цифры показывают занятия в течение 12 месяцев, предшествовавших опросу.</w:t>
            </w:r>
          </w:p>
        </w:tc>
      </w:tr>
    </w:tbl>
    <w:p w:rsidR="00000000" w:rsidRDefault="00000000">
      <w:pPr>
        <w:pStyle w:val="SingleTxt"/>
        <w:ind w:firstLine="0"/>
      </w:pPr>
      <w:r>
        <w:rPr>
          <w:i/>
        </w:rPr>
        <w:t>Источник</w:t>
      </w:r>
      <w:r>
        <w:t>: Комиссия Хиллари, обследования занятий спортом и физической активности, проведенные в 1997-1998 и 1998-1999 годах.</w:t>
      </w:r>
    </w:p>
    <w:p w:rsidR="00000000" w:rsidRDefault="00000000">
      <w:pPr>
        <w:pStyle w:val="H1"/>
      </w:pPr>
      <w:r>
        <w:t>Культура</w:t>
      </w:r>
    </w:p>
    <w:p w:rsidR="00000000" w:rsidRDefault="00000000">
      <w:pPr>
        <w:pStyle w:val="SingleTxt"/>
      </w:pPr>
      <w:r>
        <w:t>В период с 1991 по 1996 год доля женщин, занимавшихся оплачиваемой культурной работой, возросла с 53 до 57 процентов. Почти треть этого увел</w:t>
      </w:r>
      <w:r>
        <w:t>и</w:t>
      </w:r>
      <w:r>
        <w:t>чения была обусловлена ростом на 3162 человека числа преподавателей д</w:t>
      </w:r>
      <w:r>
        <w:t>о</w:t>
      </w:r>
      <w:r>
        <w:t>школьного воспитания, среди которых преобладают женщины. Если сделать разбивку по роду занятий, то занятость женщин была в целом аналогична той, о которой сообщалось в последнем периодическом докладе Новой Зеландии (1998 год).</w:t>
      </w:r>
    </w:p>
    <w:p w:rsidR="00000000" w:rsidRDefault="00000000">
      <w:pPr>
        <w:pStyle w:val="SingleTxt"/>
      </w:pPr>
      <w:r>
        <w:t>Новые данные об участии женщин в культурной деятельности показыв</w:t>
      </w:r>
      <w:r>
        <w:t>а</w:t>
      </w:r>
      <w:r>
        <w:t>ют, что их активность повысилась по сравнению с участием мужчин. Это отн</w:t>
      </w:r>
      <w:r>
        <w:t>о</w:t>
      </w:r>
      <w:r>
        <w:t>сится к женщинам пакеха, маори и жительницам тихоокеанских островов. Если будут проведены повторные обследования, любые выявленные тенденции б</w:t>
      </w:r>
      <w:r>
        <w:t>у</w:t>
      </w:r>
      <w:r>
        <w:t>дут о</w:t>
      </w:r>
      <w:r>
        <w:t>т</w:t>
      </w:r>
      <w:r>
        <w:t>ражены в последующих докладах.</w:t>
      </w:r>
    </w:p>
    <w:p w:rsidR="00000000" w:rsidRDefault="00000000">
      <w:pPr>
        <w:pStyle w:val="SingleTxt"/>
      </w:pPr>
      <w:r>
        <w:t>В публикации Статистического управления Новой Зеландии «Занятость в секторе культуры» (1998 год) (Employment in the Cultural Sector) приводятся данные о роли женщин в этом секторе. Эти материалы основываются на да</w:t>
      </w:r>
      <w:r>
        <w:t>н</w:t>
      </w:r>
      <w:r>
        <w:t>ных, полученных в ходе переписи 1996 года.</w:t>
      </w:r>
    </w:p>
    <w:p w:rsidR="00000000" w:rsidRDefault="00000000">
      <w:pPr>
        <w:pStyle w:val="SingleTxt"/>
      </w:pPr>
      <w:r>
        <w:t>Женщины по-прежнему преобладают</w:t>
      </w:r>
      <w:r>
        <w:rPr>
          <w:rStyle w:val="FootnoteReference"/>
        </w:rPr>
        <w:footnoteReference w:customMarkFollows="1" w:id="49"/>
        <w:t>47 </w:t>
      </w:r>
      <w:r>
        <w:t>в таких профессиях в сфере кул</w:t>
      </w:r>
      <w:r>
        <w:t>ь</w:t>
      </w:r>
      <w:r>
        <w:t>туры, как библиотекари (88 процентов), помощники библиотекарей (83 процента), костюмеры (89 процентов), преподаватели танцев/хореографы (89 процентов), дизайнеры одежды (88 процентов), преподаватели дошкольного воспитания (97 процентов) и преподаватели пения и музыки (77 процентов). С другой стороны, женщины по-прежнему недопредставлены</w:t>
      </w:r>
      <w:r>
        <w:rPr>
          <w:rStyle w:val="FootnoteReference"/>
        </w:rPr>
        <w:footnoteReference w:customMarkFollows="1" w:id="50"/>
        <w:t>48 </w:t>
      </w:r>
      <w:r>
        <w:t>в следующих профессиях: операторы звукозаписывающего оборудования (16 процентов), и</w:t>
      </w:r>
      <w:r>
        <w:t>з</w:t>
      </w:r>
      <w:r>
        <w:t>готовители, мастера по ремонту или настройщики музыкальных инструментов (8 процентов), архитекторы (13 процентов), художники по рекламе (16 процентов), кино- или телеоператоры (19 процентов) и киномеханики (8 процентов). Перепись показывает, что в 1996 году женщины по-прежнему чаще, чем мужчины, работали в сфере культуры в течение неполного рабочего дня, чаще получали доход менее 20000 долл. США и реже получали доход свыше 40000 долл. США.</w:t>
      </w:r>
    </w:p>
    <w:p w:rsidR="00000000" w:rsidRDefault="00000000">
      <w:pPr>
        <w:pStyle w:val="SingleTxt"/>
      </w:pPr>
      <w:r>
        <w:t>Обследование в сфере творческой деятельности в Новой Зеландии (1999 год) показало, что в целом женщины чаще, чем мужчины, участвуют в большинстве обследованных видов творческой деятельности. Активность му</w:t>
      </w:r>
      <w:r>
        <w:t>ж</w:t>
      </w:r>
      <w:r>
        <w:t>чин выше по сравнению с женщинами в музыке в стиле рок/поп, в джазе и ф</w:t>
      </w:r>
      <w:r>
        <w:t>о</w:t>
      </w:r>
      <w:r>
        <w:t>тографии.</w:t>
      </w:r>
    </w:p>
    <w:p w:rsidR="00000000" w:rsidRDefault="00000000">
      <w:pPr>
        <w:pStyle w:val="SingleTxt"/>
      </w:pPr>
      <w:r>
        <w:t>Десятью наиболее популярными видами творческой деятельности среди женщин были (в порядке популярности): чтение документальной литературы, чтение художественной литературы, музыка в стиле рок/поп, вязание, класс</w:t>
      </w:r>
      <w:r>
        <w:t>и</w:t>
      </w:r>
      <w:r>
        <w:t>ческая/камерная музыка, вышивание, художественное декламирование, пение, чтение поэтических произведений и музыкальный театр.</w:t>
      </w:r>
    </w:p>
    <w:p w:rsidR="00000000" w:rsidRDefault="00000000">
      <w:pPr>
        <w:pStyle w:val="SingleTxt"/>
      </w:pPr>
      <w:r>
        <w:t>Восемьдесят четыре процента взрослых, которые принимали участие в творческой деятельности в последние четыре недели, занимались этим в кач</w:t>
      </w:r>
      <w:r>
        <w:t>е</w:t>
      </w:r>
      <w:r>
        <w:t>стве хобби (то есть предпочтительное занятие в свободное время). Это в гора</w:t>
      </w:r>
      <w:r>
        <w:t>з</w:t>
      </w:r>
      <w:r>
        <w:t>до большей степени относилось к женщинам (88 процентов участников), чем к мужчинам (79 процентов).</w:t>
      </w:r>
    </w:p>
    <w:p w:rsidR="00000000" w:rsidRDefault="00000000">
      <w:pPr>
        <w:pStyle w:val="SingleTxt"/>
      </w:pPr>
      <w:r>
        <w:t>Тридцать процентов участников были заняты либо в качестве преподав</w:t>
      </w:r>
      <w:r>
        <w:t>а</w:t>
      </w:r>
      <w:r>
        <w:t>телей, либо учащихся. Женщины чаще занимались преподаванием. Женщины чаще встречались и среди учащихся, принимавших участие в творческой де</w:t>
      </w:r>
      <w:r>
        <w:t>я</w:t>
      </w:r>
      <w:r>
        <w:t>тельности.</w:t>
      </w:r>
    </w:p>
    <w:p w:rsidR="00000000" w:rsidRDefault="00000000">
      <w:pPr>
        <w:pStyle w:val="SingleTxt"/>
      </w:pPr>
      <w:r>
        <w:t>Женщины также чаще, чем мужчины, были слушателями и зрителями, создателями и добровол</w:t>
      </w:r>
      <w:r>
        <w:t>ь</w:t>
      </w:r>
      <w:r>
        <w:t>цами.</w:t>
      </w:r>
    </w:p>
    <w:p w:rsidR="00000000" w:rsidRDefault="00000000">
      <w:pPr>
        <w:pStyle w:val="H23"/>
      </w:pPr>
      <w:r>
        <w:t>Участие женщин-маори</w:t>
      </w:r>
    </w:p>
    <w:p w:rsidR="00000000" w:rsidRDefault="00000000">
      <w:pPr>
        <w:pStyle w:val="SingleTxt"/>
      </w:pPr>
      <w:r>
        <w:t>Женщины-маори (50 процентов) чаще, чем мужчины-маори (38 процентов), принимали участие в творческой деятельности маори. Каждый год они также участвовали в большем числе различных видов творческой де</w:t>
      </w:r>
      <w:r>
        <w:t>я</w:t>
      </w:r>
      <w:r>
        <w:t>тельности по сравнению с мужчинами (4,2 вида деятельности по сравнению с 3,2).</w:t>
      </w:r>
    </w:p>
    <w:p w:rsidR="00000000" w:rsidRDefault="00000000">
      <w:pPr>
        <w:pStyle w:val="H23"/>
      </w:pPr>
      <w:r>
        <w:t>Участие женщин с тихоокеанских островов</w:t>
      </w:r>
    </w:p>
    <w:p w:rsidR="00000000" w:rsidRDefault="00000000">
      <w:pPr>
        <w:pStyle w:val="SingleTxt"/>
      </w:pPr>
      <w:r>
        <w:t>В течение одного года 54 процента женщин с тихоокеанских островов принимали участие в творческой деятельности жителей тихоокеанских остр</w:t>
      </w:r>
      <w:r>
        <w:t>о</w:t>
      </w:r>
      <w:r>
        <w:t>вов, в то время как среди мужчин этот показатель составил 38 процентов. В т</w:t>
      </w:r>
      <w:r>
        <w:t>е</w:t>
      </w:r>
      <w:r>
        <w:t>чение четырехнедельного периода 47 процентов женщин приняли участие в среднем в двух различных видах творческой деятельности жителей тихоокеа</w:t>
      </w:r>
      <w:r>
        <w:t>н</w:t>
      </w:r>
      <w:r>
        <w:t>ских островов. Для сравнения можно указать, что 32 процента мужчин приняли участие в среднем в 1,8 различных видов деятельности.</w:t>
      </w:r>
    </w:p>
    <w:p w:rsidR="00000000" w:rsidRDefault="00000000">
      <w:pPr>
        <w:pStyle w:val="H23"/>
      </w:pPr>
      <w:r>
        <w:t>Участие женщин из других этнических групп</w:t>
      </w:r>
    </w:p>
    <w:p w:rsidR="00000000" w:rsidRDefault="00000000">
      <w:pPr>
        <w:pStyle w:val="SingleTxt"/>
      </w:pPr>
      <w:r>
        <w:t>Число ответивших лиц, которые назвали себя членами других этнических групп, было слишком мало для того, чтобы сделать специальную разбивку и представить по ним содержательные данные. Однако в ходе обследования был сделан вывод о том, что между этническими группами было мало различий в уровнях участиях, хотя маори и жители тихоокеанских островов принимали участие в большем числе мероприятий по сравнению со всеми другими этн</w:t>
      </w:r>
      <w:r>
        <w:t>и</w:t>
      </w:r>
      <w:r>
        <w:t>ческими группами.</w:t>
      </w:r>
    </w:p>
    <w:p w:rsidR="00000000" w:rsidRDefault="00000000">
      <w:pPr>
        <w:pStyle w:val="H23"/>
        <w:ind w:left="1264" w:firstLine="0"/>
      </w:pPr>
      <w:r>
        <w:t>Причины, по которым женщины не принимают участия в творческой деятельности</w:t>
      </w:r>
    </w:p>
    <w:p w:rsidR="00000000" w:rsidRDefault="00000000">
      <w:pPr>
        <w:pStyle w:val="SingleTxt"/>
      </w:pPr>
      <w:r>
        <w:t>Мужчины и женщины по разным причинам не принимали участия в такой деятельности. Женщины чаще, чем мужчины, приводили следующие причины:</w:t>
      </w:r>
    </w:p>
    <w:p w:rsidR="00000000" w:rsidRDefault="00000000">
      <w:pPr>
        <w:pStyle w:val="dot"/>
      </w:pPr>
      <w:r>
        <w:tab/>
      </w:r>
      <w:r>
        <w:tab/>
        <w:t>•</w:t>
      </w:r>
      <w:r>
        <w:tab/>
        <w:t>инвалидность</w:t>
      </w:r>
    </w:p>
    <w:p w:rsidR="00000000" w:rsidRDefault="00000000">
      <w:pPr>
        <w:pStyle w:val="dot"/>
      </w:pPr>
      <w:r>
        <w:tab/>
      </w:r>
      <w:r>
        <w:tab/>
        <w:t>•</w:t>
      </w:r>
      <w:r>
        <w:tab/>
        <w:t>отсутствие денег</w:t>
      </w:r>
    </w:p>
    <w:p w:rsidR="00000000" w:rsidRDefault="00000000">
      <w:pPr>
        <w:pStyle w:val="dot"/>
      </w:pPr>
      <w:r>
        <w:tab/>
      </w:r>
      <w:r>
        <w:tab/>
        <w:t>•</w:t>
      </w:r>
      <w:r>
        <w:tab/>
        <w:t>отсутствие знаний или навыков для участия.</w:t>
      </w:r>
    </w:p>
    <w:p w:rsidR="00000000" w:rsidRDefault="00000000">
      <w:pPr>
        <w:pStyle w:val="SingleTxt"/>
      </w:pPr>
      <w:r>
        <w:t>Мужчины чаще по сравнению с женщинами приводили следующие пр</w:t>
      </w:r>
      <w:r>
        <w:t>и</w:t>
      </w:r>
      <w:r>
        <w:t>чины:</w:t>
      </w:r>
    </w:p>
    <w:p w:rsidR="00000000" w:rsidRDefault="00000000">
      <w:pPr>
        <w:pStyle w:val="dot"/>
      </w:pPr>
      <w:r>
        <w:tab/>
      </w:r>
      <w:r>
        <w:tab/>
        <w:t>•</w:t>
      </w:r>
      <w:r>
        <w:tab/>
        <w:t>отсутствие интереса</w:t>
      </w:r>
    </w:p>
    <w:p w:rsidR="00000000" w:rsidRDefault="00000000">
      <w:pPr>
        <w:pStyle w:val="dot"/>
      </w:pPr>
      <w:r>
        <w:tab/>
      </w:r>
      <w:r>
        <w:tab/>
        <w:t>•</w:t>
      </w:r>
      <w:r>
        <w:tab/>
        <w:t>предпочли бы лучше заняться спортом.</w:t>
      </w:r>
    </w:p>
    <w:p w:rsidR="00000000" w:rsidRDefault="00000000">
      <w:pPr>
        <w:pStyle w:val="SingleTxt"/>
      </w:pPr>
      <w:r>
        <w:t>Женщины преобладали в большинстве творческих групп, например, х</w:t>
      </w:r>
      <w:r>
        <w:t>у</w:t>
      </w:r>
      <w:r>
        <w:t>дожественная литература, документальная литература, поэзия, классич</w:t>
      </w:r>
      <w:r>
        <w:t>е</w:t>
      </w:r>
      <w:r>
        <w:t>ская/камерная музыка, музыкальный театр, пение, театр, прикладные искусс</w:t>
      </w:r>
      <w:r>
        <w:t>т</w:t>
      </w:r>
      <w:r>
        <w:t>ва, опера, современные танцы, балет и «другие» танцы. Женщины были нед</w:t>
      </w:r>
      <w:r>
        <w:t>о</w:t>
      </w:r>
      <w:r>
        <w:t>представлены в категориях музыки в стиле рок/поп, музыки в стиле ка</w:t>
      </w:r>
      <w:r>
        <w:t>н</w:t>
      </w:r>
      <w:r>
        <w:t>три/фолк и джаза.</w:t>
      </w:r>
    </w:p>
    <w:p w:rsidR="00000000" w:rsidRDefault="00000000">
      <w:pPr>
        <w:pStyle w:val="H23"/>
      </w:pPr>
      <w:r>
        <w:t>Культурное образование и коммуникация</w:t>
      </w:r>
    </w:p>
    <w:p w:rsidR="00000000" w:rsidRDefault="00000000">
      <w:pPr>
        <w:pStyle w:val="SingleTxt"/>
      </w:pPr>
      <w:r>
        <w:t>Данные о культурном образовании, содержавшиеся в последнем период</w:t>
      </w:r>
      <w:r>
        <w:t>и</w:t>
      </w:r>
      <w:r>
        <w:t>ческом докладе, были почерпнуты из выходящей в Новой Зеландии статист</w:t>
      </w:r>
      <w:r>
        <w:t>и</w:t>
      </w:r>
      <w:r>
        <w:t xml:space="preserve">ческой публикации </w:t>
      </w:r>
      <w:r>
        <w:rPr>
          <w:i/>
        </w:rPr>
        <w:t>New Zealand Cultural Statistics 1995/Nga Tatauranga Whakapuaki Tuakiri o Aotearoa</w:t>
      </w:r>
      <w:r>
        <w:t>. С тех пор эта публикация не обновлялась.</w:t>
      </w:r>
    </w:p>
    <w:p w:rsidR="00000000" w:rsidRDefault="00000000">
      <w:pPr>
        <w:pStyle w:val="H1"/>
      </w:pPr>
      <w:r>
        <w:t>Женщины-заключенные</w:t>
      </w:r>
    </w:p>
    <w:p w:rsidR="00000000" w:rsidRDefault="00000000">
      <w:pPr>
        <w:pStyle w:val="H23"/>
      </w:pPr>
      <w:r>
        <w:t>Введение</w:t>
      </w:r>
    </w:p>
    <w:p w:rsidR="00000000" w:rsidRDefault="00000000">
      <w:pPr>
        <w:pStyle w:val="SingleTxt"/>
      </w:pPr>
      <w:r>
        <w:t>В настоящее время в Новой Зеландии на женщин-заключенных приходи</w:t>
      </w:r>
      <w:r>
        <w:t>т</w:t>
      </w:r>
      <w:r>
        <w:t>ся примерно 4,2 процента от общей численности заключенных. Хотя эта доля невелика, за последние 15 лет численность женщин-заключенных возросла б</w:t>
      </w:r>
      <w:r>
        <w:t>о</w:t>
      </w:r>
      <w:r>
        <w:t>лее чем на 120 процентов. По состоянию на 9 августа 2002 года из 4883 находившихся под стражей преступников женщины составляли 204 человека. Значительное увеличение числа женщин-заключенных отмеч</w:t>
      </w:r>
      <w:r>
        <w:t>а</w:t>
      </w:r>
      <w:r>
        <w:t>лось также в заморских юрисдикциях. За последние 15 лет эти показатели с</w:t>
      </w:r>
      <w:r>
        <w:t>у</w:t>
      </w:r>
      <w:r>
        <w:t>щественно выросли в Новой Зеландии вследствие как увеличения числа же</w:t>
      </w:r>
      <w:r>
        <w:t>н</w:t>
      </w:r>
      <w:r>
        <w:t>щин, заключаемых под стражу, так и увеличения продолжительности сроков наказания, назначаемых в выносимых пр</w:t>
      </w:r>
      <w:r>
        <w:t>и</w:t>
      </w:r>
      <w:r>
        <w:t>говорах.</w:t>
      </w:r>
    </w:p>
    <w:p w:rsidR="00000000" w:rsidRDefault="00000000">
      <w:pPr>
        <w:pStyle w:val="SingleTxt"/>
      </w:pPr>
      <w:r>
        <w:t>Поскольку женщины составляют сравнительно небольшую долю в чи</w:t>
      </w:r>
      <w:r>
        <w:t>с</w:t>
      </w:r>
      <w:r>
        <w:t>ленности заключенных, их размещение и планирование соответствующих пр</w:t>
      </w:r>
      <w:r>
        <w:t>о</w:t>
      </w:r>
      <w:r>
        <w:t>грамм представляют собой более сложную проблему по сравнению с мужчин</w:t>
      </w:r>
      <w:r>
        <w:t>а</w:t>
      </w:r>
      <w:r>
        <w:t>ми. Так, например, их небольшая численность и местонахождение их родных регионов по отношению к местонахождению трех пенитенциарных учреждений для женщин означают, что примерно 63 процента женщин отбывают свое нак</w:t>
      </w:r>
      <w:r>
        <w:t>а</w:t>
      </w:r>
      <w:r>
        <w:t>зание вдали от своих семей. Кроме того, значительное количество исследов</w:t>
      </w:r>
      <w:r>
        <w:t>а</w:t>
      </w:r>
      <w:r>
        <w:t>ний и программ, разработанных на протяжении ряда лет, в равной мере прим</w:t>
      </w:r>
      <w:r>
        <w:t>е</w:t>
      </w:r>
      <w:r>
        <w:t>няются как к мужчинам, так и к женщинам. Женщины размещены в трех пен</w:t>
      </w:r>
      <w:r>
        <w:t>и</w:t>
      </w:r>
      <w:r>
        <w:t>тенциарных учреждениях отдельно от мужчин-заключенных, которые разм</w:t>
      </w:r>
      <w:r>
        <w:t>е</w:t>
      </w:r>
      <w:r>
        <w:t>щаются в 16 учреждениях, и представители разных полов содержатся раздел</w:t>
      </w:r>
      <w:r>
        <w:t>ь</w:t>
      </w:r>
      <w:r>
        <w:t>но.</w:t>
      </w:r>
    </w:p>
    <w:p w:rsidR="00000000" w:rsidRDefault="00000000">
      <w:pPr>
        <w:pStyle w:val="H4"/>
      </w:pPr>
      <w:r>
        <w:t>Этнический состав</w:t>
      </w:r>
    </w:p>
    <w:p w:rsidR="00000000" w:rsidRDefault="00000000">
      <w:pPr>
        <w:pStyle w:val="SingleTxt"/>
      </w:pPr>
      <w:r>
        <w:t>В день переписи заключенных – 20 ноября 1999 года – под стражей нах</w:t>
      </w:r>
      <w:r>
        <w:t>о</w:t>
      </w:r>
      <w:r>
        <w:t>дились 233 женщины-заключенные. В это число входило 206 осужденных з</w:t>
      </w:r>
      <w:r>
        <w:t>а</w:t>
      </w:r>
      <w:r>
        <w:t>ключенных, 24 женщины, содержавшиеся в предварительном заключении, и 3 правонарушителя, находившихся под домашним арестом. Информация этн</w:t>
      </w:r>
      <w:r>
        <w:t>и</w:t>
      </w:r>
      <w:r>
        <w:t>ческого характера имелась по 200 из 206 осужденных заключенных: 59 процентов назвали себя маори, 31 процент – лицами европейского происх</w:t>
      </w:r>
      <w:r>
        <w:t>о</w:t>
      </w:r>
      <w:r>
        <w:t>ждения и 10 процентов – жительницами тихоокеанских остр</w:t>
      </w:r>
      <w:r>
        <w:t>о</w:t>
      </w:r>
      <w:r>
        <w:t>вов.</w:t>
      </w:r>
    </w:p>
    <w:p w:rsidR="00000000" w:rsidRDefault="00000000">
      <w:pPr>
        <w:pStyle w:val="H23"/>
      </w:pPr>
      <w:r>
        <w:t>Характерные черты, присущие женщинам-заключенным</w:t>
      </w:r>
    </w:p>
    <w:p w:rsidR="00000000" w:rsidRDefault="00000000">
      <w:pPr>
        <w:pStyle w:val="SingleTxt"/>
      </w:pPr>
      <w:r>
        <w:t>Женщин-заключенных в Новой Зеландии можно кратко охарактеризовать следующим образом: преимущественно молодые (до 30 лет), не имеют хорош</w:t>
      </w:r>
      <w:r>
        <w:t>е</w:t>
      </w:r>
      <w:r>
        <w:t>го образования и находятся в тюрьме за насильственные преступления, прест</w:t>
      </w:r>
      <w:r>
        <w:t>у</w:t>
      </w:r>
      <w:r>
        <w:t>пления против собственности и преступления, связанные с наркотиками. Для женщин также характерно то, что они несколько реже, чем мужчины, вновь п</w:t>
      </w:r>
      <w:r>
        <w:t>о</w:t>
      </w:r>
      <w:r>
        <w:t>падают в заключ</w:t>
      </w:r>
      <w:r>
        <w:t>е</w:t>
      </w:r>
      <w:r>
        <w:t>ние.</w:t>
      </w:r>
      <w:r>
        <w:rPr>
          <w:rStyle w:val="FootnoteReference"/>
        </w:rPr>
        <w:footnoteReference w:customMarkFollows="1" w:id="51"/>
        <w:t>49</w:t>
      </w:r>
    </w:p>
    <w:p w:rsidR="00000000" w:rsidRDefault="00000000">
      <w:pPr>
        <w:pStyle w:val="H23"/>
      </w:pPr>
      <w:r>
        <w:rPr>
          <w:caps/>
        </w:rPr>
        <w:t>о</w:t>
      </w:r>
      <w:r>
        <w:t>бращение с женщинами в настоящее время</w:t>
      </w:r>
    </w:p>
    <w:p w:rsidR="00000000" w:rsidRDefault="00000000">
      <w:pPr>
        <w:pStyle w:val="SingleTxt"/>
      </w:pPr>
      <w:r>
        <w:t>Политика в области уголовного правосудия предусматривает такое обр</w:t>
      </w:r>
      <w:r>
        <w:t>а</w:t>
      </w:r>
      <w:r>
        <w:t>щение с женщинами, чтобы к ним относились с уважением как к взрослым, учитывали их особые потребности как женщин и принимали во внимание их семейное положение и историю жизни. Включение в число сотрудников тюрем лиц разного пола и возраста преследует цель дать женщинам-заключенным н</w:t>
      </w:r>
      <w:r>
        <w:t>е</w:t>
      </w:r>
      <w:r>
        <w:t>обходимые примеры позитивной роли обоих полов. Однако некоторые дейс</w:t>
      </w:r>
      <w:r>
        <w:t>т</w:t>
      </w:r>
      <w:r>
        <w:t>вия, как, например, обыски, могут производиться только женщинами, и это влияет на общее с</w:t>
      </w:r>
      <w:r>
        <w:t>о</w:t>
      </w:r>
      <w:r>
        <w:t>отношение мужчин и женщин среди персонала.</w:t>
      </w:r>
    </w:p>
    <w:p w:rsidR="00000000" w:rsidRDefault="00000000">
      <w:pPr>
        <w:pStyle w:val="H4"/>
      </w:pPr>
      <w:r>
        <w:t>Женщины-заключенные, имеющие на своем иждивении детей</w:t>
      </w:r>
    </w:p>
    <w:p w:rsidR="00000000" w:rsidRDefault="00000000">
      <w:pPr>
        <w:pStyle w:val="SingleTxt"/>
      </w:pPr>
      <w:r>
        <w:t>Политика в области уголовного правосудия предусматривает внимател</w:t>
      </w:r>
      <w:r>
        <w:t>ь</w:t>
      </w:r>
      <w:r>
        <w:t>ное отношение к женщинам-заключенным, которые являются беременными или имеют детей в возрасте до 6 месяцев, с тем чтобы учитывать их особые риски и потребности и обеспечивать нормальное содержание ребенка.</w:t>
      </w:r>
    </w:p>
    <w:p w:rsidR="00000000" w:rsidRDefault="00000000">
      <w:pPr>
        <w:pStyle w:val="SingleTxt"/>
      </w:pPr>
      <w:r>
        <w:t>Общая практика в отношении заключенных, которые готовятся к родам во время отбытия срока тюремного заключения и хотят оставить ребенка, закл</w:t>
      </w:r>
      <w:r>
        <w:t>ю</w:t>
      </w:r>
      <w:r>
        <w:t>чается в том, что мать и ребенок не должны содержаться раздельно, если тол</w:t>
      </w:r>
      <w:r>
        <w:t>ь</w:t>
      </w:r>
      <w:r>
        <w:t>ко это не вызвано крайней необходимостью. В Законе 1985 года об уголовном правосудии содержится конкретное положение, предоставляющее министру по делам исправительных учреждений право производить досрочное освобожд</w:t>
      </w:r>
      <w:r>
        <w:t>е</w:t>
      </w:r>
      <w:r>
        <w:t>ние женщины-заключенной, которая рождает ребенка во время отбытия назн</w:t>
      </w:r>
      <w:r>
        <w:t>а</w:t>
      </w:r>
      <w:r>
        <w:t>ченного в приговоре срока тюремного заключения. На основании этого пол</w:t>
      </w:r>
      <w:r>
        <w:t>о</w:t>
      </w:r>
      <w:r>
        <w:t>жения большинство женщин, которые родили детей во время отбытия своего срока наказания, были освобождены.</w:t>
      </w:r>
    </w:p>
    <w:p w:rsidR="00000000" w:rsidRDefault="00000000">
      <w:pPr>
        <w:pStyle w:val="SingleTxt"/>
      </w:pPr>
      <w:r>
        <w:t>Женщинам, которые имеют детей в возрасте до 6 месяцев, разрешено ежедневно посещать их, для того чтобы покормить их грудью и перепеленать. В тех случаях, когда мать кормит ребенка грудью, предоставляется возмо</w:t>
      </w:r>
      <w:r>
        <w:t>ж</w:t>
      </w:r>
      <w:r>
        <w:t>ность производить грудное кормление и/или сцеживать молоко в отдельных комн</w:t>
      </w:r>
      <w:r>
        <w:t>а</w:t>
      </w:r>
      <w:r>
        <w:t>тах.</w:t>
      </w:r>
    </w:p>
    <w:p w:rsidR="00000000" w:rsidRDefault="00000000">
      <w:pPr>
        <w:pStyle w:val="SingleTxt"/>
      </w:pPr>
      <w:r>
        <w:t>В 2001 году департамент исправительных учреждений согласился также со следующими инициативами, преследующими цель оказать находящимся в заключении матерям помощь в выполнении своих родительских обязанностей и укреплении их связей со своими детьми:</w:t>
      </w:r>
    </w:p>
    <w:p w:rsidR="00000000" w:rsidRDefault="00000000">
      <w:pPr>
        <w:pStyle w:val="dot"/>
      </w:pPr>
      <w:r>
        <w:tab/>
      </w:r>
      <w:r>
        <w:tab/>
        <w:t>•</w:t>
      </w:r>
      <w:r>
        <w:tab/>
        <w:t>постоянное круглосуточное проживание для тех матерей с детьми в во</w:t>
      </w:r>
      <w:r>
        <w:t>з</w:t>
      </w:r>
      <w:r>
        <w:t>расте до 6 месяцев, которые могут быть помещены в отделение самосто</w:t>
      </w:r>
      <w:r>
        <w:t>я</w:t>
      </w:r>
      <w:r>
        <w:t>тельного ухода (домашнего типа)</w:t>
      </w:r>
    </w:p>
    <w:p w:rsidR="00000000" w:rsidRDefault="00000000">
      <w:pPr>
        <w:pStyle w:val="dot"/>
      </w:pPr>
      <w:r>
        <w:tab/>
      </w:r>
      <w:r>
        <w:tab/>
        <w:t>•</w:t>
      </w:r>
      <w:r>
        <w:tab/>
        <w:t>осуществление программ родительского ухода, утвержденных в рамках комплексного регул</w:t>
      </w:r>
      <w:r>
        <w:t>и</w:t>
      </w:r>
      <w:r>
        <w:t>рования обращения с правонарушителями</w:t>
      </w:r>
    </w:p>
    <w:p w:rsidR="00000000" w:rsidRDefault="00000000">
      <w:pPr>
        <w:pStyle w:val="dot"/>
      </w:pPr>
      <w:r>
        <w:tab/>
      </w:r>
      <w:r>
        <w:tab/>
        <w:t>•</w:t>
      </w:r>
      <w:r>
        <w:tab/>
        <w:t>предоставление родителям более широких возможностей для контактов со своими детьми, включая посещения в присутствии имеющих специал</w:t>
      </w:r>
      <w:r>
        <w:t>ь</w:t>
      </w:r>
      <w:r>
        <w:t>ную подготовку помощников по уходу за детьми, и более длительные п</w:t>
      </w:r>
      <w:r>
        <w:t>о</w:t>
      </w:r>
      <w:r>
        <w:t>сещения в дневное и ночное время</w:t>
      </w:r>
    </w:p>
    <w:p w:rsidR="00000000" w:rsidRDefault="00000000">
      <w:pPr>
        <w:pStyle w:val="dot"/>
      </w:pPr>
      <w:r>
        <w:tab/>
      </w:r>
      <w:r>
        <w:tab/>
        <w:t>•</w:t>
      </w:r>
      <w:r>
        <w:tab/>
        <w:t>выделение имеющих соответствующую подготовку сотрудников для в</w:t>
      </w:r>
      <w:r>
        <w:t>ы</w:t>
      </w:r>
      <w:r>
        <w:t>полнения функций по подде</w:t>
      </w:r>
      <w:r>
        <w:t>р</w:t>
      </w:r>
      <w:r>
        <w:t>жанию связей с семьями</w:t>
      </w:r>
    </w:p>
    <w:p w:rsidR="00000000" w:rsidRDefault="00000000">
      <w:pPr>
        <w:pStyle w:val="dot"/>
      </w:pPr>
      <w:r>
        <w:tab/>
      </w:r>
      <w:r>
        <w:tab/>
        <w:t>•</w:t>
      </w:r>
      <w:r>
        <w:tab/>
        <w:t>выполнение межсекторального соглашения об оказании финансовой п</w:t>
      </w:r>
      <w:r>
        <w:t>о</w:t>
      </w:r>
      <w:r>
        <w:t>мощи, с тем чтобы дети могли посещать своих родителей, находящихся в закл</w:t>
      </w:r>
      <w:r>
        <w:t>ю</w:t>
      </w:r>
      <w:r>
        <w:t>чении.</w:t>
      </w:r>
    </w:p>
    <w:p w:rsidR="00000000" w:rsidRDefault="00000000">
      <w:pPr>
        <w:pStyle w:val="H4"/>
      </w:pPr>
      <w:r>
        <w:t>Исправительное учреждение для женщин в районе Окленда</w:t>
      </w:r>
    </w:p>
    <w:p w:rsidR="00000000" w:rsidRDefault="00000000">
      <w:pPr>
        <w:pStyle w:val="SingleTxt"/>
      </w:pPr>
      <w:r>
        <w:t>Из-за нехватки мест для женщин в пенитенциарных учреждениях в севе</w:t>
      </w:r>
      <w:r>
        <w:t>р</w:t>
      </w:r>
      <w:r>
        <w:t>ной части острова Северный в 2004-2005 годах планируется открыть новую полностью оборудованную тюрьму для женщин в районе Южного Окленда. Хотя на это еще уйдет определенное время, это позволит содержать гораздо больше женщин вблизи от их семей.</w:t>
      </w:r>
    </w:p>
    <w:p w:rsidR="00000000" w:rsidRDefault="00000000">
      <w:pPr>
        <w:pStyle w:val="H1"/>
      </w:pPr>
      <w:r>
        <w:t>Библиография</w:t>
      </w:r>
    </w:p>
    <w:p w:rsidR="00000000" w:rsidRDefault="00000000">
      <w:pPr>
        <w:spacing w:after="120"/>
        <w:ind w:left="1740" w:right="1264" w:hanging="476"/>
      </w:pPr>
      <w:r>
        <w:t xml:space="preserve">Creative New Zealand, 2000, </w:t>
      </w:r>
      <w:r>
        <w:rPr>
          <w:i/>
        </w:rPr>
        <w:t xml:space="preserve">Know Your Audience/Me Mohio ki to Whakaminenga: A Survey of Performing Arts Audiences, Gallery Visitors and Readers/ He Rangahautanga mo Ngä Whakaminenga mo Ngä Mahi Toi, ngä Manuhiri e Haere Mai Ana ki te Ahurewa Mätaki me Ngä Kaipanui Pukapuka, </w:t>
      </w:r>
      <w:r>
        <w:t>Wellin</w:t>
      </w:r>
      <w:r>
        <w:t>g</w:t>
      </w:r>
      <w:r>
        <w:t>ton.</w:t>
      </w:r>
    </w:p>
    <w:p w:rsidR="00000000" w:rsidRDefault="00000000">
      <w:pPr>
        <w:spacing w:after="120"/>
        <w:ind w:left="1740" w:right="1264" w:hanging="476"/>
        <w:rPr>
          <w:i/>
        </w:rPr>
      </w:pPr>
      <w:r>
        <w:t xml:space="preserve">Creative New Zealand, 1999, </w:t>
      </w:r>
      <w:r>
        <w:rPr>
          <w:i/>
        </w:rPr>
        <w:t>Arts Every Day/Mahi Toi la Rä: A Survey of Arts Participation by New Zealand Adults/Titirohanga ki te Whakauru o ngä Pakeke o Aotearoa ki ngä Mahi Toi, Wellington.</w:t>
      </w:r>
      <w:r>
        <w:rPr>
          <w:rStyle w:val="FootnoteReference"/>
          <w:i/>
        </w:rPr>
        <w:footnoteReference w:customMarkFollows="1" w:id="52"/>
        <w:t>50</w:t>
      </w:r>
    </w:p>
    <w:p w:rsidR="00000000" w:rsidRDefault="00000000">
      <w:pPr>
        <w:spacing w:after="120"/>
        <w:ind w:left="1740" w:right="1264" w:hanging="476"/>
      </w:pPr>
      <w:r>
        <w:t xml:space="preserve">Departments of Corrections, </w:t>
      </w:r>
      <w:r>
        <w:rPr>
          <w:i/>
        </w:rPr>
        <w:t>1999, The National Study of Psychiatric Morbidity in New Zealand Prisons</w:t>
      </w:r>
      <w:r>
        <w:t>, Wellin</w:t>
      </w:r>
      <w:r>
        <w:t>g</w:t>
      </w:r>
      <w:r>
        <w:t>ton</w:t>
      </w:r>
    </w:p>
    <w:p w:rsidR="00000000" w:rsidRDefault="00000000">
      <w:pPr>
        <w:spacing w:after="120"/>
        <w:ind w:left="1740" w:right="1264" w:hanging="476"/>
      </w:pPr>
      <w:r>
        <w:t xml:space="preserve">Hillary Commission, </w:t>
      </w:r>
      <w:r>
        <w:rPr>
          <w:i/>
        </w:rPr>
        <w:t>1998/1999 Sport and Physical Activity Survey,</w:t>
      </w:r>
      <w:r>
        <w:t xml:space="preserve"> Wellington.</w:t>
      </w:r>
    </w:p>
    <w:p w:rsidR="00000000" w:rsidRDefault="00000000">
      <w:pPr>
        <w:spacing w:after="120"/>
        <w:ind w:left="1740" w:right="1264" w:hanging="476"/>
      </w:pPr>
      <w:r>
        <w:t xml:space="preserve">Hillary Commission, </w:t>
      </w:r>
      <w:r>
        <w:rPr>
          <w:i/>
        </w:rPr>
        <w:t>1997/98 Sport and Physical Activity Survey,</w:t>
      </w:r>
      <w:r>
        <w:t xml:space="preserve"> Wellington.</w:t>
      </w:r>
    </w:p>
    <w:p w:rsidR="00000000" w:rsidRDefault="00000000">
      <w:pPr>
        <w:spacing w:after="120"/>
        <w:ind w:left="1740" w:right="1264" w:hanging="476"/>
      </w:pPr>
      <w:r>
        <w:t xml:space="preserve">Rich, M., 2000, </w:t>
      </w:r>
      <w:r>
        <w:rPr>
          <w:i/>
        </w:rPr>
        <w:t xml:space="preserve">Census of Prison Inmates 1999, </w:t>
      </w:r>
      <w:r>
        <w:t>Department of Corrections, Wellington.</w:t>
      </w:r>
    </w:p>
    <w:p w:rsidR="00000000" w:rsidRDefault="00000000">
      <w:pPr>
        <w:spacing w:after="120"/>
        <w:ind w:left="1740" w:right="1264" w:hanging="476"/>
      </w:pPr>
      <w:r>
        <w:t xml:space="preserve">Statistics New Zealand, </w:t>
      </w:r>
      <w:r>
        <w:rPr>
          <w:i/>
        </w:rPr>
        <w:t>1996 Census of Population and Dwellings,</w:t>
      </w:r>
      <w:r>
        <w:t xml:space="preserve"> Wellington.</w:t>
      </w:r>
    </w:p>
    <w:p w:rsidR="00000000" w:rsidRDefault="00000000">
      <w:pPr>
        <w:spacing w:after="120"/>
        <w:ind w:left="1740" w:right="1264" w:hanging="476"/>
      </w:pPr>
      <w:r>
        <w:t xml:space="preserve">Statistics New Zealand/Ministry of Cultural Affairs, 1998, </w:t>
      </w:r>
      <w:r>
        <w:rPr>
          <w:i/>
        </w:rPr>
        <w:t>Employment in the Cultural Sector,</w:t>
      </w:r>
      <w:r>
        <w:t xml:space="preserve"> Wellington.</w:t>
      </w:r>
    </w:p>
    <w:p w:rsidR="00000000" w:rsidRDefault="00000000">
      <w:pPr>
        <w:spacing w:after="120"/>
        <w:ind w:left="1740" w:right="1264" w:hanging="476"/>
      </w:pPr>
      <w:r>
        <w:t xml:space="preserve">Statistics New Zealand/Ministry of Cultural Affairs, 1995, </w:t>
      </w:r>
      <w:r>
        <w:rPr>
          <w:i/>
        </w:rPr>
        <w:t>New Zealand Cultural Statistics 1995/Nga Tata</w:t>
      </w:r>
      <w:r>
        <w:rPr>
          <w:i/>
        </w:rPr>
        <w:t>u</w:t>
      </w:r>
      <w:r>
        <w:rPr>
          <w:i/>
        </w:rPr>
        <w:t>ranga Whakapuaki Tuakiri o Aotearoa,</w:t>
      </w:r>
      <w:r>
        <w:t xml:space="preserve"> Wellington.</w:t>
      </w:r>
    </w:p>
    <w:p w:rsidR="00000000" w:rsidRDefault="00000000">
      <w:pPr>
        <w:spacing w:after="120"/>
        <w:ind w:left="1740" w:right="1264" w:hanging="476"/>
      </w:pPr>
      <w:r>
        <w:t xml:space="preserve">Statistics New Zealand/Ministry of Cultural Affairs, 1998, </w:t>
      </w:r>
      <w:r>
        <w:rPr>
          <w:i/>
        </w:rPr>
        <w:t>Employment in the Cultural Sector,</w:t>
      </w:r>
      <w:r>
        <w:t xml:space="preserve"> Wellington.</w:t>
      </w:r>
    </w:p>
    <w:p w:rsidR="00000000" w:rsidRDefault="00000000">
      <w:pPr>
        <w:pStyle w:val="HCh"/>
      </w:pPr>
      <w:r>
        <w:br w:type="page"/>
      </w:r>
      <w:bookmarkStart w:id="35" w:name="_Toc30302900"/>
      <w:r>
        <w:t>Статья 14</w:t>
      </w:r>
      <w:bookmarkEnd w:id="35"/>
    </w:p>
    <w:p w:rsidR="00000000" w:rsidRDefault="00000000">
      <w:pPr>
        <w:pStyle w:val="HCh"/>
      </w:pPr>
      <w:bookmarkStart w:id="36" w:name="_Toc30302901"/>
      <w:r>
        <w:t>Женщины, проживающие в сельской местности</w:t>
      </w:r>
      <w:bookmarkEnd w:id="36"/>
    </w:p>
    <w:p w:rsidR="00000000" w:rsidRDefault="00000000">
      <w:pPr>
        <w:pStyle w:val="SingleTxt"/>
        <w:ind w:left="1740" w:hanging="476"/>
        <w:rPr>
          <w:i/>
        </w:rPr>
      </w:pPr>
      <w:r>
        <w:tab/>
      </w:r>
      <w:r>
        <w:tab/>
      </w:r>
      <w:r>
        <w:rPr>
          <w:i/>
        </w:rPr>
        <w:t>Государства-участники принимают во внимание особые проблемы, с к</w:t>
      </w:r>
      <w:r>
        <w:rPr>
          <w:i/>
        </w:rPr>
        <w:t>о</w:t>
      </w:r>
      <w:r>
        <w:rPr>
          <w:i/>
        </w:rPr>
        <w:t>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w:t>
      </w:r>
      <w:r>
        <w:rPr>
          <w:i/>
        </w:rPr>
        <w:t>с</w:t>
      </w:r>
      <w:r>
        <w:rPr>
          <w:i/>
        </w:rPr>
        <w:t>печения применения положений настоящей Конвенции к женщинам, пр</w:t>
      </w:r>
      <w:r>
        <w:rPr>
          <w:i/>
        </w:rPr>
        <w:t>о</w:t>
      </w:r>
      <w:r>
        <w:rPr>
          <w:i/>
        </w:rPr>
        <w:t>живающим в сельской местн</w:t>
      </w:r>
      <w:r>
        <w:rPr>
          <w:i/>
        </w:rPr>
        <w:t>о</w:t>
      </w:r>
      <w:r>
        <w:rPr>
          <w:i/>
        </w:rPr>
        <w:t>сти.</w:t>
      </w:r>
    </w:p>
    <w:p w:rsidR="00000000" w:rsidRDefault="00000000">
      <w:pPr>
        <w:pStyle w:val="SingleTxt"/>
        <w:ind w:left="1740" w:hanging="476"/>
        <w:rPr>
          <w:i/>
        </w:rPr>
      </w:pPr>
      <w:r>
        <w:rPr>
          <w:i/>
        </w:rPr>
        <w:tab/>
      </w:r>
      <w:r>
        <w:rPr>
          <w:i/>
        </w:rPr>
        <w:tab/>
        <w:t>Государства-участники принимают все соответствующие меры для ли</w:t>
      </w:r>
      <w:r>
        <w:rPr>
          <w:i/>
        </w:rPr>
        <w:t>к</w:t>
      </w:r>
      <w:r>
        <w:rPr>
          <w:i/>
        </w:rPr>
        <w:t>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w:t>
      </w:r>
      <w:r>
        <w:rPr>
          <w:i/>
        </w:rPr>
        <w:t>е</w:t>
      </w:r>
      <w:r>
        <w:rPr>
          <w:i/>
        </w:rPr>
        <w:t>чивают таким женщинам право:</w:t>
      </w:r>
    </w:p>
    <w:p w:rsidR="00000000" w:rsidRDefault="00000000">
      <w:pPr>
        <w:pStyle w:val="SingleTxt"/>
        <w:ind w:left="2217" w:hanging="953"/>
        <w:rPr>
          <w:i/>
        </w:rPr>
      </w:pPr>
      <w:r>
        <w:rPr>
          <w:i/>
        </w:rPr>
        <w:tab/>
      </w:r>
      <w:r>
        <w:rPr>
          <w:i/>
        </w:rPr>
        <w:tab/>
        <w:t xml:space="preserve">(а) </w:t>
      </w:r>
      <w:r>
        <w:rPr>
          <w:i/>
        </w:rPr>
        <w:tab/>
        <w:t>участвовать в разработке и осуществлении планов развития на всех уро</w:t>
      </w:r>
      <w:r>
        <w:rPr>
          <w:i/>
        </w:rPr>
        <w:t>в</w:t>
      </w:r>
      <w:r>
        <w:rPr>
          <w:i/>
        </w:rPr>
        <w:t>нях;</w:t>
      </w:r>
    </w:p>
    <w:p w:rsidR="00000000" w:rsidRDefault="00000000">
      <w:pPr>
        <w:pStyle w:val="SingleTxt"/>
        <w:ind w:left="2217" w:hanging="953"/>
        <w:rPr>
          <w:i/>
        </w:rPr>
      </w:pPr>
      <w:r>
        <w:rPr>
          <w:i/>
        </w:rPr>
        <w:tab/>
      </w:r>
      <w:r>
        <w:rPr>
          <w:i/>
        </w:rPr>
        <w:tab/>
        <w:t xml:space="preserve">(b) </w:t>
      </w:r>
      <w:r>
        <w:rPr>
          <w:i/>
        </w:rPr>
        <w:tab/>
        <w:t>на доступ к соответствующему медицинскому обслуживанию, включая информацию, консультации и обслуживание по вопросам планирования разм</w:t>
      </w:r>
      <w:r>
        <w:rPr>
          <w:i/>
        </w:rPr>
        <w:t>е</w:t>
      </w:r>
      <w:r>
        <w:rPr>
          <w:i/>
        </w:rPr>
        <w:t>ра семьи;</w:t>
      </w:r>
    </w:p>
    <w:p w:rsidR="00000000" w:rsidRDefault="00000000">
      <w:pPr>
        <w:pStyle w:val="SingleTxt"/>
        <w:ind w:left="2217" w:hanging="953"/>
        <w:rPr>
          <w:i/>
        </w:rPr>
      </w:pPr>
      <w:r>
        <w:rPr>
          <w:i/>
        </w:rPr>
        <w:tab/>
      </w:r>
      <w:r>
        <w:rPr>
          <w:i/>
        </w:rPr>
        <w:tab/>
        <w:t xml:space="preserve">(с) </w:t>
      </w:r>
      <w:r>
        <w:rPr>
          <w:i/>
        </w:rPr>
        <w:tab/>
        <w:t>непосредственно пользоваться благами программ социального страх</w:t>
      </w:r>
      <w:r>
        <w:rPr>
          <w:i/>
        </w:rPr>
        <w:t>о</w:t>
      </w:r>
      <w:r>
        <w:rPr>
          <w:i/>
        </w:rPr>
        <w:t>вания;</w:t>
      </w:r>
    </w:p>
    <w:p w:rsidR="00000000" w:rsidRDefault="00000000">
      <w:pPr>
        <w:pStyle w:val="SingleTxt"/>
        <w:ind w:left="2217" w:hanging="953"/>
        <w:rPr>
          <w:i/>
        </w:rPr>
      </w:pPr>
      <w:r>
        <w:rPr>
          <w:i/>
        </w:rPr>
        <w:tab/>
      </w:r>
      <w:r>
        <w:rPr>
          <w:i/>
        </w:rPr>
        <w:tab/>
        <w:t xml:space="preserve">(d) </w:t>
      </w:r>
      <w:r>
        <w:rPr>
          <w:i/>
        </w:rPr>
        <w:tab/>
        <w:t>получать все виды подготовки и формального и неформального о</w:t>
      </w:r>
      <w:r>
        <w:rPr>
          <w:i/>
        </w:rPr>
        <w:t>б</w:t>
      </w:r>
      <w:r>
        <w:rPr>
          <w:i/>
        </w:rPr>
        <w:t>разования, включая функциональную грамотность, а также польз</w:t>
      </w:r>
      <w:r>
        <w:rPr>
          <w:i/>
        </w:rPr>
        <w:t>о</w:t>
      </w:r>
      <w:r>
        <w:rPr>
          <w:i/>
        </w:rPr>
        <w:t>ваться услугами всех средств общинного обслуживания, консульт</w:t>
      </w:r>
      <w:r>
        <w:rPr>
          <w:i/>
        </w:rPr>
        <w:t>а</w:t>
      </w:r>
      <w:r>
        <w:rPr>
          <w:i/>
        </w:rPr>
        <w:t>тивных служб по сельскохозяйственным вопросам, в частности для повыш</w:t>
      </w:r>
      <w:r>
        <w:rPr>
          <w:i/>
        </w:rPr>
        <w:t>е</w:t>
      </w:r>
      <w:r>
        <w:rPr>
          <w:i/>
        </w:rPr>
        <w:t>ния их технического уровня;</w:t>
      </w:r>
    </w:p>
    <w:p w:rsidR="00000000" w:rsidRDefault="00000000">
      <w:pPr>
        <w:pStyle w:val="SingleTxt"/>
        <w:ind w:left="2217" w:hanging="953"/>
        <w:rPr>
          <w:i/>
        </w:rPr>
      </w:pPr>
      <w:r>
        <w:rPr>
          <w:i/>
        </w:rPr>
        <w:tab/>
      </w:r>
      <w:r>
        <w:rPr>
          <w:i/>
        </w:rPr>
        <w:tab/>
        <w:t xml:space="preserve">(е) </w:t>
      </w:r>
      <w:r>
        <w:rPr>
          <w:i/>
        </w:rPr>
        <w:tab/>
        <w:t>организовывать группы самопомощи и кооперативы, с тем чтобы обеспечить равный доступ к экономическим возможностям посре</w:t>
      </w:r>
      <w:r>
        <w:rPr>
          <w:i/>
        </w:rPr>
        <w:t>д</w:t>
      </w:r>
      <w:r>
        <w:rPr>
          <w:i/>
        </w:rPr>
        <w:t>ством работы по найму или независ</w:t>
      </w:r>
      <w:r>
        <w:rPr>
          <w:i/>
        </w:rPr>
        <w:t>и</w:t>
      </w:r>
      <w:r>
        <w:rPr>
          <w:i/>
        </w:rPr>
        <w:t>мой трудовой деятельности;</w:t>
      </w:r>
    </w:p>
    <w:p w:rsidR="00000000" w:rsidRDefault="00000000">
      <w:pPr>
        <w:pStyle w:val="SingleTxt"/>
        <w:ind w:left="2217" w:hanging="953"/>
        <w:rPr>
          <w:i/>
        </w:rPr>
      </w:pPr>
      <w:r>
        <w:rPr>
          <w:i/>
        </w:rPr>
        <w:tab/>
      </w:r>
      <w:r>
        <w:rPr>
          <w:i/>
        </w:rPr>
        <w:tab/>
        <w:t xml:space="preserve">(f) </w:t>
      </w:r>
      <w:r>
        <w:rPr>
          <w:i/>
        </w:rPr>
        <w:tab/>
        <w:t>участвовать во всех видах коллективной деятельности;</w:t>
      </w:r>
    </w:p>
    <w:p w:rsidR="00000000" w:rsidRDefault="00000000">
      <w:pPr>
        <w:pStyle w:val="SingleTxt"/>
        <w:ind w:left="2217" w:hanging="953"/>
        <w:rPr>
          <w:i/>
        </w:rPr>
      </w:pPr>
      <w:r>
        <w:rPr>
          <w:i/>
        </w:rPr>
        <w:tab/>
      </w:r>
      <w:r>
        <w:rPr>
          <w:i/>
        </w:rPr>
        <w:tab/>
        <w:t xml:space="preserve">(g) </w:t>
      </w:r>
      <w:r>
        <w:rPr>
          <w:i/>
        </w:rPr>
        <w:tab/>
        <w:t>на доступ к сельскохозяйственным кредитам и займам, системе сбыта, соответствующей технологии и на равный статус в земел</w:t>
      </w:r>
      <w:r>
        <w:rPr>
          <w:i/>
        </w:rPr>
        <w:t>ь</w:t>
      </w:r>
      <w:r>
        <w:rPr>
          <w:i/>
        </w:rPr>
        <w:t>ных и аграрных реформах, а также в планах перезаселения з</w:t>
      </w:r>
      <w:r>
        <w:rPr>
          <w:i/>
        </w:rPr>
        <w:t>е</w:t>
      </w:r>
      <w:r>
        <w:rPr>
          <w:i/>
        </w:rPr>
        <w:t>мель;</w:t>
      </w:r>
    </w:p>
    <w:p w:rsidR="00000000" w:rsidRDefault="00000000">
      <w:pPr>
        <w:pStyle w:val="SingleTxt"/>
        <w:ind w:left="2217" w:hanging="953"/>
        <w:rPr>
          <w:i/>
        </w:rPr>
      </w:pPr>
      <w:r>
        <w:rPr>
          <w:i/>
        </w:rPr>
        <w:tab/>
      </w:r>
      <w:r>
        <w:rPr>
          <w:i/>
        </w:rPr>
        <w:tab/>
        <w:t xml:space="preserve">(h) </w:t>
      </w:r>
      <w:r>
        <w:rPr>
          <w:i/>
        </w:rPr>
        <w:tab/>
        <w:t>пользоваться надлежащими условиями жизни, особенно жилищн</w:t>
      </w:r>
      <w:r>
        <w:rPr>
          <w:i/>
        </w:rPr>
        <w:t>ы</w:t>
      </w:r>
      <w:r>
        <w:rPr>
          <w:i/>
        </w:rPr>
        <w:t>ми условиями, санитарными услугами, электро- и водоснабжением, а также транспортом и средствами связи.</w:t>
      </w:r>
    </w:p>
    <w:p w:rsidR="00000000" w:rsidRDefault="00000000">
      <w:pPr>
        <w:pStyle w:val="H1"/>
      </w:pPr>
      <w:r>
        <w:t>Введение</w:t>
      </w:r>
    </w:p>
    <w:p w:rsidR="00000000" w:rsidRDefault="00000000">
      <w:pPr>
        <w:pStyle w:val="SingleTxt"/>
      </w:pPr>
      <w:r>
        <w:t>В Новой Зеландии для целей статистической отчетности сельским нас</w:t>
      </w:r>
      <w:r>
        <w:t>е</w:t>
      </w:r>
      <w:r>
        <w:t>лением считаются те люди, которые проживают за пределами городских ра</w:t>
      </w:r>
      <w:r>
        <w:t>й</w:t>
      </w:r>
      <w:r>
        <w:t>онов, то есть за пределами сконцентрированных поселений с численностью н</w:t>
      </w:r>
      <w:r>
        <w:t>а</w:t>
      </w:r>
      <w:r>
        <w:t>селения 1000 или более человек. Сельские центры имеют население численн</w:t>
      </w:r>
      <w:r>
        <w:t>о</w:t>
      </w:r>
      <w:r>
        <w:t>стью от 300 до 999 человек, хотя имеются исключения и в одну, и в другую стороны. "Другие сельские" жители – это лица, проживающие в сельской мес</w:t>
      </w:r>
      <w:r>
        <w:t>т</w:t>
      </w:r>
      <w:r>
        <w:t>ности, но не в сельских центрах. Сельское население включает лиц, которые проживают на прибрежных островах, однако сюда не входят лица, прожива</w:t>
      </w:r>
      <w:r>
        <w:t>ю</w:t>
      </w:r>
      <w:r>
        <w:t>щие на внутренних водных путях или водоемах, в заливах и проливах и в оке</w:t>
      </w:r>
      <w:r>
        <w:t>а</w:t>
      </w:r>
      <w:r>
        <w:t>не.</w:t>
      </w:r>
    </w:p>
    <w:p w:rsidR="00000000" w:rsidRDefault="00000000">
      <w:pPr>
        <w:pStyle w:val="SingleTxt"/>
      </w:pPr>
      <w:r>
        <w:t>Во время переписи 2001 года один человек из семи (или 532 740 человек в общей сложности) среди «обычного постоянного населения» проживал в сел</w:t>
      </w:r>
      <w:r>
        <w:t>ь</w:t>
      </w:r>
      <w:r>
        <w:t>ской местности. Из них каждый седьмой (79 065 человек) проживал в сельском центре, а остальные (453 675 человек) проживали в «другой сельской местн</w:t>
      </w:r>
      <w:r>
        <w:t>о</w:t>
      </w:r>
      <w:r>
        <w:t>сти». В целом в сельских центрах было почти равное количество мужчин и женщин. Среди сельского населения, проживавшего за пределами этих це</w:t>
      </w:r>
      <w:r>
        <w:t>н</w:t>
      </w:r>
      <w:r>
        <w:t>тров, в целом было больше мужчин (108 на каждые 100 женщин).</w:t>
      </w:r>
    </w:p>
    <w:p w:rsidR="00000000" w:rsidRDefault="00000000">
      <w:pPr>
        <w:pStyle w:val="SingleTxt"/>
      </w:pPr>
      <w:r>
        <w:t>В период с 1996 по 2001 год сельское население возрастало на 1 процент. Это существенно отличалось от роста в 7 процентов в период с 1991 по 1996 год. В период между проведением двух переписей отмечалось падение численности населения, проживавшего в городских центрах, и небольшое ув</w:t>
      </w:r>
      <w:r>
        <w:t>е</w:t>
      </w:r>
      <w:r>
        <w:t>лич</w:t>
      </w:r>
      <w:r>
        <w:t>е</w:t>
      </w:r>
      <w:r>
        <w:t>ние числа лиц, проживавших в «другой сельской местности».</w:t>
      </w:r>
    </w:p>
    <w:p w:rsidR="00000000" w:rsidRDefault="00000000">
      <w:pPr>
        <w:pStyle w:val="SingleTxt"/>
      </w:pPr>
      <w:r>
        <w:t>Признавая особые интересы и проблемы, с которыми сталкиваются сел</w:t>
      </w:r>
      <w:r>
        <w:t>ь</w:t>
      </w:r>
      <w:r>
        <w:t>ские общины, правительство в 1999 году создало должность министра по сел</w:t>
      </w:r>
      <w:r>
        <w:t>ь</w:t>
      </w:r>
      <w:r>
        <w:t>ским вопросам, в помощь которому была придана специальная группа мин</w:t>
      </w:r>
      <w:r>
        <w:t>и</w:t>
      </w:r>
      <w:r>
        <w:t>стерства сельского и лесного хозяйства. В обязанности этого министра входит обеспечение того, чтобы во всех законодательных актах и действиях прав</w:t>
      </w:r>
      <w:r>
        <w:t>и</w:t>
      </w:r>
      <w:r>
        <w:t>тельства учитывались потребности и интересы сельских общин. Существует понимание, что термин «сельский» не считается больше относящимся только к сырьевому производству. В сельских общинах проживают самые различные люди. Возникновение новых компаний и предприятий во многих сельских ра</w:t>
      </w:r>
      <w:r>
        <w:t>й</w:t>
      </w:r>
      <w:r>
        <w:t>онах по всей территории страны означает, что экономическая деятельность, благодаря которой живут местные общины, меняется.</w:t>
      </w:r>
    </w:p>
    <w:p w:rsidR="00000000" w:rsidRDefault="00000000">
      <w:pPr>
        <w:pStyle w:val="SingleTxt"/>
      </w:pPr>
      <w:r>
        <w:t>Занятость и экономическое благосостояние жителей сельских общин, в том числе в сельских центрах и небольших городских районах, по-прежнему находятся в большой зависимости от таких сырьевых отраслей, как сельское хозяйство, садоводство и лесное хозяйство. В прошлом году наблюдался сущ</w:t>
      </w:r>
      <w:r>
        <w:t>е</w:t>
      </w:r>
      <w:r>
        <w:t>ственный рост доходов фермеров, что привело к росту занятости и оптимист</w:t>
      </w:r>
      <w:r>
        <w:t>и</w:t>
      </w:r>
      <w:r>
        <w:t>ческих настроений в сельской местности. Диверсификация и развитие новых видов деятельности, как, например, туризм и развитие мелкого предприним</w:t>
      </w:r>
      <w:r>
        <w:t>а</w:t>
      </w:r>
      <w:r>
        <w:t>тельства в сельской местности, зачастую осуществляются по инициативе же</w:t>
      </w:r>
      <w:r>
        <w:t>н</w:t>
      </w:r>
      <w:r>
        <w:t>щин, которые стремятся пополнить семейный бюджет.</w:t>
      </w:r>
    </w:p>
    <w:p w:rsidR="00000000" w:rsidRDefault="00000000">
      <w:pPr>
        <w:pStyle w:val="H23"/>
        <w:ind w:left="1264" w:firstLine="0"/>
      </w:pPr>
      <w:r>
        <w:t>Особые проблемы, с которыми сталкиваются женщины в сельской местности</w:t>
      </w:r>
    </w:p>
    <w:p w:rsidR="00000000" w:rsidRDefault="00000000">
      <w:pPr>
        <w:pStyle w:val="SingleTxt"/>
      </w:pPr>
      <w:r>
        <w:t>В атласе «Масштабы обездоленности» (</w:t>
      </w:r>
      <w:r>
        <w:rPr>
          <w:i/>
        </w:rPr>
        <w:t>Degrees of Deprivation</w:t>
      </w:r>
      <w:r>
        <w:t>), где опр</w:t>
      </w:r>
      <w:r>
        <w:t>е</w:t>
      </w:r>
      <w:r>
        <w:t>делены районы Новой З</w:t>
      </w:r>
      <w:r>
        <w:t>е</w:t>
      </w:r>
      <w:r>
        <w:t>ландии, испытывающие существенные социально-экономические лишения, показано, что с наибольшими лишениями сталкив</w:t>
      </w:r>
      <w:r>
        <w:t>а</w:t>
      </w:r>
      <w:r>
        <w:t>ются общины, проживающие в районах Крайнего севера, Гизборна и Буллера. Все это изолированные сельские районы, в которых доступ к услугам затру</w:t>
      </w:r>
      <w:r>
        <w:t>д</w:t>
      </w:r>
      <w:r>
        <w:t>нен. В других сельских общинах, особенно в тех, что расположены вокруг о</w:t>
      </w:r>
      <w:r>
        <w:t>т</w:t>
      </w:r>
      <w:r>
        <w:t>дельных районов Вайкато, Манавату и Саутленда, индекс обездоленности очень низок, и они считаются относительно обеспеченными с социально-экономической точки зр</w:t>
      </w:r>
      <w:r>
        <w:t>е</w:t>
      </w:r>
      <w:r>
        <w:t>ния.</w:t>
      </w:r>
    </w:p>
    <w:p w:rsidR="00000000" w:rsidRDefault="00000000">
      <w:pPr>
        <w:pStyle w:val="SingleTxt"/>
      </w:pPr>
      <w:r>
        <w:t>В Новой Зеландии особые проблемы, с которыми сталкиваются женщины в сельской местности, можно разбить на три категории:</w:t>
      </w:r>
    </w:p>
    <w:p w:rsidR="00000000" w:rsidRDefault="00000000">
      <w:pPr>
        <w:pStyle w:val="H23"/>
      </w:pPr>
      <w:r>
        <w:t>Доступ к услугам</w:t>
      </w:r>
    </w:p>
    <w:p w:rsidR="00000000" w:rsidRDefault="00000000">
      <w:pPr>
        <w:pStyle w:val="SingleTxt"/>
      </w:pPr>
      <w:r>
        <w:t>Малочисленность и рассредоточенность населения в сельской местности означает, что людям зачастую трудно получить доступ к таким услугам, как здравоохранение и образование. Для правительства или частного сектора ок</w:t>
      </w:r>
      <w:r>
        <w:t>а</w:t>
      </w:r>
      <w:r>
        <w:t>зание услуг в сельской местности может оказаться дорогостоящим предприят</w:t>
      </w:r>
      <w:r>
        <w:t>и</w:t>
      </w:r>
      <w:r>
        <w:t>ем.</w:t>
      </w:r>
    </w:p>
    <w:p w:rsidR="00000000" w:rsidRDefault="00000000">
      <w:pPr>
        <w:pStyle w:val="SingleTxt"/>
      </w:pPr>
      <w:r>
        <w:t>Группа по сельским вопросам министерства сельского и лесного хозяйс</w:t>
      </w:r>
      <w:r>
        <w:t>т</w:t>
      </w:r>
      <w:r>
        <w:t>ва придерживается той позиции, что сельские жители должны получать прие</w:t>
      </w:r>
      <w:r>
        <w:t>м</w:t>
      </w:r>
      <w:r>
        <w:t>лемый доступ к целому ряду общераспространенных социальных услуг в теч</w:t>
      </w:r>
      <w:r>
        <w:t>е</w:t>
      </w:r>
      <w:r>
        <w:t>ние разумно необходимого времени на дорогу. Дополнительные издержки, св</w:t>
      </w:r>
      <w:r>
        <w:t>я</w:t>
      </w:r>
      <w:r>
        <w:t>занные с оказанием многих услуг в сельской местности, означают, что фина</w:t>
      </w:r>
      <w:r>
        <w:t>н</w:t>
      </w:r>
      <w:r>
        <w:t>совых средств, выделяемых правительством с учетом численности населения, может оказаться недостаточно для оказания необходимых услуг. В будущем для учета этих дополнительных издержек можно бы было финансовые средства, выделяемые с учетом численности населения, скорректировать с использов</w:t>
      </w:r>
      <w:r>
        <w:t>а</w:t>
      </w:r>
      <w:r>
        <w:t>нием «коэффициента сельской мес</w:t>
      </w:r>
      <w:r>
        <w:t>т</w:t>
      </w:r>
      <w:r>
        <w:t>ности».</w:t>
      </w:r>
    </w:p>
    <w:p w:rsidR="00000000" w:rsidRDefault="00000000">
      <w:pPr>
        <w:pStyle w:val="SingleTxt"/>
      </w:pPr>
      <w:r>
        <w:t>Женщины в сельской местности могут сталкиваться с ограниченным до</w:t>
      </w:r>
      <w:r>
        <w:t>с</w:t>
      </w:r>
      <w:r>
        <w:t>тупом к таким услугам, как услуги в связи с беременностью и родами, услуги по оказанию поддержки членам семьи, находящимся на иждивении, и возмо</w:t>
      </w:r>
      <w:r>
        <w:t>ж</w:t>
      </w:r>
      <w:r>
        <w:t>ности профессиональной подготовки. В докладе о новозеландской стратегии позитивного старения отмечалось, что в сельской местности, где доступ к о</w:t>
      </w:r>
      <w:r>
        <w:t>б</w:t>
      </w:r>
      <w:r>
        <w:t>щинным ресурсам может быть ограничен, лица, на которых лежит ответстве</w:t>
      </w:r>
      <w:r>
        <w:t>н</w:t>
      </w:r>
      <w:r>
        <w:t>ность по уходу за семьей и которыми в основном являются женщины, сталк</w:t>
      </w:r>
      <w:r>
        <w:t>и</w:t>
      </w:r>
      <w:r>
        <w:t>ваются с особыми проблемами при уходе за престарелыми родственниками.</w:t>
      </w:r>
    </w:p>
    <w:p w:rsidR="00000000" w:rsidRDefault="00000000">
      <w:pPr>
        <w:pStyle w:val="H23"/>
      </w:pPr>
      <w:r>
        <w:t>Изолированность</w:t>
      </w:r>
    </w:p>
    <w:p w:rsidR="00000000" w:rsidRDefault="00000000">
      <w:pPr>
        <w:pStyle w:val="SingleTxt"/>
      </w:pPr>
      <w:r>
        <w:t>Изолированность создает трудности в деле предоставления эффективных с точки зрения затрат сетевых услуг, как, например телекоммуникации, эле</w:t>
      </w:r>
      <w:r>
        <w:t>к</w:t>
      </w:r>
      <w:r>
        <w:t>троснабжение, транспорт и другие коммунальные услуги. Это может также о</w:t>
      </w:r>
      <w:r>
        <w:t>з</w:t>
      </w:r>
      <w:r>
        <w:t>начать, что сельские жители не в состоянии получить беспрепятственный до</w:t>
      </w:r>
      <w:r>
        <w:t>с</w:t>
      </w:r>
      <w:r>
        <w:t>туп к участию в процессах управления и консультаций.</w:t>
      </w:r>
    </w:p>
    <w:p w:rsidR="00000000" w:rsidRDefault="00000000">
      <w:pPr>
        <w:pStyle w:val="SingleTxt"/>
      </w:pPr>
      <w:r>
        <w:t>Ожидается, что преодолеть некоторые проблемы, связанные с изолир</w:t>
      </w:r>
      <w:r>
        <w:t>о</w:t>
      </w:r>
      <w:r>
        <w:t>ванностью, помогут информационные и коммуникационные технологии. Пр</w:t>
      </w:r>
      <w:r>
        <w:t>а</w:t>
      </w:r>
      <w:r>
        <w:t>вительство разрабатывает стратегии в области электронного управления и электронной торговли. В исследовании, проведенном по поручению министе</w:t>
      </w:r>
      <w:r>
        <w:t>р</w:t>
      </w:r>
      <w:r>
        <w:t>ства сельского и лесного хозяйства, инфраструктура телекоммуникационных сетей была определена как одно из серьезных препятствий на пути использов</w:t>
      </w:r>
      <w:r>
        <w:t>а</w:t>
      </w:r>
      <w:r>
        <w:t>ния информационных и телекоммуникационных технологий в сельской мес</w:t>
      </w:r>
      <w:r>
        <w:t>т</w:t>
      </w:r>
      <w:r>
        <w:t>ности. Министерство сельского и лесного хозяйства поручило также провести исследование того, как может отразиться на сельских общинах «цифровая пр</w:t>
      </w:r>
      <w:r>
        <w:t>о</w:t>
      </w:r>
      <w:r>
        <w:t>пасть». И женщины, и сельские общины были определены как группы, которые могут оказаться в неблагоприятном положении с точки зрения возможности использования выгод от достижений в сфере информационных и коммуникац</w:t>
      </w:r>
      <w:r>
        <w:t>и</w:t>
      </w:r>
      <w:r>
        <w:t>онных технологий.</w:t>
      </w:r>
    </w:p>
    <w:p w:rsidR="00000000" w:rsidRDefault="00000000">
      <w:pPr>
        <w:pStyle w:val="H23"/>
      </w:pPr>
      <w:r>
        <w:t>Занятость</w:t>
      </w:r>
    </w:p>
    <w:p w:rsidR="00000000" w:rsidRDefault="00000000">
      <w:pPr>
        <w:pStyle w:val="SingleTxt"/>
      </w:pPr>
      <w:r>
        <w:t>Важными отраслями в сельской местности являются сельское хозяйство и садоводство. В свете характера фермерского хозяйства в Новой Зеландии в сельской местности бóльшая доля людей по сравнению с городами имеет свое собственное дело и работу по сезонным или другим контрактам. Это означает, что меньшая часть сельских жителей получает заработную плату или оклад. Это имеет особые последствия для получения права на выплаты социальных пособий и для предоставления оплачиваемого отпу</w:t>
      </w:r>
      <w:r>
        <w:t>с</w:t>
      </w:r>
      <w:r>
        <w:t>ка по уходу за детьми.</w:t>
      </w:r>
    </w:p>
    <w:p w:rsidR="00000000" w:rsidRDefault="00000000">
      <w:pPr>
        <w:pStyle w:val="H23"/>
      </w:pPr>
      <w:r>
        <w:t>Экономическое выживание семей и работа в неденежных секторах</w:t>
      </w:r>
    </w:p>
    <w:p w:rsidR="00000000" w:rsidRDefault="00000000">
      <w:pPr>
        <w:pStyle w:val="SingleTxt"/>
      </w:pPr>
      <w:r>
        <w:t>Информация, полученная в ходе переписи 2001 года, показывает, что ур</w:t>
      </w:r>
      <w:r>
        <w:t>о</w:t>
      </w:r>
      <w:r>
        <w:t>вень участия в трудовых ресурсах среди женщин в сельской местности в целом составляет 67,2 процента, в сельских центрах – 56,8 процента и в «другой сельской местности» – 69,1 процента. Для сравнения: уровень участия в труд</w:t>
      </w:r>
      <w:r>
        <w:t>о</w:t>
      </w:r>
      <w:r>
        <w:t>вых ресурсах среди женщин, проживающих в городских районах, составляет 59 процентов. Примерно одна четверть работающих женщин в сельской мес</w:t>
      </w:r>
      <w:r>
        <w:t>т</w:t>
      </w:r>
      <w:r>
        <w:t>ности заняты в профессиональной группе «работники сельского хозяйства и рыболовства».</w:t>
      </w:r>
    </w:p>
    <w:p w:rsidR="00000000" w:rsidRDefault="00000000">
      <w:pPr>
        <w:pStyle w:val="SingleTxt"/>
      </w:pPr>
      <w:r>
        <w:t>Из работающих женщин в сельской местности 38,1 процента заняты в т</w:t>
      </w:r>
      <w:r>
        <w:t>е</w:t>
      </w:r>
      <w:r>
        <w:t>чение неполного рабочего дня, в то время как среди женщин, проживающих в городских районах, этот показатель составляет 35,4 процента. Из работающих мужчин в сельской местности 10,9 процента заняты в течение неполного раб</w:t>
      </w:r>
      <w:r>
        <w:t>о</w:t>
      </w:r>
      <w:r>
        <w:t>чего дня по сравнению с 12,3 процента мужчин, проживающих в городских районах.</w:t>
      </w:r>
    </w:p>
    <w:p w:rsidR="00000000" w:rsidRDefault="00000000">
      <w:pPr>
        <w:pStyle w:val="SingleTxt"/>
      </w:pPr>
      <w:r>
        <w:t>Пятью основными отраслевыми группами, в которых заняты женщины в сельской местности, являются сельское хозяйство, лесное хозяйство и рыб</w:t>
      </w:r>
      <w:r>
        <w:t>о</w:t>
      </w:r>
      <w:r>
        <w:t>ловство (29,1 процента); здравоохранение и общинные услуги (11,9 процента); образование (11,4 процента); розничная торговля (10,5 процента) и обрабат</w:t>
      </w:r>
      <w:r>
        <w:t>ы</w:t>
      </w:r>
      <w:r>
        <w:t>вающая пр</w:t>
      </w:r>
      <w:r>
        <w:t>о</w:t>
      </w:r>
      <w:r>
        <w:t>мышленность (6,8 процента).</w:t>
      </w:r>
    </w:p>
    <w:p w:rsidR="00000000" w:rsidRDefault="00000000">
      <w:pPr>
        <w:pStyle w:val="SingleTxt"/>
      </w:pPr>
      <w:r>
        <w:t>С годами изменилась структура владения фермерскими хозяйствами: женщины являются партнерами или держателями акций в большем числе тов</w:t>
      </w:r>
      <w:r>
        <w:t>а</w:t>
      </w:r>
      <w:r>
        <w:t>риществ и компаний. Как показало исследование министерства сельского и лесного хозяйства, в результате таких перемен в настоящее время большее чи</w:t>
      </w:r>
      <w:r>
        <w:t>с</w:t>
      </w:r>
      <w:r>
        <w:t>ло женщин считают себя фермерами, а не женами фермеров. Это изменило представление женщин о своей роли в фе</w:t>
      </w:r>
      <w:r>
        <w:t>р</w:t>
      </w:r>
      <w:r>
        <w:t>мерском хозяйстве.</w:t>
      </w:r>
    </w:p>
    <w:p w:rsidR="00000000" w:rsidRDefault="00000000">
      <w:pPr>
        <w:pStyle w:val="SingleTxt"/>
      </w:pPr>
      <w:r>
        <w:t>Наследование ферм является еще одной областью, где произошли бол</w:t>
      </w:r>
      <w:r>
        <w:t>ь</w:t>
      </w:r>
      <w:r>
        <w:t>шие изменения. Традиционно фермеры передавали свои фермы своим сынов</w:t>
      </w:r>
      <w:r>
        <w:t>ь</w:t>
      </w:r>
      <w:r>
        <w:t>ям. Фермеры по-прежнему передают фермы своим детям, однако исследование министерства сельского и лесного хозяйства показало, что теперь больше вн</w:t>
      </w:r>
      <w:r>
        <w:t>и</w:t>
      </w:r>
      <w:r>
        <w:t>мания уделяется необходимости равного подхода к детям и выявления тех д</w:t>
      </w:r>
      <w:r>
        <w:t>е</w:t>
      </w:r>
      <w:r>
        <w:t>тей, которые хотели бы продолжать заниматься сельским хозяйством, до пр</w:t>
      </w:r>
      <w:r>
        <w:t>и</w:t>
      </w:r>
      <w:r>
        <w:t>нятия решений и передачи прав на ферму. Это является позитивным фактором для дочерей фермеров.</w:t>
      </w:r>
    </w:p>
    <w:p w:rsidR="00000000" w:rsidRDefault="00000000">
      <w:pPr>
        <w:pStyle w:val="SingleTxt"/>
      </w:pPr>
      <w:r>
        <w:t>В сельской местности большую роль в оказании услуг играют добровол</w:t>
      </w:r>
      <w:r>
        <w:t>ь</w:t>
      </w:r>
      <w:r>
        <w:t>ные работники. Добровольная работа варьируется от оказания услуг, как, н</w:t>
      </w:r>
      <w:r>
        <w:t>а</w:t>
      </w:r>
      <w:r>
        <w:t>пример, скорая медицинская помощь Св. Иоанна, добровольная пожарная о</w:t>
      </w:r>
      <w:r>
        <w:t>х</w:t>
      </w:r>
      <w:r>
        <w:t>рана, бюро по консультированию граждан и продовольственные банки, и до р</w:t>
      </w:r>
      <w:r>
        <w:t>а</w:t>
      </w:r>
      <w:r>
        <w:t>боты в школьных советах попечителей и организации спортивных или общес</w:t>
      </w:r>
      <w:r>
        <w:t>т</w:t>
      </w:r>
      <w:r>
        <w:t>венных клубов. Во время консультационных совещаний с представителями о</w:t>
      </w:r>
      <w:r>
        <w:t>б</w:t>
      </w:r>
      <w:r>
        <w:t>щин, организованных недавно министерством сельского и лесного хозяйства, обсуждался вопрос роста нагрузки добровольцев в сельской местности: от меньшего числа добровольцев требуют большего. Одна из причин этого закл</w:t>
      </w:r>
      <w:r>
        <w:t>ю</w:t>
      </w:r>
      <w:r>
        <w:t>чается в том, что по мере того как большее число женщин в сельской местн</w:t>
      </w:r>
      <w:r>
        <w:t>о</w:t>
      </w:r>
      <w:r>
        <w:t>сти начинают или продолжают заниматься оплачиваемой работой, у них ост</w:t>
      </w:r>
      <w:r>
        <w:t>а</w:t>
      </w:r>
      <w:r>
        <w:t>ется меньше времени на добровольную работу. Правительство разрабатывает программу создания в некоторых общинах должностей молодых общинных специалистов, которые будут выполнять административные функции для н</w:t>
      </w:r>
      <w:r>
        <w:t>е</w:t>
      </w:r>
      <w:r>
        <w:t>скольких общинных или добровольных групп в каждом районе. Цель этого плана заключается в том, чтобы несколько уменьшить бремя, связанное с ок</w:t>
      </w:r>
      <w:r>
        <w:t>а</w:t>
      </w:r>
      <w:r>
        <w:t>занием добровольных услуг.</w:t>
      </w:r>
    </w:p>
    <w:p w:rsidR="00000000" w:rsidRDefault="00000000">
      <w:pPr>
        <w:pStyle w:val="H1"/>
      </w:pPr>
      <w:r>
        <w:t>Развитие сельских районов</w:t>
      </w:r>
    </w:p>
    <w:p w:rsidR="00000000" w:rsidRDefault="00000000">
      <w:pPr>
        <w:pStyle w:val="H23"/>
      </w:pPr>
      <w:r>
        <w:t>Фонд устойчивого сельского хозяйства</w:t>
      </w:r>
    </w:p>
    <w:p w:rsidR="00000000" w:rsidRDefault="00000000">
      <w:pPr>
        <w:pStyle w:val="SingleTxt"/>
      </w:pPr>
      <w:r>
        <w:t>Задача фонда устойчивого сельского хозяйства заключается в поддержке общинных программ, направленных на совершенствование финансовых и эк</w:t>
      </w:r>
      <w:r>
        <w:t>о</w:t>
      </w:r>
      <w:r>
        <w:t>логических показателей работы секторов, связанных с землей. Этот фонд пр</w:t>
      </w:r>
      <w:r>
        <w:t>е</w:t>
      </w:r>
      <w:r>
        <w:t>следует цель помочь сельским секторам решить проблемы и преодолеть барь</w:t>
      </w:r>
      <w:r>
        <w:t>е</w:t>
      </w:r>
      <w:r>
        <w:t>ры на пути повышения экономической, социальной и экологической жизн</w:t>
      </w:r>
      <w:r>
        <w:t>е</w:t>
      </w:r>
      <w:r>
        <w:t>стойкости путем объединения «групп с общими интересами». Это группы л</w:t>
      </w:r>
      <w:r>
        <w:t>ю</w:t>
      </w:r>
      <w:r>
        <w:t>дей или сектора, которых объединяют общие проблемы и/или возможности в деле устойчивого и</w:t>
      </w:r>
      <w:r>
        <w:t>с</w:t>
      </w:r>
      <w:r>
        <w:t>пользования ресурсов, связанных с землей.</w:t>
      </w:r>
    </w:p>
    <w:p w:rsidR="00000000" w:rsidRDefault="00000000">
      <w:pPr>
        <w:pStyle w:val="SingleTxt"/>
      </w:pPr>
      <w:r>
        <w:t>Среди финансировавшихся проектов была инициатива «</w:t>
      </w:r>
      <w:r>
        <w:rPr>
          <w:caps/>
        </w:rPr>
        <w:t>ж</w:t>
      </w:r>
      <w:r>
        <w:t>енщины сре</w:t>
      </w:r>
      <w:r>
        <w:t>д</w:t>
      </w:r>
      <w:r>
        <w:t>ней части Кантербери в пахотном земледелии». Этот проект позволит орган</w:t>
      </w:r>
      <w:r>
        <w:t>и</w:t>
      </w:r>
      <w:r>
        <w:t>зовать профессиональную подготовку и расширить возможности женщин, к</w:t>
      </w:r>
      <w:r>
        <w:t>о</w:t>
      </w:r>
      <w:r>
        <w:t>торые участвуют в товариществах, занимающихся пахотным земледелием, с тем чтобы они могли сами организовывать свою деятельность.</w:t>
      </w:r>
    </w:p>
    <w:p w:rsidR="00000000" w:rsidRDefault="00000000">
      <w:pPr>
        <w:pStyle w:val="H23"/>
      </w:pPr>
      <w:r>
        <w:t>Региональное развитие</w:t>
      </w:r>
    </w:p>
    <w:p w:rsidR="00000000" w:rsidRDefault="00000000">
      <w:pPr>
        <w:pStyle w:val="SingleTxt"/>
      </w:pPr>
      <w:r>
        <w:t>Министерство экономического развития работало совместно с местными органами власти в целях разработки и осуществления стратегий регионального развития. В мае 2000 года была создана целевая группа по развитию Тайравити для организации и направления деятельности общины Тайравити. В центре ее работы находится экономическое развитие, однако она признает, что большой вклад в региональное развитие вносит решение социальных и экологических задач. Аналогичные проекты осуществляются в восточной части Бей-оф-Пленти и на Крайнем севере. Общинные группы и отрасль принимают акти</w:t>
      </w:r>
      <w:r>
        <w:t>в</w:t>
      </w:r>
      <w:r>
        <w:t>ное участие в разработке и осуществлении этих стратегий, и предпринимаются усилия для того, чтобы добиться вклада от всех групп общины, в том числе и от женщин.</w:t>
      </w:r>
    </w:p>
    <w:p w:rsidR="00000000" w:rsidRDefault="00000000">
      <w:pPr>
        <w:pStyle w:val="H23"/>
      </w:pPr>
      <w:r>
        <w:t>Развитие предпринимательства</w:t>
      </w:r>
    </w:p>
    <w:p w:rsidR="00000000" w:rsidRDefault="00000000">
      <w:pPr>
        <w:pStyle w:val="SingleTxt"/>
      </w:pPr>
      <w:r>
        <w:t>Организация «Индустрия Новой Зеландии» с помощью своих программ развития предпринимательства работает над расширением возможностей для развития предпринимательства во всей стране (см. статью 13: Экономическая и социальная жизнь, стр. 159). Конкретным проектом, который оказался поле</w:t>
      </w:r>
      <w:r>
        <w:t>з</w:t>
      </w:r>
      <w:r>
        <w:t>ным для женщин в сельской местности, были практикумы "Агрибилд" для женщин в сельской местности, организованные программой развития предпр</w:t>
      </w:r>
      <w:r>
        <w:t>и</w:t>
      </w:r>
      <w:r>
        <w:t xml:space="preserve">нимательства при поддержке организаций «Женщины в сельской местности Новой Зеландии» и «Агрибилд». </w:t>
      </w:r>
      <w:r>
        <w:rPr>
          <w:caps/>
        </w:rPr>
        <w:t>п</w:t>
      </w:r>
      <w:r>
        <w:t>римерно для 460 женщин, проживающих в сельской местности, было организовано 23 практикума в целях развития и расширения навыков предпринимательской деятельности и управленческих способностей в сфере малого и среднего бизнеса. Эти практикумы дали же</w:t>
      </w:r>
      <w:r>
        <w:t>н</w:t>
      </w:r>
      <w:r>
        <w:t>щинам, проживающим в сельской местности, возможность объединяться друг с другом, и они были предназначены для представителей уже существующего би</w:t>
      </w:r>
      <w:r>
        <w:t>з</w:t>
      </w:r>
      <w:r>
        <w:t xml:space="preserve">неса или для выработки новых деловых идей. </w:t>
      </w:r>
    </w:p>
    <w:p w:rsidR="00000000" w:rsidRDefault="00000000">
      <w:pPr>
        <w:pStyle w:val="SingleTxt"/>
      </w:pPr>
      <w:r>
        <w:t>Группа обеспечения общинной занятости работает с общинами и добр</w:t>
      </w:r>
      <w:r>
        <w:t>о</w:t>
      </w:r>
      <w:r>
        <w:t>вольцами в целях выявления возможностей для развития общин и разработки общинных проектов обеспечения занятости. Эти программы доступны для сельских общин, и очень часто пользу от таких проектов получают и женщины.</w:t>
      </w:r>
    </w:p>
    <w:p w:rsidR="00000000" w:rsidRDefault="00000000">
      <w:pPr>
        <w:pStyle w:val="H23"/>
      </w:pPr>
      <w:r>
        <w:t>Участие в планировании процесса развития</w:t>
      </w:r>
    </w:p>
    <w:p w:rsidR="00000000" w:rsidRDefault="00000000">
      <w:pPr>
        <w:pStyle w:val="SingleTxt"/>
      </w:pPr>
      <w:r>
        <w:t>См. статью 7: Политическая и общественная жизнь, стр. 68-70, где соде</w:t>
      </w:r>
      <w:r>
        <w:t>р</w:t>
      </w:r>
      <w:r>
        <w:t>жится информация об участии женщин в местных органах управления.</w:t>
      </w:r>
    </w:p>
    <w:p w:rsidR="00000000" w:rsidRDefault="00000000">
      <w:pPr>
        <w:pStyle w:val="H23"/>
      </w:pPr>
      <w:r>
        <w:t>Доступ к услугам в области здравоохранения</w:t>
      </w:r>
    </w:p>
    <w:p w:rsidR="00000000" w:rsidRDefault="00000000">
      <w:pPr>
        <w:pStyle w:val="SingleTxt"/>
      </w:pPr>
      <w:r>
        <w:t>В 2001 году организация «Женщины в сельской местности Новой Зела</w:t>
      </w:r>
      <w:r>
        <w:t>н</w:t>
      </w:r>
      <w:r>
        <w:t>дии» (бывшая организация «Объединенные женщины-фермеры Новой Зела</w:t>
      </w:r>
      <w:r>
        <w:t>н</w:t>
      </w:r>
      <w:r>
        <w:t>дии») провела обследование 4075 взрослых и 949 детей на предмет доступа сельских общин к услугам в области медико-санитарного обслуживания. Это обследование дало следующие резул</w:t>
      </w:r>
      <w:r>
        <w:t>ь</w:t>
      </w:r>
      <w:r>
        <w:t>таты:</w:t>
      </w:r>
    </w:p>
    <w:p w:rsidR="00000000" w:rsidRDefault="00000000">
      <w:pPr>
        <w:pStyle w:val="dot"/>
      </w:pPr>
      <w:r>
        <w:tab/>
      </w:r>
      <w:r>
        <w:tab/>
        <w:t>•</w:t>
      </w:r>
      <w:r>
        <w:tab/>
        <w:t>56 процентов домохозяйств считали, что препятствием для получения доступа к травматологическим службам и службам скорой помощи явл</w:t>
      </w:r>
      <w:r>
        <w:t>я</w:t>
      </w:r>
      <w:r>
        <w:t>ется расстояние и что имелись серьезные проблемы, связанные с орган</w:t>
      </w:r>
      <w:r>
        <w:t>и</w:t>
      </w:r>
      <w:r>
        <w:t>зацией и координацией работы служб скорой помощи</w:t>
      </w:r>
    </w:p>
    <w:p w:rsidR="00000000" w:rsidRDefault="00000000">
      <w:pPr>
        <w:pStyle w:val="dot"/>
      </w:pPr>
      <w:r>
        <w:tab/>
      </w:r>
      <w:r>
        <w:tab/>
        <w:t>•</w:t>
      </w:r>
      <w:r>
        <w:tab/>
        <w:t>в качестве самого большого препятствия на пути получения доступа к у</w:t>
      </w:r>
      <w:r>
        <w:t>с</w:t>
      </w:r>
      <w:r>
        <w:t>лугам врачей общей практики и фармации были указаны стоимость о</w:t>
      </w:r>
      <w:r>
        <w:t>б</w:t>
      </w:r>
      <w:r>
        <w:t>служив</w:t>
      </w:r>
      <w:r>
        <w:t>а</w:t>
      </w:r>
      <w:r>
        <w:t>ния и расходы, связанные с расстоянием и поездкой</w:t>
      </w:r>
    </w:p>
    <w:p w:rsidR="00000000" w:rsidRDefault="00000000">
      <w:pPr>
        <w:pStyle w:val="dot"/>
      </w:pPr>
      <w:r>
        <w:tab/>
      </w:r>
      <w:r>
        <w:tab/>
        <w:t>•</w:t>
      </w:r>
      <w:r>
        <w:tab/>
        <w:t>51 процент ответивших сообщили о проблемах с получением доступа к усл</w:t>
      </w:r>
      <w:r>
        <w:t>у</w:t>
      </w:r>
      <w:r>
        <w:t>гам, связанным с беременностью и родами</w:t>
      </w:r>
    </w:p>
    <w:p w:rsidR="00000000" w:rsidRDefault="00000000">
      <w:pPr>
        <w:pStyle w:val="dot"/>
      </w:pPr>
      <w:r>
        <w:tab/>
      </w:r>
      <w:r>
        <w:tab/>
        <w:t>•</w:t>
      </w:r>
      <w:r>
        <w:tab/>
        <w:t>71 процент ответивших отметили, что наибольшим препятствием для п</w:t>
      </w:r>
      <w:r>
        <w:t>о</w:t>
      </w:r>
      <w:r>
        <w:t>лучения доступа к стоматологической помощи для взрослых является стоимость</w:t>
      </w:r>
    </w:p>
    <w:p w:rsidR="00000000" w:rsidRDefault="00000000">
      <w:pPr>
        <w:pStyle w:val="dot"/>
      </w:pPr>
      <w:r>
        <w:tab/>
      </w:r>
      <w:r>
        <w:tab/>
        <w:t>•</w:t>
      </w:r>
      <w:r>
        <w:tab/>
        <w:t>среди всех видов медицинского обслуживания больше всего домохозяйств отмечали трудности, связанные с использованием услуг специалистов, и в качестве причин приводились списки очередности, расстояние и сто</w:t>
      </w:r>
      <w:r>
        <w:t>и</w:t>
      </w:r>
      <w:r>
        <w:t>мость</w:t>
      </w:r>
    </w:p>
    <w:p w:rsidR="00000000" w:rsidRDefault="00000000">
      <w:pPr>
        <w:pStyle w:val="dot"/>
      </w:pPr>
      <w:r>
        <w:tab/>
      </w:r>
      <w:r>
        <w:tab/>
        <w:t>•</w:t>
      </w:r>
      <w:r>
        <w:tab/>
        <w:t>79 процентов домохозяйств не имели надлежащего доступа к обществе</w:t>
      </w:r>
      <w:r>
        <w:t>н</w:t>
      </w:r>
      <w:r>
        <w:t>ному транспорту, и это означает, что данный фактор нельзя считать н</w:t>
      </w:r>
      <w:r>
        <w:t>а</w:t>
      </w:r>
      <w:r>
        <w:t>дежной опорой для тех, кто вынужден использовать транспорт для пол</w:t>
      </w:r>
      <w:r>
        <w:t>у</w:t>
      </w:r>
      <w:r>
        <w:t>чения доступа к медико-санитарным услугам</w:t>
      </w:r>
    </w:p>
    <w:p w:rsidR="00000000" w:rsidRDefault="00000000">
      <w:pPr>
        <w:pStyle w:val="dot"/>
      </w:pPr>
      <w:r>
        <w:tab/>
      </w:r>
      <w:r>
        <w:tab/>
        <w:t>•</w:t>
      </w:r>
      <w:r>
        <w:tab/>
        <w:t>проблемы с телекоммуникациями означали, что 32 процента ответивших могли в любое вр</w:t>
      </w:r>
      <w:r>
        <w:t>е</w:t>
      </w:r>
      <w:r>
        <w:t>мя оказаться без средств связи</w:t>
      </w:r>
    </w:p>
    <w:p w:rsidR="00000000" w:rsidRDefault="00000000">
      <w:pPr>
        <w:pStyle w:val="dot"/>
      </w:pPr>
      <w:r>
        <w:tab/>
      </w:r>
      <w:r>
        <w:tab/>
        <w:t>•</w:t>
      </w:r>
      <w:r>
        <w:tab/>
        <w:t>примерно половина из ответивших на вопрос о досрочном прекращении оказания медико-санитарных услуг отмечали отсутствие последующей пом</w:t>
      </w:r>
      <w:r>
        <w:t>о</w:t>
      </w:r>
      <w:r>
        <w:t>щи.</w:t>
      </w:r>
    </w:p>
    <w:p w:rsidR="00000000" w:rsidRDefault="00000000">
      <w:pPr>
        <w:pStyle w:val="SingleTxt"/>
      </w:pPr>
      <w:r>
        <w:t>Эти результаты свидетельствуют о том, что сельские общины сталкиваю</w:t>
      </w:r>
      <w:r>
        <w:t>т</w:t>
      </w:r>
      <w:r>
        <w:t>ся с гораздо большими трудност</w:t>
      </w:r>
      <w:r>
        <w:t>я</w:t>
      </w:r>
      <w:r>
        <w:t>ми в деле получения доступа к медико-санитарному обслуживанию, чем предполагалось ранее, и подтверждают тот факт, что проблемы с получением доступа усугубляются различными фактор</w:t>
      </w:r>
      <w:r>
        <w:t>а</w:t>
      </w:r>
      <w:r>
        <w:t>ми. Полученные результаты подтверждают необходимость комплексного пл</w:t>
      </w:r>
      <w:r>
        <w:t>а</w:t>
      </w:r>
      <w:r>
        <w:t>нирования в целях улучшения доступа сельских общин к осно</w:t>
      </w:r>
      <w:r>
        <w:t>в</w:t>
      </w:r>
      <w:r>
        <w:t>ным медико-санитарным услугам.</w:t>
      </w:r>
    </w:p>
    <w:p w:rsidR="00000000" w:rsidRDefault="00000000">
      <w:pPr>
        <w:pStyle w:val="H1"/>
      </w:pPr>
      <w:r>
        <w:t>Программы социального обеспечения</w:t>
      </w:r>
    </w:p>
    <w:p w:rsidR="00000000" w:rsidRDefault="00000000">
      <w:pPr>
        <w:pStyle w:val="SingleTxt"/>
      </w:pPr>
      <w:r>
        <w:rPr>
          <w:caps/>
        </w:rPr>
        <w:t>д</w:t>
      </w:r>
      <w:r>
        <w:t>оступ некоторых женщин, проживающих в сельской местности, к пр</w:t>
      </w:r>
      <w:r>
        <w:t>о</w:t>
      </w:r>
      <w:r>
        <w:t>граммам социального обеспечения может быть затруднен из-за характера зан</w:t>
      </w:r>
      <w:r>
        <w:t>я</w:t>
      </w:r>
      <w:r>
        <w:t>тости в сельской местности. Поскольку большая доля жителей в сельских о</w:t>
      </w:r>
      <w:r>
        <w:t>б</w:t>
      </w:r>
      <w:r>
        <w:t>щинах являются самодеятельными работниками, претендовать на получение некоторых пособий, как, например, компенсация в связи с несчастным случаем или пособие по безработице, труднее. Эта проблема может встать особенно остро в те годы, когда климатические условия или цены на сырьевые товары делают фермерское хозяйство нерентабельным, и семья не может получить к</w:t>
      </w:r>
      <w:r>
        <w:t>а</w:t>
      </w:r>
      <w:r>
        <w:t>кой-либо доход от своего предприятия. Однако с учетом дохода супружеской пары супруга или партнер фермера могут получить пособие по безработице, если супруга или партнер являются безработными. Существует также спец</w:t>
      </w:r>
      <w:r>
        <w:t>и</w:t>
      </w:r>
      <w:r>
        <w:t>альная программа для оказания финансовой помощи фермерам, которые исп</w:t>
      </w:r>
      <w:r>
        <w:t>ы</w:t>
      </w:r>
      <w:r>
        <w:t>тывают финансовые трудности и не могут покрыть основные расходы на жизнь. Как правило, это происходит только в том случае, если часть отрасли пострадала от какого-либо стихийного бедствия, как, например, наводнение, засуха или эпидемия.</w:t>
      </w:r>
    </w:p>
    <w:p w:rsidR="00000000" w:rsidRDefault="00000000">
      <w:pPr>
        <w:pStyle w:val="SingleTxt"/>
      </w:pPr>
      <w:r>
        <w:t>Особое значение для женщин в сельской местности имеет оплачиваемый отпуск по уходу за ребенком. В свете численности женщин в сельской местн</w:t>
      </w:r>
      <w:r>
        <w:t>о</w:t>
      </w:r>
      <w:r>
        <w:t>сти, которые являются самодеятельными работниками или работают по ко</w:t>
      </w:r>
      <w:r>
        <w:t>н</w:t>
      </w:r>
      <w:r>
        <w:t>трактам, доступ к этому плану может быть затруднен.</w:t>
      </w:r>
    </w:p>
    <w:p w:rsidR="00000000" w:rsidRDefault="00000000">
      <w:pPr>
        <w:pStyle w:val="H23"/>
      </w:pPr>
      <w:r>
        <w:t xml:space="preserve">Услуги «Хартленд» </w:t>
      </w:r>
    </w:p>
    <w:p w:rsidR="00000000" w:rsidRDefault="00000000">
      <w:pPr>
        <w:pStyle w:val="SingleTxt"/>
      </w:pPr>
      <w:r>
        <w:t>Программа «Услуги Хартленд» является примером партнерства между центральным правительством, местными органами власти и общинными гру</w:t>
      </w:r>
      <w:r>
        <w:t>п</w:t>
      </w:r>
      <w:r>
        <w:t xml:space="preserve">пами, и направлена на улучшение доступа к государственным услугам лиц, проживающих в провинции и сельской местности Новой Зеландии. С первых шагов в разработке инициативы «Хартленд» участвовали правительственные учреждения, которые занимаются обслуживанием потребителей, как, например, министерство социального развития, </w:t>
      </w:r>
      <w:r>
        <w:rPr>
          <w:caps/>
        </w:rPr>
        <w:t>к</w:t>
      </w:r>
      <w:r>
        <w:t>орпорация по компенсациям в связи с несчастными случаями и Управление налоговых сборов. Центры услуг «Хар</w:t>
      </w:r>
      <w:r>
        <w:t>т</w:t>
      </w:r>
      <w:r>
        <w:t>ленд» служат базой для представителей государственных учреждений, которые регулярно посещают крупные сельские поселения, и они могут также служить базой для добровольных учреждений, которые могут совместно использовать средства и ресурсы. Информационно-пропагандистские услуги «Хартленд» осуществляются в форме скоординированных поездок представителей госуда</w:t>
      </w:r>
      <w:r>
        <w:t>р</w:t>
      </w:r>
      <w:r>
        <w:t>ственных учреждений в отделенные сельские центры, что позволяет сельским жителям решать все свои вопросы с государственными учреждениями в один день.</w:t>
      </w:r>
    </w:p>
    <w:p w:rsidR="00000000" w:rsidRDefault="00000000">
      <w:pPr>
        <w:pStyle w:val="H1"/>
      </w:pPr>
      <w:r>
        <w:t>Профессиональная подготовка и образование</w:t>
      </w:r>
    </w:p>
    <w:p w:rsidR="00000000" w:rsidRDefault="00000000">
      <w:pPr>
        <w:pStyle w:val="SingleTxt"/>
      </w:pPr>
      <w:r>
        <w:t>Перепись 2001 года показала, что женщины в сельской местности чаще, чем проживавшие там же мужчины, имели дипломы об образовании. Никакого диплома об образовании не имели приблизительно 21 процент женщин в сел</w:t>
      </w:r>
      <w:r>
        <w:t>ь</w:t>
      </w:r>
      <w:r>
        <w:t>ской местности, в то время как среди проживавших там же мужчин этот пок</w:t>
      </w:r>
      <w:r>
        <w:t>а</w:t>
      </w:r>
      <w:r>
        <w:t>затель составлял 31 процент. Среди тех, у кого был диплом, 12,3 процента женщин в сельской местности имели университетский диплом, а среди прож</w:t>
      </w:r>
      <w:r>
        <w:t>и</w:t>
      </w:r>
      <w:r>
        <w:t>вавших там же мужчин этот показатель составлял 11,1 процента. Однако му</w:t>
      </w:r>
      <w:r>
        <w:t>ж</w:t>
      </w:r>
      <w:r>
        <w:t>чины чаще, чем женщины, имели профессиональную подготовку (35 процентов мужчин и 32,2 процента женщин).</w:t>
      </w:r>
    </w:p>
    <w:p w:rsidR="00000000" w:rsidRDefault="00000000">
      <w:pPr>
        <w:pStyle w:val="SingleTxt"/>
      </w:pPr>
      <w:r>
        <w:t>Тридцать процентов людей, проживавших в сельских центрах, не имели никакого диплома (26,2 процента женщин и 33,9 процента мужчин). Для сра</w:t>
      </w:r>
      <w:r>
        <w:t>в</w:t>
      </w:r>
      <w:r>
        <w:t>нения: доля людей, проживавших в «другой сельской местности» и не имевших никакого диплома, составила 26 процентов (20,4 процента женщин и 30,6 процента мужчин).</w:t>
      </w:r>
    </w:p>
    <w:p w:rsidR="00000000" w:rsidRDefault="00000000">
      <w:pPr>
        <w:pStyle w:val="SingleTxt"/>
      </w:pPr>
      <w:r>
        <w:t>В секторе обязательного образования и девочки, и мальчики получают равные возможности для учебы в школе, а учащиеся в сельской местности при необходимости могут пользоваться школьными автобусами и получать пособия для обучения в школах-интернатах. Проведенные в последнее время обслед</w:t>
      </w:r>
      <w:r>
        <w:t>о</w:t>
      </w:r>
      <w:r>
        <w:t>вания показали, что число молодых женщин, которые уезжают из сельской м</w:t>
      </w:r>
      <w:r>
        <w:t>е</w:t>
      </w:r>
      <w:r>
        <w:t>стности после окончания школы для получения высшего образования или пр</w:t>
      </w:r>
      <w:r>
        <w:t>о</w:t>
      </w:r>
      <w:r>
        <w:t>фессиональной подготовки, больше по сравнению с мужчинами.</w:t>
      </w:r>
    </w:p>
    <w:p w:rsidR="00000000" w:rsidRDefault="00000000">
      <w:pPr>
        <w:pStyle w:val="SingleTxt"/>
      </w:pPr>
      <w:r>
        <w:t>Профессиональная подготовка и образование стали более доступными для женщин в сельской местности благодаря осуществлению рядом учебных зав</w:t>
      </w:r>
      <w:r>
        <w:t>е</w:t>
      </w:r>
      <w:r>
        <w:t>дений программ заочного обучения.</w:t>
      </w:r>
    </w:p>
    <w:p w:rsidR="00000000" w:rsidRDefault="00000000">
      <w:pPr>
        <w:pStyle w:val="SingleTxt"/>
      </w:pPr>
      <w:r>
        <w:t>Ряд общин следят за инициативами, связанными с использованием и</w:t>
      </w:r>
      <w:r>
        <w:t>н</w:t>
      </w:r>
      <w:r>
        <w:t>формационных и коммуникационных технологий и направленными на расш</w:t>
      </w:r>
      <w:r>
        <w:t>и</w:t>
      </w:r>
      <w:r>
        <w:t>рение доступа к образованию в сельской местности. Некоторые из этих ин</w:t>
      </w:r>
      <w:r>
        <w:t>и</w:t>
      </w:r>
      <w:r>
        <w:t>циатив осуществляются в школах, с тем чтобы дать детям и подросткам во</w:t>
      </w:r>
      <w:r>
        <w:t>з</w:t>
      </w:r>
      <w:r>
        <w:t>можность расширить диапазон изучаемых предметов. Другие направлены на создание общинных центров, где все жители общины могут научиться работать на компьютере и получить доступ к Интернету. Консультативная группа по в</w:t>
      </w:r>
      <w:r>
        <w:t>о</w:t>
      </w:r>
      <w:r>
        <w:t>просам образования в сельской местности разработала для сельских школ д</w:t>
      </w:r>
      <w:r>
        <w:t>о</w:t>
      </w:r>
      <w:r>
        <w:t>кумент по потребностям и конкретным проблемам, связанным с информацио</w:t>
      </w:r>
      <w:r>
        <w:t>н</w:t>
      </w:r>
      <w:r>
        <w:t>ными и коммуникацио</w:t>
      </w:r>
      <w:r>
        <w:t>н</w:t>
      </w:r>
      <w:r>
        <w:t>ными технологиями.</w:t>
      </w:r>
    </w:p>
    <w:p w:rsidR="00000000" w:rsidRDefault="00000000">
      <w:pPr>
        <w:pStyle w:val="H1"/>
      </w:pPr>
      <w:r>
        <w:t>Доступ к экономическим возможностям</w:t>
      </w:r>
    </w:p>
    <w:p w:rsidR="00000000" w:rsidRDefault="00000000">
      <w:pPr>
        <w:pStyle w:val="SingleTxt"/>
      </w:pPr>
      <w:r>
        <w:t>В сельской местности женщины зачастую являются той группой, которая ведет вперед, выявляя новые экономические возможности и двигаясь по пути их использования. Новым перспективным направлением является электронная торговля. В городах и сельской местности степень доступа домашних хозяйств к Интернету различна, а в самой сельской местности здесь также наблюдаются большие расхождения. В сельских центрах только 26 процентов домохозяйств имеют доступ к Интернету, в то время как в «другой сельской местности» т</w:t>
      </w:r>
      <w:r>
        <w:t>а</w:t>
      </w:r>
      <w:r>
        <w:t>кой доступ имеют 37 процентов домохозяйств. В целом в сельской местности доступ к Интернету имеют 35 процентов домохозяйств, в то время как в горо</w:t>
      </w:r>
      <w:r>
        <w:t>д</w:t>
      </w:r>
      <w:r>
        <w:t>ских районах этот показатель составляет 38 процентов д</w:t>
      </w:r>
      <w:r>
        <w:t>о</w:t>
      </w:r>
      <w:r>
        <w:t>мохозяйств.</w:t>
      </w:r>
    </w:p>
    <w:p w:rsidR="00000000" w:rsidRDefault="00000000">
      <w:pPr>
        <w:pStyle w:val="H1"/>
      </w:pPr>
      <w:r>
        <w:t>Участие в общинной деятельности</w:t>
      </w:r>
    </w:p>
    <w:p w:rsidR="00000000" w:rsidRDefault="00000000">
      <w:pPr>
        <w:pStyle w:val="SingleTxt"/>
      </w:pPr>
      <w:r>
        <w:t>Женщины в сельской местности участвуют в жизни своих общин на всех уровнях, занимаясь социальной работой, участвуя в спортивных командах, добровольных группах, работая в школах и участвуя в работе ОМСК, окру</w:t>
      </w:r>
      <w:r>
        <w:t>ж</w:t>
      </w:r>
      <w:r>
        <w:t>ных и региональных советов. Однако один аспект участия в жизни общин, к</w:t>
      </w:r>
      <w:r>
        <w:t>о</w:t>
      </w:r>
      <w:r>
        <w:t>торый для женщин в сельской местности менее доступен по сравнению с ж</w:t>
      </w:r>
      <w:r>
        <w:t>и</w:t>
      </w:r>
      <w:r>
        <w:t>тельницами городов, – это участие в правительственных консультациях по в</w:t>
      </w:r>
      <w:r>
        <w:t>о</w:t>
      </w:r>
      <w:r>
        <w:t>просам разработки политики.</w:t>
      </w:r>
    </w:p>
    <w:p w:rsidR="00000000" w:rsidRDefault="00000000">
      <w:pPr>
        <w:pStyle w:val="SingleTxt"/>
      </w:pPr>
      <w:r>
        <w:t>Жителям сельской местности зачастую трудно выяснить, над какими в</w:t>
      </w:r>
      <w:r>
        <w:t>о</w:t>
      </w:r>
      <w:r>
        <w:t>просами работает правительство и как они могут принять участие в процессе консультаций. Поездки и представление материалов зачастую организуются г</w:t>
      </w:r>
      <w:r>
        <w:t>о</w:t>
      </w:r>
      <w:r>
        <w:t>сударственными учреждениями только в крупных городских поселениях. М</w:t>
      </w:r>
      <w:r>
        <w:t>и</w:t>
      </w:r>
      <w:r>
        <w:t>нистерство сельского и лесного хозяйства и департамент внутренних дел с</w:t>
      </w:r>
      <w:r>
        <w:t>о</w:t>
      </w:r>
      <w:r>
        <w:t>вместно публикуют «Сельский бюллетень» (</w:t>
      </w:r>
      <w:r>
        <w:rPr>
          <w:i/>
        </w:rPr>
        <w:t>Rural Bulletin</w:t>
      </w:r>
      <w:r>
        <w:t>), в котором излаг</w:t>
      </w:r>
      <w:r>
        <w:t>а</w:t>
      </w:r>
      <w:r>
        <w:t>ются последние новости правительственной политики и законодательства, а также содержится информация о том, как население может принять участие в организуемых правительством процессах. Такие организации, как «Женщины в сельской местности Новой Зеландии» и «Объединенные фермеры», также ра</w:t>
      </w:r>
      <w:r>
        <w:t>с</w:t>
      </w:r>
      <w:r>
        <w:t>пространяют новости, представляющие интерес для их членов, и стремятся д</w:t>
      </w:r>
      <w:r>
        <w:t>о</w:t>
      </w:r>
      <w:r>
        <w:t>биться их вклада в подготовку своих материалов, направляемых правител</w:t>
      </w:r>
      <w:r>
        <w:t>ь</w:t>
      </w:r>
      <w:r>
        <w:t>ству.</w:t>
      </w:r>
    </w:p>
    <w:p w:rsidR="00000000" w:rsidRDefault="00000000">
      <w:pPr>
        <w:pStyle w:val="SingleTxt"/>
      </w:pPr>
      <w:r>
        <w:t>Работа в области электронного управления, о которой подробно говорится выше (см. стр. 174), должна помочь «сократить дистанцию» между правител</w:t>
      </w:r>
      <w:r>
        <w:t>ь</w:t>
      </w:r>
      <w:r>
        <w:t>ством и сельскими общинами.</w:t>
      </w:r>
    </w:p>
    <w:p w:rsidR="00000000" w:rsidRDefault="00000000">
      <w:pPr>
        <w:pStyle w:val="H1"/>
        <w:ind w:left="1264" w:firstLine="0"/>
      </w:pPr>
      <w:r>
        <w:t>Доступ к финансам, сбыту, технологиям и земельная реформа</w:t>
      </w:r>
    </w:p>
    <w:p w:rsidR="00000000" w:rsidRDefault="00000000">
      <w:pPr>
        <w:pStyle w:val="SingleTxt"/>
      </w:pPr>
      <w:r>
        <w:t xml:space="preserve">Как фермеры в своем </w:t>
      </w:r>
      <w:r>
        <w:rPr>
          <w:i/>
        </w:rPr>
        <w:t>собственном</w:t>
      </w:r>
      <w:r>
        <w:t xml:space="preserve"> качестве или как партнеры по сельск</w:t>
      </w:r>
      <w:r>
        <w:t>о</w:t>
      </w:r>
      <w:r>
        <w:t>хозяйственной деятельности женщины вносят большой вклад в принятие р</w:t>
      </w:r>
      <w:r>
        <w:t>е</w:t>
      </w:r>
      <w:r>
        <w:t>шений коммерческого характера. Отмечается улучшения отношения к женщ</w:t>
      </w:r>
      <w:r>
        <w:t>и</w:t>
      </w:r>
      <w:r>
        <w:t>нам со стороны работников банков, консультантов по сельскохозяйственным вопросам, агентов по операциям с акциями и других групп, которые занимаю</w:t>
      </w:r>
      <w:r>
        <w:t>т</w:t>
      </w:r>
      <w:r>
        <w:t>ся связанными с сельским хозяйством операциями, особенно по мере того как женщины занимают все большее число таких дол</w:t>
      </w:r>
      <w:r>
        <w:t>ж</w:t>
      </w:r>
      <w:r>
        <w:t>ностей.</w:t>
      </w:r>
    </w:p>
    <w:p w:rsidR="00000000" w:rsidRDefault="00000000">
      <w:pPr>
        <w:pStyle w:val="H23"/>
      </w:pPr>
      <w:r>
        <w:t>Группы, занимающиеся вопросами бережного отношения к земле</w:t>
      </w:r>
    </w:p>
    <w:p w:rsidR="00000000" w:rsidRDefault="00000000">
      <w:pPr>
        <w:pStyle w:val="SingleTxt"/>
      </w:pPr>
      <w:r>
        <w:t>В 1996 году был создан Новозеландский трастовый фонд бережного о</w:t>
      </w:r>
      <w:r>
        <w:t>т</w:t>
      </w:r>
      <w:r>
        <w:t>ношения к земле с целью оказания общинам помощи в создании групп, зан</w:t>
      </w:r>
      <w:r>
        <w:t>и</w:t>
      </w:r>
      <w:r>
        <w:t>мающихся вопросами бережного отношения к земле, для подготовки решений по таким вопросам в конкретных районах. Одним из членов-учредителей фо</w:t>
      </w:r>
      <w:r>
        <w:t>н</w:t>
      </w:r>
      <w:r>
        <w:t>да была организация «Женщины в сельской местности Новой Зеландии», и это является признанием постоянного участия и вклада женщин, проживающих в сельской местности, в сельскохозяйственную деятельность и работу по раци</w:t>
      </w:r>
      <w:r>
        <w:t>о</w:t>
      </w:r>
      <w:r>
        <w:t>нальному использованию земель. Под эгидой этого фонда действует 319 групп. В работе этих групп принимают участие самые различные люди, и они зан</w:t>
      </w:r>
      <w:r>
        <w:t>и</w:t>
      </w:r>
      <w:r>
        <w:t>маются такими вопросами, как сельскохозяйственное производство, стабилиз</w:t>
      </w:r>
      <w:r>
        <w:t>а</w:t>
      </w:r>
      <w:r>
        <w:t>ция земель, экологический мониторинг, охрана местной флоры и фауны, борьба с вредителями и сорняками и мониторинг и восстановление русла рек и эсту</w:t>
      </w:r>
      <w:r>
        <w:t>а</w:t>
      </w:r>
      <w:r>
        <w:t>рия. Организация «Женщины в сельской местности Новой Зеландии» стимул</w:t>
      </w:r>
      <w:r>
        <w:t>и</w:t>
      </w:r>
      <w:r>
        <w:t>рует своих членов к активному участию в работе групп, занимающихся вопр</w:t>
      </w:r>
      <w:r>
        <w:t>о</w:t>
      </w:r>
      <w:r>
        <w:t>сами бережного отнош</w:t>
      </w:r>
      <w:r>
        <w:t>е</w:t>
      </w:r>
      <w:r>
        <w:t>ния к земле, в своих районах.</w:t>
      </w:r>
    </w:p>
    <w:p w:rsidR="00000000" w:rsidRDefault="00000000">
      <w:pPr>
        <w:pStyle w:val="H1"/>
      </w:pPr>
      <w:r>
        <w:t>Доступ к коммунальным услугам</w:t>
      </w:r>
    </w:p>
    <w:p w:rsidR="00000000" w:rsidRDefault="00000000">
      <w:pPr>
        <w:pStyle w:val="SingleTxt"/>
      </w:pPr>
      <w:r>
        <w:t>Как правило, жилье в сельской местности не столь перенаселено, как в городских районах. Однако существует некоторая озабоченность по поводу безопасности жилья в некоторых районах страны и его соответствия необход</w:t>
      </w:r>
      <w:r>
        <w:t>и</w:t>
      </w:r>
      <w:r>
        <w:t>мым требованиям. Обеспечение того, чтобы жилье отвечало строительным нормам и нормативным актам, является задачей местных органов власти, и в последние месяцы велась работа по обеспечению того, чтобы дома, в частности арендуемые помещения в сельской местности, были безопасны для прожив</w:t>
      </w:r>
      <w:r>
        <w:t>а</w:t>
      </w:r>
      <w:r>
        <w:t>ния.</w:t>
      </w:r>
    </w:p>
    <w:p w:rsidR="00000000" w:rsidRDefault="00000000">
      <w:pPr>
        <w:pStyle w:val="SingleTxt"/>
      </w:pPr>
      <w:r>
        <w:t>Вопрос оказания сетевых услуг, таких как электроснабжение, транспорт и телекоммуникации, потребителям в сельской местности является в настоящее время предметом обсуждения между правительством и отраслевыми поста</w:t>
      </w:r>
      <w:r>
        <w:t>в</w:t>
      </w:r>
      <w:r>
        <w:t>щиками. Группа по сельским вопросам министерства сельского и лесного х</w:t>
      </w:r>
      <w:r>
        <w:t>о</w:t>
      </w:r>
      <w:r>
        <w:t>зяйства тратит значительную часть своего времени на подготовку замечаний по политике в отношении сетевых услуг. Общая позиция участвующих сторон з</w:t>
      </w:r>
      <w:r>
        <w:t>а</w:t>
      </w:r>
      <w:r>
        <w:t>ключается в том, что каждый должен получать доступ к основным услугам по разу</w:t>
      </w:r>
      <w:r>
        <w:t>м</w:t>
      </w:r>
      <w:r>
        <w:t>ной цене.</w:t>
      </w:r>
    </w:p>
    <w:p w:rsidR="00000000" w:rsidRDefault="00000000">
      <w:pPr>
        <w:pStyle w:val="SingleTxt"/>
      </w:pPr>
      <w:r>
        <w:t>Закон 1992 года об электроснабжении требует от всех организаций, зан</w:t>
      </w:r>
      <w:r>
        <w:t>и</w:t>
      </w:r>
      <w:r>
        <w:t>мающихся распределением электроэнергии, оказывать весь ряд услуг до 2013 года всем тем, кто получал электроэнергию до 1993 года. Это включает и оказание услуг во всех сельских районах. Поправка, внесенная в Закон об эле</w:t>
      </w:r>
      <w:r>
        <w:t>к</w:t>
      </w:r>
      <w:r>
        <w:t>троснабжении в 2001 году, преследует цель контролировать и сопоставлять плату за пользование линиями в сельской местности с платой в городах для обеспечения их соизмеримости.</w:t>
      </w:r>
    </w:p>
    <w:p w:rsidR="00000000" w:rsidRDefault="00000000">
      <w:pPr>
        <w:pStyle w:val="SingleTxt"/>
      </w:pPr>
      <w:r>
        <w:t>Новаторское применение информационных технологий может внести большой вклад в преодоление последствий изолированности и удаленности. Однако конкретные проблемы, с которыми сталкиваются сельские жители, – это ненадежность телефонной связи, на которую обычно влияют неблагоприя</w:t>
      </w:r>
      <w:r>
        <w:t>т</w:t>
      </w:r>
      <w:r>
        <w:t>ные погодные условия, и недостаточная зона охвата для мобильных телефонов. В сельской местности возникают также трудности с получением высокоскор</w:t>
      </w:r>
      <w:r>
        <w:t>о</w:t>
      </w:r>
      <w:r>
        <w:t>стного доступа к Интернету.</w:t>
      </w:r>
    </w:p>
    <w:p w:rsidR="00000000" w:rsidRDefault="00000000">
      <w:pPr>
        <w:pStyle w:val="H1"/>
      </w:pPr>
      <w:r>
        <w:t>Библиография</w:t>
      </w:r>
    </w:p>
    <w:p w:rsidR="00000000" w:rsidRDefault="00000000">
      <w:pPr>
        <w:pStyle w:val="BodyText2"/>
        <w:spacing w:after="120" w:line="240" w:lineRule="exact"/>
        <w:ind w:left="1740" w:right="1264" w:hanging="476"/>
        <w:rPr>
          <w:sz w:val="20"/>
        </w:rPr>
      </w:pPr>
      <w:r>
        <w:rPr>
          <w:sz w:val="20"/>
        </w:rPr>
        <w:t xml:space="preserve">Botha, N. </w:t>
      </w:r>
      <w:r>
        <w:rPr>
          <w:i w:val="0"/>
          <w:sz w:val="20"/>
        </w:rPr>
        <w:t>et al.,</w:t>
      </w:r>
      <w:r>
        <w:rPr>
          <w:sz w:val="20"/>
        </w:rPr>
        <w:t xml:space="preserve"> 2001, </w:t>
      </w:r>
      <w:r>
        <w:rPr>
          <w:i w:val="0"/>
          <w:sz w:val="20"/>
        </w:rPr>
        <w:t xml:space="preserve">Addressing the Rural Digital Divide in New Zealand, </w:t>
      </w:r>
      <w:r>
        <w:rPr>
          <w:sz w:val="20"/>
        </w:rPr>
        <w:t>MAF Operational Research, We</w:t>
      </w:r>
      <w:r>
        <w:rPr>
          <w:sz w:val="20"/>
        </w:rPr>
        <w:t>l</w:t>
      </w:r>
      <w:r>
        <w:rPr>
          <w:sz w:val="20"/>
        </w:rPr>
        <w:t>lington.</w:t>
      </w:r>
    </w:p>
    <w:p w:rsidR="00000000" w:rsidRDefault="00000000">
      <w:pPr>
        <w:pStyle w:val="BodyText2"/>
        <w:spacing w:after="120" w:line="240" w:lineRule="exact"/>
        <w:ind w:left="1740" w:right="1264" w:hanging="476"/>
        <w:rPr>
          <w:sz w:val="20"/>
        </w:rPr>
      </w:pPr>
      <w:r>
        <w:rPr>
          <w:sz w:val="20"/>
        </w:rPr>
        <w:t xml:space="preserve">Crampton, P. </w:t>
      </w:r>
      <w:r>
        <w:rPr>
          <w:i w:val="0"/>
          <w:sz w:val="20"/>
        </w:rPr>
        <w:t>et al.,</w:t>
      </w:r>
      <w:r>
        <w:rPr>
          <w:sz w:val="20"/>
        </w:rPr>
        <w:t xml:space="preserve"> 2000, </w:t>
      </w:r>
      <w:r>
        <w:rPr>
          <w:i w:val="0"/>
          <w:sz w:val="20"/>
        </w:rPr>
        <w:t>Degrees of Deprivation in New Zealand: An Atlas of Socioeconomic Difference</w:t>
      </w:r>
      <w:r>
        <w:rPr>
          <w:sz w:val="20"/>
        </w:rPr>
        <w:t>, Auckland.</w:t>
      </w:r>
    </w:p>
    <w:p w:rsidR="00000000" w:rsidRDefault="00000000">
      <w:pPr>
        <w:pStyle w:val="BodyText2"/>
        <w:spacing w:after="120" w:line="240" w:lineRule="exact"/>
        <w:ind w:left="1740" w:right="1264" w:hanging="476"/>
        <w:rPr>
          <w:sz w:val="20"/>
        </w:rPr>
      </w:pPr>
      <w:r>
        <w:rPr>
          <w:sz w:val="20"/>
        </w:rPr>
        <w:t xml:space="preserve">Murphy, N., and Opus International Consultants Limited, 2001, </w:t>
      </w:r>
      <w:r>
        <w:rPr>
          <w:i w:val="0"/>
          <w:sz w:val="20"/>
        </w:rPr>
        <w:t>Defining the Rural Population – A National and International Literature Review,</w:t>
      </w:r>
      <w:r>
        <w:rPr>
          <w:sz w:val="20"/>
        </w:rPr>
        <w:t xml:space="preserve"> MAF Sustainable Resource Use Policy Study, Wellington.</w:t>
      </w:r>
    </w:p>
    <w:p w:rsidR="00000000" w:rsidRDefault="00000000">
      <w:pPr>
        <w:pStyle w:val="BodyText2"/>
        <w:spacing w:after="120" w:line="240" w:lineRule="exact"/>
        <w:ind w:left="1740" w:right="1264" w:hanging="476"/>
        <w:rPr>
          <w:sz w:val="20"/>
        </w:rPr>
      </w:pPr>
      <w:r>
        <w:rPr>
          <w:sz w:val="20"/>
        </w:rPr>
        <w:t xml:space="preserve">Newell, J., 1996, </w:t>
      </w:r>
      <w:r>
        <w:rPr>
          <w:i w:val="0"/>
          <w:sz w:val="20"/>
        </w:rPr>
        <w:t>New Zealand Regional Trends in Agriculture and Rural Communities: 1986-96</w:t>
      </w:r>
      <w:r>
        <w:rPr>
          <w:sz w:val="20"/>
        </w:rPr>
        <w:t>, Draft Report, MAF O</w:t>
      </w:r>
      <w:r>
        <w:rPr>
          <w:sz w:val="20"/>
        </w:rPr>
        <w:t>p</w:t>
      </w:r>
      <w:r>
        <w:rPr>
          <w:sz w:val="20"/>
        </w:rPr>
        <w:t>erational Research, Wellington.</w:t>
      </w:r>
    </w:p>
    <w:p w:rsidR="00000000" w:rsidRDefault="00000000">
      <w:pPr>
        <w:pStyle w:val="BodyText2"/>
        <w:spacing w:after="120" w:line="240" w:lineRule="exact"/>
        <w:ind w:left="1740" w:right="1264" w:hanging="476"/>
        <w:rPr>
          <w:sz w:val="20"/>
        </w:rPr>
      </w:pPr>
      <w:r>
        <w:rPr>
          <w:sz w:val="20"/>
        </w:rPr>
        <w:t xml:space="preserve">Rural Women New Zealand, 2001, </w:t>
      </w:r>
      <w:r>
        <w:rPr>
          <w:i w:val="0"/>
          <w:sz w:val="20"/>
        </w:rPr>
        <w:t xml:space="preserve">Rural Health Survey, </w:t>
      </w:r>
      <w:r>
        <w:rPr>
          <w:sz w:val="20"/>
        </w:rPr>
        <w:t>Wellington.</w:t>
      </w:r>
    </w:p>
    <w:p w:rsidR="00000000" w:rsidRDefault="00000000">
      <w:pPr>
        <w:pStyle w:val="BodyText2"/>
        <w:spacing w:after="120" w:line="240" w:lineRule="exact"/>
        <w:ind w:left="1740" w:right="1264" w:hanging="476"/>
        <w:rPr>
          <w:sz w:val="20"/>
        </w:rPr>
      </w:pPr>
      <w:r>
        <w:rPr>
          <w:sz w:val="20"/>
        </w:rPr>
        <w:t xml:space="preserve">Underwood, R. and Ripley, J., 2000, </w:t>
      </w:r>
      <w:r>
        <w:rPr>
          <w:i w:val="0"/>
          <w:sz w:val="20"/>
        </w:rPr>
        <w:t>The Influence of Social Factors on the Future Performance of the Primary Production Sectors,</w:t>
      </w:r>
      <w:r>
        <w:rPr>
          <w:sz w:val="20"/>
        </w:rPr>
        <w:t xml:space="preserve"> MAF Policy Technical Paper, Wellin</w:t>
      </w:r>
      <w:r>
        <w:rPr>
          <w:sz w:val="20"/>
        </w:rPr>
        <w:t>g</w:t>
      </w:r>
      <w:r>
        <w:rPr>
          <w:sz w:val="20"/>
        </w:rPr>
        <w:t>ton.</w:t>
      </w:r>
    </w:p>
    <w:p w:rsidR="00000000" w:rsidRDefault="00000000">
      <w:pPr>
        <w:pStyle w:val="HCh"/>
      </w:pPr>
      <w:r>
        <w:br w:type="page"/>
      </w:r>
      <w:bookmarkStart w:id="37" w:name="_Toc30302902"/>
      <w:r>
        <w:t>Статья 15</w:t>
      </w:r>
      <w:bookmarkEnd w:id="37"/>
    </w:p>
    <w:p w:rsidR="00000000" w:rsidRDefault="00000000">
      <w:pPr>
        <w:pStyle w:val="HCh"/>
      </w:pPr>
      <w:bookmarkStart w:id="38" w:name="_Toc30302903"/>
      <w:r>
        <w:t>Равенство перед законом и в гражданских делах</w:t>
      </w:r>
      <w:bookmarkEnd w:id="38"/>
    </w:p>
    <w:p w:rsidR="00000000" w:rsidRDefault="00000000">
      <w:pPr>
        <w:pStyle w:val="SingleTxt"/>
        <w:ind w:left="1740" w:hanging="476"/>
        <w:rPr>
          <w:i/>
        </w:rPr>
      </w:pPr>
      <w:r>
        <w:rPr>
          <w:i/>
        </w:rPr>
        <w:t xml:space="preserve">1. </w:t>
      </w:r>
      <w:r>
        <w:rPr>
          <w:i/>
        </w:rPr>
        <w:tab/>
        <w:t>Государства-участники признают за женщинами равенство с мужчин</w:t>
      </w:r>
      <w:r>
        <w:rPr>
          <w:i/>
        </w:rPr>
        <w:t>а</w:t>
      </w:r>
      <w:r>
        <w:rPr>
          <w:i/>
        </w:rPr>
        <w:t>ми перед законом.</w:t>
      </w:r>
    </w:p>
    <w:p w:rsidR="00000000" w:rsidRDefault="00000000">
      <w:pPr>
        <w:pStyle w:val="SingleTxt"/>
        <w:ind w:left="1740" w:hanging="476"/>
        <w:rPr>
          <w:i/>
        </w:rPr>
      </w:pPr>
      <w:r>
        <w:rPr>
          <w:i/>
        </w:rPr>
        <w:t xml:space="preserve">2. </w:t>
      </w:r>
      <w:r>
        <w:rPr>
          <w:i/>
        </w:rPr>
        <w:tab/>
        <w:t>Государства-участники предоставляют женщинам одинаковые с му</w:t>
      </w:r>
      <w:r>
        <w:rPr>
          <w:i/>
        </w:rPr>
        <w:t>ж</w:t>
      </w:r>
      <w:r>
        <w:rPr>
          <w:i/>
        </w:rPr>
        <w:t>чинами гражданскую правоспособность и одинаковые возможности ее реализации. Они, в частности, обеспечивают им равные права при закл</w:t>
      </w:r>
      <w:r>
        <w:rPr>
          <w:i/>
        </w:rPr>
        <w:t>ю</w:t>
      </w:r>
      <w:r>
        <w:rPr>
          <w:i/>
        </w:rPr>
        <w:t>чении договоров и управлении имуществом, а также равное отношение к ним на всех этапах разбирательства в судах и тр</w:t>
      </w:r>
      <w:r>
        <w:rPr>
          <w:i/>
        </w:rPr>
        <w:t>и</w:t>
      </w:r>
      <w:r>
        <w:rPr>
          <w:i/>
        </w:rPr>
        <w:t>буналах.</w:t>
      </w:r>
    </w:p>
    <w:p w:rsidR="00000000" w:rsidRDefault="00000000">
      <w:pPr>
        <w:pStyle w:val="SingleTxt"/>
        <w:ind w:left="1740" w:hanging="476"/>
        <w:rPr>
          <w:i/>
        </w:rPr>
      </w:pPr>
      <w:r>
        <w:rPr>
          <w:i/>
        </w:rPr>
        <w:t xml:space="preserve">3. </w:t>
      </w:r>
      <w:r>
        <w:rPr>
          <w:i/>
        </w:rPr>
        <w:tab/>
        <w:t>Государства-участники соглашаются, что все договоры и все другие ч</w:t>
      </w:r>
      <w:r>
        <w:rPr>
          <w:i/>
        </w:rPr>
        <w:t>а</w:t>
      </w:r>
      <w:r>
        <w:rPr>
          <w:i/>
        </w:rPr>
        <w:t>стные документы любого рода, имеющие своим правовым последствием ограничение правоспособности женщин, считаются недействительн</w:t>
      </w:r>
      <w:r>
        <w:rPr>
          <w:i/>
        </w:rPr>
        <w:t>ы</w:t>
      </w:r>
      <w:r>
        <w:rPr>
          <w:i/>
        </w:rPr>
        <w:t>ми.</w:t>
      </w:r>
    </w:p>
    <w:p w:rsidR="00000000" w:rsidRDefault="00000000">
      <w:pPr>
        <w:pStyle w:val="SingleTxt"/>
        <w:ind w:left="1740" w:hanging="476"/>
        <w:rPr>
          <w:i/>
        </w:rPr>
      </w:pPr>
      <w:r>
        <w:rPr>
          <w:i/>
        </w:rPr>
        <w:t xml:space="preserve">4. </w:t>
      </w:r>
      <w:r>
        <w:rPr>
          <w:i/>
        </w:rPr>
        <w:tab/>
        <w:t>Государства-участники предоставляют мужчинам и женщинам один</w:t>
      </w:r>
      <w:r>
        <w:rPr>
          <w:i/>
        </w:rPr>
        <w:t>а</w:t>
      </w:r>
      <w:r>
        <w:rPr>
          <w:i/>
        </w:rPr>
        <w:t>ковые права в отношении законодательства, касающегося передвижения лиц и свободы выбора места проживания и м</w:t>
      </w:r>
      <w:r>
        <w:rPr>
          <w:i/>
        </w:rPr>
        <w:t>е</w:t>
      </w:r>
      <w:r>
        <w:rPr>
          <w:i/>
        </w:rPr>
        <w:t>стожительства.</w:t>
      </w:r>
    </w:p>
    <w:p w:rsidR="00000000" w:rsidRDefault="00000000">
      <w:pPr>
        <w:pStyle w:val="H1"/>
      </w:pPr>
      <w:r>
        <w:t>Правовая помощь в гражданском процессе</w:t>
      </w:r>
    </w:p>
    <w:p w:rsidR="00000000" w:rsidRDefault="00000000">
      <w:pPr>
        <w:pStyle w:val="SingleTxt"/>
      </w:pPr>
      <w:r>
        <w:t>Женщины являются основными получателями правовой помощи в гра</w:t>
      </w:r>
      <w:r>
        <w:t>ж</w:t>
      </w:r>
      <w:r>
        <w:t>данском процессе. Около 85 процентов такой правовой помощи связано с в</w:t>
      </w:r>
      <w:r>
        <w:t>о</w:t>
      </w:r>
      <w:r>
        <w:t>просами, решаемыми в судах по семейным делам, главным образом с попеч</w:t>
      </w:r>
      <w:r>
        <w:t>е</w:t>
      </w:r>
      <w:r>
        <w:t>нием и/или вопросами доступа к находящимся на иждивении детям после ра</w:t>
      </w:r>
      <w:r>
        <w:t>з</w:t>
      </w:r>
      <w:r>
        <w:t>рыва семейных отношений, а также с вопросами насилия в семье. В 2000/01 финансовом году на правовую помощь в гражданском процессе по с</w:t>
      </w:r>
      <w:r>
        <w:t>е</w:t>
      </w:r>
      <w:r>
        <w:t>мейным делам было израсходовано свыше 34 млн. долл. США, причем средние расходы в расчете на одно дело с</w:t>
      </w:r>
      <w:r>
        <w:t>о</w:t>
      </w:r>
      <w:r>
        <w:t>ставили приблизительно 1500 долл. США.</w:t>
      </w:r>
    </w:p>
    <w:p w:rsidR="00000000" w:rsidRDefault="00000000">
      <w:pPr>
        <w:pStyle w:val="SingleTxt"/>
      </w:pPr>
      <w:r>
        <w:t xml:space="preserve">Оказание правовой помощи в гражданском процессе находится сейчас в ведении </w:t>
      </w:r>
      <w:r>
        <w:rPr>
          <w:caps/>
        </w:rPr>
        <w:t>а</w:t>
      </w:r>
      <w:r>
        <w:t>гентства юридических услуг – государственного учреждения, со</w:t>
      </w:r>
      <w:r>
        <w:t>з</w:t>
      </w:r>
      <w:r>
        <w:t xml:space="preserve">данного на основании Закона 2000 года о юридических услугах. Задача </w:t>
      </w:r>
      <w:r>
        <w:rPr>
          <w:caps/>
        </w:rPr>
        <w:t>а</w:t>
      </w:r>
      <w:r>
        <w:t>ген</w:t>
      </w:r>
      <w:r>
        <w:t>т</w:t>
      </w:r>
      <w:r>
        <w:t>ства заключается в обеспечении доступа к правосудию путем оказания прав</w:t>
      </w:r>
      <w:r>
        <w:t>о</w:t>
      </w:r>
      <w:r>
        <w:t>вой помощи людям, у которых нет достаточных средств для оплаты юридич</w:t>
      </w:r>
      <w:r>
        <w:t>е</w:t>
      </w:r>
      <w:r>
        <w:t>ских услуг, а также в оказании поддержки общинным юридическим службам путем финансирования общинных правовых центров, образования и исслед</w:t>
      </w:r>
      <w:r>
        <w:t>о</w:t>
      </w:r>
      <w:r>
        <w:t xml:space="preserve">ваний. Это </w:t>
      </w:r>
      <w:r>
        <w:rPr>
          <w:caps/>
        </w:rPr>
        <w:t>а</w:t>
      </w:r>
      <w:r>
        <w:t>гентство подотчетно министру юстиции и консультирует министра по вопросам, связанным с предоставлением юридич</w:t>
      </w:r>
      <w:r>
        <w:t>е</w:t>
      </w:r>
      <w:r>
        <w:t xml:space="preserve">ских услуг. </w:t>
      </w:r>
    </w:p>
    <w:p w:rsidR="00000000" w:rsidRDefault="00000000">
      <w:pPr>
        <w:pStyle w:val="SingleTxt"/>
      </w:pPr>
      <w:r>
        <w:t>Агентство финансирует также исследовательскую программу в целях в</w:t>
      </w:r>
      <w:r>
        <w:t>ы</w:t>
      </w:r>
      <w:r>
        <w:t>явления неудовлетворенных правовых потребностей, а также выявления соо</w:t>
      </w:r>
      <w:r>
        <w:t>т</w:t>
      </w:r>
      <w:r>
        <w:t>ветствующих изменений в обслуживании и установления первоочередных з</w:t>
      </w:r>
      <w:r>
        <w:t>а</w:t>
      </w:r>
      <w:r>
        <w:t>дач для устранения недостатков. Наряду с этническими и социально-экономическими вопросами гендерные факторы являются одним из ключевых направлений в этом и</w:t>
      </w:r>
      <w:r>
        <w:t>с</w:t>
      </w:r>
      <w:r>
        <w:t>следовании.</w:t>
      </w:r>
    </w:p>
    <w:p w:rsidR="00000000" w:rsidRDefault="00000000">
      <w:pPr>
        <w:pStyle w:val="H1"/>
      </w:pPr>
      <w:r>
        <w:t>Сборы в гражданских судах</w:t>
      </w:r>
    </w:p>
    <w:p w:rsidR="00000000" w:rsidRDefault="00000000">
      <w:pPr>
        <w:pStyle w:val="SingleTxt"/>
      </w:pPr>
      <w:r>
        <w:t>Законодательство, вступившее в силу в октябре 2001 года, предоставляет регистраторам суда право отменять, возмещать или откладывать уплату сборов в гражданских судах, если истец не в состоянии оплатить их или если дело св</w:t>
      </w:r>
      <w:r>
        <w:t>я</w:t>
      </w:r>
      <w:r>
        <w:t>зано с вопросом, представляющим общественный интерес, и в противном сл</w:t>
      </w:r>
      <w:r>
        <w:t>у</w:t>
      </w:r>
      <w:r>
        <w:t>чае не будет рассмотрено. Судебные сборы, уплачиваемые по многим слушан</w:t>
      </w:r>
      <w:r>
        <w:t>и</w:t>
      </w:r>
      <w:r>
        <w:t xml:space="preserve">ям в суде по рассмотрению споров, были существенно снижены, а сборы во многих окружных судах, </w:t>
      </w:r>
      <w:r>
        <w:rPr>
          <w:caps/>
        </w:rPr>
        <w:t>в</w:t>
      </w:r>
      <w:r>
        <w:t xml:space="preserve">ысшем суде и </w:t>
      </w:r>
      <w:r>
        <w:rPr>
          <w:caps/>
        </w:rPr>
        <w:t>а</w:t>
      </w:r>
      <w:r>
        <w:t xml:space="preserve">пелляционном суде были увеличены. Однако при рассмотрении апелляций, поступающих в </w:t>
      </w:r>
      <w:r>
        <w:rPr>
          <w:caps/>
        </w:rPr>
        <w:t>в</w:t>
      </w:r>
      <w:r>
        <w:t>ысший суд от админ</w:t>
      </w:r>
      <w:r>
        <w:t>и</w:t>
      </w:r>
      <w:r>
        <w:t>стративных трибуналов (например, связанных с апелляциями ККНС, по делам, связанным с иммиграцией и социальным обеспечением), и заявлений, подава</w:t>
      </w:r>
      <w:r>
        <w:t>е</w:t>
      </w:r>
      <w:r>
        <w:t xml:space="preserve">мых в </w:t>
      </w:r>
      <w:r>
        <w:rPr>
          <w:caps/>
        </w:rPr>
        <w:t>в</w:t>
      </w:r>
      <w:r>
        <w:t>ысший суд для вынесения судебного заключения, сборы увеличиваться не будут. Эти изменения призваны улучшить доступ к правосудию для бол</w:t>
      </w:r>
      <w:r>
        <w:t>ь</w:t>
      </w:r>
      <w:r>
        <w:t>шинства мелких клиентов системы.</w:t>
      </w:r>
    </w:p>
    <w:p w:rsidR="00000000" w:rsidRDefault="00000000">
      <w:pPr>
        <w:pStyle w:val="H1"/>
      </w:pPr>
      <w:r>
        <w:t>Общинные правовые центры</w:t>
      </w:r>
    </w:p>
    <w:p w:rsidR="00000000" w:rsidRDefault="00000000">
      <w:pPr>
        <w:pStyle w:val="SingleTxt"/>
      </w:pPr>
      <w:r>
        <w:t>В ведении Агентства юридических услуг находится также финансиров</w:t>
      </w:r>
      <w:r>
        <w:t>а</w:t>
      </w:r>
      <w:r>
        <w:t>ние общинных правовых центров, которые бесплатно оказывают различные у</w:t>
      </w:r>
      <w:r>
        <w:t>с</w:t>
      </w:r>
      <w:r>
        <w:t>луги, связанные с правовыми потребностями общин. В 1992 году было 9 таких центров; в 2002 году их число увеличилось до 24.</w:t>
      </w:r>
    </w:p>
    <w:p w:rsidR="00000000" w:rsidRDefault="00000000">
      <w:pPr>
        <w:pStyle w:val="SingleTxt"/>
      </w:pPr>
      <w:r>
        <w:t>Руководство всеми общинными правовыми центрами осуществляется в индивидуальном порядке – обычно как акционерными обществами или благ</w:t>
      </w:r>
      <w:r>
        <w:t>о</w:t>
      </w:r>
      <w:r>
        <w:t xml:space="preserve">творительными фондами. Финансовые средства могут поступать из различных источников, однако главным образом из </w:t>
      </w:r>
      <w:r>
        <w:rPr>
          <w:caps/>
        </w:rPr>
        <w:t>н</w:t>
      </w:r>
      <w:r>
        <w:t xml:space="preserve">овозеландского специального фонда общества юристов через </w:t>
      </w:r>
      <w:r>
        <w:rPr>
          <w:caps/>
        </w:rPr>
        <w:t>а</w:t>
      </w:r>
      <w:r>
        <w:t>гентство юридических услуг. В рамках бюджета на 2002/03 год правительство также осуществляет некоторое дополнительное ф</w:t>
      </w:r>
      <w:r>
        <w:t>и</w:t>
      </w:r>
      <w:r>
        <w:t xml:space="preserve">нансирование. </w:t>
      </w:r>
    </w:p>
    <w:p w:rsidR="00000000" w:rsidRDefault="00000000">
      <w:pPr>
        <w:pStyle w:val="SingleTxt"/>
      </w:pPr>
      <w:r>
        <w:t xml:space="preserve">Важную роль в создании новых общинных правовых центров играет </w:t>
      </w:r>
      <w:r>
        <w:rPr>
          <w:caps/>
        </w:rPr>
        <w:t>а</w:t>
      </w:r>
      <w:r>
        <w:t>гентство юридических услуг. Оно может изучить необходимость создания центра и оказать помощь в виде консультирования и финансирования создания центра. Одними из основных клиентов общинных правовых центров являются же</w:t>
      </w:r>
      <w:r>
        <w:t>н</w:t>
      </w:r>
      <w:r>
        <w:t>щины.</w:t>
      </w:r>
    </w:p>
    <w:p w:rsidR="00000000" w:rsidRDefault="00000000">
      <w:pPr>
        <w:pStyle w:val="H1"/>
      </w:pPr>
      <w:r>
        <w:t>Доступ женщин к правосудию</w:t>
      </w:r>
    </w:p>
    <w:p w:rsidR="00000000" w:rsidRDefault="00000000">
      <w:pPr>
        <w:pStyle w:val="SingleTxt"/>
      </w:pPr>
      <w:r>
        <w:t>В ответ на серьезную озабоченность женщин по поводу получения дост</w:t>
      </w:r>
      <w:r>
        <w:t>у</w:t>
      </w:r>
      <w:r>
        <w:t xml:space="preserve">па к системе правосудия и ее функционирования </w:t>
      </w:r>
      <w:r>
        <w:rPr>
          <w:caps/>
        </w:rPr>
        <w:t>п</w:t>
      </w:r>
      <w:r>
        <w:t>равовая комиссия Новой З</w:t>
      </w:r>
      <w:r>
        <w:t>е</w:t>
      </w:r>
      <w:r>
        <w:t xml:space="preserve">ландии организовала проект «Доступ женщин к правосудию». В 1999 году </w:t>
      </w:r>
      <w:r>
        <w:rPr>
          <w:caps/>
        </w:rPr>
        <w:t>п</w:t>
      </w:r>
      <w:r>
        <w:t>равовая комиссия опубликовала следующие документы:</w:t>
      </w:r>
    </w:p>
    <w:p w:rsidR="00000000" w:rsidRDefault="00000000">
      <w:pPr>
        <w:pStyle w:val="dot"/>
      </w:pPr>
      <w:r>
        <w:tab/>
      </w:r>
      <w:r>
        <w:tab/>
        <w:t>•</w:t>
      </w:r>
      <w:r>
        <w:tab/>
        <w:t xml:space="preserve"> «</w:t>
      </w:r>
      <w:r>
        <w:rPr>
          <w:i/>
        </w:rPr>
        <w:t>Доступ женщин к юридическим услугам</w:t>
      </w:r>
      <w:r>
        <w:t>» (</w:t>
      </w:r>
      <w:r>
        <w:rPr>
          <w:i/>
        </w:rPr>
        <w:t>Women’s Access to Legal Services</w:t>
      </w:r>
      <w:r>
        <w:t>) (исследовательский д</w:t>
      </w:r>
      <w:r>
        <w:t>о</w:t>
      </w:r>
      <w:r>
        <w:t>кумент)</w:t>
      </w:r>
    </w:p>
    <w:p w:rsidR="00000000" w:rsidRDefault="00000000">
      <w:pPr>
        <w:pStyle w:val="dot"/>
        <w:rPr>
          <w:i/>
        </w:rPr>
      </w:pPr>
      <w:r>
        <w:tab/>
      </w:r>
      <w:r>
        <w:tab/>
        <w:t>•</w:t>
      </w:r>
      <w:r>
        <w:tab/>
        <w:t xml:space="preserve"> «</w:t>
      </w:r>
      <w:r>
        <w:rPr>
          <w:i/>
        </w:rPr>
        <w:t>Правосудие: опыт женщин-маори: Те Тиканга о те Тури: Те Матаура</w:t>
      </w:r>
      <w:r>
        <w:rPr>
          <w:i/>
        </w:rPr>
        <w:t>н</w:t>
      </w:r>
      <w:r>
        <w:rPr>
          <w:i/>
        </w:rPr>
        <w:t xml:space="preserve">га о нга </w:t>
      </w:r>
      <w:r>
        <w:rPr>
          <w:i/>
          <w:caps/>
        </w:rPr>
        <w:t>в</w:t>
      </w:r>
      <w:r>
        <w:rPr>
          <w:i/>
        </w:rPr>
        <w:t xml:space="preserve">ахине </w:t>
      </w:r>
      <w:r>
        <w:rPr>
          <w:i/>
          <w:caps/>
        </w:rPr>
        <w:t>м</w:t>
      </w:r>
      <w:r>
        <w:rPr>
          <w:i/>
        </w:rPr>
        <w:t>аори е па ана ки теней</w:t>
      </w:r>
      <w:r>
        <w:t>»</w:t>
      </w:r>
      <w:r>
        <w:rPr>
          <w:i/>
        </w:rPr>
        <w:t xml:space="preserve"> (Justice: The Experiences of Mäori Women: Te Tikanga o te Ture: Te Mätauranga o ngä Wähine Mäori e pa ana ki tёnei).</w:t>
      </w:r>
    </w:p>
    <w:p w:rsidR="00000000" w:rsidRDefault="00000000">
      <w:pPr>
        <w:pStyle w:val="H23"/>
      </w:pPr>
      <w:r>
        <w:t>"Доступ женщин к юридическим услугам"</w:t>
      </w:r>
    </w:p>
    <w:p w:rsidR="00000000" w:rsidRDefault="00000000">
      <w:pPr>
        <w:pStyle w:val="SingleTxt"/>
      </w:pPr>
      <w:r>
        <w:t>Этот исследовательский документ посвящен проблемам, которые возн</w:t>
      </w:r>
      <w:r>
        <w:t>и</w:t>
      </w:r>
      <w:r>
        <w:t>кают у женщин при получении юридических услуг, которые им необходимы для доступа к системе правосудия, и в нем подробно говорится о том, почему услуги не отвечают потребностям женщин. В исследовании содержится вывод о том, что жители Новой Зеландии сталкиваются со значительными барьерами при получении юридических услуг, которые им необходимы для получения доступа к системе правосудия. Особенно негативно это отражается на женщ</w:t>
      </w:r>
      <w:r>
        <w:t>и</w:t>
      </w:r>
      <w:r>
        <w:t>нах, поскольку при оказании юридических услуг не учитывается следующее:</w:t>
      </w:r>
    </w:p>
    <w:p w:rsidR="00000000" w:rsidRDefault="00000000">
      <w:pPr>
        <w:pStyle w:val="dot"/>
      </w:pPr>
      <w:r>
        <w:tab/>
      </w:r>
      <w:r>
        <w:tab/>
        <w:t>•</w:t>
      </w:r>
      <w:r>
        <w:tab/>
        <w:t>такие вопросы, как ситуация с работой, обязанности, связанные с осущ</w:t>
      </w:r>
      <w:r>
        <w:t>е</w:t>
      </w:r>
      <w:r>
        <w:t>ствлением ухода, уровни д</w:t>
      </w:r>
      <w:r>
        <w:t>о</w:t>
      </w:r>
      <w:r>
        <w:t>хода и подверженность насилию</w:t>
      </w:r>
    </w:p>
    <w:p w:rsidR="00000000" w:rsidRDefault="00000000">
      <w:pPr>
        <w:pStyle w:val="dot"/>
      </w:pPr>
      <w:r>
        <w:tab/>
      </w:r>
      <w:r>
        <w:tab/>
        <w:t>•</w:t>
      </w:r>
      <w:r>
        <w:tab/>
        <w:t>различные обстоятельства, в которых находятся женщины, как, например, этническое происхождение, культурные ценности, язык, географическое местонахождение, инвалидность и сексуальная ориент</w:t>
      </w:r>
      <w:r>
        <w:t>а</w:t>
      </w:r>
      <w:r>
        <w:t>ция.</w:t>
      </w:r>
    </w:p>
    <w:p w:rsidR="00000000" w:rsidRDefault="00000000">
      <w:pPr>
        <w:pStyle w:val="SingleTxt"/>
      </w:pPr>
      <w:r>
        <w:t>Что касается препятствий, с которыми сталкиваются женщины при пол</w:t>
      </w:r>
      <w:r>
        <w:t>у</w:t>
      </w:r>
      <w:r>
        <w:t>чении надлежащих юридических услуг, то здесь было определено пять осно</w:t>
      </w:r>
      <w:r>
        <w:t>в</w:t>
      </w:r>
      <w:r>
        <w:t>ных групп:</w:t>
      </w:r>
    </w:p>
    <w:p w:rsidR="00000000" w:rsidRDefault="00000000">
      <w:pPr>
        <w:pStyle w:val="dot"/>
      </w:pPr>
      <w:r>
        <w:tab/>
      </w:r>
      <w:r>
        <w:tab/>
        <w:t>•</w:t>
      </w:r>
      <w:r>
        <w:tab/>
      </w:r>
      <w:r>
        <w:rPr>
          <w:i/>
        </w:rPr>
        <w:t>информация</w:t>
      </w:r>
      <w:r>
        <w:t> – трудности с получением информации, необходимой для принятия решения о том, прибегать ли к помощи системы правосудия и как это сделать</w:t>
      </w:r>
    </w:p>
    <w:p w:rsidR="00000000" w:rsidRDefault="00000000">
      <w:pPr>
        <w:pStyle w:val="dot"/>
      </w:pPr>
      <w:r>
        <w:tab/>
      </w:r>
      <w:r>
        <w:tab/>
        <w:t>•</w:t>
      </w:r>
      <w:r>
        <w:tab/>
      </w:r>
      <w:r>
        <w:rPr>
          <w:i/>
        </w:rPr>
        <w:t>культура</w:t>
      </w:r>
      <w:r>
        <w:t> – трудности, которые испытывают женщины-маори и женщины из других этнических групп в поиске юридических услуг, которые отвеч</w:t>
      </w:r>
      <w:r>
        <w:t>а</w:t>
      </w:r>
      <w:r>
        <w:t>ли бы их культурным ценностям</w:t>
      </w:r>
    </w:p>
    <w:p w:rsidR="00000000" w:rsidRDefault="00000000">
      <w:pPr>
        <w:pStyle w:val="dot"/>
      </w:pPr>
      <w:r>
        <w:tab/>
      </w:r>
      <w:r>
        <w:tab/>
        <w:t>•</w:t>
      </w:r>
      <w:r>
        <w:tab/>
      </w:r>
      <w:r>
        <w:rPr>
          <w:i/>
        </w:rPr>
        <w:t>уход</w:t>
      </w:r>
      <w:r>
        <w:t> – непризнание роли женщин как лиц, осуществляющих уход</w:t>
      </w:r>
    </w:p>
    <w:p w:rsidR="00000000" w:rsidRDefault="00000000">
      <w:pPr>
        <w:pStyle w:val="dot"/>
      </w:pPr>
      <w:r>
        <w:tab/>
      </w:r>
      <w:r>
        <w:tab/>
        <w:t>•</w:t>
      </w:r>
      <w:r>
        <w:tab/>
      </w:r>
      <w:r>
        <w:rPr>
          <w:i/>
        </w:rPr>
        <w:t>стоимость</w:t>
      </w:r>
    </w:p>
    <w:p w:rsidR="00000000" w:rsidRDefault="00000000">
      <w:pPr>
        <w:pStyle w:val="dot"/>
      </w:pPr>
      <w:r>
        <w:tab/>
      </w:r>
      <w:r>
        <w:tab/>
        <w:t>•</w:t>
      </w:r>
      <w:r>
        <w:tab/>
      </w:r>
      <w:r>
        <w:rPr>
          <w:i/>
        </w:rPr>
        <w:t>контроль</w:t>
      </w:r>
      <w:r>
        <w:t> – ограниченная способность женщин участвовать в урегулир</w:t>
      </w:r>
      <w:r>
        <w:t>о</w:t>
      </w:r>
      <w:r>
        <w:t>вании и разрешении их прав</w:t>
      </w:r>
      <w:r>
        <w:t>о</w:t>
      </w:r>
      <w:r>
        <w:t>вых проблем.</w:t>
      </w:r>
    </w:p>
    <w:p w:rsidR="00000000" w:rsidRDefault="00000000">
      <w:pPr>
        <w:pStyle w:val="H4"/>
      </w:pPr>
      <w:r>
        <w:t>Рекомендации</w:t>
      </w:r>
    </w:p>
    <w:p w:rsidR="00000000" w:rsidRDefault="00000000">
      <w:pPr>
        <w:pStyle w:val="SingleTxt"/>
      </w:pPr>
      <w:r>
        <w:t>В документе «Доступ женщин к юридическим услугам» содержалась 71 рекомендация для оказания помощи директивным и законодательным орг</w:t>
      </w:r>
      <w:r>
        <w:t>а</w:t>
      </w:r>
      <w:r>
        <w:t>нам в изменении порядка предоставления юридических услуг. Рекомендации охв</w:t>
      </w:r>
      <w:r>
        <w:t>а</w:t>
      </w:r>
      <w:r>
        <w:t>тывают следующие категории:</w:t>
      </w:r>
    </w:p>
    <w:p w:rsidR="00000000" w:rsidRDefault="00000000">
      <w:pPr>
        <w:pStyle w:val="dot"/>
      </w:pPr>
      <w:r>
        <w:tab/>
      </w:r>
      <w:r>
        <w:tab/>
        <w:t>•</w:t>
      </w:r>
      <w:r>
        <w:tab/>
        <w:t>выбор – между услугами, предоставляемыми в рамках общины или час</w:t>
      </w:r>
      <w:r>
        <w:t>т</w:t>
      </w:r>
      <w:r>
        <w:t>ными юристами</w:t>
      </w:r>
    </w:p>
    <w:p w:rsidR="00000000" w:rsidRDefault="00000000">
      <w:pPr>
        <w:pStyle w:val="dot"/>
      </w:pPr>
      <w:r>
        <w:tab/>
      </w:r>
      <w:r>
        <w:tab/>
        <w:t>•</w:t>
      </w:r>
      <w:r>
        <w:tab/>
        <w:t>стоимость юридических услуг – правовая помощь в гражданском проце</w:t>
      </w:r>
      <w:r>
        <w:t>с</w:t>
      </w:r>
      <w:r>
        <w:t>се</w:t>
      </w:r>
    </w:p>
    <w:p w:rsidR="00000000" w:rsidRDefault="00000000">
      <w:pPr>
        <w:pStyle w:val="dot"/>
      </w:pPr>
      <w:r>
        <w:tab/>
      </w:r>
      <w:r>
        <w:tab/>
        <w:t>•</w:t>
      </w:r>
      <w:r>
        <w:tab/>
        <w:t>выбор между частными юристами</w:t>
      </w:r>
    </w:p>
    <w:p w:rsidR="00000000" w:rsidRDefault="00000000">
      <w:pPr>
        <w:pStyle w:val="dot"/>
      </w:pPr>
      <w:r>
        <w:tab/>
      </w:r>
      <w:r>
        <w:tab/>
        <w:t>•</w:t>
      </w:r>
      <w:r>
        <w:tab/>
        <w:t>ответственность перед клиентами за качество предоставляемых юристами у</w:t>
      </w:r>
      <w:r>
        <w:t>с</w:t>
      </w:r>
      <w:r>
        <w:t>луг</w:t>
      </w:r>
    </w:p>
    <w:p w:rsidR="00000000" w:rsidRDefault="00000000">
      <w:pPr>
        <w:pStyle w:val="dot"/>
      </w:pPr>
      <w:r>
        <w:tab/>
      </w:r>
      <w:r>
        <w:tab/>
        <w:t>•</w:t>
      </w:r>
      <w:r>
        <w:tab/>
        <w:t>информация – понимание права в его социальном контексте</w:t>
      </w:r>
    </w:p>
    <w:p w:rsidR="00000000" w:rsidRDefault="00000000">
      <w:pPr>
        <w:pStyle w:val="dot"/>
      </w:pPr>
      <w:r>
        <w:tab/>
      </w:r>
      <w:r>
        <w:tab/>
        <w:t>•</w:t>
      </w:r>
      <w:r>
        <w:tab/>
        <w:t>идеи в отношении дальнейших изменений.</w:t>
      </w:r>
    </w:p>
    <w:p w:rsidR="00000000" w:rsidRDefault="00000000">
      <w:pPr>
        <w:pStyle w:val="H23"/>
        <w:ind w:left="1264" w:firstLine="0"/>
      </w:pPr>
      <w:r>
        <w:t xml:space="preserve">"Правосудие: опыт женщин-маори: Те Тиканга о те Туре: Те Матауранга о нга </w:t>
      </w:r>
      <w:r>
        <w:rPr>
          <w:caps/>
        </w:rPr>
        <w:t>в</w:t>
      </w:r>
      <w:r>
        <w:t>ах</w:t>
      </w:r>
      <w:r>
        <w:t>и</w:t>
      </w:r>
      <w:r>
        <w:t xml:space="preserve">не </w:t>
      </w:r>
      <w:r>
        <w:rPr>
          <w:caps/>
        </w:rPr>
        <w:t>м</w:t>
      </w:r>
      <w:r>
        <w:t>аори е па ана ки теней"</w:t>
      </w:r>
    </w:p>
    <w:p w:rsidR="00000000" w:rsidRDefault="00000000">
      <w:pPr>
        <w:pStyle w:val="SingleTxt"/>
      </w:pPr>
      <w:r>
        <w:t>В этом докладе содержится общий обзор исторических и социальных у</w:t>
      </w:r>
      <w:r>
        <w:t>с</w:t>
      </w:r>
      <w:r>
        <w:t>ловий жизни женщин-маори и проводятся связи между этими элементами и опытом женщин-маори и их восприятием системы правосудия в целом.</w:t>
      </w:r>
    </w:p>
    <w:p w:rsidR="00000000" w:rsidRDefault="00000000">
      <w:pPr>
        <w:pStyle w:val="SingleTxt"/>
      </w:pPr>
      <w:r>
        <w:t>В докладе отмечается, что в секторе правосудия нет понимания того, в к</w:t>
      </w:r>
      <w:r>
        <w:t>а</w:t>
      </w:r>
      <w:r>
        <w:t>кой степени:</w:t>
      </w:r>
    </w:p>
    <w:p w:rsidR="00000000" w:rsidRDefault="00000000">
      <w:pPr>
        <w:pStyle w:val="dot"/>
      </w:pPr>
      <w:r>
        <w:tab/>
      </w:r>
      <w:r>
        <w:tab/>
        <w:t>•</w:t>
      </w:r>
      <w:r>
        <w:tab/>
        <w:t>различия в культуре сказываются на женщинах-маори</w:t>
      </w:r>
    </w:p>
    <w:p w:rsidR="00000000" w:rsidRDefault="00000000">
      <w:pPr>
        <w:pStyle w:val="dot"/>
      </w:pPr>
      <w:r>
        <w:tab/>
      </w:r>
      <w:r>
        <w:tab/>
        <w:t>•</w:t>
      </w:r>
      <w:r>
        <w:tab/>
        <w:t>социально-экономические трудности сказываются на положении женщин-маори, включая их доступ к информации и юридическим услугам</w:t>
      </w:r>
    </w:p>
    <w:p w:rsidR="00000000" w:rsidRDefault="00000000">
      <w:pPr>
        <w:pStyle w:val="dot"/>
      </w:pPr>
      <w:r>
        <w:tab/>
      </w:r>
      <w:r>
        <w:tab/>
        <w:t>•</w:t>
      </w:r>
      <w:r>
        <w:tab/>
        <w:t>подходы, принятые в системе правосудия, сказываются на положении женщин-маори – об этом свидетельствует негативный опыт, о котором г</w:t>
      </w:r>
      <w:r>
        <w:t>о</w:t>
      </w:r>
      <w:r>
        <w:t>ворили женщины-маори в ходе консультаций.</w:t>
      </w:r>
    </w:p>
    <w:p w:rsidR="00000000" w:rsidRDefault="00000000">
      <w:pPr>
        <w:pStyle w:val="SingleTxt"/>
      </w:pPr>
      <w:r>
        <w:t>В докладе также отмечается, что препятствия, с которыми сталкиваются женщины-маори в своих попытках получить доступ к системе правосудия, св</w:t>
      </w:r>
      <w:r>
        <w:t>е</w:t>
      </w:r>
      <w:r>
        <w:t>ли эти попытки на нет. Основными препятствиями являю</w:t>
      </w:r>
      <w:r>
        <w:t>т</w:t>
      </w:r>
      <w:r>
        <w:t>ся:</w:t>
      </w:r>
    </w:p>
    <w:p w:rsidR="00000000" w:rsidRDefault="00000000">
      <w:pPr>
        <w:pStyle w:val="dot"/>
      </w:pPr>
      <w:r>
        <w:tab/>
      </w:r>
      <w:r>
        <w:tab/>
        <w:t>•</w:t>
      </w:r>
      <w:r>
        <w:tab/>
      </w:r>
      <w:r>
        <w:rPr>
          <w:i/>
        </w:rPr>
        <w:t>культурное неуважение</w:t>
      </w:r>
      <w:r>
        <w:t> – женщины-маори отмечали преобладание кол</w:t>
      </w:r>
      <w:r>
        <w:t>о</w:t>
      </w:r>
      <w:r>
        <w:t>ниальных ценностей и отсутствие представителей маори среди работн</w:t>
      </w:r>
      <w:r>
        <w:t>и</w:t>
      </w:r>
      <w:r>
        <w:t>ков правовой системы как основные препятствия на пути к правосудию. Женщины-маори, присутствовавшие на консультациях, критически отз</w:t>
      </w:r>
      <w:r>
        <w:t>ы</w:t>
      </w:r>
      <w:r>
        <w:t>вались об отношении некоторых представителей власти в системе прав</w:t>
      </w:r>
      <w:r>
        <w:t>о</w:t>
      </w:r>
      <w:r>
        <w:t>судия. Женщины-маори приводили примеры неудовлетворительного вза</w:t>
      </w:r>
      <w:r>
        <w:t>и</w:t>
      </w:r>
      <w:r>
        <w:t>модействия с работниками системы правосудия, что было обусловлено непон</w:t>
      </w:r>
      <w:r>
        <w:t>и</w:t>
      </w:r>
      <w:r>
        <w:t>манием культуры и ценностей маори.</w:t>
      </w:r>
    </w:p>
    <w:p w:rsidR="00000000" w:rsidRDefault="00000000">
      <w:pPr>
        <w:pStyle w:val="dot"/>
      </w:pPr>
      <w:r>
        <w:tab/>
      </w:r>
      <w:r>
        <w:tab/>
        <w:t>•</w:t>
      </w:r>
      <w:r>
        <w:tab/>
      </w:r>
      <w:r>
        <w:rPr>
          <w:i/>
        </w:rPr>
        <w:t>социально</w:t>
      </w:r>
      <w:r>
        <w:t>-</w:t>
      </w:r>
      <w:r>
        <w:rPr>
          <w:i/>
        </w:rPr>
        <w:t xml:space="preserve">экономические трудности – </w:t>
      </w:r>
      <w:r>
        <w:t>однако в основе вышесказанного, лежат последствия низкого социально-экономического статуса, что само по себе является препятствием. Хотя консультации были посвящены до</w:t>
      </w:r>
      <w:r>
        <w:t>с</w:t>
      </w:r>
      <w:r>
        <w:t>тупу к правосудию, женщины-маори зачастую подчеркивали, что вопрос доступа к правосудию нельзя отделять от уровня и качества экономич</w:t>
      </w:r>
      <w:r>
        <w:t>е</w:t>
      </w:r>
      <w:r>
        <w:t>ского и социального участия в жизни общес</w:t>
      </w:r>
      <w:r>
        <w:t>т</w:t>
      </w:r>
      <w:r>
        <w:t>ва.</w:t>
      </w:r>
    </w:p>
    <w:p w:rsidR="00000000" w:rsidRDefault="00000000">
      <w:pPr>
        <w:pStyle w:val="H4"/>
      </w:pPr>
      <w:r>
        <w:t>Рекомендации</w:t>
      </w:r>
    </w:p>
    <w:p w:rsidR="00000000" w:rsidRDefault="00000000">
      <w:pPr>
        <w:pStyle w:val="SingleTxt"/>
      </w:pPr>
      <w:r>
        <w:t>В докладе отмечается, что для улучшения положения женщин-маори в системе правосудия необходимо произв</w:t>
      </w:r>
      <w:r>
        <w:t>е</w:t>
      </w:r>
      <w:r>
        <w:t>сти два изменения:</w:t>
      </w:r>
    </w:p>
    <w:p w:rsidR="00000000" w:rsidRDefault="00000000">
      <w:pPr>
        <w:pStyle w:val="dot"/>
      </w:pPr>
      <w:r>
        <w:tab/>
      </w:r>
      <w:r>
        <w:tab/>
        <w:t>•</w:t>
      </w:r>
      <w:r>
        <w:tab/>
        <w:t>учреждения и общество в целом должны понять причины и последствия игнорирования культурных ценностей и социально-экономических тру</w:t>
      </w:r>
      <w:r>
        <w:t>д</w:t>
      </w:r>
      <w:r>
        <w:t>ностей женщин-маори</w:t>
      </w:r>
    </w:p>
    <w:p w:rsidR="00000000" w:rsidRDefault="00000000">
      <w:pPr>
        <w:pStyle w:val="dot"/>
      </w:pPr>
      <w:r>
        <w:tab/>
      </w:r>
      <w:r>
        <w:tab/>
        <w:t>•</w:t>
      </w:r>
      <w:r>
        <w:tab/>
        <w:t>необходимо поддерживать стратегии, способствующие участию маори, в частности женщин-маори. Необходимо совместно разрабатывать политику и помогать женщинам-маори развивать структурный и организационный потенциал, с тем чтобы они могли участвовать в предоставлении у</w:t>
      </w:r>
      <w:r>
        <w:t>с</w:t>
      </w:r>
      <w:r>
        <w:t>луг.</w:t>
      </w:r>
    </w:p>
    <w:p w:rsidR="00000000" w:rsidRDefault="00000000">
      <w:pPr>
        <w:pStyle w:val="SingleTxt"/>
      </w:pPr>
      <w:r>
        <w:t>В докладе определены по крайней мере три принципа, которые имеют особое значение и которые должны определять политику и оперативную де</w:t>
      </w:r>
      <w:r>
        <w:t>я</w:t>
      </w:r>
      <w:r>
        <w:t>тельность учреждений в системе правосудия, с тем чтобы обеспечить справе</w:t>
      </w:r>
      <w:r>
        <w:t>д</w:t>
      </w:r>
      <w:r>
        <w:t>ливое отношение к женщинам-маори. Эти три принципа заключаются в сл</w:t>
      </w:r>
      <w:r>
        <w:t>е</w:t>
      </w:r>
      <w:r>
        <w:t>дующем:</w:t>
      </w:r>
    </w:p>
    <w:p w:rsidR="00000000" w:rsidRDefault="00000000">
      <w:pPr>
        <w:pStyle w:val="dot"/>
      </w:pPr>
      <w:r>
        <w:tab/>
      </w:r>
      <w:r>
        <w:tab/>
        <w:t>•</w:t>
      </w:r>
      <w:r>
        <w:tab/>
      </w:r>
      <w:r>
        <w:rPr>
          <w:i/>
        </w:rPr>
        <w:t>партнерство</w:t>
      </w:r>
      <w:r>
        <w:t> – это означает концепцию сотрудничества, которая лежит в основе важной совместной работы маори и учреждений в целях достиж</w:t>
      </w:r>
      <w:r>
        <w:t>е</w:t>
      </w:r>
      <w:r>
        <w:t>ния наилучших результатов для женщин-маори (например, создание уб</w:t>
      </w:r>
      <w:r>
        <w:t>е</w:t>
      </w:r>
      <w:r>
        <w:t>жищ для женщин-маори и сотрудничество с местной полицией)</w:t>
      </w:r>
    </w:p>
    <w:p w:rsidR="00000000" w:rsidRDefault="00000000">
      <w:pPr>
        <w:pStyle w:val="dot"/>
      </w:pPr>
      <w:r>
        <w:tab/>
      </w:r>
      <w:r>
        <w:tab/>
        <w:t>•</w:t>
      </w:r>
      <w:r>
        <w:tab/>
      </w:r>
      <w:r>
        <w:rPr>
          <w:i/>
        </w:rPr>
        <w:t xml:space="preserve">варианты – </w:t>
      </w:r>
      <w:r>
        <w:t>женщины-маори должны иметь возможность доступа к о</w:t>
      </w:r>
      <w:r>
        <w:t>с</w:t>
      </w:r>
      <w:r>
        <w:t>новным учреждениям, орган</w:t>
      </w:r>
      <w:r>
        <w:t>и</w:t>
      </w:r>
      <w:r>
        <w:t>зациям маори или и к тем, и к другим</w:t>
      </w:r>
    </w:p>
    <w:p w:rsidR="00000000" w:rsidRDefault="00000000">
      <w:pPr>
        <w:pStyle w:val="dot"/>
      </w:pPr>
      <w:r>
        <w:tab/>
      </w:r>
      <w:r>
        <w:tab/>
        <w:t>•</w:t>
      </w:r>
      <w:r>
        <w:tab/>
      </w:r>
      <w:r>
        <w:rPr>
          <w:i/>
        </w:rPr>
        <w:t xml:space="preserve">участие – </w:t>
      </w:r>
      <w:r>
        <w:t>это средство, с помощью которого маори могут добиться поз</w:t>
      </w:r>
      <w:r>
        <w:t>и</w:t>
      </w:r>
      <w:r>
        <w:t>тивного развития, включая общинные услуги, связь и совершенствование обмена информацией между женщинами-маори и службами, более шир</w:t>
      </w:r>
      <w:r>
        <w:t>о</w:t>
      </w:r>
      <w:r>
        <w:t>кое участие женщин-маори в предоставлении услуг маори и их вовлеч</w:t>
      </w:r>
      <w:r>
        <w:t>е</w:t>
      </w:r>
      <w:r>
        <w:t>ние в процесс управления.</w:t>
      </w:r>
    </w:p>
    <w:p w:rsidR="00000000" w:rsidRDefault="00000000">
      <w:pPr>
        <w:pStyle w:val="SingleTxt"/>
      </w:pPr>
      <w:r>
        <w:t>В докладе определены три способа определения эффективности, которые были заимствованы из принц</w:t>
      </w:r>
      <w:r>
        <w:t>и</w:t>
      </w:r>
      <w:r>
        <w:t>пов, закрепленных в договоре Вайтанги:</w:t>
      </w:r>
    </w:p>
    <w:p w:rsidR="00000000" w:rsidRDefault="00000000">
      <w:pPr>
        <w:pStyle w:val="dot"/>
      </w:pPr>
      <w:r>
        <w:tab/>
      </w:r>
      <w:r>
        <w:tab/>
        <w:t>•</w:t>
      </w:r>
      <w:r>
        <w:tab/>
      </w:r>
      <w:r>
        <w:rPr>
          <w:i/>
        </w:rPr>
        <w:t xml:space="preserve">участие – </w:t>
      </w:r>
      <w:r>
        <w:t>женщин на всех уровнях трудовых ресурсов в секторе правос</w:t>
      </w:r>
      <w:r>
        <w:t>у</w:t>
      </w:r>
      <w:r>
        <w:t>дия и как добровольных кл</w:t>
      </w:r>
      <w:r>
        <w:t>и</w:t>
      </w:r>
      <w:r>
        <w:t>ентов системы правосудия</w:t>
      </w:r>
    </w:p>
    <w:p w:rsidR="00000000" w:rsidRDefault="00000000">
      <w:pPr>
        <w:pStyle w:val="dot"/>
      </w:pPr>
      <w:r>
        <w:tab/>
      </w:r>
      <w:r>
        <w:tab/>
        <w:t>•</w:t>
      </w:r>
      <w:r>
        <w:tab/>
      </w:r>
      <w:r>
        <w:rPr>
          <w:i/>
        </w:rPr>
        <w:t>повышение самостоятельности</w:t>
      </w:r>
      <w:r>
        <w:t> – женщин-маори</w:t>
      </w:r>
    </w:p>
    <w:p w:rsidR="00000000" w:rsidRDefault="00000000">
      <w:pPr>
        <w:pStyle w:val="dot"/>
      </w:pPr>
      <w:r>
        <w:tab/>
      </w:r>
      <w:r>
        <w:tab/>
        <w:t>•</w:t>
      </w:r>
      <w:r>
        <w:tab/>
      </w:r>
      <w:r>
        <w:rPr>
          <w:i/>
        </w:rPr>
        <w:t>культурная поддержка</w:t>
      </w:r>
      <w:r>
        <w:t> – в рамках системы правосудия или увязывание услуг с культурной самобы</w:t>
      </w:r>
      <w:r>
        <w:t>т</w:t>
      </w:r>
      <w:r>
        <w:t>ностью маори.</w:t>
      </w:r>
    </w:p>
    <w:p w:rsidR="00000000" w:rsidRDefault="00000000">
      <w:pPr>
        <w:pStyle w:val="H23"/>
      </w:pPr>
      <w:r>
        <w:t>Осуществление</w:t>
      </w:r>
    </w:p>
    <w:p w:rsidR="00000000" w:rsidRDefault="00000000">
      <w:pPr>
        <w:pStyle w:val="SingleTxt"/>
      </w:pPr>
      <w:r>
        <w:t>В 2001 году министерство по делам женщин собрало из этих докладов ключевую информацию и представило ее министерству юстиции, департаменту судов, полиции Новой Зеландии и департаменту исправительных учреждений для замечаний и обсуждения, а также для того, чтобы помочь им устранить причины, вызывающие озабоченность женщин по поводу функционирования системы правосудия. Эти учреждения в свою очередь сообщили о той работе, которую они ведут в этом направлении, включая:</w:t>
      </w:r>
    </w:p>
    <w:p w:rsidR="00000000" w:rsidRDefault="00000000">
      <w:pPr>
        <w:pStyle w:val="dot"/>
      </w:pPr>
      <w:r>
        <w:tab/>
      </w:r>
      <w:r>
        <w:tab/>
        <w:t>•</w:t>
      </w:r>
      <w:r>
        <w:tab/>
        <w:t>пересмотр Закона 1968 года об опеке (см. статью 16: Брак и семейная жизнь, стр. 193)</w:t>
      </w:r>
    </w:p>
    <w:p w:rsidR="00000000" w:rsidRDefault="00000000">
      <w:pPr>
        <w:pStyle w:val="dot"/>
      </w:pPr>
      <w:r>
        <w:tab/>
      </w:r>
      <w:r>
        <w:tab/>
        <w:t>•</w:t>
      </w:r>
      <w:r>
        <w:tab/>
        <w:t>пересмотр политики и практики в свете оценок, произведенных в связи с Законом 1995 года о насилии в семье (см. статью 16: Брак и семейная жизнь, стр. 198)</w:t>
      </w:r>
    </w:p>
    <w:p w:rsidR="00000000" w:rsidRDefault="00000000">
      <w:pPr>
        <w:pStyle w:val="dot"/>
      </w:pPr>
      <w:r>
        <w:tab/>
      </w:r>
      <w:r>
        <w:tab/>
        <w:t>•</w:t>
      </w:r>
      <w:r>
        <w:tab/>
        <w:t>улучшение положения женщин-заключенных (см. статью 13: Экономич</w:t>
      </w:r>
      <w:r>
        <w:t>е</w:t>
      </w:r>
      <w:r>
        <w:t>ская и социальная жизнь, стр. 168-170)</w:t>
      </w:r>
    </w:p>
    <w:p w:rsidR="00000000" w:rsidRDefault="00000000">
      <w:pPr>
        <w:pStyle w:val="dot"/>
      </w:pPr>
      <w:r>
        <w:tab/>
      </w:r>
      <w:r>
        <w:tab/>
        <w:t>•</w:t>
      </w:r>
      <w:r>
        <w:tab/>
        <w:t>осуществление Закона 2000 года о юридических услугах</w:t>
      </w:r>
    </w:p>
    <w:p w:rsidR="00000000" w:rsidRDefault="00000000">
      <w:pPr>
        <w:pStyle w:val="dot"/>
      </w:pPr>
      <w:r>
        <w:tab/>
      </w:r>
      <w:r>
        <w:tab/>
        <w:t>•</w:t>
      </w:r>
      <w:r>
        <w:tab/>
        <w:t>пересмотр критериев для получения права на правовую помощь</w:t>
      </w:r>
    </w:p>
    <w:p w:rsidR="00000000" w:rsidRDefault="00000000">
      <w:pPr>
        <w:pStyle w:val="dot"/>
      </w:pPr>
      <w:r>
        <w:tab/>
      </w:r>
      <w:r>
        <w:tab/>
        <w:t>•</w:t>
      </w:r>
      <w:r>
        <w:tab/>
        <w:t>пересмотр норм, регулирующих деятельность практикующих юристов</w:t>
      </w:r>
    </w:p>
    <w:p w:rsidR="00000000" w:rsidRDefault="00000000">
      <w:pPr>
        <w:pStyle w:val="dot"/>
      </w:pPr>
      <w:r>
        <w:tab/>
      </w:r>
      <w:r>
        <w:tab/>
        <w:t>•</w:t>
      </w:r>
      <w:r>
        <w:tab/>
        <w:t>критическая оценка штатов, политики и практики полиции Новой Зела</w:t>
      </w:r>
      <w:r>
        <w:t>н</w:t>
      </w:r>
      <w:r>
        <w:t>дии с последующим выдвижением инициатив для решения проблем, в</w:t>
      </w:r>
      <w:r>
        <w:t>ы</w:t>
      </w:r>
      <w:r>
        <w:t>явле</w:t>
      </w:r>
      <w:r>
        <w:t>н</w:t>
      </w:r>
      <w:r>
        <w:t>ных в ходе такой критической оценки.</w:t>
      </w:r>
    </w:p>
    <w:p w:rsidR="00000000" w:rsidRDefault="00000000">
      <w:pPr>
        <w:pStyle w:val="SingleTxt"/>
      </w:pPr>
      <w:r>
        <w:t>Правительство понимает необходимость поощрять выдвижение на дол</w:t>
      </w:r>
      <w:r>
        <w:t>ж</w:t>
      </w:r>
      <w:r>
        <w:t>ности большего числа женщин как в целом, так и в юридической и судебной системах. Одним из двух судей, назначенных совсем недавно в Высший суд, является женщина, которая стала одним из самых молодых в истории Новой Зеландии с</w:t>
      </w:r>
      <w:r>
        <w:t>у</w:t>
      </w:r>
      <w:r>
        <w:t>дей, назначенных в Высший суд.</w:t>
      </w:r>
    </w:p>
    <w:p w:rsidR="00000000" w:rsidRDefault="00000000">
      <w:pPr>
        <w:pStyle w:val="SingleTxt"/>
      </w:pPr>
      <w:r>
        <w:t xml:space="preserve">Помощник министра юстиции просил </w:t>
      </w:r>
      <w:r>
        <w:rPr>
          <w:caps/>
        </w:rPr>
        <w:t>п</w:t>
      </w:r>
      <w:r>
        <w:t xml:space="preserve">равовую комиссию пересмотреть структуру судов. Окончательный доклад должен быть представлен помощнику министра к 31 марта 2003 года. В январе 2002 года </w:t>
      </w:r>
      <w:r>
        <w:rPr>
          <w:caps/>
        </w:rPr>
        <w:t>п</w:t>
      </w:r>
      <w:r>
        <w:t>равовая комиссия опубл</w:t>
      </w:r>
      <w:r>
        <w:t>и</w:t>
      </w:r>
      <w:r>
        <w:t>ковала дискуссионный документ по вопросам, связанным с разрешением сп</w:t>
      </w:r>
      <w:r>
        <w:t>о</w:t>
      </w:r>
      <w:r>
        <w:t>ров в суде по семейным делам, и призвала общественность представить свои замечания до 4 апреля 2002 года. В апреле 2002 года для консультаций с общ</w:t>
      </w:r>
      <w:r>
        <w:t>е</w:t>
      </w:r>
      <w:r>
        <w:t>ственностью был опубликован еще один дискуссионный документ об общей системе судов в Новой Зеландии. Намечается проведение дальнейших консул</w:t>
      </w:r>
      <w:r>
        <w:t>ь</w:t>
      </w:r>
      <w:r>
        <w:t xml:space="preserve">таций по мере продолжения </w:t>
      </w:r>
      <w:r>
        <w:rPr>
          <w:caps/>
        </w:rPr>
        <w:t>п</w:t>
      </w:r>
      <w:r>
        <w:t>равовой комиссией своей работы. Она должна представить правительству доклад позднее в 2003 году.</w:t>
      </w:r>
    </w:p>
    <w:p w:rsidR="00000000" w:rsidRDefault="00000000">
      <w:pPr>
        <w:pStyle w:val="H1"/>
      </w:pPr>
      <w:r>
        <w:t>Библиография</w:t>
      </w:r>
    </w:p>
    <w:p w:rsidR="00000000" w:rsidRDefault="00000000">
      <w:pPr>
        <w:spacing w:after="120"/>
        <w:ind w:left="1264" w:right="1264"/>
      </w:pPr>
      <w:r>
        <w:t xml:space="preserve">Ministry of Women’s Affairs, 2001, </w:t>
      </w:r>
      <w:r>
        <w:rPr>
          <w:i/>
        </w:rPr>
        <w:t>Women’s Access to Justice: Summary of Reports Prepared by the Ministry of Women’s Affairs for the Ministry of Justice, Department for Courts, New Zealand Police, Department of Corre</w:t>
      </w:r>
      <w:r>
        <w:rPr>
          <w:i/>
        </w:rPr>
        <w:t>c</w:t>
      </w:r>
      <w:r>
        <w:rPr>
          <w:i/>
        </w:rPr>
        <w:t xml:space="preserve">tions, </w:t>
      </w:r>
      <w:r>
        <w:t>Wellington.</w:t>
      </w:r>
    </w:p>
    <w:p w:rsidR="00000000" w:rsidRDefault="00000000">
      <w:pPr>
        <w:spacing w:after="120"/>
        <w:ind w:left="1264" w:right="1264"/>
      </w:pPr>
      <w:r>
        <w:t xml:space="preserve">New Zealand Law Commission, 1999, </w:t>
      </w:r>
      <w:r>
        <w:rPr>
          <w:i/>
        </w:rPr>
        <w:t xml:space="preserve">Women’s Access to Legal Services: Women’s Access to Justice, </w:t>
      </w:r>
      <w:r>
        <w:t>Wellin</w:t>
      </w:r>
      <w:r>
        <w:t>g</w:t>
      </w:r>
      <w:r>
        <w:t>ton.</w:t>
      </w:r>
    </w:p>
    <w:p w:rsidR="00000000" w:rsidRDefault="00000000">
      <w:pPr>
        <w:spacing w:after="120"/>
        <w:ind w:left="1264" w:right="1264"/>
      </w:pPr>
      <w:r>
        <w:t xml:space="preserve">New Zealand Law Commission, 1999, </w:t>
      </w:r>
      <w:r>
        <w:rPr>
          <w:i/>
        </w:rPr>
        <w:t xml:space="preserve">Justice: The Experiences of Mäori Women: Te Tikanga o te Ture: Te Mätauranga o ngä Wähine Mäori e pa ana ki tёnei, </w:t>
      </w:r>
      <w:r>
        <w:t>Wellington.</w:t>
      </w:r>
    </w:p>
    <w:p w:rsidR="00000000" w:rsidRDefault="00000000">
      <w:pPr>
        <w:spacing w:line="240" w:lineRule="auto"/>
        <w:jc w:val="both"/>
      </w:pPr>
    </w:p>
    <w:p w:rsidR="00000000" w:rsidRDefault="00000000">
      <w:pPr>
        <w:pStyle w:val="HCh"/>
      </w:pPr>
      <w:r>
        <w:br w:type="page"/>
      </w:r>
      <w:bookmarkStart w:id="39" w:name="_Toc30302904"/>
      <w:r>
        <w:t>Статья 16</w:t>
      </w:r>
      <w:bookmarkEnd w:id="39"/>
    </w:p>
    <w:p w:rsidR="00000000" w:rsidRDefault="00000000">
      <w:pPr>
        <w:pStyle w:val="HCh"/>
      </w:pPr>
      <w:bookmarkStart w:id="40" w:name="_Toc30302905"/>
      <w:r>
        <w:t>Брак и семейная жизнь</w:t>
      </w:r>
      <w:bookmarkEnd w:id="40"/>
    </w:p>
    <w:p w:rsidR="00000000" w:rsidRDefault="00000000">
      <w:pPr>
        <w:pStyle w:val="SingleTxt"/>
        <w:ind w:left="1740" w:hanging="476"/>
        <w:rPr>
          <w:i/>
        </w:rPr>
      </w:pPr>
      <w:r>
        <w:rPr>
          <w:i/>
        </w:rPr>
        <w:t>1.</w:t>
      </w:r>
      <w:r>
        <w:rPr>
          <w:i/>
        </w:rPr>
        <w:tab/>
        <w:t>Государства-участники принимают все соответствующие меры для ли</w:t>
      </w:r>
      <w:r>
        <w:rPr>
          <w:i/>
        </w:rPr>
        <w:t>к</w:t>
      </w:r>
      <w:r>
        <w:rPr>
          <w:i/>
        </w:rPr>
        <w:t>видации дискриминации в отношении женщин во всех вопросах, каса</w:t>
      </w:r>
      <w:r>
        <w:rPr>
          <w:i/>
        </w:rPr>
        <w:t>ю</w:t>
      </w:r>
      <w:r>
        <w:rPr>
          <w:i/>
        </w:rPr>
        <w:t>щихся брака и семейных отношений, и, в частности, обеспечивают на основе равенс</w:t>
      </w:r>
      <w:r>
        <w:rPr>
          <w:i/>
        </w:rPr>
        <w:t>т</w:t>
      </w:r>
      <w:r>
        <w:rPr>
          <w:i/>
        </w:rPr>
        <w:t>ва мужчин и женщин:</w:t>
      </w:r>
    </w:p>
    <w:p w:rsidR="00000000" w:rsidRDefault="00000000">
      <w:pPr>
        <w:pStyle w:val="SingleTxt"/>
        <w:ind w:left="2217" w:hanging="953"/>
        <w:rPr>
          <w:i/>
        </w:rPr>
      </w:pPr>
      <w:r>
        <w:rPr>
          <w:i/>
        </w:rPr>
        <w:tab/>
      </w:r>
      <w:r>
        <w:rPr>
          <w:i/>
        </w:rPr>
        <w:tab/>
        <w:t xml:space="preserve">(а) </w:t>
      </w:r>
      <w:r>
        <w:rPr>
          <w:i/>
        </w:rPr>
        <w:tab/>
        <w:t>одинаковые права на вступление в брак;</w:t>
      </w:r>
    </w:p>
    <w:p w:rsidR="00000000" w:rsidRDefault="00000000">
      <w:pPr>
        <w:pStyle w:val="SingleTxt"/>
        <w:ind w:left="2217" w:hanging="953"/>
        <w:rPr>
          <w:i/>
        </w:rPr>
      </w:pPr>
      <w:r>
        <w:rPr>
          <w:i/>
        </w:rPr>
        <w:tab/>
      </w:r>
      <w:r>
        <w:rPr>
          <w:i/>
        </w:rPr>
        <w:tab/>
        <w:t xml:space="preserve">(b) </w:t>
      </w:r>
      <w:r>
        <w:rPr>
          <w:i/>
        </w:rPr>
        <w:tab/>
        <w:t>одинаковые права на свободный выбор супруга и на вступление в брак только со своего свободного и полного согласия;</w:t>
      </w:r>
    </w:p>
    <w:p w:rsidR="00000000" w:rsidRDefault="00000000">
      <w:pPr>
        <w:pStyle w:val="SingleTxt"/>
        <w:ind w:left="2217" w:hanging="953"/>
        <w:rPr>
          <w:i/>
        </w:rPr>
      </w:pPr>
      <w:r>
        <w:rPr>
          <w:i/>
        </w:rPr>
        <w:tab/>
      </w:r>
      <w:r>
        <w:rPr>
          <w:i/>
        </w:rPr>
        <w:tab/>
        <w:t xml:space="preserve">(с) </w:t>
      </w:r>
      <w:r>
        <w:rPr>
          <w:i/>
        </w:rPr>
        <w:tab/>
        <w:t>одинаковые права и обязанности в период брака и при его расто</w:t>
      </w:r>
      <w:r>
        <w:rPr>
          <w:i/>
        </w:rPr>
        <w:t>р</w:t>
      </w:r>
      <w:r>
        <w:rPr>
          <w:i/>
        </w:rPr>
        <w:t>жении;</w:t>
      </w:r>
    </w:p>
    <w:p w:rsidR="00000000" w:rsidRDefault="00000000">
      <w:pPr>
        <w:pStyle w:val="SingleTxt"/>
        <w:ind w:left="2217" w:hanging="953"/>
        <w:rPr>
          <w:i/>
        </w:rPr>
      </w:pPr>
      <w:r>
        <w:rPr>
          <w:i/>
        </w:rPr>
        <w:tab/>
      </w:r>
      <w:r>
        <w:rPr>
          <w:i/>
        </w:rPr>
        <w:tab/>
        <w:t xml:space="preserve">(d) </w:t>
      </w:r>
      <w:r>
        <w:rPr>
          <w:i/>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w:t>
      </w:r>
      <w:r>
        <w:rPr>
          <w:i/>
        </w:rPr>
        <w:t>в</w:t>
      </w:r>
      <w:r>
        <w:rPr>
          <w:i/>
        </w:rPr>
        <w:t>ляются преобладающими;</w:t>
      </w:r>
    </w:p>
    <w:p w:rsidR="00000000" w:rsidRDefault="00000000">
      <w:pPr>
        <w:pStyle w:val="SingleTxt"/>
        <w:ind w:left="2217" w:hanging="953"/>
        <w:rPr>
          <w:i/>
        </w:rPr>
      </w:pPr>
      <w:r>
        <w:rPr>
          <w:i/>
        </w:rPr>
        <w:tab/>
      </w:r>
      <w:r>
        <w:rPr>
          <w:i/>
        </w:rPr>
        <w:tab/>
        <w:t xml:space="preserve">(е) </w:t>
      </w:r>
      <w:r>
        <w:rPr>
          <w:i/>
        </w:rPr>
        <w:tab/>
        <w:t>одинаковые права свободно и ответственно решать вопрос о числе детей и промежутках между их рождениями и иметь доступ к и</w:t>
      </w:r>
      <w:r>
        <w:rPr>
          <w:i/>
        </w:rPr>
        <w:t>н</w:t>
      </w:r>
      <w:r>
        <w:rPr>
          <w:i/>
        </w:rPr>
        <w:t>формации, образованию, а также средствам, которые позволяют им осущест</w:t>
      </w:r>
      <w:r>
        <w:rPr>
          <w:i/>
        </w:rPr>
        <w:t>в</w:t>
      </w:r>
      <w:r>
        <w:rPr>
          <w:i/>
        </w:rPr>
        <w:t>лять это право;</w:t>
      </w:r>
    </w:p>
    <w:p w:rsidR="00000000" w:rsidRDefault="00000000">
      <w:pPr>
        <w:pStyle w:val="SingleTxt"/>
        <w:ind w:left="2217" w:hanging="953"/>
        <w:rPr>
          <w:i/>
        </w:rPr>
      </w:pPr>
      <w:r>
        <w:tab/>
      </w:r>
      <w:r>
        <w:rPr>
          <w:i/>
        </w:rPr>
        <w:tab/>
        <w:t xml:space="preserve">(f) </w:t>
      </w:r>
      <w:r>
        <w:rPr>
          <w:i/>
        </w:rPr>
        <w:tab/>
        <w:t>одинаковые права и обязанности быть опекунами, попечителями, доверителями и усыновителями детей или осуществлять аналоги</w:t>
      </w:r>
      <w:r>
        <w:rPr>
          <w:i/>
        </w:rPr>
        <w:t>ч</w:t>
      </w:r>
      <w:r>
        <w:rPr>
          <w:i/>
        </w:rPr>
        <w:t>ные функции, когда они предусмотрены национальным законод</w:t>
      </w:r>
      <w:r>
        <w:rPr>
          <w:i/>
        </w:rPr>
        <w:t>а</w:t>
      </w:r>
      <w:r>
        <w:rPr>
          <w:i/>
        </w:rPr>
        <w:t>тельством; во всех случаях интересы детей являются преоблада</w:t>
      </w:r>
      <w:r>
        <w:rPr>
          <w:i/>
        </w:rPr>
        <w:t>ю</w:t>
      </w:r>
      <w:r>
        <w:rPr>
          <w:i/>
        </w:rPr>
        <w:t>щими;</w:t>
      </w:r>
    </w:p>
    <w:p w:rsidR="00000000" w:rsidRDefault="00000000">
      <w:pPr>
        <w:pStyle w:val="SingleTxt"/>
        <w:ind w:left="2217" w:hanging="953"/>
        <w:rPr>
          <w:i/>
        </w:rPr>
      </w:pPr>
      <w:r>
        <w:rPr>
          <w:i/>
        </w:rPr>
        <w:tab/>
      </w:r>
      <w:r>
        <w:rPr>
          <w:i/>
        </w:rPr>
        <w:tab/>
        <w:t xml:space="preserve">(g) </w:t>
      </w:r>
      <w:r>
        <w:rPr>
          <w:i/>
        </w:rPr>
        <w:tab/>
        <w:t>одинаковые личные права мужа и жены, в том числе право выбора фамилии, профе</w:t>
      </w:r>
      <w:r>
        <w:rPr>
          <w:i/>
        </w:rPr>
        <w:t>с</w:t>
      </w:r>
      <w:r>
        <w:rPr>
          <w:i/>
        </w:rPr>
        <w:t>сии и занятия;</w:t>
      </w:r>
    </w:p>
    <w:p w:rsidR="00000000" w:rsidRDefault="00000000">
      <w:pPr>
        <w:pStyle w:val="SingleTxt"/>
        <w:ind w:left="2217" w:hanging="953"/>
        <w:rPr>
          <w:i/>
        </w:rPr>
      </w:pPr>
      <w:r>
        <w:rPr>
          <w:i/>
        </w:rPr>
        <w:tab/>
      </w:r>
      <w:r>
        <w:rPr>
          <w:i/>
        </w:rPr>
        <w:tab/>
        <w:t xml:space="preserve">(h) </w:t>
      </w:r>
      <w:r>
        <w:rPr>
          <w:i/>
        </w:rPr>
        <w:tab/>
        <w:t>одинаковые права супругов в отношении владения, приобретения, управления, пользования и распоряжения имуществом как беспла</w:t>
      </w:r>
      <w:r>
        <w:rPr>
          <w:i/>
        </w:rPr>
        <w:t>т</w:t>
      </w:r>
      <w:r>
        <w:rPr>
          <w:i/>
        </w:rPr>
        <w:t>но, так и за плату.</w:t>
      </w:r>
    </w:p>
    <w:p w:rsidR="00000000" w:rsidRDefault="00000000">
      <w:pPr>
        <w:pStyle w:val="SingleTxt"/>
        <w:ind w:left="1740" w:hanging="476"/>
        <w:rPr>
          <w:i/>
        </w:rPr>
      </w:pPr>
      <w:r>
        <w:rPr>
          <w:i/>
        </w:rPr>
        <w:t>2.</w:t>
      </w:r>
      <w:r>
        <w:rPr>
          <w:i/>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w:t>
      </w:r>
      <w:r>
        <w:rPr>
          <w:i/>
        </w:rPr>
        <w:t>н</w:t>
      </w:r>
      <w:r>
        <w:rPr>
          <w:i/>
        </w:rPr>
        <w:t>ского состояния.</w:t>
      </w:r>
    </w:p>
    <w:p w:rsidR="00000000" w:rsidRDefault="00000000">
      <w:pPr>
        <w:pStyle w:val="H1"/>
      </w:pPr>
      <w:r>
        <w:t>Фамилия</w:t>
      </w:r>
    </w:p>
    <w:p w:rsidR="00000000" w:rsidRDefault="00000000">
      <w:pPr>
        <w:pStyle w:val="SingleTxt"/>
      </w:pPr>
      <w:r>
        <w:t>За регистрацию рождения ребенка ответственность несут, прежде всего, родители, которые из чувства своего родительского долга, как правило, совм</w:t>
      </w:r>
      <w:r>
        <w:t>е</w:t>
      </w:r>
      <w:r>
        <w:t>стно исполняют функции опекунов.</w:t>
      </w:r>
    </w:p>
    <w:p w:rsidR="00000000" w:rsidRDefault="00000000">
      <w:pPr>
        <w:pStyle w:val="SingleTxt"/>
      </w:pPr>
      <w:r>
        <w:t>В тех случаях, когда брак между матерью и отцом оформлен юридически, акт рождения может зарегистрировать любой из родителей. Если брак между родителями юридически не оформлен, то единственным опекуном является мать, которая и должна зарегистрировать акт рождения.</w:t>
      </w:r>
    </w:p>
    <w:p w:rsidR="00000000" w:rsidRDefault="00000000">
      <w:pPr>
        <w:pStyle w:val="SingleTxt"/>
      </w:pPr>
      <w:r>
        <w:t>Закон 1995 года о регистрации актов гражданского состояния (ЗРАГС) предусматривает, что при регистрации факта рождения ребенка тот из родит</w:t>
      </w:r>
      <w:r>
        <w:t>е</w:t>
      </w:r>
      <w:r>
        <w:t>лей, кто регистрирует факт рождения, присваивает ребенку фамилию, и что р</w:t>
      </w:r>
      <w:r>
        <w:t>е</w:t>
      </w:r>
      <w:r>
        <w:t>бенку могут быть даны несколько других имен. Фамилия может присваиваться по м</w:t>
      </w:r>
      <w:r>
        <w:t>а</w:t>
      </w:r>
      <w:r>
        <w:t>тери или по отцу.</w:t>
      </w:r>
    </w:p>
    <w:p w:rsidR="00000000" w:rsidRDefault="00000000">
      <w:pPr>
        <w:pStyle w:val="SingleTxt"/>
      </w:pPr>
      <w:r>
        <w:t>В соответствии с принципом наследования родовых имен, предусмотре</w:t>
      </w:r>
      <w:r>
        <w:t>н</w:t>
      </w:r>
      <w:r>
        <w:t>ным общим правом, дети имеют право пользоваться фамилией своего отца. Это означает, что дети, рожденные в браке, наследуют фамилию своего отца, что связано с исполняемыми им опекунскими функциями. Однако в Новой Зела</w:t>
      </w:r>
      <w:r>
        <w:t>н</w:t>
      </w:r>
      <w:r>
        <w:t>дии этот принцип соблюдается лишь частично в силу ряда факторов:</w:t>
      </w:r>
    </w:p>
    <w:p w:rsidR="00000000" w:rsidRDefault="00000000">
      <w:pPr>
        <w:pStyle w:val="dot"/>
      </w:pPr>
      <w:r>
        <w:tab/>
      </w:r>
      <w:r>
        <w:tab/>
        <w:t>•</w:t>
      </w:r>
      <w:r>
        <w:tab/>
        <w:t>с 1970 года (согласно Закону 1969 года о положении детей и Закону 1968 года об опекунстве) оба вступивших в брак родителя ребенка явл</w:t>
      </w:r>
      <w:r>
        <w:t>я</w:t>
      </w:r>
      <w:r>
        <w:t>ются его опек</w:t>
      </w:r>
      <w:r>
        <w:t>у</w:t>
      </w:r>
      <w:r>
        <w:t>нами</w:t>
      </w:r>
    </w:p>
    <w:p w:rsidR="00000000" w:rsidRDefault="00000000">
      <w:pPr>
        <w:pStyle w:val="dot"/>
      </w:pPr>
      <w:r>
        <w:tab/>
      </w:r>
      <w:r>
        <w:tab/>
        <w:t>•</w:t>
      </w:r>
      <w:r>
        <w:tab/>
        <w:t>заключившие брак родители все чаще оставляют себе свои прежние ф</w:t>
      </w:r>
      <w:r>
        <w:t>а</w:t>
      </w:r>
      <w:r>
        <w:t>милии</w:t>
      </w:r>
    </w:p>
    <w:p w:rsidR="00000000" w:rsidRDefault="00000000">
      <w:pPr>
        <w:pStyle w:val="dot"/>
      </w:pPr>
      <w:r>
        <w:tab/>
      </w:r>
      <w:r>
        <w:tab/>
        <w:t>•</w:t>
      </w:r>
      <w:r>
        <w:tab/>
        <w:t>с 1972 года на практике (а, с 1995 года, юридически) родители могут р</w:t>
      </w:r>
      <w:r>
        <w:t>е</w:t>
      </w:r>
      <w:r>
        <w:t>гистрировать своих детей, родившихся в Новой Зеландии, под любыми фамилиями.</w:t>
      </w:r>
    </w:p>
    <w:p w:rsidR="00000000" w:rsidRDefault="00000000">
      <w:pPr>
        <w:pStyle w:val="SingleTxt"/>
      </w:pPr>
      <w:r>
        <w:t>Когда для того, чтобы изменить фамилию ребенка, не достигшего возра</w:t>
      </w:r>
      <w:r>
        <w:t>с</w:t>
      </w:r>
      <w:r>
        <w:t>та 18 лет и ранее не состоявшего в браке, в отдел записей актов гражданского состояния подается соответствующее ходатайство, оно должно быть оформл</w:t>
      </w:r>
      <w:r>
        <w:t>е</w:t>
      </w:r>
      <w:r>
        <w:t>но:</w:t>
      </w:r>
    </w:p>
    <w:p w:rsidR="00000000" w:rsidRDefault="00000000">
      <w:pPr>
        <w:pStyle w:val="dot"/>
      </w:pPr>
      <w:r>
        <w:tab/>
      </w:r>
      <w:r>
        <w:tab/>
        <w:t>•</w:t>
      </w:r>
      <w:r>
        <w:tab/>
        <w:t>опекунами ребенка совместно; или</w:t>
      </w:r>
    </w:p>
    <w:p w:rsidR="00000000" w:rsidRDefault="00000000">
      <w:pPr>
        <w:pStyle w:val="dot"/>
      </w:pPr>
      <w:r>
        <w:tab/>
      </w:r>
      <w:r>
        <w:tab/>
        <w:t>•</w:t>
      </w:r>
      <w:r>
        <w:tab/>
        <w:t>любым присутствующим опекуном или опекунами в том случае, когда другой или другие опекуны "не способны к исполнению своих функций"; или</w:t>
      </w:r>
    </w:p>
    <w:p w:rsidR="00000000" w:rsidRDefault="00000000">
      <w:pPr>
        <w:pStyle w:val="dot"/>
      </w:pPr>
      <w:r>
        <w:tab/>
      </w:r>
      <w:r>
        <w:tab/>
        <w:t>•</w:t>
      </w:r>
      <w:r>
        <w:tab/>
        <w:t>если, по ходатайству одного из опекунов, суд по семейным делам дал свое согласие на изменение ф</w:t>
      </w:r>
      <w:r>
        <w:t>а</w:t>
      </w:r>
      <w:r>
        <w:t>милии ребенка.</w:t>
      </w:r>
    </w:p>
    <w:p w:rsidR="00000000" w:rsidRDefault="00000000">
      <w:pPr>
        <w:pStyle w:val="SingleTxt"/>
      </w:pPr>
      <w:r>
        <w:t>Согласно определению, содержащемуся в законе, “неспособность к и</w:t>
      </w:r>
      <w:r>
        <w:t>с</w:t>
      </w:r>
      <w:r>
        <w:t>полнению своих функций” означает “за исключением случаев, когда обсто</w:t>
      </w:r>
      <w:r>
        <w:t>я</w:t>
      </w:r>
      <w:r>
        <w:t>тельства требуют иного… кончину, пропажу без вести, потерю рассудка или неспособность совершать какие бы то ни было действия по состоянию здор</w:t>
      </w:r>
      <w:r>
        <w:t>о</w:t>
      </w:r>
      <w:r>
        <w:t>вья”.</w:t>
      </w:r>
    </w:p>
    <w:p w:rsidR="00000000" w:rsidRDefault="00000000">
      <w:pPr>
        <w:pStyle w:val="SingleTxt"/>
      </w:pPr>
      <w:r>
        <w:t>В Новой Зеландии по-прежнему официально в административном порядке признается исторически сложившийся обычай, согласно которому после всту</w:t>
      </w:r>
      <w:r>
        <w:t>п</w:t>
      </w:r>
      <w:r>
        <w:t>ления в брак женщина берет фамилию своего мужа. Однако в последнее время этот обычай соблюдается все реже. Например, некоторые пары приняли реш</w:t>
      </w:r>
      <w:r>
        <w:t>е</w:t>
      </w:r>
      <w:r>
        <w:t>ние о том, что после вступления в брак женщина возьмет двойную фамилию либо что это сделают обе стороны. В других случаях мужчинами принималось решение о том, чтобы после вступления в брак взять фамилию своей жены, или двойную фамилию.</w:t>
      </w:r>
    </w:p>
    <w:p w:rsidR="00000000" w:rsidRDefault="00000000">
      <w:pPr>
        <w:pStyle w:val="SingleTxt"/>
      </w:pPr>
      <w:r>
        <w:t>Хотя в качестве доказательства такой перемены фамилии большинство о</w:t>
      </w:r>
      <w:r>
        <w:t>р</w:t>
      </w:r>
      <w:r>
        <w:t>ганизаций принимает свидетельство о заключении брака, в некоторых учре</w:t>
      </w:r>
      <w:r>
        <w:t>ж</w:t>
      </w:r>
      <w:r>
        <w:t>дениях, как, например, в банках, от клиента для целей учреждения требуется пре</w:t>
      </w:r>
      <w:r>
        <w:t>д</w:t>
      </w:r>
      <w:r>
        <w:t>ставить отдельное заявление в письменной форме.</w:t>
      </w:r>
    </w:p>
    <w:p w:rsidR="00000000" w:rsidRDefault="00000000">
      <w:pPr>
        <w:pStyle w:val="H1"/>
      </w:pPr>
      <w:r>
        <w:t>Семейное положение</w:t>
      </w:r>
    </w:p>
    <w:p w:rsidR="00000000" w:rsidRDefault="00000000">
      <w:pPr>
        <w:pStyle w:val="SingleTxt"/>
      </w:pPr>
      <w:r>
        <w:t>См. статью 2 “Антидискриминационые меры ”, стр. 34.</w:t>
      </w:r>
    </w:p>
    <w:p w:rsidR="00000000" w:rsidRDefault="00000000">
      <w:pPr>
        <w:pStyle w:val="H1"/>
      </w:pPr>
      <w:r>
        <w:t>Закон 1976 года о семейных правах собственности</w:t>
      </w:r>
    </w:p>
    <w:p w:rsidR="00000000" w:rsidRDefault="00000000">
      <w:pPr>
        <w:pStyle w:val="SingleTxt"/>
      </w:pPr>
      <w:r>
        <w:t>В соответствии с Законом 2001 года о внесении поправки в Закон о бра</w:t>
      </w:r>
      <w:r>
        <w:t>ч</w:t>
      </w:r>
      <w:r>
        <w:t>но-семейных правах собственности Закон 1976 года о брачно-семейных правах собственности был переименован в Закон 1976 года о семейных правах собс</w:t>
      </w:r>
      <w:r>
        <w:t>т</w:t>
      </w:r>
      <w:r>
        <w:t>венности, а в его текст были внесены поправки. Эти изменения вступили в с</w:t>
      </w:r>
      <w:r>
        <w:t>и</w:t>
      </w:r>
      <w:r>
        <w:t>лу 1 февраля 2002 года, хотя положения о возможности заключения соглаш</w:t>
      </w:r>
      <w:r>
        <w:t>е</w:t>
      </w:r>
      <w:r>
        <w:t>ний на своих собственных усл</w:t>
      </w:r>
      <w:r>
        <w:t>о</w:t>
      </w:r>
      <w:r>
        <w:t>виях вступили в силу 1 августа 2001 года.</w:t>
      </w:r>
    </w:p>
    <w:p w:rsidR="00000000" w:rsidRDefault="00000000">
      <w:pPr>
        <w:pStyle w:val="SingleTxt"/>
      </w:pPr>
      <w:r>
        <w:t>В результате проведения этих реформ крупные изменения произошли в сл</w:t>
      </w:r>
      <w:r>
        <w:t>е</w:t>
      </w:r>
      <w:r>
        <w:t>дующих трех областях:</w:t>
      </w:r>
    </w:p>
    <w:p w:rsidR="00000000" w:rsidRDefault="00000000">
      <w:pPr>
        <w:pStyle w:val="dot"/>
      </w:pPr>
      <w:r>
        <w:tab/>
      </w:r>
      <w:r>
        <w:tab/>
        <w:t>•</w:t>
      </w:r>
      <w:r>
        <w:tab/>
        <w:t xml:space="preserve">к </w:t>
      </w:r>
      <w:r>
        <w:rPr>
          <w:i/>
        </w:rPr>
        <w:t>de facto</w:t>
      </w:r>
      <w:r>
        <w:t xml:space="preserve"> сложившимся парам (в том числе включающим лиц одного и т</w:t>
      </w:r>
      <w:r>
        <w:t>о</w:t>
      </w:r>
      <w:r>
        <w:t>го же пола) теперь будет применяться тот же режим раздела имущества, что и к супружеским парам. Это означает, что после расторжения брака или прекращения взаимоотношений совместно приобретенное имущество теперь, как правило, будет распределяться между супругами или партн</w:t>
      </w:r>
      <w:r>
        <w:t>е</w:t>
      </w:r>
      <w:r>
        <w:t>рами в равных долях.</w:t>
      </w:r>
    </w:p>
    <w:p w:rsidR="00000000" w:rsidRDefault="00000000">
      <w:pPr>
        <w:pStyle w:val="dot"/>
      </w:pPr>
      <w:r>
        <w:tab/>
      </w:r>
      <w:r>
        <w:tab/>
        <w:t>•</w:t>
      </w:r>
      <w:r>
        <w:tab/>
        <w:t>теперь в случае смерти супруга или партнера будут применяться те же с</w:t>
      </w:r>
      <w:r>
        <w:t>а</w:t>
      </w:r>
      <w:r>
        <w:t>мые правила раздела имущества. Ранее в случае смерти супруга оста</w:t>
      </w:r>
      <w:r>
        <w:t>в</w:t>
      </w:r>
      <w:r>
        <w:t xml:space="preserve">шийся в живых супруг мог оказаться в худшем материальном положении, чем после развода, а у оставшегося в живых партнера </w:t>
      </w:r>
      <w:r>
        <w:rPr>
          <w:i/>
        </w:rPr>
        <w:t>de facto</w:t>
      </w:r>
      <w:r>
        <w:t xml:space="preserve"> не оказыв</w:t>
      </w:r>
      <w:r>
        <w:t>а</w:t>
      </w:r>
      <w:r>
        <w:t>лось никаких закон</w:t>
      </w:r>
      <w:r>
        <w:t>о</w:t>
      </w:r>
      <w:r>
        <w:t>дательно признанных прав на имущество.</w:t>
      </w:r>
    </w:p>
    <w:p w:rsidR="00000000" w:rsidRDefault="00000000">
      <w:pPr>
        <w:pStyle w:val="dot"/>
      </w:pPr>
      <w:r>
        <w:tab/>
      </w:r>
      <w:r>
        <w:tab/>
        <w:t>•</w:t>
      </w:r>
      <w:r>
        <w:tab/>
        <w:t>предусматриваются новые меры, направленные на устранение различий в экономическом положении, возникающих между супругами или партн</w:t>
      </w:r>
      <w:r>
        <w:t>е</w:t>
      </w:r>
      <w:r>
        <w:t>рами после расторжения брака или прекращения отношений и вызванных распределением функций в браке или в рамках сложившихся отношений. В результате суд наделяется дискреционным правом присудить уплату единовременной компенсации. В процессе осуществления своего дискр</w:t>
      </w:r>
      <w:r>
        <w:t>е</w:t>
      </w:r>
      <w:r>
        <w:t>ционного права суд может учесть потенциальный заработок каждого су</w:t>
      </w:r>
      <w:r>
        <w:t>п</w:t>
      </w:r>
      <w:r>
        <w:t>руга или партнера, их обязанности в том, что касается непрерывного еж</w:t>
      </w:r>
      <w:r>
        <w:t>е</w:t>
      </w:r>
      <w:r>
        <w:t>дневного ухода за их несовершеннолетн</w:t>
      </w:r>
      <w:r>
        <w:t>и</w:t>
      </w:r>
      <w:r>
        <w:t>ми детьми или детьми-иждивенцами, а также любые другие соответствующие обсто</w:t>
      </w:r>
      <w:r>
        <w:t>я</w:t>
      </w:r>
      <w:r>
        <w:t>тельства.</w:t>
      </w:r>
    </w:p>
    <w:p w:rsidR="00000000" w:rsidRDefault="00000000">
      <w:pPr>
        <w:pStyle w:val="SingleTxt"/>
      </w:pPr>
      <w:r>
        <w:t xml:space="preserve">Для целей этого закона сложившимися </w:t>
      </w:r>
      <w:r>
        <w:rPr>
          <w:i/>
        </w:rPr>
        <w:t>de facto</w:t>
      </w:r>
      <w:r>
        <w:t xml:space="preserve"> отношениями считаются отношения между двумя людьми (вне зависимости от их пола), живущими вм</w:t>
      </w:r>
      <w:r>
        <w:t>е</w:t>
      </w:r>
      <w:r>
        <w:t>сте в качестве супружеской пары. При решении вопроса о том, можно ли сч</w:t>
      </w:r>
      <w:r>
        <w:t>и</w:t>
      </w:r>
      <w:r>
        <w:t>тать двух людей “живущими вместе в качестве супружеской пары”, суд может воспол</w:t>
      </w:r>
      <w:r>
        <w:t>ь</w:t>
      </w:r>
      <w:r>
        <w:t>зоваться перечнем критериев, содержащимся в законодательных актах.</w:t>
      </w:r>
    </w:p>
    <w:p w:rsidR="00000000" w:rsidRDefault="00000000">
      <w:pPr>
        <w:pStyle w:val="SingleTxt"/>
      </w:pPr>
      <w:r>
        <w:t>При условии выполнения определенных официальных процедур, в том числе требования о получении каждым супругом или партнером консультации у независимого юриста, пары могут заключать соглашения, устанавливающие свои собственные правила. Чтобы содействовать этому процессу были обнар</w:t>
      </w:r>
      <w:r>
        <w:t>о</w:t>
      </w:r>
      <w:r>
        <w:t>дованы соответствующие нормативные акты, включающие типовое соглашение об установлении своих собстве</w:t>
      </w:r>
      <w:r>
        <w:t>н</w:t>
      </w:r>
      <w:r>
        <w:t>ных правил.</w:t>
      </w:r>
    </w:p>
    <w:p w:rsidR="00000000" w:rsidRDefault="00000000">
      <w:pPr>
        <w:pStyle w:val="SingleTxt"/>
      </w:pPr>
      <w:r>
        <w:t xml:space="preserve">В настоящее время министерство юстиции осуществляет широкий обзор всех прочих законодательных положений, в соответствии с которыми к парам, образованным лицами одного пола, а также к </w:t>
      </w:r>
      <w:r>
        <w:rPr>
          <w:i/>
        </w:rPr>
        <w:t>de facto</w:t>
      </w:r>
      <w:r>
        <w:t xml:space="preserve"> сложившимся парам, с</w:t>
      </w:r>
      <w:r>
        <w:t>о</w:t>
      </w:r>
      <w:r>
        <w:t>стоящим из лиц противоположного пола, могут применяться иные требования, чем к парам, состоящим в законном браке. Этот обзор предусматривает выя</w:t>
      </w:r>
      <w:r>
        <w:t>в</w:t>
      </w:r>
      <w:r>
        <w:t xml:space="preserve">ление тех законодательных актов, которые потребуется изменить с тем, чтобы пары, образованные лицами одного пола, и </w:t>
      </w:r>
      <w:r>
        <w:rPr>
          <w:i/>
        </w:rPr>
        <w:t>de facto</w:t>
      </w:r>
      <w:r>
        <w:t xml:space="preserve"> сложившиеся парам, обр</w:t>
      </w:r>
      <w:r>
        <w:t>а</w:t>
      </w:r>
      <w:r>
        <w:t>зованные лицами противоположного пола, были наделены теми же самыми правами, средствами защиты и обязанностями, что и супружеские пары.</w:t>
      </w:r>
    </w:p>
    <w:p w:rsidR="00000000" w:rsidRDefault="00000000">
      <w:pPr>
        <w:pStyle w:val="H1"/>
      </w:pPr>
      <w:r>
        <w:t>Браки между подростками и браки по предписанию</w:t>
      </w:r>
    </w:p>
    <w:p w:rsidR="00000000" w:rsidRDefault="00000000">
      <w:pPr>
        <w:pStyle w:val="SingleTxt"/>
      </w:pPr>
      <w:r>
        <w:t>Сохраняется тенденция к вступлению в брак в более старшем возрасте. Все чаще официальное заключение брака переносится на более поздний срок и все меньше жителей Новой Зеландии вступает в брак до 20 лет или же будучи немногим старше этого возраста. В 2001 году замужем были 600 девушек в возрасте до 20 лет по сравнению с 8700 в 1971 году. В 1971 году среди всех вышедших замуж женщин девушки в возрасте до 20 лет составляли 32 процента, а в 2001 году – лишь 3 процента. На момент проведения переписи в 2001 году 9 из 10 женщин в возрасте от 15 до 19 лет, имевших партнера, фа</w:t>
      </w:r>
      <w:r>
        <w:t>к</w:t>
      </w:r>
      <w:r>
        <w:t>тически жили в браке.</w:t>
      </w:r>
    </w:p>
    <w:p w:rsidR="00000000" w:rsidRDefault="00000000">
      <w:pPr>
        <w:pStyle w:val="SingleTxt"/>
      </w:pPr>
      <w:r>
        <w:t>Не ведется никакого учета того, заключаются ли браки между подростк</w:t>
      </w:r>
      <w:r>
        <w:t>а</w:t>
      </w:r>
      <w:r>
        <w:t>ми "по предписанию". Браки между несовершеннолетними (в возрасте от 16 до 20 лет), заключаемые по предписанию, могут и не противоречить намерениям вступающих в брак при том условии, что они дали на то свое добровольное с</w:t>
      </w:r>
      <w:r>
        <w:t>о</w:t>
      </w:r>
      <w:r>
        <w:t>гласие. Вынужденный брак, заключаемый по предписанию, по всей вероятн</w:t>
      </w:r>
      <w:r>
        <w:t>о</w:t>
      </w:r>
      <w:r>
        <w:t>сти, будет объявлен недействительным в том случае, если он будет оспариват</w:t>
      </w:r>
      <w:r>
        <w:t>ь</w:t>
      </w:r>
      <w:r>
        <w:t>ся. Согласно положениям Закона 1955 года о браке в Новой Зеландии любому несовершеннолетнему лицу для вступления в брак требуется согласие родит</w:t>
      </w:r>
      <w:r>
        <w:t>е</w:t>
      </w:r>
      <w:r>
        <w:t>лей или опекунов. Кроме того, брак будет действителен лишь в том случае, к</w:t>
      </w:r>
      <w:r>
        <w:t>о</w:t>
      </w:r>
      <w:r>
        <w:t>гда стороны свободно дали свое согласие на вступление в него. Если это треб</w:t>
      </w:r>
      <w:r>
        <w:t>о</w:t>
      </w:r>
      <w:r>
        <w:t>вание не выполняется, то брак не может быть заключен ни по церковному о</w:t>
      </w:r>
      <w:r>
        <w:t>б</w:t>
      </w:r>
      <w:r>
        <w:t>ряду с участием священника, где оно подразумевается, ни в соответствии с правилами и процедурами того или иного конкретного органа, где оно прямо зафиксировано .</w:t>
      </w:r>
    </w:p>
    <w:p w:rsidR="00000000" w:rsidRDefault="00000000">
      <w:pPr>
        <w:pStyle w:val="SingleTxt"/>
      </w:pPr>
      <w:r>
        <w:t xml:space="preserve">Согласно положениям Закона 1980 года о судопроизводстве по семейным делам отсутствие свободного или обоснованного согласия на вступление в брак означает, что этот брак может быть оспорен в качестве </w:t>
      </w:r>
      <w:r>
        <w:rPr>
          <w:i/>
        </w:rPr>
        <w:t>void ab initio</w:t>
      </w:r>
      <w:r>
        <w:t>. Скорее всего, этот брак оспаривался бы на том основании, что несовершеннолетний дал свое согласие под определенным давлением. Однако в случае с браками по предписанию выводов о том, что этот брак заключается из чувства долга перед родителями, желания соблюсти ту или иную религиозную традицию или же без видимого желания может оказаться недостаточно для установления факта пр</w:t>
      </w:r>
      <w:r>
        <w:t>и</w:t>
      </w:r>
      <w:r>
        <w:t>нужд</w:t>
      </w:r>
      <w:r>
        <w:t>е</w:t>
      </w:r>
      <w:r>
        <w:t>ния.</w:t>
      </w:r>
      <w:r>
        <w:rPr>
          <w:rStyle w:val="a"/>
        </w:rPr>
        <w:footnoteReference w:customMarkFollows="1" w:id="53"/>
        <w:t>51</w:t>
      </w:r>
    </w:p>
    <w:p w:rsidR="00000000" w:rsidRDefault="00000000">
      <w:pPr>
        <w:pStyle w:val="H1"/>
      </w:pPr>
      <w:r>
        <w:t xml:space="preserve">Пересмотр закона 1968 года об опекунстве </w:t>
      </w:r>
    </w:p>
    <w:p w:rsidR="00000000" w:rsidRDefault="00000000">
      <w:pPr>
        <w:pStyle w:val="SingleTxt"/>
      </w:pPr>
      <w:r>
        <w:t>В настоящее время Закон 1968 года об опекунстве пересматривается. В течение 30 лет в этот законодательный акт не вносилось никаких существе</w:t>
      </w:r>
      <w:r>
        <w:t>н</w:t>
      </w:r>
      <w:r>
        <w:t>ных поправок, а с тех пор семейные отношения претерпели множество измен</w:t>
      </w:r>
      <w:r>
        <w:t>е</w:t>
      </w:r>
      <w:r>
        <w:t>ний, включая изменения функций родителей и семейных структур. Кроме того, в международном сообществе, новозеландском обществе и различных закон</w:t>
      </w:r>
      <w:r>
        <w:t>о</w:t>
      </w:r>
      <w:r>
        <w:t>дательных актах больше внимания стало уделяться нуждам и правам меньши</w:t>
      </w:r>
      <w:r>
        <w:t>н</w:t>
      </w:r>
      <w:r>
        <w:t>ства и коренных народов, причем подобные законодательные акты стали вкл</w:t>
      </w:r>
      <w:r>
        <w:t>ю</w:t>
      </w:r>
      <w:r>
        <w:t>чать больше положений, касавшихся защиты интересов детей. В 2000 году з</w:t>
      </w:r>
      <w:r>
        <w:t>а</w:t>
      </w:r>
      <w:r>
        <w:t>меститель министра юстиции подготовил аналитический документ, касавшийся пересмотра этого закона. В апреле 2002 года с намерением представить этот з</w:t>
      </w:r>
      <w:r>
        <w:t>а</w:t>
      </w:r>
      <w:r>
        <w:t>конопроект в парламент к концу 2002 года были приняты предварительные р</w:t>
      </w:r>
      <w:r>
        <w:t>е</w:t>
      </w:r>
      <w:r>
        <w:t>шения относительно внесения поправок в этот з</w:t>
      </w:r>
      <w:r>
        <w:t>а</w:t>
      </w:r>
      <w:r>
        <w:t>кон.</w:t>
      </w:r>
    </w:p>
    <w:p w:rsidR="00000000" w:rsidRDefault="00000000">
      <w:pPr>
        <w:pStyle w:val="SingleTxt"/>
      </w:pPr>
      <w:r>
        <w:t>Ключевым элементом этого процесса пересмотра стала оценка эффекти</w:t>
      </w:r>
      <w:r>
        <w:t>в</w:t>
      </w:r>
      <w:r>
        <w:t>ности существующих процедур правоприменения, включая те их них, что к</w:t>
      </w:r>
      <w:r>
        <w:t>а</w:t>
      </w:r>
      <w:r>
        <w:t>саются предписаний о контактах с детьми. Правительство приняло решение о наделении родителей более широким кругом возможных средств правоприм</w:t>
      </w:r>
      <w:r>
        <w:t>е</w:t>
      </w:r>
      <w:r>
        <w:t>нения, а также о расширении функций судов по семейным делам в целях вкл</w:t>
      </w:r>
      <w:r>
        <w:t>ю</w:t>
      </w:r>
      <w:r>
        <w:t>чения возможных принудительных мер, уделяющих особое внимание проф</w:t>
      </w:r>
      <w:r>
        <w:t>и</w:t>
      </w:r>
      <w:r>
        <w:t>лактике, содействию и правоприменению. В результате, суды по семейным д</w:t>
      </w:r>
      <w:r>
        <w:t>е</w:t>
      </w:r>
      <w:r>
        <w:t>лам неизбежно начнут оказывать содействие в обеспечении выполнения пре</w:t>
      </w:r>
      <w:r>
        <w:t>д</w:t>
      </w:r>
      <w:r>
        <w:t>писаний о контактах с детьми в интересах родителей и их детей, оказавшихся в подобной ситуации.</w:t>
      </w:r>
    </w:p>
    <w:p w:rsidR="00000000" w:rsidRDefault="00000000">
      <w:pPr>
        <w:pStyle w:val="SingleTxt"/>
      </w:pPr>
      <w:r>
        <w:t>Кроме того, правительство предложило министерству юстиции в сентябре 2002 года представить кабинету доклад о содержащемся в этом законе требов</w:t>
      </w:r>
      <w:r>
        <w:t>а</w:t>
      </w:r>
      <w:r>
        <w:t>нии к родителям, не осужденным к лишению свободы, относительно возмещ</w:t>
      </w:r>
      <w:r>
        <w:t>е</w:t>
      </w:r>
      <w:r>
        <w:t>ния расходов на контролируемые контакты с детьми, а также о возможных в</w:t>
      </w:r>
      <w:r>
        <w:t>а</w:t>
      </w:r>
      <w:r>
        <w:t>риантах предоставления средств в ответ на ходатайства об обеспечении ко</w:t>
      </w:r>
      <w:r>
        <w:t>н</w:t>
      </w:r>
      <w:r>
        <w:t>тролируемых контактов, представляемых согласно законодательству об опеку</w:t>
      </w:r>
      <w:r>
        <w:t>н</w:t>
      </w:r>
      <w:r>
        <w:t>стве, с целью обеспечить финансирование этой новой инициативы (в случае возникновения необходимости) в 2003/2004 финансовом году. Работа, прод</w:t>
      </w:r>
      <w:r>
        <w:t>е</w:t>
      </w:r>
      <w:r>
        <w:t>ланная к настоящему моменту по этому вопросу, показала, что расходы на ко</w:t>
      </w:r>
      <w:r>
        <w:t>н</w:t>
      </w:r>
      <w:r>
        <w:t>тролируемые контакты с детьми препятствуют родителям в установлении таких контактов, от чего пострадать могут сами дети.</w:t>
      </w:r>
    </w:p>
    <w:p w:rsidR="00000000" w:rsidRDefault="00000000">
      <w:pPr>
        <w:pStyle w:val="SingleTxt"/>
      </w:pPr>
      <w:r>
        <w:t>В контексте пересмотра этого закона правительство также приняло реш</w:t>
      </w:r>
      <w:r>
        <w:t>е</w:t>
      </w:r>
      <w:r>
        <w:t>ние о внесении поправок в Закон 1987 года об изменении Закона о положении детей с тем, чтобы в случаях рождения ребенка с использованием методик и</w:t>
      </w:r>
      <w:r>
        <w:t>с</w:t>
      </w:r>
      <w:r>
        <w:t>кусственного воспроизводства населения в число пар, имеющих право быть над</w:t>
      </w:r>
      <w:r>
        <w:t>е</w:t>
      </w:r>
      <w:r>
        <w:t>ленными родительскими правами, включались и однополые партнеры.</w:t>
      </w:r>
    </w:p>
    <w:p w:rsidR="00000000" w:rsidRDefault="00000000">
      <w:pPr>
        <w:pStyle w:val="H1"/>
      </w:pPr>
      <w:r>
        <w:t>Женщины-инвалиды</w:t>
      </w:r>
    </w:p>
    <w:p w:rsidR="00000000" w:rsidRDefault="00000000">
      <w:pPr>
        <w:pStyle w:val="SingleTxt"/>
      </w:pPr>
      <w:r>
        <w:t>Биологическая мать, страдающая психическим заболеванием, автоматич</w:t>
      </w:r>
      <w:r>
        <w:t>е</w:t>
      </w:r>
      <w:r>
        <w:t>ски наделяется теми же самыми правами на исполнение функций опекуна, что и мать, не страдающая таким заболеванием. Суд по семейным делам может в</w:t>
      </w:r>
      <w:r>
        <w:t>ы</w:t>
      </w:r>
      <w:r>
        <w:t>нести решение об изменении этих неотъемлемых прав на исполнение функций опекуна. Примеры т</w:t>
      </w:r>
      <w:r>
        <w:t>а</w:t>
      </w:r>
      <w:r>
        <w:t>ких изменений охватывают:</w:t>
      </w:r>
    </w:p>
    <w:p w:rsidR="00000000" w:rsidRDefault="00000000">
      <w:pPr>
        <w:pStyle w:val="dot"/>
      </w:pPr>
      <w:r>
        <w:tab/>
      </w:r>
      <w:r>
        <w:tab/>
        <w:t>•</w:t>
      </w:r>
      <w:r>
        <w:tab/>
        <w:t>решение о лишении матери статуса опекуна согласно положениям Закона об опекунстве, но только в том случае, если по той или иной веской пр</w:t>
      </w:r>
      <w:r>
        <w:t>и</w:t>
      </w:r>
      <w:r>
        <w:t>чине она не способна выполнять функции опекуна;</w:t>
      </w:r>
    </w:p>
    <w:p w:rsidR="00000000" w:rsidRDefault="00000000">
      <w:pPr>
        <w:pStyle w:val="dot"/>
      </w:pPr>
      <w:r>
        <w:tab/>
      </w:r>
      <w:r>
        <w:tab/>
        <w:t>•</w:t>
      </w:r>
      <w:r>
        <w:tab/>
        <w:t>предписание о попечении или о контактах с детьми, в соответствии с к</w:t>
      </w:r>
      <w:r>
        <w:t>о</w:t>
      </w:r>
      <w:r>
        <w:t>торым ограничивается право родителей на совместное проживание с р</w:t>
      </w:r>
      <w:r>
        <w:t>е</w:t>
      </w:r>
      <w:r>
        <w:t>бенком и установление с ним иных контактов согласно положениям Зак</w:t>
      </w:r>
      <w:r>
        <w:t>о</w:t>
      </w:r>
      <w:r>
        <w:t>на об опекунстве;</w:t>
      </w:r>
    </w:p>
    <w:p w:rsidR="00000000" w:rsidRDefault="00000000">
      <w:pPr>
        <w:pStyle w:val="dot"/>
      </w:pPr>
      <w:r>
        <w:tab/>
      </w:r>
      <w:r>
        <w:tab/>
        <w:t>•</w:t>
      </w:r>
      <w:r>
        <w:tab/>
        <w:t>решение о назначении того или иного лица опекуном с сохранением этих функций за матерью или для конкретно указанной цели согласно полож</w:t>
      </w:r>
      <w:r>
        <w:t>е</w:t>
      </w:r>
      <w:r>
        <w:t>ниям Закона об опекунстве;</w:t>
      </w:r>
    </w:p>
    <w:p w:rsidR="00000000" w:rsidRDefault="00000000">
      <w:pPr>
        <w:pStyle w:val="dot"/>
      </w:pPr>
      <w:r>
        <w:tab/>
      </w:r>
      <w:r>
        <w:tab/>
        <w:t>•</w:t>
      </w:r>
      <w:r>
        <w:tab/>
        <w:t>решение о том, чтобы оставить ребенка под опекой суда (что ранее им</w:t>
      </w:r>
      <w:r>
        <w:t>е</w:t>
      </w:r>
      <w:r>
        <w:t>новалось попечительством) с</w:t>
      </w:r>
      <w:r>
        <w:t>о</w:t>
      </w:r>
      <w:r>
        <w:t>гласно положениям Закона об опекунстве.</w:t>
      </w:r>
    </w:p>
    <w:p w:rsidR="00000000" w:rsidRDefault="00000000">
      <w:pPr>
        <w:pStyle w:val="SingleTxt"/>
      </w:pPr>
      <w:r>
        <w:t>Согласно положениям Закона об опекунстве в ходе любого судопроизво</w:t>
      </w:r>
      <w:r>
        <w:t>д</w:t>
      </w:r>
      <w:r>
        <w:t>ства в первую очередь следует учитывать благополучие самого ребенка.</w:t>
      </w:r>
    </w:p>
    <w:p w:rsidR="00000000" w:rsidRDefault="00000000">
      <w:pPr>
        <w:pStyle w:val="H23"/>
      </w:pPr>
      <w:r>
        <w:t>Дед с бабкой</w:t>
      </w:r>
    </w:p>
    <w:p w:rsidR="00000000" w:rsidRDefault="00000000">
      <w:pPr>
        <w:pStyle w:val="SingleTxt"/>
      </w:pPr>
      <w:r>
        <w:t>В настоящее время дед с бабкой, как правило, могут оказаться вовлече</w:t>
      </w:r>
      <w:r>
        <w:t>н</w:t>
      </w:r>
      <w:r>
        <w:t>ными в судопроизводство согласно положениям Закона об опекунстве в трех различных ситуац</w:t>
      </w:r>
      <w:r>
        <w:t>и</w:t>
      </w:r>
      <w:r>
        <w:t>ях:</w:t>
      </w:r>
    </w:p>
    <w:p w:rsidR="00000000" w:rsidRDefault="00000000">
      <w:pPr>
        <w:pStyle w:val="H4"/>
      </w:pPr>
      <w:r>
        <w:t>Вызывающие обеспокоенность вопросы, связанные с уходом и защитой</w:t>
      </w:r>
    </w:p>
    <w:p w:rsidR="00000000" w:rsidRDefault="00000000">
      <w:pPr>
        <w:pStyle w:val="SingleTxt"/>
      </w:pPr>
      <w:r>
        <w:t>В тех случаях, когда возникает серьезная обеспокоенность в связи с бл</w:t>
      </w:r>
      <w:r>
        <w:t>а</w:t>
      </w:r>
      <w:r>
        <w:t>гополучием и безопасностью детей, дед с бабкой зачастую просят вверить им опеку над детьми согласно положениям Закона об опекунстве. Некоторые из этих дел могли бы рассматриваться на основе положений Закона 1989 года о детях, молодежи и их семьях (Закон о ДМС). Однако в случаях с вынесением предписаний согласно положениям Закона об опекунстве, защита могла бы ок</w:t>
      </w:r>
      <w:r>
        <w:t>а</w:t>
      </w:r>
      <w:r>
        <w:t>заться более стабильной, поскольку такие предписания не подлежат регуля</w:t>
      </w:r>
      <w:r>
        <w:t>р</w:t>
      </w:r>
      <w:r>
        <w:t>ному пересмотру через каждые полгода согласно положениям Закона о ДМС.</w:t>
      </w:r>
    </w:p>
    <w:p w:rsidR="00000000" w:rsidRDefault="00000000">
      <w:pPr>
        <w:pStyle w:val="H4"/>
      </w:pPr>
      <w:r>
        <w:t>Разногласия в отношении контактов с детьми</w:t>
      </w:r>
    </w:p>
    <w:p w:rsidR="00000000" w:rsidRDefault="00000000">
      <w:pPr>
        <w:pStyle w:val="SingleTxt"/>
      </w:pPr>
      <w:r>
        <w:t>В случае возникновения крайне напряженных отношений между жив</w:t>
      </w:r>
      <w:r>
        <w:t>у</w:t>
      </w:r>
      <w:r>
        <w:t>щими раздельно родителями деду с бабкой может быть отказано в праве на о</w:t>
      </w:r>
      <w:r>
        <w:t>б</w:t>
      </w:r>
      <w:r>
        <w:t>щение со своими внуками тем родителем, под чьей опекой остались дети. Ан</w:t>
      </w:r>
      <w:r>
        <w:t>а</w:t>
      </w:r>
      <w:r>
        <w:t>логичным образом, иногда один из родителей может отказывать своим собс</w:t>
      </w:r>
      <w:r>
        <w:t>т</w:t>
      </w:r>
      <w:r>
        <w:t>венным родителям в их праве на общение с детьми. В настоящее время пре</w:t>
      </w:r>
      <w:r>
        <w:t>д</w:t>
      </w:r>
      <w:r>
        <w:t>писание об обеспечении деду или бабке возможностей для контактов с детьми может быть вынесено только в качество одного из условий решения о попеч</w:t>
      </w:r>
      <w:r>
        <w:t>е</w:t>
      </w:r>
      <w:r>
        <w:t>нии, или в том случае, если их собственный ребенок умер, лишен права на ко</w:t>
      </w:r>
      <w:r>
        <w:t>н</w:t>
      </w:r>
      <w:r>
        <w:t>такты с детьми по решению суда или не предпринял никаких действий с целью установления таких контактов.</w:t>
      </w:r>
    </w:p>
    <w:p w:rsidR="00000000" w:rsidRDefault="00000000">
      <w:pPr>
        <w:pStyle w:val="H4"/>
      </w:pPr>
      <w:r>
        <w:t>Дополнительные опекуны</w:t>
      </w:r>
    </w:p>
    <w:p w:rsidR="00000000" w:rsidRDefault="00000000">
      <w:pPr>
        <w:pStyle w:val="SingleTxt"/>
      </w:pPr>
      <w:r>
        <w:t>Зачастую в ряде культурных групп родственники, не относящиеся к числу ближайших, как, например, дед с бабкой, тети и дяди выполняют существе</w:t>
      </w:r>
      <w:r>
        <w:t>н</w:t>
      </w:r>
      <w:r>
        <w:t>ную часть обязанностей по повседневному уходу за ребенком. Для того, чтобы официально зафиксировать статус такого лица, осуществляющего уход, нек</w:t>
      </w:r>
      <w:r>
        <w:t>о</w:t>
      </w:r>
      <w:r>
        <w:t>торые семьи могут пожелать подать ходатайство о назначении этого члена с</w:t>
      </w:r>
      <w:r>
        <w:t>е</w:t>
      </w:r>
      <w:r>
        <w:t>мьи дополнительным опекуном. Для такого назначения может быть использ</w:t>
      </w:r>
      <w:r>
        <w:t>о</w:t>
      </w:r>
      <w:r>
        <w:t>вано предписание, основанное на выраженном с</w:t>
      </w:r>
      <w:r>
        <w:t>о</w:t>
      </w:r>
      <w:r>
        <w:t>гласии.</w:t>
      </w:r>
    </w:p>
    <w:p w:rsidR="00000000" w:rsidRDefault="00000000">
      <w:pPr>
        <w:pStyle w:val="SingleTxt"/>
      </w:pPr>
      <w:r>
        <w:t>Чаще всего возмущение представителей старшего поколения вызывают первые две ситуации, описанные выше. Жалуются они в основном на непоме</w:t>
      </w:r>
      <w:r>
        <w:t>р</w:t>
      </w:r>
      <w:r>
        <w:t>ные расходы на участие регулярных судебных слушаниях и связанные с ними переживания. Представители старшего поколения нередко упоминают о том, что им зачастую отказывают в праве на получение юридической помощи из-за владения существенным недвижимым имуществом, или же о том, что на их дома может быть обращено взыскание. Критерии, определяющие права на п</w:t>
      </w:r>
      <w:r>
        <w:t>о</w:t>
      </w:r>
      <w:r>
        <w:t>луч</w:t>
      </w:r>
      <w:r>
        <w:t>е</w:t>
      </w:r>
      <w:r>
        <w:t>ние юридической помощи, в настоящее время пересматриваются.</w:t>
      </w:r>
    </w:p>
    <w:p w:rsidR="00000000" w:rsidRDefault="00000000">
      <w:pPr>
        <w:pStyle w:val="SingleTxt"/>
      </w:pPr>
      <w:r>
        <w:t>Имеется четыре предложения о внесении изменений в законодательство по вопросам опеки, которые могут оказать позитивное влияние на положение дедушек и бабушек, оказавшихся сторонами сп</w:t>
      </w:r>
      <w:r>
        <w:t>о</w:t>
      </w:r>
      <w:r>
        <w:t>ров по поводу опекунства.</w:t>
      </w:r>
    </w:p>
    <w:p w:rsidR="00000000" w:rsidRDefault="00000000">
      <w:pPr>
        <w:pStyle w:val="H56"/>
      </w:pPr>
      <w:r>
        <w:t>Статус, дающий право на обращение за судебным предписанием</w:t>
      </w:r>
    </w:p>
    <w:p w:rsidR="00000000" w:rsidRDefault="00000000">
      <w:pPr>
        <w:pStyle w:val="SingleTxt"/>
      </w:pPr>
      <w:r>
        <w:t>У бабушек и дедушек будет иметься право на получение согласия с пре</w:t>
      </w:r>
      <w:r>
        <w:t>д</w:t>
      </w:r>
      <w:r>
        <w:t>писаниями, касающимися контактов с детьми.</w:t>
      </w:r>
    </w:p>
    <w:p w:rsidR="00000000" w:rsidRDefault="00000000">
      <w:pPr>
        <w:pStyle w:val="H56"/>
      </w:pPr>
      <w:r>
        <w:t>Материалы, касающиеся культурных особенностей</w:t>
      </w:r>
    </w:p>
    <w:p w:rsidR="00000000" w:rsidRDefault="00000000">
      <w:pPr>
        <w:pStyle w:val="SingleTxt"/>
      </w:pPr>
      <w:r>
        <w:t>Суд по семейным делам будет наделен неоспоримыми полномочиями, к</w:t>
      </w:r>
      <w:r>
        <w:t>а</w:t>
      </w:r>
      <w:r>
        <w:t>сающимися выдачи распоряжения о подготовке материалов относительно того, к какой культуре принадлежит тот или иной р</w:t>
      </w:r>
      <w:r>
        <w:t>е</w:t>
      </w:r>
      <w:r>
        <w:t>бенок.</w:t>
      </w:r>
    </w:p>
    <w:p w:rsidR="00000000" w:rsidRDefault="00000000">
      <w:pPr>
        <w:pStyle w:val="H56"/>
      </w:pPr>
      <w:r>
        <w:t>Посещение слушаний</w:t>
      </w:r>
    </w:p>
    <w:p w:rsidR="00000000" w:rsidRDefault="00000000">
      <w:pPr>
        <w:pStyle w:val="SingleTxt"/>
      </w:pPr>
      <w:r>
        <w:t>Лица, посещавшие проводившиеся на более раннем этапе с целью разр</w:t>
      </w:r>
      <w:r>
        <w:t>е</w:t>
      </w:r>
      <w:r>
        <w:t>шения споров мероприятия, смогут обращаться с просьбой о том, чтобы им разрешили посещение любых последующих судебных слушаний, касающихся вопросов опекунства. В рамках обзора процесса разрешения споров в судах по семейным делам Комиссия по вопросам законодательства рассматривает в</w:t>
      </w:r>
      <w:r>
        <w:t>о</w:t>
      </w:r>
      <w:r>
        <w:t>прос о том, чтобы расширить круг лиц, имеющих право на посещение мер</w:t>
      </w:r>
      <w:r>
        <w:t>о</w:t>
      </w:r>
      <w:r>
        <w:t>приятий, проводимых на более раннем этапе с целью разрешения споров, как, например, организуемые посредниками встречи.</w:t>
      </w:r>
    </w:p>
    <w:p w:rsidR="00000000" w:rsidRDefault="00000000">
      <w:pPr>
        <w:pStyle w:val="H56"/>
      </w:pPr>
      <w:r>
        <w:t>Сутяжнические и надуманные процессуальные действия</w:t>
      </w:r>
    </w:p>
    <w:p w:rsidR="00000000" w:rsidRDefault="00000000">
      <w:pPr>
        <w:pStyle w:val="SingleTxt"/>
      </w:pPr>
      <w:r>
        <w:t>Суды по семейным делам смогут приостанавливать или запрещать пр</w:t>
      </w:r>
      <w:r>
        <w:t>о</w:t>
      </w:r>
      <w:r>
        <w:t>цессуальные действия, являющиеся сутяжническими, надуманными или нес</w:t>
      </w:r>
      <w:r>
        <w:t>о</w:t>
      </w:r>
      <w:r>
        <w:t>ответствующими высшим интересам ребенка.</w:t>
      </w:r>
    </w:p>
    <w:p w:rsidR="00000000" w:rsidRDefault="00000000">
      <w:pPr>
        <w:pStyle w:val="H1"/>
      </w:pPr>
      <w:r>
        <w:t>Пересмотр закона 1955 года об усыновлении</w:t>
      </w:r>
    </w:p>
    <w:p w:rsidR="00000000" w:rsidRDefault="00000000">
      <w:pPr>
        <w:pStyle w:val="SingleTxt"/>
      </w:pPr>
      <w:r>
        <w:t>В настоящее время Закон 1955 года об усыновлении пересматривается. Пересмотр этого закона был начат по тем же самым причинам, что и пересмотр Закона 1968 года об опекунстве. В частности, несмотря на существенные изм</w:t>
      </w:r>
      <w:r>
        <w:t>е</w:t>
      </w:r>
      <w:r>
        <w:t>нения, произошедшие как в сфере семейных отношений, так и практике ус</w:t>
      </w:r>
      <w:r>
        <w:t>ы</w:t>
      </w:r>
      <w:r>
        <w:t>новления за более чем 45 лет, в этот законодательный акт не было внесено н</w:t>
      </w:r>
      <w:r>
        <w:t>и</w:t>
      </w:r>
      <w:r>
        <w:t>каких существенных поправок. В 1999 году правительство обратилось к К</w:t>
      </w:r>
      <w:r>
        <w:t>о</w:t>
      </w:r>
      <w:r>
        <w:t>миссии по вопросам законодательства с просьбой провести обзор правовой б</w:t>
      </w:r>
      <w:r>
        <w:t>а</w:t>
      </w:r>
      <w:r>
        <w:t>зы, регламентирующей в Новой Зеландии практику усыновления, а также в</w:t>
      </w:r>
      <w:r>
        <w:t>ы</w:t>
      </w:r>
      <w:r>
        <w:t>нести рекомендации относительно того, следует ли и каким именно образом в целях более полного удовлетворения текущих социальных потребностей мод</w:t>
      </w:r>
      <w:r>
        <w:t>и</w:t>
      </w:r>
      <w:r>
        <w:t>фицировать эту базу. Доклад о результатах своей работы комиссия представила в сентябре 2000 года. Доклад комиссии заложил основу для дальнейшего пер</w:t>
      </w:r>
      <w:r>
        <w:t>е</w:t>
      </w:r>
      <w:r>
        <w:t>смотра практики усыновления, осуществляемого специальным комитетом. В августе 2001 года члены комитета из числа правительственных служащих представили промежуточный доклад. В настоящее время правительство ра</w:t>
      </w:r>
      <w:r>
        <w:t>с</w:t>
      </w:r>
      <w:r>
        <w:t>сматривает вопрос о том, какой метод реформирования законодательства в этой о</w:t>
      </w:r>
      <w:r>
        <w:t>б</w:t>
      </w:r>
      <w:r>
        <w:t>ласти окажется наиболее оптимальным.</w:t>
      </w:r>
    </w:p>
    <w:p w:rsidR="00000000" w:rsidRDefault="00000000">
      <w:pPr>
        <w:pStyle w:val="H1"/>
      </w:pPr>
      <w:r>
        <w:t>Насилие, направленное против женщин</w:t>
      </w:r>
    </w:p>
    <w:p w:rsidR="00000000" w:rsidRDefault="00000000">
      <w:pPr>
        <w:pStyle w:val="SingleTxt"/>
      </w:pPr>
      <w:r>
        <w:t>В Новой Зеландии накоплены данные о том, что существенное число женщин подвергается насилию со стороны своих партнеров. Несмотря на то, что несоответствие определений и методологических подходов затрудняет п</w:t>
      </w:r>
      <w:r>
        <w:t>о</w:t>
      </w:r>
      <w:r>
        <w:t>лучение согласованных статистических данных о том, насколько распростр</w:t>
      </w:r>
      <w:r>
        <w:t>а</w:t>
      </w:r>
      <w:r>
        <w:t>нено это явление, полученные на основе опросов населения предварительные данные о масштабах насилия со стороны партнеров позволяют сделать вывод о том, что 15 процентов женщин, как минимум, один раз в своей жизни прину</w:t>
      </w:r>
      <w:r>
        <w:t>ж</w:t>
      </w:r>
      <w:r>
        <w:t>дается своими партнерами к вступлению в половую связь побоями или угроз</w:t>
      </w:r>
      <w:r>
        <w:t>а</w:t>
      </w:r>
      <w:r>
        <w:t>ми. От 15 до 21 процента женщин заявили о том, что они подвергались физич</w:t>
      </w:r>
      <w:r>
        <w:t>е</w:t>
      </w:r>
      <w:r>
        <w:t>скому или сексуальному насилию, а от 44 до 53 процентов – о том, что они подверг</w:t>
      </w:r>
      <w:r>
        <w:t>а</w:t>
      </w:r>
      <w:r>
        <w:t>лись психологическому насилию в течение предыдущих 12 месяцев.</w:t>
      </w:r>
      <w:r>
        <w:rPr>
          <w:rStyle w:val="a"/>
        </w:rPr>
        <w:footnoteReference w:customMarkFollows="1" w:id="54"/>
        <w:t>52</w:t>
      </w:r>
    </w:p>
    <w:p w:rsidR="00000000" w:rsidRDefault="00000000">
      <w:pPr>
        <w:pStyle w:val="SingleTxt"/>
      </w:pPr>
      <w:r>
        <w:t>В результате различных исследований были получены следующие да</w:t>
      </w:r>
      <w:r>
        <w:t>н</w:t>
      </w:r>
      <w:r>
        <w:t>ные:</w:t>
      </w:r>
    </w:p>
    <w:p w:rsidR="00000000" w:rsidRDefault="00000000">
      <w:pPr>
        <w:pStyle w:val="dot"/>
      </w:pPr>
      <w:r>
        <w:tab/>
      </w:r>
      <w:r>
        <w:tab/>
        <w:t>•</w:t>
      </w:r>
      <w:r>
        <w:tab/>
        <w:t>насилие в семье занимает пятое место среди причин смертности от теле</w:t>
      </w:r>
      <w:r>
        <w:t>с</w:t>
      </w:r>
      <w:r>
        <w:t>ных повреждений среди нов</w:t>
      </w:r>
      <w:r>
        <w:t>о</w:t>
      </w:r>
      <w:r>
        <w:t>зеландских женщин</w:t>
      </w:r>
      <w:r>
        <w:rPr>
          <w:rStyle w:val="a"/>
        </w:rPr>
        <w:footnoteReference w:customMarkFollows="1" w:id="55"/>
        <w:t>53</w:t>
      </w:r>
    </w:p>
    <w:p w:rsidR="00000000" w:rsidRDefault="00000000">
      <w:pPr>
        <w:pStyle w:val="dot"/>
      </w:pPr>
      <w:r>
        <w:tab/>
      </w:r>
      <w:r>
        <w:tab/>
        <w:t>•</w:t>
      </w:r>
      <w:r>
        <w:tab/>
        <w:t>50 процентов всех убийств новозеландских женщин совершается их пар</w:t>
      </w:r>
      <w:r>
        <w:t>т</w:t>
      </w:r>
      <w:r>
        <w:t>нерами или бывшими партн</w:t>
      </w:r>
      <w:r>
        <w:t>е</w:t>
      </w:r>
      <w:r>
        <w:t>рами</w:t>
      </w:r>
      <w:r>
        <w:rPr>
          <w:rStyle w:val="a"/>
        </w:rPr>
        <w:footnoteReference w:customMarkFollows="1" w:id="56"/>
        <w:t>54</w:t>
      </w:r>
    </w:p>
    <w:p w:rsidR="00000000" w:rsidRDefault="00000000">
      <w:pPr>
        <w:pStyle w:val="dot"/>
      </w:pPr>
      <w:r>
        <w:tab/>
      </w:r>
      <w:r>
        <w:tab/>
        <w:t>•</w:t>
      </w:r>
      <w:r>
        <w:tab/>
        <w:t>1 процент всех женщин, имевших партнера, прошел курс лечения или был госпитализирован в резул</w:t>
      </w:r>
      <w:r>
        <w:t>ь</w:t>
      </w:r>
      <w:r>
        <w:t>тате насилия со стороны этого партнера</w:t>
      </w:r>
    </w:p>
    <w:p w:rsidR="00000000" w:rsidRDefault="00000000">
      <w:pPr>
        <w:pStyle w:val="dot"/>
      </w:pPr>
      <w:r>
        <w:tab/>
      </w:r>
      <w:r>
        <w:tab/>
        <w:t>•</w:t>
      </w:r>
      <w:r>
        <w:tab/>
        <w:t>3 процента женщин заявили о том, что они опасаются возможных посяг</w:t>
      </w:r>
      <w:r>
        <w:t>а</w:t>
      </w:r>
      <w:r>
        <w:t>тельств на свою жизнь со ст</w:t>
      </w:r>
      <w:r>
        <w:t>о</w:t>
      </w:r>
      <w:r>
        <w:t>роны своих партнеров</w:t>
      </w:r>
    </w:p>
    <w:p w:rsidR="00000000" w:rsidRDefault="00000000">
      <w:pPr>
        <w:pStyle w:val="dot"/>
      </w:pPr>
      <w:r>
        <w:tab/>
      </w:r>
      <w:r>
        <w:tab/>
        <w:t>•</w:t>
      </w:r>
      <w:r>
        <w:tab/>
        <w:t>6 процентов мужчин, арестованных полицией за насилие по отношению к членам своей семьи, избивали своих беременных сожительниц (данные получены в результате опроса 500 женщин)</w:t>
      </w:r>
      <w:r>
        <w:rPr>
          <w:rStyle w:val="a"/>
        </w:rPr>
        <w:footnoteReference w:customMarkFollows="1" w:id="57"/>
        <w:t>55</w:t>
      </w:r>
    </w:p>
    <w:p w:rsidR="00000000" w:rsidRDefault="00000000">
      <w:pPr>
        <w:pStyle w:val="dot"/>
      </w:pPr>
      <w:r>
        <w:tab/>
      </w:r>
      <w:r>
        <w:tab/>
        <w:t>•</w:t>
      </w:r>
      <w:r>
        <w:tab/>
        <w:t>15 процентов женщин, постоянно живущих в приютах, стали инвалидами в результате поб</w:t>
      </w:r>
      <w:r>
        <w:t>о</w:t>
      </w:r>
      <w:r>
        <w:t>ев.</w:t>
      </w:r>
      <w:r>
        <w:rPr>
          <w:rStyle w:val="a"/>
        </w:rPr>
        <w:footnoteReference w:customMarkFollows="1" w:id="58"/>
        <w:t>56</w:t>
      </w:r>
    </w:p>
    <w:p w:rsidR="00000000" w:rsidRDefault="00000000">
      <w:pPr>
        <w:pStyle w:val="SingleTxt"/>
      </w:pPr>
      <w:r>
        <w:t>Статистические данные, собранные Национальным обществом независ</w:t>
      </w:r>
      <w:r>
        <w:t>и</w:t>
      </w:r>
      <w:r>
        <w:t>мых женских приютов (НСИВР), свидетельствуют о том, что среди женщин и детей, находящихся в приютах для женщин, чрезвычайно высока доля предст</w:t>
      </w:r>
      <w:r>
        <w:t>а</w:t>
      </w:r>
      <w:r>
        <w:t>вителей маори. В 1999 году услугами приютов НСИВР воспользовались 3085 женщин-маори и 4851 ребенок-маори по сравнению с 3899 женщинами, не относящимися к народности маори, и 4636 детьми, не относящимися к н</w:t>
      </w:r>
      <w:r>
        <w:t>а</w:t>
      </w:r>
      <w:r>
        <w:t>родности ма</w:t>
      </w:r>
      <w:r>
        <w:t>о</w:t>
      </w:r>
      <w:r>
        <w:t>ри.</w:t>
      </w:r>
    </w:p>
    <w:p w:rsidR="00000000" w:rsidRDefault="00000000">
      <w:pPr>
        <w:pStyle w:val="SingleTxt"/>
      </w:pPr>
      <w:r>
        <w:t>Проект министерства здравоохранения по борьбе с насилием в семье н</w:t>
      </w:r>
      <w:r>
        <w:t>а</w:t>
      </w:r>
      <w:r>
        <w:t>целен прежде всего на то, чтобы обеспечить жертвам насилия в семье более эффективную помощь со стороны сектора здравоохранения с уделением особ</w:t>
      </w:r>
      <w:r>
        <w:t>о</w:t>
      </w:r>
      <w:r>
        <w:t>го внимания комплексному искоренению жестокого обращения с детьми и н</w:t>
      </w:r>
      <w:r>
        <w:t>а</w:t>
      </w:r>
      <w:r>
        <w:t>силия со стороны сексуальных партнеров. Данный проект будет нацелен пре</w:t>
      </w:r>
      <w:r>
        <w:t>ж</w:t>
      </w:r>
      <w:r>
        <w:t>де всего на осуществление протоколов, касающихся выявления жертв насилия, работе с ними, а также оказания им медицинской помощи. Это потребует пер</w:t>
      </w:r>
      <w:r>
        <w:t>е</w:t>
      </w:r>
      <w:r>
        <w:t>осмысления самого понятия насилия в семье и роли медицинских работников, а также изменения клинической практики. Этот проект охватывает такие о</w:t>
      </w:r>
      <w:r>
        <w:t>б</w:t>
      </w:r>
      <w:r>
        <w:t>ласти, как педиатрия, акушерство, общая практика и неотложная помощь. О</w:t>
      </w:r>
      <w:r>
        <w:t>с</w:t>
      </w:r>
      <w:r>
        <w:t>новные аспекты этого проекта будут подвергнуты оценке, а результаты, как предполагается, будут получены в 2003 году.</w:t>
      </w:r>
    </w:p>
    <w:p w:rsidR="00000000" w:rsidRDefault="00000000">
      <w:pPr>
        <w:pStyle w:val="SingleTxt"/>
      </w:pPr>
      <w:r>
        <w:t>Новозеландская ассоциация врачей, Новозеландская ассоциация медици</w:t>
      </w:r>
      <w:r>
        <w:t>н</w:t>
      </w:r>
      <w:r>
        <w:t>ских сестер и большинство медицинских учебных заведений завершили разр</w:t>
      </w:r>
      <w:r>
        <w:t>а</w:t>
      </w:r>
      <w:r>
        <w:t>ботку или приступили к разработке стратегий борьбы с насилием в семье, и</w:t>
      </w:r>
      <w:r>
        <w:t>с</w:t>
      </w:r>
      <w:r>
        <w:t>ходя при этом из того, какую роль они могут сыграть в том, что касается оказ</w:t>
      </w:r>
      <w:r>
        <w:t>а</w:t>
      </w:r>
      <w:r>
        <w:t>ния помощи женщинам, ставшим жертвами насилия, а также наделения их б</w:t>
      </w:r>
      <w:r>
        <w:t>о</w:t>
      </w:r>
      <w:r>
        <w:t>лее широкими правами и возмо</w:t>
      </w:r>
      <w:r>
        <w:t>ж</w:t>
      </w:r>
      <w:r>
        <w:t>ностями.</w:t>
      </w:r>
    </w:p>
    <w:p w:rsidR="00000000" w:rsidRDefault="00000000">
      <w:pPr>
        <w:pStyle w:val="H23"/>
      </w:pPr>
      <w:r>
        <w:t>“Те Рито”: новозеландская стратегия предотвращения насилия в семье</w:t>
      </w:r>
    </w:p>
    <w:p w:rsidR="00000000" w:rsidRDefault="00000000">
      <w:pPr>
        <w:pStyle w:val="SingleTxt"/>
      </w:pPr>
      <w:r>
        <w:t>Реализация “</w:t>
      </w:r>
      <w:r>
        <w:rPr>
          <w:i/>
        </w:rPr>
        <w:t>Те Рито: новозеландской стратегии предотвращения нас</w:t>
      </w:r>
      <w:r>
        <w:rPr>
          <w:i/>
        </w:rPr>
        <w:t>и</w:t>
      </w:r>
      <w:r>
        <w:rPr>
          <w:i/>
        </w:rPr>
        <w:t>лия в семье</w:t>
      </w:r>
      <w:r>
        <w:t>”, опубликованной Министерством социального обеспечения, нач</w:t>
      </w:r>
      <w:r>
        <w:t>а</w:t>
      </w:r>
      <w:r>
        <w:t>лась в марте 2002 года. В “</w:t>
      </w:r>
      <w:r>
        <w:rPr>
          <w:i/>
        </w:rPr>
        <w:t>Те Рито</w:t>
      </w:r>
      <w:r>
        <w:t>” излагаются ключевые цели и задачи пр</w:t>
      </w:r>
      <w:r>
        <w:t>а</w:t>
      </w:r>
      <w:r>
        <w:t>вительства, принципы будущих реформ, а также пятилетний план ее осущест</w:t>
      </w:r>
      <w:r>
        <w:t>в</w:t>
      </w:r>
      <w:r>
        <w:t>ления в интересах максимально полной реализации концепции искоренения н</w:t>
      </w:r>
      <w:r>
        <w:t>а</w:t>
      </w:r>
      <w:r>
        <w:t>силия в семьях/“ванау”. В этой стратегии признается, что насилие в семье им</w:t>
      </w:r>
      <w:r>
        <w:t>е</w:t>
      </w:r>
      <w:r>
        <w:t>ет под собой гендерную подоплеку.</w:t>
      </w:r>
    </w:p>
    <w:p w:rsidR="00000000" w:rsidRDefault="00000000">
      <w:pPr>
        <w:pStyle w:val="SingleTxt"/>
      </w:pPr>
      <w:r>
        <w:t>“</w:t>
      </w:r>
      <w:r>
        <w:rPr>
          <w:i/>
        </w:rPr>
        <w:t>Те Рито</w:t>
      </w:r>
      <w:r>
        <w:t>” основана на следующих принципах:</w:t>
      </w:r>
    </w:p>
    <w:p w:rsidR="00000000" w:rsidRDefault="00000000">
      <w:pPr>
        <w:pStyle w:val="dot"/>
      </w:pPr>
      <w:r>
        <w:tab/>
      </w:r>
      <w:r>
        <w:tab/>
        <w:t>•</w:t>
      </w:r>
      <w:r>
        <w:tab/>
        <w:t>все люди имеют основополагающее право на безопасность и на жизнь, свободную от нас</w:t>
      </w:r>
      <w:r>
        <w:t>и</w:t>
      </w:r>
      <w:r>
        <w:t>лия;</w:t>
      </w:r>
    </w:p>
    <w:p w:rsidR="00000000" w:rsidRDefault="00000000">
      <w:pPr>
        <w:pStyle w:val="dot"/>
      </w:pPr>
      <w:r>
        <w:tab/>
      </w:r>
      <w:r>
        <w:tab/>
        <w:t>•</w:t>
      </w:r>
      <w:r>
        <w:tab/>
        <w:t>следует признавать, учитывать и полностью использовать уникальные традиционные и современные структуры и практику “ванау”, “хапу” и “иви”;</w:t>
      </w:r>
    </w:p>
    <w:p w:rsidR="00000000" w:rsidRDefault="00000000">
      <w:pPr>
        <w:pStyle w:val="dot"/>
      </w:pPr>
      <w:r>
        <w:tab/>
      </w:r>
      <w:r>
        <w:tab/>
        <w:t>•</w:t>
      </w:r>
      <w:r>
        <w:tab/>
        <w:t>к проблеме предотвращения насилия в семье следует применять широкий и комплексный подход;</w:t>
      </w:r>
    </w:p>
    <w:p w:rsidR="00000000" w:rsidRDefault="00000000">
      <w:pPr>
        <w:pStyle w:val="dot"/>
      </w:pPr>
      <w:r>
        <w:tab/>
      </w:r>
      <w:r>
        <w:tab/>
        <w:t>•</w:t>
      </w:r>
      <w:r>
        <w:tab/>
        <w:t>поведение лиц, виновных в насилии в семьях/“ванау, не должно остават</w:t>
      </w:r>
      <w:r>
        <w:t>ь</w:t>
      </w:r>
      <w:r>
        <w:t>ся безнаказанным;</w:t>
      </w:r>
    </w:p>
    <w:p w:rsidR="00000000" w:rsidRDefault="00000000">
      <w:pPr>
        <w:pStyle w:val="dot"/>
      </w:pPr>
      <w:r>
        <w:tab/>
      </w:r>
      <w:r>
        <w:tab/>
        <w:t>•</w:t>
      </w:r>
      <w:r>
        <w:tab/>
        <w:t>первоочередное внимание следует уделять предотвращению и раннему вмешательству, а та</w:t>
      </w:r>
      <w:r>
        <w:t>к</w:t>
      </w:r>
      <w:r>
        <w:t>же нуждам детей и молодежи;</w:t>
      </w:r>
    </w:p>
    <w:p w:rsidR="00000000" w:rsidRDefault="00000000">
      <w:pPr>
        <w:pStyle w:val="dot"/>
      </w:pPr>
      <w:r>
        <w:tab/>
      </w:r>
      <w:r>
        <w:tab/>
        <w:t>•</w:t>
      </w:r>
      <w:r>
        <w:tab/>
        <w:t>подходы к предотвращению насилия в семье должны носить интегрир</w:t>
      </w:r>
      <w:r>
        <w:t>о</w:t>
      </w:r>
      <w:r>
        <w:t>ванный и скоординированный характер, а также быть основаны на при</w:t>
      </w:r>
      <w:r>
        <w:t>н</w:t>
      </w:r>
      <w:r>
        <w:t>ципах сотру</w:t>
      </w:r>
      <w:r>
        <w:t>д</w:t>
      </w:r>
      <w:r>
        <w:t>ничества;</w:t>
      </w:r>
    </w:p>
    <w:p w:rsidR="00000000" w:rsidRDefault="00000000">
      <w:pPr>
        <w:pStyle w:val="dot"/>
      </w:pPr>
      <w:r>
        <w:tab/>
      </w:r>
      <w:r>
        <w:tab/>
        <w:t>•</w:t>
      </w:r>
      <w:r>
        <w:tab/>
        <w:t>община имеет право и обязана принимать участие в предотвращении н</w:t>
      </w:r>
      <w:r>
        <w:t>а</w:t>
      </w:r>
      <w:r>
        <w:t>силия в сем</w:t>
      </w:r>
      <w:r>
        <w:t>ь</w:t>
      </w:r>
      <w:r>
        <w:t>ях/“ванау;</w:t>
      </w:r>
    </w:p>
    <w:p w:rsidR="00000000" w:rsidRDefault="00000000">
      <w:pPr>
        <w:pStyle w:val="dot"/>
      </w:pPr>
      <w:r>
        <w:tab/>
      </w:r>
      <w:r>
        <w:tab/>
        <w:t>•</w:t>
      </w:r>
      <w:r>
        <w:tab/>
        <w:t>в процессе разработки и осуществления инициатив в области предотвр</w:t>
      </w:r>
      <w:r>
        <w:t>а</w:t>
      </w:r>
      <w:r>
        <w:t>щения насилия в семье следует признавать и учитывать различные нужды ко</w:t>
      </w:r>
      <w:r>
        <w:t>н</w:t>
      </w:r>
      <w:r>
        <w:t>кретных групп населения;</w:t>
      </w:r>
    </w:p>
    <w:p w:rsidR="00000000" w:rsidRDefault="00000000">
      <w:pPr>
        <w:pStyle w:val="dot"/>
      </w:pPr>
      <w:r>
        <w:tab/>
      </w:r>
      <w:r>
        <w:tab/>
        <w:t>•</w:t>
      </w:r>
      <w:r>
        <w:tab/>
        <w:t>по мере того, как будут появляться новые данные и более эффективные методы работы, следует непрерывно укреплять инициативы в области предотвр</w:t>
      </w:r>
      <w:r>
        <w:t>а</w:t>
      </w:r>
      <w:r>
        <w:t>щения насилия в семье.</w:t>
      </w:r>
    </w:p>
    <w:p w:rsidR="00000000" w:rsidRDefault="00000000">
      <w:pPr>
        <w:pStyle w:val="SingleTxt"/>
      </w:pPr>
      <w:r>
        <w:t>“</w:t>
      </w:r>
      <w:r>
        <w:rPr>
          <w:i/>
        </w:rPr>
        <w:t>Те Рито</w:t>
      </w:r>
      <w:r>
        <w:t>” преследует следующие цели:</w:t>
      </w:r>
    </w:p>
    <w:p w:rsidR="00000000" w:rsidRDefault="00000000">
      <w:pPr>
        <w:pStyle w:val="dot"/>
      </w:pPr>
      <w:r>
        <w:tab/>
      </w:r>
      <w:r>
        <w:tab/>
        <w:t>•</w:t>
      </w:r>
      <w:r>
        <w:tab/>
        <w:t>менять сложившиеся представления посредством поощрения нетерпимого отношения к насилию в семьях/“ванау” и обеспечения того, чтобы члены общества знали о его масштабах и проявлениях, а также принимали уч</w:t>
      </w:r>
      <w:r>
        <w:t>а</w:t>
      </w:r>
      <w:r>
        <w:t>стие в его предотвращении;</w:t>
      </w:r>
    </w:p>
    <w:p w:rsidR="00000000" w:rsidRDefault="00000000">
      <w:pPr>
        <w:pStyle w:val="dot"/>
      </w:pPr>
      <w:r>
        <w:tab/>
      </w:r>
      <w:r>
        <w:tab/>
        <w:t>•</w:t>
      </w:r>
      <w:r>
        <w:tab/>
        <w:t>добиться принятия эффективных, интегрированных и скоординированных мер для борьбы с насилием в семьях/“ванау”, а также обеспечить предо</w:t>
      </w:r>
      <w:r>
        <w:t>с</w:t>
      </w:r>
      <w:r>
        <w:t>тавление услуг высокого качества, досту</w:t>
      </w:r>
      <w:r>
        <w:t>п</w:t>
      </w:r>
      <w:r>
        <w:t>ных для всех;</w:t>
      </w:r>
    </w:p>
    <w:p w:rsidR="00000000" w:rsidRDefault="00000000">
      <w:pPr>
        <w:pStyle w:val="dot"/>
      </w:pPr>
      <w:r>
        <w:tab/>
      </w:r>
      <w:r>
        <w:tab/>
        <w:t>•</w:t>
      </w:r>
      <w:r>
        <w:tab/>
        <w:t>предотвращать насилие в семьях/“ванау” посредством предоставления д</w:t>
      </w:r>
      <w:r>
        <w:t>е</w:t>
      </w:r>
      <w:r>
        <w:t>тям, молодежи и их семьям/“ванау” возможности получить образование и поддержку, а также раннего выявления случаев нас</w:t>
      </w:r>
      <w:r>
        <w:t>и</w:t>
      </w:r>
      <w:r>
        <w:t>лия;</w:t>
      </w:r>
    </w:p>
    <w:p w:rsidR="00000000" w:rsidRDefault="00000000">
      <w:pPr>
        <w:pStyle w:val="dot"/>
      </w:pPr>
      <w:r>
        <w:tab/>
      </w:r>
      <w:r>
        <w:tab/>
        <w:t>•</w:t>
      </w:r>
      <w:r>
        <w:tab/>
        <w:t>обеспечить учет культурных особенностей “ванау”, “хапу” и “иви”, а та</w:t>
      </w:r>
      <w:r>
        <w:t>к</w:t>
      </w:r>
      <w:r>
        <w:t>же жителей тихоокеанских островов и других этнических групп при ра</w:t>
      </w:r>
      <w:r>
        <w:t>з</w:t>
      </w:r>
      <w:r>
        <w:t>работке подходов к предотвращению насилия в семье;</w:t>
      </w:r>
    </w:p>
    <w:p w:rsidR="00000000" w:rsidRDefault="00000000">
      <w:pPr>
        <w:pStyle w:val="dot"/>
      </w:pPr>
      <w:r>
        <w:tab/>
      </w:r>
      <w:r>
        <w:tab/>
        <w:t>•</w:t>
      </w:r>
      <w:r>
        <w:tab/>
        <w:t>обеспечить, чтобы проблема предотвращения насилия в семье никогда не ост</w:t>
      </w:r>
      <w:r>
        <w:t>а</w:t>
      </w:r>
      <w:r>
        <w:t>валась без внимания.</w:t>
      </w:r>
    </w:p>
    <w:p w:rsidR="00000000" w:rsidRDefault="00000000">
      <w:pPr>
        <w:pStyle w:val="H23"/>
      </w:pPr>
      <w:r>
        <w:t>Закон 1995 года о насилии в семье</w:t>
      </w:r>
    </w:p>
    <w:p w:rsidR="00000000" w:rsidRDefault="00000000">
      <w:pPr>
        <w:pStyle w:val="SingleTxt"/>
      </w:pPr>
      <w:r>
        <w:t>На данный момент Закон 1995 года о насилии в семье действует уже в т</w:t>
      </w:r>
      <w:r>
        <w:t>е</w:t>
      </w:r>
      <w:r>
        <w:t>чение шести лет. Определение насилия практически совпадает с определением насилия, использованным в Декларации о ликвидации насилия в отношении женщин. Определение насилия в семье в данном законе носит широкий хара</w:t>
      </w:r>
      <w:r>
        <w:t>к</w:t>
      </w:r>
      <w:r>
        <w:t>тер и включает физическое, сексуальное и психологическое насилие, в том числе запугивание, домогательства и угрозы. Благодаря широкому определ</w:t>
      </w:r>
      <w:r>
        <w:t>е</w:t>
      </w:r>
      <w:r>
        <w:t>нию термина “отношения домашнего хозяйства”, охватывающего семейные о</w:t>
      </w:r>
      <w:r>
        <w:t>т</w:t>
      </w:r>
      <w:r>
        <w:t>ношения, тесные личные отношения и отношения между представителями о</w:t>
      </w:r>
      <w:r>
        <w:t>д</w:t>
      </w:r>
      <w:r>
        <w:t>ного и того же пола, данный закон также предусматривает запрет на насилие со стороны братьев и сестер, а также родителей.</w:t>
      </w:r>
    </w:p>
    <w:p w:rsidR="00000000" w:rsidRDefault="00000000">
      <w:pPr>
        <w:pStyle w:val="SingleTxt"/>
      </w:pPr>
      <w:r>
        <w:t>Ход реализации этого закона был подвергнут оценке со стороны Мин</w:t>
      </w:r>
      <w:r>
        <w:t>и</w:t>
      </w:r>
      <w:r>
        <w:t>стерства юстиции, которое пришло к выводу о том, что данный законодател</w:t>
      </w:r>
      <w:r>
        <w:t>ь</w:t>
      </w:r>
      <w:r>
        <w:t>ный акт получил широкую поддержку. Разработанные согласно положениям этого закона программы также подвергаются оценке, а полученные к насто</w:t>
      </w:r>
      <w:r>
        <w:t>я</w:t>
      </w:r>
      <w:r>
        <w:t>щему моменту результаты показали, что эти программы эффективны в том, что касается достижения целей этого закона. К июню 2003 года Министерством юстиции и Судебным департаментом будут рассмотрены все вопросы, подн</w:t>
      </w:r>
      <w:r>
        <w:t>я</w:t>
      </w:r>
      <w:r>
        <w:t>тые в ходе проведения оценки, свидетельствующие о необходимости в измен</w:t>
      </w:r>
      <w:r>
        <w:t>е</w:t>
      </w:r>
      <w:r>
        <w:t>нии проводимой пол</w:t>
      </w:r>
      <w:r>
        <w:t>и</w:t>
      </w:r>
      <w:r>
        <w:t>тики и существующей практики.</w:t>
      </w:r>
    </w:p>
    <w:p w:rsidR="00000000" w:rsidRDefault="00000000">
      <w:pPr>
        <w:pStyle w:val="SingleTxt"/>
      </w:pPr>
      <w:r>
        <w:t>В разрабатываемую в настоящее время стратегию сокращения масштабов преступности вопрос о насилии в семье был включен в качестве одного из ключ</w:t>
      </w:r>
      <w:r>
        <w:t>е</w:t>
      </w:r>
      <w:r>
        <w:t>вых приоритетов.</w:t>
      </w:r>
    </w:p>
    <w:p w:rsidR="00000000" w:rsidRDefault="00000000">
      <w:pPr>
        <w:pStyle w:val="H23"/>
      </w:pPr>
      <w:r>
        <w:t>Женщины-беженцы и мигранты</w:t>
      </w:r>
    </w:p>
    <w:p w:rsidR="00000000" w:rsidRDefault="00000000">
      <w:pPr>
        <w:pStyle w:val="SingleTxt"/>
      </w:pPr>
      <w:r>
        <w:t>В уязвимом положении могут оказаться женщины-мигранты, прибывшие в Новую Зеландию по туристической или студенческой визе (то есть не име</w:t>
      </w:r>
      <w:r>
        <w:t>ю</w:t>
      </w:r>
      <w:r>
        <w:t>щие в ней постоянного местожительства) и вынужденные уйти от своего пар</w:t>
      </w:r>
      <w:r>
        <w:t>т</w:t>
      </w:r>
      <w:r>
        <w:t>нера или мужа, подвергавшего их насилию или жестокому обращению. Во</w:t>
      </w:r>
      <w:r>
        <w:t>з</w:t>
      </w:r>
      <w:r>
        <w:t>вращение на родину для них может оказаться невозможным в том случае, если после отказа от сожительства их семьи не намерены принимать их обратно. Чтобы решить эту проблему, в 2000 году правительство изменило правила в</w:t>
      </w:r>
      <w:r>
        <w:t>ы</w:t>
      </w:r>
      <w:r>
        <w:t>дачи разрешений на работу, а в 2001 году – правила в отношении выдачи видов на жительство. В результате женщины, ставшие жертвами насилия в семье и удовлетворяющие критериям, предусмотренным в правительственной страт</w:t>
      </w:r>
      <w:r>
        <w:t>е</w:t>
      </w:r>
      <w:r>
        <w:t>гии искоренению насилия в семье, могут получить разрешение на работу ср</w:t>
      </w:r>
      <w:r>
        <w:t>о</w:t>
      </w:r>
      <w:r>
        <w:t>ком на три месяца. В конце этого периода согласно специальным правилам в</w:t>
      </w:r>
      <w:r>
        <w:t>ы</w:t>
      </w:r>
      <w:r>
        <w:t>дачи разрешений на жительство жертвам насилия в семье женщины могут о</w:t>
      </w:r>
      <w:r>
        <w:t>б</w:t>
      </w:r>
      <w:r>
        <w:t>ращаться за получением постоянного вида на жительство.</w:t>
      </w:r>
    </w:p>
    <w:p w:rsidR="00000000" w:rsidRDefault="00000000">
      <w:pPr>
        <w:pStyle w:val="H1"/>
      </w:pPr>
      <w:r>
        <w:t>Библиография</w:t>
      </w:r>
    </w:p>
    <w:p w:rsidR="00000000" w:rsidRDefault="00000000">
      <w:pPr>
        <w:pStyle w:val="SingleTxt"/>
        <w:ind w:left="2528" w:hanging="1264"/>
      </w:pPr>
      <w:r>
        <w:t xml:space="preserve">Ministry of Social Development, February 2002, </w:t>
      </w:r>
      <w:r>
        <w:rPr>
          <w:i/>
        </w:rPr>
        <w:t>Te Rito: New Zealand Family Violence Prevention Strategy,</w:t>
      </w:r>
      <w:r>
        <w:t xml:space="preserve"> We</w:t>
      </w:r>
      <w:r>
        <w:t>l</w:t>
      </w:r>
      <w:r>
        <w:t>lington.</w:t>
      </w:r>
    </w:p>
    <w:p w:rsidR="00000000" w:rsidRDefault="00000000">
      <w:pPr>
        <w:pStyle w:val="HCh"/>
      </w:pPr>
      <w:r>
        <w:br w:type="page"/>
      </w:r>
      <w:bookmarkStart w:id="41" w:name="_Toc30302906"/>
      <w:r>
        <w:t>Приложение 1. Мнения женщин</w:t>
      </w:r>
      <w:bookmarkEnd w:id="41"/>
    </w:p>
    <w:p w:rsidR="00000000" w:rsidRDefault="00000000">
      <w:pPr>
        <w:pStyle w:val="SingleTxt"/>
      </w:pPr>
      <w:r>
        <w:t>В данном разделе кратко излагаются ключевые темы и вопросы, опред</w:t>
      </w:r>
      <w:r>
        <w:t>е</w:t>
      </w:r>
      <w:r>
        <w:t>ленные в процессе публичных консультаций при подготовке доклада по КЛДЖ (см. “Методология”, стр. 14-16). В нем также намечены меры, предлагаемые женщинами и девушками для решения этих ключевых проблем. В разделе “Мнения женщин”, поэтому, добросовестно изложены взгляды опрошенных женщин, однако это не означает, что в нем представлены мнения всех новоз</w:t>
      </w:r>
      <w:r>
        <w:t>е</w:t>
      </w:r>
      <w:r>
        <w:t>ландских женщин. В приложении 2 содержится перечень групп и отдельных лиц, которые в письменной форме представили свои соображения для подг</w:t>
      </w:r>
      <w:r>
        <w:t>о</w:t>
      </w:r>
      <w:r>
        <w:t>товки проекта доклада по КЛДЖ.</w:t>
      </w:r>
    </w:p>
    <w:p w:rsidR="00000000" w:rsidRDefault="00000000">
      <w:pPr>
        <w:pStyle w:val="SingleTxt"/>
      </w:pPr>
      <w:r>
        <w:t>Курсивом набраны основные сведения, полученные от правительства о</w:t>
      </w:r>
      <w:r>
        <w:t>т</w:t>
      </w:r>
      <w:r>
        <w:t>носительно законодательства, политики или мер, которые могут содействовать решению некоторых проблем, поднятых женщинами и девушками. Перекрес</w:t>
      </w:r>
      <w:r>
        <w:t>т</w:t>
      </w:r>
      <w:r>
        <w:t>ные ссылки показывают, где именно в тексте настоящего доклада содержится более подробная информация.</w:t>
      </w:r>
    </w:p>
    <w:p w:rsidR="00000000" w:rsidRDefault="00000000">
      <w:pPr>
        <w:pStyle w:val="SingleTxt"/>
      </w:pPr>
      <w:r>
        <w:t>Раздел “Мнения женщин” не является согласованной рабочей повесткой дня правительства. Однако вопросы, кратко изложенные в настоящем разделе, учитываются в данный момент при разработке стратегии улучшения положения женщин (см. стр. 46), осуществляемой с привлечением всей имеющейся и</w:t>
      </w:r>
      <w:r>
        <w:t>н</w:t>
      </w:r>
      <w:r>
        <w:t>формации, и будут рассматриваться Министерством по делам женщин (МДЖ) по мере того, как им будет разрабатываться стратегия, выносимая на рассмо</w:t>
      </w:r>
      <w:r>
        <w:t>т</w:t>
      </w:r>
      <w:r>
        <w:t>рение правительства. В этой стратегии будет изложен план действий, пред</w:t>
      </w:r>
      <w:r>
        <w:t>у</w:t>
      </w:r>
      <w:r>
        <w:t>сматривающий участие многих государственных учреждений и нацеленный на решение пр</w:t>
      </w:r>
      <w:r>
        <w:t>о</w:t>
      </w:r>
      <w:r>
        <w:t>блем, имеющих для женщин приоритетное значение.</w:t>
      </w:r>
    </w:p>
    <w:p w:rsidR="00000000" w:rsidRDefault="00000000">
      <w:pPr>
        <w:pStyle w:val="H1"/>
      </w:pPr>
      <w:r>
        <w:t>Женщины-маори</w:t>
      </w:r>
    </w:p>
    <w:p w:rsidR="00000000" w:rsidRDefault="00000000">
      <w:pPr>
        <w:ind w:left="1264" w:right="1264"/>
      </w:pPr>
      <w:r>
        <w:t>Женщины-маори были обеспокоены тем, что правительство не признает их статус в качестве “тангата в</w:t>
      </w:r>
      <w:r>
        <w:t>е</w:t>
      </w:r>
      <w:r>
        <w:t>нуа” и партнеров по договору, в частности:</w:t>
      </w:r>
    </w:p>
    <w:p w:rsidR="00000000" w:rsidRDefault="00000000">
      <w:pPr>
        <w:pStyle w:val="dot"/>
      </w:pPr>
      <w:r>
        <w:tab/>
      </w:r>
      <w:r>
        <w:tab/>
        <w:t>•</w:t>
      </w:r>
      <w:r>
        <w:tab/>
        <w:t>использованием правительством для установления статуса женщин-маори данных, подчеркивающих их неблагополучие и нищету, не учитывающих при этом стремление женщин-маори к выработке и осуществлению своих собственных решений и стратегий, а также контролю над ними, что дает им возможность в полном объеме принимать участие в жизни динамично развивающейся Новой Зела</w:t>
      </w:r>
      <w:r>
        <w:t>н</w:t>
      </w:r>
      <w:r>
        <w:t>дии, где возможно устойчивое социально-экономическое развитие;</w:t>
      </w:r>
    </w:p>
    <w:p w:rsidR="00000000" w:rsidRDefault="00000000">
      <w:pPr>
        <w:pStyle w:val="dot"/>
      </w:pPr>
      <w:r>
        <w:tab/>
      </w:r>
      <w:r>
        <w:tab/>
        <w:t>•</w:t>
      </w:r>
      <w:r>
        <w:tab/>
        <w:t>недостаточно активным использованием партнерских отношений, нал</w:t>
      </w:r>
      <w:r>
        <w:t>а</w:t>
      </w:r>
      <w:r>
        <w:t>женных между “иви” и правительственными учреждениями, для провед</w:t>
      </w:r>
      <w:r>
        <w:t>е</w:t>
      </w:r>
      <w:r>
        <w:t>ния консульт</w:t>
      </w:r>
      <w:r>
        <w:t>а</w:t>
      </w:r>
      <w:r>
        <w:t>ций с маори;</w:t>
      </w:r>
    </w:p>
    <w:p w:rsidR="00000000" w:rsidRDefault="00000000">
      <w:pPr>
        <w:pStyle w:val="dot"/>
      </w:pPr>
      <w:r>
        <w:tab/>
      </w:r>
      <w:r>
        <w:tab/>
        <w:t>•</w:t>
      </w:r>
      <w:r>
        <w:tab/>
        <w:t>непринятием правительством межсекторальных мер для решения пробл</w:t>
      </w:r>
      <w:r>
        <w:t>е</w:t>
      </w:r>
      <w:r>
        <w:t>мы социально-экономического неравенства маори;</w:t>
      </w:r>
    </w:p>
    <w:p w:rsidR="00000000" w:rsidRDefault="00000000">
      <w:pPr>
        <w:pStyle w:val="dot"/>
      </w:pPr>
      <w:r>
        <w:tab/>
      </w:r>
      <w:r>
        <w:tab/>
        <w:t>•</w:t>
      </w:r>
      <w:r>
        <w:tab/>
        <w:t>недостаточным финансированием МДЖ.</w:t>
      </w:r>
    </w:p>
    <w:p w:rsidR="00000000" w:rsidRDefault="00000000">
      <w:pPr>
        <w:pStyle w:val="SingleTxt"/>
      </w:pPr>
      <w:r>
        <w:t>Для решения проблем, вызывающих их обеспокоенность, женщины-маори предложили следующие пути:</w:t>
      </w:r>
    </w:p>
    <w:p w:rsidR="00000000" w:rsidRDefault="00000000">
      <w:pPr>
        <w:pStyle w:val="dot"/>
      </w:pPr>
      <w:r>
        <w:tab/>
      </w:r>
      <w:r>
        <w:tab/>
        <w:t>•</w:t>
      </w:r>
      <w:r>
        <w:tab/>
        <w:t>признание, в том числе и со стороны лиц, ответственных за распределение финансовых средств, статуса женщин-маори в контексте “ванау”, “хапу” и “иви”, а также роли и значения же</w:t>
      </w:r>
      <w:r>
        <w:t>н</w:t>
      </w:r>
      <w:r>
        <w:t>щин в общинах;</w:t>
      </w:r>
    </w:p>
    <w:p w:rsidR="00000000" w:rsidRDefault="00000000">
      <w:pPr>
        <w:pStyle w:val="dot"/>
      </w:pPr>
      <w:r>
        <w:tab/>
      </w:r>
      <w:r>
        <w:tab/>
        <w:t>•</w:t>
      </w:r>
      <w:r>
        <w:tab/>
        <w:t>уделение большего внимания выработке способов решения проблем, а не определению с</w:t>
      </w:r>
      <w:r>
        <w:t>а</w:t>
      </w:r>
      <w:r>
        <w:t>мих проблем;</w:t>
      </w:r>
    </w:p>
    <w:p w:rsidR="00000000" w:rsidRDefault="00000000">
      <w:pPr>
        <w:pStyle w:val="dot"/>
      </w:pPr>
      <w:r>
        <w:tab/>
      </w:r>
      <w:r>
        <w:tab/>
        <w:t>•</w:t>
      </w:r>
      <w:r>
        <w:tab/>
        <w:t>уделение первоочередного внимания тем сторонам жизни общин, где уже были достигнуты определенные успехи, в рамках принятия политических мер для улучшения сложившейся ситуации;</w:t>
      </w:r>
    </w:p>
    <w:p w:rsidR="00000000" w:rsidRDefault="00000000">
      <w:pPr>
        <w:pStyle w:val="dot"/>
      </w:pPr>
      <w:r>
        <w:tab/>
      </w:r>
      <w:r>
        <w:tab/>
        <w:t>•</w:t>
      </w:r>
      <w:r>
        <w:tab/>
        <w:t>сохранение партнерских отношений между правительством, а также “в</w:t>
      </w:r>
      <w:r>
        <w:t>а</w:t>
      </w:r>
      <w:r>
        <w:t>нау”, “хапу” и “иви”;</w:t>
      </w:r>
    </w:p>
    <w:p w:rsidR="00000000" w:rsidRDefault="00000000">
      <w:pPr>
        <w:pStyle w:val="dot"/>
      </w:pPr>
      <w:r>
        <w:tab/>
      </w:r>
      <w:r>
        <w:tab/>
        <w:t>•</w:t>
      </w:r>
      <w:r>
        <w:tab/>
        <w:t>вложение средств в интересах женщин и семей с использованием МДЖ в качестве координационного центра, финансирование которого следует расш</w:t>
      </w:r>
      <w:r>
        <w:t>и</w:t>
      </w:r>
      <w:r>
        <w:t>рить.</w:t>
      </w:r>
    </w:p>
    <w:p w:rsidR="00000000" w:rsidRDefault="00000000">
      <w:pPr>
        <w:pStyle w:val="H23"/>
      </w:pPr>
      <w:r>
        <w:t>Комментарий правительства</w:t>
      </w:r>
    </w:p>
    <w:p w:rsidR="00000000" w:rsidRDefault="00000000">
      <w:pPr>
        <w:pStyle w:val="SingleTxt"/>
        <w:ind w:left="1740" w:hanging="476"/>
        <w:rPr>
          <w:i/>
        </w:rPr>
      </w:pPr>
      <w:r>
        <w:tab/>
      </w:r>
      <w:r>
        <w:tab/>
      </w:r>
      <w:r>
        <w:rPr>
          <w:i/>
        </w:rPr>
        <w:t>В целях контроля над политикой, направленной на удовлетворение нужд находящихся в неблагоприятном положении общин, а также на определ</w:t>
      </w:r>
      <w:r>
        <w:rPr>
          <w:i/>
        </w:rPr>
        <w:t>е</w:t>
      </w:r>
      <w:r>
        <w:rPr>
          <w:i/>
        </w:rPr>
        <w:t>ние направлений социально-экономической политики для более полного удовлетворения нужд общин маори, жителей Тихоокеанских островов и других новозеландцев, оказавшихся в неблагоприятном положении, пр</w:t>
      </w:r>
      <w:r>
        <w:rPr>
          <w:i/>
        </w:rPr>
        <w:t>а</w:t>
      </w:r>
      <w:r>
        <w:rPr>
          <w:i/>
        </w:rPr>
        <w:t>вительство реализует комплексный государственный подход, именуемый “сокращение масштабов неравенства”. Функции Министерства по д</w:t>
      </w:r>
      <w:r>
        <w:rPr>
          <w:i/>
        </w:rPr>
        <w:t>е</w:t>
      </w:r>
      <w:r>
        <w:rPr>
          <w:i/>
        </w:rPr>
        <w:t>лам развития маори, связанные с контролем и проверкой, также были укреплены, причем МДЖ включило в свое Заявление о намерениях на 2002-2005 годы раздел об ожидаемых результатах, касающийся именно пр</w:t>
      </w:r>
      <w:r>
        <w:rPr>
          <w:i/>
        </w:rPr>
        <w:t>и</w:t>
      </w:r>
      <w:r>
        <w:rPr>
          <w:i/>
        </w:rPr>
        <w:t>оритетных для женщин Маори проблем (более подробная информация содержится в “Ответах правительства Новой Зеландии на заключ</w:t>
      </w:r>
      <w:r>
        <w:rPr>
          <w:i/>
        </w:rPr>
        <w:t>и</w:t>
      </w:r>
      <w:r>
        <w:rPr>
          <w:i/>
        </w:rPr>
        <w:t>тельные замечания КЛДЖ, стр. 23-25).</w:t>
      </w:r>
    </w:p>
    <w:p w:rsidR="00000000" w:rsidRDefault="00000000">
      <w:pPr>
        <w:pStyle w:val="H1"/>
        <w:ind w:left="1264" w:firstLine="0"/>
      </w:pPr>
      <w:r>
        <w:t>Партнерские отношения, налаженные между женщинами и правительством</w:t>
      </w:r>
    </w:p>
    <w:p w:rsidR="00000000" w:rsidRDefault="00000000">
      <w:pPr>
        <w:pStyle w:val="SingleTxt"/>
      </w:pPr>
      <w:r>
        <w:t>Женщины были обеспокоены отсутствием налаженных партнерских о</w:t>
      </w:r>
      <w:r>
        <w:t>т</w:t>
      </w:r>
      <w:r>
        <w:t>ношений с правительством. По мнению женщин, ситуацию осложняли такие факторы, как:</w:t>
      </w:r>
    </w:p>
    <w:p w:rsidR="00000000" w:rsidRDefault="00000000">
      <w:pPr>
        <w:pStyle w:val="dot"/>
      </w:pPr>
      <w:r>
        <w:tab/>
      </w:r>
      <w:r>
        <w:tab/>
        <w:t>•</w:t>
      </w:r>
      <w:r>
        <w:tab/>
        <w:t>наличие широкого круга разнообразных НПО;</w:t>
      </w:r>
    </w:p>
    <w:p w:rsidR="00000000" w:rsidRDefault="00000000">
      <w:pPr>
        <w:pStyle w:val="dot"/>
      </w:pPr>
      <w:r>
        <w:tab/>
      </w:r>
      <w:r>
        <w:tab/>
        <w:t>•</w:t>
      </w:r>
      <w:r>
        <w:tab/>
        <w:t>затраты времени и финансовых средств, связанные с участием в процессе государственного управл</w:t>
      </w:r>
      <w:r>
        <w:t>е</w:t>
      </w:r>
      <w:r>
        <w:t>ния в качестве заинтересованных сторон;</w:t>
      </w:r>
    </w:p>
    <w:p w:rsidR="00000000" w:rsidRDefault="00000000">
      <w:pPr>
        <w:pStyle w:val="dot"/>
      </w:pPr>
      <w:r>
        <w:tab/>
      </w:r>
      <w:r>
        <w:tab/>
        <w:t>•</w:t>
      </w:r>
      <w:r>
        <w:tab/>
        <w:t>нередкий учет интересов женщин исключительно в рамках социальной политики, а никак не эконом</w:t>
      </w:r>
      <w:r>
        <w:t>и</w:t>
      </w:r>
      <w:r>
        <w:t>ческой политики;</w:t>
      </w:r>
    </w:p>
    <w:p w:rsidR="00000000" w:rsidRDefault="00000000">
      <w:pPr>
        <w:pStyle w:val="dot"/>
      </w:pPr>
      <w:r>
        <w:tab/>
      </w:r>
      <w:r>
        <w:tab/>
        <w:t>•</w:t>
      </w:r>
      <w:r>
        <w:tab/>
        <w:t>заключение контрактов на оказание социальных услуг с группам, которым зачастую выделяются финансовые средства на оказание конкретных услуг, но никак не консультационных услуг и обеспечение развития рабочей с</w:t>
      </w:r>
      <w:r>
        <w:t>и</w:t>
      </w:r>
      <w:r>
        <w:t>лы, в связи с сокращением сектора общественных услуг и их централиз</w:t>
      </w:r>
      <w:r>
        <w:t>а</w:t>
      </w:r>
      <w:r>
        <w:t>цией.</w:t>
      </w:r>
    </w:p>
    <w:p w:rsidR="00000000" w:rsidRDefault="00000000">
      <w:pPr>
        <w:pStyle w:val="SingleTxt"/>
      </w:pPr>
      <w:r>
        <w:t>Для решения проблем, вызывающих у них обеспокоенность, женщины предложили следующие п</w:t>
      </w:r>
      <w:r>
        <w:t>у</w:t>
      </w:r>
      <w:r>
        <w:t>ти:</w:t>
      </w:r>
    </w:p>
    <w:p w:rsidR="00000000" w:rsidRDefault="00000000">
      <w:pPr>
        <w:pStyle w:val="dot"/>
      </w:pPr>
      <w:r>
        <w:tab/>
      </w:r>
      <w:r>
        <w:tab/>
        <w:t>•</w:t>
      </w:r>
      <w:r>
        <w:tab/>
        <w:t>правительству следует разработать стратегию признания женщин в кач</w:t>
      </w:r>
      <w:r>
        <w:t>е</w:t>
      </w:r>
      <w:r>
        <w:t>стве ключевых заинтересованных сторон, признать их неоднородный с</w:t>
      </w:r>
      <w:r>
        <w:t>о</w:t>
      </w:r>
      <w:r>
        <w:t>став, а также затраты времени и финансовых средств на участие в качес</w:t>
      </w:r>
      <w:r>
        <w:t>т</w:t>
      </w:r>
      <w:r>
        <w:t>ве заинтерес</w:t>
      </w:r>
      <w:r>
        <w:t>о</w:t>
      </w:r>
      <w:r>
        <w:t>ванных сторон;</w:t>
      </w:r>
    </w:p>
    <w:p w:rsidR="00000000" w:rsidRDefault="00000000">
      <w:pPr>
        <w:pStyle w:val="dot"/>
      </w:pPr>
      <w:r>
        <w:tab/>
      </w:r>
      <w:r>
        <w:tab/>
        <w:t>•</w:t>
      </w:r>
      <w:r>
        <w:tab/>
        <w:t>ключевым НПО следует работать совместно с МДЖ, чтобы добиться с</w:t>
      </w:r>
      <w:r>
        <w:t>о</w:t>
      </w:r>
      <w:r>
        <w:t>циальных изменений для решения таких крупных проблем, как, например, проблема насилия, в то же время, признавая различия в их соответству</w:t>
      </w:r>
      <w:r>
        <w:t>ю</w:t>
      </w:r>
      <w:r>
        <w:t>щих функциях;</w:t>
      </w:r>
    </w:p>
    <w:p w:rsidR="00000000" w:rsidRDefault="00000000">
      <w:pPr>
        <w:pStyle w:val="dot"/>
      </w:pPr>
      <w:r>
        <w:tab/>
      </w:r>
      <w:r>
        <w:tab/>
        <w:t>•</w:t>
      </w:r>
      <w:r>
        <w:tab/>
        <w:t>учреждение Форума женщин или группы НПО для налаживания полн</w:t>
      </w:r>
      <w:r>
        <w:t>о</w:t>
      </w:r>
      <w:r>
        <w:t>ценного диалога с правительс</w:t>
      </w:r>
      <w:r>
        <w:t>т</w:t>
      </w:r>
      <w:r>
        <w:t>вом.</w:t>
      </w:r>
    </w:p>
    <w:p w:rsidR="00000000" w:rsidRDefault="00000000">
      <w:pPr>
        <w:pStyle w:val="H23"/>
      </w:pPr>
      <w:r>
        <w:t>Комментарий правительства</w:t>
      </w:r>
    </w:p>
    <w:p w:rsidR="00000000" w:rsidRDefault="00000000">
      <w:pPr>
        <w:pStyle w:val="SingleTxt"/>
        <w:ind w:left="1740" w:hanging="476"/>
        <w:rPr>
          <w:i/>
        </w:rPr>
      </w:pPr>
      <w:r>
        <w:tab/>
      </w:r>
      <w:r>
        <w:tab/>
      </w:r>
      <w:r>
        <w:rPr>
          <w:i/>
        </w:rPr>
        <w:t>В соответствии с распоряжением кабинета МДЖ следует разработать стратегию в интересах женщин, в которой будут определены приор</w:t>
      </w:r>
      <w:r>
        <w:rPr>
          <w:i/>
        </w:rPr>
        <w:t>и</w:t>
      </w:r>
      <w:r>
        <w:rPr>
          <w:i/>
        </w:rPr>
        <w:t>тетные для женщин проблемы, а также меры, направленные на их реш</w:t>
      </w:r>
      <w:r>
        <w:rPr>
          <w:i/>
        </w:rPr>
        <w:t>е</w:t>
      </w:r>
      <w:r>
        <w:rPr>
          <w:i/>
        </w:rPr>
        <w:t>ние. В процессе разработки этой стратегии активное участие примут новозеландские женщины, а также ключевые политические организации и службы по оказанию услуг (более подробная информация содержится в “Статье 3: Развитие и улучшение положения же</w:t>
      </w:r>
      <w:r>
        <w:rPr>
          <w:i/>
        </w:rPr>
        <w:t>н</w:t>
      </w:r>
      <w:r>
        <w:rPr>
          <w:i/>
        </w:rPr>
        <w:t>щин”, стр. 46).</w:t>
      </w:r>
    </w:p>
    <w:p w:rsidR="00000000" w:rsidRDefault="00000000">
      <w:pPr>
        <w:pStyle w:val="H1"/>
      </w:pPr>
      <w:r>
        <w:t>Гендерный анализ</w:t>
      </w:r>
    </w:p>
    <w:p w:rsidR="00000000" w:rsidRDefault="00000000">
      <w:pPr>
        <w:pStyle w:val="SingleTxt"/>
      </w:pPr>
      <w:r>
        <w:t>Женщины были обеспокоены тем, что ни в рамках подготовки государс</w:t>
      </w:r>
      <w:r>
        <w:t>т</w:t>
      </w:r>
      <w:r>
        <w:t>венного бюджета, ни в процессе определения расходов и доходов государс</w:t>
      </w:r>
      <w:r>
        <w:t>т</w:t>
      </w:r>
      <w:r>
        <w:t>венных организаций, либо контрактных общественных служб или программ, гендерный анализ не проводился. Кроме того, по мнению женщин, в рамках гендерного анализа неоднородный состав женщин учитывается далеко не вс</w:t>
      </w:r>
      <w:r>
        <w:t>е</w:t>
      </w:r>
      <w:r>
        <w:t>гда.</w:t>
      </w:r>
    </w:p>
    <w:p w:rsidR="00000000" w:rsidRDefault="00000000">
      <w:pPr>
        <w:pStyle w:val="SingleTxt"/>
      </w:pPr>
      <w:r>
        <w:t>Для решения этих проблем, вызывающих их обеспокоенность, женщины предложили принять сл</w:t>
      </w:r>
      <w:r>
        <w:t>е</w:t>
      </w:r>
      <w:r>
        <w:t>дующие меры:</w:t>
      </w:r>
    </w:p>
    <w:p w:rsidR="00000000" w:rsidRDefault="00000000">
      <w:pPr>
        <w:pStyle w:val="dot"/>
      </w:pPr>
      <w:r>
        <w:tab/>
      </w:r>
      <w:r>
        <w:tab/>
        <w:t>•</w:t>
      </w:r>
      <w:r>
        <w:tab/>
        <w:t>установление требования о проведении тщательного гендерного анализа во всех государственных учреждениях и выделение на эти цели финанс</w:t>
      </w:r>
      <w:r>
        <w:t>о</w:t>
      </w:r>
      <w:r>
        <w:t>вых средств;</w:t>
      </w:r>
    </w:p>
    <w:p w:rsidR="00000000" w:rsidRDefault="00000000">
      <w:pPr>
        <w:pStyle w:val="dot"/>
      </w:pPr>
      <w:r>
        <w:tab/>
      </w:r>
      <w:r>
        <w:tab/>
        <w:t>•</w:t>
      </w:r>
      <w:r>
        <w:tab/>
        <w:t>включение гендерного анализа в круг возможностей, возникающих в том, что касается подо</w:t>
      </w:r>
      <w:r>
        <w:t>т</w:t>
      </w:r>
      <w:r>
        <w:t>четности, например, “Обзор центра”;</w:t>
      </w:r>
    </w:p>
    <w:p w:rsidR="00000000" w:rsidRDefault="00000000">
      <w:pPr>
        <w:pStyle w:val="dot"/>
      </w:pPr>
      <w:r>
        <w:tab/>
      </w:r>
      <w:r>
        <w:tab/>
        <w:t>•</w:t>
      </w:r>
      <w:r>
        <w:tab/>
        <w:t>установление требования о том, что государственным организациям и л</w:t>
      </w:r>
      <w:r>
        <w:t>ю</w:t>
      </w:r>
      <w:r>
        <w:t>бым организациям, финансируемым из государственного бюджета, след</w:t>
      </w:r>
      <w:r>
        <w:t>у</w:t>
      </w:r>
      <w:r>
        <w:t>ет включать гендерный анализ в свои бюджеты, прогнозы и предложения, а также решения относительно политики, услуг и программ, а также отч</w:t>
      </w:r>
      <w:r>
        <w:t>и</w:t>
      </w:r>
      <w:r>
        <w:t>тываться об этом;</w:t>
      </w:r>
    </w:p>
    <w:p w:rsidR="00000000" w:rsidRDefault="00000000">
      <w:pPr>
        <w:pStyle w:val="dot"/>
      </w:pPr>
      <w:r>
        <w:tab/>
      </w:r>
      <w:r>
        <w:tab/>
        <w:t>•</w:t>
      </w:r>
      <w:r>
        <w:tab/>
        <w:t>в процессе гендерного анализа следует учитывать неоднородный состав женщин, включающих молодых женщин, женщин-маори, жительниц Т</w:t>
      </w:r>
      <w:r>
        <w:t>и</w:t>
      </w:r>
      <w:r>
        <w:t>хоокеа</w:t>
      </w:r>
      <w:r>
        <w:t>н</w:t>
      </w:r>
      <w:r>
        <w:t>ских островов, женщин-беженцев и мигрантов, а также женщин-инвалидов;</w:t>
      </w:r>
    </w:p>
    <w:p w:rsidR="00000000" w:rsidRDefault="00000000">
      <w:pPr>
        <w:pStyle w:val="dot"/>
      </w:pPr>
      <w:r>
        <w:tab/>
      </w:r>
      <w:r>
        <w:tab/>
        <w:t>•</w:t>
      </w:r>
      <w:r>
        <w:tab/>
        <w:t>создание механизма для обеспечения того, что выявленные проблемы учитываются при проведении политики, например, что планы действий окружных медико-санитарных советов предусматривают стратегию в и</w:t>
      </w:r>
      <w:r>
        <w:t>н</w:t>
      </w:r>
      <w:r>
        <w:t>тересах здоровья женщин и гендерный анализ.</w:t>
      </w:r>
    </w:p>
    <w:p w:rsidR="00000000" w:rsidRDefault="00000000">
      <w:pPr>
        <w:pStyle w:val="H23"/>
      </w:pPr>
      <w:r>
        <w:t>Комментарий правительства</w:t>
      </w:r>
    </w:p>
    <w:p w:rsidR="00000000" w:rsidRDefault="00000000">
      <w:pPr>
        <w:pStyle w:val="SingleTxt"/>
        <w:ind w:left="1740" w:hanging="476"/>
        <w:rPr>
          <w:i/>
        </w:rPr>
      </w:pPr>
      <w:r>
        <w:tab/>
      </w:r>
      <w:r>
        <w:tab/>
      </w:r>
      <w:r>
        <w:rPr>
          <w:i/>
        </w:rPr>
        <w:t>С января 2002 года правительством было введено требование о включ</w:t>
      </w:r>
      <w:r>
        <w:rPr>
          <w:i/>
        </w:rPr>
        <w:t>е</w:t>
      </w:r>
      <w:r>
        <w:rPr>
          <w:i/>
        </w:rPr>
        <w:t>нии во все документы, проходящие через Комитет по вопросам социал</w:t>
      </w:r>
      <w:r>
        <w:rPr>
          <w:i/>
        </w:rPr>
        <w:t>ь</w:t>
      </w:r>
      <w:r>
        <w:rPr>
          <w:i/>
        </w:rPr>
        <w:t>ного равенства (КСР), входящий в состав его кабинета, справки о вли</w:t>
      </w:r>
      <w:r>
        <w:rPr>
          <w:i/>
        </w:rPr>
        <w:t>я</w:t>
      </w:r>
      <w:r>
        <w:rPr>
          <w:i/>
        </w:rPr>
        <w:t>нии планируемых мер на гендерную ситуацию, подкрепленных гендерным анализом. В случае необходимости в этой справке особое внимание м</w:t>
      </w:r>
      <w:r>
        <w:rPr>
          <w:i/>
        </w:rPr>
        <w:t>о</w:t>
      </w:r>
      <w:r>
        <w:rPr>
          <w:i/>
        </w:rPr>
        <w:t>жет уделяться возможным изменениям в положении женщин-маори и жительниц Тихоокеанских островов (более подробная информация с</w:t>
      </w:r>
      <w:r>
        <w:rPr>
          <w:i/>
        </w:rPr>
        <w:t>о</w:t>
      </w:r>
      <w:r>
        <w:rPr>
          <w:i/>
        </w:rPr>
        <w:t>держится в “Статье 3: Развитие и улучшение положения женщин, стр. 45-46). Когда позднее в 2002 году будет проводиться пересмотр справочных пособий, подготовленных для окружных медико-санитарных советов, МДЖ будет работать в сотрудничестве с Министерством здравоохранения. МДЖ будет содействовать проведению гендерного анализа и вынесет рекомендации относительно конкретных мер для улучшения здоровья женщин, подлежащих включению в эти справочники. Будет разработан проект меморандума о взаимопонимании между М</w:t>
      </w:r>
      <w:r>
        <w:rPr>
          <w:i/>
        </w:rPr>
        <w:t>и</w:t>
      </w:r>
      <w:r>
        <w:rPr>
          <w:i/>
        </w:rPr>
        <w:t>нистерством здравоохранения и МДЖ, в котором будут официально оформлены налаженные взаимосвязи и конкретно указаны запланирова</w:t>
      </w:r>
      <w:r>
        <w:rPr>
          <w:i/>
        </w:rPr>
        <w:t>н</w:t>
      </w:r>
      <w:r>
        <w:rPr>
          <w:i/>
        </w:rPr>
        <w:t>ные меры и сроки (более подробная информация содержится в “Статье 12: Здравоохранение, стр. 127-128). Кроме того, на ключевые государс</w:t>
      </w:r>
      <w:r>
        <w:rPr>
          <w:i/>
        </w:rPr>
        <w:t>т</w:t>
      </w:r>
      <w:r>
        <w:rPr>
          <w:i/>
        </w:rPr>
        <w:t>венные ведомства распространяется требование о предоставлении па</w:t>
      </w:r>
      <w:r>
        <w:rPr>
          <w:i/>
        </w:rPr>
        <w:t>р</w:t>
      </w:r>
      <w:r>
        <w:rPr>
          <w:i/>
        </w:rPr>
        <w:t>ламенту ежегодного отчета о том, насколько эффективны принимаемые ими меры для сокращения масштабов неравенства применительно к ок</w:t>
      </w:r>
      <w:r>
        <w:rPr>
          <w:i/>
        </w:rPr>
        <w:t>а</w:t>
      </w:r>
      <w:r>
        <w:rPr>
          <w:i/>
        </w:rPr>
        <w:t>завшимся в н</w:t>
      </w:r>
      <w:r>
        <w:rPr>
          <w:i/>
        </w:rPr>
        <w:t>е</w:t>
      </w:r>
      <w:r>
        <w:rPr>
          <w:i/>
        </w:rPr>
        <w:t>благоприятном положении группам, включая женщин-маори и жительниц Тихоокеанских островов (более подробная информ</w:t>
      </w:r>
      <w:r>
        <w:rPr>
          <w:i/>
        </w:rPr>
        <w:t>а</w:t>
      </w:r>
      <w:r>
        <w:rPr>
          <w:i/>
        </w:rPr>
        <w:t>ция содержится в “Статье 3: Развитие и улучшение положения женщин, стр. 46).</w:t>
      </w:r>
    </w:p>
    <w:p w:rsidR="00000000" w:rsidRDefault="00000000">
      <w:pPr>
        <w:pStyle w:val="H1"/>
      </w:pPr>
      <w:r>
        <w:t>Данные</w:t>
      </w:r>
    </w:p>
    <w:p w:rsidR="00000000" w:rsidRDefault="00000000">
      <w:pPr>
        <w:pStyle w:val="SingleTxt"/>
      </w:pPr>
      <w:r>
        <w:t>Женщины и девушки были обеспокоены отсутствием дезагрегированных данных, которые должны пригодиться правительству и органам, ответственным за принятие политических решений. Женщины также были обеспокоены тем, что методы сбора данных не всегда отражают или оценивают их вклад в экон</w:t>
      </w:r>
      <w:r>
        <w:t>о</w:t>
      </w:r>
      <w:r>
        <w:t>мику. Обеспокоенность выз</w:t>
      </w:r>
      <w:r>
        <w:t>ы</w:t>
      </w:r>
      <w:r>
        <w:t>вали следующие конкретные вопросы:</w:t>
      </w:r>
    </w:p>
    <w:p w:rsidR="00000000" w:rsidRDefault="00000000">
      <w:pPr>
        <w:pStyle w:val="dot"/>
      </w:pPr>
      <w:r>
        <w:tab/>
      </w:r>
      <w:r>
        <w:tab/>
        <w:t>•</w:t>
      </w:r>
      <w:r>
        <w:tab/>
        <w:t>отсутствие данных и исследований по конкретным группам женщин, в том числе молодым и сельским женщинам, женщинам-мигрантам и б</w:t>
      </w:r>
      <w:r>
        <w:t>е</w:t>
      </w:r>
      <w:r>
        <w:t>женцам, женщинам-маори и жительницам Тихоокеанских островов, а также же</w:t>
      </w:r>
      <w:r>
        <w:t>н</w:t>
      </w:r>
      <w:r>
        <w:t>щинам-инвалидам;</w:t>
      </w:r>
    </w:p>
    <w:p w:rsidR="00000000" w:rsidRDefault="00000000">
      <w:pPr>
        <w:pStyle w:val="dot"/>
      </w:pPr>
      <w:r>
        <w:tab/>
      </w:r>
      <w:r>
        <w:tab/>
        <w:t>•</w:t>
      </w:r>
      <w:r>
        <w:tab/>
        <w:t>предоставление НПО финансовых средств для оказания услуг, но никак не для проведения и</w:t>
      </w:r>
      <w:r>
        <w:t>с</w:t>
      </w:r>
      <w:r>
        <w:t>следований или сбора данных;</w:t>
      </w:r>
    </w:p>
    <w:p w:rsidR="00000000" w:rsidRDefault="00000000">
      <w:pPr>
        <w:pStyle w:val="dot"/>
      </w:pPr>
      <w:r>
        <w:tab/>
      </w:r>
      <w:r>
        <w:tab/>
        <w:t>•</w:t>
      </w:r>
      <w:r>
        <w:tab/>
        <w:t>принципы подготовки Министерством сельского и лесного хозяйства (МСЛХ) обзоров положения в сельском хозяйстве, в которых не учитыв</w:t>
      </w:r>
      <w:r>
        <w:t>а</w:t>
      </w:r>
      <w:r>
        <w:t>ется разнообразие ролей женщин в сельскохозя</w:t>
      </w:r>
      <w:r>
        <w:t>й</w:t>
      </w:r>
      <w:r>
        <w:t>ственном секторе;</w:t>
      </w:r>
    </w:p>
    <w:p w:rsidR="00000000" w:rsidRDefault="00000000">
      <w:pPr>
        <w:pStyle w:val="dot"/>
      </w:pPr>
      <w:r>
        <w:tab/>
      </w:r>
      <w:r>
        <w:tab/>
        <w:t>•</w:t>
      </w:r>
      <w:r>
        <w:tab/>
        <w:t>отсутствие данных за продолжительный период времени о том, растет ли численность женщин, не имеющих постоянной работы, что отражается на разработке компетентной политики в таких областях, как предоставление оплачиваемого отпуска по уходу за ребенком, занятость полный и непо</w:t>
      </w:r>
      <w:r>
        <w:t>л</w:t>
      </w:r>
      <w:r>
        <w:t>ный рабочий день, а также работа по совместительству;</w:t>
      </w:r>
    </w:p>
    <w:p w:rsidR="00000000" w:rsidRDefault="00000000">
      <w:pPr>
        <w:pStyle w:val="dot"/>
      </w:pPr>
      <w:r>
        <w:tab/>
      </w:r>
      <w:r>
        <w:tab/>
        <w:t>•</w:t>
      </w:r>
      <w:r>
        <w:tab/>
        <w:t>отсутствие согласованных методик сбора данных в правительственных учреждениях, что затрудняет сопо</w:t>
      </w:r>
      <w:r>
        <w:t>с</w:t>
      </w:r>
      <w:r>
        <w:t>тавление результатов.</w:t>
      </w:r>
    </w:p>
    <w:p w:rsidR="00000000" w:rsidRDefault="00000000">
      <w:pPr>
        <w:pStyle w:val="SingleTxt"/>
      </w:pPr>
      <w:r>
        <w:t>Были предложены следующие меры:</w:t>
      </w:r>
    </w:p>
    <w:p w:rsidR="00000000" w:rsidRDefault="00000000">
      <w:pPr>
        <w:pStyle w:val="dot"/>
      </w:pPr>
      <w:r>
        <w:tab/>
      </w:r>
      <w:r>
        <w:tab/>
        <w:t>•</w:t>
      </w:r>
      <w:r>
        <w:tab/>
        <w:t>правительству следует скорректировать содержание своих обзоров и м</w:t>
      </w:r>
      <w:r>
        <w:t>е</w:t>
      </w:r>
      <w:r>
        <w:t>тоды сбора данных с тем, чтобы учитывать и оценивать вклад женщин в экон</w:t>
      </w:r>
      <w:r>
        <w:t>о</w:t>
      </w:r>
      <w:r>
        <w:t>мику;</w:t>
      </w:r>
    </w:p>
    <w:p w:rsidR="00000000" w:rsidRDefault="00000000">
      <w:pPr>
        <w:pStyle w:val="dot"/>
      </w:pPr>
      <w:r>
        <w:tab/>
      </w:r>
      <w:r>
        <w:tab/>
        <w:t>•</w:t>
      </w:r>
      <w:r>
        <w:tab/>
        <w:t>правительственным учреждениям следует консультироваться с НПО по вопросам, связанным со сбором данных и исследованиями в интересах планирования, на основе налаживания партне</w:t>
      </w:r>
      <w:r>
        <w:t>р</w:t>
      </w:r>
      <w:r>
        <w:t>ских отношений;</w:t>
      </w:r>
    </w:p>
    <w:p w:rsidR="00000000" w:rsidRDefault="00000000">
      <w:pPr>
        <w:pStyle w:val="dot"/>
      </w:pPr>
      <w:r>
        <w:tab/>
      </w:r>
      <w:r>
        <w:tab/>
        <w:t>•</w:t>
      </w:r>
      <w:r>
        <w:tab/>
        <w:t>НПО следует предоставлять финансовые средства для сбора конкретных видов да</w:t>
      </w:r>
      <w:r>
        <w:t>н</w:t>
      </w:r>
      <w:r>
        <w:t>ных;</w:t>
      </w:r>
    </w:p>
    <w:p w:rsidR="00000000" w:rsidRDefault="00000000">
      <w:pPr>
        <w:pStyle w:val="dot"/>
      </w:pPr>
      <w:r>
        <w:tab/>
      </w:r>
      <w:r>
        <w:tab/>
        <w:t>•</w:t>
      </w:r>
      <w:r>
        <w:tab/>
        <w:t>обеспечить сбор точных дезагрегированных данных в целях информир</w:t>
      </w:r>
      <w:r>
        <w:t>о</w:t>
      </w:r>
      <w:r>
        <w:t>вания органов, ответственных за разработку политики и принятие реш</w:t>
      </w:r>
      <w:r>
        <w:t>е</w:t>
      </w:r>
      <w:r>
        <w:t>ний.</w:t>
      </w:r>
    </w:p>
    <w:p w:rsidR="00000000" w:rsidRDefault="00000000">
      <w:pPr>
        <w:pStyle w:val="H23"/>
      </w:pPr>
      <w:r>
        <w:t>Комментарий правительства</w:t>
      </w:r>
    </w:p>
    <w:p w:rsidR="00000000" w:rsidRDefault="00000000">
      <w:pPr>
        <w:pStyle w:val="SingleTxt"/>
        <w:ind w:left="1740" w:hanging="476"/>
        <w:rPr>
          <w:i/>
        </w:rPr>
      </w:pPr>
      <w:r>
        <w:tab/>
      </w:r>
      <w:r>
        <w:tab/>
      </w:r>
      <w:r>
        <w:rPr>
          <w:i/>
        </w:rPr>
        <w:t>Обзоры социального положения, которые Статистическое управление Новой Зеландии (СНЗ) провело недавно или планирует к проведению в скором времени, охватывали предварительные выборки, включавшие представителей народности маори и жителей Тихоокеанских островов, благодаря чему более подробная информация станет более доступной. СНЗ осуществляет обзор показателей оценки численности этнических групп, а также существующей программы обследования социального п</w:t>
      </w:r>
      <w:r>
        <w:rPr>
          <w:i/>
        </w:rPr>
        <w:t>о</w:t>
      </w:r>
      <w:r>
        <w:rPr>
          <w:i/>
        </w:rPr>
        <w:t>ложения и заложенного в ней потенциала в том, что касается более по</w:t>
      </w:r>
      <w:r>
        <w:rPr>
          <w:i/>
        </w:rPr>
        <w:t>л</w:t>
      </w:r>
      <w:r>
        <w:rPr>
          <w:i/>
        </w:rPr>
        <w:t>ного удовлетворения потребностей правительства и общества в инфо</w:t>
      </w:r>
      <w:r>
        <w:rPr>
          <w:i/>
        </w:rPr>
        <w:t>р</w:t>
      </w:r>
      <w:r>
        <w:rPr>
          <w:i/>
        </w:rPr>
        <w:t>мации (подробности приведены в “Ответах правительства Новой Зела</w:t>
      </w:r>
      <w:r>
        <w:rPr>
          <w:i/>
        </w:rPr>
        <w:t>н</w:t>
      </w:r>
      <w:r>
        <w:rPr>
          <w:i/>
        </w:rPr>
        <w:t>дии на заключительные замеч</w:t>
      </w:r>
      <w:r>
        <w:rPr>
          <w:i/>
        </w:rPr>
        <w:t>а</w:t>
      </w:r>
      <w:r>
        <w:rPr>
          <w:i/>
        </w:rPr>
        <w:t>ния по КЛДЖ”, стр. 28-29).</w:t>
      </w:r>
    </w:p>
    <w:p w:rsidR="00000000" w:rsidRDefault="00000000">
      <w:pPr>
        <w:pStyle w:val="H1"/>
      </w:pPr>
      <w:r>
        <w:t>Увеличение мобильности рабочей силы</w:t>
      </w:r>
    </w:p>
    <w:p w:rsidR="00000000" w:rsidRDefault="00000000">
      <w:pPr>
        <w:pStyle w:val="SingleTxt"/>
      </w:pPr>
      <w:r>
        <w:t>Женщины были обеспокоены зафиксированным ростом числа женщин, не имеющих постоянной работы, а также тем, как это могло бы сказаться на их положении. Обе</w:t>
      </w:r>
      <w:r>
        <w:t>с</w:t>
      </w:r>
      <w:r>
        <w:t>покоенность вызывали следующие конкретные вопросы:</w:t>
      </w:r>
    </w:p>
    <w:p w:rsidR="00000000" w:rsidRDefault="00000000">
      <w:pPr>
        <w:pStyle w:val="dot"/>
      </w:pPr>
      <w:r>
        <w:tab/>
      </w:r>
      <w:r>
        <w:tab/>
        <w:t>•</w:t>
      </w:r>
      <w:r>
        <w:tab/>
        <w:t>невысокий уровень заработной платы;</w:t>
      </w:r>
    </w:p>
    <w:p w:rsidR="00000000" w:rsidRDefault="00000000">
      <w:pPr>
        <w:pStyle w:val="dot"/>
      </w:pPr>
      <w:r>
        <w:tab/>
      </w:r>
      <w:r>
        <w:tab/>
        <w:t>•</w:t>
      </w:r>
      <w:r>
        <w:tab/>
        <w:t>отсутствие возможности пользоваться основными правами наемного р</w:t>
      </w:r>
      <w:r>
        <w:t>а</w:t>
      </w:r>
      <w:r>
        <w:t>ботника, как, например, право на ежегодный отпуск, отпуск по болезни и на прохождение обуч</w:t>
      </w:r>
      <w:r>
        <w:t>е</w:t>
      </w:r>
      <w:r>
        <w:t>ния;</w:t>
      </w:r>
    </w:p>
    <w:p w:rsidR="00000000" w:rsidRDefault="00000000">
      <w:pPr>
        <w:pStyle w:val="dot"/>
      </w:pPr>
      <w:r>
        <w:tab/>
      </w:r>
      <w:r>
        <w:tab/>
        <w:t>•</w:t>
      </w:r>
      <w:r>
        <w:tab/>
        <w:t>отсутствие у наемных работников возможностей для доступа к информ</w:t>
      </w:r>
      <w:r>
        <w:t>а</w:t>
      </w:r>
      <w:r>
        <w:t>ции об их правах.</w:t>
      </w:r>
    </w:p>
    <w:p w:rsidR="00000000" w:rsidRDefault="00000000">
      <w:pPr>
        <w:pStyle w:val="SingleTxt"/>
      </w:pPr>
      <w:r>
        <w:t>Для решения проблем, вызывающих их обеспокоенность, женщины пре</w:t>
      </w:r>
      <w:r>
        <w:t>д</w:t>
      </w:r>
      <w:r>
        <w:t>ложили следующие меры:</w:t>
      </w:r>
    </w:p>
    <w:p w:rsidR="00000000" w:rsidRDefault="00000000">
      <w:pPr>
        <w:pStyle w:val="dot"/>
      </w:pPr>
      <w:r>
        <w:tab/>
      </w:r>
      <w:r>
        <w:tab/>
        <w:t>•</w:t>
      </w:r>
      <w:r>
        <w:tab/>
        <w:t>подход, предусматривающий участие всех правительственных учрежд</w:t>
      </w:r>
      <w:r>
        <w:t>е</w:t>
      </w:r>
      <w:r>
        <w:t>ний и нацеленный на создание такого рынка труда, где бы преобладали высокооплачиваемые рабочие места, требующие высокой квалификации, и отм</w:t>
      </w:r>
      <w:r>
        <w:t>е</w:t>
      </w:r>
      <w:r>
        <w:t>чался высокий уровень доверия;</w:t>
      </w:r>
    </w:p>
    <w:p w:rsidR="00000000" w:rsidRDefault="00000000">
      <w:pPr>
        <w:pStyle w:val="dot"/>
      </w:pPr>
      <w:r>
        <w:tab/>
      </w:r>
      <w:r>
        <w:tab/>
        <w:t>•</w:t>
      </w:r>
      <w:r>
        <w:tab/>
        <w:t>сохранение за наемными служащими имеющихся у них льгот в случае смены места работы;</w:t>
      </w:r>
    </w:p>
    <w:p w:rsidR="00000000" w:rsidRDefault="00000000">
      <w:pPr>
        <w:pStyle w:val="dot"/>
      </w:pPr>
      <w:r>
        <w:tab/>
      </w:r>
      <w:r>
        <w:tab/>
        <w:t>•</w:t>
      </w:r>
      <w:r>
        <w:tab/>
        <w:t>продолжение информирования наемных служащих и работодателей об их правах и обязанностях применительно к работе на условиях неполной з</w:t>
      </w:r>
      <w:r>
        <w:t>а</w:t>
      </w:r>
      <w:r>
        <w:t>нятости и по време</w:t>
      </w:r>
      <w:r>
        <w:t>н</w:t>
      </w:r>
      <w:r>
        <w:t>ным контрактам.</w:t>
      </w:r>
    </w:p>
    <w:p w:rsidR="00000000" w:rsidRDefault="00000000">
      <w:pPr>
        <w:pStyle w:val="H23"/>
      </w:pPr>
      <w:r>
        <w:t>Комментарий правительства</w:t>
      </w:r>
    </w:p>
    <w:p w:rsidR="00000000" w:rsidRDefault="00000000">
      <w:pPr>
        <w:pStyle w:val="SingleTxt"/>
        <w:ind w:left="1740" w:hanging="476"/>
        <w:rPr>
          <w:i/>
        </w:rPr>
      </w:pPr>
      <w:r>
        <w:tab/>
      </w:r>
      <w:r>
        <w:tab/>
      </w:r>
      <w:r>
        <w:rPr>
          <w:i/>
        </w:rPr>
        <w:t>Закон 2000 года о трудовых отношениях нацелен на то, чтобы уравнять стороны в их правах при заключении трудовых договоров и обеспечить защиту от дискриминации в сфере занятости на тех же самых началах, что и Закон 1993 года о правах человека. Недавно Закон 1993 года о пр</w:t>
      </w:r>
      <w:r>
        <w:rPr>
          <w:i/>
        </w:rPr>
        <w:t>а</w:t>
      </w:r>
      <w:r>
        <w:rPr>
          <w:i/>
        </w:rPr>
        <w:t>вах человека был пересмотрен и укреплен. Для публичных консультаций, которые должны закончиться в ноябре 2002 года, МДЖ в июле 2002 года обнародовало аналитический документ, посвященный проблеме равной оплаты труда равной ценности (более подробная информация приведена в “Статье 1: определение дискриминации в отношении женщин”, стр. 32; “Статье 2: Антидискриминационные меры”, стр. 34-37, а также “Статье 11: З</w:t>
      </w:r>
      <w:r>
        <w:rPr>
          <w:i/>
        </w:rPr>
        <w:t>а</w:t>
      </w:r>
      <w:r>
        <w:rPr>
          <w:i/>
        </w:rPr>
        <w:t>нятость”, стр. 106-107).</w:t>
      </w:r>
    </w:p>
    <w:p w:rsidR="00000000" w:rsidRDefault="00000000">
      <w:pPr>
        <w:pStyle w:val="SingleTxt"/>
        <w:ind w:left="1740" w:hanging="476"/>
        <w:rPr>
          <w:i/>
        </w:rPr>
      </w:pPr>
      <w:r>
        <w:rPr>
          <w:i/>
        </w:rPr>
        <w:tab/>
      </w:r>
      <w:r>
        <w:rPr>
          <w:i/>
        </w:rPr>
        <w:tab/>
        <w:t>Министерство труда приступило к исследованию проблемы увеличения мобильности рабочей силы, которая затрагивает прежде всего женщин. Будут проведены тематические исследования, посвященные положению женщин-маори.</w:t>
      </w:r>
    </w:p>
    <w:p w:rsidR="00000000" w:rsidRDefault="00000000">
      <w:pPr>
        <w:pStyle w:val="H1"/>
      </w:pPr>
      <w:r>
        <w:t>Экономическая независимость</w:t>
      </w:r>
    </w:p>
    <w:p w:rsidR="00000000" w:rsidRDefault="00000000">
      <w:pPr>
        <w:pStyle w:val="SingleTxt"/>
      </w:pPr>
      <w:r>
        <w:t>Женщины были обеспокоены кругом вопросов, затрагивающих их экон</w:t>
      </w:r>
      <w:r>
        <w:t>о</w:t>
      </w:r>
      <w:r>
        <w:t>мическую независимость в долгосрочной перспективе, а именно:</w:t>
      </w:r>
    </w:p>
    <w:p w:rsidR="00000000" w:rsidRDefault="00000000">
      <w:pPr>
        <w:pStyle w:val="dot"/>
      </w:pPr>
      <w:r>
        <w:tab/>
      </w:r>
      <w:r>
        <w:tab/>
        <w:t>•</w:t>
      </w:r>
      <w:r>
        <w:tab/>
        <w:t>доступностью информационных технологий, в частности, для сельских женщин и их участием в нововведен</w:t>
      </w:r>
      <w:r>
        <w:t>и</w:t>
      </w:r>
      <w:r>
        <w:t>ях;</w:t>
      </w:r>
    </w:p>
    <w:p w:rsidR="00000000" w:rsidRDefault="00000000">
      <w:pPr>
        <w:pStyle w:val="dot"/>
      </w:pPr>
      <w:r>
        <w:tab/>
      </w:r>
      <w:r>
        <w:tab/>
        <w:t>•</w:t>
      </w:r>
      <w:r>
        <w:tab/>
        <w:t>доступностью кредитов;</w:t>
      </w:r>
    </w:p>
    <w:p w:rsidR="00000000" w:rsidRDefault="00000000">
      <w:pPr>
        <w:pStyle w:val="dot"/>
      </w:pPr>
      <w:r>
        <w:tab/>
      </w:r>
      <w:r>
        <w:tab/>
        <w:t>•</w:t>
      </w:r>
      <w:r>
        <w:tab/>
        <w:t>отказом от различных пособий, в частности, от пособий домашним хозя</w:t>
      </w:r>
      <w:r>
        <w:t>й</w:t>
      </w:r>
      <w:r>
        <w:t>ствам, и занятие оплачиваемым тр</w:t>
      </w:r>
      <w:r>
        <w:t>у</w:t>
      </w:r>
      <w:r>
        <w:t>дом;</w:t>
      </w:r>
    </w:p>
    <w:p w:rsidR="00000000" w:rsidRDefault="00000000">
      <w:pPr>
        <w:pStyle w:val="dot"/>
      </w:pPr>
      <w:r>
        <w:tab/>
      </w:r>
      <w:r>
        <w:tab/>
        <w:t>•</w:t>
      </w:r>
      <w:r>
        <w:tab/>
        <w:t>размером пенсии, поскольку женщины, как правило, живут дольше му</w:t>
      </w:r>
      <w:r>
        <w:t>ж</w:t>
      </w:r>
      <w:r>
        <w:t>чин и зарабатывают меньше их в т</w:t>
      </w:r>
      <w:r>
        <w:t>е</w:t>
      </w:r>
      <w:r>
        <w:t>чение всей жизни;</w:t>
      </w:r>
    </w:p>
    <w:p w:rsidR="00000000" w:rsidRDefault="00000000">
      <w:pPr>
        <w:pStyle w:val="dot"/>
      </w:pPr>
      <w:r>
        <w:tab/>
      </w:r>
      <w:r>
        <w:tab/>
        <w:t>•</w:t>
      </w:r>
      <w:r>
        <w:tab/>
        <w:t>доступностью образования, профессиональной подготовки и непрерывн</w:t>
      </w:r>
      <w:r>
        <w:t>о</w:t>
      </w:r>
      <w:r>
        <w:t>го обучения, а та</w:t>
      </w:r>
      <w:r>
        <w:t>к</w:t>
      </w:r>
      <w:r>
        <w:t>же признанием их результатов;</w:t>
      </w:r>
    </w:p>
    <w:p w:rsidR="00000000" w:rsidRDefault="00000000">
      <w:pPr>
        <w:pStyle w:val="dot"/>
      </w:pPr>
      <w:r>
        <w:tab/>
      </w:r>
      <w:r>
        <w:tab/>
        <w:t>•</w:t>
      </w:r>
      <w:r>
        <w:tab/>
        <w:t>воздействие обязанностей по уходу за детьми на доход в течение жизни;</w:t>
      </w:r>
    </w:p>
    <w:p w:rsidR="00000000" w:rsidRDefault="00000000">
      <w:pPr>
        <w:pStyle w:val="dot"/>
      </w:pPr>
      <w:r>
        <w:tab/>
      </w:r>
      <w:r>
        <w:tab/>
        <w:t>•</w:t>
      </w:r>
      <w:r>
        <w:tab/>
        <w:t>различное воздействие, оказываемое участием в программе выдачи ссуд студентам, на доход женщин в теч</w:t>
      </w:r>
      <w:r>
        <w:t>е</w:t>
      </w:r>
      <w:r>
        <w:t>ние жизни.</w:t>
      </w:r>
    </w:p>
    <w:p w:rsidR="00000000" w:rsidRDefault="00000000">
      <w:pPr>
        <w:pStyle w:val="20"/>
        <w:spacing w:line="240" w:lineRule="auto"/>
        <w:ind w:left="1264" w:right="1264"/>
        <w:rPr>
          <w:b/>
          <w:sz w:val="20"/>
        </w:rPr>
      </w:pPr>
      <w:r>
        <w:rPr>
          <w:b/>
          <w:sz w:val="20"/>
        </w:rPr>
        <w:t>Комментарий правительства</w:t>
      </w:r>
    </w:p>
    <w:p w:rsidR="00000000" w:rsidRDefault="00000000">
      <w:pPr>
        <w:pStyle w:val="SingleTxt"/>
        <w:ind w:left="1740" w:hanging="476"/>
        <w:rPr>
          <w:i/>
        </w:rPr>
      </w:pPr>
      <w:r>
        <w:tab/>
      </w:r>
      <w:r>
        <w:tab/>
      </w:r>
      <w:r>
        <w:rPr>
          <w:i/>
        </w:rPr>
        <w:t>В течение последнего десятилетия были внедрены национальные квал</w:t>
      </w:r>
      <w:r>
        <w:rPr>
          <w:i/>
        </w:rPr>
        <w:t>и</w:t>
      </w:r>
      <w:r>
        <w:rPr>
          <w:i/>
        </w:rPr>
        <w:t>фикационные рамки, основанные на концепции непрерывного образования и позволяющие аккумулировать кредиты в период школьного обучения и после его окончания. Кроме того, благодаря внедрению системы призн</w:t>
      </w:r>
      <w:r>
        <w:rPr>
          <w:i/>
        </w:rPr>
        <w:t>а</w:t>
      </w:r>
      <w:r>
        <w:rPr>
          <w:i/>
        </w:rPr>
        <w:t>ния результатов предшествующего обучения теперь меньшее число ум</w:t>
      </w:r>
      <w:r>
        <w:rPr>
          <w:i/>
        </w:rPr>
        <w:t>е</w:t>
      </w:r>
      <w:r>
        <w:rPr>
          <w:i/>
        </w:rPr>
        <w:t>ний и навыков, чем в прошлом, остается неиспользованными. В целях ко</w:t>
      </w:r>
      <w:r>
        <w:rPr>
          <w:i/>
        </w:rPr>
        <w:t>н</w:t>
      </w:r>
      <w:r>
        <w:rPr>
          <w:i/>
        </w:rPr>
        <w:t>солидации сложившихся моделей непрерывного обучения в рамках всей системы образования нынешняя квалификационная система постоянно пересматривается (более подробная информация приведена в “Ст</w:t>
      </w:r>
      <w:r>
        <w:rPr>
          <w:i/>
        </w:rPr>
        <w:t>а</w:t>
      </w:r>
      <w:r>
        <w:rPr>
          <w:i/>
        </w:rPr>
        <w:t>тье 10: Образов</w:t>
      </w:r>
      <w:r>
        <w:rPr>
          <w:i/>
        </w:rPr>
        <w:t>а</w:t>
      </w:r>
      <w:r>
        <w:rPr>
          <w:i/>
        </w:rPr>
        <w:t>ние”, стр. 93-94).</w:t>
      </w:r>
    </w:p>
    <w:p w:rsidR="00000000" w:rsidRDefault="00000000">
      <w:pPr>
        <w:pStyle w:val="SingleTxt"/>
        <w:ind w:left="1740" w:hanging="476"/>
        <w:rPr>
          <w:i/>
        </w:rPr>
      </w:pPr>
      <w:r>
        <w:rPr>
          <w:i/>
        </w:rPr>
        <w:tab/>
      </w:r>
      <w:r>
        <w:rPr>
          <w:i/>
        </w:rPr>
        <w:tab/>
        <w:t>Право на получение государственной помощи имеют женщины, зарег</w:t>
      </w:r>
      <w:r>
        <w:rPr>
          <w:i/>
        </w:rPr>
        <w:t>и</w:t>
      </w:r>
      <w:r>
        <w:rPr>
          <w:i/>
        </w:rPr>
        <w:t>стрированные в качестве безработных и получающие государственные пособия, включая п</w:t>
      </w:r>
      <w:r>
        <w:rPr>
          <w:i/>
        </w:rPr>
        <w:t>о</w:t>
      </w:r>
      <w:r>
        <w:rPr>
          <w:i/>
        </w:rPr>
        <w:t>собия по безработице и пособия для родителей-одиночек. Помощь, право на получение которой имеют как женщины, так и мужчины, охватывает субсидии, подъемные (включая грант, выд</w:t>
      </w:r>
      <w:r>
        <w:rPr>
          <w:i/>
        </w:rPr>
        <w:t>а</w:t>
      </w:r>
      <w:r>
        <w:rPr>
          <w:i/>
        </w:rPr>
        <w:t>ваемый при начале трудовой деятельности, которым можно воспольз</w:t>
      </w:r>
      <w:r>
        <w:rPr>
          <w:i/>
        </w:rPr>
        <w:t>о</w:t>
      </w:r>
      <w:r>
        <w:rPr>
          <w:i/>
        </w:rPr>
        <w:t>ваться для оплаты базовых расходов, возникающих в связи с началом трудовой деятельности), обмен трудовым опытом, работа в общине, помощь в поиске работы, а также прохождение обучения. Предполаг</w:t>
      </w:r>
      <w:r>
        <w:rPr>
          <w:i/>
        </w:rPr>
        <w:t>а</w:t>
      </w:r>
      <w:r>
        <w:rPr>
          <w:i/>
        </w:rPr>
        <w:t>ется, что реализация плана “Работа по обеспечению занятости” прив</w:t>
      </w:r>
      <w:r>
        <w:rPr>
          <w:i/>
        </w:rPr>
        <w:t>е</w:t>
      </w:r>
      <w:r>
        <w:rPr>
          <w:i/>
        </w:rPr>
        <w:t>дет к тому, что женщины будут более активно пользоваться возможн</w:t>
      </w:r>
      <w:r>
        <w:rPr>
          <w:i/>
        </w:rPr>
        <w:t>о</w:t>
      </w:r>
      <w:r>
        <w:rPr>
          <w:i/>
        </w:rPr>
        <w:t>стями для прохождения обучения. В рамках этих мер также предприн</w:t>
      </w:r>
      <w:r>
        <w:rPr>
          <w:i/>
        </w:rPr>
        <w:t>и</w:t>
      </w:r>
      <w:r>
        <w:rPr>
          <w:i/>
        </w:rPr>
        <w:t>маются усилия к тому, чтобы услуги детских дошкольных учреждений стали более доступными. Кроме того, в законопроекте “Работа по обе</w:t>
      </w:r>
      <w:r>
        <w:rPr>
          <w:i/>
        </w:rPr>
        <w:t>с</w:t>
      </w:r>
      <w:r>
        <w:rPr>
          <w:i/>
        </w:rPr>
        <w:t>печению занятости” “семейные обязанности” учитываются в рамках более комплексного подхода к социальному развитию (более подробная информация приведена в “Статье 11: Занятость”, стр. 118, и в “Ст</w:t>
      </w:r>
      <w:r>
        <w:rPr>
          <w:i/>
        </w:rPr>
        <w:t>а</w:t>
      </w:r>
      <w:r>
        <w:rPr>
          <w:i/>
        </w:rPr>
        <w:t>тье 13:Экономическая и социал</w:t>
      </w:r>
      <w:r>
        <w:rPr>
          <w:i/>
        </w:rPr>
        <w:t>ь</w:t>
      </w:r>
      <w:r>
        <w:rPr>
          <w:i/>
        </w:rPr>
        <w:t>ная жизнь”, стр. 159).</w:t>
      </w:r>
    </w:p>
    <w:p w:rsidR="00000000" w:rsidRDefault="00000000">
      <w:pPr>
        <w:pStyle w:val="H1"/>
      </w:pPr>
      <w:r>
        <w:t>Услуги по уходу на дому</w:t>
      </w:r>
    </w:p>
    <w:p w:rsidR="00000000" w:rsidRDefault="00000000">
      <w:pPr>
        <w:pStyle w:val="SingleTxt"/>
      </w:pPr>
      <w:r>
        <w:t>Женщины были обеспокоены условиями занятости многих женщин, ок</w:t>
      </w:r>
      <w:r>
        <w:t>а</w:t>
      </w:r>
      <w:r>
        <w:t>зывающих услуги по уходу на дому, и тем влиянием, которое они могли оказать на положение тех, кто пользуется их услугами, в ч</w:t>
      </w:r>
      <w:r>
        <w:t>а</w:t>
      </w:r>
      <w:r>
        <w:t>стности:</w:t>
      </w:r>
    </w:p>
    <w:p w:rsidR="00000000" w:rsidRDefault="00000000">
      <w:pPr>
        <w:pStyle w:val="dot"/>
      </w:pPr>
      <w:r>
        <w:tab/>
      </w:r>
      <w:r>
        <w:tab/>
        <w:t>•</w:t>
      </w:r>
      <w:r>
        <w:tab/>
        <w:t>отсутствием поддержки для тех, кто оказывает услуги по уходу на дому бесплатно, а также признания их ст</w:t>
      </w:r>
      <w:r>
        <w:t>а</w:t>
      </w:r>
      <w:r>
        <w:t>туса;</w:t>
      </w:r>
    </w:p>
    <w:p w:rsidR="00000000" w:rsidRDefault="00000000">
      <w:pPr>
        <w:pStyle w:val="dot"/>
      </w:pPr>
      <w:r>
        <w:tab/>
      </w:r>
      <w:r>
        <w:tab/>
        <w:t>•</w:t>
      </w:r>
      <w:r>
        <w:tab/>
        <w:t>содержанием контрактов о платном оказании услуг по уходу на дому, о</w:t>
      </w:r>
      <w:r>
        <w:t>т</w:t>
      </w:r>
      <w:r>
        <w:t>личающихся высокой степенью детализации, не охватывающих расходов на проезд и не включающих перечень всех функций, которые могут в</w:t>
      </w:r>
      <w:r>
        <w:t>ы</w:t>
      </w:r>
      <w:r>
        <w:t>полняться в ходе работы, а также влиянием этих факторов на низкий ур</w:t>
      </w:r>
      <w:r>
        <w:t>о</w:t>
      </w:r>
      <w:r>
        <w:t>вень оплаты труда соответствующих рабо</w:t>
      </w:r>
      <w:r>
        <w:t>т</w:t>
      </w:r>
      <w:r>
        <w:t>ников;</w:t>
      </w:r>
    </w:p>
    <w:p w:rsidR="00000000" w:rsidRDefault="00000000">
      <w:pPr>
        <w:pStyle w:val="dot"/>
      </w:pPr>
      <w:r>
        <w:tab/>
      </w:r>
      <w:r>
        <w:tab/>
        <w:t>•</w:t>
      </w:r>
      <w:r>
        <w:tab/>
        <w:t>профессиональной сегрегацией в этой сфере занятости, где доминируют женщины, в результате чего она является малопрестижной и низкооплач</w:t>
      </w:r>
      <w:r>
        <w:t>и</w:t>
      </w:r>
      <w:r>
        <w:t>ва</w:t>
      </w:r>
      <w:r>
        <w:t>е</w:t>
      </w:r>
      <w:r>
        <w:t>мой;</w:t>
      </w:r>
    </w:p>
    <w:p w:rsidR="00000000" w:rsidRDefault="00000000">
      <w:pPr>
        <w:pStyle w:val="dot"/>
      </w:pPr>
      <w:r>
        <w:tab/>
      </w:r>
      <w:r>
        <w:tab/>
        <w:t>•</w:t>
      </w:r>
      <w:r>
        <w:tab/>
        <w:t>непризнанием того факта, что услуги по уходу оказывают как инвалиды, так и люди, таковыми не являющи</w:t>
      </w:r>
      <w:r>
        <w:t>е</w:t>
      </w:r>
      <w:r>
        <w:t>ся.</w:t>
      </w:r>
    </w:p>
    <w:p w:rsidR="00000000" w:rsidRDefault="00000000">
      <w:pPr>
        <w:pStyle w:val="SingleTxt"/>
      </w:pPr>
      <w:r>
        <w:t>Для решения этих проблем, вызывающих их обеспокоенность, женщины предлож</w:t>
      </w:r>
      <w:r>
        <w:t>и</w:t>
      </w:r>
      <w:r>
        <w:t>ли следующие шаги:</w:t>
      </w:r>
    </w:p>
    <w:p w:rsidR="00000000" w:rsidRDefault="00000000">
      <w:pPr>
        <w:pStyle w:val="dot"/>
      </w:pPr>
      <w:r>
        <w:tab/>
      </w:r>
      <w:r>
        <w:tab/>
        <w:t>•</w:t>
      </w:r>
      <w:r>
        <w:tab/>
        <w:t>в контракты об оказании услуг по уходу на дому следует включить пункт об оплате расходов на проезд;</w:t>
      </w:r>
    </w:p>
    <w:p w:rsidR="00000000" w:rsidRDefault="00000000">
      <w:pPr>
        <w:pStyle w:val="dot"/>
      </w:pPr>
      <w:r>
        <w:tab/>
      </w:r>
      <w:r>
        <w:tab/>
        <w:t>•</w:t>
      </w:r>
      <w:r>
        <w:tab/>
        <w:t>в законодательство по вопросам занятости следует включить минимал</w:t>
      </w:r>
      <w:r>
        <w:t>ь</w:t>
      </w:r>
      <w:r>
        <w:t>ные стандарты, касающиеся как качества предоставляемых услуг по ух</w:t>
      </w:r>
      <w:r>
        <w:t>о</w:t>
      </w:r>
      <w:r>
        <w:t>ду, так и качества усл</w:t>
      </w:r>
      <w:r>
        <w:t>о</w:t>
      </w:r>
      <w:r>
        <w:t>вий занятости;</w:t>
      </w:r>
    </w:p>
    <w:p w:rsidR="00000000" w:rsidRDefault="00000000">
      <w:pPr>
        <w:pStyle w:val="dot"/>
      </w:pPr>
      <w:r>
        <w:tab/>
      </w:r>
      <w:r>
        <w:tab/>
        <w:t>•</w:t>
      </w:r>
      <w:r>
        <w:tab/>
        <w:t>следует выделить финансовые средства на программы обучения оказанию у</w:t>
      </w:r>
      <w:r>
        <w:t>с</w:t>
      </w:r>
      <w:r>
        <w:t>луг по уходу на дому;</w:t>
      </w:r>
    </w:p>
    <w:p w:rsidR="00000000" w:rsidRDefault="00000000">
      <w:pPr>
        <w:pStyle w:val="dot"/>
      </w:pPr>
      <w:r>
        <w:tab/>
      </w:r>
      <w:r>
        <w:tab/>
        <w:t>•</w:t>
      </w:r>
      <w:r>
        <w:tab/>
        <w:t>в руководящих принципах охраны труда и здоровья на производстве сл</w:t>
      </w:r>
      <w:r>
        <w:t>е</w:t>
      </w:r>
      <w:r>
        <w:t>дует учесть особенн</w:t>
      </w:r>
      <w:r>
        <w:t>о</w:t>
      </w:r>
      <w:r>
        <w:t>сти работы в том или ином частном доме;</w:t>
      </w:r>
    </w:p>
    <w:p w:rsidR="00000000" w:rsidRDefault="00000000">
      <w:pPr>
        <w:pStyle w:val="dot"/>
      </w:pPr>
      <w:r>
        <w:tab/>
      </w:r>
      <w:r>
        <w:tab/>
        <w:t>•</w:t>
      </w:r>
      <w:r>
        <w:tab/>
        <w:t>всем правительственным учреждениям следует принять участие в скоо</w:t>
      </w:r>
      <w:r>
        <w:t>р</w:t>
      </w:r>
      <w:r>
        <w:t>динированном обзоре подходов к финансированию и заключению ко</w:t>
      </w:r>
      <w:r>
        <w:t>н</w:t>
      </w:r>
      <w:r>
        <w:t>трактов.</w:t>
      </w:r>
    </w:p>
    <w:p w:rsidR="00000000" w:rsidRDefault="00000000">
      <w:pPr>
        <w:pStyle w:val="H23"/>
      </w:pPr>
      <w:r>
        <w:t>Комментарий правительства</w:t>
      </w:r>
    </w:p>
    <w:p w:rsidR="00000000" w:rsidRDefault="00000000">
      <w:pPr>
        <w:pStyle w:val="SingleTxt"/>
        <w:ind w:left="1740" w:hanging="476"/>
        <w:rPr>
          <w:i/>
        </w:rPr>
      </w:pPr>
      <w:r>
        <w:rPr>
          <w:i/>
        </w:rPr>
        <w:tab/>
      </w:r>
      <w:r>
        <w:rPr>
          <w:i/>
        </w:rPr>
        <w:tab/>
        <w:t>Министерство здравоохранения предприняло ряд шагов для решения пр</w:t>
      </w:r>
      <w:r>
        <w:rPr>
          <w:i/>
        </w:rPr>
        <w:t>о</w:t>
      </w:r>
      <w:r>
        <w:rPr>
          <w:i/>
        </w:rPr>
        <w:t>блем, связанных с положением тех, кто оказывает услуги по уходу на д</w:t>
      </w:r>
      <w:r>
        <w:rPr>
          <w:i/>
        </w:rPr>
        <w:t>о</w:t>
      </w:r>
      <w:r>
        <w:rPr>
          <w:i/>
        </w:rPr>
        <w:t>му, включая уточнение перечней услуг по уходу на дому, куда следует включить упоминание об обучении персонала, надзоре и контроле.</w:t>
      </w:r>
    </w:p>
    <w:p w:rsidR="00000000" w:rsidRDefault="00000000">
      <w:pPr>
        <w:pStyle w:val="SingleTxt"/>
        <w:ind w:left="1740" w:hanging="476"/>
        <w:rPr>
          <w:i/>
        </w:rPr>
      </w:pPr>
      <w:r>
        <w:rPr>
          <w:i/>
        </w:rPr>
        <w:tab/>
      </w:r>
      <w:r>
        <w:rPr>
          <w:i/>
        </w:rPr>
        <w:tab/>
        <w:t>Стратегия Новой Зеландии в области инвалидности (НЗДС) была прин</w:t>
      </w:r>
      <w:r>
        <w:rPr>
          <w:i/>
        </w:rPr>
        <w:t>я</w:t>
      </w:r>
      <w:r>
        <w:rPr>
          <w:i/>
        </w:rPr>
        <w:t>та в апреле 2001 года и представляет собой долгосрочный план превр</w:t>
      </w:r>
      <w:r>
        <w:rPr>
          <w:i/>
        </w:rPr>
        <w:t>а</w:t>
      </w:r>
      <w:r>
        <w:rPr>
          <w:i/>
        </w:rPr>
        <w:t>щения новозеландского общества в общество равных возможностей для всех. НЗДС является межсекторальным документом, в котором излаг</w:t>
      </w:r>
      <w:r>
        <w:rPr>
          <w:i/>
        </w:rPr>
        <w:t>а</w:t>
      </w:r>
      <w:r>
        <w:rPr>
          <w:i/>
        </w:rPr>
        <w:t>ются 15 целей в таких областях, как, например, права человека, социал</w:t>
      </w:r>
      <w:r>
        <w:rPr>
          <w:i/>
        </w:rPr>
        <w:t>ь</w:t>
      </w:r>
      <w:r>
        <w:rPr>
          <w:i/>
        </w:rPr>
        <w:t>ные взгляды, образование и занятость, отдых и образ жизни, информ</w:t>
      </w:r>
      <w:r>
        <w:rPr>
          <w:i/>
        </w:rPr>
        <w:t>а</w:t>
      </w:r>
      <w:r>
        <w:rPr>
          <w:i/>
        </w:rPr>
        <w:t>ция, общественные услуги и системы поддержки. Кроме того, она закл</w:t>
      </w:r>
      <w:r>
        <w:rPr>
          <w:i/>
        </w:rPr>
        <w:t>а</w:t>
      </w:r>
      <w:r>
        <w:rPr>
          <w:i/>
        </w:rPr>
        <w:t>дывает основу, обеспечивающую учет интересов инвалидов министерс</w:t>
      </w:r>
      <w:r>
        <w:rPr>
          <w:i/>
        </w:rPr>
        <w:t>т</w:t>
      </w:r>
      <w:r>
        <w:rPr>
          <w:i/>
        </w:rPr>
        <w:t>вами и другими правительственными ведомствами до принятия тех или иных решений (более подробная информация приведена в “Ст</w:t>
      </w:r>
      <w:r>
        <w:rPr>
          <w:i/>
        </w:rPr>
        <w:t>а</w:t>
      </w:r>
      <w:r>
        <w:rPr>
          <w:i/>
        </w:rPr>
        <w:t>тье 3:Развитие и улучшение положения же</w:t>
      </w:r>
      <w:r>
        <w:rPr>
          <w:i/>
        </w:rPr>
        <w:t>н</w:t>
      </w:r>
      <w:r>
        <w:rPr>
          <w:i/>
        </w:rPr>
        <w:t>щин”, стр. 48-49).</w:t>
      </w:r>
    </w:p>
    <w:p w:rsidR="00000000" w:rsidRDefault="00000000">
      <w:pPr>
        <w:pStyle w:val="SingleTxt"/>
        <w:ind w:left="1740" w:hanging="476"/>
        <w:rPr>
          <w:i/>
        </w:rPr>
      </w:pPr>
      <w:r>
        <w:rPr>
          <w:i/>
        </w:rPr>
        <w:tab/>
      </w:r>
      <w:r>
        <w:rPr>
          <w:i/>
        </w:rPr>
        <w:tab/>
        <w:t>В июле 2002 года МДЖ обнародовало аналитический документ, каса</w:t>
      </w:r>
      <w:r>
        <w:rPr>
          <w:i/>
        </w:rPr>
        <w:t>ю</w:t>
      </w:r>
      <w:r>
        <w:rPr>
          <w:i/>
        </w:rPr>
        <w:t>щийся вопроса равной оплаты за труд равной ценности, для публичных консультаций, которые должны закончиться к ноябрю 2002 года (более подробная информация приведена в “Статье 11: Занятость”, стр. 114-115).</w:t>
      </w:r>
    </w:p>
    <w:p w:rsidR="00000000" w:rsidRDefault="00000000">
      <w:pPr>
        <w:pStyle w:val="H1"/>
      </w:pPr>
      <w:r>
        <w:t>Здравоохранение</w:t>
      </w:r>
    </w:p>
    <w:p w:rsidR="00000000" w:rsidRDefault="00000000">
      <w:pPr>
        <w:pStyle w:val="SingleTxt"/>
      </w:pPr>
      <w:r>
        <w:t>Женщины были обеспокоены гендерным неравенством в секторе здрав</w:t>
      </w:r>
      <w:r>
        <w:t>о</w:t>
      </w:r>
      <w:r>
        <w:t>охранения и, в частности:</w:t>
      </w:r>
    </w:p>
    <w:p w:rsidR="00000000" w:rsidRDefault="00000000">
      <w:pPr>
        <w:pStyle w:val="dot"/>
      </w:pPr>
      <w:r>
        <w:tab/>
      </w:r>
      <w:r>
        <w:tab/>
        <w:t>•</w:t>
      </w:r>
      <w:r>
        <w:tab/>
        <w:t>отсутствием доступной информации о сексуальном и репродуктивном здоровье, а также пр</w:t>
      </w:r>
      <w:r>
        <w:t>о</w:t>
      </w:r>
      <w:r>
        <w:t>грамм обучения по этим вопросам;</w:t>
      </w:r>
    </w:p>
    <w:p w:rsidR="00000000" w:rsidRDefault="00000000">
      <w:pPr>
        <w:pStyle w:val="dot"/>
      </w:pPr>
      <w:r>
        <w:tab/>
      </w:r>
      <w:r>
        <w:tab/>
        <w:t>•</w:t>
      </w:r>
      <w:r>
        <w:tab/>
        <w:t>отсутствием у молодых женщин представления об их долгосрочной фе</w:t>
      </w:r>
      <w:r>
        <w:t>р</w:t>
      </w:r>
      <w:r>
        <w:t>тильности, например, о воздействии передающихся половым путем и</w:t>
      </w:r>
      <w:r>
        <w:t>н</w:t>
      </w:r>
      <w:r>
        <w:t>фекций на фертильность и о особенностях беременности в более старшем возра</w:t>
      </w:r>
      <w:r>
        <w:t>с</w:t>
      </w:r>
      <w:r>
        <w:t>те;</w:t>
      </w:r>
    </w:p>
    <w:p w:rsidR="00000000" w:rsidRDefault="00000000">
      <w:pPr>
        <w:pStyle w:val="dot"/>
      </w:pPr>
      <w:r>
        <w:tab/>
      </w:r>
      <w:r>
        <w:tab/>
        <w:t>•</w:t>
      </w:r>
      <w:r>
        <w:tab/>
        <w:t>отсутствием ответственного подхода со стороны мужчин к вопросам се</w:t>
      </w:r>
      <w:r>
        <w:t>к</w:t>
      </w:r>
      <w:r>
        <w:t>суального и репродуктивного здор</w:t>
      </w:r>
      <w:r>
        <w:t>о</w:t>
      </w:r>
      <w:r>
        <w:t>вья;</w:t>
      </w:r>
    </w:p>
    <w:p w:rsidR="00000000" w:rsidRDefault="00000000">
      <w:pPr>
        <w:pStyle w:val="dot"/>
      </w:pPr>
      <w:r>
        <w:tab/>
      </w:r>
      <w:r>
        <w:tab/>
        <w:t>•</w:t>
      </w:r>
      <w:r>
        <w:tab/>
        <w:t>воздействием процессов феминизации нищеты на состояние здоровья н</w:t>
      </w:r>
      <w:r>
        <w:t>а</w:t>
      </w:r>
      <w:r>
        <w:t>сел</w:t>
      </w:r>
      <w:r>
        <w:t>е</w:t>
      </w:r>
      <w:r>
        <w:t>ния;</w:t>
      </w:r>
    </w:p>
    <w:p w:rsidR="00000000" w:rsidRDefault="00000000">
      <w:pPr>
        <w:pStyle w:val="dot"/>
      </w:pPr>
      <w:r>
        <w:tab/>
      </w:r>
      <w:r>
        <w:tab/>
        <w:t>•</w:t>
      </w:r>
      <w:r>
        <w:tab/>
        <w:t>широким распространением эндометриоза у женщин;</w:t>
      </w:r>
    </w:p>
    <w:p w:rsidR="00000000" w:rsidRDefault="00000000">
      <w:pPr>
        <w:pStyle w:val="dot"/>
      </w:pPr>
      <w:r>
        <w:tab/>
      </w:r>
      <w:r>
        <w:tab/>
        <w:t>•</w:t>
      </w:r>
      <w:r>
        <w:tab/>
        <w:t>насильственной стерилизацией, в частности, женщин-инвалидов, а также поощрением стер</w:t>
      </w:r>
      <w:r>
        <w:t>и</w:t>
      </w:r>
      <w:r>
        <w:t>лизации женщин в бедных общинах.</w:t>
      </w:r>
    </w:p>
    <w:p w:rsidR="00000000" w:rsidRDefault="00000000">
      <w:pPr>
        <w:pStyle w:val="SingleTxt"/>
      </w:pPr>
      <w:r>
        <w:t>Для решения этих проблем, вызывающих их обеспокоенность, женщины предлож</w:t>
      </w:r>
      <w:r>
        <w:t>и</w:t>
      </w:r>
      <w:r>
        <w:t>ли следующие меры:</w:t>
      </w:r>
    </w:p>
    <w:p w:rsidR="00000000" w:rsidRDefault="00000000">
      <w:pPr>
        <w:pStyle w:val="dot"/>
      </w:pPr>
      <w:r>
        <w:tab/>
      </w:r>
      <w:r>
        <w:tab/>
        <w:t>•</w:t>
      </w:r>
      <w:r>
        <w:tab/>
        <w:t>уделять больше внимания проблемам сексуального и репродуктивного здоровья посредс</w:t>
      </w:r>
      <w:r>
        <w:t>т</w:t>
      </w:r>
      <w:r>
        <w:t>вом:</w:t>
      </w:r>
    </w:p>
    <w:p w:rsidR="00000000" w:rsidRDefault="00000000">
      <w:pPr>
        <w:pStyle w:val="dot"/>
        <w:tabs>
          <w:tab w:val="clear" w:pos="2218"/>
        </w:tabs>
      </w:pPr>
      <w:r>
        <w:tab/>
      </w:r>
      <w:r>
        <w:tab/>
        <w:t>•</w:t>
      </w:r>
      <w:r>
        <w:tab/>
        <w:t>повышения информированности общественности о вопросах, связанных с охраной здоровья женщин, и о деятельности соответствующих организ</w:t>
      </w:r>
      <w:r>
        <w:t>а</w:t>
      </w:r>
      <w:r>
        <w:t>ций посредством эффективной рекламной кампании и показа докуме</w:t>
      </w:r>
      <w:r>
        <w:t>н</w:t>
      </w:r>
      <w:r>
        <w:t>тальных фильмов, в том числе по телевидению в то время, когда его ауд</w:t>
      </w:r>
      <w:r>
        <w:t>и</w:t>
      </w:r>
      <w:r>
        <w:t>тория я</w:t>
      </w:r>
      <w:r>
        <w:t>в</w:t>
      </w:r>
      <w:r>
        <w:t>ляется максимальной;</w:t>
      </w:r>
    </w:p>
    <w:p w:rsidR="00000000" w:rsidRDefault="00000000">
      <w:pPr>
        <w:pStyle w:val="dot"/>
        <w:tabs>
          <w:tab w:val="clear" w:pos="2218"/>
        </w:tabs>
      </w:pPr>
      <w:r>
        <w:tab/>
      </w:r>
      <w:r>
        <w:tab/>
        <w:t>•</w:t>
      </w:r>
      <w:r>
        <w:tab/>
        <w:t>обеспечения всех молодых женщин доступной информацией по вопросам, связанным с долгосрочной фертильностью, и организация соответству</w:t>
      </w:r>
      <w:r>
        <w:t>ю</w:t>
      </w:r>
      <w:r>
        <w:t>щего обучения;</w:t>
      </w:r>
    </w:p>
    <w:p w:rsidR="00000000" w:rsidRDefault="00000000">
      <w:pPr>
        <w:pStyle w:val="dot"/>
      </w:pPr>
      <w:r>
        <w:tab/>
      </w:r>
      <w:r>
        <w:tab/>
        <w:t>•</w:t>
      </w:r>
      <w:r>
        <w:tab/>
        <w:t>переориентировать внимание служб здравоохранения на молодых женщин без вредных пр</w:t>
      </w:r>
      <w:r>
        <w:t>и</w:t>
      </w:r>
      <w:r>
        <w:t>вычек;</w:t>
      </w:r>
    </w:p>
    <w:p w:rsidR="00000000" w:rsidRDefault="00000000">
      <w:pPr>
        <w:pStyle w:val="dot"/>
      </w:pPr>
      <w:r>
        <w:tab/>
      </w:r>
      <w:r>
        <w:tab/>
        <w:t>•</w:t>
      </w:r>
      <w:r>
        <w:tab/>
        <w:t>привлекать молодых мужчин к участию во всех вышеперечисленных м</w:t>
      </w:r>
      <w:r>
        <w:t>е</w:t>
      </w:r>
      <w:r>
        <w:t>роприятиях.</w:t>
      </w:r>
    </w:p>
    <w:p w:rsidR="00000000" w:rsidRDefault="00000000">
      <w:pPr>
        <w:pStyle w:val="H23"/>
      </w:pPr>
      <w:r>
        <w:t>Комментарий правительства</w:t>
      </w:r>
    </w:p>
    <w:p w:rsidR="00000000" w:rsidRDefault="00000000">
      <w:pPr>
        <w:pStyle w:val="new"/>
      </w:pPr>
      <w:r>
        <w:tab/>
      </w:r>
      <w:r>
        <w:tab/>
        <w:t>В октябре 2001 года правительство обнародовало документ под назван</w:t>
      </w:r>
      <w:r>
        <w:t>и</w:t>
      </w:r>
      <w:r>
        <w:t>ем “Первый этап реализации стратегии в области сексуального и репр</w:t>
      </w:r>
      <w:r>
        <w:t>о</w:t>
      </w:r>
      <w:r>
        <w:t>дуктивного здоровья”. Эта стратегия предусматривает основные н</w:t>
      </w:r>
      <w:r>
        <w:t>а</w:t>
      </w:r>
      <w:r>
        <w:t>правления деятельности в целях улучшения состояния сексуального и р</w:t>
      </w:r>
      <w:r>
        <w:t>е</w:t>
      </w:r>
      <w:r>
        <w:t>продуктивного здоровья в Новой Зеландии. “Первый этап” предусматр</w:t>
      </w:r>
      <w:r>
        <w:t>и</w:t>
      </w:r>
      <w:r>
        <w:t>вает руководящие принципы и основные направления деятельности в рамках планов действий, направленных на решение ключевых вопросов, в том числе связанных с передающимися половым путем инфекциями и н</w:t>
      </w:r>
      <w:r>
        <w:t>е</w:t>
      </w:r>
      <w:r>
        <w:t>желательной/незапланированной беременностью. “Второй этап” этой стратегии предусматривает разработку планов действий в целях борьбы с передающимися половым путем инфекциями, включая ВИЧ/СПИД, а также предотвращения случаев нежелательной/незапланированной б</w:t>
      </w:r>
      <w:r>
        <w:t>е</w:t>
      </w:r>
      <w:r>
        <w:t>ременности, с уделением первоочередного внимания улучшению состояния здоровья молодежи, а также представителей народности маори и ж</w:t>
      </w:r>
      <w:r>
        <w:t>и</w:t>
      </w:r>
      <w:r>
        <w:t>телей Тихоокеанских островов (более подробная информация приведена в “Статье 12: Здравоохр</w:t>
      </w:r>
      <w:r>
        <w:t>а</w:t>
      </w:r>
      <w:r>
        <w:t>нение”, стр. 142).</w:t>
      </w:r>
    </w:p>
    <w:p w:rsidR="00000000" w:rsidRDefault="00000000">
      <w:pPr>
        <w:pStyle w:val="H1"/>
      </w:pPr>
      <w:r>
        <w:t>Насилие</w:t>
      </w:r>
    </w:p>
    <w:p w:rsidR="00000000" w:rsidRDefault="00000000">
      <w:pPr>
        <w:pStyle w:val="SingleTxt"/>
      </w:pPr>
      <w:r>
        <w:t>Женщины были обеспокоены уровнем насилия в Новой Зеландии, об</w:t>
      </w:r>
      <w:r>
        <w:t>у</w:t>
      </w:r>
      <w:r>
        <w:t>словленного гендерными факторами, в ч</w:t>
      </w:r>
      <w:r>
        <w:t>а</w:t>
      </w:r>
      <w:r>
        <w:t>стности:</w:t>
      </w:r>
    </w:p>
    <w:p w:rsidR="00000000" w:rsidRDefault="00000000">
      <w:pPr>
        <w:pStyle w:val="dot"/>
      </w:pPr>
      <w:r>
        <w:tab/>
      </w:r>
      <w:r>
        <w:tab/>
        <w:t>•</w:t>
      </w:r>
      <w:r>
        <w:tab/>
        <w:t>сложившимся в обществе подходом, согласно которому первоочередное внимание по-прежнему уделяется поведению женщин, ставших жертвами изнасилования и сексуального насилия, например, средства массовой и</w:t>
      </w:r>
      <w:r>
        <w:t>н</w:t>
      </w:r>
      <w:r>
        <w:t>формации уделяют первоочередное внимание проблеме изнасилования молодых женщин после употребления ими алкоголя, а не особенностям пов</w:t>
      </w:r>
      <w:r>
        <w:t>е</w:t>
      </w:r>
      <w:r>
        <w:t>дения мужчин по отношению к женщинам;</w:t>
      </w:r>
    </w:p>
    <w:p w:rsidR="00000000" w:rsidRDefault="00000000">
      <w:pPr>
        <w:pStyle w:val="dot"/>
      </w:pPr>
      <w:r>
        <w:tab/>
      </w:r>
      <w:r>
        <w:tab/>
        <w:t>•</w:t>
      </w:r>
      <w:r>
        <w:tab/>
        <w:t>уровнем финансирования служб и организаций, занимающихся оказанием п</w:t>
      </w:r>
      <w:r>
        <w:t>о</w:t>
      </w:r>
      <w:r>
        <w:t>мощи;</w:t>
      </w:r>
    </w:p>
    <w:p w:rsidR="00000000" w:rsidRDefault="00000000">
      <w:pPr>
        <w:pStyle w:val="dot"/>
      </w:pPr>
      <w:r>
        <w:tab/>
      </w:r>
      <w:r>
        <w:tab/>
        <w:t>•</w:t>
      </w:r>
      <w:r>
        <w:tab/>
        <w:t>взаимосвязью между насилием и экономической зависимостью;</w:t>
      </w:r>
    </w:p>
    <w:p w:rsidR="00000000" w:rsidRDefault="00000000">
      <w:pPr>
        <w:pStyle w:val="dot"/>
      </w:pPr>
      <w:r>
        <w:tab/>
      </w:r>
      <w:r>
        <w:tab/>
        <w:t>•</w:t>
      </w:r>
      <w:r>
        <w:tab/>
        <w:t>активностью полиции в том, что касается реагирования на случаи насилия в семье, в частн</w:t>
      </w:r>
      <w:r>
        <w:t>о</w:t>
      </w:r>
      <w:r>
        <w:t>сти, в сельских районах;</w:t>
      </w:r>
    </w:p>
    <w:p w:rsidR="00000000" w:rsidRDefault="00000000">
      <w:pPr>
        <w:pStyle w:val="dot"/>
      </w:pPr>
      <w:r>
        <w:tab/>
      </w:r>
      <w:r>
        <w:tab/>
        <w:t>•</w:t>
      </w:r>
      <w:r>
        <w:tab/>
        <w:t>отсутствием должного внимания со стороны полиции к проблеме насилия, сове</w:t>
      </w:r>
      <w:r>
        <w:t>р</w:t>
      </w:r>
      <w:r>
        <w:t>шаемого членами семьи, а не посторонними лицами;</w:t>
      </w:r>
    </w:p>
    <w:p w:rsidR="00000000" w:rsidRDefault="00000000">
      <w:pPr>
        <w:pStyle w:val="dot"/>
      </w:pPr>
      <w:r>
        <w:tab/>
      </w:r>
      <w:r>
        <w:tab/>
        <w:t>•</w:t>
      </w:r>
      <w:r>
        <w:tab/>
        <w:t>насилием в отношении инвалидов и пожилых людей со стороны лиц, ос</w:t>
      </w:r>
      <w:r>
        <w:t>у</w:t>
      </w:r>
      <w:r>
        <w:t>ществляющих уход за ними, а также в учреждениях, где они содержа</w:t>
      </w:r>
      <w:r>
        <w:t>т</w:t>
      </w:r>
      <w:r>
        <w:t>ся;</w:t>
      </w:r>
    </w:p>
    <w:p w:rsidR="00000000" w:rsidRDefault="00000000">
      <w:pPr>
        <w:pStyle w:val="dot"/>
      </w:pPr>
      <w:r>
        <w:tab/>
      </w:r>
      <w:r>
        <w:tab/>
        <w:t>•</w:t>
      </w:r>
      <w:r>
        <w:tab/>
        <w:t>финансовыми затратами, которые несут женщины в тех случаях, когда им необходимо пол</w:t>
      </w:r>
      <w:r>
        <w:t>у</w:t>
      </w:r>
      <w:r>
        <w:t>чить предписание об обеспечении защиты.</w:t>
      </w:r>
    </w:p>
    <w:p w:rsidR="00000000" w:rsidRDefault="00000000">
      <w:pPr>
        <w:pStyle w:val="SingleTxt"/>
      </w:pPr>
      <w:r>
        <w:t>Для решения проблемы насилия в отношении женщин были предложены следующие шаги:</w:t>
      </w:r>
    </w:p>
    <w:p w:rsidR="00000000" w:rsidRDefault="00000000">
      <w:pPr>
        <w:pStyle w:val="dot"/>
      </w:pPr>
      <w:r>
        <w:tab/>
      </w:r>
      <w:r>
        <w:tab/>
        <w:t>•</w:t>
      </w:r>
      <w:r>
        <w:tab/>
        <w:t>правительству следует заняться укреплением сектора НПО, включая ра</w:t>
      </w:r>
      <w:r>
        <w:t>с</w:t>
      </w:r>
      <w:r>
        <w:t>ширение финансирования, а также действовать совместно с НПО в целях сокращения ма</w:t>
      </w:r>
      <w:r>
        <w:t>с</w:t>
      </w:r>
      <w:r>
        <w:t>штабов насилия в отношении женщин;</w:t>
      </w:r>
    </w:p>
    <w:p w:rsidR="00000000" w:rsidRDefault="00000000">
      <w:pPr>
        <w:pStyle w:val="dot"/>
      </w:pPr>
      <w:r>
        <w:tab/>
      </w:r>
      <w:r>
        <w:tab/>
        <w:t>•</w:t>
      </w:r>
      <w:r>
        <w:tab/>
        <w:t>следует провести анализ в целях определения коренных причин насилия для соответствующего изменения социальной ситуации, а не поиска р</w:t>
      </w:r>
      <w:r>
        <w:t>е</w:t>
      </w:r>
      <w:r>
        <w:t>шений, направленных на ликвидацию уже во</w:t>
      </w:r>
      <w:r>
        <w:t>з</w:t>
      </w:r>
      <w:r>
        <w:t>никших последствий;</w:t>
      </w:r>
    </w:p>
    <w:p w:rsidR="00000000" w:rsidRDefault="00000000">
      <w:pPr>
        <w:pStyle w:val="dot"/>
      </w:pPr>
      <w:r>
        <w:tab/>
      </w:r>
      <w:r>
        <w:tab/>
        <w:t>•</w:t>
      </w:r>
      <w:r>
        <w:tab/>
        <w:t>МДЖ следует заняться решением этих проблем в рамках выполнения св</w:t>
      </w:r>
      <w:r>
        <w:t>о</w:t>
      </w:r>
      <w:r>
        <w:t>их фун</w:t>
      </w:r>
      <w:r>
        <w:t>к</w:t>
      </w:r>
      <w:r>
        <w:t>ций;</w:t>
      </w:r>
    </w:p>
    <w:p w:rsidR="00000000" w:rsidRDefault="00000000">
      <w:pPr>
        <w:pStyle w:val="dot"/>
      </w:pPr>
      <w:r>
        <w:tab/>
      </w:r>
      <w:r>
        <w:tab/>
        <w:t>•</w:t>
      </w:r>
      <w:r>
        <w:tab/>
        <w:t>следует добиться успеха в реализации “</w:t>
      </w:r>
      <w:r>
        <w:rPr>
          <w:i/>
        </w:rPr>
        <w:t>Те Рито: Стратегии Новой З</w:t>
      </w:r>
      <w:r>
        <w:rPr>
          <w:i/>
        </w:rPr>
        <w:t>е</w:t>
      </w:r>
      <w:r>
        <w:rPr>
          <w:i/>
        </w:rPr>
        <w:t>ландии в области предотвращения н</w:t>
      </w:r>
      <w:r>
        <w:rPr>
          <w:i/>
        </w:rPr>
        <w:t>а</w:t>
      </w:r>
      <w:r>
        <w:rPr>
          <w:i/>
        </w:rPr>
        <w:t>силия в семье</w:t>
      </w:r>
      <w:r>
        <w:t>”;</w:t>
      </w:r>
    </w:p>
    <w:p w:rsidR="00000000" w:rsidRDefault="00000000">
      <w:pPr>
        <w:pStyle w:val="dot"/>
      </w:pPr>
      <w:r>
        <w:tab/>
      </w:r>
      <w:r>
        <w:tab/>
        <w:t>•</w:t>
      </w:r>
      <w:r>
        <w:tab/>
        <w:t>следует восстановить курс подготовки по вопросам насилия в семье в п</w:t>
      </w:r>
      <w:r>
        <w:t>о</w:t>
      </w:r>
      <w:r>
        <w:t>л</w:t>
      </w:r>
      <w:r>
        <w:t>и</w:t>
      </w:r>
      <w:r>
        <w:t>цейском колледже.</w:t>
      </w:r>
    </w:p>
    <w:p w:rsidR="00000000" w:rsidRDefault="00000000">
      <w:pPr>
        <w:pStyle w:val="H23"/>
      </w:pPr>
      <w:r>
        <w:t>Комментарий правительства</w:t>
      </w:r>
    </w:p>
    <w:p w:rsidR="00000000" w:rsidRDefault="00000000">
      <w:pPr>
        <w:pStyle w:val="new"/>
      </w:pPr>
      <w:r>
        <w:tab/>
      </w:r>
      <w:r>
        <w:tab/>
        <w:t>Реализация “Те Рито: Стратегии Новой Зеландии в области предотвр</w:t>
      </w:r>
      <w:r>
        <w:t>а</w:t>
      </w:r>
      <w:r>
        <w:t>щения насилия в семье” началась в марте 2002 года. В “Те Рито” изл</w:t>
      </w:r>
      <w:r>
        <w:t>а</w:t>
      </w:r>
      <w:r>
        <w:t>гаются ключевые цели и задачи правительства, принципы будущей де</w:t>
      </w:r>
      <w:r>
        <w:t>я</w:t>
      </w:r>
      <w:r>
        <w:t>тельности, а также пятилетний план осуществления в целях макс</w:t>
      </w:r>
      <w:r>
        <w:t>и</w:t>
      </w:r>
      <w:r>
        <w:t>мально полной реализации концепции семейных отношений, свободных от насилия. В ходе оценки осуществления Закона о насилии в семье был сд</w:t>
      </w:r>
      <w:r>
        <w:t>е</w:t>
      </w:r>
      <w:r>
        <w:t>лан вывод о том, что этот законодательный акт получил достаточно широкую поддержку. Разработанные в рамках этого закона программы также подвергаются оценке, а полученные к настоящему моменту р</w:t>
      </w:r>
      <w:r>
        <w:t>е</w:t>
      </w:r>
      <w:r>
        <w:t>зультаты показали, что эти программы эффективны в том, что кас</w:t>
      </w:r>
      <w:r>
        <w:t>а</w:t>
      </w:r>
      <w:r>
        <w:t>ется достижения целей этого закона. К июню 2003 года все вопросы, поднятые в процессе оценки и требующие изменения проводимой полит</w:t>
      </w:r>
      <w:r>
        <w:t>и</w:t>
      </w:r>
      <w:r>
        <w:t>ки и существующей практики, будут рассмотрены Министерством ю</w:t>
      </w:r>
      <w:r>
        <w:t>с</w:t>
      </w:r>
      <w:r>
        <w:t>тиции и Судебным департаментом (более подробная информация прив</w:t>
      </w:r>
      <w:r>
        <w:t>е</w:t>
      </w:r>
      <w:r>
        <w:t>дена в “Статье 16: Брак и семейная жизнь”, стр. 193-196).</w:t>
      </w:r>
    </w:p>
    <w:p w:rsidR="00000000" w:rsidRDefault="00000000">
      <w:pPr>
        <w:pStyle w:val="H1"/>
      </w:pPr>
      <w:r>
        <w:t>Образование</w:t>
      </w:r>
    </w:p>
    <w:p w:rsidR="00000000" w:rsidRDefault="00000000">
      <w:pPr>
        <w:pStyle w:val="SingleTxt"/>
      </w:pPr>
      <w:r>
        <w:t>Женщины были обеспокоены проблемами доступности образования для них, в час</w:t>
      </w:r>
      <w:r>
        <w:t>т</w:t>
      </w:r>
      <w:r>
        <w:t>ности:</w:t>
      </w:r>
    </w:p>
    <w:p w:rsidR="00000000" w:rsidRDefault="00000000">
      <w:pPr>
        <w:pStyle w:val="dot"/>
      </w:pPr>
      <w:r>
        <w:tab/>
      </w:r>
      <w:r>
        <w:tab/>
        <w:t>•</w:t>
      </w:r>
      <w:r>
        <w:tab/>
        <w:t>затратами на получение образования, в том числе скрытыми издержками на получение начального и среднего образования, теми, что связаны с программой выдачи ссуд студентам, а также затратами на получение вт</w:t>
      </w:r>
      <w:r>
        <w:t>о</w:t>
      </w:r>
      <w:r>
        <w:t>рого образования;</w:t>
      </w:r>
    </w:p>
    <w:p w:rsidR="00000000" w:rsidRDefault="00000000">
      <w:pPr>
        <w:pStyle w:val="dot"/>
      </w:pPr>
      <w:r>
        <w:tab/>
      </w:r>
      <w:r>
        <w:tab/>
        <w:t>•</w:t>
      </w:r>
      <w:r>
        <w:tab/>
        <w:t>отсутствием культурного многообразия и учета различий между культ</w:t>
      </w:r>
      <w:r>
        <w:t>у</w:t>
      </w:r>
      <w:r>
        <w:t>рами в рамках сист</w:t>
      </w:r>
      <w:r>
        <w:t>е</w:t>
      </w:r>
      <w:r>
        <w:t>мы образования;</w:t>
      </w:r>
    </w:p>
    <w:p w:rsidR="00000000" w:rsidRDefault="00000000">
      <w:pPr>
        <w:pStyle w:val="dot"/>
      </w:pPr>
      <w:r>
        <w:tab/>
      </w:r>
      <w:r>
        <w:tab/>
        <w:t>•</w:t>
      </w:r>
      <w:r>
        <w:tab/>
        <w:t>непризнанием результатов предыдущего самообразования;</w:t>
      </w:r>
    </w:p>
    <w:p w:rsidR="00000000" w:rsidRDefault="00000000">
      <w:pPr>
        <w:pStyle w:val="dot"/>
      </w:pPr>
      <w:r>
        <w:tab/>
      </w:r>
      <w:r>
        <w:tab/>
        <w:t>•</w:t>
      </w:r>
      <w:r>
        <w:tab/>
        <w:t>дифференцированным отношением к женщинам со стороны программы выдачи ссуд студе</w:t>
      </w:r>
      <w:r>
        <w:t>н</w:t>
      </w:r>
      <w:r>
        <w:t>там;</w:t>
      </w:r>
    </w:p>
    <w:p w:rsidR="00000000" w:rsidRDefault="00000000">
      <w:pPr>
        <w:pStyle w:val="dot"/>
      </w:pPr>
      <w:r>
        <w:tab/>
      </w:r>
      <w:r>
        <w:tab/>
        <w:t>•</w:t>
      </w:r>
      <w:r>
        <w:tab/>
        <w:t>игнорированием различий в потребностях женщин в образовании в тот или иной период жи</w:t>
      </w:r>
      <w:r>
        <w:t>з</w:t>
      </w:r>
      <w:r>
        <w:t>ни.</w:t>
      </w:r>
    </w:p>
    <w:p w:rsidR="00000000" w:rsidRDefault="00000000">
      <w:pPr>
        <w:pStyle w:val="SingleTxt"/>
      </w:pPr>
      <w:r>
        <w:t>Женщины предложили следующие шаги:</w:t>
      </w:r>
    </w:p>
    <w:p w:rsidR="00000000" w:rsidRDefault="00000000">
      <w:pPr>
        <w:pStyle w:val="dot"/>
      </w:pPr>
      <w:r>
        <w:tab/>
      </w:r>
      <w:r>
        <w:tab/>
        <w:t>•</w:t>
      </w:r>
      <w:r>
        <w:tab/>
        <w:t>следует признать разнообразные нужды женщин в рамках сектора дошк</w:t>
      </w:r>
      <w:r>
        <w:t>о</w:t>
      </w:r>
      <w:r>
        <w:t>льного о</w:t>
      </w:r>
      <w:r>
        <w:t>б</w:t>
      </w:r>
      <w:r>
        <w:t>разования;</w:t>
      </w:r>
    </w:p>
    <w:p w:rsidR="00000000" w:rsidRDefault="00000000">
      <w:pPr>
        <w:pStyle w:val="dot"/>
      </w:pPr>
      <w:r>
        <w:tab/>
      </w:r>
      <w:r>
        <w:tab/>
        <w:t>•</w:t>
      </w:r>
      <w:r>
        <w:tab/>
        <w:t>первоочередное внимание следует уделить непрерывному обучению, а не сохранению текущей системы, состоящей из дошкольного, начального, среднего и высшего образования.</w:t>
      </w:r>
    </w:p>
    <w:p w:rsidR="00000000" w:rsidRDefault="00000000">
      <w:pPr>
        <w:pStyle w:val="H23"/>
      </w:pPr>
      <w:r>
        <w:t>Комментарий правительства</w:t>
      </w:r>
    </w:p>
    <w:p w:rsidR="00000000" w:rsidRDefault="00000000">
      <w:pPr>
        <w:pStyle w:val="new"/>
      </w:pPr>
      <w:r>
        <w:tab/>
      </w:r>
      <w:r>
        <w:tab/>
        <w:t>Любое лицо, за исключением иностранных студентов, имеет право св</w:t>
      </w:r>
      <w:r>
        <w:t>о</w:t>
      </w:r>
      <w:r>
        <w:t>бодно быть зачисленным в любую государственную школу и свободно обучаться там в течение периода, начинающегося после достижения пятилетнего возраста и заканчивающегося ближайшего первого января после того, как этому лицу исполнится 19 лет. Государственные школы имеют право обращаться с просьбой о внесении пожертвований, но н</w:t>
      </w:r>
      <w:r>
        <w:t>и</w:t>
      </w:r>
      <w:r>
        <w:t>как не платы за обучение. Для некоторых семей финансовым барьером может оказаться плата за те или иные занятия или курсы, или же стоимость школьной формы. Во многих школах родители могут быть частично освобождены от этих расходов, однако в этих случаях прежде всего им следует обращаться к системе поддержания доходов (более подробная информация приведена в “Ст</w:t>
      </w:r>
      <w:r>
        <w:t>а</w:t>
      </w:r>
      <w:r>
        <w:t>тье 10: Образование”, стр. 84).</w:t>
      </w:r>
    </w:p>
    <w:p w:rsidR="00000000" w:rsidRDefault="00000000">
      <w:pPr>
        <w:pStyle w:val="new"/>
      </w:pPr>
      <w:r>
        <w:tab/>
      </w:r>
      <w:r>
        <w:tab/>
        <w:t>В целях сокращения расходов студентов на получение высшего образов</w:t>
      </w:r>
      <w:r>
        <w:t>а</w:t>
      </w:r>
      <w:r>
        <w:t>ния правительство предприняло ряд н</w:t>
      </w:r>
      <w:r>
        <w:t>о</w:t>
      </w:r>
      <w:r>
        <w:t>вых мер. Они включают:</w:t>
      </w:r>
    </w:p>
    <w:p w:rsidR="00000000" w:rsidRDefault="00000000">
      <w:pPr>
        <w:pStyle w:val="new"/>
        <w:tabs>
          <w:tab w:val="clear" w:pos="2218"/>
        </w:tabs>
        <w:ind w:left="1985" w:hanging="721"/>
      </w:pPr>
      <w:r>
        <w:tab/>
      </w:r>
      <w:r>
        <w:tab/>
        <w:t>•</w:t>
      </w:r>
      <w:r>
        <w:tab/>
        <w:t>обеспечение посредством проведения политики стабилизации платы обучения того, чтобы плата за получение высшего образования не пр</w:t>
      </w:r>
      <w:r>
        <w:t>е</w:t>
      </w:r>
      <w:r>
        <w:t>вышала размер, установле</w:t>
      </w:r>
      <w:r>
        <w:t>н</w:t>
      </w:r>
      <w:r>
        <w:t>ный в 2000 году;</w:t>
      </w:r>
    </w:p>
    <w:p w:rsidR="00000000" w:rsidRDefault="00000000">
      <w:pPr>
        <w:pStyle w:val="new"/>
        <w:tabs>
          <w:tab w:val="clear" w:pos="2218"/>
        </w:tabs>
        <w:ind w:left="1985" w:hanging="721"/>
      </w:pPr>
      <w:r>
        <w:tab/>
      </w:r>
      <w:r>
        <w:tab/>
        <w:t>•</w:t>
      </w:r>
      <w:r>
        <w:tab/>
        <w:t>предоставление студентам, обучающимся по дневной форме, а также малоимущим студентам, обучающимся по вечерней форме, беспр</w:t>
      </w:r>
      <w:r>
        <w:t>о</w:t>
      </w:r>
      <w:r>
        <w:t>центных ссуд;</w:t>
      </w:r>
    </w:p>
    <w:p w:rsidR="00000000" w:rsidRDefault="00000000">
      <w:pPr>
        <w:pStyle w:val="new"/>
        <w:tabs>
          <w:tab w:val="clear" w:pos="2218"/>
        </w:tabs>
        <w:ind w:left="1985" w:hanging="721"/>
      </w:pPr>
      <w:r>
        <w:tab/>
      </w:r>
      <w:r>
        <w:tab/>
        <w:t>•</w:t>
      </w:r>
      <w:r>
        <w:tab/>
        <w:t>ограничение в 2001/2002 финансовом году ставки по студенческим сс</w:t>
      </w:r>
      <w:r>
        <w:t>у</w:t>
      </w:r>
      <w:r>
        <w:t>дам с</w:t>
      </w:r>
      <w:r>
        <w:t>е</w:t>
      </w:r>
      <w:r>
        <w:t>мью процентами;</w:t>
      </w:r>
    </w:p>
    <w:p w:rsidR="00000000" w:rsidRDefault="00000000">
      <w:pPr>
        <w:pStyle w:val="new"/>
        <w:tabs>
          <w:tab w:val="clear" w:pos="2218"/>
        </w:tabs>
        <w:ind w:left="1985" w:hanging="721"/>
      </w:pPr>
      <w:r>
        <w:tab/>
      </w:r>
      <w:r>
        <w:tab/>
        <w:t>•</w:t>
      </w:r>
      <w:r>
        <w:tab/>
        <w:t>установление новых условий погашения ссуды, согласно которым не менее 50 процентов платежей в счет погашения ссуды, за вычетом инфляционной составляющей, теперь используется для возврата о</w:t>
      </w:r>
      <w:r>
        <w:t>с</w:t>
      </w:r>
      <w:r>
        <w:t>новной суммы долга (более подробная информация приведена в “Ст</w:t>
      </w:r>
      <w:r>
        <w:t>а</w:t>
      </w:r>
      <w:r>
        <w:t>тье 10: Образов</w:t>
      </w:r>
      <w:r>
        <w:t>а</w:t>
      </w:r>
      <w:r>
        <w:t>ние”, стр. 87-90).</w:t>
      </w:r>
    </w:p>
    <w:p w:rsidR="00000000" w:rsidRDefault="00000000">
      <w:pPr>
        <w:pStyle w:val="new"/>
      </w:pPr>
      <w:r>
        <w:tab/>
      </w:r>
      <w:r>
        <w:tab/>
        <w:t>Правительство принимает меры в целях интеграции данных для получ</w:t>
      </w:r>
      <w:r>
        <w:t>е</w:t>
      </w:r>
      <w:r>
        <w:t>ния более полной информации о социально-экономических последствиях реализации программы предоставления ссуд студентам, а также в целях рассмотрения вопросов, связанных с оказанием поддержки студентам. Уже был достигнут существенный прогресс в том, что касается рефо</w:t>
      </w:r>
      <w:r>
        <w:t>р</w:t>
      </w:r>
      <w:r>
        <w:t>мирования системы высшего образования, в частности, посредством п</w:t>
      </w:r>
      <w:r>
        <w:t>е</w:t>
      </w:r>
      <w:r>
        <w:t>ресмотра финансирования, а также разработки стратегии в области высшего образования на 2002/2007 годы (более подробная информация приведена в “Статье 10: Образование”, стр. 90).</w:t>
      </w:r>
    </w:p>
    <w:p w:rsidR="00000000" w:rsidRDefault="00000000">
      <w:pPr>
        <w:pStyle w:val="H1"/>
      </w:pPr>
      <w:r>
        <w:t>Молодые женщины</w:t>
      </w:r>
    </w:p>
    <w:p w:rsidR="00000000" w:rsidRDefault="00000000">
      <w:pPr>
        <w:pStyle w:val="SingleTxt"/>
      </w:pPr>
      <w:r>
        <w:t>По мнению молодых женщин, вопросы, вызывающие их обеспокоенность, носят межсекторальный характер и, поэтому, эти вопросы освещаются по вс</w:t>
      </w:r>
      <w:r>
        <w:t>е</w:t>
      </w:r>
      <w:r>
        <w:t>му тексту настоящего раздела доклада. Кроме того, у молодых женщин выз</w:t>
      </w:r>
      <w:r>
        <w:t>ы</w:t>
      </w:r>
      <w:r>
        <w:t>вал обеспокоенность тот факт, что не во всех новозеландских средних школах, в особенности, в частных религиозных школах, преподавались курсы, посв</w:t>
      </w:r>
      <w:r>
        <w:t>я</w:t>
      </w:r>
      <w:r>
        <w:t>щенные половому просвещ</w:t>
      </w:r>
      <w:r>
        <w:t>е</w:t>
      </w:r>
      <w:r>
        <w:t>нию.</w:t>
      </w:r>
    </w:p>
    <w:p w:rsidR="00000000" w:rsidRDefault="00000000">
      <w:pPr>
        <w:pStyle w:val="SingleTxt"/>
      </w:pPr>
      <w:r>
        <w:t>Молодые женщины пожелали, чтобы курсы, посвященные половому пр</w:t>
      </w:r>
      <w:r>
        <w:t>о</w:t>
      </w:r>
      <w:r>
        <w:t>свещению, в обязательном порядке преподавались во всех средних школах, будь то государс</w:t>
      </w:r>
      <w:r>
        <w:t>т</w:t>
      </w:r>
      <w:r>
        <w:t>венные или частные.</w:t>
      </w:r>
    </w:p>
    <w:p w:rsidR="00000000" w:rsidRDefault="00000000">
      <w:pPr>
        <w:pStyle w:val="H23"/>
      </w:pPr>
      <w:r>
        <w:t>Комментарий правительства</w:t>
      </w:r>
    </w:p>
    <w:p w:rsidR="00000000" w:rsidRDefault="00000000">
      <w:pPr>
        <w:pStyle w:val="new"/>
      </w:pPr>
      <w:r>
        <w:tab/>
      </w:r>
      <w:r>
        <w:tab/>
        <w:t>В настоящее время правительством реализуется стратегия в интересах развития молодежи Аотеароа (более подробная информация приведена в “Статье 3: Развитие и улучшение положения женщин”, стр. 50-51). С</w:t>
      </w:r>
      <w:r>
        <w:t>о</w:t>
      </w:r>
      <w:r>
        <w:t>гласно положениям Закона 2001 года о стандартах в области образов</w:t>
      </w:r>
      <w:r>
        <w:t>а</w:t>
      </w:r>
      <w:r>
        <w:t>ния государственные школы и школы, имеющие аналогичный статус, п</w:t>
      </w:r>
      <w:r>
        <w:t>о</w:t>
      </w:r>
      <w:r>
        <w:t>теряли право по своему выбору исключать из программы курсы, посв</w:t>
      </w:r>
      <w:r>
        <w:t>я</w:t>
      </w:r>
      <w:r>
        <w:t>щенные половому просвещению; однако за родителями сохранено право запретить своим детям посещать подобные занятия (более подробная информация прив</w:t>
      </w:r>
      <w:r>
        <w:t>е</w:t>
      </w:r>
      <w:r>
        <w:t>дена в “Статье 10: Образование”, стр. 92-93).</w:t>
      </w:r>
    </w:p>
    <w:p w:rsidR="00000000" w:rsidRDefault="00000000">
      <w:pPr>
        <w:pStyle w:val="H1"/>
      </w:pPr>
      <w:r>
        <w:t>Женщины-инвалиды</w:t>
      </w:r>
    </w:p>
    <w:p w:rsidR="00000000" w:rsidRDefault="00000000">
      <w:pPr>
        <w:pStyle w:val="SingleTxt"/>
      </w:pPr>
      <w:r>
        <w:t>Женщины-инвалиды отметили, что они являются разнородной группой и что проблемы инвалидов носят межсекторальный характер. Их обеспокое</w:t>
      </w:r>
      <w:r>
        <w:t>н</w:t>
      </w:r>
      <w:r>
        <w:t>ность вызывали нижеследующие вопросы:</w:t>
      </w:r>
    </w:p>
    <w:p w:rsidR="00000000" w:rsidRDefault="00000000">
      <w:pPr>
        <w:pStyle w:val="dot"/>
      </w:pPr>
      <w:r>
        <w:tab/>
      </w:r>
      <w:r>
        <w:tab/>
        <w:t>•</w:t>
      </w:r>
      <w:r>
        <w:tab/>
        <w:t>отсутствие налаженных контактов с женщинами-инвалидами;</w:t>
      </w:r>
    </w:p>
    <w:p w:rsidR="00000000" w:rsidRDefault="00000000">
      <w:pPr>
        <w:pStyle w:val="dot"/>
      </w:pPr>
      <w:r>
        <w:tab/>
      </w:r>
      <w:r>
        <w:tab/>
        <w:t>•</w:t>
      </w:r>
      <w:r>
        <w:tab/>
        <w:t>отсутствие должного внимания к женщинам-инвалидам со стороны си</w:t>
      </w:r>
      <w:r>
        <w:t>с</w:t>
      </w:r>
      <w:r>
        <w:t>тем, созданных для оказания им поддержки и наделения их более шир</w:t>
      </w:r>
      <w:r>
        <w:t>о</w:t>
      </w:r>
      <w:r>
        <w:t>кими возможностями и правами.</w:t>
      </w:r>
    </w:p>
    <w:p w:rsidR="00000000" w:rsidRDefault="00000000">
      <w:pPr>
        <w:pStyle w:val="SingleTxt"/>
      </w:pPr>
      <w:r>
        <w:t>Женщины-инвалиды предложили следующие шаги:</w:t>
      </w:r>
    </w:p>
    <w:p w:rsidR="00000000" w:rsidRDefault="00000000">
      <w:pPr>
        <w:pStyle w:val="dot"/>
      </w:pPr>
      <w:r>
        <w:tab/>
      </w:r>
      <w:r>
        <w:tab/>
        <w:t>•</w:t>
      </w:r>
      <w:r>
        <w:tab/>
        <w:t>налаживание контактов между женщинами-инвалидами и правительством с испол</w:t>
      </w:r>
      <w:r>
        <w:t>ь</w:t>
      </w:r>
      <w:r>
        <w:t>зованием всей имеющейся информации;</w:t>
      </w:r>
    </w:p>
    <w:p w:rsidR="00000000" w:rsidRDefault="00000000">
      <w:pPr>
        <w:pStyle w:val="dot"/>
      </w:pPr>
      <w:r>
        <w:tab/>
      </w:r>
      <w:r>
        <w:tab/>
        <w:t>•</w:t>
      </w:r>
      <w:r>
        <w:tab/>
        <w:t>содействие продвижению женщин-инвалидов на руководящие посты в общине, а также в местных и це</w:t>
      </w:r>
      <w:r>
        <w:t>н</w:t>
      </w:r>
      <w:r>
        <w:t>тральных органах власти;</w:t>
      </w:r>
    </w:p>
    <w:p w:rsidR="00000000" w:rsidRDefault="00000000">
      <w:pPr>
        <w:pStyle w:val="dot"/>
      </w:pPr>
      <w:r>
        <w:tab/>
      </w:r>
      <w:r>
        <w:tab/>
        <w:t>•</w:t>
      </w:r>
      <w:r>
        <w:tab/>
        <w:t>разработка стратегий, создание рамок и механизмов для решения проблем занятости инвал</w:t>
      </w:r>
      <w:r>
        <w:t>и</w:t>
      </w:r>
      <w:r>
        <w:t>дов;</w:t>
      </w:r>
    </w:p>
    <w:p w:rsidR="00000000" w:rsidRDefault="00000000">
      <w:pPr>
        <w:pStyle w:val="dot"/>
      </w:pPr>
      <w:r>
        <w:tab/>
      </w:r>
      <w:r>
        <w:tab/>
        <w:t>•</w:t>
      </w:r>
      <w:r>
        <w:tab/>
        <w:t>стратегические подходы в рамках социальной политики к повышения и</w:t>
      </w:r>
      <w:r>
        <w:t>н</w:t>
      </w:r>
      <w:r>
        <w:t>формир</w:t>
      </w:r>
      <w:r>
        <w:t>о</w:t>
      </w:r>
      <w:r>
        <w:t>ванности о проблемах и культуре инвалидов.</w:t>
      </w:r>
    </w:p>
    <w:p w:rsidR="00000000" w:rsidRDefault="00000000">
      <w:pPr>
        <w:pStyle w:val="H23"/>
      </w:pPr>
      <w:r>
        <w:t>Комментарий правительства</w:t>
      </w:r>
    </w:p>
    <w:p w:rsidR="00000000" w:rsidRDefault="00000000">
      <w:pPr>
        <w:pStyle w:val="new"/>
      </w:pPr>
      <w:r>
        <w:tab/>
      </w:r>
      <w:r>
        <w:tab/>
        <w:t>В апреле 2001 года была принята стратегия Новой Зеландии в области инвалидности, Изменим мир к лучшему (Вакануи Оранга) (НЗДС), кот</w:t>
      </w:r>
      <w:r>
        <w:t>о</w:t>
      </w:r>
      <w:r>
        <w:t>рая представляет собой долгосрочный план превращения новозеландского общества в общество равных возможностей для всех. НЗДС представл</w:t>
      </w:r>
      <w:r>
        <w:t>я</w:t>
      </w:r>
      <w:r>
        <w:t>ет собой межсекторальный документ, в котором кратко излагается 15 задач в таких областях, как права человека, общественные взгляды, образование и занятость, информация, общественные услуги и системы оказания помощи. Она также закладывает основу для того, чтобы пр</w:t>
      </w:r>
      <w:r>
        <w:t>а</w:t>
      </w:r>
      <w:r>
        <w:t>вительственными ведомствами и другими правительственными учре</w:t>
      </w:r>
      <w:r>
        <w:t>ж</w:t>
      </w:r>
      <w:r>
        <w:t>дениями до принятия тех или иных решений учитывались интересы инв</w:t>
      </w:r>
      <w:r>
        <w:t>а</w:t>
      </w:r>
      <w:r>
        <w:t>лидов. За реализацию этой стратегии ответственность несут все пр</w:t>
      </w:r>
      <w:r>
        <w:t>а</w:t>
      </w:r>
      <w:r>
        <w:t>вительственные ведомства. 1 июля 2002 года функции по руководству реализацией стратегии были переданы от Министерства здравоохран</w:t>
      </w:r>
      <w:r>
        <w:t>е</w:t>
      </w:r>
      <w:r>
        <w:t>ния недавно созданному управлению по делам инвалидов, входящему в с</w:t>
      </w:r>
      <w:r>
        <w:t>о</w:t>
      </w:r>
      <w:r>
        <w:t>став Министерства социального обеспечения (более подробная информ</w:t>
      </w:r>
      <w:r>
        <w:t>а</w:t>
      </w:r>
      <w:r>
        <w:t>ция приведена в “Статье 3: Развитие и улучшение положения женщин”, стр. 48-49). Закон 1993 года о правах человека обеспечивает защиту от дискриминации по ряду признаков, включая половую принадлежность и наличие инвалидн</w:t>
      </w:r>
      <w:r>
        <w:t>о</w:t>
      </w:r>
      <w:r>
        <w:t>сти.</w:t>
      </w:r>
    </w:p>
    <w:p w:rsidR="00000000" w:rsidRDefault="00000000">
      <w:pPr>
        <w:pStyle w:val="H1"/>
      </w:pPr>
      <w:r>
        <w:t>Жительницы Тихоокеанских островов</w:t>
      </w:r>
    </w:p>
    <w:p w:rsidR="00000000" w:rsidRDefault="00000000">
      <w:pPr>
        <w:pStyle w:val="SingleTxt"/>
      </w:pPr>
      <w:r>
        <w:t>Жительницы Тихоокеанских островов были обеспокоены следующими проблемами:</w:t>
      </w:r>
    </w:p>
    <w:p w:rsidR="00000000" w:rsidRDefault="00000000">
      <w:pPr>
        <w:pStyle w:val="dot"/>
      </w:pPr>
      <w:r>
        <w:tab/>
      </w:r>
      <w:r>
        <w:tab/>
        <w:t>•</w:t>
      </w:r>
      <w:r>
        <w:tab/>
        <w:t>широким распространением работы по совместительству среди жител</w:t>
      </w:r>
      <w:r>
        <w:t>ь</w:t>
      </w:r>
      <w:r>
        <w:t>ниц Тихоокеанских остров, а также тем, как это влияет на положение их семей;</w:t>
      </w:r>
    </w:p>
    <w:p w:rsidR="00000000" w:rsidRDefault="00000000">
      <w:pPr>
        <w:pStyle w:val="dot"/>
      </w:pPr>
      <w:r>
        <w:tab/>
      </w:r>
      <w:r>
        <w:tab/>
        <w:t>•</w:t>
      </w:r>
      <w:r>
        <w:tab/>
        <w:t>игнорированием той существенной работы, которую жительницы Тих</w:t>
      </w:r>
      <w:r>
        <w:t>о</w:t>
      </w:r>
      <w:r>
        <w:t>океанских островов бесплатно выполняют в своих семьях, общинах и церквях.</w:t>
      </w:r>
    </w:p>
    <w:p w:rsidR="00000000" w:rsidRDefault="00000000">
      <w:pPr>
        <w:pStyle w:val="SingleTxt"/>
      </w:pPr>
      <w:r>
        <w:t>Жительницы Тихоокеанских островов пожелали, чтобы для них и му</w:t>
      </w:r>
      <w:r>
        <w:t>ж</w:t>
      </w:r>
      <w:r>
        <w:t>чин – их сородичей создавались рабочие места в службах здравоохранения и соц</w:t>
      </w:r>
      <w:r>
        <w:t>и</w:t>
      </w:r>
      <w:r>
        <w:t>альных службах.</w:t>
      </w:r>
    </w:p>
    <w:p w:rsidR="00000000" w:rsidRDefault="00000000">
      <w:pPr>
        <w:pStyle w:val="H23"/>
      </w:pPr>
      <w:r>
        <w:t>Комментарий правительства</w:t>
      </w:r>
    </w:p>
    <w:p w:rsidR="00000000" w:rsidRDefault="00000000">
      <w:pPr>
        <w:pStyle w:val="new"/>
      </w:pPr>
      <w:r>
        <w:tab/>
      </w:r>
      <w:r>
        <w:tab/>
        <w:t>В 2002 году Министерство социального обеспечения разработало стр</w:t>
      </w:r>
      <w:r>
        <w:t>а</w:t>
      </w:r>
      <w:r>
        <w:t>тегию в интересах Тихоокеанских островов с тем, чтобы заложить о</w:t>
      </w:r>
      <w:r>
        <w:t>с</w:t>
      </w:r>
      <w:r>
        <w:t>нову для содействия учету интересов жителей Тихоокеанских островов в своей работе. Ее цель состоит в том, чтобы обеспечить социальное бл</w:t>
      </w:r>
      <w:r>
        <w:t>а</w:t>
      </w:r>
      <w:r>
        <w:t>госостояние жителей Тихоокеанских островов, расширить их участие в социально-экономической жизни, а также содействовать укреплению их семей и общин. Эта стратегия предусматривает планы действий, ра</w:t>
      </w:r>
      <w:r>
        <w:t>с</w:t>
      </w:r>
      <w:r>
        <w:t>считанные на период до 2004 года. Руководящая группа будет занимат</w:t>
      </w:r>
      <w:r>
        <w:t>ь</w:t>
      </w:r>
      <w:r>
        <w:t>ся пересмотром этой стратегии с тем, чтобы она продолжала отв</w:t>
      </w:r>
      <w:r>
        <w:t>е</w:t>
      </w:r>
      <w:r>
        <w:t>чать интересам и чаяниям жителей Тихоокеанских островов, а также учитывала проблемы, вызывающие обеспокоенность у Министерства с</w:t>
      </w:r>
      <w:r>
        <w:t>о</w:t>
      </w:r>
      <w:r>
        <w:t>циал</w:t>
      </w:r>
      <w:r>
        <w:t>ь</w:t>
      </w:r>
      <w:r>
        <w:t>ного обеспечения.</w:t>
      </w:r>
    </w:p>
    <w:p w:rsidR="00000000" w:rsidRDefault="00000000">
      <w:pPr>
        <w:pStyle w:val="new"/>
      </w:pPr>
      <w:r>
        <w:tab/>
      </w:r>
      <w:r>
        <w:tab/>
        <w:t>При поддержке со стороны Министерства по делам Тихоокеанских ос</w:t>
      </w:r>
      <w:r>
        <w:t>т</w:t>
      </w:r>
      <w:r>
        <w:t>ровов МДЖ планирует реализовать проект для обеспечения этих двух в</w:t>
      </w:r>
      <w:r>
        <w:t>е</w:t>
      </w:r>
      <w:r>
        <w:t>домств информацией и данными, касающимися положения жительниц Тихоокеанских островов, в целях повышения качества тех политических рекомендаций, которые они могут выносить относительно улучшения экономического положения жительниц Тихоокеанских островов. Такие рекомендации дадут правительству возможность вырабатывать более эффективные меры и стратегии, нацеленные на оказание содействия улучшению положения в сфере занятости и экономического развития женщин.</w:t>
      </w:r>
    </w:p>
    <w:p w:rsidR="00000000" w:rsidRDefault="00000000">
      <w:pPr>
        <w:pStyle w:val="H1"/>
      </w:pPr>
      <w:r>
        <w:t>Женщины-беженцы и мигранты</w:t>
      </w:r>
    </w:p>
    <w:p w:rsidR="00000000" w:rsidRDefault="00000000">
      <w:pPr>
        <w:pStyle w:val="SingleTxt"/>
      </w:pPr>
      <w:r>
        <w:t>Женщины-беженцы и мигранты заявили о следующих ключевых пробл</w:t>
      </w:r>
      <w:r>
        <w:t>е</w:t>
      </w:r>
      <w:r>
        <w:t>мах, вызывающих их обе</w:t>
      </w:r>
      <w:r>
        <w:t>с</w:t>
      </w:r>
      <w:r>
        <w:t>покоенность:</w:t>
      </w:r>
    </w:p>
    <w:p w:rsidR="00000000" w:rsidRDefault="00000000">
      <w:pPr>
        <w:pStyle w:val="dot"/>
      </w:pPr>
      <w:r>
        <w:tab/>
      </w:r>
      <w:r>
        <w:tab/>
        <w:t>•</w:t>
      </w:r>
      <w:r>
        <w:tab/>
        <w:t>иммиграционный статус – тот факт, что им автоматически не предоста</w:t>
      </w:r>
      <w:r>
        <w:t>в</w:t>
      </w:r>
      <w:r>
        <w:t>ляется постоянный вид на жительство после вступление в брак с гражд</w:t>
      </w:r>
      <w:r>
        <w:t>а</w:t>
      </w:r>
      <w:r>
        <w:t>нином Новой Зеландии, может крайне негативно сказаться на положении этих женщин в том случае, если брак распадается или если женщина по</w:t>
      </w:r>
      <w:r>
        <w:t>д</w:t>
      </w:r>
      <w:r>
        <w:t>вергается насилию или жестокому обращению со стороны своего партн</w:t>
      </w:r>
      <w:r>
        <w:t>е</w:t>
      </w:r>
      <w:r>
        <w:t>ра;</w:t>
      </w:r>
    </w:p>
    <w:p w:rsidR="00000000" w:rsidRDefault="00000000">
      <w:pPr>
        <w:pStyle w:val="dot"/>
      </w:pPr>
      <w:r>
        <w:tab/>
      </w:r>
      <w:r>
        <w:tab/>
        <w:t>•</w:t>
      </w:r>
      <w:r>
        <w:tab/>
        <w:t>недоступность услуг и информации благодаря языковому барьеру;</w:t>
      </w:r>
    </w:p>
    <w:p w:rsidR="00000000" w:rsidRDefault="00000000">
      <w:pPr>
        <w:pStyle w:val="dot"/>
      </w:pPr>
      <w:r>
        <w:tab/>
      </w:r>
      <w:r>
        <w:tab/>
        <w:t>•</w:t>
      </w:r>
      <w:r>
        <w:tab/>
        <w:t>отсутствие информации до прибытия в Новую Зеландию о тех возможн</w:t>
      </w:r>
      <w:r>
        <w:t>о</w:t>
      </w:r>
      <w:r>
        <w:t>стях и льготах, которые дает имм</w:t>
      </w:r>
      <w:r>
        <w:t>и</w:t>
      </w:r>
      <w:r>
        <w:t>грационный статус;</w:t>
      </w:r>
    </w:p>
    <w:p w:rsidR="00000000" w:rsidRDefault="00000000">
      <w:pPr>
        <w:pStyle w:val="dot"/>
      </w:pPr>
      <w:r>
        <w:tab/>
      </w:r>
      <w:r>
        <w:tab/>
        <w:t>•</w:t>
      </w:r>
      <w:r>
        <w:tab/>
        <w:t>отсутствие сведений о статусе имеющейся профессиональной квалифик</w:t>
      </w:r>
      <w:r>
        <w:t>а</w:t>
      </w:r>
      <w:r>
        <w:t>ции и о требованиях, предъявляемых при иммиграции в Новую Зеландию и найме на работу в ней;</w:t>
      </w:r>
    </w:p>
    <w:p w:rsidR="00000000" w:rsidRDefault="00000000">
      <w:pPr>
        <w:pStyle w:val="dot"/>
      </w:pPr>
      <w:r>
        <w:tab/>
      </w:r>
      <w:r>
        <w:tab/>
        <w:t>•</w:t>
      </w:r>
      <w:r>
        <w:tab/>
        <w:t>дискриминация на рынке труда, вызванная этническими и культурными разл</w:t>
      </w:r>
      <w:r>
        <w:t>и</w:t>
      </w:r>
      <w:r>
        <w:t>чиями;</w:t>
      </w:r>
    </w:p>
    <w:p w:rsidR="00000000" w:rsidRDefault="00000000">
      <w:pPr>
        <w:pStyle w:val="dot"/>
      </w:pPr>
      <w:r>
        <w:tab/>
      </w:r>
      <w:r>
        <w:tab/>
        <w:t>•</w:t>
      </w:r>
      <w:r>
        <w:tab/>
        <w:t>пассивная роль женщин и их притеснение в иммигрантских общинах, что может игнорир</w:t>
      </w:r>
      <w:r>
        <w:t>о</w:t>
      </w:r>
      <w:r>
        <w:t>ваться как явление “культурного” характера.</w:t>
      </w:r>
    </w:p>
    <w:p w:rsidR="00000000" w:rsidRDefault="00000000">
      <w:pPr>
        <w:pStyle w:val="SingleTxt"/>
      </w:pPr>
      <w:r>
        <w:t>Для решения проблем, вызывающих их обеспокоенность, женщины-беженцы и мигранты предл</w:t>
      </w:r>
      <w:r>
        <w:t>о</w:t>
      </w:r>
      <w:r>
        <w:t>жили следующие шаги:</w:t>
      </w:r>
    </w:p>
    <w:p w:rsidR="00000000" w:rsidRDefault="00000000">
      <w:pPr>
        <w:pStyle w:val="dot"/>
      </w:pPr>
      <w:r>
        <w:tab/>
      </w:r>
      <w:r>
        <w:tab/>
        <w:t>•</w:t>
      </w:r>
      <w:r>
        <w:tab/>
        <w:t>следует внедрить концепцию универсального базового дохода;</w:t>
      </w:r>
    </w:p>
    <w:p w:rsidR="00000000" w:rsidRDefault="00000000">
      <w:pPr>
        <w:pStyle w:val="dot"/>
      </w:pPr>
      <w:r>
        <w:tab/>
      </w:r>
      <w:r>
        <w:tab/>
        <w:t>•</w:t>
      </w:r>
      <w:r>
        <w:tab/>
        <w:t>следует учредить комитет по делам женщин в составе Управления по д</w:t>
      </w:r>
      <w:r>
        <w:t>е</w:t>
      </w:r>
      <w:r>
        <w:t>лам этнич</w:t>
      </w:r>
      <w:r>
        <w:t>е</w:t>
      </w:r>
      <w:r>
        <w:t>ских групп;</w:t>
      </w:r>
    </w:p>
    <w:p w:rsidR="00000000" w:rsidRDefault="00000000">
      <w:pPr>
        <w:pStyle w:val="dot"/>
      </w:pPr>
      <w:r>
        <w:tab/>
      </w:r>
      <w:r>
        <w:tab/>
        <w:t>•</w:t>
      </w:r>
      <w:r>
        <w:tab/>
        <w:t>следует подготовить справочник, содержащий различную информацию и пер</w:t>
      </w:r>
      <w:r>
        <w:t>е</w:t>
      </w:r>
      <w:r>
        <w:t>чень услуг;</w:t>
      </w:r>
    </w:p>
    <w:p w:rsidR="00000000" w:rsidRDefault="00000000">
      <w:pPr>
        <w:pStyle w:val="dot"/>
      </w:pPr>
      <w:r>
        <w:tab/>
      </w:r>
      <w:r>
        <w:tab/>
        <w:t>•</w:t>
      </w:r>
      <w:r>
        <w:tab/>
        <w:t>следует разработать программу всеобъемлющей ассимиляции;</w:t>
      </w:r>
    </w:p>
    <w:p w:rsidR="00000000" w:rsidRDefault="00000000">
      <w:pPr>
        <w:pStyle w:val="dot"/>
      </w:pPr>
      <w:r>
        <w:tab/>
      </w:r>
      <w:r>
        <w:tab/>
        <w:t>•</w:t>
      </w:r>
      <w:r>
        <w:tab/>
        <w:t>до прибытия в Новую Зеландию женщинам следует предоставлять и</w:t>
      </w:r>
      <w:r>
        <w:t>н</w:t>
      </w:r>
      <w:r>
        <w:t>формацию об их правах, а также до</w:t>
      </w:r>
      <w:r>
        <w:t>с</w:t>
      </w:r>
      <w:r>
        <w:t>тупных им услугах и льготах;</w:t>
      </w:r>
    </w:p>
    <w:p w:rsidR="00000000" w:rsidRDefault="00000000">
      <w:pPr>
        <w:pStyle w:val="dot"/>
      </w:pPr>
      <w:r>
        <w:tab/>
      </w:r>
      <w:r>
        <w:tab/>
        <w:t>•</w:t>
      </w:r>
      <w:r>
        <w:tab/>
        <w:t xml:space="preserve">следует облегчить процесс воссоединения семей; </w:t>
      </w:r>
    </w:p>
    <w:p w:rsidR="00000000" w:rsidRDefault="00000000">
      <w:pPr>
        <w:pStyle w:val="dot"/>
      </w:pPr>
      <w:r>
        <w:tab/>
      </w:r>
      <w:r>
        <w:tab/>
        <w:t>•</w:t>
      </w:r>
      <w:r>
        <w:tab/>
        <w:t>следует скоординировать иммиграционную политику, требования в отн</w:t>
      </w:r>
      <w:r>
        <w:t>о</w:t>
      </w:r>
      <w:r>
        <w:t>шении уровня образования и дейс</w:t>
      </w:r>
      <w:r>
        <w:t>т</w:t>
      </w:r>
      <w:r>
        <w:t>вия работодателей;</w:t>
      </w:r>
    </w:p>
    <w:p w:rsidR="00000000" w:rsidRDefault="00000000">
      <w:pPr>
        <w:pStyle w:val="dot"/>
      </w:pPr>
      <w:r>
        <w:tab/>
      </w:r>
      <w:r>
        <w:tab/>
        <w:t>•</w:t>
      </w:r>
      <w:r>
        <w:tab/>
        <w:t>правительственным ведомствам следует сотрудничать друг с другом и с НПО, а также принять межсекторальный подход к вопросам, касающимся положения же</w:t>
      </w:r>
      <w:r>
        <w:t>н</w:t>
      </w:r>
      <w:r>
        <w:t>щин-беженцев и мигрантов.</w:t>
      </w:r>
    </w:p>
    <w:p w:rsidR="00000000" w:rsidRDefault="00000000">
      <w:pPr>
        <w:pStyle w:val="H23"/>
      </w:pPr>
      <w:r>
        <w:t>Комментарий правительства</w:t>
      </w:r>
    </w:p>
    <w:p w:rsidR="00000000" w:rsidRDefault="00000000">
      <w:pPr>
        <w:pStyle w:val="new"/>
      </w:pPr>
      <w:r>
        <w:tab/>
      </w:r>
      <w:r>
        <w:tab/>
        <w:t>В 2000 году правительство внесло изменения в свою политику в отнош</w:t>
      </w:r>
      <w:r>
        <w:t>е</w:t>
      </w:r>
      <w:r>
        <w:t>нии выдачи разрешений на работу, а в 2001 году – в свою политику в о</w:t>
      </w:r>
      <w:r>
        <w:t>т</w:t>
      </w:r>
      <w:r>
        <w:t>ношении выдачи видов на жительство. Поэтому женщины, ставшие жертвами насилия в семье и удовлетворяющие критериям, предусмо</w:t>
      </w:r>
      <w:r>
        <w:t>т</w:t>
      </w:r>
      <w:r>
        <w:t>ренным политикой правительства в отношении жертв насилия в семье, могут получить разрешение на работу сроком на три месяца. В конце этого периода женщины могут обращаться с ходатайствами о выдаче постоянного вида на жительство в рамках специальной политики отн</w:t>
      </w:r>
      <w:r>
        <w:t>о</w:t>
      </w:r>
      <w:r>
        <w:t>сительно выдачи постоянных видов на жительство жертвам насилия в семье (более подробная информация приведена в “Статье 16: Брак и с</w:t>
      </w:r>
      <w:r>
        <w:t>е</w:t>
      </w:r>
      <w:r>
        <w:t>мейная жизнь”, стр. 198).</w:t>
      </w:r>
    </w:p>
    <w:p w:rsidR="00000000" w:rsidRDefault="00000000">
      <w:pPr>
        <w:pStyle w:val="new"/>
      </w:pPr>
      <w:r>
        <w:tab/>
      </w:r>
      <w:r>
        <w:tab/>
        <w:t>Под руководством управления по делам этнических групп при содействии со стороны шести правительственных ведомств будет функционир</w:t>
      </w:r>
      <w:r>
        <w:t>о</w:t>
      </w:r>
      <w:r>
        <w:t>вать экспериментальная служба по оказанию переводческих услуг по т</w:t>
      </w:r>
      <w:r>
        <w:t>е</w:t>
      </w:r>
      <w:r>
        <w:t>лефону. Эта служба будет бесплатно обеспечивать переводческими усл</w:t>
      </w:r>
      <w:r>
        <w:t>у</w:t>
      </w:r>
      <w:r>
        <w:t>гами лиц, говорящих на ряде иностранных языков и пожелавших обр</w:t>
      </w:r>
      <w:r>
        <w:t>а</w:t>
      </w:r>
      <w:r>
        <w:t>титься в то или иное из шести ведомств. В настоящее время Министе</w:t>
      </w:r>
      <w:r>
        <w:t>р</w:t>
      </w:r>
      <w:r>
        <w:t>ство образования занято разработкой стратегии обучения английскому языку взрослых, говорящих на других языках (ЕСОЛ), которая призвана оценить текущий спрос на услуги ЕСОЛ со стороны взрослых и порядок их удовлетворения , а также концепцию оказания услуг ЕСОЛ в Новой З</w:t>
      </w:r>
      <w:r>
        <w:t>е</w:t>
      </w:r>
      <w:r>
        <w:t>ландии в будущем. Некоторые из вопросов, которые должны найти свое решение после реализации данной стратегии и которые влияют на п</w:t>
      </w:r>
      <w:r>
        <w:t>о</w:t>
      </w:r>
      <w:r>
        <w:t>ложение женщин-мигрантов и беженцев в рамках ЕСОЛ, включают п</w:t>
      </w:r>
      <w:r>
        <w:t>о</w:t>
      </w:r>
      <w:r>
        <w:t>требность в базовых программах ликвидации неграмотности, програ</w:t>
      </w:r>
      <w:r>
        <w:t>м</w:t>
      </w:r>
      <w:r>
        <w:t>мах обучения уходу за детьми, а также программах, являющихся досту</w:t>
      </w:r>
      <w:r>
        <w:t>п</w:t>
      </w:r>
      <w:r>
        <w:t>ными в финансовом плане (более подробная информация приведена в “Статье 10: Образов</w:t>
      </w:r>
      <w:r>
        <w:t>а</w:t>
      </w:r>
      <w:r>
        <w:t>ние”, стр. 91).</w:t>
      </w:r>
    </w:p>
    <w:p w:rsidR="00000000" w:rsidRDefault="00000000">
      <w:pPr>
        <w:pStyle w:val="new"/>
      </w:pPr>
      <w:r>
        <w:tab/>
      </w:r>
      <w:r>
        <w:tab/>
        <w:t>Закон 1993 года о правах человека предусматривает защиту от дискр</w:t>
      </w:r>
      <w:r>
        <w:t>и</w:t>
      </w:r>
      <w:r>
        <w:t>минации по ряду признаков, включая половую принадлежность, цвет к</w:t>
      </w:r>
      <w:r>
        <w:t>о</w:t>
      </w:r>
      <w:r>
        <w:t>жи, расу, этническое и национальное происхождение, а также зан</w:t>
      </w:r>
      <w:r>
        <w:t>я</w:t>
      </w:r>
      <w:r>
        <w:t>тость. Закон 2000 года о отношениях в сфере занятости также пред</w:t>
      </w:r>
      <w:r>
        <w:t>у</w:t>
      </w:r>
      <w:r>
        <w:t>сматривает защиту от преследования по признаку расовой принадле</w:t>
      </w:r>
      <w:r>
        <w:t>ж</w:t>
      </w:r>
      <w:r>
        <w:t>ности.</w:t>
      </w:r>
    </w:p>
    <w:p w:rsidR="00000000" w:rsidRDefault="00000000">
      <w:pPr>
        <w:pStyle w:val="H1"/>
      </w:pPr>
      <w:r>
        <w:t>Женщины-лесбиянки/транссексуалы/бисексуалы</w:t>
      </w:r>
    </w:p>
    <w:p w:rsidR="00000000" w:rsidRDefault="00000000">
      <w:pPr>
        <w:pStyle w:val="SingleTxt"/>
      </w:pPr>
      <w:r>
        <w:t>Женщины-лесбиянки, транссексуалы и бисексуалы были обеспокоены дискриминацией со стороны общества, приводящей к отсутствию должного внимания к их положению, а также враждебному отношению к разнообразным формам сексуальн</w:t>
      </w:r>
      <w:r>
        <w:t>о</w:t>
      </w:r>
      <w:r>
        <w:t>сти.</w:t>
      </w:r>
    </w:p>
    <w:p w:rsidR="00000000" w:rsidRDefault="00000000">
      <w:pPr>
        <w:pStyle w:val="SingleTxt"/>
      </w:pPr>
      <w:r>
        <w:t>Для решения этой проблемы, вызывающей их озабоченность, они пожел</w:t>
      </w:r>
      <w:r>
        <w:t>а</w:t>
      </w:r>
      <w:r>
        <w:t>ли, чтобы в средних школах преподав</w:t>
      </w:r>
      <w:r>
        <w:t>а</w:t>
      </w:r>
      <w:r>
        <w:t>лись курсы полового воспитания.</w:t>
      </w:r>
    </w:p>
    <w:p w:rsidR="00000000" w:rsidRDefault="00000000">
      <w:pPr>
        <w:pStyle w:val="H23"/>
      </w:pPr>
      <w:r>
        <w:t>Комментарий правительства</w:t>
      </w:r>
    </w:p>
    <w:p w:rsidR="00000000" w:rsidRDefault="00000000">
      <w:pPr>
        <w:pStyle w:val="new"/>
      </w:pPr>
      <w:r>
        <w:tab/>
      </w:r>
      <w:r>
        <w:tab/>
        <w:t>Закон 1993 года о правах человека запрещает дискриминацию по признаку сексуальной ориентации, включая ориентацию на гетеросексуальные, г</w:t>
      </w:r>
      <w:r>
        <w:t>о</w:t>
      </w:r>
      <w:r>
        <w:t>мосексуальные, лесбийские или бисексуальные отношения. В настоящее время Министерство юстиции проводит широкий обзор всех законод</w:t>
      </w:r>
      <w:r>
        <w:t>а</w:t>
      </w:r>
      <w:r>
        <w:t>тельных положений, за исключением тех, что связаны с предоставлением социальной помощи, проводящих различие между однополыми парами и парами, de facto состоящими из представителей противоположного п</w:t>
      </w:r>
      <w:r>
        <w:t>о</w:t>
      </w:r>
      <w:r>
        <w:t>ла, и парами, состоящими в официально зарегистрированном браке. В х</w:t>
      </w:r>
      <w:r>
        <w:t>о</w:t>
      </w:r>
      <w:r>
        <w:t>де этого обзора будут выявлены законодательные акты, в которые п</w:t>
      </w:r>
      <w:r>
        <w:t>о</w:t>
      </w:r>
      <w:r>
        <w:t>требуется внести соответствующие изменения с тем, чтобы предост</w:t>
      </w:r>
      <w:r>
        <w:t>а</w:t>
      </w:r>
      <w:r>
        <w:t>вить однополым парам и парам, де-факто состоящим из представителей противоположного пола, те же самые основные права, ту же самую з</w:t>
      </w:r>
      <w:r>
        <w:t>а</w:t>
      </w:r>
      <w:r>
        <w:t>щиту и те же самые обязанности, что и парам, вступившим в брак. О</w:t>
      </w:r>
      <w:r>
        <w:t>д</w:t>
      </w:r>
      <w:r>
        <w:t>новременно Министерство социального обеспечения (МСО) занято ос</w:t>
      </w:r>
      <w:r>
        <w:t>у</w:t>
      </w:r>
      <w:r>
        <w:t>ществлением проекта, в рамках которого применительно для целей ок</w:t>
      </w:r>
      <w:r>
        <w:t>а</w:t>
      </w:r>
      <w:r>
        <w:t>зания социальной помощи обеспечивается наделение однополых пар тем же самым статусом, что и пар, вступивших в брак, и пар, состоящих de facto из представителей противоположного пола. В настоящее время МСД рассматривает вопрос о том, какие поправки могут потребоваться для юридического признания однополых пар в процессе предоставления социальной помощи (более подробная информация приведена в “Ст</w:t>
      </w:r>
      <w:r>
        <w:t>а</w:t>
      </w:r>
      <w:r>
        <w:t>тье 2: Антидискриминационные меры, стр. 40).</w:t>
      </w:r>
    </w:p>
    <w:p w:rsidR="00000000" w:rsidRDefault="00000000">
      <w:pPr>
        <w:pStyle w:val="HCh"/>
      </w:pPr>
      <w:r>
        <w:rPr>
          <w:i/>
        </w:rPr>
        <w:br w:type="page"/>
      </w:r>
      <w:bookmarkStart w:id="42" w:name="_Toc30302907"/>
      <w:r>
        <w:t>Приложение 2: Перечень субъектов, предоставивших свои замечания</w:t>
      </w:r>
      <w:bookmarkEnd w:id="42"/>
    </w:p>
    <w:p w:rsidR="00000000" w:rsidRDefault="00000000">
      <w:pPr>
        <w:pStyle w:val="SingleTxt"/>
      </w:pPr>
      <w:r>
        <w:t>Ниже приводится перечень национальных и местных групп и отдельных лиц, в письменном виде предоставивших материалы для проекта доклада по КЛДЖ, распространявшегося для получения комментариев общественности в период с 13 декабря 2001 года по 28 февраля 2002 года.</w:t>
      </w:r>
    </w:p>
    <w:p w:rsidR="00000000" w:rsidRDefault="00000000">
      <w:pPr>
        <w:pStyle w:val="20"/>
        <w:spacing w:before="240" w:after="120" w:line="240" w:lineRule="auto"/>
        <w:ind w:left="1264" w:right="1264"/>
        <w:rPr>
          <w:b/>
          <w:sz w:val="20"/>
        </w:rPr>
      </w:pPr>
      <w:r>
        <w:rPr>
          <w:b/>
          <w:sz w:val="20"/>
        </w:rPr>
        <w:t>Национальные группы</w:t>
      </w:r>
    </w:p>
    <w:p w:rsidR="00000000" w:rsidRDefault="00000000">
      <w:pPr>
        <w:pStyle w:val="20"/>
        <w:numPr>
          <w:ilvl w:val="0"/>
          <w:numId w:val="1"/>
        </w:numPr>
        <w:tabs>
          <w:tab w:val="left" w:pos="360"/>
        </w:tabs>
        <w:spacing w:after="120" w:line="240" w:lineRule="exact"/>
        <w:ind w:left="1740" w:right="1264" w:hanging="476"/>
        <w:rPr>
          <w:sz w:val="20"/>
        </w:rPr>
      </w:pPr>
      <w:r>
        <w:rPr>
          <w:sz w:val="20"/>
        </w:rPr>
        <w:t>Ассоциация студентов высших учебных заведений Аотеароа</w:t>
      </w:r>
    </w:p>
    <w:p w:rsidR="00000000" w:rsidRDefault="00000000">
      <w:pPr>
        <w:pStyle w:val="20"/>
        <w:numPr>
          <w:ilvl w:val="0"/>
          <w:numId w:val="1"/>
        </w:numPr>
        <w:tabs>
          <w:tab w:val="left" w:pos="360"/>
        </w:tabs>
        <w:spacing w:after="120" w:line="240" w:lineRule="exact"/>
        <w:ind w:left="1740" w:right="1264" w:hanging="476"/>
        <w:rPr>
          <w:sz w:val="20"/>
        </w:rPr>
      </w:pPr>
      <w:r>
        <w:rPr>
          <w:sz w:val="20"/>
        </w:rPr>
        <w:t>Бизнес Нью-Зиланд</w:t>
      </w:r>
    </w:p>
    <w:p w:rsidR="00000000" w:rsidRDefault="00000000">
      <w:pPr>
        <w:pStyle w:val="20"/>
        <w:numPr>
          <w:ilvl w:val="0"/>
          <w:numId w:val="1"/>
        </w:numPr>
        <w:tabs>
          <w:tab w:val="left" w:pos="360"/>
        </w:tabs>
        <w:spacing w:after="120" w:line="240" w:lineRule="exact"/>
        <w:ind w:left="1740" w:right="1264" w:hanging="476"/>
        <w:rPr>
          <w:sz w:val="20"/>
        </w:rPr>
      </w:pPr>
      <w:r>
        <w:rPr>
          <w:sz w:val="20"/>
        </w:rPr>
        <w:t>ДПА Нью-Зиланд</w:t>
      </w:r>
    </w:p>
    <w:p w:rsidR="00000000" w:rsidRDefault="00000000">
      <w:pPr>
        <w:pStyle w:val="20"/>
        <w:numPr>
          <w:ilvl w:val="0"/>
          <w:numId w:val="1"/>
        </w:numPr>
        <w:tabs>
          <w:tab w:val="left" w:pos="360"/>
        </w:tabs>
        <w:spacing w:after="120" w:line="240" w:lineRule="exact"/>
        <w:ind w:left="1740" w:right="1264" w:hanging="476"/>
        <w:rPr>
          <w:sz w:val="20"/>
        </w:rPr>
      </w:pPr>
      <w:r>
        <w:rPr>
          <w:sz w:val="20"/>
        </w:rPr>
        <w:t>Ассоциация планирования семьи – Новая Зеландия</w:t>
      </w:r>
    </w:p>
    <w:p w:rsidR="00000000" w:rsidRDefault="00000000">
      <w:pPr>
        <w:pStyle w:val="20"/>
        <w:numPr>
          <w:ilvl w:val="0"/>
          <w:numId w:val="1"/>
        </w:numPr>
        <w:tabs>
          <w:tab w:val="left" w:pos="360"/>
        </w:tabs>
        <w:spacing w:after="120" w:line="240" w:lineRule="exact"/>
        <w:ind w:left="1740" w:right="1264" w:hanging="476"/>
        <w:rPr>
          <w:sz w:val="20"/>
        </w:rPr>
      </w:pPr>
      <w:r>
        <w:rPr>
          <w:sz w:val="20"/>
        </w:rPr>
        <w:t>Комиссия по правам человека</w:t>
      </w:r>
    </w:p>
    <w:p w:rsidR="00000000" w:rsidRDefault="00000000">
      <w:pPr>
        <w:pStyle w:val="20"/>
        <w:numPr>
          <w:ilvl w:val="0"/>
          <w:numId w:val="1"/>
        </w:numPr>
        <w:tabs>
          <w:tab w:val="left" w:pos="360"/>
        </w:tabs>
        <w:spacing w:after="120" w:line="240" w:lineRule="exact"/>
        <w:ind w:left="1740" w:right="1264" w:hanging="476"/>
        <w:rPr>
          <w:sz w:val="20"/>
        </w:rPr>
      </w:pPr>
      <w:r>
        <w:rPr>
          <w:sz w:val="20"/>
        </w:rPr>
        <w:t>Лига обеспечения благосостояния женщин-маори, Инк.</w:t>
      </w:r>
      <w:r>
        <w:rPr>
          <w:rStyle w:val="a"/>
          <w:sz w:val="20"/>
        </w:rPr>
        <w:footnoteReference w:customMarkFollows="1" w:id="59"/>
        <w:t>*</w:t>
      </w:r>
    </w:p>
    <w:p w:rsidR="00000000" w:rsidRDefault="00000000">
      <w:pPr>
        <w:pStyle w:val="20"/>
        <w:numPr>
          <w:ilvl w:val="0"/>
          <w:numId w:val="1"/>
        </w:numPr>
        <w:tabs>
          <w:tab w:val="left" w:pos="360"/>
        </w:tabs>
        <w:spacing w:after="120" w:line="240" w:lineRule="exact"/>
        <w:ind w:left="1740" w:right="1264" w:hanging="476"/>
        <w:rPr>
          <w:sz w:val="20"/>
        </w:rPr>
      </w:pPr>
      <w:r>
        <w:rPr>
          <w:sz w:val="20"/>
        </w:rPr>
        <w:t>Национальный совет женщин Новой Зеландии</w:t>
      </w:r>
    </w:p>
    <w:p w:rsidR="00000000" w:rsidRDefault="00000000">
      <w:pPr>
        <w:pStyle w:val="20"/>
        <w:numPr>
          <w:ilvl w:val="0"/>
          <w:numId w:val="1"/>
        </w:numPr>
        <w:tabs>
          <w:tab w:val="left" w:pos="360"/>
        </w:tabs>
        <w:spacing w:after="120" w:line="240" w:lineRule="exact"/>
        <w:ind w:left="1740" w:right="1264" w:hanging="476"/>
        <w:rPr>
          <w:sz w:val="20"/>
        </w:rPr>
      </w:pPr>
      <w:r>
        <w:rPr>
          <w:sz w:val="20"/>
        </w:rPr>
        <w:t>Новозеландский совет профсоюзов</w:t>
      </w:r>
    </w:p>
    <w:p w:rsidR="00000000" w:rsidRDefault="00000000">
      <w:pPr>
        <w:pStyle w:val="20"/>
        <w:numPr>
          <w:ilvl w:val="0"/>
          <w:numId w:val="1"/>
        </w:numPr>
        <w:tabs>
          <w:tab w:val="left" w:pos="360"/>
        </w:tabs>
        <w:spacing w:after="120" w:line="240" w:lineRule="exact"/>
        <w:ind w:left="1740" w:right="1264" w:hanging="476"/>
        <w:rPr>
          <w:sz w:val="20"/>
        </w:rPr>
      </w:pPr>
      <w:r>
        <w:rPr>
          <w:sz w:val="20"/>
        </w:rPr>
        <w:t>Новозеландский фонд по вопросам лечения эндометриоза</w:t>
      </w:r>
    </w:p>
    <w:p w:rsidR="00000000" w:rsidRDefault="00000000">
      <w:pPr>
        <w:pStyle w:val="20"/>
        <w:numPr>
          <w:ilvl w:val="0"/>
          <w:numId w:val="1"/>
        </w:numPr>
        <w:tabs>
          <w:tab w:val="left" w:pos="360"/>
        </w:tabs>
        <w:spacing w:after="120" w:line="240" w:lineRule="exact"/>
        <w:ind w:left="1740" w:right="1264" w:hanging="476"/>
        <w:rPr>
          <w:sz w:val="20"/>
        </w:rPr>
      </w:pPr>
      <w:r>
        <w:rPr>
          <w:sz w:val="20"/>
        </w:rPr>
        <w:t>Ассоциация проституток Новой Зеландии (НЗПС)</w:t>
      </w:r>
    </w:p>
    <w:p w:rsidR="00000000" w:rsidRDefault="00000000">
      <w:pPr>
        <w:pStyle w:val="20"/>
        <w:numPr>
          <w:ilvl w:val="0"/>
          <w:numId w:val="1"/>
        </w:numPr>
        <w:tabs>
          <w:tab w:val="left" w:pos="360"/>
        </w:tabs>
        <w:spacing w:after="120" w:line="240" w:lineRule="exact"/>
        <w:ind w:left="1740" w:right="1264" w:hanging="476"/>
        <w:rPr>
          <w:sz w:val="20"/>
        </w:rPr>
      </w:pPr>
      <w:r>
        <w:rPr>
          <w:sz w:val="20"/>
        </w:rPr>
        <w:t>Общество Новой Зеландии по защите зачатых детей</w:t>
      </w:r>
    </w:p>
    <w:p w:rsidR="00000000" w:rsidRDefault="00000000">
      <w:pPr>
        <w:pStyle w:val="20"/>
        <w:numPr>
          <w:ilvl w:val="0"/>
          <w:numId w:val="1"/>
        </w:numPr>
        <w:tabs>
          <w:tab w:val="left" w:pos="360"/>
        </w:tabs>
        <w:spacing w:after="120" w:line="240" w:lineRule="exact"/>
        <w:ind w:left="1740" w:right="1264" w:hanging="476"/>
        <w:rPr>
          <w:sz w:val="20"/>
        </w:rPr>
      </w:pPr>
      <w:r>
        <w:rPr>
          <w:sz w:val="20"/>
        </w:rPr>
        <w:t>Родительский центр Новой Зеландии</w:t>
      </w:r>
    </w:p>
    <w:p w:rsidR="00000000" w:rsidRDefault="00000000">
      <w:pPr>
        <w:pStyle w:val="20"/>
        <w:numPr>
          <w:ilvl w:val="0"/>
          <w:numId w:val="1"/>
        </w:numPr>
        <w:tabs>
          <w:tab w:val="left" w:pos="360"/>
        </w:tabs>
        <w:spacing w:after="120" w:line="240" w:lineRule="exact"/>
        <w:ind w:left="1740" w:right="1264" w:hanging="476"/>
        <w:rPr>
          <w:sz w:val="20"/>
        </w:rPr>
      </w:pPr>
      <w:r>
        <w:rPr>
          <w:sz w:val="20"/>
        </w:rPr>
        <w:t>Комитет приходов и общин, Ассоциация женщин, исповедующих пресвитер</w:t>
      </w:r>
      <w:r>
        <w:rPr>
          <w:sz w:val="20"/>
        </w:rPr>
        <w:t>и</w:t>
      </w:r>
      <w:r>
        <w:rPr>
          <w:sz w:val="20"/>
        </w:rPr>
        <w:t>анство</w:t>
      </w:r>
    </w:p>
    <w:p w:rsidR="00000000" w:rsidRDefault="00000000">
      <w:pPr>
        <w:pStyle w:val="20"/>
        <w:numPr>
          <w:ilvl w:val="0"/>
          <w:numId w:val="1"/>
        </w:numPr>
        <w:tabs>
          <w:tab w:val="left" w:pos="360"/>
        </w:tabs>
        <w:spacing w:after="120" w:line="240" w:lineRule="exact"/>
        <w:ind w:left="1740" w:right="1264" w:hanging="476"/>
        <w:rPr>
          <w:sz w:val="20"/>
        </w:rPr>
      </w:pPr>
      <w:r>
        <w:rPr>
          <w:sz w:val="20"/>
        </w:rPr>
        <w:t>Королевское общество Новой Зеландии “Планкет”</w:t>
      </w:r>
    </w:p>
    <w:p w:rsidR="00000000" w:rsidRDefault="00000000">
      <w:pPr>
        <w:pStyle w:val="20"/>
        <w:numPr>
          <w:ilvl w:val="0"/>
          <w:numId w:val="1"/>
        </w:numPr>
        <w:tabs>
          <w:tab w:val="left" w:pos="360"/>
        </w:tabs>
        <w:spacing w:after="120" w:line="240" w:lineRule="exact"/>
        <w:ind w:left="1740" w:right="1264" w:hanging="476"/>
        <w:rPr>
          <w:sz w:val="20"/>
        </w:rPr>
      </w:pPr>
      <w:r>
        <w:rPr>
          <w:sz w:val="20"/>
        </w:rPr>
        <w:t>Рурал уимен Нью-Зиланд</w:t>
      </w:r>
    </w:p>
    <w:p w:rsidR="00000000" w:rsidRDefault="00000000">
      <w:pPr>
        <w:pStyle w:val="20"/>
        <w:numPr>
          <w:ilvl w:val="0"/>
          <w:numId w:val="1"/>
        </w:numPr>
        <w:tabs>
          <w:tab w:val="left" w:pos="360"/>
        </w:tabs>
        <w:spacing w:after="120" w:line="240" w:lineRule="exact"/>
        <w:ind w:left="1740" w:right="1264" w:hanging="476"/>
        <w:rPr>
          <w:sz w:val="20"/>
        </w:rPr>
      </w:pPr>
      <w:r>
        <w:rPr>
          <w:sz w:val="20"/>
        </w:rPr>
        <w:t>Ассоциация ООН в Новой Зеландии</w:t>
      </w:r>
    </w:p>
    <w:p w:rsidR="00000000" w:rsidRDefault="00000000">
      <w:pPr>
        <w:pStyle w:val="20"/>
        <w:spacing w:before="240" w:after="120" w:line="240" w:lineRule="auto"/>
        <w:ind w:left="1264" w:right="1264"/>
        <w:rPr>
          <w:b/>
          <w:sz w:val="20"/>
        </w:rPr>
      </w:pPr>
      <w:r>
        <w:rPr>
          <w:b/>
          <w:sz w:val="20"/>
        </w:rPr>
        <w:t>Местные группы</w:t>
      </w:r>
    </w:p>
    <w:p w:rsidR="00000000" w:rsidRDefault="00000000">
      <w:pPr>
        <w:pStyle w:val="20"/>
        <w:numPr>
          <w:ilvl w:val="0"/>
          <w:numId w:val="2"/>
        </w:numPr>
        <w:tabs>
          <w:tab w:val="left" w:pos="360"/>
        </w:tabs>
        <w:spacing w:after="120" w:line="240" w:lineRule="exact"/>
        <w:ind w:left="1740" w:right="1264" w:hanging="476"/>
        <w:rPr>
          <w:sz w:val="20"/>
        </w:rPr>
      </w:pPr>
      <w:r>
        <w:rPr>
          <w:sz w:val="20"/>
        </w:rPr>
        <w:t>Оклэнд секчуал эбьюз ХЭЛП</w:t>
      </w:r>
    </w:p>
    <w:p w:rsidR="00000000" w:rsidRDefault="00000000">
      <w:pPr>
        <w:pStyle w:val="20"/>
        <w:numPr>
          <w:ilvl w:val="0"/>
          <w:numId w:val="2"/>
        </w:numPr>
        <w:tabs>
          <w:tab w:val="left" w:pos="360"/>
        </w:tabs>
        <w:spacing w:after="120" w:line="240" w:lineRule="exact"/>
        <w:ind w:left="1740" w:right="1264" w:hanging="476"/>
        <w:rPr>
          <w:sz w:val="20"/>
        </w:rPr>
      </w:pPr>
      <w:r>
        <w:rPr>
          <w:sz w:val="20"/>
        </w:rPr>
        <w:t>Национальный совет женщин, Тэмз вэли</w:t>
      </w:r>
    </w:p>
    <w:p w:rsidR="00000000" w:rsidRDefault="00000000">
      <w:pPr>
        <w:pStyle w:val="20"/>
        <w:numPr>
          <w:ilvl w:val="0"/>
          <w:numId w:val="2"/>
        </w:numPr>
        <w:tabs>
          <w:tab w:val="left" w:pos="360"/>
        </w:tabs>
        <w:spacing w:after="120" w:line="240" w:lineRule="exact"/>
        <w:ind w:left="1740" w:right="1264" w:hanging="476"/>
        <w:rPr>
          <w:sz w:val="20"/>
        </w:rPr>
      </w:pPr>
      <w:r>
        <w:rPr>
          <w:sz w:val="20"/>
        </w:rPr>
        <w:t>Группа по КЛДЖ НПО "Нельсон"</w:t>
      </w:r>
    </w:p>
    <w:p w:rsidR="00000000" w:rsidRDefault="00000000">
      <w:pPr>
        <w:pStyle w:val="20"/>
        <w:numPr>
          <w:ilvl w:val="0"/>
          <w:numId w:val="2"/>
        </w:numPr>
        <w:tabs>
          <w:tab w:val="left" w:pos="360"/>
        </w:tabs>
        <w:spacing w:after="120" w:line="240" w:lineRule="exact"/>
        <w:ind w:left="1740" w:right="1264" w:hanging="476"/>
        <w:rPr>
          <w:sz w:val="20"/>
        </w:rPr>
      </w:pPr>
      <w:r>
        <w:rPr>
          <w:sz w:val="20"/>
        </w:rPr>
        <w:t>Общество женщин-юристов "Отаго"</w:t>
      </w:r>
    </w:p>
    <w:p w:rsidR="00000000" w:rsidRDefault="00000000">
      <w:pPr>
        <w:pStyle w:val="20"/>
        <w:numPr>
          <w:ilvl w:val="0"/>
          <w:numId w:val="2"/>
        </w:numPr>
        <w:tabs>
          <w:tab w:val="left" w:pos="360"/>
        </w:tabs>
        <w:spacing w:after="120" w:line="240" w:lineRule="exact"/>
        <w:ind w:left="1740" w:right="1264" w:hanging="476"/>
        <w:rPr>
          <w:sz w:val="20"/>
        </w:rPr>
      </w:pPr>
      <w:r>
        <w:rPr>
          <w:sz w:val="20"/>
        </w:rPr>
        <w:t>Группа по связям с общественностью, отделение на северном побережье, фед</w:t>
      </w:r>
      <w:r>
        <w:rPr>
          <w:sz w:val="20"/>
        </w:rPr>
        <w:t>е</w:t>
      </w:r>
      <w:r>
        <w:rPr>
          <w:sz w:val="20"/>
        </w:rPr>
        <w:t>рация женщин-выпускников Новой Зеландии</w:t>
      </w:r>
    </w:p>
    <w:p w:rsidR="00000000" w:rsidRDefault="00000000">
      <w:pPr>
        <w:pStyle w:val="20"/>
        <w:numPr>
          <w:ilvl w:val="0"/>
          <w:numId w:val="2"/>
        </w:numPr>
        <w:tabs>
          <w:tab w:val="left" w:pos="360"/>
        </w:tabs>
        <w:spacing w:after="120" w:line="240" w:lineRule="exact"/>
        <w:ind w:left="1740" w:right="1264" w:hanging="476"/>
        <w:rPr>
          <w:sz w:val="20"/>
        </w:rPr>
      </w:pPr>
      <w:r>
        <w:rPr>
          <w:sz w:val="20"/>
        </w:rPr>
        <w:t>Центр для женщин "Шакти эйшн"</w:t>
      </w:r>
    </w:p>
    <w:p w:rsidR="00000000" w:rsidRDefault="00000000">
      <w:pPr>
        <w:pStyle w:val="20"/>
        <w:numPr>
          <w:ilvl w:val="0"/>
          <w:numId w:val="2"/>
        </w:numPr>
        <w:tabs>
          <w:tab w:val="left" w:pos="360"/>
        </w:tabs>
        <w:spacing w:after="120" w:line="240" w:lineRule="exact"/>
        <w:ind w:left="1740" w:right="1264" w:hanging="476"/>
        <w:rPr>
          <w:sz w:val="20"/>
        </w:rPr>
      </w:pPr>
      <w:r>
        <w:rPr>
          <w:sz w:val="20"/>
        </w:rPr>
        <w:t>Комитет социальной справедливости, церковь общины святого Джеймса</w:t>
      </w:r>
    </w:p>
    <w:p w:rsidR="00000000" w:rsidRDefault="00000000">
      <w:pPr>
        <w:pStyle w:val="20"/>
        <w:numPr>
          <w:ilvl w:val="0"/>
          <w:numId w:val="2"/>
        </w:numPr>
        <w:tabs>
          <w:tab w:val="left" w:pos="360"/>
        </w:tabs>
        <w:spacing w:after="120" w:line="240" w:lineRule="exact"/>
        <w:ind w:left="1740" w:right="1264" w:hanging="476"/>
        <w:rPr>
          <w:sz w:val="20"/>
        </w:rPr>
      </w:pPr>
      <w:r>
        <w:rPr>
          <w:sz w:val="20"/>
        </w:rPr>
        <w:t>Те Пуавай Тапу</w:t>
      </w:r>
    </w:p>
    <w:p w:rsidR="00000000" w:rsidRDefault="00000000">
      <w:pPr>
        <w:pStyle w:val="20"/>
        <w:numPr>
          <w:ilvl w:val="0"/>
          <w:numId w:val="2"/>
        </w:numPr>
        <w:tabs>
          <w:tab w:val="left" w:pos="360"/>
        </w:tabs>
        <w:spacing w:after="120" w:line="240" w:lineRule="exact"/>
        <w:ind w:left="1740" w:right="1264" w:hanging="476"/>
        <w:rPr>
          <w:sz w:val="20"/>
        </w:rPr>
      </w:pPr>
      <w:r>
        <w:rPr>
          <w:sz w:val="20"/>
        </w:rPr>
        <w:t>Организация женщин-избирателей Капити, Лифет Стеорт и Миранда Паресс</w:t>
      </w:r>
    </w:p>
    <w:p w:rsidR="00000000" w:rsidRDefault="00000000">
      <w:pPr>
        <w:pStyle w:val="20"/>
        <w:numPr>
          <w:ilvl w:val="0"/>
          <w:numId w:val="2"/>
        </w:numPr>
        <w:tabs>
          <w:tab w:val="left" w:pos="360"/>
        </w:tabs>
        <w:spacing w:after="120" w:line="240" w:lineRule="exact"/>
        <w:ind w:left="1740" w:right="1264" w:hanging="476"/>
        <w:rPr>
          <w:sz w:val="20"/>
        </w:rPr>
      </w:pPr>
      <w:r>
        <w:rPr>
          <w:sz w:val="20"/>
        </w:rPr>
        <w:t>Уименз хэлф экшн траст</w:t>
      </w:r>
    </w:p>
    <w:p w:rsidR="00000000" w:rsidRDefault="00000000">
      <w:pPr>
        <w:pStyle w:val="20"/>
        <w:spacing w:before="240" w:after="120" w:line="240" w:lineRule="auto"/>
        <w:ind w:left="1264" w:right="1264"/>
        <w:rPr>
          <w:b/>
          <w:sz w:val="20"/>
        </w:rPr>
      </w:pPr>
      <w:r>
        <w:rPr>
          <w:b/>
          <w:sz w:val="20"/>
        </w:rPr>
        <w:t>Частные лица</w:t>
      </w:r>
    </w:p>
    <w:p w:rsidR="00000000" w:rsidRDefault="00000000">
      <w:pPr>
        <w:pStyle w:val="20"/>
        <w:numPr>
          <w:ilvl w:val="0"/>
          <w:numId w:val="3"/>
        </w:numPr>
        <w:tabs>
          <w:tab w:val="left" w:pos="360"/>
        </w:tabs>
        <w:spacing w:after="120" w:line="240" w:lineRule="exact"/>
        <w:ind w:left="1740" w:right="1264" w:hanging="476"/>
        <w:rPr>
          <w:sz w:val="20"/>
        </w:rPr>
      </w:pPr>
      <w:r>
        <w:rPr>
          <w:sz w:val="20"/>
        </w:rPr>
        <w:t>Ан Моефало и др.</w:t>
      </w:r>
    </w:p>
    <w:p w:rsidR="00000000" w:rsidRDefault="00000000">
      <w:pPr>
        <w:pStyle w:val="20"/>
        <w:numPr>
          <w:ilvl w:val="0"/>
          <w:numId w:val="3"/>
        </w:numPr>
        <w:tabs>
          <w:tab w:val="left" w:pos="360"/>
        </w:tabs>
        <w:spacing w:after="120" w:line="240" w:lineRule="exact"/>
        <w:ind w:left="1740" w:right="1264" w:hanging="476"/>
        <w:rPr>
          <w:sz w:val="20"/>
        </w:rPr>
      </w:pPr>
      <w:r>
        <w:rPr>
          <w:sz w:val="20"/>
        </w:rPr>
        <w:t>Барбара Робсон</w:t>
      </w:r>
    </w:p>
    <w:p w:rsidR="00000000" w:rsidRDefault="00000000">
      <w:pPr>
        <w:pStyle w:val="20"/>
        <w:numPr>
          <w:ilvl w:val="0"/>
          <w:numId w:val="3"/>
        </w:numPr>
        <w:tabs>
          <w:tab w:val="left" w:pos="360"/>
        </w:tabs>
        <w:spacing w:after="120" w:line="240" w:lineRule="exact"/>
        <w:ind w:left="1740" w:right="1264" w:hanging="476"/>
        <w:rPr>
          <w:sz w:val="20"/>
        </w:rPr>
      </w:pPr>
      <w:r>
        <w:rPr>
          <w:sz w:val="20"/>
        </w:rPr>
        <w:t>Беверли Тёрнер</w:t>
      </w:r>
    </w:p>
    <w:p w:rsidR="00000000" w:rsidRDefault="00000000">
      <w:pPr>
        <w:pStyle w:val="20"/>
        <w:numPr>
          <w:ilvl w:val="0"/>
          <w:numId w:val="3"/>
        </w:numPr>
        <w:tabs>
          <w:tab w:val="left" w:pos="360"/>
        </w:tabs>
        <w:spacing w:after="120" w:line="240" w:lineRule="exact"/>
        <w:ind w:left="1740" w:right="1264" w:hanging="476"/>
        <w:rPr>
          <w:sz w:val="20"/>
        </w:rPr>
      </w:pPr>
      <w:r>
        <w:rPr>
          <w:sz w:val="20"/>
        </w:rPr>
        <w:t>Эвелин Джонс</w:t>
      </w:r>
    </w:p>
    <w:p w:rsidR="00000000" w:rsidRDefault="00000000">
      <w:pPr>
        <w:pStyle w:val="20"/>
        <w:numPr>
          <w:ilvl w:val="0"/>
          <w:numId w:val="3"/>
        </w:numPr>
        <w:tabs>
          <w:tab w:val="left" w:pos="360"/>
        </w:tabs>
        <w:spacing w:after="120" w:line="240" w:lineRule="exact"/>
        <w:ind w:left="1740" w:right="1264" w:hanging="476"/>
        <w:rPr>
          <w:sz w:val="20"/>
        </w:rPr>
      </w:pPr>
      <w:r>
        <w:rPr>
          <w:sz w:val="20"/>
        </w:rPr>
        <w:t>Франс Эйси</w:t>
      </w:r>
    </w:p>
    <w:p w:rsidR="00000000" w:rsidRDefault="00000000">
      <w:pPr>
        <w:pStyle w:val="20"/>
        <w:numPr>
          <w:ilvl w:val="0"/>
          <w:numId w:val="3"/>
        </w:numPr>
        <w:tabs>
          <w:tab w:val="left" w:pos="360"/>
        </w:tabs>
        <w:spacing w:after="120" w:line="240" w:lineRule="exact"/>
        <w:ind w:left="1740" w:right="1264" w:hanging="476"/>
        <w:rPr>
          <w:sz w:val="20"/>
        </w:rPr>
      </w:pPr>
      <w:r>
        <w:rPr>
          <w:sz w:val="20"/>
        </w:rPr>
        <w:t>Джэнет Гарнет</w:t>
      </w:r>
    </w:p>
    <w:p w:rsidR="00000000" w:rsidRDefault="00000000">
      <w:pPr>
        <w:pStyle w:val="20"/>
        <w:numPr>
          <w:ilvl w:val="0"/>
          <w:numId w:val="3"/>
        </w:numPr>
        <w:tabs>
          <w:tab w:val="left" w:pos="360"/>
        </w:tabs>
        <w:spacing w:after="120" w:line="240" w:lineRule="exact"/>
        <w:ind w:left="1740" w:right="1264" w:hanging="476"/>
        <w:rPr>
          <w:sz w:val="20"/>
        </w:rPr>
      </w:pPr>
      <w:r>
        <w:rPr>
          <w:sz w:val="20"/>
        </w:rPr>
        <w:t>Луи Бурнет</w:t>
      </w:r>
    </w:p>
    <w:p w:rsidR="00000000" w:rsidRDefault="00000000">
      <w:pPr>
        <w:pStyle w:val="20"/>
        <w:numPr>
          <w:ilvl w:val="0"/>
          <w:numId w:val="3"/>
        </w:numPr>
        <w:tabs>
          <w:tab w:val="left" w:pos="360"/>
        </w:tabs>
        <w:spacing w:after="120" w:line="240" w:lineRule="exact"/>
        <w:ind w:left="1740" w:right="1264" w:hanging="476"/>
        <w:rPr>
          <w:sz w:val="20"/>
        </w:rPr>
      </w:pPr>
      <w:r>
        <w:rPr>
          <w:sz w:val="20"/>
        </w:rPr>
        <w:t>Мариан Педерсон</w:t>
      </w:r>
    </w:p>
    <w:p w:rsidR="00000000" w:rsidRDefault="00000000">
      <w:pPr>
        <w:pStyle w:val="20"/>
        <w:numPr>
          <w:ilvl w:val="0"/>
          <w:numId w:val="3"/>
        </w:numPr>
        <w:tabs>
          <w:tab w:val="left" w:pos="360"/>
        </w:tabs>
        <w:spacing w:after="120" w:line="240" w:lineRule="exact"/>
        <w:ind w:left="1740" w:right="1264" w:hanging="476"/>
        <w:rPr>
          <w:sz w:val="20"/>
        </w:rPr>
      </w:pPr>
      <w:r>
        <w:rPr>
          <w:sz w:val="20"/>
        </w:rPr>
        <w:t>Мэй Николсон</w:t>
      </w:r>
    </w:p>
    <w:p w:rsidR="00000000" w:rsidRDefault="00000000">
      <w:pPr>
        <w:pStyle w:val="20"/>
        <w:numPr>
          <w:ilvl w:val="0"/>
          <w:numId w:val="3"/>
        </w:numPr>
        <w:tabs>
          <w:tab w:val="left" w:pos="360"/>
        </w:tabs>
        <w:spacing w:after="120" w:line="240" w:lineRule="exact"/>
        <w:ind w:left="1740" w:right="1264" w:hanging="476"/>
        <w:rPr>
          <w:sz w:val="20"/>
        </w:rPr>
      </w:pPr>
      <w:r>
        <w:rPr>
          <w:sz w:val="20"/>
        </w:rPr>
        <w:t>Тина Барнет</w:t>
      </w:r>
    </w:p>
    <w:p w:rsidR="00000000" w:rsidRDefault="00000000">
      <w:pPr>
        <w:pStyle w:val="20"/>
        <w:numPr>
          <w:ilvl w:val="0"/>
          <w:numId w:val="3"/>
        </w:numPr>
        <w:tabs>
          <w:tab w:val="left" w:pos="360"/>
        </w:tabs>
        <w:spacing w:after="120" w:line="240" w:lineRule="exact"/>
        <w:ind w:left="1740" w:right="1264" w:hanging="476"/>
        <w:rPr>
          <w:sz w:val="20"/>
        </w:rPr>
      </w:pPr>
      <w:r>
        <w:rPr>
          <w:sz w:val="20"/>
        </w:rPr>
        <w:t>Виктория Робертс</w:t>
      </w:r>
    </w:p>
    <w:p w:rsidR="00000000" w:rsidRDefault="00000000">
      <w:pPr>
        <w:pStyle w:val="HCh"/>
      </w:pPr>
      <w:r>
        <w:br w:type="page"/>
      </w:r>
      <w:bookmarkStart w:id="43" w:name="_Toc30302908"/>
      <w:r>
        <w:t>Приложение 3. Базовый документ, составляющий часть докладов государств-участников</w:t>
      </w:r>
      <w:bookmarkEnd w:id="43"/>
    </w:p>
    <w:p w:rsidR="00000000" w:rsidRDefault="00000000">
      <w:pPr>
        <w:pStyle w:val="H1"/>
        <w:spacing w:before="200"/>
      </w:pPr>
      <w:r>
        <w:t>Новая Зеландия</w:t>
      </w:r>
    </w:p>
    <w:p w:rsidR="00000000" w:rsidRDefault="00000000">
      <w:pPr>
        <w:pStyle w:val="H1"/>
        <w:spacing w:before="200"/>
      </w:pPr>
      <w:r>
        <w:t>I.</w:t>
      </w:r>
      <w:r>
        <w:tab/>
        <w:t>Территория и население</w:t>
      </w:r>
    </w:p>
    <w:p w:rsidR="00000000" w:rsidRDefault="00000000">
      <w:pPr>
        <w:pStyle w:val="SingleTxt"/>
      </w:pPr>
      <w:r>
        <w:t>1.</w:t>
      </w:r>
      <w:r>
        <w:tab/>
      </w:r>
      <w:r>
        <w:rPr>
          <w:u w:val="single"/>
        </w:rPr>
        <w:t>Страна.</w:t>
      </w:r>
      <w:r>
        <w:t xml:space="preserve"> Новая Зеландия, расположенная в юго-западной части Тих</w:t>
      </w:r>
      <w:r>
        <w:t>о</w:t>
      </w:r>
      <w:r>
        <w:t>го океана на равном расстоянии от экватора и южного полюса, состоит из двух основных островов – Северного и Южного и ряда мелких островов. Общая площадь ее территории составляет 268 021 квадратный километр (что приме</w:t>
      </w:r>
      <w:r>
        <w:t>р</w:t>
      </w:r>
      <w:r>
        <w:t>но соответствует площади территории Японии или Британских островов). На севере крупнейшими соседями Новой Зеландии являются Новая Каледония, Фиджи и Тонга, а на западе – Австралия. Этот район земного шара характер</w:t>
      </w:r>
      <w:r>
        <w:t>и</w:t>
      </w:r>
      <w:r>
        <w:t>зуется активной вулканической деятельностью и частыми землетрясениями. Граница между Индо-Австралийским и Тихоокеанским плато проходит через Новую Зеландию, в связи с чем процессы, обусловленные их взаимодействием, оказали значительное воздействие на размер территории, рельеф и геологич</w:t>
      </w:r>
      <w:r>
        <w:t>е</w:t>
      </w:r>
      <w:r>
        <w:t>скую структуру Новой Зеландии. В горной цепи Южных Альп на Южном ос</w:t>
      </w:r>
      <w:r>
        <w:t>т</w:t>
      </w:r>
      <w:r>
        <w:t>рове, покрытых вечными снегами и многочисленными ледниками, насчитыв</w:t>
      </w:r>
      <w:r>
        <w:t>а</w:t>
      </w:r>
      <w:r>
        <w:t>ется 19 пиков, высота которых превышает 3000 метров. Расстояние между крайней северной и крайней южной точками Новой Зеландии составляет 1600 километров, при этом ни один из районов территории не удален от поб</w:t>
      </w:r>
      <w:r>
        <w:t>е</w:t>
      </w:r>
      <w:r>
        <w:t>режья более чем на 120 километров. В силу большой протяженности береговой линии и удаленности от ближайших соседних стран район прибрежных вод, в котором Новая Зеландия имеет исключительные права на осуществление эк</w:t>
      </w:r>
      <w:r>
        <w:t>о</w:t>
      </w:r>
      <w:r>
        <w:t>номической деятельности, является четвертым по величине в мире. В состав территории Новой Зеландии также входит территория в Антарктиде, прил</w:t>
      </w:r>
      <w:r>
        <w:t>е</w:t>
      </w:r>
      <w:r>
        <w:t>гающая к морю Росс.</w:t>
      </w:r>
    </w:p>
    <w:p w:rsidR="00000000" w:rsidRDefault="00000000">
      <w:pPr>
        <w:pStyle w:val="SingleTxt"/>
      </w:pPr>
      <w:r>
        <w:t xml:space="preserve">2. </w:t>
      </w:r>
      <w:r>
        <w:tab/>
        <w:t>Новая Зеландия имеет юрисдикцию над несамоуправляющейся те</w:t>
      </w:r>
      <w:r>
        <w:t>р</w:t>
      </w:r>
      <w:r>
        <w:t>риторией Токелау. Она серьезно относится к своему обязательству развивать в соответствии с Уставом Организации Объединенных Наций самоуправление над Токелау в целях осуществления права на самоопределение. Новая Зеландия обеспечивает подготовку докладов в отношении Токелау. Все жители Токелау, Ниуэ и Островов Кука являются гражданами Новой Зеландии. Ниуэ и Острова Кука являются самоуправляющимися государствами, состоящими в свободной ассоциации с Новой Зеландией. В рамках свободной ассоциации правительство Ниуэ и Островов Кука осуществляют всю полноту законодательной и исполн</w:t>
      </w:r>
      <w:r>
        <w:t>и</w:t>
      </w:r>
      <w:r>
        <w:t>тельной власти. Хотя Новая Зеландия несет ответственность за внешние связи и оборону обеих стран, такая ответственность не наделяет Новую Зеландию правами контроля, и она осуществляет эти функции только по прямым запр</w:t>
      </w:r>
      <w:r>
        <w:t>о</w:t>
      </w:r>
      <w:r>
        <w:t>сам правительств Ниуэ или Островов Кука. Ниуэ и Острова Кука обладают в полной мере компетенцией в отношении соблюдения своих обязательств по международным документам в области прав человека и поэтому несут ответс</w:t>
      </w:r>
      <w:r>
        <w:t>т</w:t>
      </w:r>
      <w:r>
        <w:t>венность за подготовку соответствующих докладов. В прошлом Новая Зела</w:t>
      </w:r>
      <w:r>
        <w:t>н</w:t>
      </w:r>
      <w:r>
        <w:t>дия оказывала им помощь в данной области.</w:t>
      </w:r>
    </w:p>
    <w:p w:rsidR="00000000" w:rsidRDefault="00000000">
      <w:pPr>
        <w:pStyle w:val="SingleTxt"/>
      </w:pPr>
      <w:r>
        <w:t>3.</w:t>
      </w:r>
      <w:r>
        <w:tab/>
      </w:r>
      <w:r>
        <w:rPr>
          <w:u w:val="single"/>
        </w:rPr>
        <w:t>История.</w:t>
      </w:r>
      <w:r>
        <w:t xml:space="preserve"> Считается, что первые полинезийские поселенцы прибыли в Аотеароа/Новую Зеландию более чем 1000 лет назад. К двенадцатому стол</w:t>
      </w:r>
      <w:r>
        <w:t>е</w:t>
      </w:r>
      <w:r>
        <w:t>тию поселения маори были разбросаны на большей части территории страны. В 1642 году Аотеароа открыл голландский мореплаватель Абель Тасман, одн</w:t>
      </w:r>
      <w:r>
        <w:t>а</w:t>
      </w:r>
      <w:r>
        <w:t>ко первый европеец сошел на землю Новой Зеландии только спустя 127 лет, в 1769 году. Им оказался капитан британского военно-морского флота Джеймс Кук. Организованное расселение европейцев началось в середине девятнадц</w:t>
      </w:r>
      <w:r>
        <w:t>а</w:t>
      </w:r>
      <w:r>
        <w:t>того столетия.</w:t>
      </w:r>
    </w:p>
    <w:p w:rsidR="00000000" w:rsidRDefault="00000000">
      <w:pPr>
        <w:pStyle w:val="SingleTxt"/>
      </w:pPr>
      <w:r>
        <w:t xml:space="preserve">4. </w:t>
      </w:r>
      <w:r>
        <w:tab/>
        <w:t xml:space="preserve">В 1840 году </w:t>
      </w:r>
      <w:r>
        <w:rPr>
          <w:u w:val="single"/>
        </w:rPr>
        <w:t xml:space="preserve">иви </w:t>
      </w:r>
      <w:r>
        <w:t>маори (коренные племена Новой Зеландии) и бр</w:t>
      </w:r>
      <w:r>
        <w:t>и</w:t>
      </w:r>
      <w:r>
        <w:t>танская корона подписали договор Вайтанги. Этот договор является основоп</w:t>
      </w:r>
      <w:r>
        <w:t>о</w:t>
      </w:r>
      <w:r>
        <w:t>лага</w:t>
      </w:r>
      <w:r>
        <w:t>ю</w:t>
      </w:r>
      <w:r>
        <w:t>щим документом современной Новой Зеландии.</w:t>
      </w:r>
    </w:p>
    <w:p w:rsidR="00000000" w:rsidRDefault="00000000">
      <w:pPr>
        <w:pStyle w:val="SingleTxt"/>
      </w:pPr>
      <w:r>
        <w:t xml:space="preserve">5. </w:t>
      </w:r>
      <w:r>
        <w:tab/>
      </w:r>
      <w:r>
        <w:rPr>
          <w:u w:val="single"/>
        </w:rPr>
        <w:t>Основные этнические и демографические сведения.</w:t>
      </w:r>
      <w:r>
        <w:t xml:space="preserve"> В Новой Зела</w:t>
      </w:r>
      <w:r>
        <w:t>н</w:t>
      </w:r>
      <w:r>
        <w:t>дии демографические показатели претерпевали те же изменения, что и в др</w:t>
      </w:r>
      <w:r>
        <w:t>у</w:t>
      </w:r>
      <w:r>
        <w:t>гих развитых странах. Все большая часть населения страны стала проживать в городах, средний размер семьи медленно сокращается, а доля пожилых лиц продолжает увеличиваться. Ожидается, что темпы роста населения будут нев</w:t>
      </w:r>
      <w:r>
        <w:t>ы</w:t>
      </w:r>
      <w:r>
        <w:t>соки на фоне устойчивой тенденции к увеличению доли пожилых лиц. Одна из особенностей структуры населения Новой Зеландии заключается в увелич</w:t>
      </w:r>
      <w:r>
        <w:t>и</w:t>
      </w:r>
      <w:r>
        <w:t>вающемся многообразии этнических групп, в связи с чем лица неевропейского происхождения начинают составлять все более высокую процентную долю в структуре постоянного населения Новой З</w:t>
      </w:r>
      <w:r>
        <w:t>е</w:t>
      </w:r>
      <w:r>
        <w:t>ландии.</w:t>
      </w:r>
    </w:p>
    <w:p w:rsidR="00000000" w:rsidRDefault="00000000">
      <w:pPr>
        <w:pStyle w:val="SingleTxt"/>
      </w:pPr>
      <w:r>
        <w:t xml:space="preserve">6. </w:t>
      </w:r>
      <w:r>
        <w:tab/>
      </w:r>
      <w:r>
        <w:rPr>
          <w:u w:val="single"/>
        </w:rPr>
        <w:t>Население.</w:t>
      </w:r>
      <w:r>
        <w:t xml:space="preserve"> По данным последней переписи населения 2001 года, к</w:t>
      </w:r>
      <w:r>
        <w:t>о</w:t>
      </w:r>
      <w:r>
        <w:t>торая проводится раз в пять лет, численность постоянного населения Новой З</w:t>
      </w:r>
      <w:r>
        <w:t>е</w:t>
      </w:r>
      <w:r>
        <w:t>ландии составила 3,74 миллиона человек. По оценкам, плотность населения равна 13,8 человека на один квадратный километр.</w:t>
      </w:r>
    </w:p>
    <w:p w:rsidR="00000000" w:rsidRDefault="00000000">
      <w:pPr>
        <w:pStyle w:val="SingleTxt"/>
      </w:pPr>
      <w:r>
        <w:t xml:space="preserve">7. </w:t>
      </w:r>
      <w:r>
        <w:tab/>
      </w:r>
      <w:r>
        <w:rPr>
          <w:u w:val="single"/>
        </w:rPr>
        <w:t>Этнический состав.</w:t>
      </w:r>
      <w:r>
        <w:t xml:space="preserve"> По результатам переписи 2001 года доля новоз</w:t>
      </w:r>
      <w:r>
        <w:t>е</w:t>
      </w:r>
      <w:r>
        <w:t>ландцев европейского происхождения или лиц, родившихся в Европе, соста</w:t>
      </w:r>
      <w:r>
        <w:t>в</w:t>
      </w:r>
      <w:r>
        <w:t>ляла 80,0 процентов от общей численности постоянного населения, а Маори – 14,7 процента. Большая часть остального постоянного населения относится или к этнической группе жителей Тихоокеанских островов (6,5 процентов) или к азиатской этнической группе (6,6 процента).</w:t>
      </w:r>
    </w:p>
    <w:p w:rsidR="00000000" w:rsidRDefault="00000000">
      <w:pPr>
        <w:pStyle w:val="SingleTxt"/>
      </w:pPr>
      <w:r>
        <w:t xml:space="preserve">8. </w:t>
      </w:r>
      <w:r>
        <w:tab/>
        <w:t>Ниже приводятся данные о населении страны с разбивкой по осно</w:t>
      </w:r>
      <w:r>
        <w:t>в</w:t>
      </w:r>
      <w:r>
        <w:t>ным этническим группам. В представленной таблице сопоставлены данные п</w:t>
      </w:r>
      <w:r>
        <w:t>е</w:t>
      </w:r>
      <w:r>
        <w:t>реписи 1991 и 2001 годов. Жителям страны был задан вопрос о том, к какой э</w:t>
      </w:r>
      <w:r>
        <w:t>т</w:t>
      </w:r>
      <w:r>
        <w:t>нической группе (этническим группам) они относятся. Им разрешалось в</w:t>
      </w:r>
      <w:r>
        <w:t>ы</w:t>
      </w:r>
      <w:r>
        <w:t>брать столько стандартных групп, сколько они пожелают, и, если это оказалось бы недостаточным, они могли вписать свою собственную группу (группы). В ходе переписи 2001 года более 9 процентов жителей Новой Зеландии сообщ</w:t>
      </w:r>
      <w:r>
        <w:t>и</w:t>
      </w:r>
      <w:r>
        <w:t>ли, что они относятся более чем к одной этнической группе. Во время провед</w:t>
      </w:r>
      <w:r>
        <w:t>е</w:t>
      </w:r>
      <w:r>
        <w:t>ния этой переписи гораздо более высокий процент (21 процент) детей в возра</w:t>
      </w:r>
      <w:r>
        <w:t>с</w:t>
      </w:r>
      <w:r>
        <w:t>те до 5 лет принадлежал более чем к одной этнической группе. Вопросы, к</w:t>
      </w:r>
      <w:r>
        <w:t>а</w:t>
      </w:r>
      <w:r>
        <w:t>савшиеся этнического происхождения, заданные в ходе переписи 2001 года, были сформулированы иначе, чем в ходе переписи 1996 года, но совпадали с теми, что были использованы в ходе переписи 1991 года (если не учитывать использование термина “маори” вместо термина “новозеландские маори”). В результате изменения формулировок вопросов, касавшихся этнического прои</w:t>
      </w:r>
      <w:r>
        <w:t>с</w:t>
      </w:r>
      <w:r>
        <w:t>хождения, возникли трудности с сопоставлением данных, относящихся к трем различным переписям (1991, 1996 и 2001 годов). Именно в силу этой причины будут сопоставлены данные по этническим группам, относящиеся лишь к 1991 и 2001 годам.</w:t>
      </w:r>
    </w:p>
    <w:p w:rsidR="00000000" w:rsidRDefault="00000000">
      <w:pPr>
        <w:pStyle w:val="SingleTxt"/>
      </w:pPr>
      <w:r>
        <w:t xml:space="preserve">9. </w:t>
      </w:r>
      <w:r>
        <w:tab/>
        <w:t>Нижеследующая таблица составлена на основе общих данных, пол</w:t>
      </w:r>
      <w:r>
        <w:t>у</w:t>
      </w:r>
      <w:r>
        <w:t>ченных в результате опроса. В случаях, когда какое бы то ни было лицо соо</w:t>
      </w:r>
      <w:r>
        <w:t>б</w:t>
      </w:r>
      <w:r>
        <w:t>щало о принадлежности более чем к одной этнической группе, оно учитыв</w:t>
      </w:r>
      <w:r>
        <w:t>а</w:t>
      </w:r>
      <w:r>
        <w:t>лось при подсчете численности каждой соответствующей группы. В 2001 году можно было сообщить о своей принадлежности максимум к шести этническим группам, однако в 1991 году – максимум к трем. В таблице данные по 2001 году представлены на той же основе, что и данные по 1991 году, причем для выбора трех этнических групп использовалась система приоритетного распределения ответов. Иерархия приоритетного распределения ответов на первом уровне э</w:t>
      </w:r>
      <w:r>
        <w:t>т</w:t>
      </w:r>
      <w:r>
        <w:t>нической классификации выглядит следующим образом: новозеландские ма</w:t>
      </w:r>
      <w:r>
        <w:t>о</w:t>
      </w:r>
      <w:r>
        <w:t>ри, жители Тихоокеанских островов, азиаты, прочие и европейцы. В таблице не учтены лица, которые не указали этнической группы или чьи ответы нельзя было идентифиц</w:t>
      </w:r>
      <w:r>
        <w:t>и</w:t>
      </w:r>
      <w:r>
        <w:t>ровать.</w:t>
      </w:r>
    </w:p>
    <w:p w:rsidR="00000000" w:rsidRDefault="00000000">
      <w:pPr>
        <w:ind w:left="1264" w:right="1264"/>
      </w:pPr>
    </w:p>
    <w:tbl>
      <w:tblPr>
        <w:tblW w:w="0" w:type="auto"/>
        <w:tblInd w:w="1278" w:type="dxa"/>
        <w:tblLayout w:type="fixed"/>
        <w:tblCellMar>
          <w:left w:w="28" w:type="dxa"/>
          <w:right w:w="28" w:type="dxa"/>
        </w:tblCellMar>
        <w:tblLook w:val="0000" w:firstRow="0" w:lastRow="0" w:firstColumn="0" w:lastColumn="0" w:noHBand="0" w:noVBand="0"/>
      </w:tblPr>
      <w:tblGrid>
        <w:gridCol w:w="1843"/>
        <w:gridCol w:w="1417"/>
        <w:gridCol w:w="1418"/>
        <w:gridCol w:w="1701"/>
        <w:gridCol w:w="992"/>
      </w:tblGrid>
      <w:tr w:rsidR="00000000">
        <w:tblPrEx>
          <w:tblCellMar>
            <w:top w:w="0" w:type="dxa"/>
            <w:bottom w:w="0" w:type="dxa"/>
          </w:tblCellMar>
        </w:tblPrEx>
        <w:trPr>
          <w:cantSplit/>
          <w:tblHeader/>
        </w:trPr>
        <w:tc>
          <w:tcPr>
            <w:tcW w:w="7371" w:type="dxa"/>
            <w:gridSpan w:val="5"/>
            <w:tcBorders>
              <w:top w:val="single" w:sz="6" w:space="0" w:color="auto"/>
              <w:bottom w:val="single" w:sz="6" w:space="0" w:color="auto"/>
            </w:tcBorders>
          </w:tcPr>
          <w:p w:rsidR="00000000" w:rsidRDefault="00000000">
            <w:pPr>
              <w:spacing w:before="40" w:after="40" w:line="180" w:lineRule="exact"/>
              <w:jc w:val="center"/>
              <w:rPr>
                <w:b/>
                <w:sz w:val="17"/>
                <w:vertAlign w:val="superscript"/>
              </w:rPr>
            </w:pPr>
            <w:r>
              <w:rPr>
                <w:b/>
                <w:sz w:val="17"/>
              </w:rPr>
              <w:t>Этническая группа – максимум три ответа</w:t>
            </w:r>
            <w:r>
              <w:rPr>
                <w:b/>
                <w:sz w:val="17"/>
                <w:vertAlign w:val="superscript"/>
              </w:rPr>
              <w:t>(1)(2)</w:t>
            </w:r>
          </w:p>
          <w:p w:rsidR="00000000" w:rsidRDefault="00000000">
            <w:pPr>
              <w:spacing w:before="40" w:after="40" w:line="180" w:lineRule="exact"/>
              <w:jc w:val="center"/>
              <w:rPr>
                <w:b/>
                <w:i/>
                <w:sz w:val="17"/>
              </w:rPr>
            </w:pPr>
            <w:r>
              <w:rPr>
                <w:b/>
                <w:sz w:val="17"/>
              </w:rPr>
              <w:t>(Общее число ответов)</w:t>
            </w:r>
            <w:r>
              <w:rPr>
                <w:b/>
                <w:sz w:val="17"/>
                <w:vertAlign w:val="superscript"/>
              </w:rPr>
              <w:t>(3)</w:t>
            </w:r>
            <w:r>
              <w:rPr>
                <w:b/>
                <w:sz w:val="17"/>
              </w:rPr>
              <w:t xml:space="preserve"> и пол</w:t>
            </w:r>
          </w:p>
        </w:tc>
      </w:tr>
      <w:tr w:rsidR="00000000">
        <w:tblPrEx>
          <w:tblCellMar>
            <w:top w:w="0" w:type="dxa"/>
            <w:bottom w:w="0" w:type="dxa"/>
          </w:tblCellMar>
        </w:tblPrEx>
        <w:trPr>
          <w:cantSplit/>
          <w:tblHeader/>
        </w:trPr>
        <w:tc>
          <w:tcPr>
            <w:tcW w:w="7371" w:type="dxa"/>
            <w:gridSpan w:val="5"/>
            <w:tcBorders>
              <w:top w:val="single" w:sz="6" w:space="0" w:color="auto"/>
              <w:bottom w:val="single" w:sz="6" w:space="0" w:color="auto"/>
            </w:tcBorders>
          </w:tcPr>
          <w:p w:rsidR="00000000" w:rsidRDefault="00000000">
            <w:pPr>
              <w:spacing w:before="40" w:after="40" w:line="180" w:lineRule="exact"/>
              <w:jc w:val="center"/>
              <w:rPr>
                <w:i/>
                <w:sz w:val="17"/>
              </w:rPr>
            </w:pPr>
            <w:r>
              <w:rPr>
                <w:i/>
                <w:sz w:val="17"/>
              </w:rPr>
              <w:t>Применительно к переписям постоянного населения, проведенным в 1991 и 2001 годах</w:t>
            </w:r>
          </w:p>
        </w:tc>
      </w:tr>
      <w:tr w:rsidR="00000000">
        <w:tblPrEx>
          <w:tblCellMar>
            <w:top w:w="0" w:type="dxa"/>
            <w:bottom w:w="0" w:type="dxa"/>
          </w:tblCellMar>
        </w:tblPrEx>
        <w:trPr>
          <w:cantSplit/>
          <w:tblHeader/>
        </w:trPr>
        <w:tc>
          <w:tcPr>
            <w:tcW w:w="1843" w:type="dxa"/>
            <w:tcBorders>
              <w:top w:val="single" w:sz="6" w:space="0" w:color="auto"/>
              <w:bottom w:val="single" w:sz="6" w:space="0" w:color="auto"/>
            </w:tcBorders>
            <w:vAlign w:val="center"/>
          </w:tcPr>
          <w:p w:rsidR="00000000" w:rsidRDefault="00000000">
            <w:pPr>
              <w:spacing w:before="40" w:after="40" w:line="180" w:lineRule="exact"/>
              <w:jc w:val="center"/>
              <w:rPr>
                <w:i/>
                <w:sz w:val="17"/>
              </w:rPr>
            </w:pPr>
            <w:r>
              <w:rPr>
                <w:i/>
                <w:sz w:val="17"/>
              </w:rPr>
              <w:t>Этническая группа – максимум три ответа (общее число отв</w:t>
            </w:r>
            <w:r>
              <w:rPr>
                <w:i/>
                <w:sz w:val="17"/>
              </w:rPr>
              <w:t>е</w:t>
            </w:r>
            <w:r>
              <w:rPr>
                <w:i/>
                <w:sz w:val="17"/>
              </w:rPr>
              <w:t>тов) и пол</w:t>
            </w:r>
          </w:p>
        </w:tc>
        <w:tc>
          <w:tcPr>
            <w:tcW w:w="2835" w:type="dxa"/>
            <w:gridSpan w:val="2"/>
            <w:tcBorders>
              <w:top w:val="single" w:sz="6" w:space="0" w:color="auto"/>
              <w:bottom w:val="single" w:sz="6" w:space="0" w:color="auto"/>
            </w:tcBorders>
            <w:vAlign w:val="center"/>
          </w:tcPr>
          <w:p w:rsidR="00000000" w:rsidRDefault="00000000">
            <w:pPr>
              <w:spacing w:before="40" w:after="40" w:line="180" w:lineRule="exact"/>
              <w:jc w:val="center"/>
              <w:rPr>
                <w:i/>
                <w:sz w:val="17"/>
              </w:rPr>
            </w:pPr>
            <w:r>
              <w:rPr>
                <w:i/>
                <w:sz w:val="17"/>
              </w:rPr>
              <w:t>Год проведения переписи</w:t>
            </w:r>
          </w:p>
        </w:tc>
        <w:tc>
          <w:tcPr>
            <w:tcW w:w="2693" w:type="dxa"/>
            <w:gridSpan w:val="2"/>
            <w:tcBorders>
              <w:top w:val="single" w:sz="6" w:space="0" w:color="auto"/>
              <w:bottom w:val="single" w:sz="6" w:space="0" w:color="auto"/>
            </w:tcBorders>
            <w:vAlign w:val="center"/>
          </w:tcPr>
          <w:p w:rsidR="00000000" w:rsidRDefault="00000000">
            <w:pPr>
              <w:spacing w:before="40" w:after="40" w:line="180" w:lineRule="exact"/>
              <w:jc w:val="center"/>
              <w:rPr>
                <w:i/>
                <w:sz w:val="17"/>
              </w:rPr>
            </w:pPr>
            <w:r>
              <w:rPr>
                <w:i/>
                <w:sz w:val="17"/>
              </w:rPr>
              <w:t>Процентная доля в составе н</w:t>
            </w:r>
            <w:r>
              <w:rPr>
                <w:i/>
                <w:sz w:val="17"/>
              </w:rPr>
              <w:t>а</w:t>
            </w:r>
            <w:r>
              <w:rPr>
                <w:i/>
                <w:sz w:val="17"/>
              </w:rPr>
              <w:t>селения</w:t>
            </w:r>
          </w:p>
        </w:tc>
      </w:tr>
      <w:tr w:rsidR="00000000">
        <w:tblPrEx>
          <w:tblCellMar>
            <w:top w:w="0" w:type="dxa"/>
            <w:bottom w:w="0" w:type="dxa"/>
          </w:tblCellMar>
        </w:tblPrEx>
        <w:trPr>
          <w:cantSplit/>
          <w:tblHeader/>
        </w:trPr>
        <w:tc>
          <w:tcPr>
            <w:tcW w:w="1843" w:type="dxa"/>
            <w:tcBorders>
              <w:top w:val="single" w:sz="6" w:space="0" w:color="auto"/>
            </w:tcBorders>
          </w:tcPr>
          <w:p w:rsidR="00000000" w:rsidRDefault="00000000">
            <w:pPr>
              <w:spacing w:before="40" w:after="40" w:line="180" w:lineRule="exact"/>
              <w:jc w:val="center"/>
              <w:rPr>
                <w:i/>
                <w:sz w:val="17"/>
              </w:rPr>
            </w:pPr>
          </w:p>
        </w:tc>
        <w:tc>
          <w:tcPr>
            <w:tcW w:w="2835" w:type="dxa"/>
            <w:gridSpan w:val="2"/>
            <w:tcBorders>
              <w:top w:val="single" w:sz="6" w:space="0" w:color="auto"/>
            </w:tcBorders>
          </w:tcPr>
          <w:p w:rsidR="00000000" w:rsidRDefault="00000000">
            <w:pPr>
              <w:spacing w:before="40" w:after="40" w:line="180" w:lineRule="exact"/>
              <w:jc w:val="center"/>
              <w:rPr>
                <w:i/>
                <w:sz w:val="17"/>
              </w:rPr>
            </w:pPr>
          </w:p>
        </w:tc>
        <w:tc>
          <w:tcPr>
            <w:tcW w:w="2693" w:type="dxa"/>
            <w:gridSpan w:val="2"/>
            <w:tcBorders>
              <w:top w:val="single" w:sz="6" w:space="0" w:color="auto"/>
              <w:bottom w:val="single" w:sz="6" w:space="0" w:color="auto"/>
            </w:tcBorders>
          </w:tcPr>
          <w:p w:rsidR="00000000" w:rsidRDefault="00000000">
            <w:pPr>
              <w:pStyle w:val="10"/>
              <w:keepNext w:val="0"/>
              <w:spacing w:before="40" w:after="40" w:line="180" w:lineRule="exact"/>
              <w:rPr>
                <w:i/>
                <w:sz w:val="17"/>
              </w:rPr>
            </w:pPr>
            <w:r>
              <w:rPr>
                <w:i/>
                <w:sz w:val="17"/>
              </w:rPr>
              <w:t>Год проведения переп</w:t>
            </w:r>
            <w:r>
              <w:rPr>
                <w:i/>
                <w:sz w:val="17"/>
              </w:rPr>
              <w:t>и</w:t>
            </w:r>
            <w:r>
              <w:rPr>
                <w:i/>
                <w:sz w:val="17"/>
              </w:rPr>
              <w:t>си</w:t>
            </w:r>
          </w:p>
        </w:tc>
      </w:tr>
      <w:tr w:rsidR="00000000">
        <w:tblPrEx>
          <w:tblCellMar>
            <w:top w:w="0" w:type="dxa"/>
            <w:bottom w:w="0" w:type="dxa"/>
          </w:tblCellMar>
        </w:tblPrEx>
        <w:trPr>
          <w:tblHeader/>
        </w:trPr>
        <w:tc>
          <w:tcPr>
            <w:tcW w:w="1843" w:type="dxa"/>
            <w:tcBorders>
              <w:bottom w:val="single" w:sz="12" w:space="0" w:color="auto"/>
            </w:tcBorders>
          </w:tcPr>
          <w:p w:rsidR="00000000" w:rsidRDefault="00000000">
            <w:pPr>
              <w:spacing w:before="40" w:after="40" w:line="180" w:lineRule="exact"/>
              <w:jc w:val="center"/>
              <w:rPr>
                <w:i/>
                <w:sz w:val="17"/>
              </w:rPr>
            </w:pPr>
          </w:p>
        </w:tc>
        <w:tc>
          <w:tcPr>
            <w:tcW w:w="1417" w:type="dxa"/>
            <w:tcBorders>
              <w:bottom w:val="single" w:sz="12" w:space="0" w:color="auto"/>
            </w:tcBorders>
          </w:tcPr>
          <w:p w:rsidR="00000000" w:rsidRDefault="00000000">
            <w:pPr>
              <w:spacing w:before="40" w:after="40" w:line="180" w:lineRule="exact"/>
              <w:jc w:val="center"/>
              <w:rPr>
                <w:i/>
                <w:sz w:val="17"/>
              </w:rPr>
            </w:pPr>
            <w:r>
              <w:rPr>
                <w:i/>
                <w:sz w:val="17"/>
              </w:rPr>
              <w:t>1991 год</w:t>
            </w:r>
          </w:p>
        </w:tc>
        <w:tc>
          <w:tcPr>
            <w:tcW w:w="1418" w:type="dxa"/>
            <w:tcBorders>
              <w:bottom w:val="single" w:sz="12" w:space="0" w:color="auto"/>
            </w:tcBorders>
          </w:tcPr>
          <w:p w:rsidR="00000000" w:rsidRDefault="00000000">
            <w:pPr>
              <w:spacing w:before="40" w:after="40" w:line="180" w:lineRule="exact"/>
              <w:jc w:val="center"/>
              <w:rPr>
                <w:i/>
                <w:sz w:val="17"/>
              </w:rPr>
            </w:pPr>
            <w:r>
              <w:rPr>
                <w:i/>
                <w:sz w:val="17"/>
              </w:rPr>
              <w:t>2001 год</w:t>
            </w:r>
          </w:p>
        </w:tc>
        <w:tc>
          <w:tcPr>
            <w:tcW w:w="1701" w:type="dxa"/>
            <w:tcBorders>
              <w:top w:val="single" w:sz="6" w:space="0" w:color="auto"/>
              <w:bottom w:val="single" w:sz="12" w:space="0" w:color="auto"/>
            </w:tcBorders>
          </w:tcPr>
          <w:p w:rsidR="00000000" w:rsidRDefault="00000000">
            <w:pPr>
              <w:spacing w:before="40" w:after="40" w:line="180" w:lineRule="exact"/>
              <w:jc w:val="center"/>
              <w:rPr>
                <w:i/>
                <w:sz w:val="17"/>
              </w:rPr>
            </w:pPr>
            <w:r>
              <w:rPr>
                <w:i/>
                <w:sz w:val="17"/>
              </w:rPr>
              <w:t>1991 год</w:t>
            </w:r>
          </w:p>
        </w:tc>
        <w:tc>
          <w:tcPr>
            <w:tcW w:w="992" w:type="dxa"/>
            <w:tcBorders>
              <w:top w:val="single" w:sz="6" w:space="0" w:color="auto"/>
              <w:bottom w:val="single" w:sz="12" w:space="0" w:color="auto"/>
            </w:tcBorders>
          </w:tcPr>
          <w:p w:rsidR="00000000" w:rsidRDefault="00000000">
            <w:pPr>
              <w:spacing w:before="40" w:after="40" w:line="180" w:lineRule="exact"/>
              <w:jc w:val="center"/>
              <w:rPr>
                <w:i/>
                <w:sz w:val="17"/>
              </w:rPr>
            </w:pPr>
            <w:r>
              <w:rPr>
                <w:i/>
                <w:sz w:val="17"/>
              </w:rPr>
              <w:t>2001 год</w:t>
            </w:r>
          </w:p>
        </w:tc>
      </w:tr>
      <w:tr w:rsidR="00000000">
        <w:tblPrEx>
          <w:tblCellMar>
            <w:top w:w="0" w:type="dxa"/>
            <w:bottom w:w="0" w:type="dxa"/>
          </w:tblCellMar>
        </w:tblPrEx>
        <w:tc>
          <w:tcPr>
            <w:tcW w:w="1843" w:type="dxa"/>
          </w:tcPr>
          <w:p w:rsidR="00000000" w:rsidRDefault="00000000">
            <w:pPr>
              <w:pStyle w:val="2"/>
              <w:keepNext w:val="0"/>
              <w:spacing w:before="40" w:after="40" w:line="180" w:lineRule="exact"/>
              <w:rPr>
                <w:sz w:val="17"/>
              </w:rPr>
            </w:pPr>
            <w:r>
              <w:rPr>
                <w:sz w:val="17"/>
              </w:rPr>
              <w:t>Всего, европе</w:t>
            </w:r>
            <w:r>
              <w:rPr>
                <w:sz w:val="17"/>
              </w:rPr>
              <w:t>й</w:t>
            </w:r>
            <w:r>
              <w:rPr>
                <w:sz w:val="17"/>
              </w:rPr>
              <w:t>цы</w:t>
            </w:r>
          </w:p>
        </w:tc>
        <w:tc>
          <w:tcPr>
            <w:tcW w:w="1417" w:type="dxa"/>
          </w:tcPr>
          <w:p w:rsidR="00000000" w:rsidRDefault="00000000">
            <w:pPr>
              <w:pStyle w:val="Header"/>
              <w:tabs>
                <w:tab w:val="clear" w:pos="4320"/>
                <w:tab w:val="clear" w:pos="8640"/>
                <w:tab w:val="decimal" w:pos="822"/>
              </w:tabs>
              <w:spacing w:before="40" w:after="40" w:line="180" w:lineRule="exact"/>
              <w:rPr>
                <w:noProof w:val="0"/>
                <w:spacing w:val="4"/>
                <w:w w:val="103"/>
                <w:kern w:val="14"/>
              </w:rPr>
            </w:pPr>
            <w:r>
              <w:rPr>
                <w:noProof w:val="0"/>
                <w:spacing w:val="4"/>
                <w:w w:val="103"/>
                <w:kern w:val="14"/>
              </w:rPr>
              <w:t>1 368 789</w:t>
            </w:r>
          </w:p>
        </w:tc>
        <w:tc>
          <w:tcPr>
            <w:tcW w:w="1418" w:type="dxa"/>
          </w:tcPr>
          <w:p w:rsidR="00000000" w:rsidRDefault="00000000">
            <w:pPr>
              <w:tabs>
                <w:tab w:val="decimal" w:pos="822"/>
              </w:tabs>
              <w:spacing w:before="40" w:after="40" w:line="180" w:lineRule="exact"/>
              <w:rPr>
                <w:sz w:val="17"/>
              </w:rPr>
            </w:pPr>
            <w:r>
              <w:rPr>
                <w:sz w:val="17"/>
              </w:rPr>
              <w:t>1 394 163</w:t>
            </w:r>
          </w:p>
        </w:tc>
        <w:tc>
          <w:tcPr>
            <w:tcW w:w="1701" w:type="dxa"/>
          </w:tcPr>
          <w:p w:rsidR="00000000" w:rsidRDefault="00000000">
            <w:pPr>
              <w:tabs>
                <w:tab w:val="decimal" w:pos="822"/>
              </w:tabs>
              <w:spacing w:before="40" w:after="40" w:line="180" w:lineRule="exact"/>
              <w:rPr>
                <w:sz w:val="17"/>
              </w:rPr>
            </w:pPr>
            <w:r>
              <w:rPr>
                <w:sz w:val="17"/>
              </w:rPr>
              <w:t>83,0</w:t>
            </w:r>
          </w:p>
        </w:tc>
        <w:tc>
          <w:tcPr>
            <w:tcW w:w="992" w:type="dxa"/>
          </w:tcPr>
          <w:p w:rsidR="00000000" w:rsidRDefault="00000000">
            <w:pPr>
              <w:pStyle w:val="Header"/>
              <w:tabs>
                <w:tab w:val="clear" w:pos="4320"/>
                <w:tab w:val="clear" w:pos="8640"/>
                <w:tab w:val="decimal" w:pos="539"/>
              </w:tabs>
              <w:spacing w:before="40" w:after="40" w:line="180" w:lineRule="exact"/>
              <w:rPr>
                <w:noProof w:val="0"/>
                <w:spacing w:val="4"/>
                <w:w w:val="103"/>
                <w:kern w:val="14"/>
              </w:rPr>
            </w:pPr>
            <w:r>
              <w:rPr>
                <w:noProof w:val="0"/>
                <w:spacing w:val="4"/>
                <w:w w:val="103"/>
                <w:kern w:val="14"/>
              </w:rPr>
              <w:t>79,8</w:t>
            </w:r>
          </w:p>
        </w:tc>
      </w:tr>
      <w:tr w:rsidR="00000000">
        <w:tblPrEx>
          <w:tblCellMar>
            <w:top w:w="0" w:type="dxa"/>
            <w:bottom w:w="0" w:type="dxa"/>
          </w:tblCellMar>
        </w:tblPrEx>
        <w:tc>
          <w:tcPr>
            <w:tcW w:w="1843" w:type="dxa"/>
          </w:tcPr>
          <w:p w:rsidR="00000000" w:rsidRDefault="00000000">
            <w:pPr>
              <w:spacing w:before="40" w:after="40" w:line="180" w:lineRule="exact"/>
              <w:ind w:left="114"/>
              <w:rPr>
                <w:sz w:val="17"/>
              </w:rPr>
            </w:pPr>
            <w:r>
              <w:rPr>
                <w:sz w:val="17"/>
              </w:rPr>
              <w:t>Му</w:t>
            </w:r>
            <w:r>
              <w:rPr>
                <w:sz w:val="17"/>
              </w:rPr>
              <w:t>ж</w:t>
            </w:r>
            <w:r>
              <w:rPr>
                <w:sz w:val="17"/>
              </w:rPr>
              <w:t>чины</w:t>
            </w:r>
          </w:p>
        </w:tc>
        <w:tc>
          <w:tcPr>
            <w:tcW w:w="1417" w:type="dxa"/>
          </w:tcPr>
          <w:p w:rsidR="00000000" w:rsidRDefault="00000000">
            <w:pPr>
              <w:tabs>
                <w:tab w:val="decimal" w:pos="822"/>
              </w:tabs>
              <w:spacing w:before="40" w:after="40" w:line="180" w:lineRule="exact"/>
              <w:rPr>
                <w:sz w:val="17"/>
              </w:rPr>
            </w:pPr>
            <w:r>
              <w:rPr>
                <w:sz w:val="17"/>
              </w:rPr>
              <w:t>1 414 236</w:t>
            </w:r>
          </w:p>
        </w:tc>
        <w:tc>
          <w:tcPr>
            <w:tcW w:w="1418" w:type="dxa"/>
          </w:tcPr>
          <w:p w:rsidR="00000000" w:rsidRDefault="00000000">
            <w:pPr>
              <w:tabs>
                <w:tab w:val="decimal" w:pos="822"/>
              </w:tabs>
              <w:spacing w:before="40" w:after="40" w:line="180" w:lineRule="exact"/>
              <w:rPr>
                <w:sz w:val="17"/>
              </w:rPr>
            </w:pPr>
            <w:r>
              <w:rPr>
                <w:sz w:val="17"/>
              </w:rPr>
              <w:t>1 473 846</w:t>
            </w:r>
          </w:p>
        </w:tc>
        <w:tc>
          <w:tcPr>
            <w:tcW w:w="1701" w:type="dxa"/>
          </w:tcPr>
          <w:p w:rsidR="00000000" w:rsidRDefault="00000000">
            <w:pPr>
              <w:tabs>
                <w:tab w:val="decimal" w:pos="822"/>
              </w:tabs>
              <w:spacing w:before="40" w:after="40" w:line="180" w:lineRule="exact"/>
              <w:rPr>
                <w:sz w:val="17"/>
              </w:rPr>
            </w:pPr>
            <w:r>
              <w:rPr>
                <w:sz w:val="17"/>
              </w:rPr>
              <w:t>83,3</w:t>
            </w:r>
          </w:p>
        </w:tc>
        <w:tc>
          <w:tcPr>
            <w:tcW w:w="992" w:type="dxa"/>
          </w:tcPr>
          <w:p w:rsidR="00000000" w:rsidRDefault="00000000">
            <w:pPr>
              <w:tabs>
                <w:tab w:val="decimal" w:pos="539"/>
              </w:tabs>
              <w:spacing w:before="40" w:after="40" w:line="180" w:lineRule="exact"/>
              <w:rPr>
                <w:sz w:val="17"/>
              </w:rPr>
            </w:pPr>
            <w:r>
              <w:rPr>
                <w:sz w:val="17"/>
              </w:rPr>
              <w:t>80,1</w:t>
            </w:r>
          </w:p>
        </w:tc>
      </w:tr>
      <w:tr w:rsidR="00000000">
        <w:tblPrEx>
          <w:tblCellMar>
            <w:top w:w="0" w:type="dxa"/>
            <w:bottom w:w="0" w:type="dxa"/>
          </w:tblCellMar>
        </w:tblPrEx>
        <w:tc>
          <w:tcPr>
            <w:tcW w:w="1843" w:type="dxa"/>
          </w:tcPr>
          <w:p w:rsidR="00000000" w:rsidRDefault="00000000">
            <w:pPr>
              <w:spacing w:before="40" w:after="40" w:line="180" w:lineRule="exact"/>
              <w:ind w:left="114"/>
              <w:rPr>
                <w:sz w:val="17"/>
              </w:rPr>
            </w:pPr>
            <w:r>
              <w:rPr>
                <w:sz w:val="17"/>
              </w:rPr>
              <w:t>Же</w:t>
            </w:r>
            <w:r>
              <w:rPr>
                <w:sz w:val="17"/>
              </w:rPr>
              <w:t>н</w:t>
            </w:r>
            <w:r>
              <w:rPr>
                <w:sz w:val="17"/>
              </w:rPr>
              <w:t>щины</w:t>
            </w:r>
          </w:p>
        </w:tc>
        <w:tc>
          <w:tcPr>
            <w:tcW w:w="1417" w:type="dxa"/>
          </w:tcPr>
          <w:p w:rsidR="00000000" w:rsidRDefault="00000000">
            <w:pPr>
              <w:tabs>
                <w:tab w:val="decimal" w:pos="822"/>
              </w:tabs>
              <w:spacing w:before="40" w:after="40" w:line="180" w:lineRule="exact"/>
              <w:rPr>
                <w:sz w:val="17"/>
              </w:rPr>
            </w:pPr>
            <w:r>
              <w:rPr>
                <w:sz w:val="17"/>
              </w:rPr>
              <w:t>2 783 025</w:t>
            </w:r>
          </w:p>
        </w:tc>
        <w:tc>
          <w:tcPr>
            <w:tcW w:w="1418" w:type="dxa"/>
          </w:tcPr>
          <w:p w:rsidR="00000000" w:rsidRDefault="00000000">
            <w:pPr>
              <w:tabs>
                <w:tab w:val="decimal" w:pos="822"/>
              </w:tabs>
              <w:spacing w:before="40" w:after="40" w:line="180" w:lineRule="exact"/>
              <w:rPr>
                <w:sz w:val="17"/>
              </w:rPr>
            </w:pPr>
            <w:r>
              <w:rPr>
                <w:sz w:val="17"/>
              </w:rPr>
              <w:t>2 868 009</w:t>
            </w:r>
          </w:p>
        </w:tc>
        <w:tc>
          <w:tcPr>
            <w:tcW w:w="1701" w:type="dxa"/>
          </w:tcPr>
          <w:p w:rsidR="00000000" w:rsidRDefault="00000000">
            <w:pPr>
              <w:tabs>
                <w:tab w:val="decimal" w:pos="822"/>
              </w:tabs>
              <w:spacing w:before="40" w:after="40" w:line="180" w:lineRule="exact"/>
              <w:rPr>
                <w:sz w:val="17"/>
              </w:rPr>
            </w:pPr>
            <w:r>
              <w:rPr>
                <w:sz w:val="17"/>
              </w:rPr>
              <w:t>83,2</w:t>
            </w:r>
          </w:p>
        </w:tc>
        <w:tc>
          <w:tcPr>
            <w:tcW w:w="992" w:type="dxa"/>
          </w:tcPr>
          <w:p w:rsidR="00000000" w:rsidRDefault="00000000">
            <w:pPr>
              <w:tabs>
                <w:tab w:val="decimal" w:pos="539"/>
              </w:tabs>
              <w:spacing w:before="40" w:after="40" w:line="180" w:lineRule="exact"/>
              <w:rPr>
                <w:sz w:val="17"/>
              </w:rPr>
            </w:pPr>
            <w:r>
              <w:rPr>
                <w:sz w:val="17"/>
              </w:rPr>
              <w:t>80,0</w:t>
            </w:r>
          </w:p>
        </w:tc>
      </w:tr>
      <w:tr w:rsidR="00000000">
        <w:tblPrEx>
          <w:tblCellMar>
            <w:top w:w="0" w:type="dxa"/>
            <w:bottom w:w="0" w:type="dxa"/>
          </w:tblCellMar>
        </w:tblPrEx>
        <w:tc>
          <w:tcPr>
            <w:tcW w:w="1843" w:type="dxa"/>
          </w:tcPr>
          <w:p w:rsidR="00000000" w:rsidRDefault="00000000">
            <w:pPr>
              <w:spacing w:before="40" w:after="40" w:line="180" w:lineRule="exact"/>
              <w:ind w:left="114"/>
              <w:rPr>
                <w:sz w:val="17"/>
              </w:rPr>
            </w:pPr>
            <w:r>
              <w:rPr>
                <w:sz w:val="17"/>
              </w:rPr>
              <w:t>Всего</w:t>
            </w:r>
          </w:p>
        </w:tc>
        <w:tc>
          <w:tcPr>
            <w:tcW w:w="1417" w:type="dxa"/>
          </w:tcPr>
          <w:p w:rsidR="00000000" w:rsidRDefault="00000000">
            <w:pPr>
              <w:tabs>
                <w:tab w:val="decimal" w:pos="822"/>
              </w:tabs>
              <w:spacing w:before="40" w:after="40" w:line="180" w:lineRule="exact"/>
              <w:rPr>
                <w:sz w:val="17"/>
              </w:rPr>
            </w:pPr>
          </w:p>
        </w:tc>
        <w:tc>
          <w:tcPr>
            <w:tcW w:w="1418" w:type="dxa"/>
          </w:tcPr>
          <w:p w:rsidR="00000000" w:rsidRDefault="00000000">
            <w:pPr>
              <w:tabs>
                <w:tab w:val="decimal" w:pos="822"/>
              </w:tabs>
              <w:spacing w:before="40" w:after="40" w:line="180" w:lineRule="exact"/>
              <w:rPr>
                <w:sz w:val="17"/>
              </w:rPr>
            </w:pPr>
          </w:p>
        </w:tc>
        <w:tc>
          <w:tcPr>
            <w:tcW w:w="1701" w:type="dxa"/>
          </w:tcPr>
          <w:p w:rsidR="00000000" w:rsidRDefault="00000000">
            <w:pPr>
              <w:tabs>
                <w:tab w:val="decimal" w:pos="822"/>
              </w:tabs>
              <w:spacing w:before="40" w:after="40" w:line="180" w:lineRule="exact"/>
              <w:rPr>
                <w:sz w:val="17"/>
              </w:rPr>
            </w:pPr>
          </w:p>
        </w:tc>
        <w:tc>
          <w:tcPr>
            <w:tcW w:w="992" w:type="dxa"/>
          </w:tcPr>
          <w:p w:rsidR="00000000" w:rsidRDefault="00000000">
            <w:pPr>
              <w:tabs>
                <w:tab w:val="decimal" w:pos="539"/>
              </w:tabs>
              <w:spacing w:before="40" w:after="40" w:line="180" w:lineRule="exact"/>
              <w:rPr>
                <w:sz w:val="17"/>
              </w:rPr>
            </w:pPr>
          </w:p>
        </w:tc>
      </w:tr>
      <w:tr w:rsidR="00000000">
        <w:tblPrEx>
          <w:tblCellMar>
            <w:top w:w="0" w:type="dxa"/>
            <w:bottom w:w="0" w:type="dxa"/>
          </w:tblCellMar>
        </w:tblPrEx>
        <w:tc>
          <w:tcPr>
            <w:tcW w:w="1843" w:type="dxa"/>
          </w:tcPr>
          <w:p w:rsidR="00000000" w:rsidRDefault="00000000">
            <w:pPr>
              <w:spacing w:before="40" w:after="40" w:line="180" w:lineRule="exact"/>
              <w:rPr>
                <w:sz w:val="17"/>
              </w:rPr>
            </w:pPr>
          </w:p>
        </w:tc>
        <w:tc>
          <w:tcPr>
            <w:tcW w:w="1417" w:type="dxa"/>
          </w:tcPr>
          <w:p w:rsidR="00000000" w:rsidRDefault="00000000">
            <w:pPr>
              <w:tabs>
                <w:tab w:val="decimal" w:pos="822"/>
              </w:tabs>
              <w:spacing w:before="40" w:after="40" w:line="180" w:lineRule="exact"/>
              <w:rPr>
                <w:sz w:val="17"/>
              </w:rPr>
            </w:pPr>
          </w:p>
        </w:tc>
        <w:tc>
          <w:tcPr>
            <w:tcW w:w="1418" w:type="dxa"/>
          </w:tcPr>
          <w:p w:rsidR="00000000" w:rsidRDefault="00000000">
            <w:pPr>
              <w:tabs>
                <w:tab w:val="decimal" w:pos="822"/>
              </w:tabs>
              <w:spacing w:before="40" w:after="40" w:line="180" w:lineRule="exact"/>
              <w:rPr>
                <w:sz w:val="17"/>
              </w:rPr>
            </w:pPr>
          </w:p>
        </w:tc>
        <w:tc>
          <w:tcPr>
            <w:tcW w:w="1701" w:type="dxa"/>
          </w:tcPr>
          <w:p w:rsidR="00000000" w:rsidRDefault="00000000">
            <w:pPr>
              <w:tabs>
                <w:tab w:val="decimal" w:pos="822"/>
              </w:tabs>
              <w:spacing w:before="40" w:after="40" w:line="180" w:lineRule="exact"/>
              <w:rPr>
                <w:sz w:val="17"/>
              </w:rPr>
            </w:pPr>
          </w:p>
        </w:tc>
        <w:tc>
          <w:tcPr>
            <w:tcW w:w="992" w:type="dxa"/>
          </w:tcPr>
          <w:p w:rsidR="00000000" w:rsidRDefault="00000000">
            <w:pPr>
              <w:tabs>
                <w:tab w:val="decimal" w:pos="539"/>
              </w:tabs>
              <w:spacing w:before="40" w:after="40" w:line="180" w:lineRule="exact"/>
              <w:rPr>
                <w:sz w:val="17"/>
              </w:rPr>
            </w:pPr>
          </w:p>
        </w:tc>
      </w:tr>
      <w:tr w:rsidR="00000000">
        <w:tblPrEx>
          <w:tblCellMar>
            <w:top w:w="0" w:type="dxa"/>
            <w:bottom w:w="0" w:type="dxa"/>
          </w:tblCellMar>
        </w:tblPrEx>
        <w:tc>
          <w:tcPr>
            <w:tcW w:w="1843" w:type="dxa"/>
          </w:tcPr>
          <w:p w:rsidR="00000000" w:rsidRDefault="00000000">
            <w:pPr>
              <w:pStyle w:val="2"/>
              <w:keepNext w:val="0"/>
              <w:spacing w:before="40" w:after="40" w:line="180" w:lineRule="exact"/>
              <w:rPr>
                <w:sz w:val="17"/>
              </w:rPr>
            </w:pPr>
            <w:r>
              <w:rPr>
                <w:sz w:val="17"/>
              </w:rPr>
              <w:t>Всего, маори</w:t>
            </w:r>
          </w:p>
        </w:tc>
        <w:tc>
          <w:tcPr>
            <w:tcW w:w="1417" w:type="dxa"/>
          </w:tcPr>
          <w:p w:rsidR="00000000" w:rsidRDefault="00000000">
            <w:pPr>
              <w:tabs>
                <w:tab w:val="decimal" w:pos="822"/>
              </w:tabs>
              <w:spacing w:before="40" w:after="40" w:line="180" w:lineRule="exact"/>
              <w:rPr>
                <w:sz w:val="17"/>
              </w:rPr>
            </w:pPr>
          </w:p>
        </w:tc>
        <w:tc>
          <w:tcPr>
            <w:tcW w:w="1418" w:type="dxa"/>
          </w:tcPr>
          <w:p w:rsidR="00000000" w:rsidRDefault="00000000">
            <w:pPr>
              <w:tabs>
                <w:tab w:val="decimal" w:pos="822"/>
              </w:tabs>
              <w:spacing w:before="40" w:after="40" w:line="180" w:lineRule="exact"/>
              <w:rPr>
                <w:sz w:val="17"/>
              </w:rPr>
            </w:pPr>
          </w:p>
        </w:tc>
        <w:tc>
          <w:tcPr>
            <w:tcW w:w="1701" w:type="dxa"/>
          </w:tcPr>
          <w:p w:rsidR="00000000" w:rsidRDefault="00000000">
            <w:pPr>
              <w:tabs>
                <w:tab w:val="decimal" w:pos="822"/>
              </w:tabs>
              <w:spacing w:before="40" w:after="40" w:line="180" w:lineRule="exact"/>
              <w:rPr>
                <w:sz w:val="17"/>
              </w:rPr>
            </w:pPr>
          </w:p>
        </w:tc>
        <w:tc>
          <w:tcPr>
            <w:tcW w:w="992" w:type="dxa"/>
          </w:tcPr>
          <w:p w:rsidR="00000000" w:rsidRDefault="00000000">
            <w:pPr>
              <w:tabs>
                <w:tab w:val="decimal" w:pos="539"/>
              </w:tabs>
              <w:spacing w:before="40" w:after="40" w:line="180" w:lineRule="exact"/>
              <w:rPr>
                <w:sz w:val="17"/>
              </w:rPr>
            </w:pPr>
          </w:p>
        </w:tc>
      </w:tr>
      <w:tr w:rsidR="00000000">
        <w:tblPrEx>
          <w:tblCellMar>
            <w:top w:w="0" w:type="dxa"/>
            <w:bottom w:w="0" w:type="dxa"/>
          </w:tblCellMar>
        </w:tblPrEx>
        <w:tc>
          <w:tcPr>
            <w:tcW w:w="1843" w:type="dxa"/>
          </w:tcPr>
          <w:p w:rsidR="00000000" w:rsidRDefault="00000000">
            <w:pPr>
              <w:spacing w:before="40" w:after="40" w:line="180" w:lineRule="exact"/>
              <w:ind w:left="114"/>
              <w:rPr>
                <w:sz w:val="17"/>
              </w:rPr>
            </w:pPr>
            <w:r>
              <w:rPr>
                <w:sz w:val="17"/>
              </w:rPr>
              <w:t>Му</w:t>
            </w:r>
            <w:r>
              <w:rPr>
                <w:sz w:val="17"/>
              </w:rPr>
              <w:t>ж</w:t>
            </w:r>
            <w:r>
              <w:rPr>
                <w:sz w:val="17"/>
              </w:rPr>
              <w:t>чины</w:t>
            </w:r>
          </w:p>
        </w:tc>
        <w:tc>
          <w:tcPr>
            <w:tcW w:w="1417" w:type="dxa"/>
          </w:tcPr>
          <w:p w:rsidR="00000000" w:rsidRDefault="00000000">
            <w:pPr>
              <w:tabs>
                <w:tab w:val="decimal" w:pos="822"/>
              </w:tabs>
              <w:spacing w:before="40" w:after="40" w:line="180" w:lineRule="exact"/>
              <w:rPr>
                <w:sz w:val="17"/>
              </w:rPr>
            </w:pPr>
            <w:r>
              <w:rPr>
                <w:sz w:val="17"/>
              </w:rPr>
              <w:t>214 431</w:t>
            </w:r>
          </w:p>
        </w:tc>
        <w:tc>
          <w:tcPr>
            <w:tcW w:w="1418" w:type="dxa"/>
          </w:tcPr>
          <w:p w:rsidR="00000000" w:rsidRDefault="00000000">
            <w:pPr>
              <w:tabs>
                <w:tab w:val="decimal" w:pos="822"/>
              </w:tabs>
              <w:spacing w:before="40" w:after="40" w:line="180" w:lineRule="exact"/>
              <w:rPr>
                <w:sz w:val="17"/>
              </w:rPr>
            </w:pPr>
            <w:r>
              <w:rPr>
                <w:sz w:val="17"/>
              </w:rPr>
              <w:t>257 481</w:t>
            </w:r>
          </w:p>
        </w:tc>
        <w:tc>
          <w:tcPr>
            <w:tcW w:w="1701" w:type="dxa"/>
          </w:tcPr>
          <w:p w:rsidR="00000000" w:rsidRDefault="00000000">
            <w:pPr>
              <w:tabs>
                <w:tab w:val="decimal" w:pos="822"/>
              </w:tabs>
              <w:spacing w:before="40" w:after="40" w:line="180" w:lineRule="exact"/>
              <w:rPr>
                <w:sz w:val="17"/>
              </w:rPr>
            </w:pPr>
            <w:r>
              <w:rPr>
                <w:sz w:val="17"/>
              </w:rPr>
              <w:t>13,0</w:t>
            </w:r>
          </w:p>
        </w:tc>
        <w:tc>
          <w:tcPr>
            <w:tcW w:w="992" w:type="dxa"/>
          </w:tcPr>
          <w:p w:rsidR="00000000" w:rsidRDefault="00000000">
            <w:pPr>
              <w:tabs>
                <w:tab w:val="decimal" w:pos="539"/>
              </w:tabs>
              <w:spacing w:before="40" w:after="40" w:line="180" w:lineRule="exact"/>
              <w:rPr>
                <w:sz w:val="17"/>
              </w:rPr>
            </w:pPr>
            <w:r>
              <w:rPr>
                <w:sz w:val="17"/>
              </w:rPr>
              <w:t>14,7</w:t>
            </w:r>
          </w:p>
        </w:tc>
      </w:tr>
      <w:tr w:rsidR="00000000">
        <w:tblPrEx>
          <w:tblCellMar>
            <w:top w:w="0" w:type="dxa"/>
            <w:bottom w:w="0" w:type="dxa"/>
          </w:tblCellMar>
        </w:tblPrEx>
        <w:tc>
          <w:tcPr>
            <w:tcW w:w="1843" w:type="dxa"/>
          </w:tcPr>
          <w:p w:rsidR="00000000" w:rsidRDefault="00000000">
            <w:pPr>
              <w:spacing w:before="40" w:after="40" w:line="180" w:lineRule="exact"/>
              <w:ind w:left="114"/>
              <w:rPr>
                <w:sz w:val="17"/>
              </w:rPr>
            </w:pPr>
            <w:r>
              <w:rPr>
                <w:sz w:val="17"/>
              </w:rPr>
              <w:t>Же</w:t>
            </w:r>
            <w:r>
              <w:rPr>
                <w:sz w:val="17"/>
              </w:rPr>
              <w:t>н</w:t>
            </w:r>
            <w:r>
              <w:rPr>
                <w:sz w:val="17"/>
              </w:rPr>
              <w:t>щины</w:t>
            </w:r>
          </w:p>
        </w:tc>
        <w:tc>
          <w:tcPr>
            <w:tcW w:w="1417" w:type="dxa"/>
          </w:tcPr>
          <w:p w:rsidR="00000000" w:rsidRDefault="00000000">
            <w:pPr>
              <w:tabs>
                <w:tab w:val="decimal" w:pos="822"/>
              </w:tabs>
              <w:spacing w:before="40" w:after="40" w:line="180" w:lineRule="exact"/>
              <w:rPr>
                <w:sz w:val="17"/>
              </w:rPr>
            </w:pPr>
            <w:r>
              <w:rPr>
                <w:sz w:val="17"/>
              </w:rPr>
              <w:t>220 416</w:t>
            </w:r>
          </w:p>
        </w:tc>
        <w:tc>
          <w:tcPr>
            <w:tcW w:w="1418" w:type="dxa"/>
          </w:tcPr>
          <w:p w:rsidR="00000000" w:rsidRDefault="00000000">
            <w:pPr>
              <w:tabs>
                <w:tab w:val="decimal" w:pos="822"/>
              </w:tabs>
              <w:spacing w:before="40" w:after="40" w:line="180" w:lineRule="exact"/>
              <w:rPr>
                <w:sz w:val="17"/>
              </w:rPr>
            </w:pPr>
            <w:r>
              <w:rPr>
                <w:sz w:val="17"/>
              </w:rPr>
              <w:t>268 797</w:t>
            </w:r>
          </w:p>
        </w:tc>
        <w:tc>
          <w:tcPr>
            <w:tcW w:w="1701" w:type="dxa"/>
          </w:tcPr>
          <w:p w:rsidR="00000000" w:rsidRDefault="00000000">
            <w:pPr>
              <w:tabs>
                <w:tab w:val="decimal" w:pos="822"/>
              </w:tabs>
              <w:spacing w:before="40" w:after="40" w:line="180" w:lineRule="exact"/>
              <w:rPr>
                <w:sz w:val="17"/>
              </w:rPr>
            </w:pPr>
            <w:r>
              <w:rPr>
                <w:sz w:val="17"/>
              </w:rPr>
              <w:t>13,0</w:t>
            </w:r>
          </w:p>
        </w:tc>
        <w:tc>
          <w:tcPr>
            <w:tcW w:w="992" w:type="dxa"/>
          </w:tcPr>
          <w:p w:rsidR="00000000" w:rsidRDefault="00000000">
            <w:pPr>
              <w:tabs>
                <w:tab w:val="decimal" w:pos="539"/>
              </w:tabs>
              <w:spacing w:before="40" w:after="40" w:line="180" w:lineRule="exact"/>
              <w:rPr>
                <w:sz w:val="17"/>
              </w:rPr>
            </w:pPr>
            <w:r>
              <w:rPr>
                <w:sz w:val="17"/>
              </w:rPr>
              <w:t>14,6</w:t>
            </w:r>
          </w:p>
        </w:tc>
      </w:tr>
      <w:tr w:rsidR="00000000">
        <w:tblPrEx>
          <w:tblCellMar>
            <w:top w:w="0" w:type="dxa"/>
            <w:bottom w:w="0" w:type="dxa"/>
          </w:tblCellMar>
        </w:tblPrEx>
        <w:tc>
          <w:tcPr>
            <w:tcW w:w="1843" w:type="dxa"/>
          </w:tcPr>
          <w:p w:rsidR="00000000" w:rsidRDefault="00000000">
            <w:pPr>
              <w:spacing w:before="40" w:after="40" w:line="180" w:lineRule="exact"/>
              <w:ind w:left="114"/>
              <w:rPr>
                <w:sz w:val="17"/>
              </w:rPr>
            </w:pPr>
            <w:r>
              <w:rPr>
                <w:sz w:val="17"/>
              </w:rPr>
              <w:t>Всего</w:t>
            </w:r>
          </w:p>
        </w:tc>
        <w:tc>
          <w:tcPr>
            <w:tcW w:w="1417" w:type="dxa"/>
          </w:tcPr>
          <w:p w:rsidR="00000000" w:rsidRDefault="00000000">
            <w:pPr>
              <w:tabs>
                <w:tab w:val="decimal" w:pos="822"/>
              </w:tabs>
              <w:spacing w:before="40" w:after="40" w:line="180" w:lineRule="exact"/>
              <w:rPr>
                <w:sz w:val="17"/>
              </w:rPr>
            </w:pPr>
            <w:r>
              <w:rPr>
                <w:sz w:val="17"/>
              </w:rPr>
              <w:t>434 847</w:t>
            </w:r>
          </w:p>
        </w:tc>
        <w:tc>
          <w:tcPr>
            <w:tcW w:w="1418" w:type="dxa"/>
          </w:tcPr>
          <w:p w:rsidR="00000000" w:rsidRDefault="00000000">
            <w:pPr>
              <w:tabs>
                <w:tab w:val="decimal" w:pos="822"/>
              </w:tabs>
              <w:spacing w:before="40" w:after="40" w:line="180" w:lineRule="exact"/>
              <w:rPr>
                <w:sz w:val="17"/>
              </w:rPr>
            </w:pPr>
            <w:r>
              <w:rPr>
                <w:sz w:val="17"/>
              </w:rPr>
              <w:t>526 281</w:t>
            </w:r>
          </w:p>
        </w:tc>
        <w:tc>
          <w:tcPr>
            <w:tcW w:w="1701" w:type="dxa"/>
          </w:tcPr>
          <w:p w:rsidR="00000000" w:rsidRDefault="00000000">
            <w:pPr>
              <w:tabs>
                <w:tab w:val="decimal" w:pos="822"/>
              </w:tabs>
              <w:spacing w:before="40" w:after="40" w:line="180" w:lineRule="exact"/>
              <w:rPr>
                <w:sz w:val="17"/>
              </w:rPr>
            </w:pPr>
            <w:r>
              <w:rPr>
                <w:sz w:val="17"/>
              </w:rPr>
              <w:t>13,0</w:t>
            </w:r>
          </w:p>
        </w:tc>
        <w:tc>
          <w:tcPr>
            <w:tcW w:w="992" w:type="dxa"/>
          </w:tcPr>
          <w:p w:rsidR="00000000" w:rsidRDefault="00000000">
            <w:pPr>
              <w:tabs>
                <w:tab w:val="decimal" w:pos="539"/>
              </w:tabs>
              <w:spacing w:before="40" w:after="40" w:line="180" w:lineRule="exact"/>
              <w:rPr>
                <w:sz w:val="17"/>
              </w:rPr>
            </w:pPr>
            <w:r>
              <w:rPr>
                <w:sz w:val="17"/>
              </w:rPr>
              <w:t>14,7</w:t>
            </w:r>
          </w:p>
        </w:tc>
      </w:tr>
      <w:tr w:rsidR="00000000">
        <w:tblPrEx>
          <w:tblCellMar>
            <w:top w:w="0" w:type="dxa"/>
            <w:bottom w:w="0" w:type="dxa"/>
          </w:tblCellMar>
        </w:tblPrEx>
        <w:tc>
          <w:tcPr>
            <w:tcW w:w="1843" w:type="dxa"/>
          </w:tcPr>
          <w:p w:rsidR="00000000" w:rsidRDefault="00000000">
            <w:pPr>
              <w:spacing w:before="40" w:after="40" w:line="180" w:lineRule="exact"/>
              <w:rPr>
                <w:sz w:val="17"/>
              </w:rPr>
            </w:pPr>
          </w:p>
        </w:tc>
        <w:tc>
          <w:tcPr>
            <w:tcW w:w="1417" w:type="dxa"/>
          </w:tcPr>
          <w:p w:rsidR="00000000" w:rsidRDefault="00000000">
            <w:pPr>
              <w:tabs>
                <w:tab w:val="decimal" w:pos="822"/>
              </w:tabs>
              <w:spacing w:before="40" w:after="40" w:line="180" w:lineRule="exact"/>
              <w:rPr>
                <w:sz w:val="17"/>
              </w:rPr>
            </w:pPr>
          </w:p>
        </w:tc>
        <w:tc>
          <w:tcPr>
            <w:tcW w:w="1418" w:type="dxa"/>
          </w:tcPr>
          <w:p w:rsidR="00000000" w:rsidRDefault="00000000">
            <w:pPr>
              <w:tabs>
                <w:tab w:val="decimal" w:pos="822"/>
              </w:tabs>
              <w:spacing w:before="40" w:after="40" w:line="180" w:lineRule="exact"/>
              <w:rPr>
                <w:sz w:val="17"/>
              </w:rPr>
            </w:pPr>
          </w:p>
        </w:tc>
        <w:tc>
          <w:tcPr>
            <w:tcW w:w="1701" w:type="dxa"/>
          </w:tcPr>
          <w:p w:rsidR="00000000" w:rsidRDefault="00000000">
            <w:pPr>
              <w:tabs>
                <w:tab w:val="decimal" w:pos="822"/>
              </w:tabs>
              <w:spacing w:before="40" w:after="40" w:line="180" w:lineRule="exact"/>
              <w:rPr>
                <w:sz w:val="17"/>
              </w:rPr>
            </w:pPr>
          </w:p>
        </w:tc>
        <w:tc>
          <w:tcPr>
            <w:tcW w:w="992" w:type="dxa"/>
          </w:tcPr>
          <w:p w:rsidR="00000000" w:rsidRDefault="00000000">
            <w:pPr>
              <w:tabs>
                <w:tab w:val="decimal" w:pos="539"/>
              </w:tabs>
              <w:spacing w:before="40" w:after="40" w:line="180" w:lineRule="exact"/>
              <w:rPr>
                <w:sz w:val="17"/>
              </w:rPr>
            </w:pPr>
          </w:p>
        </w:tc>
      </w:tr>
      <w:tr w:rsidR="00000000">
        <w:tblPrEx>
          <w:tblCellMar>
            <w:top w:w="0" w:type="dxa"/>
            <w:bottom w:w="0" w:type="dxa"/>
          </w:tblCellMar>
        </w:tblPrEx>
        <w:tc>
          <w:tcPr>
            <w:tcW w:w="1843" w:type="dxa"/>
          </w:tcPr>
          <w:p w:rsidR="00000000" w:rsidRDefault="00000000">
            <w:pPr>
              <w:spacing w:before="40" w:after="40" w:line="180" w:lineRule="exact"/>
              <w:rPr>
                <w:b/>
                <w:sz w:val="17"/>
              </w:rPr>
            </w:pPr>
            <w:r>
              <w:rPr>
                <w:b/>
                <w:sz w:val="17"/>
              </w:rPr>
              <w:t>Всего, жители Тих</w:t>
            </w:r>
            <w:r>
              <w:rPr>
                <w:b/>
                <w:sz w:val="17"/>
              </w:rPr>
              <w:t>о</w:t>
            </w:r>
            <w:r>
              <w:rPr>
                <w:b/>
                <w:sz w:val="17"/>
              </w:rPr>
              <w:t>океанских остр</w:t>
            </w:r>
            <w:r>
              <w:rPr>
                <w:b/>
                <w:sz w:val="17"/>
              </w:rPr>
              <w:t>о</w:t>
            </w:r>
            <w:r>
              <w:rPr>
                <w:b/>
                <w:sz w:val="17"/>
              </w:rPr>
              <w:t>вов</w:t>
            </w:r>
          </w:p>
        </w:tc>
        <w:tc>
          <w:tcPr>
            <w:tcW w:w="1417" w:type="dxa"/>
          </w:tcPr>
          <w:p w:rsidR="00000000" w:rsidRDefault="00000000">
            <w:pPr>
              <w:tabs>
                <w:tab w:val="decimal" w:pos="822"/>
              </w:tabs>
              <w:spacing w:before="40" w:after="40" w:line="180" w:lineRule="exact"/>
              <w:rPr>
                <w:sz w:val="17"/>
              </w:rPr>
            </w:pPr>
          </w:p>
        </w:tc>
        <w:tc>
          <w:tcPr>
            <w:tcW w:w="1418" w:type="dxa"/>
          </w:tcPr>
          <w:p w:rsidR="00000000" w:rsidRDefault="00000000">
            <w:pPr>
              <w:tabs>
                <w:tab w:val="decimal" w:pos="822"/>
              </w:tabs>
              <w:spacing w:before="40" w:after="40" w:line="180" w:lineRule="exact"/>
              <w:rPr>
                <w:sz w:val="17"/>
              </w:rPr>
            </w:pPr>
          </w:p>
        </w:tc>
        <w:tc>
          <w:tcPr>
            <w:tcW w:w="1701" w:type="dxa"/>
          </w:tcPr>
          <w:p w:rsidR="00000000" w:rsidRDefault="00000000">
            <w:pPr>
              <w:tabs>
                <w:tab w:val="decimal" w:pos="822"/>
              </w:tabs>
              <w:spacing w:before="40" w:after="40" w:line="180" w:lineRule="exact"/>
              <w:rPr>
                <w:sz w:val="17"/>
              </w:rPr>
            </w:pPr>
          </w:p>
        </w:tc>
        <w:tc>
          <w:tcPr>
            <w:tcW w:w="992" w:type="dxa"/>
          </w:tcPr>
          <w:p w:rsidR="00000000" w:rsidRDefault="00000000">
            <w:pPr>
              <w:tabs>
                <w:tab w:val="decimal" w:pos="539"/>
              </w:tabs>
              <w:spacing w:before="40" w:after="40" w:line="180" w:lineRule="exact"/>
              <w:rPr>
                <w:sz w:val="17"/>
              </w:rPr>
            </w:pPr>
          </w:p>
        </w:tc>
      </w:tr>
      <w:tr w:rsidR="00000000">
        <w:tblPrEx>
          <w:tblCellMar>
            <w:top w:w="0" w:type="dxa"/>
            <w:bottom w:w="0" w:type="dxa"/>
          </w:tblCellMar>
        </w:tblPrEx>
        <w:tc>
          <w:tcPr>
            <w:tcW w:w="1843" w:type="dxa"/>
          </w:tcPr>
          <w:p w:rsidR="00000000" w:rsidRDefault="00000000">
            <w:pPr>
              <w:spacing w:before="40" w:after="40" w:line="180" w:lineRule="exact"/>
              <w:ind w:left="114"/>
              <w:rPr>
                <w:sz w:val="17"/>
              </w:rPr>
            </w:pPr>
            <w:r>
              <w:rPr>
                <w:sz w:val="17"/>
              </w:rPr>
              <w:t>Му</w:t>
            </w:r>
            <w:r>
              <w:rPr>
                <w:sz w:val="17"/>
              </w:rPr>
              <w:t>ж</w:t>
            </w:r>
            <w:r>
              <w:rPr>
                <w:sz w:val="17"/>
              </w:rPr>
              <w:t>чины</w:t>
            </w:r>
          </w:p>
        </w:tc>
        <w:tc>
          <w:tcPr>
            <w:tcW w:w="1417" w:type="dxa"/>
          </w:tcPr>
          <w:p w:rsidR="00000000" w:rsidRDefault="00000000">
            <w:pPr>
              <w:tabs>
                <w:tab w:val="decimal" w:pos="822"/>
              </w:tabs>
              <w:spacing w:before="40" w:after="40" w:line="180" w:lineRule="exact"/>
              <w:rPr>
                <w:sz w:val="17"/>
              </w:rPr>
            </w:pPr>
            <w:r>
              <w:rPr>
                <w:sz w:val="17"/>
              </w:rPr>
              <w:t>82 404</w:t>
            </w:r>
          </w:p>
        </w:tc>
        <w:tc>
          <w:tcPr>
            <w:tcW w:w="1418" w:type="dxa"/>
          </w:tcPr>
          <w:p w:rsidR="00000000" w:rsidRDefault="00000000">
            <w:pPr>
              <w:tabs>
                <w:tab w:val="decimal" w:pos="822"/>
              </w:tabs>
              <w:spacing w:before="40" w:after="40" w:line="180" w:lineRule="exact"/>
              <w:rPr>
                <w:sz w:val="17"/>
              </w:rPr>
            </w:pPr>
            <w:r>
              <w:rPr>
                <w:sz w:val="17"/>
              </w:rPr>
              <w:t>114 153</w:t>
            </w:r>
          </w:p>
        </w:tc>
        <w:tc>
          <w:tcPr>
            <w:tcW w:w="1701" w:type="dxa"/>
          </w:tcPr>
          <w:p w:rsidR="00000000" w:rsidRDefault="00000000">
            <w:pPr>
              <w:tabs>
                <w:tab w:val="decimal" w:pos="822"/>
              </w:tabs>
              <w:spacing w:before="40" w:after="40" w:line="180" w:lineRule="exact"/>
              <w:rPr>
                <w:sz w:val="17"/>
              </w:rPr>
            </w:pPr>
            <w:r>
              <w:rPr>
                <w:sz w:val="17"/>
              </w:rPr>
              <w:t>5,0</w:t>
            </w:r>
          </w:p>
        </w:tc>
        <w:tc>
          <w:tcPr>
            <w:tcW w:w="992" w:type="dxa"/>
          </w:tcPr>
          <w:p w:rsidR="00000000" w:rsidRDefault="00000000">
            <w:pPr>
              <w:tabs>
                <w:tab w:val="decimal" w:pos="539"/>
              </w:tabs>
              <w:spacing w:before="40" w:after="40" w:line="180" w:lineRule="exact"/>
              <w:rPr>
                <w:sz w:val="17"/>
              </w:rPr>
            </w:pPr>
            <w:r>
              <w:rPr>
                <w:sz w:val="17"/>
              </w:rPr>
              <w:t>6,5</w:t>
            </w:r>
          </w:p>
        </w:tc>
      </w:tr>
      <w:tr w:rsidR="00000000">
        <w:tblPrEx>
          <w:tblCellMar>
            <w:top w:w="0" w:type="dxa"/>
            <w:bottom w:w="0" w:type="dxa"/>
          </w:tblCellMar>
        </w:tblPrEx>
        <w:tc>
          <w:tcPr>
            <w:tcW w:w="1843" w:type="dxa"/>
          </w:tcPr>
          <w:p w:rsidR="00000000" w:rsidRDefault="00000000">
            <w:pPr>
              <w:spacing w:before="40" w:after="40" w:line="180" w:lineRule="exact"/>
              <w:ind w:left="114"/>
              <w:rPr>
                <w:sz w:val="17"/>
              </w:rPr>
            </w:pPr>
            <w:r>
              <w:rPr>
                <w:sz w:val="17"/>
              </w:rPr>
              <w:t>Же</w:t>
            </w:r>
            <w:r>
              <w:rPr>
                <w:sz w:val="17"/>
              </w:rPr>
              <w:t>н</w:t>
            </w:r>
            <w:r>
              <w:rPr>
                <w:sz w:val="17"/>
              </w:rPr>
              <w:t>щины</w:t>
            </w:r>
          </w:p>
        </w:tc>
        <w:tc>
          <w:tcPr>
            <w:tcW w:w="1417" w:type="dxa"/>
          </w:tcPr>
          <w:p w:rsidR="00000000" w:rsidRDefault="00000000">
            <w:pPr>
              <w:tabs>
                <w:tab w:val="decimal" w:pos="822"/>
              </w:tabs>
              <w:spacing w:before="40" w:after="40" w:line="180" w:lineRule="exact"/>
              <w:rPr>
                <w:sz w:val="17"/>
              </w:rPr>
            </w:pPr>
            <w:r>
              <w:rPr>
                <w:sz w:val="17"/>
              </w:rPr>
              <w:t>84 669</w:t>
            </w:r>
          </w:p>
        </w:tc>
        <w:tc>
          <w:tcPr>
            <w:tcW w:w="1418" w:type="dxa"/>
          </w:tcPr>
          <w:p w:rsidR="00000000" w:rsidRDefault="00000000">
            <w:pPr>
              <w:tabs>
                <w:tab w:val="decimal" w:pos="822"/>
              </w:tabs>
              <w:spacing w:before="40" w:after="40" w:line="180" w:lineRule="exact"/>
              <w:rPr>
                <w:sz w:val="17"/>
              </w:rPr>
            </w:pPr>
            <w:r>
              <w:rPr>
                <w:sz w:val="17"/>
              </w:rPr>
              <w:t>117 645</w:t>
            </w:r>
          </w:p>
        </w:tc>
        <w:tc>
          <w:tcPr>
            <w:tcW w:w="1701" w:type="dxa"/>
          </w:tcPr>
          <w:p w:rsidR="00000000" w:rsidRDefault="00000000">
            <w:pPr>
              <w:tabs>
                <w:tab w:val="decimal" w:pos="822"/>
              </w:tabs>
              <w:spacing w:before="40" w:after="40" w:line="180" w:lineRule="exact"/>
              <w:rPr>
                <w:sz w:val="17"/>
              </w:rPr>
            </w:pPr>
            <w:r>
              <w:rPr>
                <w:sz w:val="17"/>
              </w:rPr>
              <w:t>5,0</w:t>
            </w:r>
          </w:p>
        </w:tc>
        <w:tc>
          <w:tcPr>
            <w:tcW w:w="992" w:type="dxa"/>
          </w:tcPr>
          <w:p w:rsidR="00000000" w:rsidRDefault="00000000">
            <w:pPr>
              <w:tabs>
                <w:tab w:val="decimal" w:pos="539"/>
              </w:tabs>
              <w:spacing w:before="40" w:after="40" w:line="180" w:lineRule="exact"/>
              <w:rPr>
                <w:sz w:val="17"/>
              </w:rPr>
            </w:pPr>
            <w:r>
              <w:rPr>
                <w:sz w:val="17"/>
              </w:rPr>
              <w:t>6,4</w:t>
            </w:r>
          </w:p>
        </w:tc>
      </w:tr>
      <w:tr w:rsidR="00000000">
        <w:tblPrEx>
          <w:tblCellMar>
            <w:top w:w="0" w:type="dxa"/>
            <w:bottom w:w="0" w:type="dxa"/>
          </w:tblCellMar>
        </w:tblPrEx>
        <w:tc>
          <w:tcPr>
            <w:tcW w:w="1843" w:type="dxa"/>
          </w:tcPr>
          <w:p w:rsidR="00000000" w:rsidRDefault="00000000">
            <w:pPr>
              <w:spacing w:before="40" w:after="40" w:line="180" w:lineRule="exact"/>
              <w:ind w:left="114"/>
              <w:rPr>
                <w:sz w:val="17"/>
              </w:rPr>
            </w:pPr>
            <w:r>
              <w:rPr>
                <w:sz w:val="17"/>
              </w:rPr>
              <w:t>Всего</w:t>
            </w:r>
          </w:p>
        </w:tc>
        <w:tc>
          <w:tcPr>
            <w:tcW w:w="1417" w:type="dxa"/>
          </w:tcPr>
          <w:p w:rsidR="00000000" w:rsidRDefault="00000000">
            <w:pPr>
              <w:tabs>
                <w:tab w:val="decimal" w:pos="822"/>
              </w:tabs>
              <w:spacing w:before="40" w:after="40" w:line="180" w:lineRule="exact"/>
              <w:rPr>
                <w:sz w:val="17"/>
              </w:rPr>
            </w:pPr>
            <w:r>
              <w:rPr>
                <w:sz w:val="17"/>
              </w:rPr>
              <w:t>167 070</w:t>
            </w:r>
          </w:p>
        </w:tc>
        <w:tc>
          <w:tcPr>
            <w:tcW w:w="1418" w:type="dxa"/>
          </w:tcPr>
          <w:p w:rsidR="00000000" w:rsidRDefault="00000000">
            <w:pPr>
              <w:tabs>
                <w:tab w:val="decimal" w:pos="822"/>
              </w:tabs>
              <w:spacing w:before="40" w:after="40" w:line="180" w:lineRule="exact"/>
              <w:rPr>
                <w:sz w:val="17"/>
              </w:rPr>
            </w:pPr>
            <w:r>
              <w:rPr>
                <w:sz w:val="17"/>
              </w:rPr>
              <w:t>231 801</w:t>
            </w:r>
          </w:p>
        </w:tc>
        <w:tc>
          <w:tcPr>
            <w:tcW w:w="1701" w:type="dxa"/>
          </w:tcPr>
          <w:p w:rsidR="00000000" w:rsidRDefault="00000000">
            <w:pPr>
              <w:tabs>
                <w:tab w:val="decimal" w:pos="822"/>
              </w:tabs>
              <w:spacing w:before="40" w:after="40" w:line="180" w:lineRule="exact"/>
              <w:rPr>
                <w:sz w:val="17"/>
              </w:rPr>
            </w:pPr>
            <w:r>
              <w:rPr>
                <w:sz w:val="17"/>
              </w:rPr>
              <w:t>5,0</w:t>
            </w:r>
          </w:p>
        </w:tc>
        <w:tc>
          <w:tcPr>
            <w:tcW w:w="992" w:type="dxa"/>
          </w:tcPr>
          <w:p w:rsidR="00000000" w:rsidRDefault="00000000">
            <w:pPr>
              <w:tabs>
                <w:tab w:val="decimal" w:pos="539"/>
              </w:tabs>
              <w:spacing w:before="40" w:after="40" w:line="180" w:lineRule="exact"/>
              <w:rPr>
                <w:sz w:val="17"/>
              </w:rPr>
            </w:pPr>
            <w:r>
              <w:rPr>
                <w:sz w:val="17"/>
              </w:rPr>
              <w:t>6,5</w:t>
            </w:r>
          </w:p>
        </w:tc>
      </w:tr>
      <w:tr w:rsidR="00000000">
        <w:tblPrEx>
          <w:tblCellMar>
            <w:top w:w="0" w:type="dxa"/>
            <w:bottom w:w="0" w:type="dxa"/>
          </w:tblCellMar>
        </w:tblPrEx>
        <w:tc>
          <w:tcPr>
            <w:tcW w:w="1843" w:type="dxa"/>
          </w:tcPr>
          <w:p w:rsidR="00000000" w:rsidRDefault="00000000">
            <w:pPr>
              <w:spacing w:before="40" w:after="40" w:line="180" w:lineRule="exact"/>
              <w:rPr>
                <w:sz w:val="17"/>
              </w:rPr>
            </w:pPr>
          </w:p>
        </w:tc>
        <w:tc>
          <w:tcPr>
            <w:tcW w:w="1417" w:type="dxa"/>
          </w:tcPr>
          <w:p w:rsidR="00000000" w:rsidRDefault="00000000">
            <w:pPr>
              <w:tabs>
                <w:tab w:val="decimal" w:pos="822"/>
              </w:tabs>
              <w:spacing w:before="40" w:after="40" w:line="180" w:lineRule="exact"/>
              <w:rPr>
                <w:sz w:val="17"/>
              </w:rPr>
            </w:pPr>
          </w:p>
        </w:tc>
        <w:tc>
          <w:tcPr>
            <w:tcW w:w="1418" w:type="dxa"/>
          </w:tcPr>
          <w:p w:rsidR="00000000" w:rsidRDefault="00000000">
            <w:pPr>
              <w:tabs>
                <w:tab w:val="decimal" w:pos="822"/>
              </w:tabs>
              <w:spacing w:before="40" w:after="40" w:line="180" w:lineRule="exact"/>
              <w:rPr>
                <w:sz w:val="17"/>
              </w:rPr>
            </w:pPr>
          </w:p>
        </w:tc>
        <w:tc>
          <w:tcPr>
            <w:tcW w:w="1701" w:type="dxa"/>
          </w:tcPr>
          <w:p w:rsidR="00000000" w:rsidRDefault="00000000">
            <w:pPr>
              <w:tabs>
                <w:tab w:val="decimal" w:pos="822"/>
              </w:tabs>
              <w:spacing w:before="40" w:after="40" w:line="180" w:lineRule="exact"/>
              <w:rPr>
                <w:sz w:val="17"/>
              </w:rPr>
            </w:pPr>
          </w:p>
        </w:tc>
        <w:tc>
          <w:tcPr>
            <w:tcW w:w="992" w:type="dxa"/>
          </w:tcPr>
          <w:p w:rsidR="00000000" w:rsidRDefault="00000000">
            <w:pPr>
              <w:tabs>
                <w:tab w:val="decimal" w:pos="539"/>
              </w:tabs>
              <w:spacing w:before="40" w:after="40" w:line="180" w:lineRule="exact"/>
              <w:rPr>
                <w:sz w:val="17"/>
              </w:rPr>
            </w:pPr>
          </w:p>
        </w:tc>
      </w:tr>
      <w:tr w:rsidR="00000000">
        <w:tblPrEx>
          <w:tblCellMar>
            <w:top w:w="0" w:type="dxa"/>
            <w:bottom w:w="0" w:type="dxa"/>
          </w:tblCellMar>
        </w:tblPrEx>
        <w:tc>
          <w:tcPr>
            <w:tcW w:w="1843" w:type="dxa"/>
          </w:tcPr>
          <w:p w:rsidR="00000000" w:rsidRDefault="00000000">
            <w:pPr>
              <w:pStyle w:val="2"/>
              <w:keepNext w:val="0"/>
              <w:spacing w:before="40" w:after="40" w:line="180" w:lineRule="exact"/>
              <w:rPr>
                <w:sz w:val="17"/>
              </w:rPr>
            </w:pPr>
            <w:r>
              <w:rPr>
                <w:sz w:val="17"/>
              </w:rPr>
              <w:t>Всего, ази</w:t>
            </w:r>
            <w:r>
              <w:rPr>
                <w:sz w:val="17"/>
              </w:rPr>
              <w:t>а</w:t>
            </w:r>
            <w:r>
              <w:rPr>
                <w:sz w:val="17"/>
              </w:rPr>
              <w:t>ты</w:t>
            </w:r>
          </w:p>
        </w:tc>
        <w:tc>
          <w:tcPr>
            <w:tcW w:w="1417" w:type="dxa"/>
          </w:tcPr>
          <w:p w:rsidR="00000000" w:rsidRDefault="00000000">
            <w:pPr>
              <w:tabs>
                <w:tab w:val="decimal" w:pos="822"/>
              </w:tabs>
              <w:spacing w:before="40" w:after="40" w:line="180" w:lineRule="exact"/>
              <w:rPr>
                <w:sz w:val="17"/>
              </w:rPr>
            </w:pPr>
          </w:p>
        </w:tc>
        <w:tc>
          <w:tcPr>
            <w:tcW w:w="1418" w:type="dxa"/>
          </w:tcPr>
          <w:p w:rsidR="00000000" w:rsidRDefault="00000000">
            <w:pPr>
              <w:tabs>
                <w:tab w:val="decimal" w:pos="822"/>
              </w:tabs>
              <w:spacing w:before="40" w:after="40" w:line="180" w:lineRule="exact"/>
              <w:rPr>
                <w:sz w:val="17"/>
              </w:rPr>
            </w:pPr>
          </w:p>
        </w:tc>
        <w:tc>
          <w:tcPr>
            <w:tcW w:w="1701" w:type="dxa"/>
          </w:tcPr>
          <w:p w:rsidR="00000000" w:rsidRDefault="00000000">
            <w:pPr>
              <w:tabs>
                <w:tab w:val="decimal" w:pos="822"/>
              </w:tabs>
              <w:spacing w:before="40" w:after="40" w:line="180" w:lineRule="exact"/>
              <w:rPr>
                <w:sz w:val="17"/>
              </w:rPr>
            </w:pPr>
          </w:p>
        </w:tc>
        <w:tc>
          <w:tcPr>
            <w:tcW w:w="992" w:type="dxa"/>
          </w:tcPr>
          <w:p w:rsidR="00000000" w:rsidRDefault="00000000">
            <w:pPr>
              <w:tabs>
                <w:tab w:val="decimal" w:pos="539"/>
              </w:tabs>
              <w:spacing w:before="40" w:after="40" w:line="180" w:lineRule="exact"/>
              <w:rPr>
                <w:sz w:val="17"/>
              </w:rPr>
            </w:pPr>
          </w:p>
        </w:tc>
      </w:tr>
      <w:tr w:rsidR="00000000">
        <w:tblPrEx>
          <w:tblCellMar>
            <w:top w:w="0" w:type="dxa"/>
            <w:bottom w:w="0" w:type="dxa"/>
          </w:tblCellMar>
        </w:tblPrEx>
        <w:tc>
          <w:tcPr>
            <w:tcW w:w="1843" w:type="dxa"/>
          </w:tcPr>
          <w:p w:rsidR="00000000" w:rsidRDefault="00000000">
            <w:pPr>
              <w:spacing w:before="40" w:after="40" w:line="180" w:lineRule="exact"/>
              <w:ind w:left="114"/>
              <w:rPr>
                <w:sz w:val="17"/>
              </w:rPr>
            </w:pPr>
            <w:r>
              <w:rPr>
                <w:sz w:val="17"/>
              </w:rPr>
              <w:t>Му</w:t>
            </w:r>
            <w:r>
              <w:rPr>
                <w:sz w:val="17"/>
              </w:rPr>
              <w:t>ж</w:t>
            </w:r>
            <w:r>
              <w:rPr>
                <w:sz w:val="17"/>
              </w:rPr>
              <w:t>чины</w:t>
            </w:r>
          </w:p>
        </w:tc>
        <w:tc>
          <w:tcPr>
            <w:tcW w:w="1417" w:type="dxa"/>
          </w:tcPr>
          <w:p w:rsidR="00000000" w:rsidRDefault="00000000">
            <w:pPr>
              <w:tabs>
                <w:tab w:val="decimal" w:pos="822"/>
              </w:tabs>
              <w:spacing w:before="40" w:after="40" w:line="180" w:lineRule="exact"/>
              <w:rPr>
                <w:sz w:val="17"/>
              </w:rPr>
            </w:pPr>
            <w:r>
              <w:rPr>
                <w:sz w:val="17"/>
              </w:rPr>
              <w:t>49 395</w:t>
            </w:r>
          </w:p>
        </w:tc>
        <w:tc>
          <w:tcPr>
            <w:tcW w:w="1418" w:type="dxa"/>
          </w:tcPr>
          <w:p w:rsidR="00000000" w:rsidRDefault="00000000">
            <w:pPr>
              <w:tabs>
                <w:tab w:val="decimal" w:pos="822"/>
              </w:tabs>
              <w:spacing w:before="40" w:after="40" w:line="180" w:lineRule="exact"/>
              <w:rPr>
                <w:sz w:val="17"/>
              </w:rPr>
            </w:pPr>
            <w:r>
              <w:rPr>
                <w:sz w:val="17"/>
              </w:rPr>
              <w:t>112 644</w:t>
            </w:r>
          </w:p>
        </w:tc>
        <w:tc>
          <w:tcPr>
            <w:tcW w:w="1701" w:type="dxa"/>
          </w:tcPr>
          <w:p w:rsidR="00000000" w:rsidRDefault="00000000">
            <w:pPr>
              <w:tabs>
                <w:tab w:val="decimal" w:pos="822"/>
              </w:tabs>
              <w:spacing w:before="40" w:after="40" w:line="180" w:lineRule="exact"/>
              <w:rPr>
                <w:sz w:val="17"/>
              </w:rPr>
            </w:pPr>
            <w:r>
              <w:rPr>
                <w:sz w:val="17"/>
              </w:rPr>
              <w:t>3,0</w:t>
            </w:r>
          </w:p>
        </w:tc>
        <w:tc>
          <w:tcPr>
            <w:tcW w:w="992" w:type="dxa"/>
          </w:tcPr>
          <w:p w:rsidR="00000000" w:rsidRDefault="00000000">
            <w:pPr>
              <w:tabs>
                <w:tab w:val="decimal" w:pos="539"/>
              </w:tabs>
              <w:spacing w:before="40" w:after="40" w:line="180" w:lineRule="exact"/>
              <w:rPr>
                <w:sz w:val="17"/>
              </w:rPr>
            </w:pPr>
            <w:r>
              <w:rPr>
                <w:sz w:val="17"/>
              </w:rPr>
              <w:t>6,4</w:t>
            </w:r>
          </w:p>
        </w:tc>
      </w:tr>
      <w:tr w:rsidR="00000000">
        <w:tblPrEx>
          <w:tblCellMar>
            <w:top w:w="0" w:type="dxa"/>
            <w:bottom w:w="0" w:type="dxa"/>
          </w:tblCellMar>
        </w:tblPrEx>
        <w:tc>
          <w:tcPr>
            <w:tcW w:w="1843" w:type="dxa"/>
          </w:tcPr>
          <w:p w:rsidR="00000000" w:rsidRDefault="00000000">
            <w:pPr>
              <w:pStyle w:val="Header"/>
              <w:tabs>
                <w:tab w:val="clear" w:pos="4320"/>
                <w:tab w:val="clear" w:pos="8640"/>
              </w:tabs>
              <w:spacing w:before="40" w:after="40" w:line="180" w:lineRule="exact"/>
              <w:ind w:left="114"/>
              <w:rPr>
                <w:noProof w:val="0"/>
                <w:spacing w:val="4"/>
                <w:w w:val="103"/>
                <w:kern w:val="14"/>
              </w:rPr>
            </w:pPr>
            <w:r>
              <w:rPr>
                <w:noProof w:val="0"/>
                <w:spacing w:val="4"/>
                <w:w w:val="103"/>
                <w:kern w:val="14"/>
              </w:rPr>
              <w:t>Же</w:t>
            </w:r>
            <w:r>
              <w:rPr>
                <w:noProof w:val="0"/>
                <w:spacing w:val="4"/>
                <w:w w:val="103"/>
                <w:kern w:val="14"/>
              </w:rPr>
              <w:t>н</w:t>
            </w:r>
            <w:r>
              <w:rPr>
                <w:noProof w:val="0"/>
                <w:spacing w:val="4"/>
                <w:w w:val="103"/>
                <w:kern w:val="14"/>
              </w:rPr>
              <w:t>щины</w:t>
            </w:r>
          </w:p>
        </w:tc>
        <w:tc>
          <w:tcPr>
            <w:tcW w:w="1417" w:type="dxa"/>
          </w:tcPr>
          <w:p w:rsidR="00000000" w:rsidRDefault="00000000">
            <w:pPr>
              <w:tabs>
                <w:tab w:val="decimal" w:pos="822"/>
              </w:tabs>
              <w:spacing w:before="40" w:after="40" w:line="180" w:lineRule="exact"/>
              <w:rPr>
                <w:sz w:val="17"/>
              </w:rPr>
            </w:pPr>
            <w:r>
              <w:rPr>
                <w:sz w:val="17"/>
              </w:rPr>
              <w:t>50 361</w:t>
            </w:r>
          </w:p>
        </w:tc>
        <w:tc>
          <w:tcPr>
            <w:tcW w:w="1418" w:type="dxa"/>
          </w:tcPr>
          <w:p w:rsidR="00000000" w:rsidRDefault="00000000">
            <w:pPr>
              <w:tabs>
                <w:tab w:val="decimal" w:pos="822"/>
              </w:tabs>
              <w:spacing w:before="40" w:after="40" w:line="180" w:lineRule="exact"/>
              <w:rPr>
                <w:sz w:val="17"/>
              </w:rPr>
            </w:pPr>
            <w:r>
              <w:rPr>
                <w:sz w:val="17"/>
              </w:rPr>
              <w:t>124 818</w:t>
            </w:r>
          </w:p>
        </w:tc>
        <w:tc>
          <w:tcPr>
            <w:tcW w:w="1701" w:type="dxa"/>
          </w:tcPr>
          <w:p w:rsidR="00000000" w:rsidRDefault="00000000">
            <w:pPr>
              <w:tabs>
                <w:tab w:val="decimal" w:pos="822"/>
              </w:tabs>
              <w:spacing w:before="40" w:after="40" w:line="180" w:lineRule="exact"/>
              <w:rPr>
                <w:sz w:val="17"/>
              </w:rPr>
            </w:pPr>
            <w:r>
              <w:rPr>
                <w:sz w:val="17"/>
              </w:rPr>
              <w:t>3,0</w:t>
            </w:r>
          </w:p>
        </w:tc>
        <w:tc>
          <w:tcPr>
            <w:tcW w:w="992" w:type="dxa"/>
          </w:tcPr>
          <w:p w:rsidR="00000000" w:rsidRDefault="00000000">
            <w:pPr>
              <w:tabs>
                <w:tab w:val="decimal" w:pos="539"/>
              </w:tabs>
              <w:spacing w:before="40" w:after="40" w:line="180" w:lineRule="exact"/>
              <w:rPr>
                <w:sz w:val="17"/>
              </w:rPr>
            </w:pPr>
            <w:r>
              <w:rPr>
                <w:sz w:val="17"/>
              </w:rPr>
              <w:t>6,8</w:t>
            </w:r>
          </w:p>
        </w:tc>
      </w:tr>
      <w:tr w:rsidR="00000000">
        <w:tblPrEx>
          <w:tblCellMar>
            <w:top w:w="0" w:type="dxa"/>
            <w:bottom w:w="0" w:type="dxa"/>
          </w:tblCellMar>
        </w:tblPrEx>
        <w:tc>
          <w:tcPr>
            <w:tcW w:w="1843" w:type="dxa"/>
          </w:tcPr>
          <w:p w:rsidR="00000000" w:rsidRDefault="00000000">
            <w:pPr>
              <w:spacing w:before="40" w:after="40" w:line="180" w:lineRule="exact"/>
              <w:ind w:left="114"/>
              <w:rPr>
                <w:sz w:val="17"/>
              </w:rPr>
            </w:pPr>
            <w:r>
              <w:rPr>
                <w:sz w:val="17"/>
              </w:rPr>
              <w:t>Всего</w:t>
            </w:r>
          </w:p>
        </w:tc>
        <w:tc>
          <w:tcPr>
            <w:tcW w:w="1417" w:type="dxa"/>
          </w:tcPr>
          <w:p w:rsidR="00000000" w:rsidRDefault="00000000">
            <w:pPr>
              <w:tabs>
                <w:tab w:val="decimal" w:pos="822"/>
              </w:tabs>
              <w:spacing w:before="40" w:after="40" w:line="180" w:lineRule="exact"/>
              <w:rPr>
                <w:sz w:val="17"/>
              </w:rPr>
            </w:pPr>
            <w:r>
              <w:rPr>
                <w:sz w:val="17"/>
              </w:rPr>
              <w:t>99 756</w:t>
            </w:r>
          </w:p>
        </w:tc>
        <w:tc>
          <w:tcPr>
            <w:tcW w:w="1418" w:type="dxa"/>
          </w:tcPr>
          <w:p w:rsidR="00000000" w:rsidRDefault="00000000">
            <w:pPr>
              <w:tabs>
                <w:tab w:val="decimal" w:pos="822"/>
              </w:tabs>
              <w:spacing w:before="40" w:after="40" w:line="180" w:lineRule="exact"/>
              <w:rPr>
                <w:sz w:val="17"/>
              </w:rPr>
            </w:pPr>
            <w:r>
              <w:rPr>
                <w:sz w:val="17"/>
              </w:rPr>
              <w:t>237 459</w:t>
            </w:r>
          </w:p>
        </w:tc>
        <w:tc>
          <w:tcPr>
            <w:tcW w:w="1701" w:type="dxa"/>
          </w:tcPr>
          <w:p w:rsidR="00000000" w:rsidRDefault="00000000">
            <w:pPr>
              <w:tabs>
                <w:tab w:val="decimal" w:pos="822"/>
              </w:tabs>
              <w:spacing w:before="40" w:after="40" w:line="180" w:lineRule="exact"/>
              <w:rPr>
                <w:sz w:val="17"/>
              </w:rPr>
            </w:pPr>
            <w:r>
              <w:rPr>
                <w:sz w:val="17"/>
              </w:rPr>
              <w:t>3,0</w:t>
            </w:r>
          </w:p>
        </w:tc>
        <w:tc>
          <w:tcPr>
            <w:tcW w:w="992" w:type="dxa"/>
          </w:tcPr>
          <w:p w:rsidR="00000000" w:rsidRDefault="00000000">
            <w:pPr>
              <w:tabs>
                <w:tab w:val="decimal" w:pos="539"/>
              </w:tabs>
              <w:spacing w:before="40" w:after="40" w:line="180" w:lineRule="exact"/>
              <w:rPr>
                <w:sz w:val="17"/>
              </w:rPr>
            </w:pPr>
            <w:r>
              <w:rPr>
                <w:sz w:val="17"/>
              </w:rPr>
              <w:t>6,6</w:t>
            </w:r>
          </w:p>
        </w:tc>
      </w:tr>
      <w:tr w:rsidR="00000000">
        <w:tblPrEx>
          <w:tblCellMar>
            <w:top w:w="0" w:type="dxa"/>
            <w:bottom w:w="0" w:type="dxa"/>
          </w:tblCellMar>
        </w:tblPrEx>
        <w:tc>
          <w:tcPr>
            <w:tcW w:w="1843" w:type="dxa"/>
          </w:tcPr>
          <w:p w:rsidR="00000000" w:rsidRDefault="00000000">
            <w:pPr>
              <w:spacing w:before="40" w:after="40" w:line="180" w:lineRule="exact"/>
              <w:rPr>
                <w:sz w:val="17"/>
              </w:rPr>
            </w:pPr>
          </w:p>
        </w:tc>
        <w:tc>
          <w:tcPr>
            <w:tcW w:w="1417" w:type="dxa"/>
          </w:tcPr>
          <w:p w:rsidR="00000000" w:rsidRDefault="00000000">
            <w:pPr>
              <w:tabs>
                <w:tab w:val="decimal" w:pos="822"/>
              </w:tabs>
              <w:spacing w:before="40" w:after="40" w:line="180" w:lineRule="exact"/>
              <w:rPr>
                <w:sz w:val="17"/>
              </w:rPr>
            </w:pPr>
          </w:p>
        </w:tc>
        <w:tc>
          <w:tcPr>
            <w:tcW w:w="1418" w:type="dxa"/>
          </w:tcPr>
          <w:p w:rsidR="00000000" w:rsidRDefault="00000000">
            <w:pPr>
              <w:tabs>
                <w:tab w:val="decimal" w:pos="822"/>
              </w:tabs>
              <w:spacing w:before="40" w:after="40" w:line="180" w:lineRule="exact"/>
              <w:rPr>
                <w:sz w:val="17"/>
              </w:rPr>
            </w:pPr>
          </w:p>
        </w:tc>
        <w:tc>
          <w:tcPr>
            <w:tcW w:w="1701" w:type="dxa"/>
          </w:tcPr>
          <w:p w:rsidR="00000000" w:rsidRDefault="00000000">
            <w:pPr>
              <w:tabs>
                <w:tab w:val="decimal" w:pos="822"/>
              </w:tabs>
              <w:spacing w:before="40" w:after="40" w:line="180" w:lineRule="exact"/>
              <w:rPr>
                <w:sz w:val="17"/>
              </w:rPr>
            </w:pPr>
          </w:p>
        </w:tc>
        <w:tc>
          <w:tcPr>
            <w:tcW w:w="992" w:type="dxa"/>
          </w:tcPr>
          <w:p w:rsidR="00000000" w:rsidRDefault="00000000">
            <w:pPr>
              <w:tabs>
                <w:tab w:val="decimal" w:pos="539"/>
              </w:tabs>
              <w:spacing w:before="40" w:after="40" w:line="180" w:lineRule="exact"/>
              <w:rPr>
                <w:sz w:val="17"/>
              </w:rPr>
            </w:pPr>
          </w:p>
        </w:tc>
      </w:tr>
      <w:tr w:rsidR="00000000">
        <w:tblPrEx>
          <w:tblCellMar>
            <w:top w:w="0" w:type="dxa"/>
            <w:bottom w:w="0" w:type="dxa"/>
          </w:tblCellMar>
        </w:tblPrEx>
        <w:tc>
          <w:tcPr>
            <w:tcW w:w="1843" w:type="dxa"/>
          </w:tcPr>
          <w:p w:rsidR="00000000" w:rsidRDefault="00000000">
            <w:pPr>
              <w:pStyle w:val="2"/>
              <w:keepNext w:val="0"/>
              <w:spacing w:before="40" w:after="40" w:line="180" w:lineRule="exact"/>
              <w:rPr>
                <w:sz w:val="17"/>
              </w:rPr>
            </w:pPr>
            <w:r>
              <w:rPr>
                <w:sz w:val="17"/>
              </w:rPr>
              <w:t>Всего, пр</w:t>
            </w:r>
            <w:r>
              <w:rPr>
                <w:sz w:val="17"/>
              </w:rPr>
              <w:t>о</w:t>
            </w:r>
            <w:r>
              <w:rPr>
                <w:sz w:val="17"/>
              </w:rPr>
              <w:t>чие</w:t>
            </w:r>
          </w:p>
        </w:tc>
        <w:tc>
          <w:tcPr>
            <w:tcW w:w="1417" w:type="dxa"/>
          </w:tcPr>
          <w:p w:rsidR="00000000" w:rsidRDefault="00000000">
            <w:pPr>
              <w:tabs>
                <w:tab w:val="decimal" w:pos="822"/>
              </w:tabs>
              <w:spacing w:before="40" w:after="40" w:line="180" w:lineRule="exact"/>
              <w:rPr>
                <w:sz w:val="17"/>
              </w:rPr>
            </w:pPr>
          </w:p>
        </w:tc>
        <w:tc>
          <w:tcPr>
            <w:tcW w:w="1418" w:type="dxa"/>
          </w:tcPr>
          <w:p w:rsidR="00000000" w:rsidRDefault="00000000">
            <w:pPr>
              <w:tabs>
                <w:tab w:val="decimal" w:pos="822"/>
              </w:tabs>
              <w:spacing w:before="40" w:after="40" w:line="180" w:lineRule="exact"/>
              <w:rPr>
                <w:sz w:val="17"/>
              </w:rPr>
            </w:pPr>
          </w:p>
        </w:tc>
        <w:tc>
          <w:tcPr>
            <w:tcW w:w="1701" w:type="dxa"/>
          </w:tcPr>
          <w:p w:rsidR="00000000" w:rsidRDefault="00000000">
            <w:pPr>
              <w:tabs>
                <w:tab w:val="decimal" w:pos="822"/>
              </w:tabs>
              <w:spacing w:before="40" w:after="40" w:line="180" w:lineRule="exact"/>
              <w:rPr>
                <w:sz w:val="17"/>
              </w:rPr>
            </w:pPr>
          </w:p>
        </w:tc>
        <w:tc>
          <w:tcPr>
            <w:tcW w:w="992" w:type="dxa"/>
          </w:tcPr>
          <w:p w:rsidR="00000000" w:rsidRDefault="00000000">
            <w:pPr>
              <w:tabs>
                <w:tab w:val="decimal" w:pos="539"/>
              </w:tabs>
              <w:spacing w:before="40" w:after="40" w:line="180" w:lineRule="exact"/>
              <w:rPr>
                <w:sz w:val="17"/>
              </w:rPr>
            </w:pPr>
          </w:p>
        </w:tc>
      </w:tr>
      <w:tr w:rsidR="00000000">
        <w:tblPrEx>
          <w:tblCellMar>
            <w:top w:w="0" w:type="dxa"/>
            <w:bottom w:w="0" w:type="dxa"/>
          </w:tblCellMar>
        </w:tblPrEx>
        <w:tc>
          <w:tcPr>
            <w:tcW w:w="1843" w:type="dxa"/>
          </w:tcPr>
          <w:p w:rsidR="00000000" w:rsidRDefault="00000000">
            <w:pPr>
              <w:spacing w:before="40" w:after="40" w:line="180" w:lineRule="exact"/>
              <w:ind w:left="114"/>
              <w:rPr>
                <w:sz w:val="17"/>
              </w:rPr>
            </w:pPr>
            <w:r>
              <w:rPr>
                <w:sz w:val="17"/>
              </w:rPr>
              <w:t>Му</w:t>
            </w:r>
            <w:r>
              <w:rPr>
                <w:sz w:val="17"/>
              </w:rPr>
              <w:t>ж</w:t>
            </w:r>
            <w:r>
              <w:rPr>
                <w:sz w:val="17"/>
              </w:rPr>
              <w:t>чины</w:t>
            </w:r>
          </w:p>
        </w:tc>
        <w:tc>
          <w:tcPr>
            <w:tcW w:w="1417" w:type="dxa"/>
          </w:tcPr>
          <w:p w:rsidR="00000000" w:rsidRDefault="00000000">
            <w:pPr>
              <w:tabs>
                <w:tab w:val="decimal" w:pos="822"/>
              </w:tabs>
              <w:spacing w:before="40" w:after="40" w:line="180" w:lineRule="exact"/>
              <w:rPr>
                <w:sz w:val="17"/>
              </w:rPr>
            </w:pPr>
            <w:r>
              <w:rPr>
                <w:sz w:val="17"/>
              </w:rPr>
              <w:t>3 615</w:t>
            </w:r>
          </w:p>
        </w:tc>
        <w:tc>
          <w:tcPr>
            <w:tcW w:w="1418" w:type="dxa"/>
          </w:tcPr>
          <w:p w:rsidR="00000000" w:rsidRDefault="00000000">
            <w:pPr>
              <w:tabs>
                <w:tab w:val="decimal" w:pos="822"/>
              </w:tabs>
              <w:spacing w:before="40" w:after="40" w:line="180" w:lineRule="exact"/>
              <w:rPr>
                <w:sz w:val="17"/>
              </w:rPr>
            </w:pPr>
            <w:r>
              <w:rPr>
                <w:sz w:val="17"/>
              </w:rPr>
              <w:t>13 122</w:t>
            </w:r>
          </w:p>
        </w:tc>
        <w:tc>
          <w:tcPr>
            <w:tcW w:w="1701" w:type="dxa"/>
          </w:tcPr>
          <w:p w:rsidR="00000000" w:rsidRDefault="00000000">
            <w:pPr>
              <w:tabs>
                <w:tab w:val="decimal" w:pos="822"/>
              </w:tabs>
              <w:spacing w:before="40" w:after="40" w:line="180" w:lineRule="exact"/>
              <w:rPr>
                <w:sz w:val="17"/>
              </w:rPr>
            </w:pPr>
            <w:r>
              <w:rPr>
                <w:sz w:val="17"/>
              </w:rPr>
              <w:t>0,2</w:t>
            </w:r>
          </w:p>
        </w:tc>
        <w:tc>
          <w:tcPr>
            <w:tcW w:w="992" w:type="dxa"/>
          </w:tcPr>
          <w:p w:rsidR="00000000" w:rsidRDefault="00000000">
            <w:pPr>
              <w:tabs>
                <w:tab w:val="decimal" w:pos="539"/>
              </w:tabs>
              <w:spacing w:before="40" w:after="40" w:line="180" w:lineRule="exact"/>
              <w:rPr>
                <w:sz w:val="17"/>
              </w:rPr>
            </w:pPr>
            <w:r>
              <w:rPr>
                <w:sz w:val="17"/>
              </w:rPr>
              <w:t>0,8</w:t>
            </w:r>
          </w:p>
        </w:tc>
      </w:tr>
      <w:tr w:rsidR="00000000">
        <w:tblPrEx>
          <w:tblCellMar>
            <w:top w:w="0" w:type="dxa"/>
            <w:bottom w:w="0" w:type="dxa"/>
          </w:tblCellMar>
        </w:tblPrEx>
        <w:tc>
          <w:tcPr>
            <w:tcW w:w="1843" w:type="dxa"/>
          </w:tcPr>
          <w:p w:rsidR="00000000" w:rsidRDefault="00000000">
            <w:pPr>
              <w:spacing w:before="40" w:after="40" w:line="180" w:lineRule="exact"/>
              <w:ind w:left="114"/>
              <w:rPr>
                <w:sz w:val="17"/>
              </w:rPr>
            </w:pPr>
            <w:r>
              <w:rPr>
                <w:sz w:val="17"/>
              </w:rPr>
              <w:t>Же</w:t>
            </w:r>
            <w:r>
              <w:rPr>
                <w:sz w:val="17"/>
              </w:rPr>
              <w:t>н</w:t>
            </w:r>
            <w:r>
              <w:rPr>
                <w:sz w:val="17"/>
              </w:rPr>
              <w:t>щины</w:t>
            </w:r>
          </w:p>
        </w:tc>
        <w:tc>
          <w:tcPr>
            <w:tcW w:w="1417" w:type="dxa"/>
          </w:tcPr>
          <w:p w:rsidR="00000000" w:rsidRDefault="00000000">
            <w:pPr>
              <w:tabs>
                <w:tab w:val="decimal" w:pos="822"/>
              </w:tabs>
              <w:spacing w:before="40" w:after="40" w:line="180" w:lineRule="exact"/>
              <w:rPr>
                <w:sz w:val="17"/>
              </w:rPr>
            </w:pPr>
            <w:r>
              <w:rPr>
                <w:sz w:val="17"/>
              </w:rPr>
              <w:t>3 078</w:t>
            </w:r>
          </w:p>
        </w:tc>
        <w:tc>
          <w:tcPr>
            <w:tcW w:w="1418" w:type="dxa"/>
          </w:tcPr>
          <w:p w:rsidR="00000000" w:rsidRDefault="00000000">
            <w:pPr>
              <w:tabs>
                <w:tab w:val="decimal" w:pos="822"/>
              </w:tabs>
              <w:spacing w:before="40" w:after="40" w:line="180" w:lineRule="exact"/>
              <w:rPr>
                <w:sz w:val="17"/>
              </w:rPr>
            </w:pPr>
            <w:r>
              <w:rPr>
                <w:sz w:val="17"/>
              </w:rPr>
              <w:t>11 802</w:t>
            </w:r>
          </w:p>
        </w:tc>
        <w:tc>
          <w:tcPr>
            <w:tcW w:w="1701" w:type="dxa"/>
          </w:tcPr>
          <w:p w:rsidR="00000000" w:rsidRDefault="00000000">
            <w:pPr>
              <w:tabs>
                <w:tab w:val="decimal" w:pos="822"/>
              </w:tabs>
              <w:spacing w:before="40" w:after="40" w:line="180" w:lineRule="exact"/>
              <w:rPr>
                <w:sz w:val="17"/>
              </w:rPr>
            </w:pPr>
            <w:r>
              <w:rPr>
                <w:sz w:val="17"/>
              </w:rPr>
              <w:t>0,2</w:t>
            </w:r>
          </w:p>
        </w:tc>
        <w:tc>
          <w:tcPr>
            <w:tcW w:w="992" w:type="dxa"/>
          </w:tcPr>
          <w:p w:rsidR="00000000" w:rsidRDefault="00000000">
            <w:pPr>
              <w:tabs>
                <w:tab w:val="decimal" w:pos="539"/>
              </w:tabs>
              <w:spacing w:before="40" w:after="40" w:line="180" w:lineRule="exact"/>
              <w:rPr>
                <w:sz w:val="17"/>
              </w:rPr>
            </w:pPr>
            <w:r>
              <w:rPr>
                <w:sz w:val="17"/>
              </w:rPr>
              <w:t>0,6</w:t>
            </w:r>
          </w:p>
        </w:tc>
      </w:tr>
      <w:tr w:rsidR="00000000">
        <w:tblPrEx>
          <w:tblCellMar>
            <w:top w:w="0" w:type="dxa"/>
            <w:bottom w:w="0" w:type="dxa"/>
          </w:tblCellMar>
        </w:tblPrEx>
        <w:tc>
          <w:tcPr>
            <w:tcW w:w="1843" w:type="dxa"/>
          </w:tcPr>
          <w:p w:rsidR="00000000" w:rsidRDefault="00000000">
            <w:pPr>
              <w:spacing w:before="40" w:after="40" w:line="180" w:lineRule="exact"/>
              <w:ind w:left="114"/>
              <w:rPr>
                <w:sz w:val="17"/>
              </w:rPr>
            </w:pPr>
            <w:r>
              <w:rPr>
                <w:sz w:val="17"/>
              </w:rPr>
              <w:t>Всего</w:t>
            </w:r>
          </w:p>
        </w:tc>
        <w:tc>
          <w:tcPr>
            <w:tcW w:w="1417" w:type="dxa"/>
          </w:tcPr>
          <w:p w:rsidR="00000000" w:rsidRDefault="00000000">
            <w:pPr>
              <w:tabs>
                <w:tab w:val="decimal" w:pos="822"/>
              </w:tabs>
              <w:spacing w:before="40" w:after="40" w:line="180" w:lineRule="exact"/>
              <w:rPr>
                <w:sz w:val="17"/>
              </w:rPr>
            </w:pPr>
            <w:r>
              <w:rPr>
                <w:sz w:val="17"/>
              </w:rPr>
              <w:t>6 693</w:t>
            </w:r>
          </w:p>
        </w:tc>
        <w:tc>
          <w:tcPr>
            <w:tcW w:w="1418" w:type="dxa"/>
          </w:tcPr>
          <w:p w:rsidR="00000000" w:rsidRDefault="00000000">
            <w:pPr>
              <w:tabs>
                <w:tab w:val="decimal" w:pos="822"/>
              </w:tabs>
              <w:spacing w:before="40" w:after="40" w:line="180" w:lineRule="exact"/>
              <w:rPr>
                <w:sz w:val="17"/>
              </w:rPr>
            </w:pPr>
            <w:r>
              <w:rPr>
                <w:sz w:val="17"/>
              </w:rPr>
              <w:t>24 924</w:t>
            </w:r>
          </w:p>
        </w:tc>
        <w:tc>
          <w:tcPr>
            <w:tcW w:w="1701" w:type="dxa"/>
          </w:tcPr>
          <w:p w:rsidR="00000000" w:rsidRDefault="00000000">
            <w:pPr>
              <w:tabs>
                <w:tab w:val="decimal" w:pos="822"/>
              </w:tabs>
              <w:spacing w:before="40" w:after="40" w:line="180" w:lineRule="exact"/>
              <w:rPr>
                <w:sz w:val="17"/>
              </w:rPr>
            </w:pPr>
            <w:r>
              <w:rPr>
                <w:sz w:val="17"/>
              </w:rPr>
              <w:t>0,2</w:t>
            </w:r>
          </w:p>
        </w:tc>
        <w:tc>
          <w:tcPr>
            <w:tcW w:w="992" w:type="dxa"/>
          </w:tcPr>
          <w:p w:rsidR="00000000" w:rsidRDefault="00000000">
            <w:pPr>
              <w:tabs>
                <w:tab w:val="decimal" w:pos="539"/>
              </w:tabs>
              <w:spacing w:before="40" w:after="40" w:line="180" w:lineRule="exact"/>
              <w:rPr>
                <w:sz w:val="17"/>
              </w:rPr>
            </w:pPr>
            <w:r>
              <w:rPr>
                <w:sz w:val="17"/>
              </w:rPr>
              <w:t>0,7</w:t>
            </w:r>
          </w:p>
        </w:tc>
      </w:tr>
      <w:tr w:rsidR="00000000">
        <w:tblPrEx>
          <w:tblCellMar>
            <w:top w:w="0" w:type="dxa"/>
            <w:bottom w:w="0" w:type="dxa"/>
          </w:tblCellMar>
        </w:tblPrEx>
        <w:tc>
          <w:tcPr>
            <w:tcW w:w="1843" w:type="dxa"/>
          </w:tcPr>
          <w:p w:rsidR="00000000" w:rsidRDefault="00000000">
            <w:pPr>
              <w:spacing w:before="40" w:after="40" w:line="180" w:lineRule="exact"/>
              <w:rPr>
                <w:sz w:val="17"/>
              </w:rPr>
            </w:pPr>
          </w:p>
        </w:tc>
        <w:tc>
          <w:tcPr>
            <w:tcW w:w="1417" w:type="dxa"/>
          </w:tcPr>
          <w:p w:rsidR="00000000" w:rsidRDefault="00000000">
            <w:pPr>
              <w:tabs>
                <w:tab w:val="decimal" w:pos="822"/>
              </w:tabs>
              <w:spacing w:before="40" w:after="40" w:line="180" w:lineRule="exact"/>
              <w:rPr>
                <w:sz w:val="17"/>
              </w:rPr>
            </w:pPr>
          </w:p>
        </w:tc>
        <w:tc>
          <w:tcPr>
            <w:tcW w:w="1418" w:type="dxa"/>
          </w:tcPr>
          <w:p w:rsidR="00000000" w:rsidRDefault="00000000">
            <w:pPr>
              <w:tabs>
                <w:tab w:val="decimal" w:pos="822"/>
              </w:tabs>
              <w:spacing w:before="40" w:after="40" w:line="180" w:lineRule="exact"/>
              <w:rPr>
                <w:sz w:val="17"/>
              </w:rPr>
            </w:pPr>
          </w:p>
        </w:tc>
        <w:tc>
          <w:tcPr>
            <w:tcW w:w="1701" w:type="dxa"/>
          </w:tcPr>
          <w:p w:rsidR="00000000" w:rsidRDefault="00000000">
            <w:pPr>
              <w:tabs>
                <w:tab w:val="decimal" w:pos="822"/>
              </w:tabs>
              <w:spacing w:before="40" w:after="40" w:line="180" w:lineRule="exact"/>
              <w:rPr>
                <w:sz w:val="17"/>
              </w:rPr>
            </w:pPr>
          </w:p>
        </w:tc>
        <w:tc>
          <w:tcPr>
            <w:tcW w:w="992" w:type="dxa"/>
          </w:tcPr>
          <w:p w:rsidR="00000000" w:rsidRDefault="00000000">
            <w:pPr>
              <w:tabs>
                <w:tab w:val="decimal" w:pos="539"/>
              </w:tabs>
              <w:spacing w:before="40" w:after="40" w:line="180" w:lineRule="exact"/>
              <w:rPr>
                <w:sz w:val="17"/>
              </w:rPr>
            </w:pPr>
          </w:p>
        </w:tc>
      </w:tr>
      <w:tr w:rsidR="00000000">
        <w:tblPrEx>
          <w:tblCellMar>
            <w:top w:w="0" w:type="dxa"/>
            <w:bottom w:w="0" w:type="dxa"/>
          </w:tblCellMar>
        </w:tblPrEx>
        <w:tc>
          <w:tcPr>
            <w:tcW w:w="1843" w:type="dxa"/>
          </w:tcPr>
          <w:p w:rsidR="00000000" w:rsidRDefault="00000000">
            <w:pPr>
              <w:pStyle w:val="2"/>
              <w:keepNext w:val="0"/>
              <w:spacing w:before="40" w:after="40" w:line="180" w:lineRule="exact"/>
              <w:rPr>
                <w:b w:val="0"/>
                <w:sz w:val="17"/>
              </w:rPr>
            </w:pPr>
            <w:r>
              <w:rPr>
                <w:sz w:val="17"/>
              </w:rPr>
              <w:t>Общая численность насел</w:t>
            </w:r>
            <w:r>
              <w:rPr>
                <w:sz w:val="17"/>
              </w:rPr>
              <w:t>е</w:t>
            </w:r>
            <w:r>
              <w:rPr>
                <w:sz w:val="17"/>
              </w:rPr>
              <w:t>ния</w:t>
            </w:r>
            <w:r>
              <w:rPr>
                <w:b w:val="0"/>
                <w:sz w:val="17"/>
                <w:vertAlign w:val="superscript"/>
              </w:rPr>
              <w:t>(4)</w:t>
            </w:r>
          </w:p>
        </w:tc>
        <w:tc>
          <w:tcPr>
            <w:tcW w:w="1417" w:type="dxa"/>
          </w:tcPr>
          <w:p w:rsidR="00000000" w:rsidRDefault="00000000">
            <w:pPr>
              <w:tabs>
                <w:tab w:val="decimal" w:pos="822"/>
              </w:tabs>
              <w:spacing w:before="40" w:after="40" w:line="180" w:lineRule="exact"/>
              <w:rPr>
                <w:sz w:val="17"/>
              </w:rPr>
            </w:pPr>
          </w:p>
        </w:tc>
        <w:tc>
          <w:tcPr>
            <w:tcW w:w="1418" w:type="dxa"/>
          </w:tcPr>
          <w:p w:rsidR="00000000" w:rsidRDefault="00000000">
            <w:pPr>
              <w:tabs>
                <w:tab w:val="decimal" w:pos="822"/>
              </w:tabs>
              <w:spacing w:before="40" w:after="40" w:line="180" w:lineRule="exact"/>
              <w:rPr>
                <w:sz w:val="17"/>
              </w:rPr>
            </w:pPr>
          </w:p>
        </w:tc>
        <w:tc>
          <w:tcPr>
            <w:tcW w:w="1701" w:type="dxa"/>
          </w:tcPr>
          <w:p w:rsidR="00000000" w:rsidRDefault="00000000">
            <w:pPr>
              <w:tabs>
                <w:tab w:val="decimal" w:pos="822"/>
              </w:tabs>
              <w:spacing w:before="40" w:after="40" w:line="180" w:lineRule="exact"/>
              <w:rPr>
                <w:sz w:val="17"/>
              </w:rPr>
            </w:pPr>
          </w:p>
        </w:tc>
        <w:tc>
          <w:tcPr>
            <w:tcW w:w="992" w:type="dxa"/>
          </w:tcPr>
          <w:p w:rsidR="00000000" w:rsidRDefault="00000000">
            <w:pPr>
              <w:tabs>
                <w:tab w:val="decimal" w:pos="539"/>
              </w:tabs>
              <w:spacing w:before="40" w:after="40" w:line="180" w:lineRule="exact"/>
              <w:rPr>
                <w:sz w:val="17"/>
              </w:rPr>
            </w:pPr>
          </w:p>
        </w:tc>
      </w:tr>
      <w:tr w:rsidR="00000000">
        <w:tblPrEx>
          <w:tblCellMar>
            <w:top w:w="0" w:type="dxa"/>
            <w:bottom w:w="0" w:type="dxa"/>
          </w:tblCellMar>
        </w:tblPrEx>
        <w:tc>
          <w:tcPr>
            <w:tcW w:w="1843" w:type="dxa"/>
          </w:tcPr>
          <w:p w:rsidR="00000000" w:rsidRDefault="00000000">
            <w:pPr>
              <w:spacing w:before="40" w:after="40" w:line="180" w:lineRule="exact"/>
              <w:ind w:left="114"/>
              <w:rPr>
                <w:sz w:val="17"/>
              </w:rPr>
            </w:pPr>
            <w:r>
              <w:rPr>
                <w:sz w:val="17"/>
              </w:rPr>
              <w:t>Му</w:t>
            </w:r>
            <w:r>
              <w:rPr>
                <w:sz w:val="17"/>
              </w:rPr>
              <w:t>ж</w:t>
            </w:r>
            <w:r>
              <w:rPr>
                <w:sz w:val="17"/>
              </w:rPr>
              <w:t>чины</w:t>
            </w:r>
          </w:p>
        </w:tc>
        <w:tc>
          <w:tcPr>
            <w:tcW w:w="1417" w:type="dxa"/>
          </w:tcPr>
          <w:p w:rsidR="00000000" w:rsidRDefault="00000000">
            <w:pPr>
              <w:tabs>
                <w:tab w:val="decimal" w:pos="822"/>
              </w:tabs>
              <w:spacing w:before="40" w:after="40" w:line="180" w:lineRule="exact"/>
              <w:rPr>
                <w:sz w:val="17"/>
              </w:rPr>
            </w:pPr>
            <w:r>
              <w:rPr>
                <w:sz w:val="17"/>
              </w:rPr>
              <w:t>1 648 239</w:t>
            </w:r>
          </w:p>
        </w:tc>
        <w:tc>
          <w:tcPr>
            <w:tcW w:w="1418" w:type="dxa"/>
          </w:tcPr>
          <w:p w:rsidR="00000000" w:rsidRDefault="00000000">
            <w:pPr>
              <w:tabs>
                <w:tab w:val="decimal" w:pos="822"/>
              </w:tabs>
              <w:spacing w:before="40" w:after="40" w:line="180" w:lineRule="exact"/>
              <w:rPr>
                <w:sz w:val="17"/>
              </w:rPr>
            </w:pPr>
            <w:r>
              <w:rPr>
                <w:sz w:val="17"/>
              </w:rPr>
              <w:t>1 747 752</w:t>
            </w:r>
          </w:p>
        </w:tc>
        <w:tc>
          <w:tcPr>
            <w:tcW w:w="1701" w:type="dxa"/>
          </w:tcPr>
          <w:p w:rsidR="00000000" w:rsidRDefault="00000000">
            <w:pPr>
              <w:tabs>
                <w:tab w:val="decimal" w:pos="822"/>
              </w:tabs>
              <w:spacing w:before="40" w:after="40" w:line="180" w:lineRule="exact"/>
              <w:rPr>
                <w:sz w:val="17"/>
              </w:rPr>
            </w:pPr>
            <w:r>
              <w:rPr>
                <w:sz w:val="17"/>
              </w:rPr>
              <w:t>100,0</w:t>
            </w:r>
          </w:p>
        </w:tc>
        <w:tc>
          <w:tcPr>
            <w:tcW w:w="992" w:type="dxa"/>
          </w:tcPr>
          <w:p w:rsidR="00000000" w:rsidRDefault="00000000">
            <w:pPr>
              <w:tabs>
                <w:tab w:val="decimal" w:pos="539"/>
              </w:tabs>
              <w:spacing w:before="40" w:after="40" w:line="180" w:lineRule="exact"/>
              <w:rPr>
                <w:sz w:val="17"/>
              </w:rPr>
            </w:pPr>
            <w:r>
              <w:rPr>
                <w:sz w:val="17"/>
              </w:rPr>
              <w:t>100,0</w:t>
            </w:r>
          </w:p>
        </w:tc>
      </w:tr>
      <w:tr w:rsidR="00000000">
        <w:tblPrEx>
          <w:tblCellMar>
            <w:top w:w="0" w:type="dxa"/>
            <w:bottom w:w="0" w:type="dxa"/>
          </w:tblCellMar>
        </w:tblPrEx>
        <w:tc>
          <w:tcPr>
            <w:tcW w:w="1843" w:type="dxa"/>
          </w:tcPr>
          <w:p w:rsidR="00000000" w:rsidRDefault="00000000">
            <w:pPr>
              <w:spacing w:before="40" w:after="40" w:line="180" w:lineRule="exact"/>
              <w:ind w:left="114"/>
              <w:rPr>
                <w:sz w:val="17"/>
              </w:rPr>
            </w:pPr>
            <w:r>
              <w:rPr>
                <w:sz w:val="17"/>
              </w:rPr>
              <w:t>Же</w:t>
            </w:r>
            <w:r>
              <w:rPr>
                <w:sz w:val="17"/>
              </w:rPr>
              <w:t>н</w:t>
            </w:r>
            <w:r>
              <w:rPr>
                <w:sz w:val="17"/>
              </w:rPr>
              <w:t>щины</w:t>
            </w:r>
          </w:p>
        </w:tc>
        <w:tc>
          <w:tcPr>
            <w:tcW w:w="1417" w:type="dxa"/>
          </w:tcPr>
          <w:p w:rsidR="00000000" w:rsidRDefault="00000000">
            <w:pPr>
              <w:tabs>
                <w:tab w:val="decimal" w:pos="822"/>
              </w:tabs>
              <w:spacing w:before="40" w:after="40" w:line="180" w:lineRule="exact"/>
              <w:rPr>
                <w:sz w:val="17"/>
              </w:rPr>
            </w:pPr>
            <w:r>
              <w:rPr>
                <w:sz w:val="17"/>
              </w:rPr>
              <w:t>1 697 574</w:t>
            </w:r>
          </w:p>
        </w:tc>
        <w:tc>
          <w:tcPr>
            <w:tcW w:w="1418" w:type="dxa"/>
          </w:tcPr>
          <w:p w:rsidR="00000000" w:rsidRDefault="00000000">
            <w:pPr>
              <w:tabs>
                <w:tab w:val="decimal" w:pos="822"/>
              </w:tabs>
              <w:spacing w:before="40" w:after="40" w:line="180" w:lineRule="exact"/>
              <w:rPr>
                <w:sz w:val="17"/>
              </w:rPr>
            </w:pPr>
            <w:r>
              <w:rPr>
                <w:sz w:val="17"/>
              </w:rPr>
              <w:t>1 838 982</w:t>
            </w:r>
          </w:p>
        </w:tc>
        <w:tc>
          <w:tcPr>
            <w:tcW w:w="1701" w:type="dxa"/>
          </w:tcPr>
          <w:p w:rsidR="00000000" w:rsidRDefault="00000000">
            <w:pPr>
              <w:tabs>
                <w:tab w:val="decimal" w:pos="822"/>
              </w:tabs>
              <w:spacing w:before="40" w:after="40" w:line="180" w:lineRule="exact"/>
              <w:rPr>
                <w:sz w:val="17"/>
              </w:rPr>
            </w:pPr>
            <w:r>
              <w:rPr>
                <w:sz w:val="17"/>
              </w:rPr>
              <w:t>100,0</w:t>
            </w:r>
          </w:p>
        </w:tc>
        <w:tc>
          <w:tcPr>
            <w:tcW w:w="992" w:type="dxa"/>
          </w:tcPr>
          <w:p w:rsidR="00000000" w:rsidRDefault="00000000">
            <w:pPr>
              <w:tabs>
                <w:tab w:val="decimal" w:pos="539"/>
              </w:tabs>
              <w:spacing w:before="40" w:after="40" w:line="180" w:lineRule="exact"/>
              <w:rPr>
                <w:sz w:val="17"/>
              </w:rPr>
            </w:pPr>
            <w:r>
              <w:rPr>
                <w:sz w:val="17"/>
              </w:rPr>
              <w:t>100,0</w:t>
            </w:r>
          </w:p>
        </w:tc>
      </w:tr>
      <w:tr w:rsidR="00000000">
        <w:tblPrEx>
          <w:tblCellMar>
            <w:top w:w="0" w:type="dxa"/>
            <w:bottom w:w="0" w:type="dxa"/>
          </w:tblCellMar>
        </w:tblPrEx>
        <w:tc>
          <w:tcPr>
            <w:tcW w:w="1843" w:type="dxa"/>
          </w:tcPr>
          <w:p w:rsidR="00000000" w:rsidRDefault="00000000">
            <w:pPr>
              <w:spacing w:before="40" w:after="40" w:line="180" w:lineRule="exact"/>
              <w:ind w:left="114"/>
              <w:rPr>
                <w:sz w:val="17"/>
              </w:rPr>
            </w:pPr>
            <w:r>
              <w:rPr>
                <w:sz w:val="17"/>
              </w:rPr>
              <w:t>Всего</w:t>
            </w:r>
          </w:p>
        </w:tc>
        <w:tc>
          <w:tcPr>
            <w:tcW w:w="1417" w:type="dxa"/>
          </w:tcPr>
          <w:p w:rsidR="00000000" w:rsidRDefault="00000000">
            <w:pPr>
              <w:tabs>
                <w:tab w:val="decimal" w:pos="822"/>
              </w:tabs>
              <w:spacing w:before="40" w:after="40" w:line="180" w:lineRule="exact"/>
              <w:rPr>
                <w:sz w:val="17"/>
              </w:rPr>
            </w:pPr>
            <w:r>
              <w:rPr>
                <w:sz w:val="17"/>
              </w:rPr>
              <w:t>3 345 813</w:t>
            </w:r>
          </w:p>
        </w:tc>
        <w:tc>
          <w:tcPr>
            <w:tcW w:w="1418" w:type="dxa"/>
          </w:tcPr>
          <w:p w:rsidR="00000000" w:rsidRDefault="00000000">
            <w:pPr>
              <w:tabs>
                <w:tab w:val="decimal" w:pos="822"/>
              </w:tabs>
              <w:spacing w:before="40" w:after="40" w:line="180" w:lineRule="exact"/>
              <w:rPr>
                <w:sz w:val="17"/>
              </w:rPr>
            </w:pPr>
            <w:r>
              <w:rPr>
                <w:sz w:val="17"/>
              </w:rPr>
              <w:t>3 586 731</w:t>
            </w:r>
          </w:p>
        </w:tc>
        <w:tc>
          <w:tcPr>
            <w:tcW w:w="1701" w:type="dxa"/>
          </w:tcPr>
          <w:p w:rsidR="00000000" w:rsidRDefault="00000000">
            <w:pPr>
              <w:tabs>
                <w:tab w:val="decimal" w:pos="822"/>
              </w:tabs>
              <w:spacing w:before="40" w:after="40" w:line="180" w:lineRule="exact"/>
              <w:rPr>
                <w:sz w:val="17"/>
              </w:rPr>
            </w:pPr>
            <w:r>
              <w:rPr>
                <w:sz w:val="17"/>
              </w:rPr>
              <w:t>100,0</w:t>
            </w:r>
          </w:p>
        </w:tc>
        <w:tc>
          <w:tcPr>
            <w:tcW w:w="992" w:type="dxa"/>
          </w:tcPr>
          <w:p w:rsidR="00000000" w:rsidRDefault="00000000">
            <w:pPr>
              <w:tabs>
                <w:tab w:val="decimal" w:pos="539"/>
              </w:tabs>
              <w:spacing w:before="40" w:after="40" w:line="180" w:lineRule="exact"/>
              <w:rPr>
                <w:sz w:val="17"/>
              </w:rPr>
            </w:pPr>
            <w:r>
              <w:rPr>
                <w:sz w:val="17"/>
              </w:rPr>
              <w:t>100,0</w:t>
            </w:r>
          </w:p>
        </w:tc>
      </w:tr>
      <w:tr w:rsidR="00000000">
        <w:tblPrEx>
          <w:tblCellMar>
            <w:top w:w="0" w:type="dxa"/>
            <w:bottom w:w="0" w:type="dxa"/>
          </w:tblCellMar>
        </w:tblPrEx>
        <w:tc>
          <w:tcPr>
            <w:tcW w:w="1843" w:type="dxa"/>
          </w:tcPr>
          <w:p w:rsidR="00000000" w:rsidRDefault="00000000">
            <w:pPr>
              <w:spacing w:before="40" w:after="40" w:line="180" w:lineRule="exact"/>
              <w:rPr>
                <w:sz w:val="17"/>
              </w:rPr>
            </w:pPr>
          </w:p>
        </w:tc>
        <w:tc>
          <w:tcPr>
            <w:tcW w:w="1417" w:type="dxa"/>
          </w:tcPr>
          <w:p w:rsidR="00000000" w:rsidRDefault="00000000">
            <w:pPr>
              <w:tabs>
                <w:tab w:val="decimal" w:pos="822"/>
              </w:tabs>
              <w:spacing w:before="40" w:after="40" w:line="180" w:lineRule="exact"/>
              <w:rPr>
                <w:sz w:val="17"/>
              </w:rPr>
            </w:pPr>
          </w:p>
        </w:tc>
        <w:tc>
          <w:tcPr>
            <w:tcW w:w="1418" w:type="dxa"/>
          </w:tcPr>
          <w:p w:rsidR="00000000" w:rsidRDefault="00000000">
            <w:pPr>
              <w:tabs>
                <w:tab w:val="decimal" w:pos="822"/>
              </w:tabs>
              <w:spacing w:before="40" w:after="40" w:line="180" w:lineRule="exact"/>
              <w:rPr>
                <w:sz w:val="17"/>
              </w:rPr>
            </w:pPr>
          </w:p>
        </w:tc>
        <w:tc>
          <w:tcPr>
            <w:tcW w:w="1701" w:type="dxa"/>
          </w:tcPr>
          <w:p w:rsidR="00000000" w:rsidRDefault="00000000">
            <w:pPr>
              <w:tabs>
                <w:tab w:val="decimal" w:pos="822"/>
              </w:tabs>
              <w:spacing w:before="40" w:after="40" w:line="180" w:lineRule="exact"/>
              <w:rPr>
                <w:sz w:val="17"/>
              </w:rPr>
            </w:pPr>
          </w:p>
        </w:tc>
        <w:tc>
          <w:tcPr>
            <w:tcW w:w="992" w:type="dxa"/>
          </w:tcPr>
          <w:p w:rsidR="00000000" w:rsidRDefault="00000000">
            <w:pPr>
              <w:tabs>
                <w:tab w:val="decimal" w:pos="822"/>
              </w:tabs>
              <w:spacing w:before="40" w:after="40" w:line="180" w:lineRule="exact"/>
              <w:rPr>
                <w:sz w:val="17"/>
              </w:rPr>
            </w:pPr>
          </w:p>
        </w:tc>
      </w:tr>
      <w:tr w:rsidR="00000000">
        <w:tblPrEx>
          <w:tblCellMar>
            <w:top w:w="0" w:type="dxa"/>
            <w:bottom w:w="0" w:type="dxa"/>
          </w:tblCellMar>
        </w:tblPrEx>
        <w:trPr>
          <w:cantSplit/>
        </w:trPr>
        <w:tc>
          <w:tcPr>
            <w:tcW w:w="7371" w:type="dxa"/>
            <w:gridSpan w:val="5"/>
            <w:tcBorders>
              <w:bottom w:val="single" w:sz="12" w:space="0" w:color="auto"/>
            </w:tcBorders>
          </w:tcPr>
          <w:p w:rsidR="00000000" w:rsidRDefault="00000000">
            <w:pPr>
              <w:spacing w:before="40" w:after="40" w:line="180" w:lineRule="exact"/>
              <w:ind w:left="397" w:hanging="397"/>
              <w:rPr>
                <w:sz w:val="17"/>
              </w:rPr>
            </w:pPr>
            <w:r>
              <w:rPr>
                <w:sz w:val="17"/>
              </w:rPr>
              <w:t xml:space="preserve">(1) </w:t>
            </w:r>
            <w:r>
              <w:rPr>
                <w:sz w:val="17"/>
              </w:rPr>
              <w:tab/>
              <w:t>Изменения в формулировках вопросов, касавшихся этнического происхождения, сост</w:t>
            </w:r>
            <w:r>
              <w:rPr>
                <w:sz w:val="17"/>
              </w:rPr>
              <w:t>о</w:t>
            </w:r>
            <w:r>
              <w:rPr>
                <w:sz w:val="17"/>
              </w:rPr>
              <w:t>явшиеся входе переписи 1996 года, привели к возникновению несоответствию между данными, относящимися к 1991 и 1996 годам, а также к 1996 и 2001 году. Именно по этой причине в таблицу не были включены данные, относящиеся к 1996 году. Дополн</w:t>
            </w:r>
            <w:r>
              <w:rPr>
                <w:sz w:val="17"/>
              </w:rPr>
              <w:t>и</w:t>
            </w:r>
            <w:r>
              <w:rPr>
                <w:sz w:val="17"/>
              </w:rPr>
              <w:t>тельная информация о произошедших изм</w:t>
            </w:r>
            <w:r>
              <w:rPr>
                <w:sz w:val="17"/>
              </w:rPr>
              <w:t>е</w:t>
            </w:r>
            <w:r>
              <w:rPr>
                <w:sz w:val="17"/>
              </w:rPr>
              <w:t>нениях содержится в самом тексте.</w:t>
            </w:r>
          </w:p>
          <w:p w:rsidR="00000000" w:rsidRDefault="00000000">
            <w:pPr>
              <w:spacing w:before="40" w:after="40" w:line="180" w:lineRule="exact"/>
              <w:ind w:left="397" w:hanging="397"/>
              <w:rPr>
                <w:sz w:val="17"/>
              </w:rPr>
            </w:pPr>
            <w:r>
              <w:rPr>
                <w:sz w:val="17"/>
              </w:rPr>
              <w:t xml:space="preserve">(2) </w:t>
            </w:r>
            <w:r>
              <w:rPr>
                <w:sz w:val="17"/>
              </w:rPr>
              <w:tab/>
              <w:t>Включенные в настоящую таблицу данные об этническом происхождении были пол</w:t>
            </w:r>
            <w:r>
              <w:rPr>
                <w:sz w:val="17"/>
              </w:rPr>
              <w:t>у</w:t>
            </w:r>
            <w:r>
              <w:rPr>
                <w:sz w:val="17"/>
              </w:rPr>
              <w:t>чены с использованием максимум трех ответов каждого лица. В случае получения б</w:t>
            </w:r>
            <w:r>
              <w:rPr>
                <w:sz w:val="17"/>
              </w:rPr>
              <w:t>о</w:t>
            </w:r>
            <w:r>
              <w:rPr>
                <w:sz w:val="17"/>
              </w:rPr>
              <w:t>лее чем трех ответов выбирались те три этнические группы, которые в соответствии с системой приоритетного распределения ответов получали наивысший бал. Этот метод ничем не отличается от того, что был использован в 1991 году. Данные по 2001 году также учитывают ма</w:t>
            </w:r>
            <w:r>
              <w:rPr>
                <w:sz w:val="17"/>
              </w:rPr>
              <w:t>к</w:t>
            </w:r>
            <w:r>
              <w:rPr>
                <w:sz w:val="17"/>
              </w:rPr>
              <w:t>симальное количество ответов, равное шести.</w:t>
            </w:r>
          </w:p>
          <w:p w:rsidR="00000000" w:rsidRDefault="00000000">
            <w:pPr>
              <w:spacing w:before="40" w:after="40" w:line="180" w:lineRule="exact"/>
              <w:ind w:left="397" w:hanging="397"/>
              <w:rPr>
                <w:sz w:val="17"/>
              </w:rPr>
            </w:pPr>
            <w:r>
              <w:rPr>
                <w:sz w:val="17"/>
              </w:rPr>
              <w:t xml:space="preserve">(3) </w:t>
            </w:r>
            <w:r>
              <w:rPr>
                <w:sz w:val="17"/>
              </w:rPr>
              <w:tab/>
              <w:t>Охватывает всех лиц, заявивших о своей принадлежности к каждой этнической группе, будь то единственной этнической группе или одной из нескольких этнических групп. В случаях поступления заявлений о принадлежности более чем к одной этнической гру</w:t>
            </w:r>
            <w:r>
              <w:rPr>
                <w:sz w:val="17"/>
              </w:rPr>
              <w:t>п</w:t>
            </w:r>
            <w:r>
              <w:rPr>
                <w:sz w:val="17"/>
              </w:rPr>
              <w:t>пе, соответствующее лицо уч</w:t>
            </w:r>
            <w:r>
              <w:rPr>
                <w:sz w:val="17"/>
              </w:rPr>
              <w:t>и</w:t>
            </w:r>
            <w:r>
              <w:rPr>
                <w:sz w:val="17"/>
              </w:rPr>
              <w:t>тывалось в каждой применимой группе.</w:t>
            </w:r>
          </w:p>
          <w:p w:rsidR="00000000" w:rsidRDefault="00000000">
            <w:pPr>
              <w:spacing w:before="40" w:after="40" w:line="180" w:lineRule="exact"/>
              <w:ind w:left="397" w:hanging="397"/>
              <w:rPr>
                <w:sz w:val="17"/>
              </w:rPr>
            </w:pPr>
            <w:r>
              <w:rPr>
                <w:sz w:val="17"/>
              </w:rPr>
              <w:t xml:space="preserve">(4) </w:t>
            </w:r>
            <w:r>
              <w:rPr>
                <w:sz w:val="17"/>
              </w:rPr>
              <w:tab/>
              <w:t>Не учитываются те лица, кто не указал никакой этнической группе.</w:t>
            </w:r>
          </w:p>
          <w:p w:rsidR="00000000" w:rsidRDefault="00000000">
            <w:pPr>
              <w:spacing w:before="40" w:after="40" w:line="180" w:lineRule="exact"/>
              <w:ind w:left="256" w:hanging="256"/>
              <w:rPr>
                <w:sz w:val="17"/>
              </w:rPr>
            </w:pPr>
            <w:r>
              <w:rPr>
                <w:sz w:val="17"/>
              </w:rPr>
              <w:t>Все данные в настоящей таблице были округлены до трех единиц.</w:t>
            </w:r>
          </w:p>
        </w:tc>
      </w:tr>
    </w:tbl>
    <w:p w:rsidR="00000000" w:rsidRDefault="00000000">
      <w:pPr>
        <w:ind w:left="1264" w:right="1264"/>
      </w:pPr>
    </w:p>
    <w:p w:rsidR="00000000" w:rsidRDefault="00000000">
      <w:pPr>
        <w:pStyle w:val="SingleTxt"/>
      </w:pPr>
      <w:r>
        <w:t xml:space="preserve">10. </w:t>
      </w:r>
      <w:r>
        <w:tab/>
        <w:t>Существенно возросло число проживающих в Новой Зеландии н</w:t>
      </w:r>
      <w:r>
        <w:t>о</w:t>
      </w:r>
      <w:r>
        <w:t>вых иммигрантов (людей, рожденных за границей и не являвшихся жителями страны на момент проведения предыдущей переписи). По данным переписи 2001 года, численность этой группы возросла до 202 700 человек, что означает увеличение на 23 процента по сравн</w:t>
      </w:r>
      <w:r>
        <w:t>е</w:t>
      </w:r>
      <w:r>
        <w:t>нию с 1996 годом (164 500 человек).</w:t>
      </w:r>
    </w:p>
    <w:p w:rsidR="00000000" w:rsidRDefault="00000000">
      <w:pPr>
        <w:pStyle w:val="SingleTxt"/>
      </w:pPr>
      <w:r>
        <w:t xml:space="preserve">11. </w:t>
      </w:r>
      <w:r>
        <w:tab/>
        <w:t>Страны Азии продолжают занимать лидирующее положение по пр</w:t>
      </w:r>
      <w:r>
        <w:t>и</w:t>
      </w:r>
      <w:r>
        <w:t>току новых иммигрантов (лица, родившиеся за пределами Новой Зеландии и проживающие в Новой Зеландии в течение менее чем десяти лет), причем пр</w:t>
      </w:r>
      <w:r>
        <w:t>и</w:t>
      </w:r>
      <w:r>
        <w:t>ток иммигрантов из тихоокеанского региона сократился, а из других крупных регионов – остался на уровне 1996 года. В течение периода 1986-1996 годов лидирующее положение в том, что касается притока новых иммигрантов за предыдущие десять лет, заняли страны Азии, оттеснив Соединенное Короле</w:t>
      </w:r>
      <w:r>
        <w:t>в</w:t>
      </w:r>
      <w:r>
        <w:t>ство и Ирландию. В течение десяти лет до 1996 года лидирующее положение занимали три основных региона: Азия (39,1 процента), Европа (23,0 процента), а также тихоокеанский регион, включая Австралию (26,0 процента). В течение десяти лет до 2001 года лидирующее положение занимали три основных р</w:t>
      </w:r>
      <w:r>
        <w:t>е</w:t>
      </w:r>
      <w:r>
        <w:t>гиона: Азия (40,6 процента), Европа (21,5 процента), а также тихоокеанский регион, включая Австралию (20,3 процента), причем доля родившихся в Афр</w:t>
      </w:r>
      <w:r>
        <w:t>и</w:t>
      </w:r>
      <w:r>
        <w:t>ке в общей численности лиц, родившихся за пределами Новой Зеландии и пр</w:t>
      </w:r>
      <w:r>
        <w:t>о</w:t>
      </w:r>
      <w:r>
        <w:t>живавших в ней в течение менее чем десяти лет, возросла с 4,8 процента до 9,7 процента в 2001 году.</w:t>
      </w:r>
    </w:p>
    <w:p w:rsidR="00000000" w:rsidRDefault="00000000">
      <w:pPr>
        <w:pStyle w:val="SingleTxt"/>
      </w:pPr>
      <w:r>
        <w:t xml:space="preserve">12. </w:t>
      </w:r>
      <w:r>
        <w:tab/>
        <w:t>В течение предшествующих десяти лет, в странах, откуда прибывали иммигранты азиатского происхождения, продолжали происходить существе</w:t>
      </w:r>
      <w:r>
        <w:t>н</w:t>
      </w:r>
      <w:r>
        <w:t>ные структурные изменения. В 1986 году более половины всех иммигрантов азиатского происхождения приходилось на долю Камбоджи, Китая, Индии, Японии и Малайзии. К 1996 году практически две трети мигрантов азиатского происхождения приходилось на долю Южной Кореи, Китая, Тайваня, Гонконга и Малайзии. В 2001 году от общей численности иммигрантов из стран Азии 80 процентов иммигрантов происходили из следующих стран: Китайская Н</w:t>
      </w:r>
      <w:r>
        <w:t>а</w:t>
      </w:r>
      <w:r>
        <w:t>родная Республика, Южная Корея, Индия, Тайвань (провинция Китая), спец</w:t>
      </w:r>
      <w:r>
        <w:t>и</w:t>
      </w:r>
      <w:r>
        <w:t>альный административный район Китая Го</w:t>
      </w:r>
      <w:r>
        <w:t>н</w:t>
      </w:r>
      <w:r>
        <w:t>конг, Филиппины и Япония.</w:t>
      </w:r>
    </w:p>
    <w:p w:rsidR="00000000" w:rsidRDefault="00000000">
      <w:pPr>
        <w:pStyle w:val="SingleTxt"/>
      </w:pPr>
      <w:r>
        <w:t xml:space="preserve">13. </w:t>
      </w:r>
      <w:r>
        <w:tab/>
      </w:r>
      <w:r>
        <w:rPr>
          <w:u w:val="single"/>
        </w:rPr>
        <w:t>Соотношение между мужчинами и женщинами.</w:t>
      </w:r>
      <w:r>
        <w:t xml:space="preserve"> В 2001 году женщ</w:t>
      </w:r>
      <w:r>
        <w:t>и</w:t>
      </w:r>
      <w:r>
        <w:t>ны составляли 51,2 процента от общей численности постоянного населения. Согласно прогнозам, в следующем столетии доля женщин по-прежнему будет более высокой, чем доля мужчин. Что касается этнических групп, пополняемых за счет мигрантов, то показатели такого соотношения могут сильно различат</w:t>
      </w:r>
      <w:r>
        <w:t>ь</w:t>
      </w:r>
      <w:r>
        <w:t>ся.</w:t>
      </w:r>
    </w:p>
    <w:p w:rsidR="00000000" w:rsidRDefault="00000000">
      <w:pPr>
        <w:pStyle w:val="SingleTxt"/>
      </w:pPr>
      <w:r>
        <w:t xml:space="preserve">14. </w:t>
      </w:r>
      <w:r>
        <w:tab/>
      </w:r>
      <w:r>
        <w:rPr>
          <w:u w:val="single"/>
        </w:rPr>
        <w:t>Возраст населения.</w:t>
      </w:r>
      <w:r>
        <w:t xml:space="preserve"> В 2001 году 22,7 процента постоянного насел</w:t>
      </w:r>
      <w:r>
        <w:t>е</w:t>
      </w:r>
      <w:r>
        <w:t>ния Новой Зеландии составляли дети в возрасте до 15 лет, 65,3 процента – лица в возрасте от 15 до 64 лет и 12,0 процента – лица, в возрасте 65 лет и старше. Сре</w:t>
      </w:r>
      <w:r>
        <w:t>д</w:t>
      </w:r>
      <w:r>
        <w:t>ний возраст равнялся 34,8 годам.</w:t>
      </w:r>
    </w:p>
    <w:p w:rsidR="00000000" w:rsidRDefault="00000000">
      <w:pPr>
        <w:pStyle w:val="SingleTxt"/>
      </w:pPr>
      <w:r>
        <w:t xml:space="preserve">15. </w:t>
      </w:r>
      <w:r>
        <w:tab/>
      </w:r>
      <w:r>
        <w:rPr>
          <w:u w:val="single"/>
        </w:rPr>
        <w:t>Возрастные различия среди представителей этнических групп.</w:t>
      </w:r>
      <w:r>
        <w:t xml:space="preserve"> Сре</w:t>
      </w:r>
      <w:r>
        <w:t>д</w:t>
      </w:r>
      <w:r>
        <w:t>ний возраст всего населения Новой Зеландии равен 34,8 годам. Средний во</w:t>
      </w:r>
      <w:r>
        <w:t>з</w:t>
      </w:r>
      <w:r>
        <w:t>раст в европейской этнической группе равен 36,8 годам (в том числе 41,1 год для британской группы и 43,8 года для голландско-нидерландской группы). Б</w:t>
      </w:r>
      <w:r>
        <w:t>о</w:t>
      </w:r>
      <w:r>
        <w:t>лее старший возрастной состав европейских групп, проживающих в Новой З</w:t>
      </w:r>
      <w:r>
        <w:t>е</w:t>
      </w:r>
      <w:r>
        <w:t>ландии, отражает тот факт, что многие из их представителей переселились в Новую Зеландию после Второй мировой войны и их дети, возможно, перестали себя отождествлять с этнической группой своих родителей. Однако в некот</w:t>
      </w:r>
      <w:r>
        <w:t>о</w:t>
      </w:r>
      <w:r>
        <w:t>рых менее традиционных европейских группах в Новой Зеландии, как, напр</w:t>
      </w:r>
      <w:r>
        <w:t>и</w:t>
      </w:r>
      <w:r>
        <w:t>мер, в тех, что включают выходцев из Франции, России, Италии, Германии и Швеции, средний возраст ниже, чем у всего насел</w:t>
      </w:r>
      <w:r>
        <w:t>е</w:t>
      </w:r>
      <w:r>
        <w:t>ния Новой Зеландии.</w:t>
      </w:r>
    </w:p>
    <w:p w:rsidR="00000000" w:rsidRDefault="00000000">
      <w:pPr>
        <w:pStyle w:val="SingleTxt"/>
      </w:pPr>
      <w:r>
        <w:t xml:space="preserve">16. </w:t>
      </w:r>
      <w:r>
        <w:tab/>
        <w:t>У жителей острова Тонга наименьший средний возраст среди групп жителей Тихоокеанских островов – 18,9 года, а средний возраст маори равн</w:t>
      </w:r>
      <w:r>
        <w:t>я</w:t>
      </w:r>
      <w:r>
        <w:t>ется 21,9 года. У жителей Фиджи самый высокий средний возраст среди групп жителей Тихоокеанских островов, равный 23,7 годам. Более одной трети жит</w:t>
      </w:r>
      <w:r>
        <w:t>е</w:t>
      </w:r>
      <w:r>
        <w:t>лей Тихоокеанских островов Новой Зеландии являются детьми, в то время как 3,3 процента составляют жители в возрасте 65 лет и старше. Среди новоз</w:t>
      </w:r>
      <w:r>
        <w:t>е</w:t>
      </w:r>
      <w:r>
        <w:t>ландских маори наблюдается аналогичная возрастная картина: 37,3 процента – младше 15 лет и лишь 3,4 процента достигли возраста 65 лет и старше.</w:t>
      </w:r>
    </w:p>
    <w:p w:rsidR="00000000" w:rsidRDefault="00000000">
      <w:pPr>
        <w:pStyle w:val="SingleTxt"/>
      </w:pPr>
      <w:r>
        <w:t xml:space="preserve">17. </w:t>
      </w:r>
      <w:r>
        <w:tab/>
        <w:t>Среди азиатских групп наименьший средний возраст отмечен у в</w:t>
      </w:r>
      <w:r>
        <w:t>ы</w:t>
      </w:r>
      <w:r>
        <w:t>ходцев с Тайваня (23,3 года), а наибольший средний возраст – у выходцев со Шри-Ланки (32,1 года). Многие выходцы из азиатских стран иммигрировали в Новую Зеландию недавно и, как правило, относятся к возрастным группам м</w:t>
      </w:r>
      <w:r>
        <w:t>о</w:t>
      </w:r>
      <w:r>
        <w:t>лодых жителей, достигших совершеннолетнего возраста. Среди выходцев из Азии более половины (55,2 процента) составляют лица от 15 до 44 лет, менее одной четверти (23,6 процента) – в возрасте до 15 лет и лишь 4,1 процента с</w:t>
      </w:r>
      <w:r>
        <w:t>о</w:t>
      </w:r>
      <w:r>
        <w:t>ставляют лица в возрасте 65 лет или старше. Для сравнения: 43,2 процента всех новозеландцев относятся к возрастной группе от 15 до 44 лет, 22,7 являются детьми и 12,1 процента составляют лица в возрасте 65 лет или старше.</w:t>
      </w:r>
    </w:p>
    <w:p w:rsidR="00000000" w:rsidRDefault="00000000">
      <w:pPr>
        <w:pStyle w:val="SingleTxt"/>
      </w:pPr>
      <w:r>
        <w:t xml:space="preserve">18. </w:t>
      </w:r>
      <w:r>
        <w:tab/>
        <w:t>В 2001 году средний возраст новозеландских женщин равнялся 35,6 годам, в то время как для мужчин этот показатель равнялся 34,0 годам. По сравнению с остальными женщины женщины-маори и жительницы Тихоокеа</w:t>
      </w:r>
      <w:r>
        <w:t>н</w:t>
      </w:r>
      <w:r>
        <w:t>ских островов были моложе, причем показатели их среднего возраста состав</w:t>
      </w:r>
      <w:r>
        <w:t>и</w:t>
      </w:r>
      <w:r>
        <w:t>ли соответственно 23,0 года и 21,9 года, в то время как средний возраст азиа</w:t>
      </w:r>
      <w:r>
        <w:t>т</w:t>
      </w:r>
      <w:r>
        <w:t>ских женщин в 1996 году ра</w:t>
      </w:r>
      <w:r>
        <w:t>в</w:t>
      </w:r>
      <w:r>
        <w:t>нялся 29,7 годам.</w:t>
      </w:r>
    </w:p>
    <w:p w:rsidR="00000000" w:rsidRDefault="00000000">
      <w:pPr>
        <w:pStyle w:val="SingleTxt"/>
      </w:pPr>
      <w:r>
        <w:t xml:space="preserve">19. </w:t>
      </w:r>
      <w:r>
        <w:tab/>
        <w:t>В составе женского населения из европейских групп доля женщин более старшего возраста гораздо выше, причем 15,3 процента составляют же</w:t>
      </w:r>
      <w:r>
        <w:t>н</w:t>
      </w:r>
      <w:r>
        <w:t>щины в возрасте 65 лет или старше, по сравнению лишь с 3,8 процентами т</w:t>
      </w:r>
      <w:r>
        <w:t>а</w:t>
      </w:r>
      <w:r>
        <w:t>ких женщин в группах маори, жителей Тихоокеанских островов и выходцев из Азии. В то же время 35,7 процентов среди женщин-маори и 37,4 женщин среди жительниц Тихоокеанских островов составляют женщины моложе 15 лет по сравнению с 20,4 процента таких женщин среди представительниц европе</w:t>
      </w:r>
      <w:r>
        <w:t>й</w:t>
      </w:r>
      <w:r>
        <w:t>ских групп. В 2001 году основная часть азиатских женщин относилась к труд</w:t>
      </w:r>
      <w:r>
        <w:t>о</w:t>
      </w:r>
      <w:r>
        <w:t>способным возрастным группам и доля женщин в возрасте от 15 до 64 лет с</w:t>
      </w:r>
      <w:r>
        <w:t>о</w:t>
      </w:r>
      <w:r>
        <w:t>ставляла 73,8 процента.</w:t>
      </w:r>
    </w:p>
    <w:p w:rsidR="00000000" w:rsidRDefault="00000000">
      <w:pPr>
        <w:pStyle w:val="SingleTxt"/>
      </w:pPr>
      <w:r>
        <w:t xml:space="preserve">20. </w:t>
      </w:r>
      <w:r>
        <w:tab/>
      </w:r>
      <w:r>
        <w:rPr>
          <w:u w:val="single"/>
        </w:rPr>
        <w:t>Экономика.</w:t>
      </w:r>
      <w:r>
        <w:t xml:space="preserve"> Новая Зеландия является развитой страной с рыночной экономикой, которая зависит от торговли с другими странами. С 80-х годов Н</w:t>
      </w:r>
      <w:r>
        <w:t>о</w:t>
      </w:r>
      <w:r>
        <w:t>вая Зеландия, как и многие другие страны, испытывает затяжной период д</w:t>
      </w:r>
      <w:r>
        <w:t>о</w:t>
      </w:r>
      <w:r>
        <w:t>вольно ограниченной экономической деятельности, за которым после 1993 года последовал период осторожного и неравномерного роста. По многим показат</w:t>
      </w:r>
      <w:r>
        <w:t>е</w:t>
      </w:r>
      <w:r>
        <w:t>лям уровень жизни по-прежнему остается достаточно высоким, хотя эконом</w:t>
      </w:r>
      <w:r>
        <w:t>и</w:t>
      </w:r>
      <w:r>
        <w:t>ческие трудности и изменяющиеся тенденции в мировой торговле привели к снижению доходов из расчета на душу населения.</w:t>
      </w:r>
    </w:p>
    <w:p w:rsidR="00000000" w:rsidRDefault="00000000">
      <w:pPr>
        <w:pStyle w:val="SingleTxt"/>
      </w:pPr>
      <w:r>
        <w:t xml:space="preserve">21. </w:t>
      </w:r>
      <w:r>
        <w:tab/>
        <w:t>В 1984 году было начато осуществление крупномасштабной пр</w:t>
      </w:r>
      <w:r>
        <w:t>о</w:t>
      </w:r>
      <w:r>
        <w:t>граммы либерализации экономики. Экономическая политика была в значител</w:t>
      </w:r>
      <w:r>
        <w:t>ь</w:t>
      </w:r>
      <w:r>
        <w:t>ной мере переориентирована на создание рыночной экономики и устранение макроэкономических диспропорций. Структурная реформа осуществлялась в сжатые сроки и затронула многие сферы экономической деятельности, при этом данный процесс сопровождался осуществлением среднесрочной антии</w:t>
      </w:r>
      <w:r>
        <w:t>н</w:t>
      </w:r>
      <w:r>
        <w:t>фляционной финансовой стратегии. Последствия структурной перестройки оказались весьма ощутимыми. Одно из них заключалось в значительном сре</w:t>
      </w:r>
      <w:r>
        <w:t>д</w:t>
      </w:r>
      <w:r>
        <w:t>несрочном снижении уровня безработицы.</w:t>
      </w:r>
    </w:p>
    <w:p w:rsidR="00000000" w:rsidRDefault="00000000">
      <w:pPr>
        <w:pStyle w:val="SingleTxt"/>
      </w:pPr>
      <w:r>
        <w:t xml:space="preserve">22. </w:t>
      </w:r>
      <w:r>
        <w:tab/>
        <w:t>Малая по масштабам новозеландская экономика зависит от внешней торговли. Традиционно значительная доля экспорта Новой Зеландии, в осно</w:t>
      </w:r>
      <w:r>
        <w:t>в</w:t>
      </w:r>
      <w:r>
        <w:t>ном сельскохозяйственной продукции, приходилась на Соединенное Короле</w:t>
      </w:r>
      <w:r>
        <w:t>в</w:t>
      </w:r>
      <w:r>
        <w:t>ство. Однако произошедшие в мире за последние 20 лет изменения привели к тому, что в настоящее время во внешнеторговом обороте Новой Зеландии более ощутимую роль стали играть страны Азии. Крупнейшими экспортными ры</w:t>
      </w:r>
      <w:r>
        <w:t>н</w:t>
      </w:r>
      <w:r>
        <w:t>ками Новой Зеландии являются Австралия, Япония, Соединенные Штаты Ам</w:t>
      </w:r>
      <w:r>
        <w:t>е</w:t>
      </w:r>
      <w:r>
        <w:t>рики, Соединенное Королевство и Корея. Новая Зеландия развивает свою сел</w:t>
      </w:r>
      <w:r>
        <w:t>ь</w:t>
      </w:r>
      <w:r>
        <w:t>скохозяйственную и обрабатывающую промышленность в соответствии с п</w:t>
      </w:r>
      <w:r>
        <w:t>о</w:t>
      </w:r>
      <w:r>
        <w:t>требностями внешнего рынка. Это привело к тому, что Новая Зеландия стала в меньшей степени зависеть от экспорта молочных продуктов, мяса, шерсти по мере развития лесного хозяйства, садоводства, рыболовства и обрабатывающей промышленности. Возросло значение туризма. Согласно оценкам совета по т</w:t>
      </w:r>
      <w:r>
        <w:t>у</w:t>
      </w:r>
      <w:r>
        <w:t>ризму Новой Зеландии за период с января по декабрь 2001 года доходы от ме</w:t>
      </w:r>
      <w:r>
        <w:t>ж</w:t>
      </w:r>
      <w:r>
        <w:t>дународного туризма составили 5,2 миллиарда новозеландских долларов, или приблизительно 4,4 процента ВВП, исключая доходы от международных ави</w:t>
      </w:r>
      <w:r>
        <w:t>а</w:t>
      </w:r>
      <w:r>
        <w:t>перевозок.</w:t>
      </w:r>
    </w:p>
    <w:p w:rsidR="00000000" w:rsidRDefault="00000000">
      <w:pPr>
        <w:pStyle w:val="SingleTxt"/>
      </w:pPr>
      <w:r>
        <w:t xml:space="preserve">23. </w:t>
      </w:r>
      <w:r>
        <w:tab/>
      </w:r>
      <w:r>
        <w:rPr>
          <w:u w:val="single"/>
        </w:rPr>
        <w:t>Доход на душу населения.</w:t>
      </w:r>
      <w:r>
        <w:t xml:space="preserve"> В 2001 году размер среднегодового вал</w:t>
      </w:r>
      <w:r>
        <w:t>о</w:t>
      </w:r>
      <w:r>
        <w:t>вого дохода составил 19 825 новозеландских долларов у новозеландцев евр</w:t>
      </w:r>
      <w:r>
        <w:t>о</w:t>
      </w:r>
      <w:r>
        <w:t>пейского происхождения и 14 827 новозеландских долларов у новозеландских маори. Значительные различия по-прежнему существовали в размере среднег</w:t>
      </w:r>
      <w:r>
        <w:t>о</w:t>
      </w:r>
      <w:r>
        <w:t>дового дохода мужчин и женщин. В 2001 году среднегодовой доход мужчины составлял 24 913 долларов, тогда как женщины – 14 529 долларов. При сопо</w:t>
      </w:r>
      <w:r>
        <w:t>с</w:t>
      </w:r>
      <w:r>
        <w:t>тавлении средних почасовых ставок оплаты труда на основе данных Ежеква</w:t>
      </w:r>
      <w:r>
        <w:t>р</w:t>
      </w:r>
      <w:r>
        <w:t>тального обзора положения в области занятости обнаруживается, что по с</w:t>
      </w:r>
      <w:r>
        <w:t>о</w:t>
      </w:r>
      <w:r>
        <w:t>стоянию на февраль 2002 года размер оплаты труда женщин составлял приме</w:t>
      </w:r>
      <w:r>
        <w:t>р</w:t>
      </w:r>
      <w:r>
        <w:t>но 84 процента от суммы, получаемой мужчин</w:t>
      </w:r>
      <w:r>
        <w:t>а</w:t>
      </w:r>
      <w:r>
        <w:t>ми.</w:t>
      </w:r>
    </w:p>
    <w:p w:rsidR="00000000" w:rsidRDefault="00000000">
      <w:pPr>
        <w:pStyle w:val="SingleTxt"/>
      </w:pPr>
      <w:r>
        <w:t xml:space="preserve">24. </w:t>
      </w:r>
      <w:r>
        <w:tab/>
      </w:r>
      <w:r>
        <w:rPr>
          <w:u w:val="single"/>
        </w:rPr>
        <w:t>Валовой внутренний продукт.</w:t>
      </w:r>
      <w:r>
        <w:t xml:space="preserve"> За годичный период, завершившийся в марте 2002 года, ВВП в текущих ценах составил 120 022 миллиона новозелан</w:t>
      </w:r>
      <w:r>
        <w:t>д</w:t>
      </w:r>
      <w:r>
        <w:t>ских доллара, что на 7,05 процента выше показателя за 2001 год.</w:t>
      </w:r>
    </w:p>
    <w:p w:rsidR="00000000" w:rsidRDefault="00000000">
      <w:pPr>
        <w:pStyle w:val="SingleTxt"/>
      </w:pPr>
      <w:r>
        <w:t xml:space="preserve">25. </w:t>
      </w:r>
      <w:r>
        <w:tab/>
      </w:r>
      <w:r>
        <w:rPr>
          <w:u w:val="single"/>
        </w:rPr>
        <w:t>Уровень инфляции.</w:t>
      </w:r>
      <w:r>
        <w:t xml:space="preserve"> В июне 2002 года среднегодовой уровень инфл</w:t>
      </w:r>
      <w:r>
        <w:t>я</w:t>
      </w:r>
      <w:r>
        <w:t>ции с</w:t>
      </w:r>
      <w:r>
        <w:t>о</w:t>
      </w:r>
      <w:r>
        <w:t>ставил 2,8 процента.</w:t>
      </w:r>
    </w:p>
    <w:p w:rsidR="00000000" w:rsidRDefault="00000000">
      <w:pPr>
        <w:pStyle w:val="SingleTxt"/>
      </w:pPr>
      <w:r>
        <w:t xml:space="preserve">26. </w:t>
      </w:r>
      <w:r>
        <w:tab/>
      </w:r>
      <w:r>
        <w:rPr>
          <w:u w:val="single"/>
        </w:rPr>
        <w:t>Внешний долг.</w:t>
      </w:r>
      <w:r>
        <w:t xml:space="preserve"> По состоянию на 31 марта 2002 года общий объем внешней задолженности составлял 128 828 миллионов новозеландских долл</w:t>
      </w:r>
      <w:r>
        <w:t>а</w:t>
      </w:r>
      <w:r>
        <w:t>ров. Из этой суммы на государственный долг приходилось 18 925 миллионов новоз</w:t>
      </w:r>
      <w:r>
        <w:t>е</w:t>
      </w:r>
      <w:r>
        <w:t>ландских долларов.</w:t>
      </w:r>
    </w:p>
    <w:p w:rsidR="00000000" w:rsidRDefault="00000000">
      <w:pPr>
        <w:pStyle w:val="SingleTxt"/>
      </w:pPr>
      <w:r>
        <w:t xml:space="preserve">27. </w:t>
      </w:r>
      <w:r>
        <w:tab/>
      </w:r>
      <w:r>
        <w:rPr>
          <w:u w:val="single"/>
        </w:rPr>
        <w:t>Уровень безработицы.</w:t>
      </w:r>
      <w:r>
        <w:t xml:space="preserve"> По состоянию на март 2002 года за первый квартал по официальным данным с учетом сезонных колебаний число безр</w:t>
      </w:r>
      <w:r>
        <w:t>а</w:t>
      </w:r>
      <w:r>
        <w:t>ботных составило 104 тысячи человек, или 5,3 процента от рабочей силы. (К категории официально признанных безработных относятся лица, не имеющие работы, ведущие активные поиски работы и готовые к найму). Среди общего числа безработных 79 тысяч составляли мужчины (5,2 процента от общего числа трудоспособных мужчин) и 56 тысяч – женщины (5,4 процента от общего числа трудоспособных женщин). Уровень безработицы среди новозеландских маори и жителей Тихоокеанских островов является значительно более выс</w:t>
      </w:r>
      <w:r>
        <w:t>о</w:t>
      </w:r>
      <w:r>
        <w:t>ким, в особенности среди лиц в возрасте от 15 до 19 лет. Среди маори общее число безработных составляло 21 500 человек (10,8 процента от общего числа трудоспособных маори), а среди жителей Тихоокеанских островов – 9500 человек (9,7 процента от общего числа трудоспособных лиц данной кат</w:t>
      </w:r>
      <w:r>
        <w:t>е</w:t>
      </w:r>
      <w:r>
        <w:t>гории).</w:t>
      </w:r>
    </w:p>
    <w:p w:rsidR="00000000" w:rsidRDefault="00000000">
      <w:pPr>
        <w:pStyle w:val="SingleTxt"/>
      </w:pPr>
      <w:r>
        <w:t xml:space="preserve">28. </w:t>
      </w:r>
      <w:r>
        <w:tab/>
      </w:r>
      <w:r>
        <w:rPr>
          <w:u w:val="single"/>
        </w:rPr>
        <w:t>Уровень грамотности.</w:t>
      </w:r>
      <w:r>
        <w:t xml:space="preserve"> В Новой Зеландии отсутствуют официальные данные об уровне грамотности среди взрослого населения, однако на междун</w:t>
      </w:r>
      <w:r>
        <w:t>а</w:t>
      </w:r>
      <w:r>
        <w:t>родном уровне признан тот факт, что как среди мужчин, так и женщин уровень грамотности является весьма высоким. По данным проведенного в 1996 году международного обзора положения в области грамотности ситуация в этой сфере в Новой Зеландии аналогична той, что сложилась в Соединенном Кор</w:t>
      </w:r>
      <w:r>
        <w:t>о</w:t>
      </w:r>
      <w:r>
        <w:t>левстве, США и Австралии. Реализуются различные проекты в области пов</w:t>
      </w:r>
      <w:r>
        <w:t>ы</w:t>
      </w:r>
      <w:r>
        <w:t>шения грамотности, участие в которых бесплатно: проекты в области повыш</w:t>
      </w:r>
      <w:r>
        <w:t>е</w:t>
      </w:r>
      <w:r>
        <w:t>ния грамотности включают модель в интересах коренных маори “Те Варе Ако” (“Учебный центр”), представляющую собой долгосрочную программу пов</w:t>
      </w:r>
      <w:r>
        <w:t>ы</w:t>
      </w:r>
      <w:r>
        <w:t>шения грамотности без отрыва от производства, реализуемую на целлюлозно-бумажном комбинате; курсы английского языка для новых иммигрантов и б</w:t>
      </w:r>
      <w:r>
        <w:t>е</w:t>
      </w:r>
      <w:r>
        <w:t>женцев, как, например, национальная ассоциация программ домашнего обуч</w:t>
      </w:r>
      <w:r>
        <w:t>е</w:t>
      </w:r>
      <w:r>
        <w:t>ния ЕСОЛ, организующая обучение для более чем 6500 новых мигрантов и б</w:t>
      </w:r>
      <w:r>
        <w:t>е</w:t>
      </w:r>
      <w:r>
        <w:t>женцев; курсы, предусматривающие преподавание английского языка в качес</w:t>
      </w:r>
      <w:r>
        <w:t>т</w:t>
      </w:r>
      <w:r>
        <w:t>ве второго и организуемые другими региональными организациями, полите</w:t>
      </w:r>
      <w:r>
        <w:t>х</w:t>
      </w:r>
      <w:r>
        <w:t>ническим институтом и рядом средних учебных заведений; курсы базовой по</w:t>
      </w:r>
      <w:r>
        <w:t>д</w:t>
      </w:r>
      <w:r>
        <w:t>готовки, включающие программы повышения грамотности, ежегодно орган</w:t>
      </w:r>
      <w:r>
        <w:t>и</w:t>
      </w:r>
      <w:r>
        <w:t>зуемые для 33 тысяч безработных с участием как государственных, так и час</w:t>
      </w:r>
      <w:r>
        <w:t>т</w:t>
      </w:r>
      <w:r>
        <w:t>ных организаций; обучение в национальном масштабе в рамках программы п</w:t>
      </w:r>
      <w:r>
        <w:t>о</w:t>
      </w:r>
      <w:r>
        <w:t>вышения грамотности представителей народности Аотеароа более чем 8 тысяч взрослых (одну треть из которых составляют женщины); а также разработка в приоритетном порядке программ, нацеленных на повышение грамотности и организацию обучения английскому языку заключенных, содержащихся в тюрьмах Новой Зеландии, не владеющих им. Кроме того, организованы курсы, где обучение осуществляется с отрывом от производства на платной основе, а студенты, постоянно проживающие в Новой Зеландии, могут участвовать в программах предоставления студенческих ссуд.</w:t>
      </w:r>
    </w:p>
    <w:p w:rsidR="00000000" w:rsidRDefault="00000000">
      <w:pPr>
        <w:pStyle w:val="SingleTxt"/>
      </w:pPr>
      <w:r>
        <w:t xml:space="preserve">29. </w:t>
      </w:r>
      <w:r>
        <w:tab/>
      </w:r>
      <w:r>
        <w:rPr>
          <w:u w:val="single"/>
        </w:rPr>
        <w:t>Религия.</w:t>
      </w:r>
      <w:r>
        <w:t xml:space="preserve"> В 2001 году 95,4 процента всех лиц, заявивших о прина</w:t>
      </w:r>
      <w:r>
        <w:t>д</w:t>
      </w:r>
      <w:r>
        <w:t>лежности к той или иной религии, составили христиане, что на 4,1 процента меньше, чем в 1996 году по данным соответствующей переписи. Возросло к</w:t>
      </w:r>
      <w:r>
        <w:t>о</w:t>
      </w:r>
      <w:r>
        <w:t>личество верующих, исповедующих нехристианские религии. В период с 1996 по 2001 год количество верующих, исповедующих индуизм, буддизм и и</w:t>
      </w:r>
      <w:r>
        <w:t>с</w:t>
      </w:r>
      <w:r>
        <w:t>лам/мусульманство, возросло более чем на 10 тысяч человек применительно к каждой из вышеперечисленных групп.</w:t>
      </w:r>
    </w:p>
    <w:p w:rsidR="00000000" w:rsidRDefault="00000000">
      <w:pPr>
        <w:pStyle w:val="SingleTxt"/>
      </w:pPr>
      <w:r>
        <w:t xml:space="preserve">30. </w:t>
      </w:r>
      <w:r>
        <w:tab/>
        <w:t>В 2001 году около 30 процентов постоянного населения заявило о том, что они не исповедуют вообще никакой религии, что на 18,5 процента больше по сравнению с 1996 годом, когда об этом заявила лишь одна четверть такого населения. Количество лиц, отказавшихся от ответа на вопросы религ</w:t>
      </w:r>
      <w:r>
        <w:t>и</w:t>
      </w:r>
      <w:r>
        <w:t>озной принадлежности, незначительно снизилось с 256 593 человека в 1996 году до 239 244 человека в 2001 году.</w:t>
      </w:r>
    </w:p>
    <w:p w:rsidR="00000000" w:rsidRDefault="00000000">
      <w:pPr>
        <w:pStyle w:val="SingleTxt"/>
      </w:pPr>
      <w:r>
        <w:t xml:space="preserve">31. </w:t>
      </w:r>
      <w:r>
        <w:tab/>
      </w:r>
      <w:r>
        <w:rPr>
          <w:u w:val="single"/>
        </w:rPr>
        <w:t>Язык.</w:t>
      </w:r>
      <w:r>
        <w:t xml:space="preserve"> Английский является основным языком общения большинства населения, а также государственным языком. Языком коренного населения (tängata whenua) Новой Зеландии является язык маори. Согласно положениям Договора Вайтанги он представляет собой наследие (taonga) народа маори и после принятия в 1987 году Закона о языке маори он стал одним из официал</w:t>
      </w:r>
      <w:r>
        <w:t>ь</w:t>
      </w:r>
      <w:r>
        <w:t>ных языков Новой Зеландии. Законом также предусматривается возможность использования языка маори в ходе любых судебных разбирательств, при этом лица, не владеющие другим языком, могут воспользоваться услугами комп</w:t>
      </w:r>
      <w:r>
        <w:t>е</w:t>
      </w:r>
      <w:r>
        <w:t>тентного переводчика. Учебные программы многих школ включают курсы пр</w:t>
      </w:r>
      <w:r>
        <w:t>е</w:t>
      </w:r>
      <w:r>
        <w:t>подавания языка маори. Учащимся – выходцам из общин Тихоокеанских остр</w:t>
      </w:r>
      <w:r>
        <w:t>о</w:t>
      </w:r>
      <w:r>
        <w:t>вов или других общин, говорящих на своих родных языках, предоставляется возможность изучать и использовать родной язык в рамках школьного образ</w:t>
      </w:r>
      <w:r>
        <w:t>о</w:t>
      </w:r>
      <w:r>
        <w:t>вания.</w:t>
      </w:r>
    </w:p>
    <w:p w:rsidR="00000000" w:rsidRDefault="00000000">
      <w:pPr>
        <w:pStyle w:val="SingleTxt"/>
      </w:pPr>
      <w:r>
        <w:t xml:space="preserve">32. </w:t>
      </w:r>
      <w:r>
        <w:tab/>
        <w:t>Почти все новозеландцы европейского происхождения (90,5 процента) говорят только на одном языке, преимущественно на англи</w:t>
      </w:r>
      <w:r>
        <w:t>й</w:t>
      </w:r>
      <w:r>
        <w:t>ском. В 2001 году приблизительно 4,5 процента новозеландцев и 25,2 процента новозеландских маори указали, что они способны разговаривать на языке ма</w:t>
      </w:r>
      <w:r>
        <w:t>о</w:t>
      </w:r>
      <w:r>
        <w:t>ри.</w:t>
      </w:r>
    </w:p>
    <w:p w:rsidR="00000000" w:rsidRDefault="00000000">
      <w:pPr>
        <w:pStyle w:val="SingleTxt"/>
      </w:pPr>
      <w:r>
        <w:t xml:space="preserve">33. </w:t>
      </w:r>
      <w:r>
        <w:tab/>
      </w:r>
      <w:r>
        <w:rPr>
          <w:u w:val="single"/>
        </w:rPr>
        <w:t>Ожидаемая продолжительность жизни.</w:t>
      </w:r>
      <w:r>
        <w:t xml:space="preserve"> В период 1995-1997 годов ожидаемая продолжительность жи</w:t>
      </w:r>
      <w:r>
        <w:t>з</w:t>
      </w:r>
      <w:r>
        <w:t>ни при рождении составляла:</w:t>
      </w:r>
    </w:p>
    <w:p w:rsidR="00000000" w:rsidRDefault="00000000">
      <w:pPr>
        <w:pStyle w:val="dot"/>
      </w:pPr>
      <w:r>
        <w:tab/>
      </w:r>
      <w:r>
        <w:tab/>
      </w:r>
      <w:r>
        <w:tab/>
      </w:r>
      <w:r>
        <w:tab/>
      </w:r>
      <w:r>
        <w:tab/>
        <w:t>Для женщин, не относящихся к маори, 80,6 года</w:t>
      </w:r>
    </w:p>
    <w:p w:rsidR="00000000" w:rsidRDefault="00000000">
      <w:pPr>
        <w:pStyle w:val="dot"/>
      </w:pPr>
      <w:r>
        <w:tab/>
      </w:r>
      <w:r>
        <w:tab/>
      </w:r>
      <w:r>
        <w:tab/>
      </w:r>
      <w:r>
        <w:tab/>
      </w:r>
      <w:r>
        <w:tab/>
        <w:t>Для женщин-маори 71,6 года</w:t>
      </w:r>
    </w:p>
    <w:p w:rsidR="00000000" w:rsidRDefault="00000000">
      <w:pPr>
        <w:pStyle w:val="dot"/>
      </w:pPr>
      <w:r>
        <w:tab/>
      </w:r>
      <w:r>
        <w:tab/>
      </w:r>
      <w:r>
        <w:tab/>
      </w:r>
      <w:r>
        <w:tab/>
      </w:r>
      <w:r>
        <w:tab/>
        <w:t>Для мужчин, не относящихся к маори, 75,3 года</w:t>
      </w:r>
    </w:p>
    <w:p w:rsidR="00000000" w:rsidRDefault="00000000">
      <w:pPr>
        <w:pStyle w:val="dot"/>
      </w:pPr>
      <w:r>
        <w:tab/>
      </w:r>
      <w:r>
        <w:tab/>
      </w:r>
      <w:r>
        <w:tab/>
      </w:r>
      <w:r>
        <w:tab/>
      </w:r>
      <w:r>
        <w:tab/>
        <w:t>Для мужчин-маори 67,2 года.</w:t>
      </w:r>
    </w:p>
    <w:p w:rsidR="00000000" w:rsidRDefault="00000000">
      <w:pPr>
        <w:pStyle w:val="SingleTxt"/>
      </w:pPr>
      <w:r>
        <w:t xml:space="preserve">34. </w:t>
      </w:r>
      <w:r>
        <w:tab/>
        <w:t>В течение последних десяти лет основными причинами смертности по-прежнему являются рак и ишемическая болезнь сердца, причем на каждое из этих групп заболеваний приходится приблизительно один из четырех л</w:t>
      </w:r>
      <w:r>
        <w:t>е</w:t>
      </w:r>
      <w:r>
        <w:t>тальных исходов. В 1998 году 29 процентов летальных исходов было вызвано онкологическими заболеваниями, причем на долю ишемической болезни сер</w:t>
      </w:r>
      <w:r>
        <w:t>д</w:t>
      </w:r>
      <w:r>
        <w:t>ца приходилось 23 процента подобных исходов.</w:t>
      </w:r>
    </w:p>
    <w:p w:rsidR="00000000" w:rsidRDefault="00000000">
      <w:pPr>
        <w:pStyle w:val="SingleTxt"/>
      </w:pPr>
      <w:r>
        <w:t xml:space="preserve">35. </w:t>
      </w:r>
      <w:r>
        <w:tab/>
      </w:r>
      <w:r>
        <w:rPr>
          <w:u w:val="single"/>
        </w:rPr>
        <w:t>Смертность новорожденных.</w:t>
      </w:r>
      <w:r>
        <w:t xml:space="preserve"> По состоянию на 2001 (календарный) год показатель смертности новорожденных равнялся 5,3 подобных случаев на 1000 живорождений. Почти половина смертности новорожденных была об</w:t>
      </w:r>
      <w:r>
        <w:t>у</w:t>
      </w:r>
      <w:r>
        <w:t>словлена неонатальной смертностью (2,76 смертных случаев на 1000 живорождений).</w:t>
      </w:r>
    </w:p>
    <w:p w:rsidR="00000000" w:rsidRDefault="00000000">
      <w:pPr>
        <w:pStyle w:val="SingleTxt"/>
      </w:pPr>
      <w:r>
        <w:t>36.</w:t>
      </w:r>
      <w:r>
        <w:tab/>
      </w:r>
      <w:r>
        <w:rPr>
          <w:u w:val="single"/>
        </w:rPr>
        <w:t>Материнская смертность.</w:t>
      </w:r>
      <w:r>
        <w:t xml:space="preserve"> Материнская смертность в дородовой и послеродовой периоды (в связи с осложнениями беременности, родов и посл</w:t>
      </w:r>
      <w:r>
        <w:t>е</w:t>
      </w:r>
      <w:r>
        <w:t>родового периода) существенно меняется от года к году из-за небольшого к</w:t>
      </w:r>
      <w:r>
        <w:t>о</w:t>
      </w:r>
      <w:r>
        <w:t>личества смертных случаев. В 1998 году показатель материнской смертности на 100 тысяч живорождений составил 1,7 процента (в этом году был зафикс</w:t>
      </w:r>
      <w:r>
        <w:t>и</w:t>
      </w:r>
      <w:r>
        <w:t>рован лишь один случай материнской смертности), в то время как в 1997 году он составил 3,5 процента (в 1997 году было зафиксировано 2 случая матери</w:t>
      </w:r>
      <w:r>
        <w:t>н</w:t>
      </w:r>
      <w:r>
        <w:t>ской смертности).</w:t>
      </w:r>
    </w:p>
    <w:p w:rsidR="00000000" w:rsidRDefault="00000000">
      <w:pPr>
        <w:pStyle w:val="SingleTxt"/>
      </w:pPr>
      <w:r>
        <w:t xml:space="preserve">37. </w:t>
      </w:r>
      <w:r>
        <w:tab/>
      </w:r>
      <w:r>
        <w:rPr>
          <w:u w:val="single"/>
        </w:rPr>
        <w:t>Коэффициент фертильности.</w:t>
      </w:r>
      <w:r>
        <w:t xml:space="preserve"> За период с января по март 2002 года общее число зарегистрированных живорождений составило 54 700. По после</w:t>
      </w:r>
      <w:r>
        <w:t>д</w:t>
      </w:r>
      <w:r>
        <w:t>ним данным средний коэффициент фертильности для новозеландских женщин равнялся 1,97 живорождений на каждую женщину. По последним данным этот показатель приблизительно на 6 процентов ниже уровня (2,10 рождений на о</w:t>
      </w:r>
      <w:r>
        <w:t>д</w:t>
      </w:r>
      <w:r>
        <w:t>ну женщину), требующегося любому населению для воспроизводства в усл</w:t>
      </w:r>
      <w:r>
        <w:t>о</w:t>
      </w:r>
      <w:r>
        <w:t>виях отсутствия миграции. В течение 18 лет из последних двадцати двух пок</w:t>
      </w:r>
      <w:r>
        <w:t>а</w:t>
      </w:r>
      <w:r>
        <w:t>затели фертильности в Новой Зеландии были ниже “уровня воспроизводства”.</w:t>
      </w:r>
    </w:p>
    <w:p w:rsidR="00000000" w:rsidRDefault="00000000">
      <w:pPr>
        <w:pStyle w:val="SingleTxt"/>
      </w:pPr>
      <w:r>
        <w:t xml:space="preserve">38. </w:t>
      </w:r>
      <w:r>
        <w:tab/>
        <w:t>За период с января по март 2002 года практически половина (49 процентов) всех рожениц были в возрасте 30 лет или старше, что знач</w:t>
      </w:r>
      <w:r>
        <w:t>и</w:t>
      </w:r>
      <w:r>
        <w:t>тельно выше 35 процентов в 1992 году. Напротив, доля рожениц в возрасте до 25 лет сократилась с 31 процента в 1992 году до 24 процентов в 2002 году. Н</w:t>
      </w:r>
      <w:r>
        <w:t>а</w:t>
      </w:r>
      <w:r>
        <w:t>блюдается долгосрочная тенденция отказа от деторождения в раннем возрасте. Среднестатистический возраст деторождений в Новой Зеландии в настоящее время составляет 29,5 лет по сравнению с 27,9 лет в 1992 году и 25,6 лет в н</w:t>
      </w:r>
      <w:r>
        <w:t>а</w:t>
      </w:r>
      <w:r>
        <w:t>чале 1970-х годов.</w:t>
      </w:r>
    </w:p>
    <w:p w:rsidR="00000000" w:rsidRDefault="00000000">
      <w:pPr>
        <w:pStyle w:val="SingleTxt"/>
      </w:pPr>
      <w:r>
        <w:t xml:space="preserve">39. </w:t>
      </w:r>
      <w:r>
        <w:tab/>
        <w:t>В 2001 календарном году общий коэффициент фертильности из женщин-маори был приблизительно на 34 процента выше, чем среди женщин, не относящихся к маори. В 2001 году средний детородный возраст для женщин из числа маори составил 25,97 лет по сравнению с 30,58 лет для женщин, не относ</w:t>
      </w:r>
      <w:r>
        <w:t>я</w:t>
      </w:r>
      <w:r>
        <w:t>щихся к маори.</w:t>
      </w:r>
    </w:p>
    <w:p w:rsidR="00000000" w:rsidRDefault="00000000">
      <w:pPr>
        <w:pStyle w:val="SingleTxt"/>
      </w:pPr>
      <w:r>
        <w:t xml:space="preserve">40. </w:t>
      </w:r>
      <w:r>
        <w:tab/>
      </w:r>
      <w:r>
        <w:rPr>
          <w:u w:val="single"/>
        </w:rPr>
        <w:t>Распределение возрастных групп.</w:t>
      </w:r>
      <w:r>
        <w:t xml:space="preserve"> Данные переписи 1996 года и п</w:t>
      </w:r>
      <w:r>
        <w:t>о</w:t>
      </w:r>
      <w:r>
        <w:t>следние оценки показывают, что происходит постепенное старение населения Новой Зеландии. По состоянию на 31 марта 2002 года средний возраст насел</w:t>
      </w:r>
      <w:r>
        <w:t>е</w:t>
      </w:r>
      <w:r>
        <w:t>ния (по предварительным оценкам) составил 34,7 года по сравнению с 34,2 года по состоянию на 31 марта 2001 года и 31,3 года по состоянию на 31 марта 1991 года.</w:t>
      </w:r>
    </w:p>
    <w:p w:rsidR="00000000" w:rsidRDefault="00000000">
      <w:pPr>
        <w:pStyle w:val="SingleTxt"/>
      </w:pPr>
      <w:r>
        <w:t xml:space="preserve">41. </w:t>
      </w:r>
      <w:r>
        <w:tab/>
        <w:t>В период с 31 марта 2001 года по 31 марта 2002 года (по предвар</w:t>
      </w:r>
      <w:r>
        <w:t>и</w:t>
      </w:r>
      <w:r>
        <w:t>тельным оценкам) количество детей в возрасте до 15 лет возросло на 4240 человек, или на 0,48 процента, то есть с 874 410 до 878 650 человек. К</w:t>
      </w:r>
      <w:r>
        <w:t>о</w:t>
      </w:r>
      <w:r>
        <w:t>личество новозеландцев трудоспособного возраста (от 15 до 64 лет) увелич</w:t>
      </w:r>
      <w:r>
        <w:t>и</w:t>
      </w:r>
      <w:r>
        <w:t>лось на 41 630 человек, или на 1,65 процента, и составило 2 557 160 человек. Вместе с тем их доля в общей численности населения незначительно возросла с 65,4 до 65,6 процента в период с января по 31 марта 2002 года. Количество престарелых новозеландцев (в возрасте 65 лет и старше) возросло на 6590 человек, или на 1,4 процента, то есть с 456 230 до 462 820 человек. По с</w:t>
      </w:r>
      <w:r>
        <w:t>о</w:t>
      </w:r>
      <w:r>
        <w:t>стоянию на 31 марта 2002 года половина престарелых новозеландцев была старше 74,2 лет.</w:t>
      </w:r>
    </w:p>
    <w:p w:rsidR="00000000" w:rsidRDefault="00000000">
      <w:pPr>
        <w:pStyle w:val="SingleTxt"/>
      </w:pPr>
      <w:r>
        <w:t xml:space="preserve">42. </w:t>
      </w:r>
      <w:r>
        <w:tab/>
      </w:r>
      <w:r>
        <w:rPr>
          <w:u w:val="single"/>
        </w:rPr>
        <w:t>Структура молодого населения.</w:t>
      </w:r>
      <w:r>
        <w:t xml:space="preserve"> Согласно оценкам, по состоянию на 31 марта 2002 года в Новой Зеландии насчитывалось 1 161 460 лиц в возрасте моложе 20 лет, или 29,8 процента от общей численности населения. В данной группе число детей в возрасте до 5 лет снизилось незначительно – на 0,1 процента (с 282 520 по состоянию на 31 марта 2001 года до 282 100 по с</w:t>
      </w:r>
      <w:r>
        <w:t>о</w:t>
      </w:r>
      <w:r>
        <w:t>стоянию на 31 марта 2002 года), в возрасте от 5 до 9 лет – сократилось на 1,3 процента (с 294 910 по состоянию на 31 марта 2001 года до 303 620 по с</w:t>
      </w:r>
      <w:r>
        <w:t>о</w:t>
      </w:r>
      <w:r>
        <w:t>стоянию на 31 марта 2002 года), а численность возрастной группы от 15 до 19 лет возросла на 2,9 процента (с 274 870 по состоянию на 31 марта 2001 года до 282 720 по состоянию на 31 марта 2002 года).</w:t>
      </w:r>
    </w:p>
    <w:p w:rsidR="00000000" w:rsidRDefault="00000000">
      <w:pPr>
        <w:pStyle w:val="SingleTxt"/>
      </w:pPr>
      <w:r>
        <w:t xml:space="preserve">43. </w:t>
      </w:r>
      <w:r>
        <w:tab/>
      </w:r>
      <w:r>
        <w:rPr>
          <w:u w:val="single"/>
        </w:rPr>
        <w:t>Доля населения, проживающего в сельских районах и в городских районах.</w:t>
      </w:r>
      <w:r>
        <w:t xml:space="preserve"> Хотя с точки зрения землепользования Новая Зеландия является стр</w:t>
      </w:r>
      <w:r>
        <w:t>а</w:t>
      </w:r>
      <w:r>
        <w:t>ной, в которой ведущую роль играет сельское хозяйство, согласно оценкам, на момент проведения переписи в 2001 году лишь 14,3 процента “постоянного н</w:t>
      </w:r>
      <w:r>
        <w:t>а</w:t>
      </w:r>
      <w:r>
        <w:t>селения” проживало в сельских районах (к этой категории относятся районы, где в самых крупных населенных пунктах число жителей не превышает 1000 человек). 71 процент населения проживает в основных городских районах (которыми являются районы с населением в 30 000 человек или более); еще приблизительно 14,7 процента, хотя и является городским населением, но пр</w:t>
      </w:r>
      <w:r>
        <w:t>о</w:t>
      </w:r>
      <w:r>
        <w:t>живает в небольших городских районах, численность жителей которых не пр</w:t>
      </w:r>
      <w:r>
        <w:t>е</w:t>
      </w:r>
      <w:r>
        <w:t>вышает 30 000.</w:t>
      </w:r>
    </w:p>
    <w:p w:rsidR="00000000" w:rsidRDefault="00000000">
      <w:pPr>
        <w:pStyle w:val="SingleTxt"/>
      </w:pPr>
      <w:r>
        <w:t xml:space="preserve">44. </w:t>
      </w:r>
      <w:r>
        <w:tab/>
        <w:t>Крупнейшей городской агломерацией является Оклендский район, где, по оценкам, проживает 1 074 507 человек. По данным переписи 2001 года в общей численности населения Окленда европейцы составляли 66,9 процента, маори – 11,5 проценты, выходцы с Тихоокеанских островов – 14,9 процента, а выходцы из Азии – 14,6 процента (используется совокупная информация, п</w:t>
      </w:r>
      <w:r>
        <w:t>о</w:t>
      </w:r>
      <w:r>
        <w:t>лученная в ходе опроса, и поэтому общая сумма не достигает 100 процентов). В период с 1996 по 2001 годы численность лиц, “постоянно проживающих” в городской агломерации Окленд, возросла на 82 671 человек, в результате чего она превратилась в один из наиболее динамично развивающихся районов Н</w:t>
      </w:r>
      <w:r>
        <w:t>о</w:t>
      </w:r>
      <w:r>
        <w:t>вой Зела</w:t>
      </w:r>
      <w:r>
        <w:t>н</w:t>
      </w:r>
      <w:r>
        <w:t>дии.</w:t>
      </w:r>
    </w:p>
    <w:p w:rsidR="00000000" w:rsidRDefault="00000000">
      <w:pPr>
        <w:pStyle w:val="SingleTxt"/>
      </w:pPr>
      <w:r>
        <w:t xml:space="preserve">45. </w:t>
      </w:r>
      <w:r>
        <w:tab/>
      </w:r>
      <w:r>
        <w:rPr>
          <w:u w:val="single"/>
        </w:rPr>
        <w:t>Доля неполных семей с находящимися на иждивении детьми.</w:t>
      </w:r>
      <w:r>
        <w:t xml:space="preserve"> По данным переписи 2001 года, как и переписи 1996 года, наиболее распростр</w:t>
      </w:r>
      <w:r>
        <w:t>а</w:t>
      </w:r>
      <w:r>
        <w:t>ненным типом семьи была супружеская пара с детьми. Однако в настоящее время доли супружеских пар с детьми и супружеских пары без детей практич</w:t>
      </w:r>
      <w:r>
        <w:t>е</w:t>
      </w:r>
      <w:r>
        <w:t>ски равны и составляют 42,1 процент и 39,0 процента соответственно. Это св</w:t>
      </w:r>
      <w:r>
        <w:t>и</w:t>
      </w:r>
      <w:r>
        <w:t>детельствует о сохранении тенденции, впервые зафиксированной в 1991 году, к увеличению доли супружеских пар без детей и снижение численности супр</w:t>
      </w:r>
      <w:r>
        <w:t>у</w:t>
      </w:r>
      <w:r>
        <w:t>жеских пар с детьми. На долю неполных семей приходится 18,9 процента всех семей, что свидетельствует об увеличении их доли с 17,7 процента в 1996 году и 17,2 процента в 1991 году. Среди родителей одиночек женщины составляли большинство (81,9 процента), хотя с 1996 года это соотношение и снизилось немногим более чем на 1 процент.</w:t>
      </w:r>
    </w:p>
    <w:p w:rsidR="00000000" w:rsidRDefault="00000000">
      <w:pPr>
        <w:pStyle w:val="SingleTxt"/>
      </w:pPr>
      <w:r>
        <w:t xml:space="preserve">46. </w:t>
      </w:r>
      <w:r>
        <w:tab/>
        <w:t>В Новой Зеландии ведущую роль по-прежнему играют семейные д</w:t>
      </w:r>
      <w:r>
        <w:t>о</w:t>
      </w:r>
      <w:r>
        <w:t>машние хозяйства. По данным переписи 2001 года на долю семейных дома</w:t>
      </w:r>
      <w:r>
        <w:t>ш</w:t>
      </w:r>
      <w:r>
        <w:t>них хозяйств приходилось 71,3 процента всех домашних хозяйств, что означает уменьшение этого показателя по сравнению с 1996 году, когда он составил 73,9 процента. Доля домашних хозяйств, состоящих из одного лица, возросла до 23,4 процента всех домашних хозяйств по сравнению с 20,7 процентами в 1996 году. Оставшиеся домашние хозяйства представляли собой объединения лиц, не связанных друг с другом семейными отношениями (например, лиц, с</w:t>
      </w:r>
      <w:r>
        <w:t>о</w:t>
      </w:r>
      <w:r>
        <w:t>вместно арендующих жилые помещения).</w:t>
      </w:r>
    </w:p>
    <w:p w:rsidR="00000000" w:rsidRDefault="00000000">
      <w:pPr>
        <w:pStyle w:val="H1"/>
      </w:pPr>
      <w:r>
        <w:t>II.</w:t>
      </w:r>
      <w:r>
        <w:tab/>
        <w:t>Общеполитическая структура</w:t>
      </w:r>
    </w:p>
    <w:p w:rsidR="00000000" w:rsidRDefault="00000000">
      <w:pPr>
        <w:pStyle w:val="SingleTxt"/>
      </w:pPr>
      <w:r>
        <w:tab/>
        <w:t>47.</w:t>
      </w:r>
      <w:r>
        <w:tab/>
        <w:t>Высшим законодательным органом Новой Зеландии является одн</w:t>
      </w:r>
      <w:r>
        <w:t>о</w:t>
      </w:r>
      <w:r>
        <w:t>палатный парламент, состоящий из Ее Величества королевы (которую, как пр</w:t>
      </w:r>
      <w:r>
        <w:t>а</w:t>
      </w:r>
      <w:r>
        <w:t>вило, представляет генерал-губернатор) и палаты представителей в составе 120 членов.</w:t>
      </w:r>
    </w:p>
    <w:p w:rsidR="00000000" w:rsidRDefault="00000000">
      <w:pPr>
        <w:pStyle w:val="SingleTxt"/>
      </w:pPr>
      <w:r>
        <w:tab/>
        <w:t>48.</w:t>
      </w:r>
      <w:r>
        <w:tab/>
        <w:t>На парламент возложены следующие основные функции:</w:t>
      </w:r>
    </w:p>
    <w:p w:rsidR="00000000" w:rsidRDefault="00000000">
      <w:pPr>
        <w:pStyle w:val="SingleTxt"/>
        <w:ind w:left="2217" w:hanging="953"/>
      </w:pPr>
      <w:r>
        <w:tab/>
      </w:r>
      <w:r>
        <w:tab/>
      </w:r>
      <w:r>
        <w:tab/>
        <w:t>а)</w:t>
      </w:r>
      <w:r>
        <w:tab/>
        <w:t>принятие законов и передача полномочий по разработке зак</w:t>
      </w:r>
      <w:r>
        <w:t>о</w:t>
      </w:r>
      <w:r>
        <w:t>нов испо</w:t>
      </w:r>
      <w:r>
        <w:t>л</w:t>
      </w:r>
      <w:r>
        <w:t>нительной власти;</w:t>
      </w:r>
    </w:p>
    <w:p w:rsidR="00000000" w:rsidRDefault="00000000">
      <w:pPr>
        <w:pStyle w:val="SingleTxt"/>
        <w:ind w:left="2217" w:hanging="953"/>
      </w:pPr>
      <w:r>
        <w:tab/>
      </w:r>
      <w:r>
        <w:tab/>
      </w:r>
      <w:r>
        <w:tab/>
        <w:t>b)</w:t>
      </w:r>
      <w:r>
        <w:tab/>
        <w:t>проверка и контроль деятельности правительства (ежегодное предоставление финансовых полномочий, контроль за осуществл</w:t>
      </w:r>
      <w:r>
        <w:t>е</w:t>
      </w:r>
      <w:r>
        <w:t>нием переданных по</w:t>
      </w:r>
      <w:r>
        <w:t>л</w:t>
      </w:r>
      <w:r>
        <w:t>номочий и функций);</w:t>
      </w:r>
    </w:p>
    <w:p w:rsidR="00000000" w:rsidRDefault="00000000">
      <w:pPr>
        <w:pStyle w:val="SingleTxt"/>
        <w:ind w:left="2217" w:hanging="953"/>
      </w:pPr>
      <w:r>
        <w:tab/>
      </w:r>
      <w:r>
        <w:tab/>
      </w:r>
      <w:r>
        <w:tab/>
        <w:t>с)</w:t>
      </w:r>
      <w:r>
        <w:tab/>
        <w:t>формирование правительства; и</w:t>
      </w:r>
    </w:p>
    <w:p w:rsidR="00000000" w:rsidRDefault="00000000">
      <w:pPr>
        <w:pStyle w:val="SingleTxt"/>
        <w:ind w:left="2217" w:hanging="953"/>
      </w:pPr>
      <w:r>
        <w:tab/>
      </w:r>
      <w:r>
        <w:tab/>
      </w:r>
      <w:r>
        <w:tab/>
        <w:t>d)</w:t>
      </w:r>
      <w:r>
        <w:tab/>
        <w:t>представление народа Новой Зеландии.</w:t>
      </w:r>
    </w:p>
    <w:p w:rsidR="00000000" w:rsidRDefault="00000000">
      <w:pPr>
        <w:pStyle w:val="SingleTxt"/>
      </w:pPr>
      <w:r>
        <w:tab/>
        <w:t>49.</w:t>
      </w:r>
      <w:r>
        <w:tab/>
        <w:t>Законом 1991 года "О проведении референдума по вопросам избир</w:t>
      </w:r>
      <w:r>
        <w:t>а</w:t>
      </w:r>
      <w:r>
        <w:t>тельной системы" предусмотрены условия для выяснения мнения населения по поводу реформы избирательной системы. Референдум состоял из двух этапов. На первом этапе избирателям предлагалось сделать выбор между реформой и</w:t>
      </w:r>
      <w:r>
        <w:t>з</w:t>
      </w:r>
      <w:r>
        <w:t>бирательной системы и сохранением прежде существовавшей мажоритарной системы. На втором этапе им предлагалось указать, какой из четырех вариантов реформы избирательной системы является для них предпочтительным. Бол</w:t>
      </w:r>
      <w:r>
        <w:t>ь</w:t>
      </w:r>
      <w:r>
        <w:t>шинство избирателей отдали предпочтение проведению реформы и введению системы смешанного пропорционального представительства (СПП). СПП была введена после второго и окончательного обязательного референдума, состоя</w:t>
      </w:r>
      <w:r>
        <w:t>в</w:t>
      </w:r>
      <w:r>
        <w:t>шегося в ходе проведения всеобщих в</w:t>
      </w:r>
      <w:r>
        <w:t>ы</w:t>
      </w:r>
      <w:r>
        <w:t>боров 1993 года.</w:t>
      </w:r>
    </w:p>
    <w:p w:rsidR="00000000" w:rsidRDefault="00000000">
      <w:pPr>
        <w:pStyle w:val="SingleTxt"/>
      </w:pPr>
      <w:r>
        <w:tab/>
        <w:t>50.</w:t>
      </w:r>
      <w:r>
        <w:tab/>
        <w:t>Избирательный закон 1993 года регулирует проведение выборов, включая реализацию системы СПП. В соответствии с ней избиратели голосуют по партийным спискам и избирательным округам. Выборы по партийным сп</w:t>
      </w:r>
      <w:r>
        <w:t>и</w:t>
      </w:r>
      <w:r>
        <w:t>скам позволяют избирателям проголосовать за ту партию, которую они хотели бы видеть представленной в парламенте. По состоянию на июнь 2002 года з</w:t>
      </w:r>
      <w:r>
        <w:t>а</w:t>
      </w:r>
      <w:r>
        <w:t>регистрирована 21 политическая партия. Цель голосования по избирательным округам состоит в избрании члена парламента, который будет представлять и</w:t>
      </w:r>
      <w:r>
        <w:t>з</w:t>
      </w:r>
      <w:r>
        <w:t>б</w:t>
      </w:r>
      <w:r>
        <w:t>и</w:t>
      </w:r>
      <w:r>
        <w:t>рателей, отдавших за него свои голоса.</w:t>
      </w:r>
    </w:p>
    <w:p w:rsidR="00000000" w:rsidRDefault="00000000">
      <w:pPr>
        <w:pStyle w:val="SingleTxt"/>
      </w:pPr>
      <w:r>
        <w:tab/>
        <w:t>51.</w:t>
      </w:r>
      <w:r>
        <w:tab/>
        <w:t>Согласно принципу смешанного пропорционального представител</w:t>
      </w:r>
      <w:r>
        <w:t>ь</w:t>
      </w:r>
      <w:r>
        <w:t>ства в парламент, как правило, будет избираться 120 депутатов. В парламент, состав которого был избран в июле 2002 года, 62 члена парламента избраны по 62 общетерриториальным избирательным округам и семь членов парламента представляют семь избирательных округов Маори. Остальные депутаты (51 депутат) избирались по партийным спискам. Границы общетерриториал</w:t>
      </w:r>
      <w:r>
        <w:t>ь</w:t>
      </w:r>
      <w:r>
        <w:t>ных избирательных округов и избирательных округов Маори рассматриваются каждые пять лет Комиссией по вопросам представленности, последнее засед</w:t>
      </w:r>
      <w:r>
        <w:t>а</w:t>
      </w:r>
      <w:r>
        <w:t>ние которой состоялось в 2001 году. Относительно мест в парламенте, которые занимают Маори, следует отметить, что согласно Закону о выборах 1993 года любое лицо, являющееся по национальности маори, может зарегистрироваться либо в качестве выборщика по избирательному округу Маори, либо в качестве выборщика по общетерриториальному избирательному округу. После того, как такой выбор сделан, данное лицо не может менять списки своей регистрации до проведения через пять лет очередной кампании по регистрации выборщиков от Маори. Результаты такой кампании берутся за основу при подсчете числе</w:t>
      </w:r>
      <w:r>
        <w:t>н</w:t>
      </w:r>
      <w:r>
        <w:t>ности з</w:t>
      </w:r>
      <w:r>
        <w:t>а</w:t>
      </w:r>
      <w:r>
        <w:t xml:space="preserve">крепляемых за Маори мест на двух очередных всеобщих выборах. </w:t>
      </w:r>
    </w:p>
    <w:p w:rsidR="00000000" w:rsidRDefault="00000000">
      <w:pPr>
        <w:pStyle w:val="SingleTxt"/>
      </w:pPr>
      <w:r>
        <w:tab/>
        <w:t>52.</w:t>
      </w:r>
      <w:r>
        <w:tab/>
        <w:t>Кабинет министров, все члены которого являются избранными чл</w:t>
      </w:r>
      <w:r>
        <w:t>е</w:t>
      </w:r>
      <w:r>
        <w:t>нами палаты представителей, обеспечивают контроль за государственным управлением. Кабинет министров, государственные службы и ряд других пр</w:t>
      </w:r>
      <w:r>
        <w:t>а</w:t>
      </w:r>
      <w:r>
        <w:t>вительственных органов образуют исполнительную ветвь власти. Как правило, политическое руководство каждым правительственным департаментом осущ</w:t>
      </w:r>
      <w:r>
        <w:t>е</w:t>
      </w:r>
      <w:r>
        <w:t>ствляет назначе</w:t>
      </w:r>
      <w:r>
        <w:t>н</w:t>
      </w:r>
      <w:r>
        <w:t>ный министр.</w:t>
      </w:r>
    </w:p>
    <w:p w:rsidR="00000000" w:rsidRDefault="00000000">
      <w:pPr>
        <w:pStyle w:val="SingleTxt"/>
      </w:pPr>
      <w:r>
        <w:tab/>
        <w:t>53.</w:t>
      </w:r>
      <w:r>
        <w:tab/>
        <w:t>Суды, которые используют в своей деятельности принцип состяз</w:t>
      </w:r>
      <w:r>
        <w:t>а</w:t>
      </w:r>
      <w:r>
        <w:t>тельности, образуют судебную ветвь государственной власть. В настоящее время высшим судом в Новой Зеландии является Судебный комитет Тайного совета, заседающий в Лондоне в качестве последней апелляционной инстанции для Новой Зеландии. Правительство приняло решение отменить для Новой З</w:t>
      </w:r>
      <w:r>
        <w:t>е</w:t>
      </w:r>
      <w:r>
        <w:t>ландии систему подачи апелляции в Тайный совет и заменить ее Верховным судом, находящимся в Веллингтоне. Таким образом, в случае принятия необх</w:t>
      </w:r>
      <w:r>
        <w:t>о</w:t>
      </w:r>
      <w:r>
        <w:t>димого закона Верховный суд станет после своего создания высшей судебной инстанцией Новой Зеландии. Второй по степени важности судебной инстанц</w:t>
      </w:r>
      <w:r>
        <w:t>и</w:t>
      </w:r>
      <w:r>
        <w:t>ей Новой Зеландии является Апелляционный суд, рассматривающий пода</w:t>
      </w:r>
      <w:r>
        <w:t>в</w:t>
      </w:r>
      <w:r>
        <w:t>ляющее большинство обжалований. За Апелляционным судом следует Высший суд, который является единственным судом в Новой Зеландии, имеющим о</w:t>
      </w:r>
      <w:r>
        <w:t>б</w:t>
      </w:r>
      <w:r>
        <w:t>щую юрисдикцию. Он рассматривает наиболее серьезные уголовные и гра</w:t>
      </w:r>
      <w:r>
        <w:t>ж</w:t>
      </w:r>
      <w:r>
        <w:t>данские дела с участием жюри присяжных, а также многие дела, подпадающие под административное законодательство.</w:t>
      </w:r>
    </w:p>
    <w:p w:rsidR="00000000" w:rsidRDefault="00000000">
      <w:pPr>
        <w:pStyle w:val="SingleTxt"/>
      </w:pPr>
      <w:r>
        <w:tab/>
        <w:t>54.</w:t>
      </w:r>
      <w:r>
        <w:tab/>
        <w:t>После Высшего суда следуют районные суды. Они рассматривают большое число уголовных и гражданских дел и иногда проводят заседания с участием жюри присяжных. Суд по семейным делам, являющийся отделением районного суда, рассматривает вопросы, регулируемые законодательством о семье. Трибуналы по урегулированию споров (создаваемые в качестве стру</w:t>
      </w:r>
      <w:r>
        <w:t>к</w:t>
      </w:r>
      <w:r>
        <w:t>турных подразделений районных судов) рассматривают более простые гра</w:t>
      </w:r>
      <w:r>
        <w:t>ж</w:t>
      </w:r>
      <w:r>
        <w:t>данские споры (помимо дел о погашении задолженностей) на основе упроще</w:t>
      </w:r>
      <w:r>
        <w:t>н</w:t>
      </w:r>
      <w:r>
        <w:t>ной процедуры. Существует также ряд специальных судов и трибуналов. В 1997 году правительство, находившееся тогда у власти, дало согласие на учр</w:t>
      </w:r>
      <w:r>
        <w:t>е</w:t>
      </w:r>
      <w:r>
        <w:t>ждение в экспериментальном порядке новой судебной должности местных м</w:t>
      </w:r>
      <w:r>
        <w:t>а</w:t>
      </w:r>
      <w:r>
        <w:t>гистратов при районных судах. Местные магистраты – это не профессионал</w:t>
      </w:r>
      <w:r>
        <w:t>ь</w:t>
      </w:r>
      <w:r>
        <w:t>ные юристы, а выходцы из местных общин, которые рассматривают незнач</w:t>
      </w:r>
      <w:r>
        <w:t>и</w:t>
      </w:r>
      <w:r>
        <w:t>тельные и, чаще всего, не требующие присутствия защиты уголовные дела. Они могут наделяться обычными полномочиями по назначению наказаний, за исключением тюремного заключения. В 2000 году была проведена оценка э</w:t>
      </w:r>
      <w:r>
        <w:t>ф</w:t>
      </w:r>
      <w:r>
        <w:t>фективности этой должности. В настоящее время правительство изучает в</w:t>
      </w:r>
      <w:r>
        <w:t>о</w:t>
      </w:r>
      <w:r>
        <w:t>прос о возможностях их будущего использования.</w:t>
      </w:r>
    </w:p>
    <w:p w:rsidR="00000000" w:rsidRDefault="00000000">
      <w:pPr>
        <w:pStyle w:val="SingleTxt"/>
      </w:pPr>
      <w:r>
        <w:tab/>
        <w:t>55.</w:t>
      </w:r>
      <w:r>
        <w:tab/>
        <w:t>Суды выступают в качестве механизма ограничения власти прав</w:t>
      </w:r>
      <w:r>
        <w:t>и</w:t>
      </w:r>
      <w:r>
        <w:t>тельства путем обеспечения деятельности правительства в соответствии с з</w:t>
      </w:r>
      <w:r>
        <w:t>а</w:t>
      </w:r>
      <w:r>
        <w:t>конодательством. Однако, поскольку в новозеландской системе государстве</w:t>
      </w:r>
      <w:r>
        <w:t>н</w:t>
      </w:r>
      <w:r>
        <w:t>ного управления парламент является высшим органом власти, полномочия с</w:t>
      </w:r>
      <w:r>
        <w:t>у</w:t>
      </w:r>
      <w:r>
        <w:t>дов являются ограниченными, и они не могут отменять положения какого-либо зак</w:t>
      </w:r>
      <w:r>
        <w:t>о</w:t>
      </w:r>
      <w:r>
        <w:t>на, принятого парламентом.</w:t>
      </w:r>
    </w:p>
    <w:p w:rsidR="00000000" w:rsidRDefault="00000000">
      <w:pPr>
        <w:pStyle w:val="SingleTxt"/>
      </w:pPr>
      <w:r>
        <w:tab/>
        <w:t>56.</w:t>
      </w:r>
      <w:r>
        <w:tab/>
        <w:t>Внутригосударственное право Новой Зеландии включает в себя:</w:t>
      </w:r>
    </w:p>
    <w:p w:rsidR="00000000" w:rsidRDefault="00000000">
      <w:pPr>
        <w:pStyle w:val="SingleTxt"/>
        <w:ind w:left="2217" w:hanging="953"/>
      </w:pPr>
      <w:r>
        <w:tab/>
      </w:r>
      <w:r>
        <w:tab/>
      </w:r>
      <w:r>
        <w:tab/>
        <w:t>(а)</w:t>
      </w:r>
      <w:r>
        <w:tab/>
        <w:t>Общее право, определяемое иногда в качестве правовых пол</w:t>
      </w:r>
      <w:r>
        <w:t>о</w:t>
      </w:r>
      <w:r>
        <w:t>жений, принятых судами. Эти правовые нормы утверждены судами Англии, а также новозеландскими судами; и</w:t>
      </w:r>
    </w:p>
    <w:p w:rsidR="00000000" w:rsidRDefault="00000000">
      <w:pPr>
        <w:pStyle w:val="SingleTxt"/>
        <w:ind w:left="2217" w:hanging="953"/>
      </w:pPr>
      <w:r>
        <w:tab/>
      </w:r>
      <w:r>
        <w:tab/>
      </w:r>
      <w:r>
        <w:tab/>
        <w:t>(b)</w:t>
      </w:r>
      <w:r>
        <w:tab/>
        <w:t>статутное право, выраженное в законодательных актах новоз</w:t>
      </w:r>
      <w:r>
        <w:t>е</w:t>
      </w:r>
      <w:r>
        <w:t>ландского парламента. Законодательные полномочия парламента б</w:t>
      </w:r>
      <w:r>
        <w:t>ы</w:t>
      </w:r>
      <w:r>
        <w:t>ли сохранены в пункте 1 статьи 15 Закона о Конституции 1986 года. До этого эти полномочия регулировались принятым в 1947 году, Вестминстерским статутом, который наделил новозеландский па</w:t>
      </w:r>
      <w:r>
        <w:t>р</w:t>
      </w:r>
      <w:r>
        <w:t>ламент исключительными полномочиями по законотворчеству в Н</w:t>
      </w:r>
      <w:r>
        <w:t>о</w:t>
      </w:r>
      <w:r>
        <w:t>вой Зеландии.</w:t>
      </w:r>
    </w:p>
    <w:p w:rsidR="00000000" w:rsidRDefault="00000000">
      <w:pPr>
        <w:pStyle w:val="SingleTxt"/>
        <w:ind w:left="2217" w:hanging="953"/>
      </w:pPr>
      <w:r>
        <w:tab/>
      </w:r>
      <w:r>
        <w:tab/>
      </w:r>
      <w:r>
        <w:tab/>
        <w:t>(с)</w:t>
      </w:r>
      <w:r>
        <w:tab/>
        <w:t>Согласно Закону о применении законодательства Британской империи 1988 года часть британских статутов и вспомогательных з</w:t>
      </w:r>
      <w:r>
        <w:t>а</w:t>
      </w:r>
      <w:r>
        <w:t>конодательных актов, принятых до 1947 года, также признаются в качестве составной части з</w:t>
      </w:r>
      <w:r>
        <w:t>а</w:t>
      </w:r>
      <w:r>
        <w:t>конодательства Новой Зеландии.</w:t>
      </w:r>
    </w:p>
    <w:p w:rsidR="00000000" w:rsidRDefault="00000000">
      <w:pPr>
        <w:pStyle w:val="SingleTxt"/>
      </w:pPr>
      <w:r>
        <w:tab/>
        <w:t>57.</w:t>
      </w:r>
      <w:r>
        <w:tab/>
        <w:t>Общее право касается толкования норм статутного права и разрабо</w:t>
      </w:r>
      <w:r>
        <w:t>т</w:t>
      </w:r>
      <w:r>
        <w:t>ки общеправовых норм, основанных на важнейших правовых принципах. Ст</w:t>
      </w:r>
      <w:r>
        <w:t>а</w:t>
      </w:r>
      <w:r>
        <w:t>тутное право включает в себя законы, принятые парламентом, и вспомогател</w:t>
      </w:r>
      <w:r>
        <w:t>ь</w:t>
      </w:r>
      <w:r>
        <w:t>ные законодательные акты, принятые на основании этих законов.</w:t>
      </w:r>
    </w:p>
    <w:p w:rsidR="00000000" w:rsidRDefault="00000000">
      <w:pPr>
        <w:pStyle w:val="H23"/>
      </w:pPr>
      <w:r>
        <w:t>Договор Вайтанги</w:t>
      </w:r>
    </w:p>
    <w:p w:rsidR="00000000" w:rsidRDefault="00000000">
      <w:pPr>
        <w:pStyle w:val="SingleTxt"/>
      </w:pPr>
      <w:r>
        <w:tab/>
        <w:t>58.</w:t>
      </w:r>
      <w:r>
        <w:tab/>
        <w:t xml:space="preserve">Договор Вайтанги, подписанный в 1840 году между представителями Британской Короны и Маори, относящимися к подплемени </w:t>
      </w:r>
      <w:r>
        <w:rPr>
          <w:i/>
        </w:rPr>
        <w:t>хапу</w:t>
      </w:r>
      <w:r>
        <w:t xml:space="preserve"> и племени </w:t>
      </w:r>
      <w:r>
        <w:rPr>
          <w:i/>
        </w:rPr>
        <w:t>иви</w:t>
      </w:r>
      <w:r>
        <w:t>, закрепил правовую основу расселения на территории Новой Зеландии и обе</w:t>
      </w:r>
      <w:r>
        <w:t>с</w:t>
      </w:r>
      <w:r>
        <w:t>печил защиту прав и имущества маори как коренных жителей.</w:t>
      </w:r>
    </w:p>
    <w:p w:rsidR="00000000" w:rsidRDefault="00000000">
      <w:pPr>
        <w:pStyle w:val="SingleTxt"/>
      </w:pPr>
      <w:r>
        <w:tab/>
        <w:t>59.</w:t>
      </w:r>
      <w:r>
        <w:tab/>
        <w:t>За последние полтора десятилетия возросло значение Договора Ва</w:t>
      </w:r>
      <w:r>
        <w:t>й</w:t>
      </w:r>
      <w:r>
        <w:t>танги в качестве основы для урегулирования претензий, предъявляемых Маори Британской Короне. Все большее внимание стало уделяться вопросу о месте и роли народа Маори в новозеландском обществе, и сменявшие друг друга пр</w:t>
      </w:r>
      <w:r>
        <w:t>а</w:t>
      </w:r>
      <w:r>
        <w:t>вительства продолжают совершенствовать свою политику по вопросам, к</w:t>
      </w:r>
      <w:r>
        <w:t>а</w:t>
      </w:r>
      <w:r>
        <w:t>сающимся Маори.</w:t>
      </w:r>
    </w:p>
    <w:p w:rsidR="00000000" w:rsidRDefault="00000000">
      <w:pPr>
        <w:pStyle w:val="SingleTxt"/>
      </w:pPr>
      <w:r>
        <w:tab/>
        <w:t>60.</w:t>
      </w:r>
      <w:r>
        <w:tab/>
        <w:t>На основе принятого в 1975 году закона о Договоре Вайтанги был создан трибунал Вайтанги для выработки рекомендаций для представителей Британской Короны в отношении претензий, касающихся данного Договора. В соответствии с принятой в 1985 году поправкой разрешалось представление ретроспективных претензий в отношении периода, предшествовавшего подп</w:t>
      </w:r>
      <w:r>
        <w:t>и</w:t>
      </w:r>
      <w:r>
        <w:t>санию Договора в 1840 году.</w:t>
      </w:r>
    </w:p>
    <w:p w:rsidR="00000000" w:rsidRDefault="00000000">
      <w:pPr>
        <w:pStyle w:val="SingleTxt"/>
      </w:pPr>
      <w:r>
        <w:tab/>
        <w:t>61.</w:t>
      </w:r>
      <w:r>
        <w:tab/>
        <w:t>Задача судов и Трибунала Вайтанги заключается в определение с</w:t>
      </w:r>
      <w:r>
        <w:t>о</w:t>
      </w:r>
      <w:r>
        <w:t>временного значения положений Договора. Такая работа является весьма о</w:t>
      </w:r>
      <w:r>
        <w:t>б</w:t>
      </w:r>
      <w:r>
        <w:t>ширной и неизменно оказывает значительное воздействие на самосознание н</w:t>
      </w:r>
      <w:r>
        <w:t>о</w:t>
      </w:r>
      <w:r>
        <w:t>возеландцев как нации. Корона признает Договор в качестве основополага</w:t>
      </w:r>
      <w:r>
        <w:t>ю</w:t>
      </w:r>
      <w:r>
        <w:t>щего документа, определяющего жизнь нации, и в настоящее время больши</w:t>
      </w:r>
      <w:r>
        <w:t>н</w:t>
      </w:r>
      <w:r>
        <w:t>ство населения считает его наиболее важным инструментом развития партне</w:t>
      </w:r>
      <w:r>
        <w:t>р</w:t>
      </w:r>
      <w:r>
        <w:t>ских отношений между Короной и Маори на договорной основе. Члены триб</w:t>
      </w:r>
      <w:r>
        <w:t>у</w:t>
      </w:r>
      <w:r>
        <w:t>нала Вайтанги характеризуют действие Договора следующим образом: "Пол</w:t>
      </w:r>
      <w:r>
        <w:t>о</w:t>
      </w:r>
      <w:r>
        <w:t>жения Договора всегда применимы".</w:t>
      </w:r>
    </w:p>
    <w:p w:rsidR="00000000" w:rsidRDefault="00000000">
      <w:pPr>
        <w:pStyle w:val="SingleTxt"/>
      </w:pPr>
      <w:r>
        <w:tab/>
        <w:t>62.</w:t>
      </w:r>
      <w:r>
        <w:tab/>
        <w:t>После создания трибунала Вайтанги под руководством министра по вопросам переговоров о Договоре Вайтанги 1 января 1995 года было создано специально бюро по урегулированию связанных с Договором претензий. Зад</w:t>
      </w:r>
      <w:r>
        <w:t>а</w:t>
      </w:r>
      <w:r>
        <w:t>ча бюро состоит в уточнении целей правительства по урегулированию истор</w:t>
      </w:r>
      <w:r>
        <w:t>и</w:t>
      </w:r>
      <w:r>
        <w:t>ческих претензий по договору Вайтанги.</w:t>
      </w:r>
    </w:p>
    <w:p w:rsidR="00000000" w:rsidRDefault="00000000">
      <w:pPr>
        <w:pStyle w:val="SingleTxt"/>
      </w:pPr>
      <w:r>
        <w:tab/>
        <w:t>63.</w:t>
      </w:r>
      <w:r>
        <w:tab/>
        <w:t>В 1987 году при рассмотрении Апелляционным судом одного из дел, ставших важным прецедентом, суд определил особые отношения между нар</w:t>
      </w:r>
      <w:r>
        <w:t>о</w:t>
      </w:r>
      <w:r>
        <w:t>дом Маори и представителями Британской Короны как требующие от обеих сторон в Договоре продуманных действий и проявления доброй воли по отн</w:t>
      </w:r>
      <w:r>
        <w:t>о</w:t>
      </w:r>
      <w:r>
        <w:t>шению друг к другу. В настоящее время ряд принятых парламентом законов требует, чтобы Корона уважала принципы Договора Вайтанги, а также учит</w:t>
      </w:r>
      <w:r>
        <w:t>ы</w:t>
      </w:r>
      <w:r>
        <w:t>вала интересы и цели народа Маори. Сменявшие друг друга правительства проводили переговоры с представителями больших естественно сложившихся групп населения с целью удовлетворения претензий, касающихся нарушений положений Договора.</w:t>
      </w:r>
    </w:p>
    <w:p w:rsidR="00000000" w:rsidRDefault="00000000">
      <w:pPr>
        <w:pStyle w:val="SingleTxt"/>
      </w:pPr>
      <w:r>
        <w:tab/>
        <w:t>64.</w:t>
      </w:r>
      <w:r>
        <w:tab/>
        <w:t>Правительство Новой Зеландии продолжает успешно продвигаться вперед по пути переговоров об удовлетворении претензий, связанных с ист</w:t>
      </w:r>
      <w:r>
        <w:t>о</w:t>
      </w:r>
      <w:r>
        <w:t>рическими нарушениями Договора Вайтанги. В 2001 году представители Бр</w:t>
      </w:r>
      <w:r>
        <w:t>и</w:t>
      </w:r>
      <w:r>
        <w:t>танской Короны достигли двух важных договоренностей об урегулировании с группами племен Северного острова претензий, связанных с конфискацией Британской Короной земель после военных действий в 1860-х годах и другими нарушениями Договора (с племенем нгати руануи на сумму 41 млн долларов и с племенем нгати тама – на 14,5 млн долларов). Помимо финансовой компенс</w:t>
      </w:r>
      <w:r>
        <w:t>а</w:t>
      </w:r>
      <w:r>
        <w:t>ции договоренности об урегулировании предусматривают принесение Брита</w:t>
      </w:r>
      <w:r>
        <w:t>н</w:t>
      </w:r>
      <w:r>
        <w:t>ской Короной извинений за имевшие место боевые действия и конфискации. Еще одно соглашение об урегулировании претензий (с племенем нгати ава) б</w:t>
      </w:r>
      <w:r>
        <w:t>ы</w:t>
      </w:r>
      <w:r>
        <w:t>ло подписано 8 июля 2002 года, и его осуществление зависит от того, будет ли оно ратифицировано народом нгати ава. С третьим проживающим на Северном острове племенем нга рауру недавно достигнуто принципиальное соглашение, не имеющее обязательного характера. По состоянию на июль 2002 года свыше 628 млн долларов было ассигновано на выплату компенсации в порядке око</w:t>
      </w:r>
      <w:r>
        <w:t>н</w:t>
      </w:r>
      <w:r>
        <w:t>чательного и всеобъемлющего урегулирования претензий по Д</w:t>
      </w:r>
      <w:r>
        <w:t>о</w:t>
      </w:r>
      <w:r>
        <w:t>говору.</w:t>
      </w:r>
    </w:p>
    <w:p w:rsidR="00000000" w:rsidRDefault="00000000">
      <w:pPr>
        <w:pStyle w:val="SingleTxt"/>
      </w:pPr>
      <w:r>
        <w:tab/>
        <w:t>65.</w:t>
      </w:r>
      <w:r>
        <w:tab/>
        <w:t>На ведение переговорного процесса выделяются дополнительные средства с целью побуждения истцов к вступлению на путь переговоров, а также в интересах защиты и сохранения остатков собственности Короны для их во</w:t>
      </w:r>
      <w:r>
        <w:t>з</w:t>
      </w:r>
      <w:r>
        <w:t>можного использования в интересах урегулирования претензий.</w:t>
      </w:r>
    </w:p>
    <w:p w:rsidR="00000000" w:rsidRDefault="00000000">
      <w:pPr>
        <w:pStyle w:val="SingleTxt"/>
      </w:pPr>
      <w:r>
        <w:tab/>
        <w:t>66.</w:t>
      </w:r>
      <w:r>
        <w:tab/>
        <w:t>В июле 2000 года министр по вопросам переговоров о Договоре Ва</w:t>
      </w:r>
      <w:r>
        <w:t>й</w:t>
      </w:r>
      <w:r>
        <w:t>танги обнародовал комплекс принципов, которыми Корона должна руков</w:t>
      </w:r>
      <w:r>
        <w:t>о</w:t>
      </w:r>
      <w:r>
        <w:t>дствоваться при переговорах и урегулировании исторических претензий по Д</w:t>
      </w:r>
      <w:r>
        <w:t>о</w:t>
      </w:r>
      <w:r>
        <w:t>говору Вайтанги. Согласно этим принципам переговоры должны вестись в духе доброй воли; урегулирование претензий должно обеспечить восстановление взаимоотношений между Короной и истцами; финансовая компенсация должна быть справедливой (а не ограничиваться пакетом фискальных льгот); и что сходные претензии должны рассматриваться как таковые; процесс урегулир</w:t>
      </w:r>
      <w:r>
        <w:t>о</w:t>
      </w:r>
      <w:r>
        <w:t>вания по Договору должен быть более транспарентным, а договоренности об урегулировании должны достигаться путем переговоров между правительством и истцами.</w:t>
      </w:r>
    </w:p>
    <w:p w:rsidR="00000000" w:rsidRDefault="00000000">
      <w:pPr>
        <w:pStyle w:val="SingleTxt"/>
      </w:pPr>
      <w:r>
        <w:tab/>
        <w:t>67.</w:t>
      </w:r>
      <w:r>
        <w:tab/>
        <w:t>Трибунал Вайтанги недавно одобрил элементы подхода Короны к урегулированию претензий по Договору, вытекающие из признания им мандата представителей истца на переговорах, а также порядка рассмотрения им совп</w:t>
      </w:r>
      <w:r>
        <w:t>а</w:t>
      </w:r>
      <w:r>
        <w:t>дающих претензий. Корона приняла закон об удовлетворении претензий Поу</w:t>
      </w:r>
      <w:r>
        <w:t>а</w:t>
      </w:r>
      <w:r>
        <w:t>кани, и в палату представителей внесены законопроекты об урегулировании претензий племен те ури о хау и нгати руануи.</w:t>
      </w:r>
    </w:p>
    <w:p w:rsidR="00000000" w:rsidRDefault="00000000">
      <w:pPr>
        <w:pStyle w:val="SingleTxt"/>
      </w:pPr>
      <w:r>
        <w:tab/>
        <w:t>68.</w:t>
      </w:r>
      <w:r>
        <w:tab/>
        <w:t>Корона привержена выполнению своих обязательств в качестве ст</w:t>
      </w:r>
      <w:r>
        <w:t>о</w:t>
      </w:r>
      <w:r>
        <w:t>роны в Договоре. Урегулирование исторических претензий является необход</w:t>
      </w:r>
      <w:r>
        <w:t>и</w:t>
      </w:r>
      <w:r>
        <w:t>мым условием укрепления конструктивных отношений между Короной и Ма</w:t>
      </w:r>
      <w:r>
        <w:t>о</w:t>
      </w:r>
      <w:r>
        <w:t>ри. Вместе с тем Корона признает, что, хотя процесс урегулирования является важным, он не должен рассматриваться в качестве основного направления или механизма развития таких отношений в будущем. Значительный прогресс, до</w:t>
      </w:r>
      <w:r>
        <w:t>с</w:t>
      </w:r>
      <w:r>
        <w:t>тигнутый в процессе обсуждения и осуществления справедливого, прочного и реального урегулирования исторических претензий будет продолжаться при одновременном укреплении социально-экономического статуса Маори. С этой целью правительство намерено расширять экономические и социальные во</w:t>
      </w:r>
      <w:r>
        <w:t>з</w:t>
      </w:r>
      <w:r>
        <w:t>можности маори посредством значительного улучшения их положения в таких областях, как здравоохранение, занятость, образование и жилье. Такое пов</w:t>
      </w:r>
      <w:r>
        <w:t>ы</w:t>
      </w:r>
      <w:r>
        <w:t>шенное внимание поддержанию и дальнейшему развитию добрых отношений отражает основополагающую цель Договора Вайтанги, состоящую в создании основы для гармоничного и взаимовыгодного сосуществования двух сильно отличающихся друг от друга народов.</w:t>
      </w:r>
    </w:p>
    <w:p w:rsidR="00000000" w:rsidRDefault="00000000">
      <w:pPr>
        <w:pStyle w:val="SingleTxt"/>
      </w:pPr>
      <w:r>
        <w:tab/>
        <w:t>69.</w:t>
      </w:r>
      <w:r>
        <w:tab/>
        <w:t>Созданное в 1992 году Министерство по проблемам развития народа маори (Te Puni Kökiri) заменило собой ранее действовавшие правительстве</w:t>
      </w:r>
      <w:r>
        <w:t>н</w:t>
      </w:r>
      <w:r>
        <w:t>ные органы, занимавшиеся делами народа маори. Задача Министерства состоит в разработке рекомендаций по вопросам отношений Короны с маори и обесп</w:t>
      </w:r>
      <w:r>
        <w:t>е</w:t>
      </w:r>
      <w:r>
        <w:t>чение достижения народом маори более высоких показателей в своем развитии путем расширения его возможностей в области образования, здравоохранения и экономической деятельности. Министерство по делам женщин через свой о</w:t>
      </w:r>
      <w:r>
        <w:t>т</w:t>
      </w:r>
      <w:r>
        <w:t>дел по разработке политики в отношении женщин (Te Ohu Whakatupu) пре</w:t>
      </w:r>
      <w:r>
        <w:t>д</w:t>
      </w:r>
      <w:r>
        <w:t>ставляет правительству рекомендации в отношении положения женщин маори и возде</w:t>
      </w:r>
      <w:r>
        <w:t>й</w:t>
      </w:r>
      <w:r>
        <w:t>ствия, оказываемого на них проводимой государственной политикой.</w:t>
      </w:r>
    </w:p>
    <w:p w:rsidR="00000000" w:rsidRDefault="00000000">
      <w:pPr>
        <w:pStyle w:val="H1"/>
      </w:pPr>
      <w:r>
        <w:t>III.</w:t>
      </w:r>
      <w:r>
        <w:tab/>
        <w:t>Общая правовая структура обеспечения защиты прав человека</w:t>
      </w:r>
    </w:p>
    <w:p w:rsidR="00000000" w:rsidRDefault="00000000">
      <w:pPr>
        <w:pStyle w:val="H23"/>
      </w:pPr>
      <w:r>
        <w:t>А.</w:t>
      </w:r>
      <w:r>
        <w:tab/>
        <w:t>Судебные, административные и другие компетентные органы, занимающиеся вопросами прав человека</w:t>
      </w:r>
    </w:p>
    <w:p w:rsidR="00000000" w:rsidRDefault="00000000">
      <w:pPr>
        <w:pStyle w:val="SingleTxt"/>
      </w:pPr>
      <w:r>
        <w:tab/>
        <w:t>70.</w:t>
      </w:r>
      <w:r>
        <w:tab/>
        <w:t>В пунктах ниже приводится информация об основных законодател</w:t>
      </w:r>
      <w:r>
        <w:t>ь</w:t>
      </w:r>
      <w:r>
        <w:t>ных актах в этой о</w:t>
      </w:r>
      <w:r>
        <w:t>б</w:t>
      </w:r>
      <w:r>
        <w:t>ласти.</w:t>
      </w:r>
    </w:p>
    <w:p w:rsidR="00000000" w:rsidRDefault="00000000">
      <w:pPr>
        <w:pStyle w:val="H4"/>
      </w:pPr>
      <w:r>
        <w:t>Новозеландский закон 1990 года, касающийся Билля о правах</w:t>
      </w:r>
    </w:p>
    <w:p w:rsidR="00000000" w:rsidRDefault="00000000">
      <w:pPr>
        <w:pStyle w:val="SingleTxt"/>
      </w:pPr>
      <w:r>
        <w:tab/>
        <w:t>71.</w:t>
      </w:r>
      <w:r>
        <w:tab/>
        <w:t>Этот закон направлен на закрепление, защиту и поощрение прав ч</w:t>
      </w:r>
      <w:r>
        <w:t>е</w:t>
      </w:r>
      <w:r>
        <w:t>ловека и основных свобод в Новой Зеландии, а также на подтверждение пр</w:t>
      </w:r>
      <w:r>
        <w:t>и</w:t>
      </w:r>
      <w:r>
        <w:t>верженности Новой Зеландии соблюдению положений Международного пакта о гражданских и политических правах. Его положения распространяются на действия новозеландских органов законодательной, исполнительной или с</w:t>
      </w:r>
      <w:r>
        <w:t>у</w:t>
      </w:r>
      <w:r>
        <w:t>дебной власти и любого лица или органа при исполнении любых государстве</w:t>
      </w:r>
      <w:r>
        <w:t>н</w:t>
      </w:r>
      <w:r>
        <w:t>ных функций, полномочий или обязанностей, переданных данному лицу или органу, или возложенных на него в соответствии с законодательством. Ген</w:t>
      </w:r>
      <w:r>
        <w:t>е</w:t>
      </w:r>
      <w:r>
        <w:t>ральный прокурор обязан обращать внимание парламента на положения люб</w:t>
      </w:r>
      <w:r>
        <w:t>о</w:t>
      </w:r>
      <w:r>
        <w:t>го законопроекта, которые, как представляется, противоречат каким-либо пр</w:t>
      </w:r>
      <w:r>
        <w:t>а</w:t>
      </w:r>
      <w:r>
        <w:t>вам или свободам, провозглашенных в Билле о правах. Апелляционный суд принял решение о допустимости исков о возмещении ущерба в случае наруш</w:t>
      </w:r>
      <w:r>
        <w:t>е</w:t>
      </w:r>
      <w:r>
        <w:t>ния Короной прав и свобод, предусмотренных в новозеландском законе 1990 года, к</w:t>
      </w:r>
      <w:r>
        <w:t>а</w:t>
      </w:r>
      <w:r>
        <w:t xml:space="preserve">сающегося Билля о правах. </w:t>
      </w:r>
    </w:p>
    <w:p w:rsidR="00000000" w:rsidRDefault="00000000">
      <w:pPr>
        <w:pStyle w:val="H4"/>
      </w:pPr>
      <w:r>
        <w:t>Закон 1993 года о правах человека</w:t>
      </w:r>
    </w:p>
    <w:p w:rsidR="00000000" w:rsidRDefault="00000000">
      <w:pPr>
        <w:pStyle w:val="SingleTxt"/>
      </w:pPr>
      <w:r>
        <w:tab/>
        <w:t>72.</w:t>
      </w:r>
      <w:r>
        <w:tab/>
        <w:t>Закон 1993 года о правах человека вступил в силу 1 февраля 1994 года. Он объединяет все положения закона о Комиссии по правам челов</w:t>
      </w:r>
      <w:r>
        <w:t>е</w:t>
      </w:r>
      <w:r>
        <w:t>ка 1977 года и закона о межрасовых отношениях 1971 года. Этот законодател</w:t>
      </w:r>
      <w:r>
        <w:t>ь</w:t>
      </w:r>
      <w:r>
        <w:t>ный акт имеет, в первую очередь, антидискриминационную направленность, поскольку в нем устанавливаются 13 признаков, по которым запрещается ди</w:t>
      </w:r>
      <w:r>
        <w:t>с</w:t>
      </w:r>
      <w:r>
        <w:t>криминация: пол, семейное положение, религиозные убеждения, этические убеждения, цвет кожи, раса, этническое или национальное происхождение, и</w:t>
      </w:r>
      <w:r>
        <w:t>н</w:t>
      </w:r>
      <w:r>
        <w:t>валидность (включая наличие в организме возбудителей, способных стать пр</w:t>
      </w:r>
      <w:r>
        <w:t>и</w:t>
      </w:r>
      <w:r>
        <w:t>чиной болезни), возраст, политические взгляды, род занятий, семейное пол</w:t>
      </w:r>
      <w:r>
        <w:t>о</w:t>
      </w:r>
      <w:r>
        <w:t>жение и половая ориентация. Положения этого Закона применяются в отнош</w:t>
      </w:r>
      <w:r>
        <w:t>е</w:t>
      </w:r>
      <w:r>
        <w:t>нии государственного и частных секторов. В отношении последнего в части II Закона устанавливаются шесть широких областей, в которых дискриминация является незаконной, а именно: занятость (включая период, предшествующий найму); партнерские отношения; деятельность производственных и профе</w:t>
      </w:r>
      <w:r>
        <w:t>с</w:t>
      </w:r>
      <w:r>
        <w:t>сиональных ассоциаций; квалификационных органов и органов, занимающихся профессиональной подготовкой; доступ к общественным местам, транспор</w:t>
      </w:r>
      <w:r>
        <w:t>т</w:t>
      </w:r>
      <w:r>
        <w:t>ным средствами или услугам; предоставление товаров и услуг; предоставление земли, жилья и других помещений и доступ к учебным заведениям. Закон та</w:t>
      </w:r>
      <w:r>
        <w:t>к</w:t>
      </w:r>
      <w:r>
        <w:t>же содержит положения, касающиеся расовых трений, сексуальных домог</w:t>
      </w:r>
      <w:r>
        <w:t>а</w:t>
      </w:r>
      <w:r>
        <w:t>тельств и р</w:t>
      </w:r>
      <w:r>
        <w:t>а</w:t>
      </w:r>
      <w:r>
        <w:t xml:space="preserve">совых притеснений. </w:t>
      </w:r>
    </w:p>
    <w:p w:rsidR="00000000" w:rsidRDefault="00000000">
      <w:pPr>
        <w:pStyle w:val="SingleTxt"/>
      </w:pPr>
      <w:r>
        <w:tab/>
        <w:t>73.</w:t>
      </w:r>
      <w:r>
        <w:tab/>
        <w:t>Что касается государственного сектора, то большая часть деятельн</w:t>
      </w:r>
      <w:r>
        <w:t>о</w:t>
      </w:r>
      <w:r>
        <w:t>сти регулируется частью 1А закона, которая включает в себя недискриминац</w:t>
      </w:r>
      <w:r>
        <w:t>и</w:t>
      </w:r>
      <w:r>
        <w:t>онные стандарты, разработанные в соответствии с новозеландским законом, касающимся Билля о правах 1990 года, в силу чего допускается подача жалоб на проявления дискриминации в государственном секторе на основе финанс</w:t>
      </w:r>
      <w:r>
        <w:t>и</w:t>
      </w:r>
      <w:r>
        <w:t>руемого правительством процесса разрешения споров. Вместе с тем, прав</w:t>
      </w:r>
      <w:r>
        <w:t>и</w:t>
      </w:r>
      <w:r>
        <w:t>тельственная политика и практика в области занятости, а также связанные с ней вопросы расовых и сексуальных притеснений, домогательств и преслед</w:t>
      </w:r>
      <w:r>
        <w:t>о</w:t>
      </w:r>
      <w:r>
        <w:t>ваний по-прежнему регулируются тем же стандартом, что и деятельность в ч</w:t>
      </w:r>
      <w:r>
        <w:t>а</w:t>
      </w:r>
      <w:r>
        <w:t>стном секторе, о которой говорится в части II закона о правах человека.</w:t>
      </w:r>
    </w:p>
    <w:p w:rsidR="00000000" w:rsidRDefault="00000000">
      <w:pPr>
        <w:pStyle w:val="SingleTxt"/>
      </w:pPr>
      <w:r>
        <w:tab/>
        <w:t>74.</w:t>
      </w:r>
      <w:r>
        <w:tab/>
        <w:t>Закон о правах человека регулирует также деятельность Комиссии по правам человека и требует, чтобы в стратегическом плане она была сосредот</w:t>
      </w:r>
      <w:r>
        <w:t>о</w:t>
      </w:r>
      <w:r>
        <w:t>чена на общих правах человека (а не только на вопросах борьбы с дискримин</w:t>
      </w:r>
      <w:r>
        <w:t>а</w:t>
      </w:r>
      <w:r>
        <w:t>цией), образовании и пропаганде. После принятии закона о поправках к зак</w:t>
      </w:r>
      <w:r>
        <w:t>о</w:t>
      </w:r>
      <w:r>
        <w:t>нодательству о правах человека 2001 года включение в состав Комиссии К</w:t>
      </w:r>
      <w:r>
        <w:t>о</w:t>
      </w:r>
      <w:r>
        <w:t>миссара по межрасовым отношениям (который ранее именовался посредником по межрасовым отношениям) удовлетворяет потребности в применении цел</w:t>
      </w:r>
      <w:r>
        <w:t>о</w:t>
      </w:r>
      <w:r>
        <w:t>стного подхода к вопросам прав человека путем введения единой процедуры подачи жалоб в случае проявления дискриминации по всем запрещенным пр</w:t>
      </w:r>
      <w:r>
        <w:t>и</w:t>
      </w:r>
      <w:r>
        <w:t>знакам, как в частном, так и в государственном секторах, при одновременном признании, что межрасовые отношения занимают исключительно важное место в сфере прав человека в Новой Зеландии. Подобным образом введение новой должности Комиссара по обеспечению равных возможностей для занятости способствует дальнейшему совершенствованию основополагающих принципов и добровольных кодексов практики в целях внедрения и распространения пер</w:t>
      </w:r>
      <w:r>
        <w:t>е</w:t>
      </w:r>
      <w:r>
        <w:t>довой практики в сфере создания равных возможностей для занятости (вкл</w:t>
      </w:r>
      <w:r>
        <w:t>ю</w:t>
      </w:r>
      <w:r>
        <w:t>чая равную оплату труда).</w:t>
      </w:r>
    </w:p>
    <w:p w:rsidR="00000000" w:rsidRDefault="00000000">
      <w:pPr>
        <w:pStyle w:val="SingleTxt"/>
      </w:pPr>
      <w:r>
        <w:tab/>
        <w:t>75.</w:t>
      </w:r>
      <w:r>
        <w:tab/>
        <w:t>В соответствии с законом о правах человека Комиссия по правам ч</w:t>
      </w:r>
      <w:r>
        <w:t>е</w:t>
      </w:r>
      <w:r>
        <w:t>ловека обязана также разработать национальный план действий в консультации с заинтересованными сторонами в интересах поощрения и защиты прав чел</w:t>
      </w:r>
      <w:r>
        <w:t>о</w:t>
      </w:r>
      <w:r>
        <w:t>века в Новой Зеландии. Кроме того, правительство приступило к осуществл</w:t>
      </w:r>
      <w:r>
        <w:t>е</w:t>
      </w:r>
      <w:r>
        <w:t>нию программы работы по изучению путей и возможностей должного учета вопросов прав человека при разработке политики, что способствует укрепл</w:t>
      </w:r>
      <w:r>
        <w:t>е</w:t>
      </w:r>
      <w:r>
        <w:t>нию культуры прав человека в органах государственного управления. Ведущая роль в межведомственной работе в рамках этого проекта принадлежит Мин</w:t>
      </w:r>
      <w:r>
        <w:t>и</w:t>
      </w:r>
      <w:r>
        <w:t>стерству ю</w:t>
      </w:r>
      <w:r>
        <w:t>с</w:t>
      </w:r>
      <w:r>
        <w:t>тиции.</w:t>
      </w:r>
    </w:p>
    <w:p w:rsidR="00000000" w:rsidRDefault="00000000">
      <w:pPr>
        <w:pStyle w:val="H4"/>
      </w:pPr>
      <w:r>
        <w:t>Закон об омбудсмене 1975 года</w:t>
      </w:r>
    </w:p>
    <w:p w:rsidR="00000000" w:rsidRDefault="00000000">
      <w:pPr>
        <w:pStyle w:val="SingleTxt"/>
      </w:pPr>
      <w:r>
        <w:tab/>
        <w:t>76.</w:t>
      </w:r>
      <w:r>
        <w:tab/>
        <w:t>Этот закон предусматривает назначение омбудсмена генерал-губернатором по рекомендации палаты представителей. Омбудсмен может ра</w:t>
      </w:r>
      <w:r>
        <w:t>с</w:t>
      </w:r>
      <w:r>
        <w:t>следовать любое решение или рекомендацию или любое действие или упущ</w:t>
      </w:r>
      <w:r>
        <w:t>е</w:t>
      </w:r>
      <w:r>
        <w:t>ние, касающееся административных вопросов и затрагивающее любое физич</w:t>
      </w:r>
      <w:r>
        <w:t>е</w:t>
      </w:r>
      <w:r>
        <w:t>ское или юридическое лицо в его личном качестве в результате действий люб</w:t>
      </w:r>
      <w:r>
        <w:t>о</w:t>
      </w:r>
      <w:r>
        <w:t>го министра Короны, департамента правительства или других определенных организаций, которые перечислены в приложении к закону. Такие расследов</w:t>
      </w:r>
      <w:r>
        <w:t>а</w:t>
      </w:r>
      <w:r>
        <w:t>ния проводятся на основании жалобы любого лица или по рекомендации сам</w:t>
      </w:r>
      <w:r>
        <w:t>о</w:t>
      </w:r>
      <w:r>
        <w:t>го омбудсмена. Он может представлять такие рекомендации, которые она или он считает целесообразными, и препровождать их в соответствующее ведомс</w:t>
      </w:r>
      <w:r>
        <w:t>т</w:t>
      </w:r>
      <w:r>
        <w:t>во или организацию, а также (в случае необходимости) министру юстиции. Е</w:t>
      </w:r>
      <w:r>
        <w:t>с</w:t>
      </w:r>
      <w:r>
        <w:t>ли рекомендованные меры не принимаются в течение разумного периода вр</w:t>
      </w:r>
      <w:r>
        <w:t>е</w:t>
      </w:r>
      <w:r>
        <w:t>мени, то соответствующий доклад может быть направлен премьер-министру и в палату пре</w:t>
      </w:r>
      <w:r>
        <w:t>д</w:t>
      </w:r>
      <w:r>
        <w:t xml:space="preserve">ставителей. </w:t>
      </w:r>
    </w:p>
    <w:p w:rsidR="00000000" w:rsidRDefault="00000000">
      <w:pPr>
        <w:pStyle w:val="SingleTxt"/>
      </w:pPr>
      <w:r>
        <w:tab/>
        <w:t>77.</w:t>
      </w:r>
      <w:r>
        <w:tab/>
        <w:t>В случае, когда законами предусматривается создание новых орг</w:t>
      </w:r>
      <w:r>
        <w:t>а</w:t>
      </w:r>
      <w:r>
        <w:t>нов, рассматривается вопрос о целесообразности включении их в приложения к закону об омбудсмене 1975 года и закону об официальной информации 1982 года.</w:t>
      </w:r>
    </w:p>
    <w:p w:rsidR="00000000" w:rsidRDefault="00000000">
      <w:pPr>
        <w:pStyle w:val="H4"/>
      </w:pPr>
      <w:r>
        <w:t>Закон об официальной информации 1982 года</w:t>
      </w:r>
    </w:p>
    <w:p w:rsidR="00000000" w:rsidRDefault="00000000">
      <w:pPr>
        <w:pStyle w:val="SingleTxt"/>
      </w:pPr>
      <w:r>
        <w:tab/>
        <w:t>78.</w:t>
      </w:r>
      <w:r>
        <w:tab/>
        <w:t>Закон направлен на упрощение процедур доступа к официальной информации, защиту официальной информации в той степени, в которой это соответствует интересам государства, обеспечение невмешательства в личную жизнь, а также закрепление для этих целей определенных процедур. Общее о</w:t>
      </w:r>
      <w:r>
        <w:t>п</w:t>
      </w:r>
      <w:r>
        <w:t>ределение официальной информации приводится в статье 2 закона, а органы, на которые распространяется его действие, перечислены в приложении к нему, а также к закону об омбудсмене. В целом закон распространяется на минис</w:t>
      </w:r>
      <w:r>
        <w:t>т</w:t>
      </w:r>
      <w:r>
        <w:t>ров, правительственные ведомства и все правительственные учреждения.</w:t>
      </w:r>
    </w:p>
    <w:p w:rsidR="00000000" w:rsidRDefault="00000000">
      <w:pPr>
        <w:pStyle w:val="SingleTxt"/>
      </w:pPr>
      <w:r>
        <w:tab/>
        <w:t>79.</w:t>
      </w:r>
      <w:r>
        <w:tab/>
        <w:t>Частные лица и некоторые юридические лица могут обращаться с просьбами о предоставлении им официальной информации. Официальная и</w:t>
      </w:r>
      <w:r>
        <w:t>н</w:t>
      </w:r>
      <w:r>
        <w:t>формация должна быть предоставлена, если только не существует обоснова</w:t>
      </w:r>
      <w:r>
        <w:t>н</w:t>
      </w:r>
      <w:r>
        <w:t>ной причины (как она определяется в законе) для ее неразглашения. Омбу</w:t>
      </w:r>
      <w:r>
        <w:t>д</w:t>
      </w:r>
      <w:r>
        <w:t>смены могут расследовать и рассматривать любой отказ со стороны того или иного ведомства, министерства или организации в предоставлении испраш</w:t>
      </w:r>
      <w:r>
        <w:t>и</w:t>
      </w:r>
      <w:r>
        <w:t>ваемой официальной информации. После этого они представляют соответс</w:t>
      </w:r>
      <w:r>
        <w:t>т</w:t>
      </w:r>
      <w:r>
        <w:t>вующим органам свои рекомендации. Ведомства, министерства и организации обязаны по закону следовать всем рекомендациям, за исключением тех случаев, когда генерал-губернатор на основании указа, принятого в консультации с С</w:t>
      </w:r>
      <w:r>
        <w:t>о</w:t>
      </w:r>
      <w:r>
        <w:t>ветом, распоряжается об ином. Лицо, обратившееся с первоначальной прос</w:t>
      </w:r>
      <w:r>
        <w:t>ь</w:t>
      </w:r>
      <w:r>
        <w:t>бой, имеет право обжаловать данный указ в Высшем суде и направить апелл</w:t>
      </w:r>
      <w:r>
        <w:t>я</w:t>
      </w:r>
      <w:r>
        <w:t>цию в Апелляционный суд.</w:t>
      </w:r>
    </w:p>
    <w:p w:rsidR="00000000" w:rsidRDefault="00000000">
      <w:pPr>
        <w:pStyle w:val="SingleTxt"/>
      </w:pPr>
      <w:r>
        <w:tab/>
        <w:t>80.</w:t>
      </w:r>
      <w:r>
        <w:tab/>
        <w:t>Закон 1987 года об официальной информации и собраниях местных органов власти является аналогичным законодательным актом, касающимся официальной информации, которая имеется в распоряжении местных органов вл</w:t>
      </w:r>
      <w:r>
        <w:t>а</w:t>
      </w:r>
      <w:r>
        <w:t>сти.</w:t>
      </w:r>
    </w:p>
    <w:p w:rsidR="00000000" w:rsidRDefault="00000000">
      <w:pPr>
        <w:pStyle w:val="H4"/>
      </w:pPr>
      <w:r>
        <w:t>Закон о невмешательстве в личную жизнь 1993 года</w:t>
      </w:r>
    </w:p>
    <w:p w:rsidR="00000000" w:rsidRDefault="00000000">
      <w:pPr>
        <w:pStyle w:val="SingleTxt"/>
      </w:pPr>
      <w:r>
        <w:tab/>
        <w:t>81.</w:t>
      </w:r>
      <w:r>
        <w:tab/>
        <w:t>Этот закон среди прочего:</w:t>
      </w:r>
    </w:p>
    <w:p w:rsidR="00000000" w:rsidRDefault="00000000">
      <w:pPr>
        <w:pStyle w:val="SingleTxt"/>
        <w:ind w:left="2217" w:hanging="953"/>
      </w:pPr>
      <w:r>
        <w:tab/>
      </w:r>
      <w:r>
        <w:tab/>
      </w:r>
      <w:r>
        <w:tab/>
        <w:t>(а)</w:t>
      </w:r>
      <w:r>
        <w:tab/>
        <w:t>сохраняет положения о введении должности уполномоченного по вопросам невмешательства в личную жизнь, содержавшиеся в з</w:t>
      </w:r>
      <w:r>
        <w:t>а</w:t>
      </w:r>
      <w:r>
        <w:t>коне об уполномоченном по вопросам невмешательства в личную жизнь 1991 года;</w:t>
      </w:r>
    </w:p>
    <w:p w:rsidR="00000000" w:rsidRDefault="00000000">
      <w:pPr>
        <w:pStyle w:val="SingleTxt"/>
        <w:ind w:left="2217" w:hanging="953"/>
      </w:pPr>
      <w:r>
        <w:tab/>
      </w:r>
      <w:r>
        <w:tab/>
      </w:r>
      <w:r>
        <w:tab/>
        <w:t>(b)</w:t>
      </w:r>
      <w:r>
        <w:tab/>
        <w:t>Закрепляет 12 принципов, касающихся неразглашения инфо</w:t>
      </w:r>
      <w:r>
        <w:t>р</w:t>
      </w:r>
      <w:r>
        <w:t>мации в о</w:t>
      </w:r>
      <w:r>
        <w:t>т</w:t>
      </w:r>
      <w:r>
        <w:t>ношении:</w:t>
      </w:r>
    </w:p>
    <w:p w:rsidR="00000000" w:rsidRDefault="00000000">
      <w:pPr>
        <w:pStyle w:val="SingleTxt"/>
        <w:tabs>
          <w:tab w:val="clear" w:pos="1267"/>
        </w:tabs>
        <w:ind w:left="3261" w:hanging="567"/>
      </w:pPr>
      <w:r>
        <w:t>(i)</w:t>
      </w:r>
      <w:r>
        <w:tab/>
        <w:t>сбора, использования и разглашения государственными и частными учреждениями информации, касающейся час</w:t>
      </w:r>
      <w:r>
        <w:t>т</w:t>
      </w:r>
      <w:r>
        <w:t>ных лиц;</w:t>
      </w:r>
    </w:p>
    <w:p w:rsidR="00000000" w:rsidRDefault="00000000">
      <w:pPr>
        <w:pStyle w:val="SingleTxt"/>
        <w:tabs>
          <w:tab w:val="clear" w:pos="1267"/>
        </w:tabs>
        <w:ind w:left="3261" w:hanging="567"/>
      </w:pPr>
      <w:r>
        <w:t>(ii)</w:t>
      </w:r>
      <w:r>
        <w:tab/>
        <w:t>доступа к личной информации, находящейся в распоряж</w:t>
      </w:r>
      <w:r>
        <w:t>е</w:t>
      </w:r>
      <w:r>
        <w:t>нии государственных и частных учреждений, и просьб о ее исправлении;</w:t>
      </w:r>
    </w:p>
    <w:p w:rsidR="00000000" w:rsidRDefault="00000000">
      <w:pPr>
        <w:pStyle w:val="SingleTxt"/>
        <w:ind w:left="2217" w:hanging="953"/>
      </w:pPr>
      <w:r>
        <w:tab/>
      </w:r>
      <w:r>
        <w:tab/>
      </w:r>
      <w:r>
        <w:tab/>
        <w:t>(с)</w:t>
      </w:r>
      <w:r>
        <w:tab/>
        <w:t>Устанавливает четыре принципа о неразглашении информации, содержащейся в государственных регистрах, в соответствии с кот</w:t>
      </w:r>
      <w:r>
        <w:t>о</w:t>
      </w:r>
      <w:r>
        <w:t>рыми определяется порядок доступа к личной информации из гос</w:t>
      </w:r>
      <w:r>
        <w:t>у</w:t>
      </w:r>
      <w:r>
        <w:t>дарстве</w:t>
      </w:r>
      <w:r>
        <w:t>н</w:t>
      </w:r>
      <w:r>
        <w:t>ных регистров;</w:t>
      </w:r>
    </w:p>
    <w:p w:rsidR="00000000" w:rsidRDefault="00000000">
      <w:pPr>
        <w:pStyle w:val="SingleTxt"/>
        <w:ind w:left="2217" w:hanging="953"/>
      </w:pPr>
      <w:r>
        <w:tab/>
      </w:r>
      <w:r>
        <w:tab/>
      </w:r>
      <w:r>
        <w:tab/>
        <w:t>(d)</w:t>
      </w:r>
      <w:r>
        <w:tab/>
        <w:t>Применяет данные принципы как к государственному, так и ч</w:t>
      </w:r>
      <w:r>
        <w:t>а</w:t>
      </w:r>
      <w:r>
        <w:t>стн</w:t>
      </w:r>
      <w:r>
        <w:t>о</w:t>
      </w:r>
      <w:r>
        <w:t>му сектору;</w:t>
      </w:r>
    </w:p>
    <w:p w:rsidR="00000000" w:rsidRDefault="00000000">
      <w:pPr>
        <w:pStyle w:val="SingleTxt"/>
        <w:ind w:left="2217" w:hanging="953"/>
      </w:pPr>
      <w:r>
        <w:tab/>
      </w:r>
      <w:r>
        <w:tab/>
      </w:r>
      <w:r>
        <w:tab/>
        <w:t>(е)</w:t>
      </w:r>
      <w:r>
        <w:tab/>
        <w:t>Наделяет уполномоченного по вопросам невмешательства в личную жизнь юрисдикцией в отношении разрешения отступлений от некоторых принципов, главным образом, посредством принятия соответствующих кодексов п</w:t>
      </w:r>
      <w:r>
        <w:t>о</w:t>
      </w:r>
      <w:r>
        <w:t>ведения;</w:t>
      </w:r>
    </w:p>
    <w:p w:rsidR="00000000" w:rsidRDefault="00000000">
      <w:pPr>
        <w:pStyle w:val="SingleTxt"/>
        <w:ind w:left="2217" w:hanging="953"/>
      </w:pPr>
      <w:r>
        <w:tab/>
      </w:r>
      <w:r>
        <w:tab/>
      </w:r>
      <w:r>
        <w:tab/>
        <w:t>(f)</w:t>
      </w:r>
      <w:r>
        <w:tab/>
        <w:t>Определяет механизмы контроля в отношении сопоставления информации с целью обеспечения соответствия законодательным положениям, применяемым в государстве</w:t>
      </w:r>
      <w:r>
        <w:t>н</w:t>
      </w:r>
      <w:r>
        <w:t>ном секторе; и</w:t>
      </w:r>
    </w:p>
    <w:p w:rsidR="00000000" w:rsidRDefault="00000000">
      <w:pPr>
        <w:pStyle w:val="SingleTxt"/>
        <w:ind w:left="2217" w:hanging="953"/>
      </w:pPr>
      <w:r>
        <w:tab/>
      </w:r>
      <w:r>
        <w:tab/>
      </w:r>
      <w:r>
        <w:tab/>
        <w:t>(g)</w:t>
      </w:r>
      <w:r>
        <w:tab/>
        <w:t>Позволяет частным лицам обращаться с жалобами к уполном</w:t>
      </w:r>
      <w:r>
        <w:t>о</w:t>
      </w:r>
      <w:r>
        <w:t>ченному по вопросам невмешательства в личную жизнь, если они считают, что их личная жизнь подверглась вмешательству. Основной целью порядка подачи и рассмотрения жалоб, предусмотренного в Законе о невмешательстве в личную жизнь, является рассмотрение жалоб уполномоченным по вопросам невмешательства в личную жизнь и достижение, по возможности, их урегулирования. Вместе с тем, если жалоба остается неудовлетворенной, существует возмо</w:t>
      </w:r>
      <w:r>
        <w:t>ж</w:t>
      </w:r>
      <w:r>
        <w:t>ность обращения с гражданским иском в трибунал по рассмотрению жалоб на нарушение прав чел</w:t>
      </w:r>
      <w:r>
        <w:t>о</w:t>
      </w:r>
      <w:r>
        <w:t>века.</w:t>
      </w:r>
    </w:p>
    <w:p w:rsidR="00000000" w:rsidRDefault="00000000">
      <w:pPr>
        <w:pStyle w:val="SingleTxt"/>
        <w:ind w:left="2217" w:hanging="953"/>
      </w:pPr>
      <w:r>
        <w:tab/>
      </w:r>
      <w:r>
        <w:tab/>
      </w:r>
      <w:r>
        <w:tab/>
        <w:t>(h)</w:t>
      </w:r>
      <w:r>
        <w:tab/>
        <w:t>Наделяет уполномоченного по вопросам невмешательства в личную жизнь правами осуществлять общее наблюдение и предста</w:t>
      </w:r>
      <w:r>
        <w:t>в</w:t>
      </w:r>
      <w:r>
        <w:t>лять доклады в связи с политическими и законодательными предл</w:t>
      </w:r>
      <w:r>
        <w:t>о</w:t>
      </w:r>
      <w:r>
        <w:t>жениями, имеющими после</w:t>
      </w:r>
      <w:r>
        <w:t>д</w:t>
      </w:r>
      <w:r>
        <w:t>ствия для личной жизни.</w:t>
      </w:r>
    </w:p>
    <w:p w:rsidR="00000000" w:rsidRDefault="00000000">
      <w:pPr>
        <w:pStyle w:val="H4"/>
        <w:ind w:left="1264" w:firstLine="0"/>
      </w:pPr>
      <w:r>
        <w:t>Закон о создании органа по рассмотрению жалоб на действия полиции 1988 года</w:t>
      </w:r>
    </w:p>
    <w:p w:rsidR="00000000" w:rsidRDefault="00000000">
      <w:pPr>
        <w:pStyle w:val="SingleTxt"/>
      </w:pPr>
      <w:r>
        <w:tab/>
        <w:t>82.</w:t>
      </w:r>
      <w:r>
        <w:tab/>
        <w:t>Закон предусматривает расследование и урегулирование жалоб в о</w:t>
      </w:r>
      <w:r>
        <w:t>т</w:t>
      </w:r>
      <w:r>
        <w:t>ношении полиции путем создания органа по рассмотрению жалоб на действия полиции. Такой Орган может получать жалобы, в которых выдвигаются пре</w:t>
      </w:r>
      <w:r>
        <w:t>д</w:t>
      </w:r>
      <w:r>
        <w:t>положения о случаях ненадлежащего поведения или неисполнения служебных обязанностей любым сотрудником полиции или в отношении процедур, прим</w:t>
      </w:r>
      <w:r>
        <w:t>е</w:t>
      </w:r>
      <w:r>
        <w:t>няемых полицией. Этот Орган может сам рассматривать поступающие жалобы, или же по его поручению это может делать уполномоченный по делам пол</w:t>
      </w:r>
      <w:r>
        <w:t>и</w:t>
      </w:r>
      <w:r>
        <w:t>ции. Если Орган сам расследует жалобу, то он сообщает свои мнения и рек</w:t>
      </w:r>
      <w:r>
        <w:t>о</w:t>
      </w:r>
      <w:r>
        <w:t>мендации уполномоченному по делам полиции. Если же уполномоченный по делам полиции расследует жалобу по поручению Органа, то последний ра</w:t>
      </w:r>
      <w:r>
        <w:t>с</w:t>
      </w:r>
      <w:r>
        <w:t>сматривает результаты расследования и может согласиться с решением упо</w:t>
      </w:r>
      <w:r>
        <w:t>л</w:t>
      </w:r>
      <w:r>
        <w:t>номоченного либо внести рекомендации, в том числе о возможности рассмо</w:t>
      </w:r>
      <w:r>
        <w:t>т</w:t>
      </w:r>
      <w:r>
        <w:t>рения вопроса о дисциплинарных мерах или уголовном преследовании или возбуждении последнего. Если в течение разумного периода времени не пр</w:t>
      </w:r>
      <w:r>
        <w:t>и</w:t>
      </w:r>
      <w:r>
        <w:t>нимается каких-либо адекватных и надлежащих мер, то мнения и рекоменд</w:t>
      </w:r>
      <w:r>
        <w:t>а</w:t>
      </w:r>
      <w:r>
        <w:t>ции могут быть направлены генеральному прокурору и министру полиции, а также, когда это нео</w:t>
      </w:r>
      <w:r>
        <w:t>б</w:t>
      </w:r>
      <w:r>
        <w:t>ходимо, переданы в палату представителей.</w:t>
      </w:r>
    </w:p>
    <w:p w:rsidR="00000000" w:rsidRDefault="00000000">
      <w:pPr>
        <w:pStyle w:val="SingleTxt"/>
      </w:pPr>
      <w:r>
        <w:tab/>
        <w:t>83.</w:t>
      </w:r>
      <w:r>
        <w:tab/>
        <w:t>В апреле 2001 года правительство объявило о решениях, направле</w:t>
      </w:r>
      <w:r>
        <w:t>н</w:t>
      </w:r>
      <w:r>
        <w:t>ных на расширение полномочий Органа по проведению независимых расслед</w:t>
      </w:r>
      <w:r>
        <w:t>о</w:t>
      </w:r>
      <w:r>
        <w:t>ваний. Хотя для осуществления этого решения не требуется внесения поправок в законодательство, тем не менее необходимо принять законодательные акты, изменяющие название Органа на Независимый орган по рассмотрению жалоб на действия пол</w:t>
      </w:r>
      <w:r>
        <w:t>и</w:t>
      </w:r>
      <w:r>
        <w:t xml:space="preserve">ции, и расширяющие его членский состав. </w:t>
      </w:r>
    </w:p>
    <w:p w:rsidR="00000000" w:rsidRDefault="00000000">
      <w:pPr>
        <w:pStyle w:val="H4"/>
      </w:pPr>
      <w:r>
        <w:t>Закон о детях, молодежи и их семьях 1989 года</w:t>
      </w:r>
    </w:p>
    <w:p w:rsidR="00000000" w:rsidRDefault="00000000">
      <w:pPr>
        <w:pStyle w:val="SingleTxt"/>
      </w:pPr>
      <w:r>
        <w:tab/>
        <w:t>84.</w:t>
      </w:r>
      <w:r>
        <w:tab/>
        <w:t>Этим законом, среди прочего, предусмотрено создание должности уполномоченного по вопросам детей. Уполномоченный имеет широкий круг обязанностей, целью которых является укрепление и обеспечение благопол</w:t>
      </w:r>
      <w:r>
        <w:t>у</w:t>
      </w:r>
      <w:r>
        <w:t>чия детей и молодежи. Его работа основана на положениях Конвенции о правах р</w:t>
      </w:r>
      <w:r>
        <w:t>е</w:t>
      </w:r>
      <w:r>
        <w:t>бенка.</w:t>
      </w:r>
    </w:p>
    <w:p w:rsidR="00000000" w:rsidRDefault="00000000">
      <w:pPr>
        <w:pStyle w:val="H4"/>
      </w:pPr>
      <w:r>
        <w:t>Закон об уполномоченном по вопросам здоровья и инвалидности 1994 года</w:t>
      </w:r>
    </w:p>
    <w:p w:rsidR="00000000" w:rsidRDefault="00000000">
      <w:pPr>
        <w:pStyle w:val="SingleTxt"/>
      </w:pPr>
      <w:r>
        <w:tab/>
        <w:t>85.</w:t>
      </w:r>
      <w:r>
        <w:tab/>
        <w:t>В соответствии со статьей 8 вышеуказанного закона учреждена должность уполномоченного по вопросам здоровья и инвалидности. Уполн</w:t>
      </w:r>
      <w:r>
        <w:t>о</w:t>
      </w:r>
      <w:r>
        <w:t>моченный отвечает за поощрение и защиту прав потребителей услуг, предл</w:t>
      </w:r>
      <w:r>
        <w:t>а</w:t>
      </w:r>
      <w:r>
        <w:t>гаемых службами здравоохранения и помощи инвалидам посредством просв</w:t>
      </w:r>
      <w:r>
        <w:t>е</w:t>
      </w:r>
      <w:r>
        <w:t>тительской деятельности и урегулировании жалоб. Соответствующие права п</w:t>
      </w:r>
      <w:r>
        <w:t>е</w:t>
      </w:r>
      <w:r>
        <w:t>речислены в принятом согласно закону кодексе прав потребителей услуг, пр</w:t>
      </w:r>
      <w:r>
        <w:t>е</w:t>
      </w:r>
      <w:r>
        <w:t>доставляемых службами здравоохранения и помощи инвалидам, который вст</w:t>
      </w:r>
      <w:r>
        <w:t>у</w:t>
      </w:r>
      <w:r>
        <w:t>пил в силу в июле 1996 года.</w:t>
      </w:r>
    </w:p>
    <w:p w:rsidR="00000000" w:rsidRDefault="00000000">
      <w:pPr>
        <w:pStyle w:val="SingleTxt"/>
      </w:pPr>
      <w:r>
        <w:tab/>
        <w:t>86.</w:t>
      </w:r>
      <w:r>
        <w:tab/>
        <w:t>Комиссия по правам человека, уполномоченный по вопросам невм</w:t>
      </w:r>
      <w:r>
        <w:t>е</w:t>
      </w:r>
      <w:r>
        <w:t>шательства в личную жизнь и Орган по рассмотрению жалоб на действия п</w:t>
      </w:r>
      <w:r>
        <w:t>о</w:t>
      </w:r>
      <w:r>
        <w:t>лиции ежегодно представляют министру юстиции доклады об осуществлении ими своих функций согласно соответствующим законам. По их поручению м</w:t>
      </w:r>
      <w:r>
        <w:t>и</w:t>
      </w:r>
      <w:r>
        <w:t xml:space="preserve">нистр юстиции передает их в парламент. Омбудсмены представляют ежегодные доклады палате представителей. </w:t>
      </w:r>
    </w:p>
    <w:p w:rsidR="00000000" w:rsidRDefault="00000000">
      <w:pPr>
        <w:pStyle w:val="H23"/>
      </w:pPr>
      <w:r>
        <w:t>В.</w:t>
      </w:r>
      <w:r>
        <w:tab/>
        <w:t xml:space="preserve">Информация о средствах правовой защиты, имеющихся </w:t>
      </w:r>
      <w:r>
        <w:br/>
        <w:t>в распоряжении любого лица, утве</w:t>
      </w:r>
      <w:r>
        <w:t>р</w:t>
      </w:r>
      <w:r>
        <w:t xml:space="preserve">ждающего, что какое-либо из его </w:t>
      </w:r>
      <w:r>
        <w:br/>
        <w:t>или ее прав было нарушено, а также о существующих механизмах компенсации и ре</w:t>
      </w:r>
      <w:r>
        <w:t>а</w:t>
      </w:r>
      <w:r>
        <w:t>билитации для потерпевших</w:t>
      </w:r>
    </w:p>
    <w:p w:rsidR="00000000" w:rsidRDefault="00000000">
      <w:pPr>
        <w:pStyle w:val="SingleTxt"/>
      </w:pPr>
      <w:r>
        <w:tab/>
        <w:t>87.</w:t>
      </w:r>
      <w:r>
        <w:tab/>
        <w:t>Как указано выше, лица, считающие, что какое-либо из их прав, пр</w:t>
      </w:r>
      <w:r>
        <w:t>е</w:t>
      </w:r>
      <w:r>
        <w:t>дусмотренных законом о Билле о правах было нарушено, могут подать иск на действия Короны. На случай таких нарушений предусмотрен целый ряд во</w:t>
      </w:r>
      <w:r>
        <w:t>з</w:t>
      </w:r>
      <w:r>
        <w:t>можных средств правовой защиты, включая возмещение ущерба и распоряж</w:t>
      </w:r>
      <w:r>
        <w:t>е</w:t>
      </w:r>
      <w:r>
        <w:t>ние о неприемлемости доказательств, полученных в результате необоснованн</w:t>
      </w:r>
      <w:r>
        <w:t>о</w:t>
      </w:r>
      <w:r>
        <w:t>го обыска.</w:t>
      </w:r>
    </w:p>
    <w:p w:rsidR="00000000" w:rsidRDefault="00000000">
      <w:pPr>
        <w:pStyle w:val="SingleTxt"/>
      </w:pPr>
      <w:r>
        <w:tab/>
        <w:t>88.</w:t>
      </w:r>
      <w:r>
        <w:tab/>
        <w:t>В соответствии с Законом о правах человека 1993 года решения по жалобам в отношении случаев незаконной дискриминации могут приниматься в рамках механизма рассмотрения жалоб, предусмотренного Комиссией по правам человека. Комиссия стремиться содействовать сторонам в разрешении жалобы путем применения гибкого и оперативного подхода к разрешению сп</w:t>
      </w:r>
      <w:r>
        <w:t>о</w:t>
      </w:r>
      <w:r>
        <w:t>ра, включая посреднические услуги и другие упрощенные механизмы разреш</w:t>
      </w:r>
      <w:r>
        <w:t>е</w:t>
      </w:r>
      <w:r>
        <w:t>ния споров. Если последние не дают результата или не могут быть применены, то истцы могут представлять свою жалобу на рассмотрение трибуналу по ра</w:t>
      </w:r>
      <w:r>
        <w:t>с</w:t>
      </w:r>
      <w:r>
        <w:t>смотрению жалоб на нарушение прав человека (который ранее именовался трибуналом по рассмотрению жалоб). Директор по разбирательству вопросов прав человека (самостоятельная должность в Комиссии по правам человека), который бесплатно представляет интересы истцов во время разбирательства, если они отвечают определенным критериям, может выступать в качестве представителя истца. В противном случае истцы могут обратиться сами в Тр</w:t>
      </w:r>
      <w:r>
        <w:t>и</w:t>
      </w:r>
      <w:r>
        <w:t>бунал или нанять собственного адвоката.</w:t>
      </w:r>
    </w:p>
    <w:p w:rsidR="00000000" w:rsidRDefault="00000000">
      <w:pPr>
        <w:pStyle w:val="SingleTxt"/>
      </w:pPr>
      <w:r>
        <w:tab/>
        <w:t>89.</w:t>
      </w:r>
      <w:r>
        <w:tab/>
        <w:t>Если жалоба признается законной в трибунале по рассмотрению н</w:t>
      </w:r>
      <w:r>
        <w:t>а</w:t>
      </w:r>
      <w:r>
        <w:t>рушений прав человека, включая жалобы на политику и практику правительс</w:t>
      </w:r>
      <w:r>
        <w:t>т</w:t>
      </w:r>
      <w:r>
        <w:t>ва, то имеется широкий круг средств правовой защиты, включая компенсацию за ущерб или распоряжения о принятии конкретных мер. Если жалоба касается законодательства или должным образом введенных в действие нормативных актов и признается обоснованной, то единственным средством правовой защ</w:t>
      </w:r>
      <w:r>
        <w:t>и</w:t>
      </w:r>
      <w:r>
        <w:t>ты является провозглашение такого законодательного акта недействительным. Это не означает, что тот или иной законодательный акт лишается силы, но, вместе с тем, соответствующий министр обязан довести такое решения до вн</w:t>
      </w:r>
      <w:r>
        <w:t>и</w:t>
      </w:r>
      <w:r>
        <w:t>мания палаты представителей наряду с ответом исполнительной власти на т</w:t>
      </w:r>
      <w:r>
        <w:t>а</w:t>
      </w:r>
      <w:r>
        <w:t>кое решение.</w:t>
      </w:r>
    </w:p>
    <w:p w:rsidR="00000000" w:rsidRDefault="00000000">
      <w:pPr>
        <w:pStyle w:val="SingleTxt"/>
      </w:pPr>
      <w:r>
        <w:tab/>
        <w:t>90.</w:t>
      </w:r>
      <w:r>
        <w:tab/>
        <w:t>Решения трибунала по рассмотрению нарушений прав человека м</w:t>
      </w:r>
      <w:r>
        <w:t>о</w:t>
      </w:r>
      <w:r>
        <w:t>гут обжаловаться в Высшем суде, решение которого является окончательным, или по правовым вопросам – в Апелляцио</w:t>
      </w:r>
      <w:r>
        <w:t>н</w:t>
      </w:r>
      <w:r>
        <w:t>ном суде.</w:t>
      </w:r>
    </w:p>
    <w:p w:rsidR="00000000" w:rsidRDefault="00000000">
      <w:pPr>
        <w:pStyle w:val="SingleTxt"/>
      </w:pPr>
      <w:r>
        <w:tab/>
        <w:t>91.</w:t>
      </w:r>
      <w:r>
        <w:tab/>
        <w:t>Орган по вопросам трудовых отношений и суд по вопросам занят</w:t>
      </w:r>
      <w:r>
        <w:t>о</w:t>
      </w:r>
      <w:r>
        <w:t>сти также обладают определенной компетенцией в отношении жалоб и исков на несоблюдение положений договора о найме. В числе вопросов, охватыва</w:t>
      </w:r>
      <w:r>
        <w:t>е</w:t>
      </w:r>
      <w:r>
        <w:t>мых процедурами рассмотрения жалоб частных лиц, входят вопросы, связа</w:t>
      </w:r>
      <w:r>
        <w:t>н</w:t>
      </w:r>
      <w:r>
        <w:t>ные с неоправданным увольнением, дискриминацией в конкретных областях, неправомерными действиями нанимателя, сексуальным домогательством и жестоким обращением с теми или иными лицами, независимо от того, являю</w:t>
      </w:r>
      <w:r>
        <w:t>т</w:t>
      </w:r>
      <w:r>
        <w:t>ся ли они членами профессиональных организаций или нет. Нельзя одновр</w:t>
      </w:r>
      <w:r>
        <w:t>е</w:t>
      </w:r>
      <w:r>
        <w:t>менно обращаться с жалобой в Комиссию и использовать процедуру рассмо</w:t>
      </w:r>
      <w:r>
        <w:t>т</w:t>
      </w:r>
      <w:r>
        <w:t>рения жалоб частных лиц. Решение трибунала по вопросам трудовых отнош</w:t>
      </w:r>
      <w:r>
        <w:t>е</w:t>
      </w:r>
      <w:r>
        <w:t>ний могут быть обжалованы в суде по вопросам зан</w:t>
      </w:r>
      <w:r>
        <w:t>я</w:t>
      </w:r>
      <w:r>
        <w:t>тости.</w:t>
      </w:r>
    </w:p>
    <w:p w:rsidR="00000000" w:rsidRDefault="00000000">
      <w:pPr>
        <w:pStyle w:val="SingleTxt"/>
      </w:pPr>
      <w:r>
        <w:tab/>
        <w:t>92.</w:t>
      </w:r>
      <w:r>
        <w:tab/>
        <w:t>Наконец, в соответствии со статьями 131 и 134 закона о правах чел</w:t>
      </w:r>
      <w:r>
        <w:t>о</w:t>
      </w:r>
      <w:r>
        <w:t>века районный суд компетентен рассматривать правонарушения, заключа</w:t>
      </w:r>
      <w:r>
        <w:t>ю</w:t>
      </w:r>
      <w:r>
        <w:t>щиеся, соответственно, в подстрекательстве к нарушениям расового согласия и лишении доступа на дискриминационной основе к общественным местам, транспортным средствам или услугам. Преследование лиц, ответственных за такие действия, может осуществляться только с согласия генерального прок</w:t>
      </w:r>
      <w:r>
        <w:t>у</w:t>
      </w:r>
      <w:r>
        <w:t>рора.</w:t>
      </w:r>
    </w:p>
    <w:p w:rsidR="00000000" w:rsidRDefault="00000000">
      <w:pPr>
        <w:pStyle w:val="SingleTxt"/>
      </w:pPr>
      <w:r>
        <w:tab/>
        <w:t>93.</w:t>
      </w:r>
      <w:r>
        <w:tab/>
        <w:t>Граждане Новой Зеландии могут также прибегнуть к применению положений о подаче жалоб в рамках процедур индивидуальных обращений, предусмотренных как в первом Факультативном протоколе к Международному пакту о гражданских и политических правах, так и в Факультативном проток</w:t>
      </w:r>
      <w:r>
        <w:t>о</w:t>
      </w:r>
      <w:r>
        <w:t>ле к Конвенции о ликвидации всех форм дискриминации в отношении женщин. Новая Зеландия также сделала заявление в соответствии со стат</w:t>
      </w:r>
      <w:r>
        <w:t>ь</w:t>
      </w:r>
      <w:r>
        <w:t>ей 22 Конвенции против пыток и других жестоких, бесчеловечных или ун</w:t>
      </w:r>
      <w:r>
        <w:t>и</w:t>
      </w:r>
      <w:r>
        <w:t>жающих достоинство видов обращения или наказания, признав компетенцию Комитета против пыток принимать сообщения от лиц, находящихся под ее юрисдикцией.</w:t>
      </w:r>
    </w:p>
    <w:p w:rsidR="00000000" w:rsidRDefault="00000000">
      <w:pPr>
        <w:pStyle w:val="H23"/>
      </w:pPr>
      <w:r>
        <w:t>С.</w:t>
      </w:r>
      <w:r>
        <w:tab/>
        <w:t xml:space="preserve">Защита прав, провозглашенных в различных договорах по правам человека, обеспечиваемая Конституцией или отдельным Биллем </w:t>
      </w:r>
      <w:r>
        <w:br/>
        <w:t>о правах, а также положения, содержащиеся в Конституции или Билле</w:t>
      </w:r>
      <w:r>
        <w:br/>
        <w:t>о правах в отношении отступлений</w:t>
      </w:r>
    </w:p>
    <w:p w:rsidR="00000000" w:rsidRDefault="00000000">
      <w:pPr>
        <w:pStyle w:val="SingleTxt"/>
      </w:pPr>
      <w:r>
        <w:tab/>
        <w:t>94.</w:t>
      </w:r>
      <w:r>
        <w:tab/>
        <w:t>В Новой Зеландии не существует единого конституционного док</w:t>
      </w:r>
      <w:r>
        <w:t>у</w:t>
      </w:r>
      <w:r>
        <w:t>мента. Конституционное законодательство состоит из закона 1986 года о Ко</w:t>
      </w:r>
      <w:r>
        <w:t>н</w:t>
      </w:r>
      <w:r>
        <w:t>ституции и ряда законодательных актов и норм общего права. Порядок осущ</w:t>
      </w:r>
      <w:r>
        <w:t>е</w:t>
      </w:r>
      <w:r>
        <w:t>ствления этих правовых полномочий определяется конституционными "об</w:t>
      </w:r>
      <w:r>
        <w:t>ы</w:t>
      </w:r>
      <w:r>
        <w:t>чаями", представляющими собой набор, хотя и не писаных, но признаваемых в качестве обязательных, правил. В основе конституционного законодательства лежат обычные законы, в связи с чем его функционирование обеспечивается не в результате применения высшего или основного закона, как это имеет место в других странах. В силу этой причины, несмотря на то, что в Новой Зеландии имеется Билль о правах, которых был принят на основе закона 1990 года о н</w:t>
      </w:r>
      <w:r>
        <w:t>о</w:t>
      </w:r>
      <w:r>
        <w:t>возеландском Билле о правах, он не является единственным и основным док</w:t>
      </w:r>
      <w:r>
        <w:t>у</w:t>
      </w:r>
      <w:r>
        <w:t>ментом. При осуществлении прав и свобод, предусмотренных данным законом, могут допускаться такие разумные ограничения, предусмотренные законод</w:t>
      </w:r>
      <w:r>
        <w:t>а</w:t>
      </w:r>
      <w:r>
        <w:t>тельством, которые могут являться явно оправданными в свободном и демокр</w:t>
      </w:r>
      <w:r>
        <w:t>а</w:t>
      </w:r>
      <w:r>
        <w:t>тическом обществе. Когда тому или иному постановлению может быть дано толкование, которое соответствует правам и свободам, содержащимся в Билле о правах, суды должны отдавать ему предпочтение перед любым другим толк</w:t>
      </w:r>
      <w:r>
        <w:t>о</w:t>
      </w:r>
      <w:r>
        <w:t>ванием. Вместе с тем суды не могут издавать постановления об отмене законов на основании их несоответствия Биллю о правах. Закон предусматривает мех</w:t>
      </w:r>
      <w:r>
        <w:t>а</w:t>
      </w:r>
      <w:r>
        <w:t>низм, в соответствии с которым Генеральный прокурор сообщает парламенту о любых несоо</w:t>
      </w:r>
      <w:r>
        <w:t>т</w:t>
      </w:r>
      <w:r>
        <w:t>ветствиях предлагаемого законодательства Биллю о правах.</w:t>
      </w:r>
    </w:p>
    <w:p w:rsidR="00000000" w:rsidRDefault="00000000">
      <w:pPr>
        <w:pStyle w:val="H23"/>
      </w:pPr>
      <w:r>
        <w:t>D.</w:t>
      </w:r>
      <w:r>
        <w:tab/>
        <w:t>Каким образом договоры по правам человека становятся составной частью национальной правовой системы</w:t>
      </w:r>
    </w:p>
    <w:p w:rsidR="00000000" w:rsidRDefault="00000000">
      <w:pPr>
        <w:pStyle w:val="SingleTxt"/>
      </w:pPr>
      <w:r>
        <w:tab/>
        <w:t>95.</w:t>
      </w:r>
      <w:r>
        <w:tab/>
        <w:t>Международные соглашения автоматически не становятся частью законодательства Новой Зеландии лишь в результате ратификации, присоед</w:t>
      </w:r>
      <w:r>
        <w:t>и</w:t>
      </w:r>
      <w:r>
        <w:t>нения или признания. Для того, чтобы международное соглашение стало пр</w:t>
      </w:r>
      <w:r>
        <w:t>и</w:t>
      </w:r>
      <w:r>
        <w:t>меняться на территории страны, необходимо, чтобы его положения уже были отражены в существующем новозеландском законодательстве или чтобы был принят соответствующий новый закон. Таким образом, прежде чем Новая З</w:t>
      </w:r>
      <w:r>
        <w:t>е</w:t>
      </w:r>
      <w:r>
        <w:t>ландия станет участником того или иного международного договора по правам человека, правительство изучает новозеландское законодательство с целью в</w:t>
      </w:r>
      <w:r>
        <w:t>ы</w:t>
      </w:r>
      <w:r>
        <w:t>яснения того, какие дополнительные законы или поправки к уже существу</w:t>
      </w:r>
      <w:r>
        <w:t>ю</w:t>
      </w:r>
      <w:r>
        <w:t>щим законам могут потребоваться для обеспечения полного и эффективного осуществления того или иного соглашения в Новой Зеландии, а также рассма</w:t>
      </w:r>
      <w:r>
        <w:t>т</w:t>
      </w:r>
      <w:r>
        <w:t>ривает вопрос о том, может ли возникнуть необходимость в представлении оговорок.</w:t>
      </w:r>
    </w:p>
    <w:p w:rsidR="00000000" w:rsidRDefault="00000000">
      <w:pPr>
        <w:pStyle w:val="H23"/>
      </w:pPr>
      <w:r>
        <w:t>Е.</w:t>
      </w:r>
      <w:r>
        <w:tab/>
        <w:t>Могут ли на положения различных договоров по правам человека осуществляться ссылки в судах, в других трибуналах или административных органах, и могут ли они непосредственно осуществлять данные положения или для того, чтобы они могли быть осуществлены соответствующими властями, их необходимо преобразовать в национальные законы или административные положения</w:t>
      </w:r>
    </w:p>
    <w:p w:rsidR="00000000" w:rsidRDefault="00000000">
      <w:pPr>
        <w:pStyle w:val="SingleTxt"/>
      </w:pPr>
      <w:r>
        <w:tab/>
        <w:t>96.</w:t>
      </w:r>
      <w:r>
        <w:tab/>
        <w:t>Как правило, для того чтобы какое-либо лицо могло непосредственно добиваться защиты прав, охраняемых международными договорами по правам человека, эти права должны быть включены во внутреннее статутное право (например, в закон 1990 года, касающийся Билля о правах Новой Зеландии). Если формулировка закона это позволяет, его толкование судом осуществляется в соответствии с международным правом и обеспечивает его применение. Если принимающее решение лицо не учитывает положения существующих межд</w:t>
      </w:r>
      <w:r>
        <w:t>у</w:t>
      </w:r>
      <w:r>
        <w:t>народных договоров, его решение подлежит судебному пересмотру в связи с непр</w:t>
      </w:r>
      <w:r>
        <w:t>и</w:t>
      </w:r>
      <w:r>
        <w:t>нятием во внимание соответствующих соображений.</w:t>
      </w:r>
    </w:p>
    <w:p w:rsidR="00000000" w:rsidRDefault="00000000">
      <w:pPr>
        <w:pStyle w:val="H23"/>
      </w:pPr>
      <w:r>
        <w:t>F.</w:t>
      </w:r>
      <w:r>
        <w:tab/>
        <w:t>Институты или национальные механизмы, контролирующие осуществление прав челов</w:t>
      </w:r>
      <w:r>
        <w:t>е</w:t>
      </w:r>
      <w:r>
        <w:t>ка</w:t>
      </w:r>
    </w:p>
    <w:p w:rsidR="00000000" w:rsidRDefault="00000000">
      <w:pPr>
        <w:pStyle w:val="SingleTxt"/>
      </w:pPr>
      <w:r>
        <w:tab/>
        <w:t>97.</w:t>
      </w:r>
      <w:r>
        <w:tab/>
        <w:t>Как отмечалось в разделе А выше, Комиссия по правам человека о</w:t>
      </w:r>
      <w:r>
        <w:t>т</w:t>
      </w:r>
      <w:r>
        <w:t>вечает за соблюдение прав человека в целом, тогда как комиссар по вопросам межрасовых отношений и уполномоченный по вопросам невмешательства в личную жизнь занимаются делами, связанными соответственно с расовой ди</w:t>
      </w:r>
      <w:r>
        <w:t>с</w:t>
      </w:r>
      <w:r>
        <w:t>криминацией и невмешательством в личную жизнь. Уполномоченный по в</w:t>
      </w:r>
      <w:r>
        <w:t>о</w:t>
      </w:r>
      <w:r>
        <w:t>просам детей, должность которого была учреждена на основании закона 1989 года о детях, молодых людях и их семьях, отвечает за обеспечение благ</w:t>
      </w:r>
      <w:r>
        <w:t>о</w:t>
      </w:r>
      <w:r>
        <w:t>состояния детей и молодежи.</w:t>
      </w:r>
    </w:p>
    <w:p w:rsidR="00000000" w:rsidRDefault="00000000">
      <w:pPr>
        <w:pStyle w:val="H1"/>
      </w:pPr>
      <w:r>
        <w:t>IV.</w:t>
      </w:r>
      <w:r>
        <w:tab/>
        <w:t>Информация и гласность</w:t>
      </w:r>
    </w:p>
    <w:p w:rsidR="00000000" w:rsidRDefault="00000000">
      <w:pPr>
        <w:pStyle w:val="SingleTxt"/>
      </w:pPr>
      <w:r>
        <w:tab/>
        <w:t>98.</w:t>
      </w:r>
      <w:r>
        <w:tab/>
        <w:t>В соответствии с законодательством на Комиссию по правам челов</w:t>
      </w:r>
      <w:r>
        <w:t>е</w:t>
      </w:r>
      <w:r>
        <w:t>ка возложена:</w:t>
      </w:r>
    </w:p>
    <w:p w:rsidR="00000000" w:rsidRDefault="00000000">
      <w:pPr>
        <w:pStyle w:val="SingleTxt"/>
        <w:ind w:left="2217" w:hanging="953"/>
      </w:pPr>
      <w:r>
        <w:tab/>
      </w:r>
      <w:r>
        <w:tab/>
      </w:r>
      <w:r>
        <w:tab/>
        <w:t>(а)</w:t>
      </w:r>
      <w:r>
        <w:tab/>
        <w:t>поддержка и поощрение соблюдения, понимания и признания ценности прав человека в новоз</w:t>
      </w:r>
      <w:r>
        <w:t>е</w:t>
      </w:r>
      <w:r>
        <w:t xml:space="preserve">ландском обществе; и </w:t>
      </w:r>
    </w:p>
    <w:p w:rsidR="00000000" w:rsidRDefault="00000000">
      <w:pPr>
        <w:pStyle w:val="SingleTxt"/>
        <w:ind w:left="2217" w:hanging="953"/>
      </w:pPr>
      <w:r>
        <w:tab/>
      </w:r>
      <w:r>
        <w:tab/>
      </w:r>
      <w:r>
        <w:tab/>
        <w:t>(b)</w:t>
      </w:r>
      <w:r>
        <w:tab/>
        <w:t>поощрение поддержания и развития гармоничных отношений между отдельными лицами и между различными группами в новоз</w:t>
      </w:r>
      <w:r>
        <w:t>е</w:t>
      </w:r>
      <w:r>
        <w:t>ландском общес</w:t>
      </w:r>
      <w:r>
        <w:t>т</w:t>
      </w:r>
      <w:r>
        <w:t>ве.</w:t>
      </w:r>
    </w:p>
    <w:p w:rsidR="00000000" w:rsidRDefault="00000000">
      <w:pPr>
        <w:pStyle w:val="SingleTxt"/>
      </w:pPr>
      <w:r>
        <w:tab/>
        <w:t>Уполномоченный по вопросам невмешательства в личную жизнь выпо</w:t>
      </w:r>
      <w:r>
        <w:t>л</w:t>
      </w:r>
      <w:r>
        <w:t>няет аналогичную функцию в отношении поощрения прав человека посредс</w:t>
      </w:r>
      <w:r>
        <w:t>т</w:t>
      </w:r>
      <w:r>
        <w:t>вом просвещения и пропагандистской деятельности, направленной на вырабо</w:t>
      </w:r>
      <w:r>
        <w:t>т</w:t>
      </w:r>
      <w:r>
        <w:t>ку понимания значимости защиты личной жизни и согласия с необходимостью т</w:t>
      </w:r>
      <w:r>
        <w:t>а</w:t>
      </w:r>
      <w:r>
        <w:t>кой защиты.</w:t>
      </w:r>
    </w:p>
    <w:p w:rsidR="00000000" w:rsidRDefault="00000000">
      <w:pPr>
        <w:pStyle w:val="SingleTxt"/>
      </w:pPr>
      <w:r>
        <w:tab/>
        <w:t>99.</w:t>
      </w:r>
      <w:r>
        <w:tab/>
        <w:t>При выполнении своих основных функций Комиссия по правам ч</w:t>
      </w:r>
      <w:r>
        <w:t>е</w:t>
      </w:r>
      <w:r>
        <w:t>ловека несет, в частности, о</w:t>
      </w:r>
      <w:r>
        <w:t>т</w:t>
      </w:r>
      <w:r>
        <w:t>ветственность за:</w:t>
      </w:r>
    </w:p>
    <w:p w:rsidR="00000000" w:rsidRDefault="00000000">
      <w:pPr>
        <w:pStyle w:val="SingleTxt"/>
        <w:ind w:left="2217" w:hanging="953"/>
      </w:pPr>
      <w:r>
        <w:tab/>
      </w:r>
      <w:r>
        <w:tab/>
      </w:r>
      <w:r>
        <w:tab/>
        <w:t>(а)</w:t>
      </w:r>
      <w:r>
        <w:tab/>
        <w:t>поощрение и координацию программ и мероприятий в области прав ч</w:t>
      </w:r>
      <w:r>
        <w:t>е</w:t>
      </w:r>
      <w:r>
        <w:t>ловека;</w:t>
      </w:r>
    </w:p>
    <w:p w:rsidR="00000000" w:rsidRDefault="00000000">
      <w:pPr>
        <w:pStyle w:val="SingleTxt"/>
        <w:ind w:left="2217" w:hanging="953"/>
      </w:pPr>
      <w:r>
        <w:tab/>
      </w:r>
      <w:r>
        <w:tab/>
      </w:r>
      <w:r>
        <w:tab/>
        <w:t>(b)</w:t>
      </w:r>
      <w:r>
        <w:tab/>
        <w:t>содействие изучению, пропаганде и обсуждению вопросов б</w:t>
      </w:r>
      <w:r>
        <w:t>о</w:t>
      </w:r>
      <w:r>
        <w:t>лее глубокого понимания аспектов Договора Вайтанги, касающихся прав человека, и их взаимосвязи с внутренним и международным з</w:t>
      </w:r>
      <w:r>
        <w:t>а</w:t>
      </w:r>
      <w:r>
        <w:t>кон</w:t>
      </w:r>
      <w:r>
        <w:t>о</w:t>
      </w:r>
      <w:r>
        <w:t>дательством в области прав человека;</w:t>
      </w:r>
    </w:p>
    <w:p w:rsidR="00000000" w:rsidRDefault="00000000">
      <w:pPr>
        <w:pStyle w:val="SingleTxt"/>
        <w:ind w:left="2217" w:hanging="953"/>
      </w:pPr>
      <w:r>
        <w:tab/>
      </w:r>
      <w:r>
        <w:tab/>
      </w:r>
      <w:r>
        <w:tab/>
        <w:t>(с)</w:t>
      </w:r>
      <w:r>
        <w:tab/>
        <w:t>подготовку и публикацию по своему усмотрению руководящих принципов и добровольных кодексов поведения в целях недопущ</w:t>
      </w:r>
      <w:r>
        <w:t>е</w:t>
      </w:r>
      <w:r>
        <w:t>ния актов или практики, которые могут не соответствовать закону о правах человека или против</w:t>
      </w:r>
      <w:r>
        <w:t>о</w:t>
      </w:r>
      <w:r>
        <w:t>речить ему;</w:t>
      </w:r>
    </w:p>
    <w:p w:rsidR="00000000" w:rsidRDefault="00000000">
      <w:pPr>
        <w:pStyle w:val="SingleTxt"/>
        <w:ind w:left="2217" w:hanging="953"/>
      </w:pPr>
      <w:r>
        <w:tab/>
      </w:r>
      <w:r>
        <w:tab/>
      </w:r>
      <w:r>
        <w:tab/>
        <w:t>(d)</w:t>
      </w:r>
      <w:r>
        <w:tab/>
        <w:t>выступления с заявлениями для общественности в отношении любой группы лиц, находящихся в Новой Зеландии или способных прибыть в эту страну, которые испытывают или могут испытывать на себе враждебное отношение или по отношению к которым проявл</w:t>
      </w:r>
      <w:r>
        <w:t>я</w:t>
      </w:r>
      <w:r>
        <w:t>ется или может проявляться неуважение на основе того, что в состав этой группы входят лица, дискриминация в отношении которых з</w:t>
      </w:r>
      <w:r>
        <w:t>а</w:t>
      </w:r>
      <w:r>
        <w:t>прещена в соответствии с законом о правах чел</w:t>
      </w:r>
      <w:r>
        <w:t>о</w:t>
      </w:r>
      <w:r>
        <w:t>века.</w:t>
      </w:r>
    </w:p>
    <w:p w:rsidR="00000000" w:rsidRDefault="00000000">
      <w:pPr>
        <w:pStyle w:val="SingleTxt"/>
      </w:pPr>
      <w:r>
        <w:tab/>
        <w:t>100.</w:t>
      </w:r>
      <w:r>
        <w:tab/>
        <w:t>Распространение информации о правах человека и проведение пр</w:t>
      </w:r>
      <w:r>
        <w:t>о</w:t>
      </w:r>
      <w:r>
        <w:t>светительской деятельности осуществляются целым рядом способов. Больши</w:t>
      </w:r>
      <w:r>
        <w:t>н</w:t>
      </w:r>
      <w:r>
        <w:t xml:space="preserve">ство лиц, желающих получить информацию и консультации в Комиссии по правам человека, в первую очередь пользуются </w:t>
      </w:r>
      <w:r>
        <w:rPr>
          <w:i/>
        </w:rPr>
        <w:t xml:space="preserve">"Инфолайн" </w:t>
      </w:r>
      <w:r>
        <w:t>(Infoline), беспла</w:t>
      </w:r>
      <w:r>
        <w:t>т</w:t>
      </w:r>
      <w:r>
        <w:t>ной телефонной службой, принимающей свыше 30 000 звонков в год. Комиссия располагает также всеобъемлющим веб-сайтом, который обеспечивает польз</w:t>
      </w:r>
      <w:r>
        <w:t>о</w:t>
      </w:r>
      <w:r>
        <w:t>вателям оперативный доступ к протоколам рассмотрения дел, информации о жалобах, библиотечным ресурсам, получаемой корреспонденции и документам для обсуждения. Просветительская деятельность и информационная работа в области прав человека осуществляется также путем распространения печатных материалов, включая листовки об услугах Комиссии, руководящих принципах, документов для обсуждения, брошюр и плакатов. Кроме того, Комиссия рег</w:t>
      </w:r>
      <w:r>
        <w:t>у</w:t>
      </w:r>
      <w:r>
        <w:t>лярно проводит семинары с участием общественности по широкому кругу пр</w:t>
      </w:r>
      <w:r>
        <w:t>о</w:t>
      </w:r>
      <w:r>
        <w:t>блем прав человека. В рамках Комиссии по правам человека работает группа преданных своему делу пропагандистов, которые проводят разъяснительную работу в широком круге государственных и частных организаций. В частности, такая разъяснительная работа включает в себя беседы по теме "Эффективное обеспечение прав человека" в государственном секторе ("Tu Tikanga"), помощь инвалидам в проведении разъяснительной работы среди других лиц с инвали</w:t>
      </w:r>
      <w:r>
        <w:t>д</w:t>
      </w:r>
      <w:r>
        <w:t>ностью, комплект материалов по правам человека, касающихся вопросов рас</w:t>
      </w:r>
      <w:r>
        <w:t>о</w:t>
      </w:r>
      <w:r>
        <w:t>вого притеснения, для использования в школах и "Taku Manawa" для более ш</w:t>
      </w:r>
      <w:r>
        <w:t>и</w:t>
      </w:r>
      <w:r>
        <w:t>рокого распространения информации по правам человека среди общин по всей территории Новой З</w:t>
      </w:r>
      <w:r>
        <w:t>е</w:t>
      </w:r>
      <w:r>
        <w:t xml:space="preserve">ландии. </w:t>
      </w:r>
    </w:p>
    <w:p w:rsidR="00000000" w:rsidRDefault="00000000">
      <w:pPr>
        <w:pStyle w:val="SingleTxt"/>
      </w:pPr>
      <w:r>
        <w:tab/>
        <w:t>101.</w:t>
      </w:r>
      <w:r>
        <w:tab/>
        <w:t>Министерство иностранных дел и торговли несет ответственность за координацию подготовки периодических докладов, представляемых Новой З</w:t>
      </w:r>
      <w:r>
        <w:t>е</w:t>
      </w:r>
      <w:r>
        <w:t>ландией органам Организации Объединенных Наций по правам человека. М</w:t>
      </w:r>
      <w:r>
        <w:t>и</w:t>
      </w:r>
      <w:r>
        <w:t>нистерство по делам женщин и Министерство по делам молодежи готовит до</w:t>
      </w:r>
      <w:r>
        <w:t>к</w:t>
      </w:r>
      <w:r>
        <w:t>лады в соответствии с Конвенцией о ликвидации всех форм дискриминации в отношении женщин и Конвенцией о правах ребенка соответственно. Такие доклады составляются на основе информации, получаемых от широкого круга правительственных ведомств и учреждений. Эти доклады также предоставл</w:t>
      </w:r>
      <w:r>
        <w:t>я</w:t>
      </w:r>
      <w:r>
        <w:t>ются общественности и неправительственным организациям для их замечаний, и могут быть получены на веб-сайте соответствующего министерства. На язык маори переведены Международный пакт о гражданских и политических правах (и первый Факультативный протокол к нему), Конвенция о ликвидации всех форм дискриминации в отношении женщин (и Факультативный протокол к ней) и Конвенция о пр</w:t>
      </w:r>
      <w:r>
        <w:t>а</w:t>
      </w:r>
      <w:r>
        <w:t>вах ребенка.</w:t>
      </w:r>
    </w:p>
    <w:p w:rsidR="00000000" w:rsidRDefault="00000000">
      <w:pPr>
        <w:pStyle w:val="SingleTxt"/>
      </w:pPr>
      <w:r>
        <w:tab/>
        <w:t>102.</w:t>
      </w:r>
      <w:r>
        <w:tab/>
        <w:t>Краткая информация о заседаниях договорных органов Организации Объединенных Наций по правам человека, на которых рассматривались пери</w:t>
      </w:r>
      <w:r>
        <w:t>о</w:t>
      </w:r>
      <w:r>
        <w:t>дические доклады Новой Зеландии, включая конкретные вопросы членов к</w:t>
      </w:r>
      <w:r>
        <w:t>о</w:t>
      </w:r>
      <w:r>
        <w:t>митетов, публикуются министерством иностранных дел и торговли и могут быть бесплатно получены общественностью. В ознаменование пятидесятой г</w:t>
      </w:r>
      <w:r>
        <w:t>о</w:t>
      </w:r>
      <w:r>
        <w:t>довщины принятия Всеобщей декларации прав человека правительство выпу</w:t>
      </w:r>
      <w:r>
        <w:t>с</w:t>
      </w:r>
      <w:r>
        <w:t xml:space="preserve">тило </w:t>
      </w:r>
      <w:r>
        <w:rPr>
          <w:i/>
        </w:rPr>
        <w:t>Новозеландский справочник по международным правам человека</w:t>
      </w:r>
      <w:r>
        <w:t>. Он с</w:t>
      </w:r>
      <w:r>
        <w:t>о</w:t>
      </w:r>
      <w:r>
        <w:t>держит исходную информацию для новозеландцев, желающих расширить свои знания о международно-правовых механизмах поощрения и защиты прав чел</w:t>
      </w:r>
      <w:r>
        <w:t>о</w:t>
      </w:r>
      <w:r>
        <w:t>века. Помимо этого министерство иностранных дел и торговли раз в шесть м</w:t>
      </w:r>
      <w:r>
        <w:t>е</w:t>
      </w:r>
      <w:r>
        <w:t>сяцев публикует бесплатный бюллетень, в котором гражданское общество и</w:t>
      </w:r>
      <w:r>
        <w:t>н</w:t>
      </w:r>
      <w:r>
        <w:t>формируется о событиях в области международных прав человека, включая ход осуществления Новой Зеландией своих обязательств по договорам в области прав человека.</w:t>
      </w:r>
    </w:p>
    <w:p w:rsidR="00000000" w:rsidRDefault="00000000">
      <w:pPr>
        <w:pStyle w:val="HCh"/>
      </w:pPr>
      <w:r>
        <w:br w:type="page"/>
      </w:r>
      <w:bookmarkStart w:id="44" w:name="_Toc30302909"/>
      <w:r>
        <w:t>Приложение 4: Доклад комитету по ликвидации дискриминации в отношении женщин – Токелау</w:t>
      </w:r>
      <w:bookmarkEnd w:id="44"/>
    </w:p>
    <w:p w:rsidR="00000000" w:rsidRDefault="00000000">
      <w:pPr>
        <w:pStyle w:val="H1"/>
      </w:pPr>
      <w:r>
        <w:t>Введение</w:t>
      </w:r>
    </w:p>
    <w:p w:rsidR="00000000" w:rsidRDefault="00000000">
      <w:pPr>
        <w:pStyle w:val="SingleTxt"/>
      </w:pPr>
      <w:r>
        <w:tab/>
        <w:t>Основная справочная информация по Токелау изложена в двух последних периодических докладах Новой Зеландии (особый интерес представляют св</w:t>
      </w:r>
      <w:r>
        <w:t>е</w:t>
      </w:r>
      <w:r>
        <w:t>дения, содержащиеся в докладе за 1998 год). Предлагается также обратить внимание на посвященные Токелау разделы четвертого периодического доклада Новой Зеландии (2001 год), представляемого в соответствии с Международным пактом о гражданских и политических правах, а также их доклад, который был представлен в соответствии с Международным пактом об экономических, с</w:t>
      </w:r>
      <w:r>
        <w:t>о</w:t>
      </w:r>
      <w:r>
        <w:t xml:space="preserve">циальных и культурных правах. </w:t>
      </w:r>
    </w:p>
    <w:p w:rsidR="00000000" w:rsidRDefault="00000000">
      <w:pPr>
        <w:pStyle w:val="H1"/>
      </w:pPr>
      <w:r>
        <w:t>Часть I</w:t>
      </w:r>
    </w:p>
    <w:p w:rsidR="00000000" w:rsidRDefault="00000000">
      <w:pPr>
        <w:pStyle w:val="SingleTxt"/>
      </w:pPr>
      <w:r>
        <w:tab/>
        <w:t>Ниже перечислены следующие основные факты:</w:t>
      </w:r>
    </w:p>
    <w:p w:rsidR="00000000" w:rsidRDefault="00000000">
      <w:pPr>
        <w:pStyle w:val="SingleTxt"/>
        <w:ind w:left="2217" w:hanging="953"/>
      </w:pPr>
      <w:r>
        <w:tab/>
      </w:r>
      <w:r>
        <w:tab/>
      </w:r>
      <w:r>
        <w:tab/>
        <w:t>В состав Токелау входит только три деревни, которые в течение ст</w:t>
      </w:r>
      <w:r>
        <w:t>о</w:t>
      </w:r>
      <w:r>
        <w:t>летий вели в значительной степени обособленное существование, поскольку находятся на расположенных далеко друг от друга атоллах примерно в 500 км от Самоа. Общая численность их населения с</w:t>
      </w:r>
      <w:r>
        <w:t>о</w:t>
      </w:r>
      <w:r>
        <w:t>ставляет приблизительно 1500 человек. Управление в Токелау по традиции осуществляется в каждой деревне по-своему, при этом т</w:t>
      </w:r>
      <w:r>
        <w:t>а</w:t>
      </w:r>
      <w:r>
        <w:t>кая система практически не обладает какими-либо элементами, к</w:t>
      </w:r>
      <w:r>
        <w:t>о</w:t>
      </w:r>
      <w:r>
        <w:t>торые придают ей знакомые в других странах формальные признаки власти. В основе ее лежит обычай. Из поколения в поколение ведется натуральное хозяйство в условиях неустойчивой окружающей среды. Площадь территории составляет 12 кв. км, а максимальная высота над уровнем моря достигает 5 м. Население имеет устоявшуюся с</w:t>
      </w:r>
      <w:r>
        <w:t>о</w:t>
      </w:r>
      <w:r>
        <w:t>циальную структуру, основанную на семье и принципе совместного использования благ, который подкрепляется системой принятия р</w:t>
      </w:r>
      <w:r>
        <w:t>е</w:t>
      </w:r>
      <w:r>
        <w:t>шений на основе достижения согласия. Такая система опирается на иерархическую структуру мужского населения.</w:t>
      </w:r>
    </w:p>
    <w:p w:rsidR="00000000" w:rsidRDefault="00000000">
      <w:pPr>
        <w:pStyle w:val="SingleTxt"/>
        <w:ind w:left="2217" w:hanging="953"/>
      </w:pPr>
      <w:r>
        <w:tab/>
      </w:r>
      <w:r>
        <w:tab/>
      </w:r>
      <w:r>
        <w:tab/>
        <w:t>Согласно Уставу Организации Объединенных Наций, Токелау явл</w:t>
      </w:r>
      <w:r>
        <w:t>я</w:t>
      </w:r>
      <w:r>
        <w:t>ется несамоуправляющейся территорией. С учетом вышеприведе</w:t>
      </w:r>
      <w:r>
        <w:t>н</w:t>
      </w:r>
      <w:r>
        <w:t>ных данных, Токелау представляет собой нетипичный пример в ко</w:t>
      </w:r>
      <w:r>
        <w:t>н</w:t>
      </w:r>
      <w:r>
        <w:t>тексте деколонизации. Новая Зеландия несет ответственность в о</w:t>
      </w:r>
      <w:r>
        <w:t>б</w:t>
      </w:r>
      <w:r>
        <w:t>щенациональном масштабе за всю страну, и это мало сказывается на повседневной жизни населения. Новая Зеландия не имеет на Токелау какого-либо постоянного административного присутствия. Однако на передний план в настоящее время выходят вопросы национального управления. Вследствие расширения контактов с внешних миром жизнь на Токелау и материальные запросы населения изменились. Традиционные виды деятельности стали утрачивать свое значение из-за введения денег и возможности получения работы в государс</w:t>
      </w:r>
      <w:r>
        <w:t>т</w:t>
      </w:r>
      <w:r>
        <w:t>венном секторе. На основе договоренностей, достигнутых с Токелау в начале 90-х годов, Новая Зеландия оказывает Токелау помощь в проводимых этой страной мероприятиях по развитию национального потенциала государственного управл</w:t>
      </w:r>
      <w:r>
        <w:t>е</w:t>
      </w:r>
      <w:r>
        <w:t>ния.</w:t>
      </w:r>
    </w:p>
    <w:p w:rsidR="00000000" w:rsidRDefault="00000000">
      <w:pPr>
        <w:pStyle w:val="SingleTxt"/>
      </w:pPr>
      <w:r>
        <w:tab/>
        <w:t>В настоящее время в центре внимания находится проект в области упра</w:t>
      </w:r>
      <w:r>
        <w:t>в</w:t>
      </w:r>
      <w:r>
        <w:t>ления под названием "Современный дом Токелау" (The Modern House of Tokelau). В рамках проекта (спонсорами которого являются Новозеландское агентство международного сотрудничества и ПРООН) ставится цель создания системы управления и вспомогательных структур для решения проблем на уровне деревень и всей страны в целом. При это был согласован главный при</w:t>
      </w:r>
      <w:r>
        <w:t>н</w:t>
      </w:r>
      <w:r>
        <w:t>цип, в соответствии с которым основу будущего государственного управления должны образовать три сельских совета (Taupulega), так как они являются тр</w:t>
      </w:r>
      <w:r>
        <w:t>а</w:t>
      </w:r>
      <w:r>
        <w:t>диционной основой общества. В мае 2002 года администратор Токелау сл</w:t>
      </w:r>
      <w:r>
        <w:t>е</w:t>
      </w:r>
      <w:r>
        <w:t>дующим обр</w:t>
      </w:r>
      <w:r>
        <w:t>а</w:t>
      </w:r>
      <w:r>
        <w:t>зом описывал данный проект:</w:t>
      </w:r>
    </w:p>
    <w:p w:rsidR="00000000" w:rsidRDefault="00000000">
      <w:pPr>
        <w:pStyle w:val="SingleTxt"/>
        <w:ind w:left="2217" w:hanging="953"/>
      </w:pPr>
      <w:r>
        <w:tab/>
      </w:r>
      <w:r>
        <w:tab/>
      </w:r>
      <w:r>
        <w:tab/>
        <w:t>"Проект должен обеспечить сохранение основных традиционных ценностей и принципов, позволявших населению Токелау жить в с</w:t>
      </w:r>
      <w:r>
        <w:t>о</w:t>
      </w:r>
      <w:r>
        <w:t>гласии и в условиях стабильности. Предполагается также выявление и интеграция внешних принципов, которые соответствуют местному контексту. Проект призван содействовать слиянию двух или нескол</w:t>
      </w:r>
      <w:r>
        <w:t>ь</w:t>
      </w:r>
      <w:r>
        <w:t>ких культурных укладов на основе нашей собственной культуры, а также культур других народов.</w:t>
      </w:r>
    </w:p>
    <w:p w:rsidR="00000000" w:rsidRDefault="00000000">
      <w:pPr>
        <w:pStyle w:val="SingleTxt"/>
        <w:ind w:left="2217" w:hanging="953"/>
      </w:pPr>
      <w:r>
        <w:tab/>
      </w:r>
      <w:r>
        <w:tab/>
      </w:r>
      <w:r>
        <w:tab/>
        <w:t>Цель его состоит в том, чтобы заложить всеобъемлющие межкул</w:t>
      </w:r>
      <w:r>
        <w:t>ь</w:t>
      </w:r>
      <w:r>
        <w:t>турные основы государственного управления и передовых взглядов, которые бы более полно соответствовали сегодняшним и завтрашним потребностям Токелау. Иными словами, мы пытаемся определить, разработать и опробовать на практике структуры государственного управления и вспомогательные системы, которые вписываются в жизнь нашей небольшой страны".</w:t>
      </w:r>
    </w:p>
    <w:p w:rsidR="00000000" w:rsidRDefault="00000000">
      <w:pPr>
        <w:pStyle w:val="SingleTxt"/>
      </w:pPr>
      <w:r>
        <w:tab/>
        <w:t>Эту стоящую перед Такелау задачу следует рассматривать на фоне важн</w:t>
      </w:r>
      <w:r>
        <w:t>о</w:t>
      </w:r>
      <w:r>
        <w:t>го фактора последней четверти прошлого века, а именно растущей экономич</w:t>
      </w:r>
      <w:r>
        <w:t>е</w:t>
      </w:r>
      <w:r>
        <w:t>ской зависимости страны от Новой Зеландии. На сегодняшний день Новая З</w:t>
      </w:r>
      <w:r>
        <w:t>е</w:t>
      </w:r>
      <w:r>
        <w:t>ландия обеспечивает примерно четыре пятых годового бюджета Токелау. П</w:t>
      </w:r>
      <w:r>
        <w:t>о</w:t>
      </w:r>
      <w:r>
        <w:t>этому проект "Современного дома" имеет не только крупный экономический, но и основополагающий управленческий компонент. Полностью соответствуя стремлению Токелау вернуться к автономному существованию, проект напра</w:t>
      </w:r>
      <w:r>
        <w:t>в</w:t>
      </w:r>
      <w:r>
        <w:t>лен на максимально возможное восстановление ранее действовавшей системы сам</w:t>
      </w:r>
      <w:r>
        <w:t>о</w:t>
      </w:r>
      <w:r>
        <w:t xml:space="preserve">обеспеченния. </w:t>
      </w:r>
    </w:p>
    <w:p w:rsidR="00000000" w:rsidRDefault="00000000">
      <w:pPr>
        <w:pStyle w:val="SingleTxt"/>
      </w:pPr>
      <w:r>
        <w:tab/>
        <w:t>Такое решение в перспективе должно позволить обеспечить взаимосвязь между традиционной структурой общества и процессами выборов. Централ</w:t>
      </w:r>
      <w:r>
        <w:t>ь</w:t>
      </w:r>
      <w:r>
        <w:t>ным вопросом при этом является взаимодействие между тремя традиционно создаваемыми сельскими советами и национальным представительным орг</w:t>
      </w:r>
      <w:r>
        <w:t>а</w:t>
      </w:r>
      <w:r>
        <w:t>ном Генеральным фоно. Хотя последний не относится к традиционным стру</w:t>
      </w:r>
      <w:r>
        <w:t>к</w:t>
      </w:r>
      <w:r>
        <w:t>турам, он прошел период становления, продолжавшийся более пятидесяти лет, по мере того как население деревень осознавало, что в современной жизни возникает все больше проблем, которые могут быть решены только совмес</w:t>
      </w:r>
      <w:r>
        <w:t>т</w:t>
      </w:r>
      <w:r>
        <w:t>ными усилиями; при этом многие из этих проблем проистекают из связей с внешним миром. Генеральный фоно обычно собирается три раза в год, а в п</w:t>
      </w:r>
      <w:r>
        <w:t>е</w:t>
      </w:r>
      <w:r>
        <w:t>рерывах его функции выполняет Совет Фаипуле (нечто подобное кабинету м</w:t>
      </w:r>
      <w:r>
        <w:t>и</w:t>
      </w:r>
      <w:r>
        <w:t>нистров).</w:t>
      </w:r>
    </w:p>
    <w:p w:rsidR="00000000" w:rsidRDefault="00000000">
      <w:pPr>
        <w:pStyle w:val="SingleTxt"/>
      </w:pPr>
      <w:r>
        <w:tab/>
        <w:t>В стремлении найти должное сочетание традиционных и привнесенных извне элементов Токелау предстоит решить коренные вопросы обычаев и пр</w:t>
      </w:r>
      <w:r>
        <w:t>а</w:t>
      </w:r>
      <w:r>
        <w:t>ва. В настоящее время наблюдается укрепление связи между обычаями и зак</w:t>
      </w:r>
      <w:r>
        <w:t>о</w:t>
      </w:r>
      <w:r>
        <w:t>нами; и Токелау пытается осознать свое положение, поскольку все большую актуальность приобретает вопрос о переходе от применения свода правил и практики, свойственных культурным особенностям страны, к своду правил и практики, которые признаются соответствующими условиям жизни в междун</w:t>
      </w:r>
      <w:r>
        <w:t>а</w:t>
      </w:r>
      <w:r>
        <w:t>ро</w:t>
      </w:r>
      <w:r>
        <w:t>д</w:t>
      </w:r>
      <w:r>
        <w:t>ном сообществе.</w:t>
      </w:r>
    </w:p>
    <w:p w:rsidR="00000000" w:rsidRDefault="00000000">
      <w:pPr>
        <w:pStyle w:val="SingleTxt"/>
      </w:pPr>
      <w:r>
        <w:tab/>
        <w:t>Первоначальный (1997 года) доклад о конституции включает следующие (проекты) положения: положение о том, что применительно ко всему народу Токелау индивидуальные права человека провозглашены во Всеобщей деклар</w:t>
      </w:r>
      <w:r>
        <w:t>а</w:t>
      </w:r>
      <w:r>
        <w:t>ции прав человека и закреплены в Международном пакте о гражданских и п</w:t>
      </w:r>
      <w:r>
        <w:t>о</w:t>
      </w:r>
      <w:r>
        <w:t>литических правах; о том, что права отдельных лиц должны осуществляться с должным учетом обязанностей других лиц, а также их обязанностей перед о</w:t>
      </w:r>
      <w:r>
        <w:t>б</w:t>
      </w:r>
      <w:r>
        <w:t>щиной, к которой они принадлежат. Эти положения свидетельствуют о необх</w:t>
      </w:r>
      <w:r>
        <w:t>о</w:t>
      </w:r>
      <w:r>
        <w:t>димости надлежащей подготовки Токелау к решению вопроса о том, каким о</w:t>
      </w:r>
      <w:r>
        <w:t>б</w:t>
      </w:r>
      <w:r>
        <w:t>разом после достижения самоопределения страна будет обеспечивать принятые на себя обязательства в области прав человека.</w:t>
      </w:r>
    </w:p>
    <w:p w:rsidR="00000000" w:rsidRDefault="00000000">
      <w:pPr>
        <w:pStyle w:val="SingleTxt"/>
      </w:pPr>
      <w:r>
        <w:tab/>
        <w:t>Текст Конвенции о ликвидации всех форм дискриминации в отношении женщин был включен в брошюру о правах человека, опубликованную на ан</w:t>
      </w:r>
      <w:r>
        <w:t>г</w:t>
      </w:r>
      <w:r>
        <w:t>лийском языке и языке Токелау в 1990 году.</w:t>
      </w:r>
    </w:p>
    <w:p w:rsidR="00000000" w:rsidRDefault="00000000">
      <w:pPr>
        <w:pStyle w:val="H1"/>
      </w:pPr>
      <w:r>
        <w:t>Часть II</w:t>
      </w:r>
    </w:p>
    <w:p w:rsidR="00000000" w:rsidRDefault="00000000">
      <w:pPr>
        <w:pStyle w:val="SingleTxt"/>
      </w:pPr>
      <w:r>
        <w:tab/>
        <w:t>Общее направление развития Токелау в последние годы оказало сущес</w:t>
      </w:r>
      <w:r>
        <w:t>т</w:t>
      </w:r>
      <w:r>
        <w:t>венное влияние на женщин. В культуре Токелау проводится четка грань между ролью мужчины и женщины. В то же время в рамках традиционной социальной системы женщины обладают относительно высоким статусом, базирующимся на их праве занимать дома, принадлежащие родственным группам, и осущест</w:t>
      </w:r>
      <w:r>
        <w:t>в</w:t>
      </w:r>
      <w:r>
        <w:t>лять управление домашним хозяйством: мужья переезжают в дома жен после брака. Хотя, в соответствии с культурными установками Токелау, первостепе</w:t>
      </w:r>
      <w:r>
        <w:t>н</w:t>
      </w:r>
      <w:r>
        <w:t>ное значение уделяется благосостоянию слабых членов общества и справедл</w:t>
      </w:r>
      <w:r>
        <w:t>и</w:t>
      </w:r>
      <w:r>
        <w:t>вому распределению экономических ресурсов, в контексте сегодняшнего эк</w:t>
      </w:r>
      <w:r>
        <w:t>о</w:t>
      </w:r>
      <w:r>
        <w:t>номического режима с его дене</w:t>
      </w:r>
      <w:r>
        <w:t>ж</w:t>
      </w:r>
      <w:r>
        <w:t>ной составляющей лица, не имеющие какой-либо оплачиваемой работы, могут рассматриваться как находящиеся в относ</w:t>
      </w:r>
      <w:r>
        <w:t>и</w:t>
      </w:r>
      <w:r>
        <w:t xml:space="preserve">тельно неблагоприятном положении. </w:t>
      </w:r>
    </w:p>
    <w:p w:rsidR="00000000" w:rsidRDefault="00000000">
      <w:pPr>
        <w:pStyle w:val="SingleTxt"/>
      </w:pPr>
      <w:r>
        <w:tab/>
        <w:t>Почти все жители Токелау, которые имеют оплачиваемую работу в теч</w:t>
      </w:r>
      <w:r>
        <w:t>е</w:t>
      </w:r>
      <w:r>
        <w:t>ние полного рабочего дня, заняты в государственном секторе, и, как указыв</w:t>
      </w:r>
      <w:r>
        <w:t>а</w:t>
      </w:r>
      <w:r>
        <w:t>лось ранее, в нем в значительной степени обеспечивается равенство полов. Н</w:t>
      </w:r>
      <w:r>
        <w:t>и</w:t>
      </w:r>
      <w:r>
        <w:t>что в законах Токелау не предусматривает какой-либо дискриминации в отн</w:t>
      </w:r>
      <w:r>
        <w:t>о</w:t>
      </w:r>
      <w:r>
        <w:t>шении женщин, и женщины в целом пользуются теме же экономическими, с</w:t>
      </w:r>
      <w:r>
        <w:t>о</w:t>
      </w:r>
      <w:r>
        <w:t>циальными и культурными правами наравне с мужчинами. В 2001 году на гос</w:t>
      </w:r>
      <w:r>
        <w:t>у</w:t>
      </w:r>
      <w:r>
        <w:t>дарственной службе состояли 59 женщин и 73 мужчины. Женщины широко представлены в системах образования (22 против 13), здравоохранения (15 против 1) и финансов (9 против 3). Директором финансов является женщ</w:t>
      </w:r>
      <w:r>
        <w:t>и</w:t>
      </w:r>
      <w:r>
        <w:t>на.</w:t>
      </w:r>
    </w:p>
    <w:p w:rsidR="00000000" w:rsidRDefault="00000000">
      <w:pPr>
        <w:pStyle w:val="SingleTxt"/>
      </w:pPr>
      <w:r>
        <w:tab/>
        <w:t>В марте 2002 года на Токелау было проведено совещание по выработке стратегического направления развития на 2002-2005 годы (устойчивое разв</w:t>
      </w:r>
      <w:r>
        <w:t>и</w:t>
      </w:r>
      <w:r>
        <w:t>тие – как экономический компонент "Современного дома"). Был принята ко</w:t>
      </w:r>
      <w:r>
        <w:t>н</w:t>
      </w:r>
      <w:r>
        <w:t xml:space="preserve">цепция экономического развития, призванная </w:t>
      </w:r>
      <w:r>
        <w:rPr>
          <w:i/>
        </w:rPr>
        <w:t>помочь людям улучшить свою жизнь, оставаясь жить на Токелау</w:t>
      </w:r>
      <w:r>
        <w:t>. Из шести установленных целей две пред</w:t>
      </w:r>
      <w:r>
        <w:t>у</w:t>
      </w:r>
      <w:r>
        <w:t>сматривают: создание рабочих мест с приемлемой оплатой труда и соответс</w:t>
      </w:r>
      <w:r>
        <w:t>т</w:t>
      </w:r>
      <w:r>
        <w:t>вующими льготами и обеспечение карьерного роста с надлежащим учетом в</w:t>
      </w:r>
      <w:r>
        <w:t>о</w:t>
      </w:r>
      <w:r>
        <w:t>просов охраны здоровья и безопасности труда; а также производство товаров и услуг в соответствии с потребностями населения, в частности строительство доступного жилья, создания надежных систем энергоснабжения по сниженным ценам, совершенствование систем здрав</w:t>
      </w:r>
      <w:r>
        <w:t>о</w:t>
      </w:r>
      <w:r>
        <w:t>охранения и образования.</w:t>
      </w:r>
    </w:p>
    <w:p w:rsidR="00000000" w:rsidRDefault="00000000">
      <w:pPr>
        <w:pStyle w:val="SingleTxt"/>
      </w:pPr>
      <w:r>
        <w:tab/>
        <w:t>В контексте устойчивого развития проводится широкий круг мероприятий при активном участии женщин. Предпринимаются целенаправленные попытки определить, какие меры в области развития отвечают потребностям мужчин и женщин; такой подход соответствует местным культурным нормам и является приемлемым для обеих групп населения. С учетом прочности культуры Ток</w:t>
      </w:r>
      <w:r>
        <w:t>е</w:t>
      </w:r>
      <w:r>
        <w:t>лау и большого значения сохранения ее целостности, это соображение является исключительно важным. В то же время очевидно, что традиционное разгран</w:t>
      </w:r>
      <w:r>
        <w:t>и</w:t>
      </w:r>
      <w:r>
        <w:t>чение ролей мужчины и женщины становится все менее отчетливым. Из 21 делегата Генерального фоно в настоящее время четыре являются женщин</w:t>
      </w:r>
      <w:r>
        <w:t>а</w:t>
      </w:r>
      <w:r>
        <w:t>ми.</w:t>
      </w:r>
    </w:p>
    <w:p w:rsidR="00000000" w:rsidRDefault="00000000">
      <w:pPr>
        <w:pStyle w:val="SingleTxt"/>
      </w:pPr>
      <w:r>
        <w:tab/>
        <w:t>Принятие плана устойчивого экономического развития на совещании в марте 2002 года придало новый стимул деятельности, о которой говорится в</w:t>
      </w:r>
      <w:r>
        <w:t>ы</w:t>
      </w:r>
      <w:r>
        <w:t>ше.</w:t>
      </w:r>
    </w:p>
    <w:p w:rsidR="00000000" w:rsidRDefault="00000000">
      <w:pPr>
        <w:pStyle w:val="SingleTxt"/>
      </w:pPr>
      <w:r>
        <w:tab/>
        <w:t>В целом на Токелау предпринимаются сознательные попытки увязать эк</w:t>
      </w:r>
      <w:r>
        <w:t>о</w:t>
      </w:r>
      <w:r>
        <w:t>номические и социальные вопросы с процессом развития местных органов г</w:t>
      </w:r>
      <w:r>
        <w:t>о</w:t>
      </w:r>
      <w:r>
        <w:t>сударственного управления.</w:t>
      </w:r>
    </w:p>
    <w:p w:rsidR="00000000" w:rsidRDefault="00000000">
      <w:pPr>
        <w:pStyle w:val="SingleTxt"/>
      </w:pPr>
      <w:r>
        <w:tab/>
        <w:t>В третьем периодическом докладе обсуждается роль "Фатупаепае", то есть Женского комитета. Это одна из основных организаций в каждой деревне, и к тому же существует национальный совет женщин (хотя его деятельность в зн</w:t>
      </w:r>
      <w:r>
        <w:t>а</w:t>
      </w:r>
      <w:r>
        <w:t>чительной степени сдерживается нехваткой ресурсов).</w:t>
      </w:r>
    </w:p>
    <w:p w:rsidR="00000000" w:rsidRDefault="00000000">
      <w:pPr>
        <w:pStyle w:val="SingleTxt"/>
      </w:pPr>
      <w:r>
        <w:tab/>
        <w:t>Все более важным событием для женщин Токелау становятся проводимые раз в три года конференции женщин Тихоокеанского региона (организуемые женским бюро Секретариата Тихоокеанского сообщества). Делегация Токелау участвовала в конференции 1998 года и ее доклад Генеральному фоно в 1999 году включал план действий по выполнению Токелау Конвенции о ликв</w:t>
      </w:r>
      <w:r>
        <w:t>и</w:t>
      </w:r>
      <w:r>
        <w:t>дации дискриминации в отношении женщин. В докладе намечалась программа более широкого участия женщин в политической жизни и экономическом ра</w:t>
      </w:r>
      <w:r>
        <w:t>з</w:t>
      </w:r>
      <w:r>
        <w:t>витии.</w:t>
      </w:r>
    </w:p>
    <w:p w:rsidR="00000000" w:rsidRDefault="00000000">
      <w:pPr>
        <w:pStyle w:val="SingleTxt"/>
      </w:pPr>
      <w:r>
        <w:tab/>
        <w:t>Восьмая конференция проходила в Нумеа, Новая Каледония, 10-14 сентября 2001 года. В ее работе приняла участие делегация в составе чет</w:t>
      </w:r>
      <w:r>
        <w:t>ы</w:t>
      </w:r>
      <w:r>
        <w:t xml:space="preserve">рех членов (по одной представительнице женского комитета каждой деревни и представитель правительства). </w:t>
      </w:r>
    </w:p>
    <w:p w:rsidR="00000000" w:rsidRDefault="00000000">
      <w:pPr>
        <w:pStyle w:val="SingleTxt"/>
      </w:pPr>
      <w:r>
        <w:tab/>
        <w:t>Эти женщины представили конференции следующий доклад:</w:t>
      </w:r>
    </w:p>
    <w:p w:rsidR="00000000" w:rsidRDefault="00000000">
      <w:pPr>
        <w:pStyle w:val="H1"/>
      </w:pPr>
      <w:r>
        <w:t>Доклад Токелау</w:t>
      </w:r>
    </w:p>
    <w:p w:rsidR="00000000" w:rsidRDefault="00000000">
      <w:pPr>
        <w:pStyle w:val="H23"/>
      </w:pPr>
      <w:r>
        <w:t>Введение</w:t>
      </w:r>
    </w:p>
    <w:p w:rsidR="00000000" w:rsidRDefault="00000000">
      <w:pPr>
        <w:pStyle w:val="SingleTxt"/>
      </w:pPr>
      <w:r>
        <w:rPr>
          <w:b/>
        </w:rPr>
        <w:tab/>
      </w:r>
      <w:r>
        <w:t>Токелау, территория Новой Зеландии, состоит из трех (3) невысоких к</w:t>
      </w:r>
      <w:r>
        <w:t>о</w:t>
      </w:r>
      <w:r>
        <w:t>ралловых атоллов, разделяемых обширными пространствами океана. Це</w:t>
      </w:r>
      <w:r>
        <w:t>н</w:t>
      </w:r>
      <w:r>
        <w:t>тральный атолл Нукунону расположен в 92 км от Атафу и в 64 км от Факаофо, который ближе всего расположен к Самоа, ближайшему соседу Токелау и пе</w:t>
      </w:r>
      <w:r>
        <w:t>р</w:t>
      </w:r>
      <w:r>
        <w:t>вой точке на пути к внешнему миру, лежащий на расстоянии 480 км. Общая площадь сухопутной территории Токелау составляет 12 кв. км, окруженных морским пространством площадью примерно 300 000 кв. км.</w:t>
      </w:r>
    </w:p>
    <w:p w:rsidR="00000000" w:rsidRDefault="00000000">
      <w:pPr>
        <w:pStyle w:val="H23"/>
      </w:pPr>
      <w:r>
        <w:t>Положение женщин на Токелау</w:t>
      </w:r>
    </w:p>
    <w:p w:rsidR="00000000" w:rsidRDefault="00000000">
      <w:pPr>
        <w:pStyle w:val="H4"/>
      </w:pPr>
      <w:r>
        <w:t>Община</w:t>
      </w:r>
    </w:p>
    <w:p w:rsidR="00000000" w:rsidRDefault="00000000">
      <w:pPr>
        <w:pStyle w:val="SingleTxt"/>
      </w:pPr>
      <w:r>
        <w:tab/>
        <w:t>На Токелау женщины пользуются признанием в рамках расширенных с</w:t>
      </w:r>
      <w:r>
        <w:t>е</w:t>
      </w:r>
      <w:r>
        <w:t>мей и общин, поскольку вносят в их жизнь большой вклад. В их обязанности входит сохранение окружающей среды, распределение семейных ресурсов, приготовление пищи, забота о здоровье членов семьи, ткачество (для нужд с</w:t>
      </w:r>
      <w:r>
        <w:t>е</w:t>
      </w:r>
      <w:r>
        <w:t>мейного хозяйства, семьи и общины "факалавелаве", а также на продажу), во</w:t>
      </w:r>
      <w:r>
        <w:t>с</w:t>
      </w:r>
      <w:r>
        <w:t>питание в семье (поддержание моральных ценностей, традиционных знаний и нав</w:t>
      </w:r>
      <w:r>
        <w:t>ы</w:t>
      </w:r>
      <w:r>
        <w:t>ков).</w:t>
      </w:r>
    </w:p>
    <w:p w:rsidR="00000000" w:rsidRDefault="00000000">
      <w:pPr>
        <w:pStyle w:val="SingleTxt"/>
      </w:pPr>
      <w:r>
        <w:tab/>
        <w:t>Подкомитеты женщин трех атоллов образуют национальный "Фатупа</w:t>
      </w:r>
      <w:r>
        <w:t>е</w:t>
      </w:r>
      <w:r>
        <w:t>пае", в состав которого входят приблизительно 400 человек. Они осуществляют собственные программы и функции, исполняя при этом определенные указания "Таупулега" (Совета старейшин), под эгидой которого подкомитеты женщин проводят местные программы.</w:t>
      </w:r>
    </w:p>
    <w:p w:rsidR="00000000" w:rsidRDefault="00000000">
      <w:pPr>
        <w:pStyle w:val="H4"/>
      </w:pPr>
      <w:r>
        <w:t>Принятие решений</w:t>
      </w:r>
    </w:p>
    <w:p w:rsidR="00000000" w:rsidRDefault="00000000">
      <w:pPr>
        <w:pStyle w:val="SingleTxt"/>
      </w:pPr>
      <w:r>
        <w:tab/>
        <w:t>На Токелау решения на местном или национальном уровне по традиции принимают мужчины. Однако несколько лет назад на двух атоллах эта трад</w:t>
      </w:r>
      <w:r>
        <w:t>и</w:t>
      </w:r>
      <w:r>
        <w:t>ция была нарушена, и женщинам было отведено место в (i) Совете старейшин (если расширенная семья, в которой проживает женщина, решит избрать ее своей главой) и (ii) на национальной арене, но только в качестве советников по женским вопросам. В 1998 году Национальный фоно (орган, в котором на Т</w:t>
      </w:r>
      <w:r>
        <w:t>о</w:t>
      </w:r>
      <w:r>
        <w:t>келау принимаются решения) одобрил решение о включении в делегацию ка</w:t>
      </w:r>
      <w:r>
        <w:t>ж</w:t>
      </w:r>
      <w:r>
        <w:t>дого атолла на Национальный фоно представительниц женщин, что способс</w:t>
      </w:r>
      <w:r>
        <w:t>т</w:t>
      </w:r>
      <w:r>
        <w:t>вовало резкому повышению статуса женщин.</w:t>
      </w:r>
    </w:p>
    <w:p w:rsidR="00000000" w:rsidRDefault="00000000">
      <w:pPr>
        <w:pStyle w:val="H4"/>
      </w:pPr>
      <w:r>
        <w:t>Участие женщин в процессе развития</w:t>
      </w:r>
    </w:p>
    <w:p w:rsidR="00000000" w:rsidRDefault="00000000">
      <w:pPr>
        <w:pStyle w:val="SingleTxt"/>
      </w:pPr>
      <w:r>
        <w:tab/>
        <w:t>На Токелау с недавних пор стало поощряться развитие малых коммерч</w:t>
      </w:r>
      <w:r>
        <w:t>е</w:t>
      </w:r>
      <w:r>
        <w:t>ских предприятий в интересах поддержки экономического развития, и женщ</w:t>
      </w:r>
      <w:r>
        <w:t>и</w:t>
      </w:r>
      <w:r>
        <w:t>ны как основные производители ремесленных изделий приняли этот вызов. Вызов в том смысле, что, в силу естественной изоляции Токелау внешние ры</w:t>
      </w:r>
      <w:r>
        <w:t>н</w:t>
      </w:r>
      <w:r>
        <w:t>ки трудно достижимы, включая проблему транспорта. С учетом этих новых тенденций женщины Токелау нуждаются в решении вопросов наращивания п</w:t>
      </w:r>
      <w:r>
        <w:t>о</w:t>
      </w:r>
      <w:r>
        <w:t>тенциала и обучения управлению малыми пре</w:t>
      </w:r>
      <w:r>
        <w:t>д</w:t>
      </w:r>
      <w:r>
        <w:t>приятиями.</w:t>
      </w:r>
    </w:p>
    <w:p w:rsidR="00000000" w:rsidRDefault="00000000">
      <w:pPr>
        <w:pStyle w:val="SingleTxt"/>
      </w:pPr>
      <w:r>
        <w:tab/>
        <w:t>Недавно начатый проект "Современный дом Токелау" предусматривает механизм оказания женщинам помощи в экономическом развитии. В конце и</w:t>
      </w:r>
      <w:r>
        <w:t>ю</w:t>
      </w:r>
      <w:r>
        <w:t>ля 2001 года на Токелау и соседнем Самоа были проведены семинары по в</w:t>
      </w:r>
      <w:r>
        <w:t>о</w:t>
      </w:r>
      <w:r>
        <w:t>просам работы коммерческих предприятий в интересах решения проблем н</w:t>
      </w:r>
      <w:r>
        <w:t>а</w:t>
      </w:r>
      <w:r>
        <w:t>ращивания потенциала и подготовки кадров. Обе части этого семинара прох</w:t>
      </w:r>
      <w:r>
        <w:t>о</w:t>
      </w:r>
      <w:r>
        <w:t>дили с участием представител</w:t>
      </w:r>
      <w:r>
        <w:t>ь</w:t>
      </w:r>
      <w:r>
        <w:t>ниц женских организаций.</w:t>
      </w:r>
    </w:p>
    <w:p w:rsidR="00000000" w:rsidRDefault="00000000">
      <w:pPr>
        <w:pStyle w:val="SingleTxt"/>
      </w:pPr>
      <w:r>
        <w:tab/>
        <w:t>В конце 1997 года Национальная ассоциация женщин Токелау и другие неправительственные организации из сферы компетенции Департамента обр</w:t>
      </w:r>
      <w:r>
        <w:t>а</w:t>
      </w:r>
      <w:r>
        <w:t>зования были переведены под эгиду Совета старейшин в интересах осущест</w:t>
      </w:r>
      <w:r>
        <w:t>в</w:t>
      </w:r>
      <w:r>
        <w:t>ления местных программ, и бюро Совета фаипуле как органа, поддерживающ</w:t>
      </w:r>
      <w:r>
        <w:t>е</w:t>
      </w:r>
      <w:r>
        <w:t>го внешние контакты на уровне организаций. Однако в свете отмечающегося на Токелау стремления к передаче неправительственным организациям более ш</w:t>
      </w:r>
      <w:r>
        <w:t>и</w:t>
      </w:r>
      <w:r>
        <w:t>роких полномочий, Бюро совета фаипуле поощряет Национальную ассоциацию женщин Токелау и отдельные подкомитеты к вступлению в прямые внешние связи на уровне организаций и обеспечивает начальную профессиональную подготовку по вопросам работы канцелярских служащих, планированию бю</w:t>
      </w:r>
      <w:r>
        <w:t>д</w:t>
      </w:r>
      <w:r>
        <w:t>жета и разработке проектных предложений для некоторых должностных лиц женских подкомитетов.</w:t>
      </w:r>
    </w:p>
    <w:p w:rsidR="00000000" w:rsidRDefault="00000000">
      <w:pPr>
        <w:pStyle w:val="H4"/>
      </w:pPr>
      <w:r>
        <w:t>Здравоохранение</w:t>
      </w:r>
    </w:p>
    <w:p w:rsidR="00000000" w:rsidRDefault="00000000">
      <w:pPr>
        <w:pStyle w:val="SingleTxt"/>
      </w:pPr>
      <w:r>
        <w:tab/>
        <w:t>Рост объемов импорта продуктов питания повлек за собой возникновение определенных проблем со здоровьем у женщин Токелау. У пожилых женщин чаще всего стали встречаться такие болезни, как повышенное кровяное давл</w:t>
      </w:r>
      <w:r>
        <w:t>е</w:t>
      </w:r>
      <w:r>
        <w:t>ние, гипертония, ожирение и стоматологические заболевания. В то же время для молодых женщин основной проблемой стала незапланированная береме</w:t>
      </w:r>
      <w:r>
        <w:t>н</w:t>
      </w:r>
      <w:r>
        <w:t>ность и постоянная угроза заражения венерическими заболеваниями и ВИЧ/СПИДом. Хотя на Токелау не было отмечено ни одного случая заражения ВИЧ/СПИДом, вполне очевидна необходимость в проведении соответству</w:t>
      </w:r>
      <w:r>
        <w:t>ю</w:t>
      </w:r>
      <w:r>
        <w:t>щей раз</w:t>
      </w:r>
      <w:r>
        <w:t>ъ</w:t>
      </w:r>
      <w:r>
        <w:t xml:space="preserve">яснительной работы. </w:t>
      </w:r>
    </w:p>
    <w:p w:rsidR="00000000" w:rsidRDefault="00000000">
      <w:pPr>
        <w:pStyle w:val="H4"/>
      </w:pPr>
      <w:r>
        <w:t>Потребности в профессиональной подготовке</w:t>
      </w:r>
    </w:p>
    <w:p w:rsidR="00000000" w:rsidRDefault="00000000">
      <w:pPr>
        <w:pStyle w:val="SingleTxt"/>
      </w:pPr>
      <w:r>
        <w:tab/>
        <w:t>Потребности женщин в профессиональной подготовке охватывают сл</w:t>
      </w:r>
      <w:r>
        <w:t>е</w:t>
      </w:r>
      <w:r>
        <w:t>дующие области:</w:t>
      </w:r>
    </w:p>
    <w:p w:rsidR="00000000" w:rsidRDefault="00000000">
      <w:pPr>
        <w:pStyle w:val="SingleTxt"/>
      </w:pPr>
      <w:r>
        <w:tab/>
        <w:t>Руководящая деятельность</w:t>
      </w:r>
    </w:p>
    <w:p w:rsidR="00000000" w:rsidRDefault="00000000">
      <w:pPr>
        <w:pStyle w:val="SingleTxt"/>
      </w:pPr>
      <w:r>
        <w:tab/>
        <w:t>Здравоохранение</w:t>
      </w:r>
    </w:p>
    <w:p w:rsidR="00000000" w:rsidRDefault="00000000">
      <w:pPr>
        <w:pStyle w:val="SingleTxt"/>
      </w:pPr>
      <w:r>
        <w:tab/>
        <w:t>Управленческие навыки</w:t>
      </w:r>
    </w:p>
    <w:p w:rsidR="00000000" w:rsidRDefault="00000000">
      <w:pPr>
        <w:pStyle w:val="SingleTxt"/>
      </w:pPr>
      <w:r>
        <w:tab/>
        <w:t xml:space="preserve">Развитие предпринимательства </w:t>
      </w:r>
    </w:p>
    <w:p w:rsidR="00000000" w:rsidRDefault="00000000">
      <w:pPr>
        <w:pStyle w:val="SingleTxt"/>
      </w:pPr>
      <w:r>
        <w:tab/>
        <w:t>Планирование бюджета и экономическое планирование</w:t>
      </w:r>
    </w:p>
    <w:p w:rsidR="00000000" w:rsidRDefault="00000000">
      <w:pPr>
        <w:pStyle w:val="SingleTxt"/>
      </w:pPr>
      <w:r>
        <w:tab/>
        <w:t>Владение компьютерами</w:t>
      </w:r>
    </w:p>
    <w:p w:rsidR="00000000" w:rsidRDefault="00000000">
      <w:pPr>
        <w:pStyle w:val="SingleTxt"/>
      </w:pPr>
      <w:r>
        <w:tab/>
        <w:t>Методика составления докладов</w:t>
      </w:r>
    </w:p>
    <w:p w:rsidR="00000000" w:rsidRDefault="00000000">
      <w:pPr>
        <w:pStyle w:val="SingleTxt"/>
      </w:pPr>
      <w:r>
        <w:tab/>
        <w:t>Навыки написания писем</w:t>
      </w:r>
    </w:p>
    <w:p w:rsidR="00000000" w:rsidRDefault="00000000">
      <w:pPr>
        <w:pStyle w:val="SingleTxt"/>
      </w:pPr>
      <w:r>
        <w:tab/>
        <w:t>Основы канцелярской работы</w:t>
      </w:r>
    </w:p>
    <w:p w:rsidR="00000000" w:rsidRDefault="00000000">
      <w:pPr>
        <w:pStyle w:val="H4"/>
      </w:pPr>
      <w:r>
        <w:t>Поддержка и финансирование</w:t>
      </w:r>
    </w:p>
    <w:p w:rsidR="00000000" w:rsidRDefault="00000000">
      <w:pPr>
        <w:pStyle w:val="SingleTxt"/>
      </w:pPr>
      <w:r>
        <w:tab/>
        <w:t>Программы и проекты развития Национальной ассоциации женщин Ток</w:t>
      </w:r>
      <w:r>
        <w:t>е</w:t>
      </w:r>
      <w:r>
        <w:t>лау осуществляются за счет финансирования со стороны правительства Ток</w:t>
      </w:r>
      <w:r>
        <w:t>е</w:t>
      </w:r>
      <w:r>
        <w:t>лау, НЗОДА, СПК, ПРООН и других многочисленных организаций, которым Национальная ассоциация женщин Токелау выражает глубокую признател</w:t>
      </w:r>
      <w:r>
        <w:t>ь</w:t>
      </w:r>
      <w:r>
        <w:t>ность.</w:t>
      </w:r>
    </w:p>
    <w:p w:rsidR="00000000" w:rsidRDefault="00000000">
      <w:pPr>
        <w:pStyle w:val="H4"/>
      </w:pPr>
      <w:r>
        <w:t>{конец}</w:t>
      </w:r>
    </w:p>
    <w:p w:rsidR="00000000" w:rsidRDefault="00000000">
      <w:pPr>
        <w:pStyle w:val="H23"/>
        <w:ind w:left="1264" w:firstLine="0"/>
      </w:pPr>
      <w:r>
        <w:t>Взаимодействие новозеландского агентства международного развития с женщинами Токелау</w:t>
      </w:r>
    </w:p>
    <w:p w:rsidR="00000000" w:rsidRDefault="00000000">
      <w:pPr>
        <w:pStyle w:val="SingleTxt"/>
      </w:pPr>
      <w:r>
        <w:tab/>
        <w:t>Новозеландское агентство международного развития (НЗАИД) создано в июле 2002 года при министерстве иностранных дел и торговли Новой Зеландии в качестве учреждения, обладающее определенной самостоятельностью. НЗАИД имеет своей целью достижение справедливого обеспечения благами разв</w:t>
      </w:r>
      <w:r>
        <w:t>и</w:t>
      </w:r>
      <w:r>
        <w:t>тия как мужчин, так и женщин, девушек и юношей.</w:t>
      </w:r>
    </w:p>
    <w:p w:rsidR="00000000" w:rsidRDefault="00000000">
      <w:pPr>
        <w:pStyle w:val="SingleTxt"/>
      </w:pPr>
      <w:r>
        <w:tab/>
        <w:t>НЗАИД сотрудничает со своими партнерами в интересах обеспечения р</w:t>
      </w:r>
      <w:r>
        <w:t>а</w:t>
      </w:r>
      <w:r>
        <w:t>венства полов и повышения статуса женщин во всех сферах его деятельности. Оно призвано способствовать тому, чтобы население могло в полной мере вн</w:t>
      </w:r>
      <w:r>
        <w:t>о</w:t>
      </w:r>
      <w:r>
        <w:t>сить вклад в свое социально-экономическое развитие.</w:t>
      </w:r>
    </w:p>
    <w:p w:rsidR="00000000" w:rsidRDefault="00000000">
      <w:pPr>
        <w:pStyle w:val="SingleTxt"/>
      </w:pPr>
      <w:r>
        <w:tab/>
        <w:t>За отчетный период НЗАИД и его предшественник Отдел сотрудничества в области развития оказывал поддержку усилиям женщин Токелау путем удо</w:t>
      </w:r>
      <w:r>
        <w:t>в</w:t>
      </w:r>
      <w:r>
        <w:t>летворения запросов женщин на оказание помощи в осуществлении таких пр</w:t>
      </w:r>
      <w:r>
        <w:t>о</w:t>
      </w:r>
      <w:r>
        <w:t>е</w:t>
      </w:r>
      <w:r>
        <w:t>к</w:t>
      </w:r>
      <w:r>
        <w:t>тов, как:</w:t>
      </w:r>
    </w:p>
    <w:p w:rsidR="00000000" w:rsidRDefault="00000000">
      <w:pPr>
        <w:pStyle w:val="dot"/>
        <w:tabs>
          <w:tab w:val="clear" w:pos="1267"/>
        </w:tabs>
      </w:pPr>
      <w:r>
        <w:tab/>
        <w:t>•</w:t>
      </w:r>
      <w:r>
        <w:tab/>
        <w:t>подготовка кадров в области развития малых предприятий;</w:t>
      </w:r>
    </w:p>
    <w:p w:rsidR="00000000" w:rsidRDefault="00000000">
      <w:pPr>
        <w:pStyle w:val="dot"/>
        <w:tabs>
          <w:tab w:val="clear" w:pos="1267"/>
        </w:tabs>
      </w:pPr>
      <w:r>
        <w:tab/>
        <w:t>•</w:t>
      </w:r>
      <w:r>
        <w:tab/>
        <w:t>профессиональная подготовка и оборудование для местного ремесленного производс</w:t>
      </w:r>
      <w:r>
        <w:t>т</w:t>
      </w:r>
      <w:r>
        <w:t>ва;</w:t>
      </w:r>
    </w:p>
    <w:p w:rsidR="00000000" w:rsidRDefault="00000000">
      <w:pPr>
        <w:pStyle w:val="dot"/>
        <w:tabs>
          <w:tab w:val="clear" w:pos="1267"/>
        </w:tabs>
      </w:pPr>
      <w:r>
        <w:tab/>
        <w:t>•</w:t>
      </w:r>
      <w:r>
        <w:tab/>
        <w:t>практикумы по медицинскому просвещению с упором на рациональное питание и безопасное приг</w:t>
      </w:r>
      <w:r>
        <w:t>о</w:t>
      </w:r>
      <w:r>
        <w:t>товление и обработку пищи;</w:t>
      </w:r>
    </w:p>
    <w:p w:rsidR="00000000" w:rsidRDefault="00000000">
      <w:pPr>
        <w:pStyle w:val="dot"/>
        <w:tabs>
          <w:tab w:val="clear" w:pos="1267"/>
        </w:tabs>
      </w:pPr>
      <w:r>
        <w:tab/>
        <w:t>•</w:t>
      </w:r>
      <w:r>
        <w:tab/>
        <w:t>обеспечение "Фатупаепае" информационной техникой;</w:t>
      </w:r>
    </w:p>
    <w:p w:rsidR="00000000" w:rsidRDefault="00000000">
      <w:pPr>
        <w:pStyle w:val="dot"/>
        <w:tabs>
          <w:tab w:val="clear" w:pos="1267"/>
        </w:tabs>
      </w:pPr>
      <w:r>
        <w:tab/>
        <w:t>•</w:t>
      </w:r>
      <w:r>
        <w:tab/>
        <w:t>покрытие расходов на участие в конференции 2001 года в Новой Калед</w:t>
      </w:r>
      <w:r>
        <w:t>о</w:t>
      </w:r>
      <w:r>
        <w:t>нии, которая проводится раз в три года;</w:t>
      </w:r>
    </w:p>
    <w:p w:rsidR="00000000" w:rsidRDefault="00000000">
      <w:pPr>
        <w:pStyle w:val="SingleTxt"/>
      </w:pPr>
      <w:r>
        <w:tab/>
        <w:t>В настоящее время НЗАИД сосредоточил свою деятельность на поддер</w:t>
      </w:r>
      <w:r>
        <w:t>ж</w:t>
      </w:r>
      <w:r>
        <w:t>ке выдвигаемых на Токелау инициатив по развитию потенциала женщин.</w:t>
      </w:r>
    </w:p>
    <w:p w:rsidR="00000000" w:rsidRDefault="00000000">
      <w:pPr>
        <w:pStyle w:val="SingleTxt"/>
      </w:pPr>
      <w:r>
        <w:tab/>
        <w:t>Женщины выступают с новыми идеями по совершенствованию их пр</w:t>
      </w:r>
      <w:r>
        <w:t>о</w:t>
      </w:r>
      <w:r>
        <w:t>фессиональных навыков, развитию национального потенциала "Фатупаепае" и активизации своего участия в процессах принятия решений и экономического развития на всех уровнях.</w:t>
      </w:r>
    </w:p>
    <w:p w:rsidR="00000000" w:rsidRDefault="00000000">
      <w:pPr>
        <w:pStyle w:val="SingleTxt"/>
      </w:pPr>
      <w:r>
        <w:tab/>
        <w:t>Генеральное фоно, заседание которого состоялось в июле 2002 года, по</w:t>
      </w:r>
      <w:r>
        <w:t>д</w:t>
      </w:r>
      <w:r>
        <w:t>держал усилия же</w:t>
      </w:r>
      <w:r>
        <w:t>н</w:t>
      </w:r>
      <w:r>
        <w:t>щин и:</w:t>
      </w:r>
    </w:p>
    <w:p w:rsidR="00000000" w:rsidRDefault="00000000">
      <w:pPr>
        <w:pStyle w:val="dot"/>
      </w:pPr>
      <w:r>
        <w:tab/>
      </w:r>
      <w:r>
        <w:tab/>
        <w:t>•</w:t>
      </w:r>
      <w:r>
        <w:tab/>
        <w:t>одобрил предложение о включении в состав миссии НЗАИД советника этой о</w:t>
      </w:r>
      <w:r>
        <w:t>р</w:t>
      </w:r>
      <w:r>
        <w:t>ганизации по вопросам равенства полов и управления;</w:t>
      </w:r>
    </w:p>
    <w:p w:rsidR="00000000" w:rsidRDefault="00000000">
      <w:pPr>
        <w:pStyle w:val="dot"/>
      </w:pPr>
      <w:r>
        <w:tab/>
      </w:r>
      <w:r>
        <w:tab/>
        <w:t>•</w:t>
      </w:r>
      <w:r>
        <w:tab/>
        <w:t>одобрил предложение об изыскании средств для финансирования наци</w:t>
      </w:r>
      <w:r>
        <w:t>о</w:t>
      </w:r>
      <w:r>
        <w:t>нальной конфере</w:t>
      </w:r>
      <w:r>
        <w:t>н</w:t>
      </w:r>
      <w:r>
        <w:t>ции женщин; и</w:t>
      </w:r>
    </w:p>
    <w:p w:rsidR="00000000" w:rsidRDefault="00000000">
      <w:pPr>
        <w:pStyle w:val="dot"/>
      </w:pPr>
      <w:r>
        <w:tab/>
      </w:r>
      <w:r>
        <w:tab/>
        <w:t>•</w:t>
      </w:r>
      <w:r>
        <w:tab/>
        <w:t>принял к сведению предложение о подготовке Национальной ассоциацией женщин документа по данному вопросу для представления Совету фаип</w:t>
      </w:r>
      <w:r>
        <w:t>у</w:t>
      </w:r>
      <w:r>
        <w:t>ле.</w:t>
      </w:r>
    </w:p>
    <w:p w:rsidR="00000000" w:rsidRDefault="00000000">
      <w:pPr>
        <w:pStyle w:val="H23"/>
      </w:pPr>
      <w:r>
        <w:t>Заключение</w:t>
      </w:r>
    </w:p>
    <w:p w:rsidR="00000000" w:rsidRDefault="00000000">
      <w:pPr>
        <w:pStyle w:val="SingleTxt"/>
      </w:pPr>
      <w:r>
        <w:tab/>
        <w:t>По мнению Новой Зеландии, оптимальным способом выполнения ее об</w:t>
      </w:r>
      <w:r>
        <w:t>я</w:t>
      </w:r>
      <w:r>
        <w:t>зательств по Конвенции о ликвидации дискриминации в отношении женщин по отношению к Токелау является поддержка и поощрение выдвигаемых на Ток</w:t>
      </w:r>
      <w:r>
        <w:t>е</w:t>
      </w:r>
      <w:r>
        <w:t>лау инициатив по развитию потенциала женщин. Широкомасштабное провед</w:t>
      </w:r>
      <w:r>
        <w:t>е</w:t>
      </w:r>
      <w:r>
        <w:t>ние мероприятий считается неэффективным и неуместным, особенно в конте</w:t>
      </w:r>
      <w:r>
        <w:t>к</w:t>
      </w:r>
      <w:r>
        <w:t>сте деколонизации. Новая Зеландия убеждена в том, что положение женщин на Токелау будет и впредь улучшаться, о чем свидетельствуют инициативы, о к</w:t>
      </w:r>
      <w:r>
        <w:t>о</w:t>
      </w:r>
      <w:r>
        <w:t>торых говорится в настоящем докладе. Такое постепенное развитие с учетом местных особенностей, вероятнее всего, будет иметь позитивные и долгосро</w:t>
      </w:r>
      <w:r>
        <w:t>ч</w:t>
      </w:r>
      <w:r>
        <w:t>ные последствия, поскольку оно протекает естественным путем в самом общ</w:t>
      </w:r>
      <w:r>
        <w:t>е</w:t>
      </w:r>
      <w:r>
        <w:t>стве Токелау. По мере того, как мужчины и женщины Токелау все чаще сталк</w:t>
      </w:r>
      <w:r>
        <w:t>и</w:t>
      </w:r>
      <w:r>
        <w:t>ваются с проникновением из внешнего мира (включая Новую Зеландию) идей о равенстве полов, они отражают эти идеи в своих собственных структурах т</w:t>
      </w:r>
      <w:r>
        <w:t>а</w:t>
      </w:r>
      <w:r>
        <w:t>кими темп</w:t>
      </w:r>
      <w:r>
        <w:t>а</w:t>
      </w:r>
      <w:r>
        <w:t>ми, какие они могут себе позволить.</w:t>
      </w:r>
    </w:p>
    <w:p w:rsidR="00000000" w:rsidRDefault="00000000">
      <w:pPr>
        <w:pStyle w:val="SingleTxt"/>
        <w:spacing w:after="0" w:line="120" w:lineRule="exact"/>
      </w:pPr>
    </w:p>
    <w:p w:rsidR="00000000" w:rsidRDefault="00000000">
      <w:pPr>
        <w:pStyle w:val="SingleTxt"/>
        <w:spacing w:after="0" w:line="120" w:lineRule="exact"/>
      </w:pPr>
    </w:p>
    <w:p w:rsidR="00000000" w:rsidRDefault="00000000">
      <w:pPr>
        <w:pStyle w:val="SingleTxt"/>
        <w:spacing w:after="0" w:line="120" w:lineRule="exact"/>
      </w:pPr>
    </w:p>
    <w:p w:rsidR="00000000" w:rsidRDefault="00000000">
      <w:pPr>
        <w:pStyle w:val="SingleTxt"/>
        <w:spacing w:after="0" w:line="120" w:lineRule="exact"/>
      </w:pPr>
      <w:r>
        <w:rPr>
          <w:noProof/>
          <w:w w:val="100"/>
        </w:rPr>
        <w:pict>
          <v:line id="_x0000_s2168" style="position:absolute;left:0;text-align:left;z-index:1;mso-position-horizontal:absolute;mso-position-horizontal-relative:text;mso-position-vertical:absolute;mso-position-vertical-relative:text" from="199.3pt,36.1pt" to="271.3pt,36.1pt" o:allowincell="f" strokeweight=".25pt"/>
        </w:pict>
      </w:r>
    </w:p>
    <w:sectPr w:rsidR="00000000">
      <w:endnotePr>
        <w:numFmt w:val="decimal"/>
      </w:endnotePr>
      <w:type w:val="continuous"/>
      <w:pgSz w:w="12240" w:h="15840" w:code="1"/>
      <w:pgMar w:top="1742" w:right="1195" w:bottom="1901" w:left="1195" w:header="576" w:footer="103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NO&gt;&gt;N0264008R&lt;&lt;ODS JOB NO&gt;&gt;</w:t>
      </w:r>
    </w:p>
    <w:p w:rsidR="00000000" w:rsidRDefault="00000000">
      <w:pPr>
        <w:pStyle w:val="CommentText"/>
        <w:rPr>
          <w:lang w:val="en-US"/>
        </w:rPr>
      </w:pPr>
      <w:r>
        <w:rPr>
          <w:lang w:val="en-US"/>
        </w:rPr>
        <w:t>&lt;&lt;ODS DOC SYMBOL1&gt;&gt;CEDAW/C/NZL/5 &lt;&lt;ODS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244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244</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spacing w:before="60" w:line="200" w:lineRule="exact"/>
      <w:rPr>
        <w:rFonts w:ascii="Code 3of9 4.6" w:hAnsi="Code 3of9 4.6"/>
        <w:b w:val="0"/>
        <w:sz w:val="20"/>
      </w:rPr>
    </w:pPr>
    <w:r>
      <w:rPr>
        <w:b w:val="0"/>
        <w:sz w:val="20"/>
      </w:rPr>
      <w:t>02-64008 (R)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51</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244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53</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250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251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431"/>
          <w:tab w:val="right" w:pos="1195"/>
          <w:tab w:val="left" w:pos="1267"/>
          <w:tab w:val="left" w:pos="1742"/>
          <w:tab w:val="left" w:pos="2218"/>
          <w:tab w:val="left" w:pos="2693"/>
        </w:tabs>
        <w:ind w:left="1265" w:right="1259" w:hanging="431"/>
      </w:pPr>
      <w:r>
        <w:tab/>
      </w:r>
      <w:r>
        <w:rPr>
          <w:rStyle w:val="FootnoteReference"/>
        </w:rPr>
        <w:t>*</w:t>
      </w:r>
      <w:r>
        <w:tab/>
        <w:t xml:space="preserve">Первоначальный доклад, представленный правительством Новой Зеландии, см. </w:t>
      </w:r>
      <w:r>
        <w:rPr>
          <w:lang w:val="en-US"/>
        </w:rPr>
        <w:t>CEDAW</w:t>
      </w:r>
      <w:r>
        <w:t>/</w:t>
      </w:r>
      <w:r>
        <w:rPr>
          <w:lang w:val="en-US"/>
        </w:rPr>
        <w:t>C</w:t>
      </w:r>
      <w:r>
        <w:t>/5/</w:t>
      </w:r>
      <w:r>
        <w:rPr>
          <w:lang w:val="en-US"/>
        </w:rPr>
        <w:t>Add</w:t>
      </w:r>
      <w:r>
        <w:t xml:space="preserve">.41, который был рассмотрен Комитетом на его седьмой сессии. Второй периодический доклад, представленный правительством Новой Зеландии, см. </w:t>
      </w:r>
      <w:r>
        <w:rPr>
          <w:lang w:val="en-US"/>
        </w:rPr>
        <w:t>CEDAW</w:t>
      </w:r>
      <w:r>
        <w:t>/</w:t>
      </w:r>
      <w:r>
        <w:rPr>
          <w:lang w:val="en-US"/>
        </w:rPr>
        <w:t>C</w:t>
      </w:r>
      <w:r>
        <w:t>/</w:t>
      </w:r>
      <w:r>
        <w:rPr>
          <w:lang w:val="en-US"/>
        </w:rPr>
        <w:t>NZE</w:t>
      </w:r>
      <w:r>
        <w:t xml:space="preserve">/2 и </w:t>
      </w:r>
      <w:r>
        <w:rPr>
          <w:lang w:val="en-US"/>
        </w:rPr>
        <w:t>Add</w:t>
      </w:r>
      <w:r>
        <w:t>.1, который был рассмотрен Комитетом на его тринадцатой сессии. Сводный третий и четвертый периодический доклад, представленный правительством Н</w:t>
      </w:r>
      <w:r>
        <w:t>о</w:t>
      </w:r>
      <w:r>
        <w:t xml:space="preserve">вой Зеландии, см. </w:t>
      </w:r>
      <w:r>
        <w:rPr>
          <w:lang w:val="en-US"/>
        </w:rPr>
        <w:t>CEDAW</w:t>
      </w:r>
      <w:r>
        <w:t>/</w:t>
      </w:r>
      <w:r>
        <w:rPr>
          <w:lang w:val="en-US"/>
        </w:rPr>
        <w:t>C</w:t>
      </w:r>
      <w:r>
        <w:t>/</w:t>
      </w:r>
      <w:r>
        <w:rPr>
          <w:lang w:val="en-US"/>
        </w:rPr>
        <w:t>NZL</w:t>
      </w:r>
      <w:r>
        <w:t xml:space="preserve">/3-4 и </w:t>
      </w:r>
      <w:r>
        <w:rPr>
          <w:lang w:val="en-US"/>
        </w:rPr>
        <w:t>Add</w:t>
      </w:r>
      <w:r>
        <w:t>.1, который был рассмотрен Комитетом на его семнадцатой сессии.</w:t>
      </w:r>
    </w:p>
    <w:p w:rsidR="00000000" w:rsidRDefault="00000000">
      <w:pPr>
        <w:pStyle w:val="FootnoteText"/>
        <w:tabs>
          <w:tab w:val="clear" w:pos="418"/>
          <w:tab w:val="right" w:pos="431"/>
          <w:tab w:val="right" w:pos="1195"/>
          <w:tab w:val="left" w:pos="1267"/>
          <w:tab w:val="left" w:pos="1742"/>
          <w:tab w:val="left" w:pos="2218"/>
          <w:tab w:val="left" w:pos="2693"/>
        </w:tabs>
        <w:ind w:left="1265" w:right="1259" w:hanging="431"/>
      </w:pPr>
    </w:p>
    <w:p w:rsidR="00000000" w:rsidRDefault="00000000">
      <w:pPr>
        <w:pStyle w:val="FootnoteText"/>
        <w:ind w:left="1265" w:right="1259" w:hanging="431"/>
      </w:pPr>
      <w:r>
        <w:tab/>
        <w:t>Настоящий документ издан без официального редактирования.</w:t>
      </w:r>
    </w:p>
  </w:footnote>
  <w:footnote w:id="2">
    <w:p w:rsidR="00000000" w:rsidRDefault="00000000">
      <w:pPr>
        <w:pStyle w:val="FootnoteText"/>
      </w:pPr>
      <w:r>
        <w:rPr>
          <w:rStyle w:val="FootnoteReference"/>
        </w:rPr>
        <w:footnoteRef/>
      </w:r>
      <w:r>
        <w:t xml:space="preserve"> </w:t>
      </w:r>
      <w:r>
        <w:tab/>
        <w:t>Рабочие совещания были проведены в Северном Палмерстоне, Вангарее, Окленде, Ка</w:t>
      </w:r>
      <w:r>
        <w:t>й</w:t>
      </w:r>
      <w:r>
        <w:t>косе, Роторуа, Гизборне, Крайстчерче, Дунедине, Нельсоне и Инверкаргилле.</w:t>
      </w:r>
    </w:p>
  </w:footnote>
  <w:footnote w:id="3">
    <w:p w:rsidR="00000000" w:rsidRDefault="00000000">
      <w:pPr>
        <w:pStyle w:val="FootnoteText"/>
        <w:rPr>
          <w:lang w:val="en-US"/>
        </w:rPr>
      </w:pPr>
      <w:r>
        <w:rPr>
          <w:rStyle w:val="FootnoteReference"/>
          <w:lang w:val="en-US"/>
        </w:rPr>
        <w:t>2</w:t>
      </w:r>
      <w:r>
        <w:rPr>
          <w:lang w:val="en-US"/>
        </w:rPr>
        <w:tab/>
        <w:t xml:space="preserve">Report to the Minister for Disability Issues, Ministry of Social Policy, </w:t>
      </w:r>
      <w:r>
        <w:rPr>
          <w:i/>
          <w:lang w:val="en-US"/>
        </w:rPr>
        <w:t xml:space="preserve">Services and Support for People with Disabilities: Issues Relating to Equity of Access and to Coherence </w:t>
      </w:r>
      <w:r>
        <w:rPr>
          <w:lang w:val="en-US"/>
        </w:rPr>
        <w:t>(28 August 2001), p. 8.</w:t>
      </w:r>
    </w:p>
  </w:footnote>
  <w:footnote w:id="4">
    <w:p w:rsidR="00000000" w:rsidRDefault="00000000">
      <w:pPr>
        <w:pStyle w:val="FootnoteText"/>
        <w:rPr>
          <w:lang w:val="en-US"/>
        </w:rPr>
      </w:pPr>
      <w:r>
        <w:rPr>
          <w:rStyle w:val="FootnoteReference"/>
          <w:lang w:val="en-US"/>
        </w:rPr>
        <w:t>3</w:t>
      </w:r>
      <w:r>
        <w:rPr>
          <w:lang w:val="en-US"/>
        </w:rPr>
        <w:tab/>
      </w:r>
      <w:r>
        <w:rPr>
          <w:i/>
          <w:lang w:val="en-US"/>
        </w:rPr>
        <w:t>Ibid</w:t>
      </w:r>
      <w:r>
        <w:rPr>
          <w:lang w:val="en-US"/>
        </w:rPr>
        <w:t>., p. 5.</w:t>
      </w:r>
    </w:p>
  </w:footnote>
  <w:footnote w:id="5">
    <w:p w:rsidR="00000000" w:rsidRDefault="00000000">
      <w:pPr>
        <w:pStyle w:val="FootnoteText"/>
        <w:rPr>
          <w:lang w:val="en-US"/>
        </w:rPr>
      </w:pPr>
      <w:r>
        <w:rPr>
          <w:rStyle w:val="FootnoteReference"/>
        </w:rPr>
        <w:footnoteRef/>
      </w:r>
      <w:r>
        <w:rPr>
          <w:lang w:val="en-US"/>
        </w:rPr>
        <w:t xml:space="preserve"> </w:t>
      </w:r>
      <w:r>
        <w:rPr>
          <w:lang w:val="en-US"/>
        </w:rPr>
        <w:tab/>
        <w:t>http://www.lgnz.co.nz/localgovt/lgfacts/faq/women.html</w:t>
      </w:r>
    </w:p>
  </w:footnote>
  <w:footnote w:id="6">
    <w:p w:rsidR="00000000" w:rsidRDefault="00000000">
      <w:pPr>
        <w:pStyle w:val="FootnoteText"/>
        <w:rPr>
          <w:lang w:val="en-US"/>
        </w:rPr>
      </w:pPr>
      <w:r>
        <w:rPr>
          <w:rStyle w:val="FootnoteReference"/>
        </w:rPr>
        <w:footnoteRef/>
      </w:r>
      <w:r>
        <w:rPr>
          <w:lang w:val="en-US"/>
        </w:rPr>
        <w:tab/>
        <w:t xml:space="preserve">State Services Commission, 2002, </w:t>
      </w:r>
      <w:r>
        <w:rPr>
          <w:i/>
          <w:lang w:val="en-US"/>
        </w:rPr>
        <w:t xml:space="preserve">Career Progression and Development Survey, 2000: Results for the New Zealand Public Service, </w:t>
      </w:r>
      <w:r>
        <w:rPr>
          <w:lang w:val="en-US"/>
        </w:rPr>
        <w:t>Wellington, pp. 90-104.</w:t>
      </w:r>
    </w:p>
  </w:footnote>
  <w:footnote w:id="7">
    <w:p w:rsidR="00000000" w:rsidRDefault="00000000">
      <w:pPr>
        <w:pStyle w:val="FootnoteText"/>
        <w:rPr>
          <w:i/>
        </w:rPr>
      </w:pPr>
      <w:r>
        <w:rPr>
          <w:rStyle w:val="FootnoteReference"/>
        </w:rPr>
        <w:footnoteRef/>
      </w:r>
      <w:r>
        <w:tab/>
      </w:r>
      <w:r>
        <w:rPr>
          <w:i/>
          <w:lang w:val="en-US"/>
        </w:rPr>
        <w:t>Ibid</w:t>
      </w:r>
      <w:r>
        <w:rPr>
          <w:i/>
        </w:rPr>
        <w:t>.</w:t>
      </w:r>
    </w:p>
  </w:footnote>
  <w:footnote w:id="8">
    <w:p w:rsidR="00000000" w:rsidRDefault="00000000">
      <w:pPr>
        <w:pStyle w:val="FootnoteText"/>
      </w:pPr>
      <w:r>
        <w:rPr>
          <w:rStyle w:val="FootnoteReference"/>
        </w:rPr>
        <w:footnoteRef/>
      </w:r>
      <w:r>
        <w:tab/>
        <w:t>Такая информация, представленная МДЖ женщинами, предназначена только для польз</w:t>
      </w:r>
      <w:r>
        <w:t>о</w:t>
      </w:r>
      <w:r>
        <w:t>вания Службой по вопросам назначений в соответствии с положениями Закона о частной жизни 1993 года.</w:t>
      </w:r>
    </w:p>
  </w:footnote>
  <w:footnote w:id="9">
    <w:p w:rsidR="00000000" w:rsidRDefault="00000000">
      <w:pPr>
        <w:pStyle w:val="FootnoteText"/>
      </w:pPr>
      <w:r>
        <w:rPr>
          <w:rStyle w:val="FootnoteReference"/>
        </w:rPr>
        <w:sym w:font="Symbol" w:char="F02A"/>
      </w:r>
      <w:r>
        <w:tab/>
        <w:t>Термин «народы пасифика» не относится к какой-либо этнической группе, национальн</w:t>
      </w:r>
      <w:r>
        <w:t>о</w:t>
      </w:r>
      <w:r>
        <w:t>сти или культуре. Он применяется Министерством образования и включает в себя ра</w:t>
      </w:r>
      <w:r>
        <w:t>з</w:t>
      </w:r>
      <w:r>
        <w:t>личные народности региона Южной части Тихого океана и Новой Зеландии, которые св</w:t>
      </w:r>
      <w:r>
        <w:t>я</w:t>
      </w:r>
      <w:r>
        <w:t>заны прочными семейными и культурными традициями с тихоокеанскими островными странами.</w:t>
      </w:r>
    </w:p>
  </w:footnote>
  <w:footnote w:id="10">
    <w:p w:rsidR="00000000" w:rsidRDefault="00000000">
      <w:pPr>
        <w:pStyle w:val="FootnoteText"/>
      </w:pPr>
      <w:r>
        <w:rPr>
          <w:rStyle w:val="FootnoteReference"/>
        </w:rPr>
        <w:footnoteRef/>
      </w:r>
      <w:r>
        <w:tab/>
        <w:t>Министерство образования, 2002 год.</w:t>
      </w:r>
    </w:p>
  </w:footnote>
  <w:footnote w:id="11">
    <w:p w:rsidR="00000000" w:rsidRDefault="00000000">
      <w:pPr>
        <w:pStyle w:val="FootnoteText"/>
      </w:pPr>
      <w:r>
        <w:rPr>
          <w:rStyle w:val="FootnoteReference"/>
        </w:rPr>
        <w:footnoteRef/>
      </w:r>
      <w:r>
        <w:tab/>
        <w:t>Cтатистическое управление Новой Зеландии.</w:t>
      </w:r>
    </w:p>
  </w:footnote>
  <w:footnote w:id="12">
    <w:p w:rsidR="00000000" w:rsidRDefault="00000000">
      <w:pPr>
        <w:pStyle w:val="FootnoteText"/>
      </w:pPr>
      <w:r>
        <w:rPr>
          <w:rStyle w:val="FootnoteReference"/>
        </w:rPr>
        <w:footnoteRef/>
      </w:r>
      <w:r>
        <w:tab/>
        <w:t>Cтатистическое управление Новой Зеландии.</w:t>
      </w:r>
    </w:p>
  </w:footnote>
  <w:footnote w:id="13">
    <w:p w:rsidR="00000000" w:rsidRDefault="00000000">
      <w:pPr>
        <w:pStyle w:val="FootnoteText"/>
      </w:pPr>
      <w:r>
        <w:rPr>
          <w:rStyle w:val="FootnoteReference"/>
        </w:rPr>
        <w:footnoteRef/>
      </w:r>
      <w:r>
        <w:tab/>
        <w:t>Министерство здравоохранения, 1999год.</w:t>
      </w:r>
    </w:p>
  </w:footnote>
  <w:footnote w:id="14">
    <w:p w:rsidR="00000000" w:rsidRDefault="00000000">
      <w:pPr>
        <w:pStyle w:val="FootnoteText"/>
      </w:pPr>
      <w:r>
        <w:rPr>
          <w:rStyle w:val="FootnoteReference"/>
        </w:rPr>
        <w:footnoteRef/>
      </w:r>
      <w:r>
        <w:rPr>
          <w:rStyle w:val="FootnoteReference"/>
        </w:rPr>
        <w:tab/>
      </w:r>
      <w:r>
        <w:t>Статистическое управление Новой Зеландии.</w:t>
      </w:r>
    </w:p>
  </w:footnote>
  <w:footnote w:id="15">
    <w:p w:rsidR="00000000" w:rsidRDefault="00000000">
      <w:pPr>
        <w:pStyle w:val="FootnoteText"/>
      </w:pPr>
      <w:r>
        <w:rPr>
          <w:rStyle w:val="FootnoteReference"/>
        </w:rPr>
        <w:footnoteRef/>
      </w:r>
      <w:r>
        <w:tab/>
        <w:t>Статистическое управление Новой Зеландии.</w:t>
      </w:r>
    </w:p>
  </w:footnote>
  <w:footnote w:id="16">
    <w:p w:rsidR="00000000" w:rsidRDefault="00000000">
      <w:pPr>
        <w:pStyle w:val="FootnoteText"/>
      </w:pPr>
      <w:r>
        <w:rPr>
          <w:rStyle w:val="FootnoteReference"/>
        </w:rPr>
        <w:footnoteRef/>
      </w:r>
      <w:r>
        <w:tab/>
        <w:t>Министерство здравоохранения, 2001 год.</w:t>
      </w:r>
    </w:p>
  </w:footnote>
  <w:footnote w:id="17">
    <w:p w:rsidR="00000000" w:rsidRDefault="00000000">
      <w:pPr>
        <w:pStyle w:val="FootnoteText"/>
        <w:rPr>
          <w:lang w:val="en-US"/>
        </w:rPr>
      </w:pPr>
      <w:r>
        <w:rPr>
          <w:rStyle w:val="FootnoteReference"/>
        </w:rPr>
        <w:footnoteRef/>
      </w:r>
      <w:r>
        <w:rPr>
          <w:lang w:val="en-US"/>
        </w:rPr>
        <w:tab/>
        <w:t xml:space="preserve">Salmond </w:t>
      </w:r>
      <w:r>
        <w:rPr>
          <w:i/>
          <w:lang w:val="en-US"/>
        </w:rPr>
        <w:t>et al</w:t>
      </w:r>
      <w:r>
        <w:rPr>
          <w:lang w:val="en-US"/>
        </w:rPr>
        <w:t>., 1998.</w:t>
      </w:r>
    </w:p>
  </w:footnote>
  <w:footnote w:id="18">
    <w:p w:rsidR="00000000" w:rsidRDefault="00000000">
      <w:pPr>
        <w:pStyle w:val="FootnoteText"/>
      </w:pPr>
      <w:r>
        <w:rPr>
          <w:rStyle w:val="FootnoteReference"/>
        </w:rPr>
        <w:footnoteRef/>
      </w:r>
      <w:r>
        <w:tab/>
        <w:t>Служба медико-санитарной информации Новой Зеландии (СМИНЗ).</w:t>
      </w:r>
    </w:p>
  </w:footnote>
  <w:footnote w:id="19">
    <w:p w:rsidR="00000000" w:rsidRDefault="00000000">
      <w:pPr>
        <w:pStyle w:val="FootnoteText"/>
      </w:pPr>
      <w:r>
        <w:rPr>
          <w:rStyle w:val="FootnoteReference"/>
        </w:rPr>
        <w:footnoteRef/>
      </w:r>
      <w:r>
        <w:tab/>
        <w:t>Предварительные данные СМИНЗ</w:t>
      </w:r>
    </w:p>
  </w:footnote>
  <w:footnote w:id="20">
    <w:p w:rsidR="00000000" w:rsidRDefault="00000000">
      <w:pPr>
        <w:pStyle w:val="FootnoteText"/>
      </w:pPr>
      <w:r>
        <w:rPr>
          <w:rStyle w:val="FootnoteReference"/>
        </w:rPr>
        <w:footnoteRef/>
      </w:r>
      <w:r>
        <w:tab/>
        <w:t>В этническую группу «Европейцы/Прочие» включены все граждане кроме маори и ж</w:t>
      </w:r>
      <w:r>
        <w:t>и</w:t>
      </w:r>
      <w:r>
        <w:t>телей тихоокеанских стровов.</w:t>
      </w:r>
    </w:p>
  </w:footnote>
  <w:footnote w:id="21">
    <w:p w:rsidR="00000000" w:rsidRDefault="00000000">
      <w:pPr>
        <w:pStyle w:val="FootnoteText"/>
      </w:pPr>
      <w:r>
        <w:rPr>
          <w:rStyle w:val="FootnoteReference"/>
        </w:rPr>
        <w:t>19</w:t>
      </w:r>
      <w:r>
        <w:rPr>
          <w:rStyle w:val="FootnoteReference"/>
        </w:rPr>
        <w:tab/>
      </w:r>
      <w:r>
        <w:t>Министерство здравоохранения.</w:t>
      </w:r>
    </w:p>
  </w:footnote>
  <w:footnote w:id="22">
    <w:p w:rsidR="00000000" w:rsidRDefault="00000000">
      <w:pPr>
        <w:pStyle w:val="FootnoteText"/>
      </w:pPr>
      <w:r>
        <w:rPr>
          <w:rStyle w:val="FootnoteReference"/>
        </w:rPr>
        <w:t>20</w:t>
      </w:r>
      <w:r>
        <w:tab/>
        <w:t>Министерство здравоохранения и СМИНЗ.</w:t>
      </w:r>
    </w:p>
  </w:footnote>
  <w:footnote w:id="23">
    <w:p w:rsidR="00000000" w:rsidRDefault="00000000">
      <w:pPr>
        <w:pStyle w:val="FootnoteText"/>
      </w:pPr>
      <w:r>
        <w:rPr>
          <w:rStyle w:val="FootnoteReference"/>
        </w:rPr>
        <w:t>21</w:t>
      </w:r>
      <w:r>
        <w:tab/>
        <w:t>СМИЗ.</w:t>
      </w:r>
    </w:p>
  </w:footnote>
  <w:footnote w:id="24">
    <w:p w:rsidR="00000000" w:rsidRDefault="00000000">
      <w:pPr>
        <w:pStyle w:val="FootnoteText"/>
      </w:pPr>
      <w:r>
        <w:rPr>
          <w:rStyle w:val="FootnoteReference"/>
        </w:rPr>
        <w:t>22</w:t>
      </w:r>
      <w:r>
        <w:tab/>
        <w:t>Возрастная группа 50-69 лет рассматривается здесь, поскольку все женщины этого во</w:t>
      </w:r>
      <w:r>
        <w:t>з</w:t>
      </w:r>
      <w:r>
        <w:t>раста имеют право на участие в национальной программе обследования для выявления заболеваний раком молочной железы.</w:t>
      </w:r>
    </w:p>
  </w:footnote>
  <w:footnote w:id="25">
    <w:p w:rsidR="00000000" w:rsidRDefault="00000000">
      <w:pPr>
        <w:pStyle w:val="FootnoteText"/>
      </w:pPr>
      <w:r>
        <w:rPr>
          <w:rStyle w:val="FootnoteReference"/>
        </w:rPr>
        <w:t>23</w:t>
      </w:r>
      <w:r>
        <w:tab/>
        <w:t>Неопубликованные данные Министерства здравоохранения</w:t>
      </w:r>
    </w:p>
  </w:footnote>
  <w:footnote w:id="26">
    <w:p w:rsidR="00000000" w:rsidRDefault="00000000">
      <w:pPr>
        <w:pStyle w:val="FootnoteText"/>
      </w:pPr>
      <w:r>
        <w:rPr>
          <w:rStyle w:val="FootnoteReference"/>
        </w:rPr>
        <w:t>24</w:t>
      </w:r>
      <w:r>
        <w:tab/>
        <w:t>Министерство здравоохранения, 2002 год.</w:t>
      </w:r>
    </w:p>
  </w:footnote>
  <w:footnote w:id="27">
    <w:p w:rsidR="00000000" w:rsidRDefault="00000000">
      <w:pPr>
        <w:pStyle w:val="FootnoteText"/>
      </w:pPr>
      <w:r>
        <w:rPr>
          <w:rStyle w:val="FootnoteReference"/>
        </w:rPr>
        <w:t>25</w:t>
      </w:r>
      <w:r>
        <w:tab/>
        <w:t>Данные Министерства здравоохранения, 2000 год.</w:t>
      </w:r>
    </w:p>
  </w:footnote>
  <w:footnote w:id="28">
    <w:p w:rsidR="00000000" w:rsidRDefault="00000000">
      <w:pPr>
        <w:pStyle w:val="FootnoteText"/>
        <w:rPr>
          <w:lang w:val="en-US"/>
        </w:rPr>
      </w:pPr>
      <w:r>
        <w:rPr>
          <w:rStyle w:val="FootnoteReference"/>
          <w:lang w:val="en-US"/>
        </w:rPr>
        <w:t>26</w:t>
      </w:r>
      <w:r>
        <w:rPr>
          <w:lang w:val="en-US"/>
        </w:rPr>
        <w:tab/>
        <w:t xml:space="preserve">Ministry of Health, 1997, “Wider mental health issues for women”, </w:t>
      </w:r>
      <w:r>
        <w:rPr>
          <w:i/>
          <w:lang w:val="en-US"/>
        </w:rPr>
        <w:t>Mental Health in New Zealand from a Public Health Perspective</w:t>
      </w:r>
      <w:r>
        <w:rPr>
          <w:lang w:val="en-US"/>
        </w:rPr>
        <w:t>, Wellington.</w:t>
      </w:r>
    </w:p>
  </w:footnote>
  <w:footnote w:id="29">
    <w:p w:rsidR="00000000" w:rsidRDefault="00000000">
      <w:pPr>
        <w:pStyle w:val="FootnoteText"/>
        <w:rPr>
          <w:lang w:val="en-US"/>
        </w:rPr>
      </w:pPr>
      <w:r>
        <w:rPr>
          <w:rStyle w:val="FootnoteReference"/>
          <w:lang w:val="en-US"/>
        </w:rPr>
        <w:t>27</w:t>
      </w:r>
      <w:r>
        <w:rPr>
          <w:lang w:val="en-US"/>
        </w:rPr>
        <w:tab/>
        <w:t>Ibid.</w:t>
      </w:r>
    </w:p>
  </w:footnote>
  <w:footnote w:id="30">
    <w:p w:rsidR="00000000" w:rsidRDefault="00000000">
      <w:pPr>
        <w:pStyle w:val="FootnoteText"/>
        <w:rPr>
          <w:lang w:val="en-US"/>
        </w:rPr>
      </w:pPr>
      <w:r>
        <w:rPr>
          <w:rStyle w:val="FootnoteReference"/>
          <w:lang w:val="en-US"/>
        </w:rPr>
        <w:t>28</w:t>
      </w:r>
      <w:r>
        <w:rPr>
          <w:lang w:val="en-US"/>
        </w:rPr>
        <w:tab/>
        <w:t>UN Bulletin on Ageing, 1999.</w:t>
      </w:r>
    </w:p>
  </w:footnote>
  <w:footnote w:id="31">
    <w:p w:rsidR="00000000" w:rsidRDefault="00000000">
      <w:pPr>
        <w:pStyle w:val="FootnoteText"/>
      </w:pPr>
      <w:r>
        <w:rPr>
          <w:rStyle w:val="FootnoteReference"/>
        </w:rPr>
        <w:t>29</w:t>
      </w:r>
      <w:r>
        <w:tab/>
        <w:t>Согласно переписи 2001 года 81,1% женщин в возрасте 85 лет и старше были вдовами по сравнению с 43,3% мужчин в той же возрастной группы (Статистическое управление Н</w:t>
      </w:r>
      <w:r>
        <w:t>о</w:t>
      </w:r>
      <w:r>
        <w:t>вой Зеландии).</w:t>
      </w:r>
    </w:p>
  </w:footnote>
  <w:footnote w:id="32">
    <w:p w:rsidR="00000000" w:rsidRDefault="00000000">
      <w:pPr>
        <w:pStyle w:val="FootnoteText"/>
      </w:pPr>
      <w:r>
        <w:rPr>
          <w:rStyle w:val="FootnoteReference"/>
        </w:rPr>
        <w:t>30</w:t>
      </w:r>
      <w:r>
        <w:tab/>
        <w:t>Пожилые женщины в возрасте 80 лет входили в возрастную группу, представительницы которой могли с наибольшей вероятностью остаться в одиночестве (в 2001 году половина женщин в возрасте 80 лет были одинокими). Меньше женщин в возрасте 90 лет жили одиноко, поскольку у них возрастали вероятность получить инвалидность и потребность в уходе (Статистическое управление Новой Зеландии).</w:t>
      </w:r>
    </w:p>
  </w:footnote>
  <w:footnote w:id="33">
    <w:p w:rsidR="00000000" w:rsidRDefault="00000000">
      <w:pPr>
        <w:pStyle w:val="FootnoteText"/>
        <w:rPr>
          <w:lang w:val="en-US"/>
        </w:rPr>
      </w:pPr>
      <w:r>
        <w:rPr>
          <w:rStyle w:val="FootnoteReference"/>
          <w:lang w:val="en-US"/>
        </w:rPr>
        <w:t>31</w:t>
      </w:r>
      <w:r>
        <w:rPr>
          <w:lang w:val="en-US"/>
        </w:rPr>
        <w:tab/>
      </w:r>
      <w:r>
        <w:rPr>
          <w:i/>
          <w:lang w:val="en-US"/>
        </w:rPr>
        <w:t>Ibid.</w:t>
      </w:r>
    </w:p>
  </w:footnote>
  <w:footnote w:id="34">
    <w:p w:rsidR="00000000" w:rsidRDefault="00000000">
      <w:pPr>
        <w:pStyle w:val="FootnoteText"/>
        <w:rPr>
          <w:lang w:val="en-US"/>
        </w:rPr>
      </w:pPr>
      <w:r>
        <w:rPr>
          <w:rStyle w:val="FootnoteReference"/>
          <w:lang w:val="en-US"/>
        </w:rPr>
        <w:t>32</w:t>
      </w:r>
      <w:r>
        <w:rPr>
          <w:lang w:val="en-US"/>
        </w:rPr>
        <w:tab/>
        <w:t xml:space="preserve">National </w:t>
      </w:r>
      <w:r>
        <w:rPr>
          <w:sz w:val="22"/>
          <w:lang w:val="en-US"/>
        </w:rPr>
        <w:t>Health</w:t>
      </w:r>
      <w:r>
        <w:rPr>
          <w:lang w:val="en-US"/>
        </w:rPr>
        <w:t xml:space="preserve"> Committee, 1998, </w:t>
      </w:r>
      <w:r>
        <w:rPr>
          <w:i/>
          <w:lang w:val="en-US"/>
        </w:rPr>
        <w:t>The Social, Cultural and Economic Determinants of Health in New Zealand: Action to Improve Health</w:t>
      </w:r>
      <w:r>
        <w:rPr>
          <w:lang w:val="en-US"/>
        </w:rPr>
        <w:t>.</w:t>
      </w:r>
    </w:p>
  </w:footnote>
  <w:footnote w:id="35">
    <w:p w:rsidR="00000000" w:rsidRDefault="00000000">
      <w:pPr>
        <w:pStyle w:val="FootnoteText"/>
        <w:rPr>
          <w:lang w:val="en-US"/>
        </w:rPr>
      </w:pPr>
      <w:r>
        <w:rPr>
          <w:rStyle w:val="FootnoteReference"/>
          <w:lang w:val="en-US"/>
        </w:rPr>
        <w:t>33</w:t>
      </w:r>
      <w:r>
        <w:rPr>
          <w:lang w:val="en-US"/>
        </w:rPr>
        <w:tab/>
        <w:t xml:space="preserve">Fergusson et al., 2001, </w:t>
      </w:r>
      <w:r>
        <w:rPr>
          <w:i/>
          <w:lang w:val="en-US"/>
        </w:rPr>
        <w:t>The Living Standards of Older New Zealanders</w:t>
      </w:r>
      <w:r>
        <w:rPr>
          <w:lang w:val="en-US"/>
        </w:rPr>
        <w:t>.</w:t>
      </w:r>
    </w:p>
  </w:footnote>
  <w:footnote w:id="36">
    <w:p w:rsidR="00000000" w:rsidRDefault="00000000">
      <w:pPr>
        <w:pStyle w:val="FootnoteText"/>
      </w:pPr>
      <w:r>
        <w:rPr>
          <w:rStyle w:val="FootnoteReference"/>
        </w:rPr>
        <w:t>34</w:t>
      </w:r>
      <w:r>
        <w:rPr>
          <w:rFonts w:ascii="Arial" w:hAnsi="Arial"/>
          <w:sz w:val="22"/>
        </w:rPr>
        <w:tab/>
      </w:r>
      <w:r>
        <w:t>Аналитическая группа по вопросам здравоохранения и инв</w:t>
      </w:r>
      <w:r>
        <w:t>а</w:t>
      </w:r>
      <w:r>
        <w:t>лидности, 1997 год.</w:t>
      </w:r>
    </w:p>
  </w:footnote>
  <w:footnote w:id="37">
    <w:p w:rsidR="00000000" w:rsidRDefault="00000000">
      <w:pPr>
        <w:pStyle w:val="FootnoteText"/>
      </w:pPr>
      <w:r>
        <w:rPr>
          <w:rStyle w:val="FootnoteReference"/>
        </w:rPr>
        <w:t>35</w:t>
      </w:r>
      <w:r>
        <w:rPr>
          <w:rFonts w:ascii="Arial" w:hAnsi="Arial"/>
          <w:sz w:val="22"/>
        </w:rPr>
        <w:tab/>
      </w:r>
      <w:r>
        <w:t>Многоотраслевое исследование в области здравоохранения и развития в Данидине.</w:t>
      </w:r>
    </w:p>
  </w:footnote>
  <w:footnote w:id="38">
    <w:p w:rsidR="00000000" w:rsidRDefault="00000000">
      <w:pPr>
        <w:pStyle w:val="FootnoteText"/>
        <w:rPr>
          <w:lang w:val="en-US"/>
        </w:rPr>
      </w:pPr>
      <w:r>
        <w:rPr>
          <w:rStyle w:val="FootnoteReference"/>
        </w:rPr>
        <w:t>36 </w:t>
      </w:r>
      <w:r>
        <w:rPr>
          <w:lang w:val="en-US"/>
        </w:rPr>
        <w:tab/>
        <w:t xml:space="preserve">Dickson </w:t>
      </w:r>
      <w:r>
        <w:rPr>
          <w:i/>
          <w:lang w:val="en-US"/>
        </w:rPr>
        <w:t>et al.,</w:t>
      </w:r>
      <w:r>
        <w:rPr>
          <w:lang w:val="en-US"/>
        </w:rPr>
        <w:t xml:space="preserve"> 1998.</w:t>
      </w:r>
    </w:p>
  </w:footnote>
  <w:footnote w:id="39">
    <w:p w:rsidR="00000000" w:rsidRDefault="00000000">
      <w:pPr>
        <w:pStyle w:val="FootnoteText"/>
        <w:rPr>
          <w:lang w:val="en-US"/>
        </w:rPr>
      </w:pPr>
      <w:r>
        <w:rPr>
          <w:rStyle w:val="FootnoteReference"/>
        </w:rPr>
        <w:t>37</w:t>
      </w:r>
      <w:r>
        <w:rPr>
          <w:rFonts w:ascii="Arial" w:hAnsi="Arial"/>
          <w:sz w:val="22"/>
          <w:lang w:val="en-US"/>
        </w:rPr>
        <w:tab/>
      </w:r>
      <w:r>
        <w:rPr>
          <w:lang w:val="en-US"/>
        </w:rPr>
        <w:t xml:space="preserve"> Fenwick and Purdie, 2000.</w:t>
      </w:r>
    </w:p>
  </w:footnote>
  <w:footnote w:id="40">
    <w:p w:rsidR="00000000" w:rsidRDefault="00000000">
      <w:pPr>
        <w:pStyle w:val="FootnoteText"/>
      </w:pPr>
      <w:r>
        <w:rPr>
          <w:rStyle w:val="FootnoteReference"/>
        </w:rPr>
        <w:t>38</w:t>
      </w:r>
      <w:r>
        <w:tab/>
        <w:t>Статистические данные по Новой Зеландии.</w:t>
      </w:r>
    </w:p>
  </w:footnote>
  <w:footnote w:id="41">
    <w:p w:rsidR="00000000" w:rsidRDefault="00000000">
      <w:pPr>
        <w:pStyle w:val="FootnoteText"/>
        <w:rPr>
          <w:lang w:val="de-DE"/>
        </w:rPr>
      </w:pPr>
      <w:r>
        <w:rPr>
          <w:rStyle w:val="FootnoteReference"/>
        </w:rPr>
        <w:t>39 </w:t>
      </w:r>
      <w:r>
        <w:rPr>
          <w:lang w:val="de-DE"/>
        </w:rPr>
        <w:tab/>
        <w:t xml:space="preserve">Dharmalingham </w:t>
      </w:r>
      <w:r>
        <w:rPr>
          <w:i/>
          <w:lang w:val="de-DE"/>
        </w:rPr>
        <w:t>et al.,</w:t>
      </w:r>
      <w:r>
        <w:rPr>
          <w:lang w:val="de-DE"/>
        </w:rPr>
        <w:t xml:space="preserve"> 1997.</w:t>
      </w:r>
    </w:p>
  </w:footnote>
  <w:footnote w:id="42">
    <w:p w:rsidR="00000000" w:rsidRDefault="00000000">
      <w:pPr>
        <w:pStyle w:val="FootnoteText"/>
        <w:rPr>
          <w:lang w:val="de-DE"/>
        </w:rPr>
      </w:pPr>
      <w:r>
        <w:rPr>
          <w:rStyle w:val="FootnoteReference"/>
        </w:rPr>
        <w:t>40 </w:t>
      </w:r>
      <w:r>
        <w:rPr>
          <w:lang w:val="de-DE"/>
        </w:rPr>
        <w:tab/>
        <w:t>ESR, 2002.</w:t>
      </w:r>
    </w:p>
  </w:footnote>
  <w:footnote w:id="43">
    <w:p w:rsidR="00000000" w:rsidRDefault="00000000">
      <w:pPr>
        <w:pStyle w:val="FootnoteText"/>
        <w:rPr>
          <w:lang w:val="de-DE"/>
        </w:rPr>
      </w:pPr>
      <w:r>
        <w:rPr>
          <w:rStyle w:val="FootnoteReference"/>
        </w:rPr>
        <w:t>41 </w:t>
      </w:r>
      <w:r>
        <w:rPr>
          <w:lang w:val="de-DE"/>
        </w:rPr>
        <w:tab/>
        <w:t>ESR, 2002.</w:t>
      </w:r>
    </w:p>
  </w:footnote>
  <w:footnote w:id="44">
    <w:p w:rsidR="00000000" w:rsidRDefault="00000000">
      <w:pPr>
        <w:pStyle w:val="FootnoteText"/>
        <w:rPr>
          <w:lang w:val="en-US"/>
        </w:rPr>
      </w:pPr>
      <w:r>
        <w:rPr>
          <w:rStyle w:val="FootnoteReference"/>
        </w:rPr>
        <w:t>42 </w:t>
      </w:r>
      <w:r>
        <w:rPr>
          <w:lang w:val="en-US"/>
        </w:rPr>
        <w:tab/>
        <w:t>ESR, 2002.</w:t>
      </w:r>
    </w:p>
  </w:footnote>
  <w:footnote w:id="45">
    <w:p w:rsidR="00000000" w:rsidRDefault="00000000">
      <w:pPr>
        <w:pStyle w:val="FootnoteText"/>
        <w:rPr>
          <w:lang w:val="en-US"/>
        </w:rPr>
      </w:pPr>
      <w:r>
        <w:rPr>
          <w:rStyle w:val="FootnoteReference"/>
        </w:rPr>
        <w:t>43 </w:t>
      </w:r>
      <w:r>
        <w:rPr>
          <w:lang w:val="en-GB"/>
        </w:rPr>
        <w:tab/>
      </w:r>
      <w:r>
        <w:rPr>
          <w:lang w:val="en-US"/>
        </w:rPr>
        <w:t>Workforce Profile report, February 2002.</w:t>
      </w:r>
    </w:p>
  </w:footnote>
  <w:footnote w:id="46">
    <w:p w:rsidR="00000000" w:rsidRDefault="00000000">
      <w:pPr>
        <w:pStyle w:val="FootnoteText"/>
        <w:rPr>
          <w:lang w:val="en-US"/>
        </w:rPr>
      </w:pPr>
      <w:r>
        <w:rPr>
          <w:rStyle w:val="FootnoteReference"/>
        </w:rPr>
        <w:t>44 </w:t>
      </w:r>
      <w:r>
        <w:rPr>
          <w:lang w:val="en-GB"/>
        </w:rPr>
        <w:tab/>
      </w:r>
      <w:r>
        <w:rPr>
          <w:lang w:val="en-US"/>
        </w:rPr>
        <w:t>Nursing Council of New Zealand workforce statistics 1998/99, pp.21-22.</w:t>
      </w:r>
    </w:p>
  </w:footnote>
  <w:footnote w:id="47">
    <w:p w:rsidR="00000000" w:rsidRDefault="00000000">
      <w:pPr>
        <w:pStyle w:val="FootnoteText"/>
      </w:pPr>
      <w:r>
        <w:rPr>
          <w:rStyle w:val="FootnoteReference"/>
        </w:rPr>
        <w:t>45 </w:t>
      </w:r>
      <w:r>
        <w:tab/>
        <w:t>Австралийский консультативный комитет по трудовым ресурсам в сфере здравоохран</w:t>
      </w:r>
      <w:r>
        <w:t>е</w:t>
      </w:r>
      <w:r>
        <w:t>ния, 1998 год.</w:t>
      </w:r>
    </w:p>
  </w:footnote>
  <w:footnote w:id="48">
    <w:p w:rsidR="00000000" w:rsidRDefault="00000000">
      <w:pPr>
        <w:pStyle w:val="FootnoteText"/>
      </w:pPr>
      <w:r>
        <w:rPr>
          <w:rStyle w:val="FootnoteReference"/>
        </w:rPr>
        <w:t>46</w:t>
      </w:r>
      <w:r>
        <w:rPr>
          <w:rFonts w:ascii="Arial" w:hAnsi="Arial"/>
          <w:sz w:val="22"/>
        </w:rPr>
        <w:tab/>
      </w:r>
      <w:r>
        <w:t>Медицинский совет Новой Зеландии, 2001 год.</w:t>
      </w:r>
    </w:p>
  </w:footnote>
  <w:footnote w:id="49">
    <w:p w:rsidR="00000000" w:rsidRDefault="00000000">
      <w:pPr>
        <w:pStyle w:val="FootnoteText"/>
      </w:pPr>
      <w:r>
        <w:rPr>
          <w:rStyle w:val="FootnoteReference"/>
        </w:rPr>
        <w:t>47 </w:t>
      </w:r>
      <w:r>
        <w:tab/>
        <w:t>Для целей настоящего доклада — свыше 70 процентов.</w:t>
      </w:r>
    </w:p>
  </w:footnote>
  <w:footnote w:id="50">
    <w:p w:rsidR="00000000" w:rsidRDefault="00000000">
      <w:pPr>
        <w:pStyle w:val="FootnoteText"/>
      </w:pPr>
      <w:r>
        <w:rPr>
          <w:rStyle w:val="FootnoteReference"/>
        </w:rPr>
        <w:t>48 </w:t>
      </w:r>
      <w:r>
        <w:tab/>
        <w:t>Для целей настоящего доклада — менее 20 процентов.</w:t>
      </w:r>
    </w:p>
  </w:footnote>
  <w:footnote w:id="51">
    <w:p w:rsidR="00000000" w:rsidRDefault="00000000">
      <w:pPr>
        <w:pStyle w:val="FootnoteText"/>
      </w:pPr>
      <w:r>
        <w:rPr>
          <w:rStyle w:val="FootnoteReference"/>
        </w:rPr>
        <w:t>49</w:t>
      </w:r>
      <w:r>
        <w:tab/>
        <w:t>Анализ случаев повторного заключения под стражу женщин, освободившихся из мест заключения, показывает, что 31 процент женщин вновь попадают в тюрьму в течение 12 месяцев, 32 процента – в течение 24 месяцев и 33 процента – в течение 36 месяцев, в то время как среди мужчин эти показатели составляют 37 процентов, 39 процентов и 40 процентов.</w:t>
      </w:r>
    </w:p>
  </w:footnote>
  <w:footnote w:id="52">
    <w:p w:rsidR="00000000" w:rsidRDefault="00000000">
      <w:pPr>
        <w:pStyle w:val="FootnoteText"/>
      </w:pPr>
      <w:r>
        <w:rPr>
          <w:rStyle w:val="FootnoteReference"/>
        </w:rPr>
        <w:t>50</w:t>
      </w:r>
      <w:r>
        <w:tab/>
        <w:t>Всего было опрошено 5846 взрослых лиц в возрасте 18 лет и старше. Из обследованных лиц 806 назвали себя маори и 175 – жителями тихоокеанских островов. В ходе обслед</w:t>
      </w:r>
      <w:r>
        <w:t>о</w:t>
      </w:r>
      <w:r>
        <w:t>вания устанавливался уровень участия в творческой деятельности за двенадцатимеся</w:t>
      </w:r>
      <w:r>
        <w:t>ч</w:t>
      </w:r>
      <w:r>
        <w:t>ный и четырехнедельный период. Это обследование проводилось в течение 1997-1998 годов.</w:t>
      </w:r>
    </w:p>
  </w:footnote>
  <w:footnote w:id="53">
    <w:p w:rsidR="00000000" w:rsidRDefault="00000000">
      <w:pPr>
        <w:pStyle w:val="FootnoteText"/>
        <w:rPr>
          <w:lang w:val="en-US"/>
        </w:rPr>
      </w:pPr>
      <w:r>
        <w:rPr>
          <w:rStyle w:val="a"/>
          <w:lang w:val="en-US"/>
        </w:rPr>
        <w:t>51</w:t>
      </w:r>
      <w:r>
        <w:rPr>
          <w:lang w:val="en-US"/>
        </w:rPr>
        <w:tab/>
      </w:r>
      <w:r>
        <w:rPr>
          <w:i/>
          <w:lang w:val="en-US"/>
        </w:rPr>
        <w:t>Singh v Singh</w:t>
      </w:r>
      <w:r>
        <w:rPr>
          <w:lang w:val="en-US"/>
        </w:rPr>
        <w:t xml:space="preserve"> [1971] 2 All ER 928, 831.</w:t>
      </w:r>
    </w:p>
  </w:footnote>
  <w:footnote w:id="54">
    <w:p w:rsidR="00000000" w:rsidRDefault="00000000">
      <w:pPr>
        <w:pStyle w:val="FootnoteText"/>
        <w:rPr>
          <w:lang w:val="en-US"/>
        </w:rPr>
      </w:pPr>
      <w:r>
        <w:rPr>
          <w:rStyle w:val="a"/>
          <w:lang w:val="en-US"/>
        </w:rPr>
        <w:t>52</w:t>
      </w:r>
      <w:r>
        <w:rPr>
          <w:lang w:val="en-US"/>
        </w:rPr>
        <w:tab/>
        <w:t>Ministry of Health, 2001.</w:t>
      </w:r>
    </w:p>
  </w:footnote>
  <w:footnote w:id="55">
    <w:p w:rsidR="00000000" w:rsidRDefault="00000000">
      <w:pPr>
        <w:pStyle w:val="FootnoteText"/>
        <w:rPr>
          <w:lang w:val="en-US"/>
        </w:rPr>
      </w:pPr>
      <w:r>
        <w:rPr>
          <w:rStyle w:val="a"/>
          <w:lang w:val="en-US"/>
        </w:rPr>
        <w:t>53</w:t>
      </w:r>
      <w:r>
        <w:rPr>
          <w:lang w:val="en-US"/>
        </w:rPr>
        <w:tab/>
        <w:t>Fanslow, 1995.</w:t>
      </w:r>
    </w:p>
  </w:footnote>
  <w:footnote w:id="56">
    <w:p w:rsidR="00000000" w:rsidRDefault="00000000">
      <w:pPr>
        <w:pStyle w:val="FootnoteText"/>
        <w:rPr>
          <w:lang w:val="en-US"/>
        </w:rPr>
      </w:pPr>
      <w:r>
        <w:rPr>
          <w:rStyle w:val="a"/>
          <w:lang w:val="en-US"/>
        </w:rPr>
        <w:t>54</w:t>
      </w:r>
      <w:r>
        <w:rPr>
          <w:lang w:val="en-US"/>
        </w:rPr>
        <w:tab/>
      </w:r>
      <w:r>
        <w:rPr>
          <w:i/>
          <w:lang w:val="en-US"/>
        </w:rPr>
        <w:t>Ibid</w:t>
      </w:r>
      <w:r>
        <w:rPr>
          <w:lang w:val="en-US"/>
        </w:rPr>
        <w:t>.</w:t>
      </w:r>
    </w:p>
  </w:footnote>
  <w:footnote w:id="57">
    <w:p w:rsidR="00000000" w:rsidRDefault="00000000">
      <w:pPr>
        <w:pStyle w:val="FootnoteText"/>
        <w:rPr>
          <w:lang w:val="en-US"/>
        </w:rPr>
      </w:pPr>
      <w:r>
        <w:rPr>
          <w:rStyle w:val="a"/>
          <w:lang w:val="en-US"/>
        </w:rPr>
        <w:t>55</w:t>
      </w:r>
      <w:r>
        <w:rPr>
          <w:lang w:val="en-US"/>
        </w:rPr>
        <w:tab/>
        <w:t>Maxwell, 1994.</w:t>
      </w:r>
    </w:p>
  </w:footnote>
  <w:footnote w:id="58">
    <w:p w:rsidR="00000000" w:rsidRDefault="00000000">
      <w:pPr>
        <w:pStyle w:val="FootnoteText"/>
        <w:rPr>
          <w:lang w:val="en-US"/>
        </w:rPr>
      </w:pPr>
      <w:r>
        <w:rPr>
          <w:rStyle w:val="a"/>
          <w:lang w:val="en-US"/>
        </w:rPr>
        <w:t>56</w:t>
      </w:r>
      <w:r>
        <w:rPr>
          <w:lang w:val="en-US"/>
        </w:rPr>
        <w:tab/>
        <w:t>Chambers and Chambers, 1989.</w:t>
      </w:r>
    </w:p>
  </w:footnote>
  <w:footnote w:id="59">
    <w:p w:rsidR="00000000" w:rsidRDefault="00000000">
      <w:pPr>
        <w:pStyle w:val="FootnoteText"/>
      </w:pPr>
      <w:r>
        <w:rPr>
          <w:rStyle w:val="a"/>
        </w:rPr>
        <w:t>*</w:t>
      </w:r>
      <w:r>
        <w:tab/>
        <w:t>Представленная Лигой обеспечения благосостояния женщин-маори информация основ</w:t>
      </w:r>
      <w:r>
        <w:t>а</w:t>
      </w:r>
      <w:r>
        <w:t>на на ряде консультаций в интересах женщин-маори, проводившихся этой лигой во всех населенных пунктах Новой Зеландии.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next-textbox:#_x0000_s1026;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next-textbox:#_x0000_s1025;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ind w:left="0" w:right="0"/>
            <w:rPr>
              <w:b w:val="0"/>
              <w:spacing w:val="2"/>
              <w:w w:val="96"/>
            </w:rPr>
          </w:pPr>
          <w:r>
            <w:rPr>
              <w:b w:val="0"/>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/C/NZL/5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6.25pt;height:46.5pt" fillcolor="window">
                <v:imagedata r:id="rId1" o:title="_unlogo"/>
              </v:shape>
            </w:pict>
          </w:r>
        </w:p>
      </w:tc>
      <w:tc>
        <w:tcPr>
          <w:tcW w:w="5227" w:type="dxa"/>
          <w:gridSpan w:val="3"/>
          <w:tcBorders>
            <w:left w:val="nil"/>
            <w:bottom w:val="single" w:sz="12" w:space="0" w:color="auto"/>
            <w:right w:val="nil"/>
          </w:tcBorders>
        </w:tcPr>
        <w:p w:rsidR="00000000" w:rsidRDefault="00000000">
          <w:pPr>
            <w:spacing w:before="109" w:line="240" w:lineRule="auto"/>
            <w:rPr>
              <w:b/>
              <w:sz w:val="40"/>
            </w:rPr>
          </w:pPr>
          <w:r>
            <w:rPr>
              <w:b/>
              <w:sz w:val="40"/>
            </w:rPr>
            <w:t>Конвенция о ликвидации</w:t>
          </w:r>
        </w:p>
        <w:p w:rsidR="00000000" w:rsidRDefault="00000000">
          <w:pPr>
            <w:spacing w:before="109" w:line="240" w:lineRule="auto"/>
            <w:rPr>
              <w:b/>
              <w:sz w:val="40"/>
            </w:rPr>
          </w:pPr>
          <w:r>
            <w:rPr>
              <w:b/>
              <w:sz w:val="40"/>
            </w:rPr>
            <w:t>всех форм дискриминации</w:t>
          </w:r>
        </w:p>
        <w:p w:rsidR="00000000" w:rsidRDefault="00000000">
          <w:pPr>
            <w:spacing w:before="109" w:line="240" w:lineRule="auto"/>
            <w:rPr>
              <w:sz w:val="34"/>
            </w:rPr>
          </w:pPr>
          <w:r>
            <w:rPr>
              <w:b/>
              <w:sz w:val="40"/>
            </w:rPr>
            <w:t>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14 October 2002</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4;mso-position-horizontal:absolute;mso-position-horizontal-relative:text;mso-position-vertical:absolute;mso-position-vertical-relative:text" o:allowincell="f" stroked="f">
          <v:textbox style="mso-next-textbox:#_x0000_s1068;mso-rotate-with-shape:t" inset="0,0,0,0">
            <w:txbxContent>
              <w:tbl>
                <w:tblPr>
                  <w:tblW w:w="0" w:type="auto"/>
                  <w:tblInd w:w="11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CEDAW/C/NZL/5</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7" type="#_x0000_t202" style="position:absolute;margin-left:-5.75pt;margin-top:0;width:7in;height:50.4pt;z-index:3;mso-position-horizontal:absolute;mso-position-horizontal-relative:text;mso-position-vertical:absolute;mso-position-vertical-relative:text" o:allowincell="f" stroked="f">
          <v:textbox style="mso-next-textbox:#_x0000_s1067;mso-rotate-with-shape:t" inset="0,0,0,0">
            <w:txbxContent>
              <w:tbl>
                <w:tblPr>
                  <w:tblW w:w="0" w:type="auto"/>
                  <w:tblInd w:w="11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CEDAW/C/NZL/5</w:t>
                      </w:r>
                    </w:p>
                  </w:tc>
                </w:tr>
              </w:tbl>
              <w:p w:rsidR="00000000" w:rsidRDefault="00000000">
                <w:pPr>
                  <w:rPr>
                    <w:lang w:val="en-US"/>
                  </w:rPr>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0" type="#_x0000_t202" style="position:absolute;margin-left:-5.75pt;margin-top:0;width:7in;height:50.4pt;z-index:6;mso-position-horizontal:absolute;mso-position-horizontal-relative:text;mso-position-vertical:absolute;mso-position-vertical-relative:text" o:allowincell="f" stroked="f">
          <v:textbox style="mso-next-textbox:#_x0000_s1070;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CEDAW/C/NZL/5</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9" type="#_x0000_t202" style="position:absolute;margin-left:-5.75pt;margin-top:0;width:7in;height:50.4pt;z-index:5;mso-position-horizontal:absolute;mso-position-horizontal-relative:text;mso-position-vertical:absolute;mso-position-vertical-relative:text" o:allowincell="f" stroked="f">
          <v:textbox style="mso-next-textbox:#_x0000_s1069;mso-rotate-with-shape:t" inset="0,0,0,0">
            <w:txbxContent>
              <w:tbl>
                <w:tblPr>
                  <w:tblW w:w="0" w:type="auto"/>
                  <w:tblInd w:w="11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CEDAW/C/NZL/5</w:t>
                      </w:r>
                    </w:p>
                  </w:tc>
                </w:tr>
              </w:tbl>
              <w:p w:rsidR="00000000" w:rsidRDefault="00000000">
                <w:pPr>
                  <w:rPr>
                    <w:lang w:val="en-US"/>
                  </w:rPr>
                </w:pP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2" type="#_x0000_t202" style="position:absolute;margin-left:-5.75pt;margin-top:0;width:7in;height:50.4pt;z-index:8;mso-position-horizontal:absolute;mso-position-horizontal-relative:text;mso-position-vertical:absolute;mso-position-vertical-relative:text" o:allowincell="f" stroked="f">
          <v:textbox style="mso-next-textbox:#_x0000_s1072;mso-rotate-with-shape:t" inset="0,0,0,0">
            <w:txbxContent>
              <w:tbl>
                <w:tblPr>
                  <w:tblW w:w="0" w:type="auto"/>
                  <w:tblInd w:w="11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CEDAW/C/NZL/5</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1" type="#_x0000_t202" style="position:absolute;margin-left:-5.75pt;margin-top:0;width:7in;height:50.4pt;z-index:7;mso-position-horizontal:absolute;mso-position-horizontal-relative:text;mso-position-vertical:absolute;mso-position-vertical-relative:text" o:allowincell="f" stroked="f">
          <v:textbox style="mso-next-textbox:#_x0000_s1071;mso-rotate-with-shape:t" inset="0,0,0,0">
            <w:txbxContent>
              <w:tbl>
                <w:tblPr>
                  <w:tblW w:w="0" w:type="auto"/>
                  <w:tblInd w:w="11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CEDAW/C/NZL/5</w:t>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D6A04A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E70E74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8154F592"/>
    <w:lvl w:ilvl="0">
      <w:start w:val="1"/>
      <w:numFmt w:val="decimal"/>
      <w:pStyle w:val="ListNumber3"/>
      <w:lvlText w:val="%1."/>
      <w:lvlJc w:val="left"/>
      <w:pPr>
        <w:tabs>
          <w:tab w:val="num" w:pos="926"/>
        </w:tabs>
        <w:ind w:left="926" w:hanging="360"/>
      </w:pPr>
    </w:lvl>
  </w:abstractNum>
  <w:abstractNum w:abstractNumId="3">
    <w:nsid w:val="FFFFFF7F"/>
    <w:multiLevelType w:val="singleLevel"/>
    <w:tmpl w:val="9D1474D4"/>
    <w:lvl w:ilvl="0">
      <w:start w:val="1"/>
      <w:numFmt w:val="decimal"/>
      <w:pStyle w:val="ListNumber2"/>
      <w:lvlText w:val="%1."/>
      <w:lvlJc w:val="left"/>
      <w:pPr>
        <w:tabs>
          <w:tab w:val="num" w:pos="643"/>
        </w:tabs>
        <w:ind w:left="643" w:hanging="360"/>
      </w:pPr>
    </w:lvl>
  </w:abstractNum>
  <w:abstractNum w:abstractNumId="4">
    <w:nsid w:val="FFFFFF82"/>
    <w:multiLevelType w:val="singleLevel"/>
    <w:tmpl w:val="2DC09848"/>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8"/>
    <w:multiLevelType w:val="singleLevel"/>
    <w:tmpl w:val="9A9CF8C0"/>
    <w:lvl w:ilvl="0">
      <w:start w:val="1"/>
      <w:numFmt w:val="decimal"/>
      <w:pStyle w:val="ListNumber"/>
      <w:lvlText w:val="%1."/>
      <w:lvlJc w:val="left"/>
      <w:pPr>
        <w:tabs>
          <w:tab w:val="num" w:pos="360"/>
        </w:tabs>
        <w:ind w:left="360" w:hanging="360"/>
      </w:pPr>
    </w:lvl>
  </w:abstractNum>
  <w:abstractNum w:abstractNumId="6">
    <w:nsid w:val="FFFFFF89"/>
    <w:multiLevelType w:val="singleLevel"/>
    <w:tmpl w:val="98C07790"/>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0E434171"/>
    <w:multiLevelType w:val="hybridMultilevel"/>
    <w:tmpl w:val="17624D30"/>
    <w:lvl w:ilvl="0">
      <w:start w:val="1"/>
      <w:numFmt w:val="bullet"/>
      <w:pStyle w:val="cherta"/>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106D698C"/>
    <w:multiLevelType w:val="singleLevel"/>
    <w:tmpl w:val="A04AB20A"/>
    <w:lvl w:ilvl="0">
      <w:start w:val="1"/>
      <w:numFmt w:val="upperLetter"/>
      <w:pStyle w:val="Heading9"/>
      <w:lvlText w:val="%1."/>
      <w:lvlJc w:val="left"/>
      <w:pPr>
        <w:tabs>
          <w:tab w:val="num" w:pos="648"/>
        </w:tabs>
        <w:ind w:left="648" w:hanging="360"/>
      </w:pPr>
      <w:rPr>
        <w:rFonts w:hint="default"/>
      </w:rPr>
    </w:lvl>
  </w:abstractNum>
  <w:abstractNum w:abstractNumId="9">
    <w:nsid w:val="21206ED8"/>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10">
    <w:nsid w:val="34DC129E"/>
    <w:multiLevelType w:val="singleLevel"/>
    <w:tmpl w:val="D37CCD44"/>
    <w:lvl w:ilvl="0">
      <w:start w:val="1"/>
      <w:numFmt w:val="decimal"/>
      <w:pStyle w:val="ListContinue2"/>
      <w:lvlText w:val="%1."/>
      <w:lvlJc w:val="right"/>
      <w:pPr>
        <w:tabs>
          <w:tab w:val="num" w:pos="792"/>
        </w:tabs>
        <w:ind w:left="792" w:hanging="317"/>
      </w:pPr>
      <w:rPr>
        <w:rFonts w:hint="default"/>
      </w:rPr>
    </w:lvl>
  </w:abstractNum>
  <w:abstractNum w:abstractNumId="11">
    <w:nsid w:val="3E8D68AE"/>
    <w:multiLevelType w:val="singleLevel"/>
    <w:tmpl w:val="A5C03CAA"/>
    <w:lvl w:ilvl="0">
      <w:start w:val="1"/>
      <w:numFmt w:val="decimal"/>
      <w:pStyle w:val="num"/>
      <w:lvlText w:val="%1."/>
      <w:lvlJc w:val="left"/>
      <w:pPr>
        <w:tabs>
          <w:tab w:val="num" w:pos="360"/>
        </w:tabs>
        <w:ind w:left="360" w:hanging="360"/>
      </w:pPr>
      <w:rPr>
        <w:rFonts w:hint="default"/>
      </w:rPr>
    </w:lvl>
  </w:abstractNum>
  <w:abstractNum w:abstractNumId="12">
    <w:nsid w:val="42127A41"/>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13">
    <w:nsid w:val="4B023DBF"/>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14">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5">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num w:numId="1">
    <w:abstractNumId w:val="9"/>
  </w:num>
  <w:num w:numId="2">
    <w:abstractNumId w:val="12"/>
  </w:num>
  <w:num w:numId="3">
    <w:abstractNumId w:val="13"/>
  </w:num>
  <w:num w:numId="4">
    <w:abstractNumId w:val="7"/>
  </w:num>
  <w:num w:numId="5">
    <w:abstractNumId w:val="11"/>
  </w:num>
  <w:num w:numId="6">
    <w:abstractNumId w:val="8"/>
  </w:num>
  <w:num w:numId="7">
    <w:abstractNumId w:val="6"/>
  </w:num>
  <w:num w:numId="8">
    <w:abstractNumId w:val="4"/>
  </w:num>
  <w:num w:numId="9">
    <w:abstractNumId w:val="5"/>
  </w:num>
  <w:num w:numId="10">
    <w:abstractNumId w:val="3"/>
  </w:num>
  <w:num w:numId="11">
    <w:abstractNumId w:val="2"/>
  </w:num>
  <w:num w:numId="12">
    <w:abstractNumId w:val="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SpellingErrors/>
  <w:hideGrammaticalErrors/>
  <w:activeWritingStyle w:appName="MSWord" w:lang="ru-RU" w:vendorID="1" w:dllVersion="512" w:checkStyle="1"/>
  <w:activeWritingStyle w:appName="MSWord" w:lang="en-US" w:vendorID="8" w:dllVersion="513" w:checkStyle="1"/>
  <w:doNotTrackMoves/>
  <w:defaultTabStop w:val="476"/>
  <w:autoHyphenation/>
  <w:hyphenationZone w:val="221"/>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4">
    <w:name w:val="heading 4"/>
    <w:basedOn w:val="Normal"/>
    <w:next w:val="Normal"/>
    <w:qFormat/>
    <w:pPr>
      <w:keepNext/>
      <w:tabs>
        <w:tab w:val="left" w:pos="288"/>
        <w:tab w:val="left" w:pos="576"/>
        <w:tab w:val="left" w:pos="864"/>
        <w:tab w:val="left" w:pos="1152"/>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10" w:lineRule="exact"/>
      <w:ind w:right="40"/>
      <w:outlineLvl w:val="3"/>
    </w:pPr>
    <w:rPr>
      <w:b/>
      <w:bCs/>
      <w:sz w:val="17"/>
    </w:rPr>
  </w:style>
  <w:style w:type="paragraph" w:styleId="Heading5">
    <w:name w:val="heading 5"/>
    <w:basedOn w:val="Normal"/>
    <w:next w:val="Normal"/>
    <w:qFormat/>
    <w:pPr>
      <w:keepNext/>
      <w:keepLines/>
      <w:suppressLineNumbers/>
      <w:tabs>
        <w:tab w:val="right" w:pos="360"/>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suppressAutoHyphens/>
      <w:spacing w:before="240" w:after="120"/>
      <w:ind w:left="480" w:hanging="480"/>
      <w:jc w:val="both"/>
      <w:outlineLvl w:val="4"/>
    </w:pPr>
    <w:rPr>
      <w:snapToGrid w:val="0"/>
      <w:lang w:val="en-GB" w:eastAsia="en-US"/>
    </w:rPr>
  </w:style>
  <w:style w:type="paragraph" w:styleId="Heading6">
    <w:name w:val="heading 6"/>
    <w:basedOn w:val="Normal"/>
    <w:next w:val="Normal"/>
    <w:qFormat/>
    <w:pPr>
      <w:keepNext/>
      <w:spacing w:before="40" w:after="40" w:line="240" w:lineRule="auto"/>
      <w:jc w:val="center"/>
      <w:outlineLvl w:val="5"/>
    </w:pPr>
    <w:rPr>
      <w:b/>
      <w:i/>
      <w:iCs/>
      <w:sz w:val="17"/>
    </w:rPr>
  </w:style>
  <w:style w:type="paragraph" w:styleId="Heading7">
    <w:name w:val="heading 7"/>
    <w:basedOn w:val="Normal"/>
    <w:next w:val="Normal"/>
    <w:qFormat/>
    <w:pPr>
      <w:keepNext/>
      <w:spacing w:line="240" w:lineRule="auto"/>
      <w:jc w:val="center"/>
      <w:outlineLvl w:val="6"/>
    </w:pPr>
    <w:rPr>
      <w:i/>
      <w:iCs/>
      <w:sz w:val="18"/>
    </w:rPr>
  </w:style>
  <w:style w:type="paragraph" w:styleId="Heading8">
    <w:name w:val="heading 8"/>
    <w:basedOn w:val="Normal"/>
    <w:next w:val="Normal"/>
    <w:qFormat/>
    <w:pPr>
      <w:keepNext/>
      <w:jc w:val="center"/>
      <w:outlineLvl w:val="7"/>
    </w:pPr>
    <w:rPr>
      <w:i/>
      <w:iCs/>
      <w:sz w:val="17"/>
    </w:rPr>
  </w:style>
  <w:style w:type="paragraph" w:styleId="Heading9">
    <w:name w:val="heading 9"/>
    <w:basedOn w:val="Normal"/>
    <w:next w:val="Normal"/>
    <w:qFormat/>
    <w:pPr>
      <w:keepNext/>
      <w:numPr>
        <w:numId w:val="6"/>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keepNext/>
      <w:tabs>
        <w:tab w:val="left" w:pos="1741"/>
      </w:tabs>
      <w:suppressAutoHyphens/>
      <w:spacing w:before="240" w:after="120" w:line="270" w:lineRule="exact"/>
      <w:ind w:left="1740" w:right="1264" w:hanging="476"/>
      <w:outlineLvl w:val="0"/>
    </w:pPr>
    <w:rPr>
      <w:b/>
      <w:sz w:val="24"/>
    </w:rPr>
  </w:style>
  <w:style w:type="paragraph" w:customStyle="1" w:styleId="HCh">
    <w:name w:val="_ H _Ch"/>
    <w:basedOn w:val="H1"/>
    <w:next w:val="Normal"/>
    <w:pPr>
      <w:keepLines/>
      <w:spacing w:line="300" w:lineRule="exact"/>
      <w:ind w:left="1264" w:firstLine="0"/>
    </w:pPr>
    <w:rPr>
      <w:spacing w:val="-2"/>
      <w:sz w:val="28"/>
    </w:rPr>
  </w:style>
  <w:style w:type="paragraph" w:customStyle="1" w:styleId="H23">
    <w:name w:val="_ H_2/3"/>
    <w:basedOn w:val="H1"/>
    <w:next w:val="DualTxt"/>
    <w:pPr>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left" w:pos="1741"/>
      </w:tabs>
      <w:suppressAutoHyphens/>
      <w:spacing w:before="240" w:after="120"/>
      <w:ind w:left="1740" w:right="1264" w:hanging="476"/>
      <w:outlineLvl w:val="3"/>
    </w:pPr>
    <w:rPr>
      <w:i/>
      <w:spacing w:val="3"/>
    </w:rPr>
  </w:style>
  <w:style w:type="paragraph" w:customStyle="1" w:styleId="H56">
    <w:name w:val="_ H_5/6"/>
    <w:basedOn w:val="Normal"/>
    <w:next w:val="DualTxt"/>
    <w:pPr>
      <w:keepNext/>
      <w:keepLines/>
      <w:tabs>
        <w:tab w:val="left" w:pos="476"/>
        <w:tab w:val="left" w:pos="953"/>
        <w:tab w:val="left" w:pos="1429"/>
        <w:tab w:val="left" w:pos="1905"/>
      </w:tabs>
      <w:suppressAutoHyphens/>
      <w:spacing w:before="240" w:after="120"/>
      <w:ind w:left="1740" w:right="1264" w:hanging="476"/>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4" w:right="1264" w:firstLine="476"/>
      <w:jc w:val="both"/>
    </w:pPr>
  </w:style>
  <w:style w:type="character" w:styleId="CommentReference">
    <w:name w:val="annotation reference"/>
    <w:semiHidden/>
    <w:rPr>
      <w:sz w:val="6"/>
    </w:rPr>
  </w:style>
  <w:style w:type="character" w:styleId="FootnoteReference">
    <w:name w:val="footnote reference"/>
    <w:autoRedefine/>
    <w:semiHidden/>
    <w:rPr>
      <w:rFonts w:ascii="Times New Roman" w:hAnsi="Times New Roman"/>
      <w:dstrike w:val="0"/>
      <w:spacing w:val="-5"/>
      <w:w w:val="130"/>
      <w:position w:val="-4"/>
      <w:sz w:val="17"/>
      <w:vertAlign w:val="superscript"/>
    </w:rPr>
  </w:style>
  <w:style w:type="character" w:styleId="EndnoteReference">
    <w:name w:val="endnote reference"/>
    <w:basedOn w:val="FootnoteReference"/>
    <w:semiHidden/>
    <w:rPr>
      <w:rFonts w:ascii="Times New Roman" w:hAnsi="Times New Roman"/>
      <w:dstrike w:val="0"/>
      <w:spacing w:val="-5"/>
      <w:w w:val="130"/>
      <w:position w:val="-4"/>
      <w:sz w:val="17"/>
      <w:vertAlign w:val="superscript"/>
    </w:rPr>
  </w:style>
  <w:style w:type="paragraph" w:styleId="FootnoteText">
    <w:name w:val="footnote text"/>
    <w:basedOn w:val="Normal"/>
    <w:semiHidden/>
    <w:pPr>
      <w:widowControl w:val="0"/>
      <w:tabs>
        <w:tab w:val="right" w:pos="418"/>
      </w:tabs>
      <w:spacing w:line="210" w:lineRule="exact"/>
      <w:ind w:left="1377" w:right="1264" w:hanging="113"/>
      <w:jc w:val="both"/>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4"/>
      </w:numPr>
      <w:spacing w:after="120"/>
    </w:pPr>
  </w:style>
  <w:style w:type="paragraph" w:styleId="ListNumber">
    <w:name w:val="List Number"/>
    <w:basedOn w:val="H1"/>
    <w:next w:val="Normal"/>
    <w:semiHidden/>
    <w:pPr>
      <w:numPr>
        <w:numId w:val="9"/>
      </w:numPr>
      <w:tabs>
        <w:tab w:val="clear" w:pos="360"/>
        <w:tab w:val="num" w:pos="792"/>
      </w:tabs>
      <w:ind w:left="792" w:hanging="317"/>
    </w:pPr>
  </w:style>
  <w:style w:type="paragraph" w:styleId="ListNumber2">
    <w:name w:val="List Number 2"/>
    <w:basedOn w:val="H23"/>
    <w:next w:val="Normal"/>
    <w:semiHidden/>
    <w:pPr>
      <w:numPr>
        <w:numId w:val="10"/>
      </w:numPr>
      <w:tabs>
        <w:tab w:val="clear" w:pos="643"/>
        <w:tab w:val="num" w:pos="792"/>
      </w:tabs>
      <w:ind w:left="792" w:hanging="317"/>
    </w:pPr>
  </w:style>
  <w:style w:type="paragraph" w:styleId="ListNumber3">
    <w:name w:val="List Number 3"/>
    <w:basedOn w:val="H23"/>
    <w:next w:val="Normal"/>
    <w:semiHidden/>
    <w:pPr>
      <w:numPr>
        <w:numId w:val="11"/>
      </w:numPr>
      <w:tabs>
        <w:tab w:val="clear" w:pos="926"/>
        <w:tab w:val="num" w:pos="792"/>
      </w:tabs>
      <w:ind w:left="792" w:hanging="317"/>
    </w:pPr>
  </w:style>
  <w:style w:type="paragraph" w:styleId="ListNumber4">
    <w:name w:val="List Number 4"/>
    <w:basedOn w:val="H4"/>
    <w:next w:val="Normal"/>
    <w:semiHidden/>
    <w:pPr>
      <w:numPr>
        <w:numId w:val="12"/>
      </w:numPr>
      <w:tabs>
        <w:tab w:val="clear" w:pos="1209"/>
        <w:tab w:val="num" w:pos="792"/>
      </w:tabs>
      <w:ind w:left="792" w:hanging="317"/>
    </w:pPr>
  </w:style>
  <w:style w:type="paragraph" w:styleId="ListNumber5">
    <w:name w:val="List Number 5"/>
    <w:basedOn w:val="Normal"/>
    <w:next w:val="Normal"/>
    <w:semiHidden/>
    <w:pPr>
      <w:numPr>
        <w:numId w:val="13"/>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7"/>
      </w:numPr>
    </w:pPr>
  </w:style>
  <w:style w:type="paragraph" w:styleId="BodyText">
    <w:name w:val="Body Text"/>
    <w:basedOn w:val="Normal"/>
    <w:semiHidden/>
    <w:pPr>
      <w:tabs>
        <w:tab w:val="left" w:pos="1814"/>
      </w:tabs>
      <w:spacing w:after="120"/>
      <w:ind w:left="1247" w:right="1247"/>
      <w:jc w:val="both"/>
    </w:pPr>
    <w:rPr>
      <w:spacing w:val="0"/>
      <w:w w:val="100"/>
      <w:kern w:val="0"/>
    </w:rPr>
  </w:style>
  <w:style w:type="paragraph" w:styleId="DocumentMap">
    <w:name w:val="Document Map"/>
    <w:basedOn w:val="Normal"/>
    <w:semiHidden/>
    <w:pPr>
      <w:shd w:val="clear" w:color="auto" w:fill="000080"/>
    </w:pPr>
    <w:rPr>
      <w:rFonts w:ascii="Tahoma" w:hAnsi="Tahoma" w:cs="Tahoma"/>
    </w:rPr>
  </w:style>
  <w:style w:type="paragraph" w:styleId="BodyTextIndent">
    <w:name w:val="Body Text Indent"/>
    <w:basedOn w:val="Normal"/>
    <w:semiHidden/>
    <w:pPr>
      <w:tabs>
        <w:tab w:val="left" w:pos="720"/>
        <w:tab w:val="left" w:pos="1440"/>
        <w:tab w:val="num" w:pos="1800"/>
      </w:tabs>
      <w:spacing w:line="480" w:lineRule="auto"/>
      <w:ind w:left="720" w:hanging="720"/>
      <w:jc w:val="both"/>
    </w:pPr>
    <w:rPr>
      <w:spacing w:val="0"/>
      <w:w w:val="100"/>
      <w:kern w:val="0"/>
      <w:sz w:val="28"/>
    </w:rPr>
  </w:style>
  <w:style w:type="paragraph" w:styleId="List">
    <w:name w:val="List"/>
    <w:basedOn w:val="Normal"/>
    <w:semiHidden/>
    <w:pPr>
      <w:spacing w:line="480" w:lineRule="auto"/>
      <w:ind w:left="283" w:hanging="283"/>
      <w:jc w:val="both"/>
    </w:pPr>
    <w:rPr>
      <w:spacing w:val="0"/>
      <w:w w:val="100"/>
      <w:kern w:val="0"/>
      <w:sz w:val="28"/>
    </w:rPr>
  </w:style>
  <w:style w:type="paragraph" w:styleId="List2">
    <w:name w:val="List 2"/>
    <w:basedOn w:val="Normal"/>
    <w:semiHidden/>
    <w:pPr>
      <w:spacing w:line="480" w:lineRule="auto"/>
      <w:ind w:left="566" w:hanging="283"/>
      <w:jc w:val="both"/>
    </w:pPr>
    <w:rPr>
      <w:spacing w:val="0"/>
      <w:w w:val="100"/>
      <w:kern w:val="0"/>
      <w:sz w:val="28"/>
    </w:rPr>
  </w:style>
  <w:style w:type="paragraph" w:styleId="ListBullet3">
    <w:name w:val="List Bullet 3"/>
    <w:basedOn w:val="Normal"/>
    <w:autoRedefine/>
    <w:semiHidden/>
    <w:pPr>
      <w:numPr>
        <w:numId w:val="8"/>
      </w:numPr>
      <w:spacing w:line="480" w:lineRule="auto"/>
      <w:jc w:val="both"/>
    </w:pPr>
    <w:rPr>
      <w:spacing w:val="0"/>
      <w:w w:val="100"/>
      <w:kern w:val="0"/>
      <w:sz w:val="28"/>
    </w:rPr>
  </w:style>
  <w:style w:type="paragraph" w:customStyle="1" w:styleId="2">
    <w:name w:val="заголовок 2"/>
    <w:basedOn w:val="Normal"/>
    <w:next w:val="Normal"/>
    <w:pPr>
      <w:keepNext/>
      <w:autoSpaceDE w:val="0"/>
      <w:autoSpaceDN w:val="0"/>
      <w:spacing w:line="360" w:lineRule="auto"/>
    </w:pPr>
    <w:rPr>
      <w:b/>
      <w:bCs/>
      <w:spacing w:val="0"/>
      <w:w w:val="100"/>
      <w:kern w:val="0"/>
    </w:rPr>
  </w:style>
  <w:style w:type="character" w:styleId="Hyperlink">
    <w:name w:val="Hyperlink"/>
    <w:semiHidden/>
    <w:rPr>
      <w:color w:val="0000FF"/>
      <w:u w:val="single"/>
    </w:rPr>
  </w:style>
  <w:style w:type="paragraph" w:styleId="BodyText2">
    <w:name w:val="Body Text 2"/>
    <w:basedOn w:val="Normal"/>
    <w:semiHidden/>
    <w:pPr>
      <w:spacing w:line="360" w:lineRule="auto"/>
    </w:pPr>
    <w:rPr>
      <w:i/>
      <w:spacing w:val="0"/>
      <w:w w:val="100"/>
      <w:kern w:val="0"/>
      <w:sz w:val="24"/>
      <w:lang w:eastAsia="ja-JP"/>
    </w:rPr>
  </w:style>
  <w:style w:type="paragraph" w:styleId="BodyText3">
    <w:name w:val="Body Text 3"/>
    <w:basedOn w:val="Normal"/>
    <w:semiHidden/>
    <w:pPr>
      <w:spacing w:line="360" w:lineRule="auto"/>
    </w:pPr>
    <w:rPr>
      <w:b/>
      <w:spacing w:val="0"/>
      <w:w w:val="100"/>
      <w:kern w:val="0"/>
      <w:sz w:val="24"/>
      <w:lang w:eastAsia="ja-JP"/>
    </w:rPr>
  </w:style>
  <w:style w:type="paragraph" w:customStyle="1" w:styleId="1">
    <w:name w:val="çàãîëîâîê 1"/>
    <w:basedOn w:val="Normal"/>
    <w:next w:val="Normal"/>
    <w:pPr>
      <w:keepNext/>
      <w:autoSpaceDE w:val="0"/>
      <w:autoSpaceDN w:val="0"/>
      <w:adjustRightInd w:val="0"/>
      <w:spacing w:line="360" w:lineRule="auto"/>
    </w:pPr>
    <w:rPr>
      <w:b/>
      <w:bCs/>
      <w:spacing w:val="0"/>
      <w:w w:val="100"/>
      <w:kern w:val="0"/>
      <w:sz w:val="24"/>
      <w:szCs w:val="24"/>
    </w:rPr>
  </w:style>
  <w:style w:type="paragraph" w:customStyle="1" w:styleId="20">
    <w:name w:val="Îñíîâíîé òåêñò 2"/>
    <w:basedOn w:val="Normal"/>
    <w:pPr>
      <w:autoSpaceDE w:val="0"/>
      <w:autoSpaceDN w:val="0"/>
      <w:adjustRightInd w:val="0"/>
      <w:spacing w:line="360" w:lineRule="auto"/>
    </w:pPr>
    <w:rPr>
      <w:spacing w:val="0"/>
      <w:w w:val="100"/>
      <w:kern w:val="0"/>
      <w:sz w:val="24"/>
      <w:szCs w:val="24"/>
    </w:rPr>
  </w:style>
  <w:style w:type="character" w:customStyle="1" w:styleId="a">
    <w:name w:val="çíàê ñíîñêè"/>
    <w:rPr>
      <w:vertAlign w:val="superscript"/>
    </w:rPr>
  </w:style>
  <w:style w:type="paragraph" w:customStyle="1" w:styleId="21">
    <w:name w:val="çàãîëîâîê 2"/>
    <w:basedOn w:val="Normal"/>
    <w:next w:val="Normal"/>
    <w:pPr>
      <w:keepNext/>
      <w:autoSpaceDE w:val="0"/>
      <w:autoSpaceDN w:val="0"/>
      <w:adjustRightInd w:val="0"/>
      <w:spacing w:line="360" w:lineRule="auto"/>
    </w:pPr>
    <w:rPr>
      <w:b/>
      <w:bCs/>
      <w:i/>
      <w:iCs/>
      <w:spacing w:val="0"/>
      <w:w w:val="100"/>
      <w:kern w:val="0"/>
      <w:sz w:val="24"/>
      <w:szCs w:val="24"/>
    </w:rPr>
  </w:style>
  <w:style w:type="paragraph" w:customStyle="1" w:styleId="3">
    <w:name w:val="çàãîëîâîê 3"/>
    <w:basedOn w:val="Normal"/>
    <w:next w:val="Normal"/>
    <w:pPr>
      <w:keepNext/>
      <w:autoSpaceDE w:val="0"/>
      <w:autoSpaceDN w:val="0"/>
      <w:adjustRightInd w:val="0"/>
      <w:spacing w:line="360" w:lineRule="auto"/>
    </w:pPr>
    <w:rPr>
      <w:i/>
      <w:iCs/>
      <w:spacing w:val="0"/>
      <w:w w:val="100"/>
      <w:kern w:val="0"/>
      <w:sz w:val="24"/>
      <w:szCs w:val="24"/>
    </w:rPr>
  </w:style>
  <w:style w:type="paragraph" w:customStyle="1" w:styleId="30">
    <w:name w:val="Îñíîâíîé òåêñò 3"/>
    <w:basedOn w:val="Normal"/>
    <w:pPr>
      <w:autoSpaceDE w:val="0"/>
      <w:autoSpaceDN w:val="0"/>
      <w:adjustRightInd w:val="0"/>
      <w:spacing w:line="360" w:lineRule="auto"/>
    </w:pPr>
    <w:rPr>
      <w:i/>
      <w:iCs/>
      <w:spacing w:val="0"/>
      <w:w w:val="100"/>
      <w:kern w:val="0"/>
      <w:sz w:val="24"/>
      <w:szCs w:val="24"/>
    </w:rPr>
  </w:style>
  <w:style w:type="paragraph" w:customStyle="1" w:styleId="10">
    <w:name w:val="заголовок 1"/>
    <w:basedOn w:val="Normal"/>
    <w:next w:val="Normal"/>
    <w:pPr>
      <w:keepNext/>
      <w:autoSpaceDE w:val="0"/>
      <w:autoSpaceDN w:val="0"/>
      <w:spacing w:line="360" w:lineRule="auto"/>
      <w:jc w:val="center"/>
    </w:pPr>
    <w:rPr>
      <w:spacing w:val="0"/>
      <w:w w:val="100"/>
      <w:kern w:val="0"/>
      <w:sz w:val="24"/>
      <w:szCs w:val="24"/>
    </w:rPr>
  </w:style>
  <w:style w:type="paragraph" w:customStyle="1" w:styleId="a0">
    <w:name w:val="òåêñò ñíîñêè"/>
    <w:basedOn w:val="Normal"/>
    <w:pPr>
      <w:autoSpaceDE w:val="0"/>
      <w:autoSpaceDN w:val="0"/>
      <w:adjustRightInd w:val="0"/>
      <w:spacing w:line="240" w:lineRule="auto"/>
    </w:pPr>
    <w:rPr>
      <w:spacing w:val="0"/>
      <w:w w:val="100"/>
      <w:kern w:val="0"/>
    </w:rPr>
  </w:style>
  <w:style w:type="paragraph" w:customStyle="1" w:styleId="5">
    <w:name w:val="5"/>
    <w:basedOn w:val="SingleTxt"/>
    <w:pPr>
      <w:spacing w:after="0" w:line="120" w:lineRule="exact"/>
    </w:pPr>
    <w:rPr>
      <w:sz w:val="10"/>
    </w:rPr>
  </w:style>
  <w:style w:type="paragraph" w:customStyle="1" w:styleId="a1">
    <w:name w:val="çàã. óêàç. ëèòåðàòóðû"/>
    <w:basedOn w:val="Normal"/>
    <w:pPr>
      <w:tabs>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 w:val="left" w:pos="9000"/>
        <w:tab w:val="right" w:pos="9360"/>
      </w:tabs>
      <w:suppressAutoHyphens/>
      <w:jc w:val="both"/>
    </w:pPr>
    <w:rPr>
      <w:lang w:val="en-US"/>
    </w:rPr>
  </w:style>
  <w:style w:type="paragraph" w:customStyle="1" w:styleId="cherta">
    <w:name w:val="cherta"/>
    <w:basedOn w:val="Normal"/>
    <w:pPr>
      <w:numPr>
        <w:numId w:val="4"/>
      </w:numPr>
      <w:tabs>
        <w:tab w:val="clear" w:pos="1040"/>
        <w:tab w:val="left" w:pos="476"/>
        <w:tab w:val="num" w:pos="993"/>
        <w:tab w:val="left" w:pos="1321"/>
        <w:tab w:val="left" w:pos="2217"/>
        <w:tab w:val="left" w:pos="2693"/>
        <w:tab w:val="left" w:pos="3181"/>
        <w:tab w:val="left" w:pos="3657"/>
        <w:tab w:val="left" w:pos="4133"/>
        <w:tab w:val="left" w:pos="4621"/>
        <w:tab w:val="left" w:pos="5097"/>
        <w:tab w:val="left" w:pos="5574"/>
        <w:tab w:val="left" w:pos="6050"/>
      </w:tabs>
      <w:ind w:left="993" w:hanging="511"/>
      <w:jc w:val="both"/>
    </w:pPr>
  </w:style>
  <w:style w:type="paragraph" w:customStyle="1" w:styleId="hAB">
    <w:name w:val="h_AB"/>
    <w:basedOn w:val="H56"/>
    <w:pPr>
      <w:ind w:left="2217" w:hanging="953"/>
    </w:pPr>
    <w:rPr>
      <w:lang w:val="en-US"/>
    </w:rPr>
  </w:style>
  <w:style w:type="paragraph" w:customStyle="1" w:styleId="a2">
    <w:name w:val="íàçâàíèå"/>
    <w:basedOn w:val="Normal"/>
    <w:pPr>
      <w:tabs>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jc w:val="both"/>
    </w:pPr>
  </w:style>
  <w:style w:type="paragraph" w:customStyle="1" w:styleId="iaeaaeaiea3">
    <w:name w:val="iaeaaeaiea 3"/>
    <w:basedOn w:val="Normal"/>
    <w:pPr>
      <w:tabs>
        <w:tab w:val="left" w:leader="dot" w:pos="9000"/>
        <w:tab w:val="right" w:pos="9360"/>
      </w:tabs>
      <w:suppressAutoHyphens/>
      <w:overflowPunct w:val="0"/>
      <w:autoSpaceDE w:val="0"/>
      <w:autoSpaceDN w:val="0"/>
      <w:adjustRightInd w:val="0"/>
      <w:spacing w:line="240" w:lineRule="auto"/>
      <w:ind w:left="2160" w:right="720" w:hanging="720"/>
      <w:textAlignment w:val="baseline"/>
    </w:pPr>
    <w:rPr>
      <w:rFonts w:ascii="TMS Roman 12pt" w:hAnsi="TMS Roman 12pt"/>
      <w:spacing w:val="0"/>
      <w:w w:val="100"/>
      <w:kern w:val="0"/>
      <w:sz w:val="24"/>
      <w:lang w:val="en-US"/>
    </w:rPr>
  </w:style>
  <w:style w:type="paragraph" w:customStyle="1" w:styleId="num">
    <w:name w:val="num"/>
    <w:basedOn w:val="Normal"/>
    <w:pPr>
      <w:numPr>
        <w:numId w:val="5"/>
      </w:numPr>
      <w:tabs>
        <w:tab w:val="clear" w:pos="360"/>
        <w:tab w:val="left" w:pos="476"/>
        <w:tab w:val="left" w:pos="993"/>
        <w:tab w:val="right" w:pos="1021"/>
        <w:tab w:val="left" w:pos="1321"/>
        <w:tab w:val="left" w:pos="2217"/>
        <w:tab w:val="left" w:pos="2693"/>
        <w:tab w:val="left" w:pos="3181"/>
        <w:tab w:val="left" w:pos="3657"/>
        <w:tab w:val="left" w:pos="4133"/>
        <w:tab w:val="left" w:pos="4621"/>
        <w:tab w:val="left" w:pos="5097"/>
        <w:tab w:val="left" w:pos="5574"/>
        <w:tab w:val="left" w:pos="6050"/>
      </w:tabs>
      <w:ind w:left="992" w:hanging="510"/>
      <w:jc w:val="both"/>
    </w:pPr>
  </w:style>
  <w:style w:type="paragraph" w:customStyle="1" w:styleId="rim">
    <w:name w:val="rim"/>
    <w:basedOn w:val="SingleTxt"/>
    <w:pPr>
      <w:ind w:left="2217" w:hanging="953"/>
    </w:pPr>
  </w:style>
  <w:style w:type="paragraph" w:customStyle="1" w:styleId="tablit">
    <w:name w:val="tab_lit"/>
    <w:basedOn w:val="Normal"/>
    <w:pPr>
      <w:tabs>
        <w:tab w:val="left" w:pos="1741"/>
        <w:tab w:val="left" w:pos="2217"/>
        <w:tab w:val="left" w:pos="2693"/>
        <w:tab w:val="left" w:pos="3181"/>
        <w:tab w:val="left" w:pos="3657"/>
        <w:tab w:val="left" w:pos="4133"/>
        <w:tab w:val="left" w:pos="4621"/>
        <w:tab w:val="left" w:pos="5097"/>
        <w:tab w:val="left" w:pos="5574"/>
        <w:tab w:val="left" w:pos="6050"/>
      </w:tabs>
      <w:spacing w:after="120"/>
      <w:ind w:left="2217" w:right="1264" w:hanging="953"/>
      <w:jc w:val="both"/>
    </w:pPr>
  </w:style>
  <w:style w:type="paragraph" w:customStyle="1" w:styleId="table">
    <w:name w:val="table"/>
    <w:basedOn w:val="Normal"/>
    <w:pPr>
      <w:spacing w:before="40" w:after="40"/>
    </w:pPr>
    <w:rPr>
      <w:sz w:val="17"/>
    </w:rPr>
  </w:style>
  <w:style w:type="paragraph" w:customStyle="1" w:styleId="tire">
    <w:name w:val="tire"/>
    <w:basedOn w:val="SingleTxt"/>
    <w:pPr>
      <w:tabs>
        <w:tab w:val="clear" w:pos="1267"/>
      </w:tabs>
      <w:ind w:left="2217" w:hanging="476"/>
    </w:pPr>
  </w:style>
  <w:style w:type="paragraph" w:styleId="TOC5">
    <w:name w:val="toc 5"/>
    <w:basedOn w:val="Normal"/>
    <w:next w:val="Normal"/>
    <w:autoRedefine/>
    <w:semiHidden/>
    <w:pPr>
      <w:tabs>
        <w:tab w:val="left" w:pos="1701"/>
        <w:tab w:val="left" w:pos="2098"/>
        <w:tab w:val="left" w:pos="2495"/>
        <w:tab w:val="right" w:leader="dot" w:pos="8505"/>
      </w:tabs>
      <w:ind w:left="2098" w:right="1701" w:hanging="794"/>
    </w:pPr>
    <w:rPr>
      <w:noProof/>
      <w:lang w:val="en-US"/>
    </w:rPr>
  </w:style>
  <w:style w:type="paragraph" w:customStyle="1" w:styleId="11">
    <w:name w:val="гип1"/>
    <w:basedOn w:val="TOC5"/>
    <w:pPr>
      <w:spacing w:after="120"/>
    </w:p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tabs>
        <w:tab w:val="left" w:pos="1701"/>
        <w:tab w:val="left" w:pos="2098"/>
        <w:tab w:val="left" w:pos="2495"/>
        <w:tab w:val="right" w:leader="dot" w:pos="8505"/>
      </w:tabs>
      <w:ind w:left="1701" w:right="1701" w:hanging="397"/>
    </w:pPr>
    <w:rPr>
      <w:noProof/>
      <w:lang w:val="en-US"/>
    </w:r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styleId="BodyTextIndent2">
    <w:name w:val="Body Text Indent 2"/>
    <w:basedOn w:val="Normal"/>
    <w:semiHidden/>
    <w:pPr>
      <w:spacing w:line="140" w:lineRule="exact"/>
      <w:ind w:left="1264"/>
    </w:pPr>
    <w:rPr>
      <w:sz w:val="12"/>
    </w:rPr>
  </w:style>
  <w:style w:type="paragraph" w:customStyle="1" w:styleId="dot">
    <w:name w:val="dot"/>
    <w:basedOn w:val="SingleTxt"/>
    <w:pPr>
      <w:tabs>
        <w:tab w:val="right" w:pos="1685"/>
      </w:tabs>
      <w:ind w:left="1740" w:hanging="476"/>
    </w:pPr>
  </w:style>
  <w:style w:type="paragraph" w:styleId="BlockText">
    <w:name w:val="Block Text"/>
    <w:basedOn w:val="Normal"/>
    <w:semiHidden/>
    <w:pPr>
      <w:spacing w:line="240" w:lineRule="auto"/>
      <w:ind w:left="284" w:right="1384" w:hanging="284"/>
      <w:jc w:val="both"/>
    </w:pPr>
    <w:rPr>
      <w:sz w:val="17"/>
    </w:rPr>
  </w:style>
  <w:style w:type="paragraph" w:styleId="BodyTextIndent3">
    <w:name w:val="Body Text Indent 3"/>
    <w:basedOn w:val="Normal"/>
    <w:semiHidden/>
    <w:pPr>
      <w:spacing w:line="180" w:lineRule="exact"/>
      <w:ind w:left="1559" w:hanging="295"/>
    </w:pPr>
    <w:rPr>
      <w:sz w:val="17"/>
    </w:rPr>
  </w:style>
  <w:style w:type="paragraph" w:customStyle="1" w:styleId="new">
    <w:name w:val="new"/>
    <w:basedOn w:val="SingleTxt"/>
    <w:pPr>
      <w:ind w:left="1740" w:hanging="476"/>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5.xml"/><Relationship Id="rId26" Type="http://schemas.openxmlformats.org/officeDocument/2006/relationships/header" Target="header7.xml"/><Relationship Id="rId39" Type="http://schemas.openxmlformats.org/officeDocument/2006/relationships/image" Target="media/image7.wmf"/><Relationship Id="rId3" Type="http://schemas.openxmlformats.org/officeDocument/2006/relationships/settings" Target="settings.xml"/><Relationship Id="rId21" Type="http://schemas.openxmlformats.org/officeDocument/2006/relationships/image" Target="media/image2.wmf"/><Relationship Id="rId34" Type="http://schemas.openxmlformats.org/officeDocument/2006/relationships/header" Target="header9.xm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header" Target="header6.xml"/><Relationship Id="rId33" Type="http://schemas.openxmlformats.org/officeDocument/2006/relationships/header" Target="header8.xml"/><Relationship Id="rId38" Type="http://schemas.openxmlformats.org/officeDocument/2006/relationships/oleObject" Target="embeddings/oleObject5.bin"/><Relationship Id="rId2" Type="http://schemas.openxmlformats.org/officeDocument/2006/relationships/styles" Target="styles.xml"/><Relationship Id="rId16" Type="http://schemas.openxmlformats.org/officeDocument/2006/relationships/hyperlink" Target="http://www.mwa.govt.nz" TargetMode="External"/><Relationship Id="rId20" Type="http://schemas.openxmlformats.org/officeDocument/2006/relationships/footer" Target="footer5.xml"/><Relationship Id="rId29" Type="http://schemas.openxmlformats.org/officeDocument/2006/relationships/image" Target="media/image4.wmf"/><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oleObject2.bin"/><Relationship Id="rId32" Type="http://schemas.openxmlformats.org/officeDocument/2006/relationships/oleObject" Target="embeddings/oleObject4.bin"/><Relationship Id="rId37" Type="http://schemas.openxmlformats.org/officeDocument/2006/relationships/image" Target="media/image6.wmf"/><Relationship Id="rId40" Type="http://schemas.openxmlformats.org/officeDocument/2006/relationships/oleObject" Target="embeddings/oleObject6.bin"/><Relationship Id="rId5" Type="http://schemas.openxmlformats.org/officeDocument/2006/relationships/footnotes" Target="footnotes.xml"/><Relationship Id="rId15" Type="http://schemas.openxmlformats.org/officeDocument/2006/relationships/hyperlink" Target="http://www.snz.govt.nz" TargetMode="External"/><Relationship Id="rId23" Type="http://schemas.openxmlformats.org/officeDocument/2006/relationships/image" Target="media/image3.wmf"/><Relationship Id="rId28" Type="http://schemas.openxmlformats.org/officeDocument/2006/relationships/footer" Target="footer7.xml"/><Relationship Id="rId36" Type="http://schemas.openxmlformats.org/officeDocument/2006/relationships/footer" Target="footer9.xml"/><Relationship Id="rId10" Type="http://schemas.openxmlformats.org/officeDocument/2006/relationships/footer" Target="footer2.xml"/><Relationship Id="rId19" Type="http://schemas.openxmlformats.org/officeDocument/2006/relationships/footer" Target="footer4.xml"/><Relationship Id="rId31" Type="http://schemas.openxmlformats.org/officeDocument/2006/relationships/image" Target="media/image5.w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mwa.govt.nz)" TargetMode="External"/><Relationship Id="rId22" Type="http://schemas.openxmlformats.org/officeDocument/2006/relationships/oleObject" Target="embeddings/oleObject1.bin"/><Relationship Id="rId27" Type="http://schemas.openxmlformats.org/officeDocument/2006/relationships/footer" Target="footer6.xml"/><Relationship Id="rId30" Type="http://schemas.openxmlformats.org/officeDocument/2006/relationships/oleObject" Target="embeddings/oleObject3.bin"/><Relationship Id="rId35" Type="http://schemas.openxmlformats.org/officeDocument/2006/relationships/footer" Target="footer8.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88604</Words>
  <Characters>505046</Characters>
  <Application>Microsoft Office Word</Application>
  <DocSecurity>4</DocSecurity>
  <Lines>4208</Lines>
  <Paragraphs>1010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620231</CharactersWithSpaces>
  <SharedDoc>false</SharedDoc>
  <HLinks>
    <vt:vector size="168" baseType="variant">
      <vt:variant>
        <vt:i4>6422652</vt:i4>
      </vt:variant>
      <vt:variant>
        <vt:i4>153</vt:i4>
      </vt:variant>
      <vt:variant>
        <vt:i4>0</vt:i4>
      </vt:variant>
      <vt:variant>
        <vt:i4>5</vt:i4>
      </vt:variant>
      <vt:variant>
        <vt:lpwstr>http://www.mwa.govt.nz/</vt:lpwstr>
      </vt:variant>
      <vt:variant>
        <vt:lpwstr/>
      </vt:variant>
      <vt:variant>
        <vt:i4>6750309</vt:i4>
      </vt:variant>
      <vt:variant>
        <vt:i4>150</vt:i4>
      </vt:variant>
      <vt:variant>
        <vt:i4>0</vt:i4>
      </vt:variant>
      <vt:variant>
        <vt:i4>5</vt:i4>
      </vt:variant>
      <vt:variant>
        <vt:lpwstr>http://www.snz.govt.nz/</vt:lpwstr>
      </vt:variant>
      <vt:variant>
        <vt:lpwstr/>
      </vt:variant>
      <vt:variant>
        <vt:i4>5046357</vt:i4>
      </vt:variant>
      <vt:variant>
        <vt:i4>147</vt:i4>
      </vt:variant>
      <vt:variant>
        <vt:i4>0</vt:i4>
      </vt:variant>
      <vt:variant>
        <vt:i4>5</vt:i4>
      </vt:variant>
      <vt:variant>
        <vt:lpwstr>http://www.mwa.govt.nz)/</vt:lpwstr>
      </vt:variant>
      <vt:variant>
        <vt:lpwstr/>
      </vt:variant>
      <vt:variant>
        <vt:i4>1507378</vt:i4>
      </vt:variant>
      <vt:variant>
        <vt:i4>140</vt:i4>
      </vt:variant>
      <vt:variant>
        <vt:i4>0</vt:i4>
      </vt:variant>
      <vt:variant>
        <vt:i4>5</vt:i4>
      </vt:variant>
      <vt:variant>
        <vt:lpwstr/>
      </vt:variant>
      <vt:variant>
        <vt:lpwstr>_Toc30302909</vt:lpwstr>
      </vt:variant>
      <vt:variant>
        <vt:i4>1441842</vt:i4>
      </vt:variant>
      <vt:variant>
        <vt:i4>134</vt:i4>
      </vt:variant>
      <vt:variant>
        <vt:i4>0</vt:i4>
      </vt:variant>
      <vt:variant>
        <vt:i4>5</vt:i4>
      </vt:variant>
      <vt:variant>
        <vt:lpwstr/>
      </vt:variant>
      <vt:variant>
        <vt:lpwstr>_Toc30302908</vt:lpwstr>
      </vt:variant>
      <vt:variant>
        <vt:i4>1638450</vt:i4>
      </vt:variant>
      <vt:variant>
        <vt:i4>128</vt:i4>
      </vt:variant>
      <vt:variant>
        <vt:i4>0</vt:i4>
      </vt:variant>
      <vt:variant>
        <vt:i4>5</vt:i4>
      </vt:variant>
      <vt:variant>
        <vt:lpwstr/>
      </vt:variant>
      <vt:variant>
        <vt:lpwstr>_Toc30302907</vt:lpwstr>
      </vt:variant>
      <vt:variant>
        <vt:i4>1572914</vt:i4>
      </vt:variant>
      <vt:variant>
        <vt:i4>122</vt:i4>
      </vt:variant>
      <vt:variant>
        <vt:i4>0</vt:i4>
      </vt:variant>
      <vt:variant>
        <vt:i4>5</vt:i4>
      </vt:variant>
      <vt:variant>
        <vt:lpwstr/>
      </vt:variant>
      <vt:variant>
        <vt:lpwstr>_Toc30302906</vt:lpwstr>
      </vt:variant>
      <vt:variant>
        <vt:i4>1703986</vt:i4>
      </vt:variant>
      <vt:variant>
        <vt:i4>116</vt:i4>
      </vt:variant>
      <vt:variant>
        <vt:i4>0</vt:i4>
      </vt:variant>
      <vt:variant>
        <vt:i4>5</vt:i4>
      </vt:variant>
      <vt:variant>
        <vt:lpwstr/>
      </vt:variant>
      <vt:variant>
        <vt:lpwstr>_Toc30302904</vt:lpwstr>
      </vt:variant>
      <vt:variant>
        <vt:i4>1835058</vt:i4>
      </vt:variant>
      <vt:variant>
        <vt:i4>110</vt:i4>
      </vt:variant>
      <vt:variant>
        <vt:i4>0</vt:i4>
      </vt:variant>
      <vt:variant>
        <vt:i4>5</vt:i4>
      </vt:variant>
      <vt:variant>
        <vt:lpwstr/>
      </vt:variant>
      <vt:variant>
        <vt:lpwstr>_Toc30302902</vt:lpwstr>
      </vt:variant>
      <vt:variant>
        <vt:i4>1966130</vt:i4>
      </vt:variant>
      <vt:variant>
        <vt:i4>104</vt:i4>
      </vt:variant>
      <vt:variant>
        <vt:i4>0</vt:i4>
      </vt:variant>
      <vt:variant>
        <vt:i4>5</vt:i4>
      </vt:variant>
      <vt:variant>
        <vt:lpwstr/>
      </vt:variant>
      <vt:variant>
        <vt:lpwstr>_Toc30302900</vt:lpwstr>
      </vt:variant>
      <vt:variant>
        <vt:i4>1507387</vt:i4>
      </vt:variant>
      <vt:variant>
        <vt:i4>98</vt:i4>
      </vt:variant>
      <vt:variant>
        <vt:i4>0</vt:i4>
      </vt:variant>
      <vt:variant>
        <vt:i4>5</vt:i4>
      </vt:variant>
      <vt:variant>
        <vt:lpwstr/>
      </vt:variant>
      <vt:variant>
        <vt:lpwstr>_Toc30302898</vt:lpwstr>
      </vt:variant>
      <vt:variant>
        <vt:i4>1638459</vt:i4>
      </vt:variant>
      <vt:variant>
        <vt:i4>92</vt:i4>
      </vt:variant>
      <vt:variant>
        <vt:i4>0</vt:i4>
      </vt:variant>
      <vt:variant>
        <vt:i4>5</vt:i4>
      </vt:variant>
      <vt:variant>
        <vt:lpwstr/>
      </vt:variant>
      <vt:variant>
        <vt:lpwstr>_Toc30302896</vt:lpwstr>
      </vt:variant>
      <vt:variant>
        <vt:i4>1769531</vt:i4>
      </vt:variant>
      <vt:variant>
        <vt:i4>86</vt:i4>
      </vt:variant>
      <vt:variant>
        <vt:i4>0</vt:i4>
      </vt:variant>
      <vt:variant>
        <vt:i4>5</vt:i4>
      </vt:variant>
      <vt:variant>
        <vt:lpwstr/>
      </vt:variant>
      <vt:variant>
        <vt:lpwstr>_Toc30302894</vt:lpwstr>
      </vt:variant>
      <vt:variant>
        <vt:i4>1900603</vt:i4>
      </vt:variant>
      <vt:variant>
        <vt:i4>80</vt:i4>
      </vt:variant>
      <vt:variant>
        <vt:i4>0</vt:i4>
      </vt:variant>
      <vt:variant>
        <vt:i4>5</vt:i4>
      </vt:variant>
      <vt:variant>
        <vt:lpwstr/>
      </vt:variant>
      <vt:variant>
        <vt:lpwstr>_Toc30302892</vt:lpwstr>
      </vt:variant>
      <vt:variant>
        <vt:i4>2031675</vt:i4>
      </vt:variant>
      <vt:variant>
        <vt:i4>74</vt:i4>
      </vt:variant>
      <vt:variant>
        <vt:i4>0</vt:i4>
      </vt:variant>
      <vt:variant>
        <vt:i4>5</vt:i4>
      </vt:variant>
      <vt:variant>
        <vt:lpwstr/>
      </vt:variant>
      <vt:variant>
        <vt:lpwstr>_Toc30302890</vt:lpwstr>
      </vt:variant>
      <vt:variant>
        <vt:i4>1507386</vt:i4>
      </vt:variant>
      <vt:variant>
        <vt:i4>68</vt:i4>
      </vt:variant>
      <vt:variant>
        <vt:i4>0</vt:i4>
      </vt:variant>
      <vt:variant>
        <vt:i4>5</vt:i4>
      </vt:variant>
      <vt:variant>
        <vt:lpwstr/>
      </vt:variant>
      <vt:variant>
        <vt:lpwstr>_Toc30302888</vt:lpwstr>
      </vt:variant>
      <vt:variant>
        <vt:i4>1638458</vt:i4>
      </vt:variant>
      <vt:variant>
        <vt:i4>62</vt:i4>
      </vt:variant>
      <vt:variant>
        <vt:i4>0</vt:i4>
      </vt:variant>
      <vt:variant>
        <vt:i4>5</vt:i4>
      </vt:variant>
      <vt:variant>
        <vt:lpwstr/>
      </vt:variant>
      <vt:variant>
        <vt:lpwstr>_Toc30302886</vt:lpwstr>
      </vt:variant>
      <vt:variant>
        <vt:i4>1769530</vt:i4>
      </vt:variant>
      <vt:variant>
        <vt:i4>56</vt:i4>
      </vt:variant>
      <vt:variant>
        <vt:i4>0</vt:i4>
      </vt:variant>
      <vt:variant>
        <vt:i4>5</vt:i4>
      </vt:variant>
      <vt:variant>
        <vt:lpwstr/>
      </vt:variant>
      <vt:variant>
        <vt:lpwstr>_Toc30302884</vt:lpwstr>
      </vt:variant>
      <vt:variant>
        <vt:i4>1900602</vt:i4>
      </vt:variant>
      <vt:variant>
        <vt:i4>50</vt:i4>
      </vt:variant>
      <vt:variant>
        <vt:i4>0</vt:i4>
      </vt:variant>
      <vt:variant>
        <vt:i4>5</vt:i4>
      </vt:variant>
      <vt:variant>
        <vt:lpwstr/>
      </vt:variant>
      <vt:variant>
        <vt:lpwstr>_Toc30302882</vt:lpwstr>
      </vt:variant>
      <vt:variant>
        <vt:i4>2031674</vt:i4>
      </vt:variant>
      <vt:variant>
        <vt:i4>44</vt:i4>
      </vt:variant>
      <vt:variant>
        <vt:i4>0</vt:i4>
      </vt:variant>
      <vt:variant>
        <vt:i4>5</vt:i4>
      </vt:variant>
      <vt:variant>
        <vt:lpwstr/>
      </vt:variant>
      <vt:variant>
        <vt:lpwstr>_Toc30302880</vt:lpwstr>
      </vt:variant>
      <vt:variant>
        <vt:i4>1507381</vt:i4>
      </vt:variant>
      <vt:variant>
        <vt:i4>38</vt:i4>
      </vt:variant>
      <vt:variant>
        <vt:i4>0</vt:i4>
      </vt:variant>
      <vt:variant>
        <vt:i4>5</vt:i4>
      </vt:variant>
      <vt:variant>
        <vt:lpwstr/>
      </vt:variant>
      <vt:variant>
        <vt:lpwstr>_Toc30302878</vt:lpwstr>
      </vt:variant>
      <vt:variant>
        <vt:i4>1638453</vt:i4>
      </vt:variant>
      <vt:variant>
        <vt:i4>32</vt:i4>
      </vt:variant>
      <vt:variant>
        <vt:i4>0</vt:i4>
      </vt:variant>
      <vt:variant>
        <vt:i4>5</vt:i4>
      </vt:variant>
      <vt:variant>
        <vt:lpwstr/>
      </vt:variant>
      <vt:variant>
        <vt:lpwstr>_Toc30302876</vt:lpwstr>
      </vt:variant>
      <vt:variant>
        <vt:i4>1769525</vt:i4>
      </vt:variant>
      <vt:variant>
        <vt:i4>26</vt:i4>
      </vt:variant>
      <vt:variant>
        <vt:i4>0</vt:i4>
      </vt:variant>
      <vt:variant>
        <vt:i4>5</vt:i4>
      </vt:variant>
      <vt:variant>
        <vt:lpwstr/>
      </vt:variant>
      <vt:variant>
        <vt:lpwstr>_Toc30302874</vt:lpwstr>
      </vt:variant>
      <vt:variant>
        <vt:i4>1835061</vt:i4>
      </vt:variant>
      <vt:variant>
        <vt:i4>20</vt:i4>
      </vt:variant>
      <vt:variant>
        <vt:i4>0</vt:i4>
      </vt:variant>
      <vt:variant>
        <vt:i4>5</vt:i4>
      </vt:variant>
      <vt:variant>
        <vt:lpwstr/>
      </vt:variant>
      <vt:variant>
        <vt:lpwstr>_Toc30302873</vt:lpwstr>
      </vt:variant>
      <vt:variant>
        <vt:i4>1900597</vt:i4>
      </vt:variant>
      <vt:variant>
        <vt:i4>14</vt:i4>
      </vt:variant>
      <vt:variant>
        <vt:i4>0</vt:i4>
      </vt:variant>
      <vt:variant>
        <vt:i4>5</vt:i4>
      </vt:variant>
      <vt:variant>
        <vt:lpwstr/>
      </vt:variant>
      <vt:variant>
        <vt:lpwstr>_Toc30302872</vt:lpwstr>
      </vt:variant>
      <vt:variant>
        <vt:i4>1966133</vt:i4>
      </vt:variant>
      <vt:variant>
        <vt:i4>8</vt:i4>
      </vt:variant>
      <vt:variant>
        <vt:i4>0</vt:i4>
      </vt:variant>
      <vt:variant>
        <vt:i4>5</vt:i4>
      </vt:variant>
      <vt:variant>
        <vt:lpwstr/>
      </vt:variant>
      <vt:variant>
        <vt:lpwstr>_Toc30302871</vt:lpwstr>
      </vt:variant>
      <vt:variant>
        <vt:i4>2031669</vt:i4>
      </vt:variant>
      <vt:variant>
        <vt:i4>2</vt:i4>
      </vt:variant>
      <vt:variant>
        <vt:i4>0</vt:i4>
      </vt:variant>
      <vt:variant>
        <vt:i4>5</vt:i4>
      </vt:variant>
      <vt:variant>
        <vt:lpwstr/>
      </vt:variant>
      <vt:variant>
        <vt:lpwstr>_Toc30302870</vt:lpwstr>
      </vt:variant>
      <vt:variant>
        <vt:i4>8257630</vt:i4>
      </vt:variant>
      <vt:variant>
        <vt:i4>1230296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9</cp:revision>
  <cp:lastPrinted>2003-01-21T08:49:00Z</cp:lastPrinted>
  <dcterms:created xsi:type="dcterms:W3CDTF">2003-01-21T08:39:00Z</dcterms:created>
  <dcterms:modified xsi:type="dcterms:W3CDTF">2003-01-21T08:52:00Z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0249166</vt:lpwstr>
  </property>
  <property fmtid="{D5CDD505-2E9C-101B-9397-08002B2CF9AE}" pid="3" name="Symbol1">
    <vt:lpwstr>DP/FPA/2002/9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89</vt:lpwstr>
  </property>
  <property fmtid="{D5CDD505-2E9C-101B-9397-08002B2CF9AE}" pid="8" name="Operator">
    <vt:lpwstr>Alexeenko</vt:lpwstr>
  </property>
</Properties>
</file>