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036773"/>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031967" w:rsidRDefault="00031967" w:rsidP="00031967">
            <w:pPr>
              <w:jc w:val="right"/>
            </w:pPr>
            <w:r w:rsidRPr="00031967">
              <w:rPr>
                <w:sz w:val="40"/>
              </w:rPr>
              <w:t>CCPR</w:t>
            </w:r>
            <w:r>
              <w:t>/C/LUX/Q/4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val="en-GB" w:eastAsia="en-GB"/>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36773" w:rsidP="002B7BC7">
            <w:pPr>
              <w:spacing w:before="240"/>
            </w:pPr>
            <w:r>
              <w:t>Distr. générale</w:t>
            </w:r>
          </w:p>
          <w:p w:rsidR="00036773" w:rsidRDefault="00036773" w:rsidP="00036773">
            <w:pPr>
              <w:spacing w:line="240" w:lineRule="exact"/>
            </w:pPr>
            <w:r>
              <w:t>11 décembre 2020</w:t>
            </w:r>
          </w:p>
          <w:p w:rsidR="00036773" w:rsidRDefault="00036773" w:rsidP="00036773">
            <w:pPr>
              <w:spacing w:line="240" w:lineRule="exact"/>
            </w:pPr>
          </w:p>
          <w:p w:rsidR="00036773" w:rsidRDefault="00036773" w:rsidP="00036773">
            <w:pPr>
              <w:spacing w:line="240" w:lineRule="exact"/>
            </w:pPr>
            <w:r>
              <w:t>Original : français</w:t>
            </w:r>
          </w:p>
          <w:p w:rsidR="00036773" w:rsidRPr="00DB58B5" w:rsidRDefault="00036773" w:rsidP="00036773">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036773" w:rsidRPr="00556CA6" w:rsidRDefault="00036773" w:rsidP="00036773">
      <w:pPr>
        <w:pStyle w:val="HChG"/>
      </w:pPr>
      <w:r w:rsidRPr="00556CA6">
        <w:tab/>
      </w:r>
      <w:r w:rsidRPr="00556CA6">
        <w:tab/>
        <w:t xml:space="preserve">Liste de points concernant le quatrième rapport périodique </w:t>
      </w:r>
      <w:r w:rsidRPr="00556CA6">
        <w:br/>
        <w:t>du Luxembourg</w:t>
      </w:r>
      <w:r w:rsidR="001B4D5A" w:rsidRPr="00CA1117">
        <w:rPr>
          <w:rStyle w:val="Appelnotedebasdep"/>
          <w:b w:val="0"/>
          <w:bCs/>
          <w:sz w:val="20"/>
          <w:vertAlign w:val="baseline"/>
        </w:rPr>
        <w:footnoteReference w:customMarkFollows="1" w:id="2"/>
        <w:t>*</w:t>
      </w:r>
    </w:p>
    <w:p w:rsidR="00036773" w:rsidRPr="00556CA6" w:rsidRDefault="00036773" w:rsidP="00036773">
      <w:pPr>
        <w:pStyle w:val="H23G"/>
        <w:jc w:val="both"/>
      </w:pPr>
      <w:r w:rsidRPr="00556CA6">
        <w:tab/>
      </w:r>
      <w:r>
        <w:tab/>
      </w:r>
      <w:r w:rsidRPr="00556CA6">
        <w:t xml:space="preserve">Cadre constitutionnel et juridique de </w:t>
      </w:r>
      <w:r>
        <w:t>la mise en œuvre</w:t>
      </w:r>
      <w:r w:rsidRPr="00556CA6">
        <w:t xml:space="preserve"> du Pacte (art. 2)</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À la lumière des précédentes observations finales du Comité (</w:t>
      </w:r>
      <w:r>
        <w:t xml:space="preserve">CCPR/CO/77/LUX, </w:t>
      </w:r>
      <w:r w:rsidRPr="00556CA6">
        <w:t>par.</w:t>
      </w:r>
      <w:r w:rsidR="001B4D5A">
        <w:t> </w:t>
      </w:r>
      <w:r w:rsidRPr="00556CA6">
        <w:t>4), indiquer si l</w:t>
      </w:r>
      <w:r>
        <w:t>’</w:t>
      </w:r>
      <w:r w:rsidRPr="00556CA6">
        <w:t xml:space="preserve">État partie envisage de réexaminer et de retirer ses réserves </w:t>
      </w:r>
      <w:r>
        <w:t>à l’</w:t>
      </w:r>
      <w:r w:rsidRPr="00556CA6">
        <w:t>article</w:t>
      </w:r>
      <w:r w:rsidR="001B4D5A">
        <w:t> </w:t>
      </w:r>
      <w:r w:rsidRPr="00556CA6">
        <w:t>10, paragraphe</w:t>
      </w:r>
      <w:r w:rsidR="001B4D5A">
        <w:t> </w:t>
      </w:r>
      <w:r w:rsidRPr="00556CA6">
        <w:t>3</w:t>
      </w:r>
      <w:r>
        <w:t>,</w:t>
      </w:r>
      <w:r w:rsidRPr="00556CA6">
        <w:t xml:space="preserve"> </w:t>
      </w:r>
      <w:r>
        <w:t>à l’article </w:t>
      </w:r>
      <w:r w:rsidRPr="00556CA6">
        <w:t>14, paragraphe</w:t>
      </w:r>
      <w:r w:rsidR="001B4D5A">
        <w:t> </w:t>
      </w:r>
      <w:r w:rsidRPr="00556CA6">
        <w:t>5</w:t>
      </w:r>
      <w:r>
        <w:t>,</w:t>
      </w:r>
      <w:r w:rsidRPr="00556CA6">
        <w:t xml:space="preserve"> </w:t>
      </w:r>
      <w:r>
        <w:t>à l’article </w:t>
      </w:r>
      <w:r w:rsidRPr="00556CA6">
        <w:t>19, paragraphe</w:t>
      </w:r>
      <w:r w:rsidR="001B4D5A">
        <w:t> </w:t>
      </w:r>
      <w:r w:rsidRPr="00556CA6">
        <w:t>2</w:t>
      </w:r>
      <w:r>
        <w:t>, et</w:t>
      </w:r>
      <w:r w:rsidRPr="00556CA6">
        <w:t xml:space="preserve"> </w:t>
      </w:r>
      <w:r>
        <w:t>à l’article </w:t>
      </w:r>
      <w:r w:rsidRPr="00556CA6">
        <w:t>20, paragraphe</w:t>
      </w:r>
      <w:r w:rsidR="001B4D5A">
        <w:t> </w:t>
      </w:r>
      <w:r w:rsidRPr="00556CA6">
        <w:t>1, du Pacte.</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Eu égard à l</w:t>
      </w:r>
      <w:r>
        <w:t>’</w:t>
      </w:r>
      <w:r w:rsidRPr="00556CA6">
        <w:t xml:space="preserve">effet direct et </w:t>
      </w:r>
      <w:r>
        <w:t xml:space="preserve">à </w:t>
      </w:r>
      <w:r w:rsidRPr="00556CA6">
        <w:t>la primauté du Pacte par rapport aux normes internes, donner des renseignements détaillés sur des cas où des tribunaux nationaux ont directement appliqué les dispositions du Pacte.</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 xml:space="preserve">Donner des renseignements sur les mesures prises pour diffuser le Pacte et son Protocole facultatif, tel que </w:t>
      </w:r>
      <w:r>
        <w:t>le recommandait</w:t>
      </w:r>
      <w:r w:rsidRPr="00556CA6">
        <w:t xml:space="preserve"> le Comité dans ses précédentes observations finales, y</w:t>
      </w:r>
      <w:r w:rsidR="001B4D5A">
        <w:t> </w:t>
      </w:r>
      <w:r w:rsidRPr="00556CA6">
        <w:t>compris auprès des juges, des avocats, des procureurs, des membres des forces de l</w:t>
      </w:r>
      <w:r>
        <w:t>’</w:t>
      </w:r>
      <w:r w:rsidRPr="00556CA6">
        <w:t>ordre</w:t>
      </w:r>
      <w:r>
        <w:t xml:space="preserve"> et des autres autorités administratives</w:t>
      </w:r>
      <w:r w:rsidRPr="00556CA6">
        <w:t xml:space="preserve">. </w:t>
      </w:r>
      <w:r>
        <w:t>F</w:t>
      </w:r>
      <w:r w:rsidRPr="00556CA6">
        <w:t xml:space="preserve">ournir des renseignements sur les dispositifs </w:t>
      </w:r>
      <w:r>
        <w:t>de mise en œuvre des</w:t>
      </w:r>
      <w:r w:rsidRPr="00556CA6">
        <w:t xml:space="preserve"> recommandations formulées par le Comité dans ses </w:t>
      </w:r>
      <w:r>
        <w:t xml:space="preserve">précédentes </w:t>
      </w:r>
      <w:r w:rsidRPr="00556CA6">
        <w:t>observations finales.</w:t>
      </w:r>
    </w:p>
    <w:p w:rsidR="00036773" w:rsidRPr="00556CA6" w:rsidRDefault="00036773" w:rsidP="00036773">
      <w:pPr>
        <w:pStyle w:val="H23G"/>
        <w:jc w:val="both"/>
      </w:pPr>
      <w:r>
        <w:tab/>
      </w:r>
      <w:r>
        <w:tab/>
      </w:r>
      <w:r w:rsidRPr="00556CA6">
        <w:tab/>
        <w:t xml:space="preserve">Mesures </w:t>
      </w:r>
      <w:r>
        <w:t>de lutte contre le terrorisme</w:t>
      </w:r>
      <w:r w:rsidRPr="00556CA6">
        <w:t xml:space="preserve"> (art.</w:t>
      </w:r>
      <w:r w:rsidR="001B4D5A">
        <w:t> </w:t>
      </w:r>
      <w:r w:rsidRPr="00556CA6">
        <w:t>2, 7, 9, 10, 14 et 17)</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Indiquer</w:t>
      </w:r>
      <w:r>
        <w:t xml:space="preserve"> comment</w:t>
      </w:r>
      <w:r w:rsidRPr="00556CA6">
        <w:t xml:space="preserve"> les mesures prises par l</w:t>
      </w:r>
      <w:r>
        <w:t>’</w:t>
      </w:r>
      <w:r w:rsidRPr="00556CA6">
        <w:t>État partie pour répondre à la menace d</w:t>
      </w:r>
      <w:r>
        <w:t>’</w:t>
      </w:r>
      <w:r w:rsidRPr="00556CA6">
        <w:t>actes terroristes, y</w:t>
      </w:r>
      <w:r w:rsidR="001B4D5A">
        <w:t> </w:t>
      </w:r>
      <w:r w:rsidRPr="00556CA6">
        <w:t>compris les dispositions du Code de procédure pénale énumérées au paragraphe</w:t>
      </w:r>
      <w:r w:rsidR="001B4D5A">
        <w:t> </w:t>
      </w:r>
      <w:r w:rsidRPr="00556CA6">
        <w:t xml:space="preserve">102 du </w:t>
      </w:r>
      <w:r>
        <w:t xml:space="preserve">quatrième </w:t>
      </w:r>
      <w:r w:rsidRPr="00556CA6">
        <w:t>rapport</w:t>
      </w:r>
      <w:r>
        <w:t xml:space="preserve"> périodique</w:t>
      </w:r>
      <w:r w:rsidRPr="00556CA6">
        <w:t xml:space="preserve"> de l</w:t>
      </w:r>
      <w:r>
        <w:t>’</w:t>
      </w:r>
      <w:r w:rsidRPr="00556CA6">
        <w:t>État partie</w:t>
      </w:r>
      <w:r>
        <w:t xml:space="preserve"> (CCPR/C/LUX/4)</w:t>
      </w:r>
      <w:r w:rsidRPr="00556CA6">
        <w:t>,</w:t>
      </w:r>
      <w:r>
        <w:t xml:space="preserve"> sont compatibles avec</w:t>
      </w:r>
      <w:r w:rsidRPr="00556CA6">
        <w:t xml:space="preserve"> les garanties relatives aux droits de l</w:t>
      </w:r>
      <w:r>
        <w:t>’</w:t>
      </w:r>
      <w:r w:rsidRPr="00556CA6">
        <w:t>homme, en droit et dans la pratique. Expliquer pourquoi certaines recommandations faites par la Commission consultative des droits de l</w:t>
      </w:r>
      <w:r>
        <w:t>’</w:t>
      </w:r>
      <w:r w:rsidRPr="00556CA6">
        <w:t xml:space="preserve">homme concernant la loi </w:t>
      </w:r>
      <w:r>
        <w:t>du 27</w:t>
      </w:r>
      <w:r w:rsidR="001B4D5A">
        <w:t> </w:t>
      </w:r>
      <w:r>
        <w:t>juin</w:t>
      </w:r>
      <w:r w:rsidRPr="00556CA6">
        <w:t xml:space="preserve"> 2018 adaptant la procédure pénale aux besoins liés à la menace terroriste n</w:t>
      </w:r>
      <w:r>
        <w:t>’</w:t>
      </w:r>
      <w:r w:rsidRPr="00556CA6">
        <w:t>ont pas été prises en compte. Préciser dans quelle mesure les règles de forme en place permettent en pratique de prévenir l</w:t>
      </w:r>
      <w:r>
        <w:t>’</w:t>
      </w:r>
      <w:r w:rsidRPr="00556CA6">
        <w:t>application abusive des dérogations au droit commun prévues par certaines dispositions du Code de procédure pénale introduites afin de lutter contre le terrorisme.</w:t>
      </w:r>
    </w:p>
    <w:p w:rsidR="00036773" w:rsidRPr="00556CA6" w:rsidRDefault="00036773" w:rsidP="00036773">
      <w:pPr>
        <w:pStyle w:val="H23G"/>
        <w:jc w:val="both"/>
      </w:pPr>
      <w:r>
        <w:tab/>
      </w:r>
      <w:r>
        <w:tab/>
      </w:r>
      <w:r w:rsidRPr="00556CA6">
        <w:t>Non-discrimination (art.</w:t>
      </w:r>
      <w:r w:rsidR="001B4D5A">
        <w:t> </w:t>
      </w:r>
      <w:r w:rsidRPr="00556CA6">
        <w:t>2 et 14)</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t>Indiquer quels</w:t>
      </w:r>
      <w:r w:rsidRPr="00556CA6">
        <w:t xml:space="preserve"> sont, selon l</w:t>
      </w:r>
      <w:r>
        <w:t>’</w:t>
      </w:r>
      <w:r w:rsidRPr="00556CA6">
        <w:t>État partie, les obstacles à l</w:t>
      </w:r>
      <w:r>
        <w:t>’</w:t>
      </w:r>
      <w:r w:rsidRPr="00556CA6">
        <w:t xml:space="preserve">accès à la justice pour les victimes de discrimination, et les mesures prises ou envisagées pour y remédier. Par ailleurs, </w:t>
      </w:r>
      <w:r>
        <w:t xml:space="preserve">indiquer </w:t>
      </w:r>
      <w:r w:rsidRPr="00556CA6">
        <w:t>quelles mesures sont prises pour allouer un budget adéquat au Centre pour l</w:t>
      </w:r>
      <w:r>
        <w:t>’</w:t>
      </w:r>
      <w:r w:rsidRPr="00556CA6">
        <w:t xml:space="preserve">égalité de traitement et rendre </w:t>
      </w:r>
      <w:r>
        <w:t>celui-ci</w:t>
      </w:r>
      <w:r w:rsidRPr="00556CA6">
        <w:t xml:space="preserve"> plus actif dans l</w:t>
      </w:r>
      <w:r>
        <w:t>’</w:t>
      </w:r>
      <w:r w:rsidRPr="00556CA6">
        <w:t>assistance aux victimes.</w:t>
      </w:r>
      <w:r>
        <w:t xml:space="preserve"> Fournir également des renseignements sur la mise en œuvre du Plan d’action national pour une égalité entre les femmes et les hommes adopté en juillet 2020.</w:t>
      </w:r>
    </w:p>
    <w:p w:rsidR="00036773" w:rsidRPr="00556CA6" w:rsidRDefault="00036773" w:rsidP="00036773">
      <w:pPr>
        <w:pStyle w:val="H23G"/>
        <w:jc w:val="both"/>
      </w:pPr>
      <w:r>
        <w:lastRenderedPageBreak/>
        <w:tab/>
      </w:r>
      <w:r>
        <w:tab/>
      </w:r>
      <w:r w:rsidRPr="00556CA6">
        <w:t>Discrimination contre les personnes handicapées</w:t>
      </w:r>
      <w:r>
        <w:t xml:space="preserve"> (art.</w:t>
      </w:r>
      <w:r w:rsidR="001B4D5A">
        <w:t> </w:t>
      </w:r>
      <w:r>
        <w:t>2 et 26)</w:t>
      </w:r>
    </w:p>
    <w:p w:rsidR="00036773" w:rsidRDefault="00036773" w:rsidP="00036773">
      <w:pPr>
        <w:pStyle w:val="Paragraphedeliste"/>
        <w:numPr>
          <w:ilvl w:val="0"/>
          <w:numId w:val="20"/>
        </w:numPr>
        <w:tabs>
          <w:tab w:val="left" w:pos="1701"/>
        </w:tabs>
        <w:ind w:left="1134" w:right="1134" w:firstLine="0"/>
        <w:contextualSpacing w:val="0"/>
        <w:jc w:val="both"/>
      </w:pPr>
      <w:r>
        <w:t>Fournir des renseignements sur les droits dont bénéficient les personnes handicapées qui ne remplissent pas le critère de perte de</w:t>
      </w:r>
      <w:r w:rsidRPr="00556CA6">
        <w:t xml:space="preserve"> 30</w:t>
      </w:r>
      <w:r>
        <w:t> </w:t>
      </w:r>
      <w:r w:rsidRPr="00556CA6">
        <w:t xml:space="preserve">% de </w:t>
      </w:r>
      <w:r>
        <w:t>l</w:t>
      </w:r>
      <w:r w:rsidRPr="00556CA6">
        <w:t xml:space="preserve">a capacité </w:t>
      </w:r>
      <w:bookmarkStart w:id="0" w:name="_GoBack"/>
      <w:bookmarkEnd w:id="0"/>
      <w:r w:rsidRPr="00556CA6">
        <w:t>de travail</w:t>
      </w:r>
      <w:r>
        <w:t xml:space="preserve"> prévu par la loi sur les travailleurs handicapés. </w:t>
      </w:r>
      <w:r w:rsidRPr="00556CA6">
        <w:t xml:space="preserve">Indiquer </w:t>
      </w:r>
      <w:r>
        <w:t xml:space="preserve">également </w:t>
      </w:r>
      <w:r w:rsidRPr="00556CA6">
        <w:t>le calendrier d</w:t>
      </w:r>
      <w:r>
        <w:t>’</w:t>
      </w:r>
      <w:r w:rsidRPr="00556CA6">
        <w:t>adoption des projets de loi n</w:t>
      </w:r>
      <w:r w:rsidRPr="008445C9">
        <w:rPr>
          <w:vertAlign w:val="superscript"/>
        </w:rPr>
        <w:t>o</w:t>
      </w:r>
      <w:r>
        <w:t> </w:t>
      </w:r>
      <w:r w:rsidRPr="00556CA6">
        <w:t xml:space="preserve">7346 </w:t>
      </w:r>
      <w:r>
        <w:t>sur</w:t>
      </w:r>
      <w:r w:rsidRPr="00556CA6">
        <w:t xml:space="preserve"> l</w:t>
      </w:r>
      <w:r>
        <w:t>’</w:t>
      </w:r>
      <w:r w:rsidRPr="00556CA6">
        <w:t>accessibilité à tous des lieux ouverts au public, des voies publiques et des bâtiments d</w:t>
      </w:r>
      <w:r>
        <w:t>’</w:t>
      </w:r>
      <w:r w:rsidRPr="00556CA6">
        <w:t>habitation collectifs</w:t>
      </w:r>
      <w:r>
        <w:t>,</w:t>
      </w:r>
      <w:r w:rsidRPr="00556CA6">
        <w:t xml:space="preserve"> et n</w:t>
      </w:r>
      <w:r w:rsidRPr="008445C9">
        <w:rPr>
          <w:vertAlign w:val="superscript"/>
        </w:rPr>
        <w:t>o</w:t>
      </w:r>
      <w:r>
        <w:t> </w:t>
      </w:r>
      <w:r w:rsidRPr="00556CA6">
        <w:t xml:space="preserve">7351 </w:t>
      </w:r>
      <w:r>
        <w:t>sur</w:t>
      </w:r>
      <w:r w:rsidRPr="00556CA6">
        <w:t xml:space="preserve"> l</w:t>
      </w:r>
      <w:r>
        <w:t>’</w:t>
      </w:r>
      <w:r w:rsidRPr="00556CA6">
        <w:t xml:space="preserve">accessibilité des sites Internet et </w:t>
      </w:r>
      <w:r>
        <w:t xml:space="preserve">des </w:t>
      </w:r>
      <w:r w:rsidRPr="00556CA6">
        <w:t xml:space="preserve">applications mobiles des organismes du </w:t>
      </w:r>
      <w:r>
        <w:t>secteur</w:t>
      </w:r>
      <w:r w:rsidRPr="00556CA6">
        <w:t xml:space="preserve"> public. Clarifier</w:t>
      </w:r>
      <w:r>
        <w:t> :</w:t>
      </w:r>
    </w:p>
    <w:p w:rsidR="00036773" w:rsidRDefault="00036773" w:rsidP="00036773">
      <w:pPr>
        <w:tabs>
          <w:tab w:val="left" w:pos="1701"/>
        </w:tabs>
        <w:spacing w:before="120" w:after="120"/>
        <w:ind w:left="1134" w:right="1134" w:firstLine="567"/>
        <w:jc w:val="both"/>
      </w:pPr>
      <w:r>
        <w:t>a</w:t>
      </w:r>
      <w:r w:rsidRPr="00556CA6">
        <w:t>)</w:t>
      </w:r>
      <w:r>
        <w:tab/>
        <w:t>S</w:t>
      </w:r>
      <w:r w:rsidRPr="00556CA6">
        <w:t xml:space="preserve">i les projets </w:t>
      </w:r>
      <w:r>
        <w:t xml:space="preserve">de loi </w:t>
      </w:r>
      <w:r w:rsidRPr="00CD5C61">
        <w:t xml:space="preserve">prévoient </w:t>
      </w:r>
      <w:r w:rsidRPr="004D6414">
        <w:t>de</w:t>
      </w:r>
      <w:r w:rsidRPr="00CD5C61">
        <w:t xml:space="preserve"> </w:t>
      </w:r>
      <w:r>
        <w:t>garantir le droit à l’accessibilité</w:t>
      </w:r>
      <w:r w:rsidRPr="00556CA6">
        <w:t xml:space="preserve"> </w:t>
      </w:r>
      <w:r>
        <w:t>de l’environnement physique, des</w:t>
      </w:r>
      <w:r w:rsidRPr="00556CA6">
        <w:t xml:space="preserve"> transports, </w:t>
      </w:r>
      <w:r>
        <w:t>de</w:t>
      </w:r>
      <w:r w:rsidRPr="00556CA6">
        <w:t xml:space="preserve"> l</w:t>
      </w:r>
      <w:r>
        <w:t>’</w:t>
      </w:r>
      <w:r w:rsidRPr="00556CA6">
        <w:t xml:space="preserve">information et </w:t>
      </w:r>
      <w:r>
        <w:t>de la communication, des</w:t>
      </w:r>
      <w:r w:rsidRPr="00556CA6">
        <w:t xml:space="preserve"> autres équipements et services ouverts ou fournis au public, et </w:t>
      </w:r>
      <w:r>
        <w:t>des</w:t>
      </w:r>
      <w:r w:rsidRPr="00556CA6">
        <w:t xml:space="preserve"> lieux de travail</w:t>
      </w:r>
      <w:r>
        <w:t> </w:t>
      </w:r>
      <w:r w:rsidRPr="00556CA6">
        <w:t>;</w:t>
      </w:r>
    </w:p>
    <w:p w:rsidR="00036773" w:rsidRDefault="00036773" w:rsidP="00036773">
      <w:pPr>
        <w:tabs>
          <w:tab w:val="left" w:pos="1701"/>
        </w:tabs>
        <w:spacing w:before="120" w:after="120"/>
        <w:ind w:left="1134" w:right="1134" w:firstLine="567"/>
        <w:jc w:val="both"/>
      </w:pPr>
      <w:r>
        <w:t>b</w:t>
      </w:r>
      <w:r w:rsidRPr="00556CA6">
        <w:t>)</w:t>
      </w:r>
      <w:r>
        <w:tab/>
        <w:t>Si les projets de dispositions concernant le droit à</w:t>
      </w:r>
      <w:r w:rsidRPr="00556CA6">
        <w:t xml:space="preserve"> </w:t>
      </w:r>
      <w:r>
        <w:t xml:space="preserve">un </w:t>
      </w:r>
      <w:r w:rsidRPr="00556CA6">
        <w:t xml:space="preserve">aménagement raisonnable sont conformes à la Convention </w:t>
      </w:r>
      <w:r>
        <w:t>relative aux</w:t>
      </w:r>
      <w:r w:rsidRPr="00556CA6">
        <w:t xml:space="preserve"> droits des personnes handicapées</w:t>
      </w:r>
      <w:r>
        <w:t>.</w:t>
      </w:r>
    </w:p>
    <w:p w:rsidR="00036773" w:rsidRPr="00556CA6" w:rsidRDefault="00036773" w:rsidP="00036773">
      <w:pPr>
        <w:pStyle w:val="H23G"/>
        <w:jc w:val="both"/>
      </w:pPr>
      <w:r>
        <w:tab/>
      </w:r>
      <w:r>
        <w:tab/>
      </w:r>
      <w:r w:rsidRPr="00556CA6">
        <w:tab/>
        <w:t xml:space="preserve">Discrimination contre les lesbiennes, gays, bisexuels, transgenres et intersexes </w:t>
      </w:r>
      <w:r w:rsidR="001B4D5A">
        <w:br/>
      </w:r>
      <w:r w:rsidRPr="00556CA6">
        <w:t>(art. 2 et</w:t>
      </w:r>
      <w:r>
        <w:t> </w:t>
      </w:r>
      <w:r w:rsidRPr="00556CA6">
        <w:t>26)</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t>F</w:t>
      </w:r>
      <w:r w:rsidRPr="00556CA6">
        <w:t>ournir des renseignements à jour sur la mise en œuvre du Plan d</w:t>
      </w:r>
      <w:r>
        <w:t>’</w:t>
      </w:r>
      <w:r w:rsidRPr="00556CA6">
        <w:t xml:space="preserve">action </w:t>
      </w:r>
      <w:r>
        <w:t xml:space="preserve">national </w:t>
      </w:r>
      <w:r w:rsidRPr="00556CA6">
        <w:t>pour la promotion des droits des personnes lesbiennes, gays, bisexuelles, transgenres et intersexes, notamment en ce qui concerne l</w:t>
      </w:r>
      <w:r>
        <w:t>’</w:t>
      </w:r>
      <w:r w:rsidRPr="00556CA6">
        <w:t>introduction dans la loi de l</w:t>
      </w:r>
      <w:r>
        <w:t>’</w:t>
      </w:r>
      <w:r w:rsidRPr="00556CA6">
        <w:t>interdiction des traitements médicaux de « normalisation sexuelle » sans urgence vitale pratiqués sans le consentement libre et éclairé de la personne intersexe</w:t>
      </w:r>
      <w:r>
        <w:t xml:space="preserve">, </w:t>
      </w:r>
      <w:r w:rsidRPr="00556CA6">
        <w:t xml:space="preserve">et </w:t>
      </w:r>
      <w:r>
        <w:t>la modification des dispositions législatives qui ont pour effet</w:t>
      </w:r>
      <w:r w:rsidRPr="00556CA6">
        <w:t xml:space="preserve"> </w:t>
      </w:r>
      <w:r>
        <w:t>une</w:t>
      </w:r>
      <w:r w:rsidRPr="00556CA6">
        <w:t xml:space="preserve"> restriction au droit de donner du sang en raison de la seule orientation sexuelle. Par ailleurs, en l</w:t>
      </w:r>
      <w:r>
        <w:t>’</w:t>
      </w:r>
      <w:r w:rsidRPr="00556CA6">
        <w:t>attente de l</w:t>
      </w:r>
      <w:r>
        <w:t>’</w:t>
      </w:r>
      <w:r w:rsidRPr="00556CA6">
        <w:t>adoption des dispositions législatives pertinentes, indiquer les dispositifs mis en place pour</w:t>
      </w:r>
      <w:r>
        <w:t xml:space="preserve"> </w:t>
      </w:r>
      <w:r w:rsidRPr="00556CA6">
        <w:t xml:space="preserve">mettre </w:t>
      </w:r>
      <w:r w:rsidRPr="004D6414">
        <w:t xml:space="preserve">un </w:t>
      </w:r>
      <w:r w:rsidRPr="00556CA6">
        <w:t>terme aux interventions chirurgicales de changement de sexe non consenties et pour permettre aux survivants de telles interventions d</w:t>
      </w:r>
      <w:r>
        <w:t>’</w:t>
      </w:r>
      <w:r w:rsidRPr="00556CA6">
        <w:t>obtenir réparation.</w:t>
      </w:r>
    </w:p>
    <w:p w:rsidR="00036773" w:rsidRPr="00556CA6" w:rsidRDefault="00036773" w:rsidP="00036773">
      <w:pPr>
        <w:pStyle w:val="H23G"/>
        <w:jc w:val="both"/>
      </w:pPr>
      <w:r w:rsidRPr="00556CA6">
        <w:tab/>
      </w:r>
      <w:r>
        <w:tab/>
      </w:r>
      <w:r w:rsidRPr="00556CA6">
        <w:t>État d</w:t>
      </w:r>
      <w:r>
        <w:t>’</w:t>
      </w:r>
      <w:r w:rsidRPr="00556CA6">
        <w:t>urgence (art.</w:t>
      </w:r>
      <w:r w:rsidR="001B4D5A">
        <w:t> </w:t>
      </w:r>
      <w:r w:rsidRPr="00556CA6">
        <w:t>4)</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Fournir des renseignements sur l</w:t>
      </w:r>
      <w:r>
        <w:t>’</w:t>
      </w:r>
      <w:r w:rsidRPr="00556CA6">
        <w:t>application des dispositions constitutionnelles sur l</w:t>
      </w:r>
      <w:r>
        <w:t>’</w:t>
      </w:r>
      <w:r w:rsidRPr="00556CA6">
        <w:t xml:space="preserve">état de crise depuis leur adoption en 2017. En particulier, décrire la teneur des restrictions aux droits et </w:t>
      </w:r>
      <w:r>
        <w:t xml:space="preserve">aux </w:t>
      </w:r>
      <w:r w:rsidRPr="00556CA6">
        <w:t>libertés introduites</w:t>
      </w:r>
      <w:r>
        <w:t>,</w:t>
      </w:r>
      <w:r w:rsidRPr="00556CA6">
        <w:t xml:space="preserve"> ainsi que le contrôle effectué sur la stricte nécessité et la proportionnalité des mesures dérogatoires. </w:t>
      </w:r>
      <w:r>
        <w:t xml:space="preserve">Expliquer comment ce contrôle a été effectué dans le cadre de l’état de crise décrété pour faire face à la pandémie de maladie à coronavirus (COVID-19). </w:t>
      </w:r>
      <w:r w:rsidRPr="00556CA6">
        <w:t>Par ailleurs, expliquer le mécanisme de contrôle, judiciaire ou parlementaire, auquel sont soumises les décisions prises par le pouvoir exécutif pendant la période d</w:t>
      </w:r>
      <w:r>
        <w:t>’</w:t>
      </w:r>
      <w:r w:rsidRPr="00556CA6">
        <w:t>état de</w:t>
      </w:r>
      <w:r w:rsidR="001B4D5A">
        <w:t> </w:t>
      </w:r>
      <w:r w:rsidRPr="00556CA6">
        <w:t>crise.</w:t>
      </w:r>
    </w:p>
    <w:p w:rsidR="00036773" w:rsidRPr="00556CA6" w:rsidRDefault="00036773" w:rsidP="00036773">
      <w:pPr>
        <w:pStyle w:val="H23G"/>
        <w:jc w:val="both"/>
      </w:pPr>
      <w:r>
        <w:tab/>
      </w:r>
      <w:r>
        <w:tab/>
      </w:r>
      <w:r w:rsidRPr="00556CA6">
        <w:t>Droit à la vie et interdiction de la torture et des autres peines ou traitements cruels, inhumains ou dégradants (art.</w:t>
      </w:r>
      <w:r w:rsidR="001B4D5A">
        <w:t> </w:t>
      </w:r>
      <w:r w:rsidRPr="00556CA6">
        <w:t>6 et 7)</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Clarifier si l</w:t>
      </w:r>
      <w:r>
        <w:t>’</w:t>
      </w:r>
      <w:r w:rsidRPr="00556CA6">
        <w:t>État partie envisage de protéger dans sa Constitution le droit à la vie et le droit de chacun à son intégrité physique et mentale.</w:t>
      </w:r>
    </w:p>
    <w:p w:rsidR="00036773" w:rsidRDefault="00036773" w:rsidP="00036773">
      <w:pPr>
        <w:pStyle w:val="Paragraphedeliste"/>
        <w:numPr>
          <w:ilvl w:val="0"/>
          <w:numId w:val="20"/>
        </w:numPr>
        <w:tabs>
          <w:tab w:val="left" w:pos="1701"/>
        </w:tabs>
        <w:spacing w:after="120"/>
        <w:ind w:left="1134" w:right="1133" w:firstLine="0"/>
        <w:contextualSpacing w:val="0"/>
        <w:jc w:val="both"/>
      </w:pPr>
      <w:r>
        <w:t>Donner des informations sur les</w:t>
      </w:r>
      <w:r w:rsidRPr="00556CA6">
        <w:t xml:space="preserve"> mesures prises par l</w:t>
      </w:r>
      <w:r>
        <w:t>’</w:t>
      </w:r>
      <w:r w:rsidRPr="00556CA6">
        <w:t>État partie afin de mettre sa législation sur l</w:t>
      </w:r>
      <w:r>
        <w:t>’</w:t>
      </w:r>
      <w:r w:rsidRPr="00556CA6">
        <w:t>usage de la force, notamment la loi du 28</w:t>
      </w:r>
      <w:r w:rsidR="001B4D5A">
        <w:t> </w:t>
      </w:r>
      <w:r w:rsidRPr="00556CA6">
        <w:t>juillet 1973 réglant l</w:t>
      </w:r>
      <w:r>
        <w:t>’</w:t>
      </w:r>
      <w:r w:rsidRPr="00556CA6">
        <w:t>usage des armes et autres moyens de contrainte par les membres de la force publique dans la lutte contre la criminalité, en conformité avec les normes internationales.</w:t>
      </w:r>
    </w:p>
    <w:p w:rsidR="00036773" w:rsidRPr="00556CA6" w:rsidRDefault="00036773" w:rsidP="00036773">
      <w:pPr>
        <w:pStyle w:val="H23G"/>
        <w:jc w:val="both"/>
      </w:pPr>
      <w:r>
        <w:tab/>
      </w:r>
      <w:r>
        <w:tab/>
      </w:r>
      <w:r w:rsidRPr="00556CA6">
        <w:t>Accès à la justice (art.</w:t>
      </w:r>
      <w:r w:rsidR="001B4D5A">
        <w:t> </w:t>
      </w:r>
      <w:r w:rsidRPr="00556CA6">
        <w:t>2 et 14)</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Expliquer le maintien de la pratique d</w:t>
      </w:r>
      <w:r>
        <w:t>’</w:t>
      </w:r>
      <w:r w:rsidRPr="00556CA6">
        <w:t>émission de « certificats de moralité » souvent délivrés par les administrations de l</w:t>
      </w:r>
      <w:r>
        <w:t>’</w:t>
      </w:r>
      <w:r w:rsidRPr="00556CA6">
        <w:t>État partie avec le casier judiciaire</w:t>
      </w:r>
      <w:r>
        <w:t>,</w:t>
      </w:r>
      <w:r w:rsidRPr="00556CA6">
        <w:t xml:space="preserve"> alors qu</w:t>
      </w:r>
      <w:r>
        <w:t>’</w:t>
      </w:r>
      <w:r w:rsidRPr="00556CA6">
        <w:t>elle n</w:t>
      </w:r>
      <w:r>
        <w:t>’</w:t>
      </w:r>
      <w:r w:rsidRPr="00556CA6">
        <w:t xml:space="preserve">est </w:t>
      </w:r>
      <w:r>
        <w:t>pas</w:t>
      </w:r>
      <w:r w:rsidRPr="00556CA6">
        <w:t xml:space="preserve"> réglementée</w:t>
      </w:r>
      <w:r>
        <w:t xml:space="preserve"> et n’a pas</w:t>
      </w:r>
      <w:r w:rsidRPr="00556CA6">
        <w:t xml:space="preserve"> fait l</w:t>
      </w:r>
      <w:r>
        <w:t>’</w:t>
      </w:r>
      <w:r w:rsidRPr="00556CA6">
        <w:t>objet de mention dans la loi du 2</w:t>
      </w:r>
      <w:r>
        <w:t>9</w:t>
      </w:r>
      <w:r w:rsidR="001B4D5A">
        <w:t> </w:t>
      </w:r>
      <w:r w:rsidRPr="00556CA6">
        <w:t>mars 2013 relative à l</w:t>
      </w:r>
      <w:r>
        <w:t>’</w:t>
      </w:r>
      <w:r w:rsidRPr="00556CA6">
        <w:t>organisation du casier judiciaire.</w:t>
      </w:r>
    </w:p>
    <w:p w:rsidR="00036773" w:rsidRPr="00556CA6" w:rsidRDefault="00036773" w:rsidP="001B4D5A">
      <w:pPr>
        <w:pStyle w:val="H23G"/>
        <w:jc w:val="both"/>
      </w:pPr>
      <w:r>
        <w:lastRenderedPageBreak/>
        <w:tab/>
      </w:r>
      <w:r>
        <w:tab/>
      </w:r>
      <w:r w:rsidRPr="00556CA6">
        <w:tab/>
        <w:t>Réfugiés et demandeurs d</w:t>
      </w:r>
      <w:r>
        <w:t>’</w:t>
      </w:r>
      <w:r w:rsidRPr="00556CA6">
        <w:t>asile (art.</w:t>
      </w:r>
      <w:r w:rsidR="001B4D5A">
        <w:t> </w:t>
      </w:r>
      <w:r w:rsidRPr="00556CA6">
        <w:t>7</w:t>
      </w:r>
      <w:r>
        <w:t>,</w:t>
      </w:r>
      <w:r w:rsidRPr="00556CA6">
        <w:t xml:space="preserve"> 9</w:t>
      </w:r>
      <w:r>
        <w:t>,</w:t>
      </w:r>
      <w:r w:rsidRPr="00556CA6">
        <w:t xml:space="preserve"> 10, 12 à 14 et 24)</w:t>
      </w:r>
    </w:p>
    <w:p w:rsidR="00036773" w:rsidRPr="000476D0" w:rsidRDefault="00036773" w:rsidP="00CA1117">
      <w:pPr>
        <w:pStyle w:val="Paragraphedeliste"/>
        <w:keepNext/>
        <w:keepLines/>
        <w:numPr>
          <w:ilvl w:val="0"/>
          <w:numId w:val="20"/>
        </w:numPr>
        <w:tabs>
          <w:tab w:val="left" w:pos="1701"/>
        </w:tabs>
        <w:spacing w:after="120"/>
        <w:ind w:left="1134" w:right="1133" w:firstLine="0"/>
        <w:contextualSpacing w:val="0"/>
        <w:jc w:val="both"/>
      </w:pPr>
      <w:r w:rsidRPr="00592CD9">
        <w:rPr>
          <w:color w:val="FF0000"/>
        </w:rPr>
        <w:tab/>
      </w:r>
      <w:r w:rsidRPr="000476D0">
        <w:t>Indiquer si l</w:t>
      </w:r>
      <w:r>
        <w:t>’</w:t>
      </w:r>
      <w:r w:rsidRPr="000476D0">
        <w:t>État partie envisage d</w:t>
      </w:r>
      <w:r>
        <w:t>’</w:t>
      </w:r>
      <w:r w:rsidRPr="000476D0">
        <w:t>apporter des amendements à la loi du 29</w:t>
      </w:r>
      <w:r w:rsidR="001B4D5A">
        <w:t> </w:t>
      </w:r>
      <w:r w:rsidRPr="000476D0">
        <w:t>août 2008 portant sur la libre circulation des personnes et l</w:t>
      </w:r>
      <w:r>
        <w:t>’</w:t>
      </w:r>
      <w:r w:rsidRPr="000476D0">
        <w:t>immigration</w:t>
      </w:r>
      <w:r>
        <w:t>,</w:t>
      </w:r>
      <w:r w:rsidRPr="000476D0">
        <w:t xml:space="preserve"> afin de lever certains obstacles rencontrés par les bénéficiaires d</w:t>
      </w:r>
      <w:r>
        <w:t>’</w:t>
      </w:r>
      <w:r w:rsidRPr="000476D0">
        <w:t>une protection internationale dans le cadre des demandes de regroupement familial.</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Fournir des renseignements sur les mesures adoptées afin de pallier l</w:t>
      </w:r>
      <w:r>
        <w:t>’</w:t>
      </w:r>
      <w:r w:rsidRPr="00556CA6">
        <w:t>insuffisance observée en matière d</w:t>
      </w:r>
      <w:r>
        <w:t>’</w:t>
      </w:r>
      <w:r w:rsidRPr="00556CA6">
        <w:t>accès à l</w:t>
      </w:r>
      <w:r>
        <w:t>’</w:t>
      </w:r>
      <w:r w:rsidRPr="00556CA6">
        <w:t>information par les personnes demanderesses de protection internationale. Par ailleurs, expliquer la raison pour laquelle la fourniture d</w:t>
      </w:r>
      <w:r>
        <w:t>’</w:t>
      </w:r>
      <w:r w:rsidRPr="00556CA6">
        <w:t>assistance judiciaire à ces personnes est limitée à certains aspects des conditions matérielles d</w:t>
      </w:r>
      <w:r>
        <w:t>’</w:t>
      </w:r>
      <w:r w:rsidRPr="00556CA6">
        <w:t>accueil.</w:t>
      </w:r>
    </w:p>
    <w:p w:rsidR="00036773" w:rsidRPr="00556CA6" w:rsidRDefault="00036773" w:rsidP="00036773">
      <w:pPr>
        <w:pStyle w:val="H23G"/>
        <w:jc w:val="both"/>
      </w:pPr>
      <w:r>
        <w:tab/>
      </w:r>
      <w:r>
        <w:tab/>
      </w:r>
      <w:r w:rsidRPr="00556CA6">
        <w:t>Mutilations génitales féminines (art.</w:t>
      </w:r>
      <w:r w:rsidR="001B4D5A">
        <w:t> </w:t>
      </w:r>
      <w:r w:rsidRPr="00556CA6">
        <w:t>3, 7 et 26)</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 xml:space="preserve">Indiquer le calendrier </w:t>
      </w:r>
      <w:r>
        <w:t>d’</w:t>
      </w:r>
      <w:r w:rsidRPr="00556CA6">
        <w:t>adoption des mesures législatives et</w:t>
      </w:r>
      <w:r>
        <w:t xml:space="preserve"> réglementaires</w:t>
      </w:r>
      <w:r w:rsidRPr="00556CA6">
        <w:t xml:space="preserve"> relatives </w:t>
      </w:r>
      <w:r>
        <w:t>aux</w:t>
      </w:r>
      <w:r w:rsidRPr="00556CA6">
        <w:t xml:space="preserve"> obligations </w:t>
      </w:r>
      <w:r>
        <w:t>extra</w:t>
      </w:r>
      <w:r w:rsidRPr="00556CA6">
        <w:t xml:space="preserve">territoriales </w:t>
      </w:r>
      <w:r>
        <w:t xml:space="preserve">de l’État partie </w:t>
      </w:r>
      <w:r w:rsidRPr="00556CA6">
        <w:t>concernant l</w:t>
      </w:r>
      <w:r>
        <w:t>’</w:t>
      </w:r>
      <w:r w:rsidRPr="00556CA6">
        <w:t>élimination des mutilations génitales féminines. Préciser si l</w:t>
      </w:r>
      <w:r>
        <w:t>’</w:t>
      </w:r>
      <w:r w:rsidRPr="00556CA6">
        <w:t>État partie envisage</w:t>
      </w:r>
      <w:r>
        <w:t xml:space="preserve"> d’incriminer les mutilations génitales féminines en tant qu’infraction distincte de celle de l’article</w:t>
      </w:r>
      <w:r w:rsidR="001B4D5A">
        <w:t> </w:t>
      </w:r>
      <w:r>
        <w:t>400 du Code pénal</w:t>
      </w:r>
      <w:r w:rsidRPr="00556CA6">
        <w:t>.</w:t>
      </w:r>
    </w:p>
    <w:p w:rsidR="00036773" w:rsidRPr="00556CA6" w:rsidRDefault="00036773" w:rsidP="00036773">
      <w:pPr>
        <w:pStyle w:val="H23G"/>
        <w:jc w:val="both"/>
      </w:pPr>
      <w:r>
        <w:tab/>
      </w:r>
      <w:r>
        <w:tab/>
      </w:r>
      <w:r w:rsidRPr="00556CA6">
        <w:t>Apatridie (art.</w:t>
      </w:r>
      <w:r w:rsidR="001B4D5A">
        <w:t> </w:t>
      </w:r>
      <w:r w:rsidRPr="00556CA6">
        <w:t>16, 24 et 26)</w:t>
      </w:r>
    </w:p>
    <w:p w:rsidR="00036773" w:rsidRPr="00556CA6" w:rsidRDefault="00036773" w:rsidP="00036773">
      <w:pPr>
        <w:pStyle w:val="Paragraphedeliste"/>
        <w:numPr>
          <w:ilvl w:val="0"/>
          <w:numId w:val="20"/>
        </w:numPr>
        <w:tabs>
          <w:tab w:val="left" w:pos="1701"/>
        </w:tabs>
        <w:spacing w:after="120"/>
        <w:ind w:left="1134" w:right="1133" w:firstLine="0"/>
        <w:contextualSpacing w:val="0"/>
        <w:jc w:val="both"/>
      </w:pPr>
      <w:r w:rsidRPr="00556CA6">
        <w:t>Tout en notant les règles d</w:t>
      </w:r>
      <w:r>
        <w:t>’</w:t>
      </w:r>
      <w:r w:rsidRPr="00556CA6">
        <w:t>acquisition de la nationalité luxembourgeois</w:t>
      </w:r>
      <w:r>
        <w:t>e</w:t>
      </w:r>
      <w:r w:rsidRPr="00556CA6">
        <w:t xml:space="preserve"> fixées par la loi du 8</w:t>
      </w:r>
      <w:r w:rsidR="001B4D5A">
        <w:t> </w:t>
      </w:r>
      <w:r w:rsidRPr="00556CA6">
        <w:t>mars 2017 sur la nationalité luxembourgeoise, décrire les progrès réalisés dans le sens de l</w:t>
      </w:r>
      <w:r>
        <w:t>’</w:t>
      </w:r>
      <w:r w:rsidRPr="00556CA6">
        <w:t>adoption d</w:t>
      </w:r>
      <w:r>
        <w:t>’</w:t>
      </w:r>
      <w:r w:rsidRPr="00556CA6">
        <w:t>un</w:t>
      </w:r>
      <w:r>
        <w:t xml:space="preserve"> cadre législatif</w:t>
      </w:r>
      <w:r w:rsidRPr="00556CA6">
        <w:t xml:space="preserve"> et réglementaire sur la procédure de détermination du statut d</w:t>
      </w:r>
      <w:r>
        <w:t>’</w:t>
      </w:r>
      <w:r w:rsidRPr="00556CA6">
        <w:t>apatride dans l</w:t>
      </w:r>
      <w:r>
        <w:t>’</w:t>
      </w:r>
      <w:r w:rsidRPr="00556CA6">
        <w:t>État partie. Clarifier les droits et les obligations des demandeurs et des bénéficiaires du statut d</w:t>
      </w:r>
      <w:r>
        <w:t>’</w:t>
      </w:r>
      <w:r w:rsidRPr="00556CA6">
        <w:t>apatride, s</w:t>
      </w:r>
      <w:r>
        <w:t>’</w:t>
      </w:r>
      <w:r w:rsidRPr="00556CA6">
        <w:t>agissant en particulier du droit de séjour dans l</w:t>
      </w:r>
      <w:r>
        <w:t>’</w:t>
      </w:r>
      <w:r w:rsidRPr="00556CA6">
        <w:t>État partie pendant la durée de la procédure.</w:t>
      </w:r>
    </w:p>
    <w:p w:rsidR="00036773" w:rsidRPr="00556CA6" w:rsidRDefault="00036773" w:rsidP="00036773">
      <w:pPr>
        <w:pStyle w:val="H23G"/>
        <w:jc w:val="both"/>
      </w:pPr>
      <w:r>
        <w:tab/>
      </w:r>
      <w:r>
        <w:tab/>
      </w:r>
      <w:r w:rsidRPr="00556CA6">
        <w:t>Droit au respect de la vie privée (art.</w:t>
      </w:r>
      <w:r w:rsidR="001B4D5A">
        <w:t> </w:t>
      </w:r>
      <w:r w:rsidRPr="00556CA6">
        <w:t>17)</w:t>
      </w:r>
    </w:p>
    <w:p w:rsidR="00036773" w:rsidRDefault="00036773" w:rsidP="00036773">
      <w:pPr>
        <w:pStyle w:val="Paragraphedeliste"/>
        <w:numPr>
          <w:ilvl w:val="0"/>
          <w:numId w:val="20"/>
        </w:numPr>
        <w:tabs>
          <w:tab w:val="left" w:pos="1701"/>
        </w:tabs>
        <w:spacing w:after="120"/>
        <w:ind w:left="1134" w:right="1133" w:firstLine="0"/>
        <w:contextualSpacing w:val="0"/>
        <w:jc w:val="both"/>
      </w:pPr>
      <w:r w:rsidRPr="00556CA6">
        <w:t>Indiquer l</w:t>
      </w:r>
      <w:r>
        <w:t>’</w:t>
      </w:r>
      <w:r w:rsidRPr="00556CA6">
        <w:t>état d</w:t>
      </w:r>
      <w:r>
        <w:t>’</w:t>
      </w:r>
      <w:r w:rsidRPr="00556CA6">
        <w:t>avancement du projet de loi n</w:t>
      </w:r>
      <w:r w:rsidRPr="008445C9">
        <w:rPr>
          <w:vertAlign w:val="superscript"/>
        </w:rPr>
        <w:t>o</w:t>
      </w:r>
      <w:r>
        <w:t> </w:t>
      </w:r>
      <w:r w:rsidRPr="00556CA6">
        <w:t>6961 portant création de l</w:t>
      </w:r>
      <w:r>
        <w:t>’</w:t>
      </w:r>
      <w:r w:rsidRPr="00556CA6">
        <w:t xml:space="preserve">Autorité nationale de sécurité. </w:t>
      </w:r>
      <w:r>
        <w:t>F</w:t>
      </w:r>
      <w:r w:rsidRPr="00556CA6">
        <w:t>ournir davantage de renseignements sur les dispositions législatives adoptées ces dernières années concernant la collecte, le stockage</w:t>
      </w:r>
      <w:r>
        <w:t xml:space="preserve"> et</w:t>
      </w:r>
      <w:r w:rsidRPr="00556CA6">
        <w:t xml:space="preserve"> le traitement de</w:t>
      </w:r>
      <w:r>
        <w:t>s</w:t>
      </w:r>
      <w:r w:rsidRPr="00556CA6">
        <w:t xml:space="preserve"> données à caractère personnel ainsi que </w:t>
      </w:r>
      <w:r>
        <w:t>sur</w:t>
      </w:r>
      <w:r w:rsidRPr="00556CA6">
        <w:t xml:space="preserve"> la protection de leur confidentialité et leur sécurité</w:t>
      </w:r>
      <w:r>
        <w:t>. Également,</w:t>
      </w:r>
      <w:r w:rsidRPr="000476D0">
        <w:t xml:space="preserve"> expliquer dans quelle mesure les </w:t>
      </w:r>
      <w:r w:rsidRPr="00556CA6">
        <w:t>dispositions contenues dans la loi du 17</w:t>
      </w:r>
      <w:r w:rsidR="001B4D5A">
        <w:t> </w:t>
      </w:r>
      <w:r w:rsidRPr="00556CA6">
        <w:t>juillet 2020 portant introduction d</w:t>
      </w:r>
      <w:r>
        <w:t>’</w:t>
      </w:r>
      <w:r w:rsidRPr="00556CA6">
        <w:t>une série de mesures de lutte contre la pandémie COVID-19</w:t>
      </w:r>
      <w:r>
        <w:t>, la loi du 27</w:t>
      </w:r>
      <w:r w:rsidR="001B4D5A">
        <w:t> </w:t>
      </w:r>
      <w:r>
        <w:t>juin 2018 adaptant la procédure pénale aux besoins liés à la menace terroriste,</w:t>
      </w:r>
      <w:r w:rsidRPr="00556CA6">
        <w:t xml:space="preserve"> et la loi du 1</w:t>
      </w:r>
      <w:r w:rsidRPr="00556CA6">
        <w:rPr>
          <w:vertAlign w:val="superscript"/>
        </w:rPr>
        <w:t>er</w:t>
      </w:r>
      <w:r w:rsidR="001B4D5A">
        <w:t> </w:t>
      </w:r>
      <w:r w:rsidRPr="00556CA6">
        <w:t>août 2018 sur la dé</w:t>
      </w:r>
      <w:r>
        <w:t>claration obligatoire de certaines maladies dans le cadre de la protection de la santé publique</w:t>
      </w:r>
      <w:r w:rsidRPr="00556CA6">
        <w:t xml:space="preserve"> </w:t>
      </w:r>
      <w:r w:rsidRPr="000476D0">
        <w:t xml:space="preserve">sont conformes </w:t>
      </w:r>
      <w:r w:rsidRPr="001A04CE">
        <w:t xml:space="preserve">au droit au respect de la vie privée, tel </w:t>
      </w:r>
      <w:r>
        <w:t>qu’il est</w:t>
      </w:r>
      <w:r w:rsidRPr="001A04CE">
        <w:t xml:space="preserve"> protég</w:t>
      </w:r>
      <w:r w:rsidRPr="0072595E">
        <w:t>é par le Pacte, au</w:t>
      </w:r>
      <w:r w:rsidRPr="001A04CE">
        <w:t xml:space="preserve"> droit d</w:t>
      </w:r>
      <w:r>
        <w:t>’</w:t>
      </w:r>
      <w:r w:rsidRPr="001A04CE">
        <w:t xml:space="preserve">être informé </w:t>
      </w:r>
      <w:r>
        <w:t>de</w:t>
      </w:r>
      <w:r w:rsidRPr="0072595E">
        <w:t xml:space="preserve"> l</w:t>
      </w:r>
      <w:r>
        <w:t>’</w:t>
      </w:r>
      <w:r w:rsidRPr="0072595E">
        <w:t xml:space="preserve">utilisation </w:t>
      </w:r>
      <w:r w:rsidRPr="000476D0">
        <w:t xml:space="preserve">de ces </w:t>
      </w:r>
      <w:r w:rsidRPr="001A04CE">
        <w:t>données</w:t>
      </w:r>
      <w:r>
        <w:t>,</w:t>
      </w:r>
      <w:r w:rsidRPr="0072595E">
        <w:t xml:space="preserve"> et </w:t>
      </w:r>
      <w:r w:rsidRPr="000476D0">
        <w:t>a</w:t>
      </w:r>
      <w:r w:rsidRPr="001A04CE">
        <w:t>u droit de s</w:t>
      </w:r>
      <w:r>
        <w:t>’</w:t>
      </w:r>
      <w:r w:rsidRPr="001A04CE">
        <w:t>opposer à</w:t>
      </w:r>
      <w:r w:rsidRPr="0072595E">
        <w:t xml:space="preserve"> leur collecte, </w:t>
      </w:r>
      <w:r>
        <w:t xml:space="preserve">à </w:t>
      </w:r>
      <w:r w:rsidRPr="000476D0">
        <w:t>leur t</w:t>
      </w:r>
      <w:r w:rsidRPr="001A04CE">
        <w:t>ransmission et</w:t>
      </w:r>
      <w:r>
        <w:t xml:space="preserve"> à</w:t>
      </w:r>
      <w:r w:rsidRPr="001A04CE">
        <w:t xml:space="preserve"> </w:t>
      </w:r>
      <w:r w:rsidRPr="000476D0">
        <w:t xml:space="preserve">leur </w:t>
      </w:r>
      <w:r w:rsidRPr="001A04CE">
        <w:t>stockage.</w:t>
      </w:r>
    </w:p>
    <w:p w:rsidR="00036773" w:rsidRPr="00556CA6" w:rsidRDefault="00036773" w:rsidP="00036773">
      <w:pPr>
        <w:pStyle w:val="H23G"/>
        <w:jc w:val="both"/>
      </w:pPr>
      <w:r>
        <w:tab/>
      </w:r>
      <w:r>
        <w:tab/>
      </w:r>
      <w:r w:rsidRPr="00556CA6">
        <w:t>Liberté d</w:t>
      </w:r>
      <w:r>
        <w:t>’</w:t>
      </w:r>
      <w:r w:rsidRPr="00556CA6">
        <w:t>expression (art.</w:t>
      </w:r>
      <w:r w:rsidR="001B4D5A">
        <w:t> </w:t>
      </w:r>
      <w:r w:rsidRPr="00556CA6">
        <w:t>19 et 20)</w:t>
      </w:r>
    </w:p>
    <w:p w:rsidR="00036773" w:rsidRDefault="00036773" w:rsidP="00036773">
      <w:pPr>
        <w:pStyle w:val="Paragraphedeliste"/>
        <w:numPr>
          <w:ilvl w:val="0"/>
          <w:numId w:val="20"/>
        </w:numPr>
        <w:tabs>
          <w:tab w:val="left" w:pos="1701"/>
        </w:tabs>
        <w:spacing w:after="120"/>
        <w:ind w:left="1134" w:right="1133" w:firstLine="0"/>
        <w:contextualSpacing w:val="0"/>
        <w:jc w:val="both"/>
      </w:pPr>
      <w:r w:rsidRPr="00556CA6">
        <w:t>Préciser les protections dont bénéficient les journalistes et les lanceurs d</w:t>
      </w:r>
      <w:r>
        <w:t>’</w:t>
      </w:r>
      <w:r w:rsidRPr="00556CA6">
        <w:t>alerte</w:t>
      </w:r>
      <w:r>
        <w:t>,</w:t>
      </w:r>
      <w:r w:rsidRPr="00556CA6">
        <w:t xml:space="preserve"> eu égard à la diffusion d</w:t>
      </w:r>
      <w:r>
        <w:t>’</w:t>
      </w:r>
      <w:r w:rsidRPr="00556CA6">
        <w:t xml:space="preserve">informations classifiées ou </w:t>
      </w:r>
      <w:r w:rsidRPr="000476D0">
        <w:t>protégées mais qui présentent un intérêt public légitime</w:t>
      </w:r>
      <w:r w:rsidRPr="001A04CE">
        <w:t>.</w:t>
      </w:r>
      <w:r w:rsidRPr="00556CA6">
        <w:t xml:space="preserve"> </w:t>
      </w:r>
      <w:r>
        <w:t xml:space="preserve">Indiquer si l’État partie envisage </w:t>
      </w:r>
      <w:r w:rsidRPr="00556CA6">
        <w:t>d</w:t>
      </w:r>
      <w:r>
        <w:t>’</w:t>
      </w:r>
      <w:r w:rsidRPr="00556CA6">
        <w:t>intégrer les dispositions pertinentes dans la loi du 8</w:t>
      </w:r>
      <w:r w:rsidR="001B4D5A">
        <w:t> </w:t>
      </w:r>
      <w:r w:rsidRPr="00556CA6">
        <w:t>juin 2004 sur la liberté d</w:t>
      </w:r>
      <w:r>
        <w:t>’</w:t>
      </w:r>
      <w:r w:rsidRPr="00556CA6">
        <w:t>expression dans les médias</w:t>
      </w:r>
      <w:r>
        <w:t>,</w:t>
      </w:r>
      <w:r w:rsidRPr="00556CA6">
        <w:t xml:space="preserve"> modifiée par la loi du</w:t>
      </w:r>
      <w:r w:rsidR="001B4D5A">
        <w:t> </w:t>
      </w:r>
      <w:r w:rsidRPr="00556CA6">
        <w:t>27</w:t>
      </w:r>
      <w:r w:rsidR="001B4D5A">
        <w:t> </w:t>
      </w:r>
      <w:r w:rsidRPr="00556CA6">
        <w:t>juillet 2007 et la loi du 11</w:t>
      </w:r>
      <w:r w:rsidR="001B4D5A">
        <w:t> </w:t>
      </w:r>
      <w:r w:rsidRPr="00556CA6">
        <w:t xml:space="preserve">avril 2010. Fournir des informations sur les </w:t>
      </w:r>
      <w:r>
        <w:t xml:space="preserve">mesures de </w:t>
      </w:r>
      <w:r w:rsidRPr="00556CA6">
        <w:t>protection des défenseurs des droits de l</w:t>
      </w:r>
      <w:r>
        <w:t>’</w:t>
      </w:r>
      <w:r w:rsidRPr="00556CA6">
        <w:t>homme prévues par la loi.</w:t>
      </w:r>
    </w:p>
    <w:p w:rsidR="00036773" w:rsidRPr="000476D0" w:rsidRDefault="00036773" w:rsidP="00036773">
      <w:pPr>
        <w:pStyle w:val="Paragraphedeliste"/>
        <w:numPr>
          <w:ilvl w:val="0"/>
          <w:numId w:val="20"/>
        </w:numPr>
        <w:tabs>
          <w:tab w:val="left" w:pos="1701"/>
        </w:tabs>
        <w:spacing w:after="120"/>
        <w:ind w:left="1134" w:right="1133" w:firstLine="0"/>
        <w:contextualSpacing w:val="0"/>
        <w:jc w:val="both"/>
      </w:pPr>
      <w:r>
        <w:t>Indiquer d</w:t>
      </w:r>
      <w:r w:rsidRPr="000476D0">
        <w:t xml:space="preserve">ans quelle mesure les </w:t>
      </w:r>
      <w:r>
        <w:t>articles</w:t>
      </w:r>
      <w:r w:rsidR="001B4D5A">
        <w:t> </w:t>
      </w:r>
      <w:r>
        <w:t xml:space="preserve">144 et 145 du Code pénal criminalisant les écrits ou dessins outrageant les objets d’un culte ou le ministre d’un culte ainsi que </w:t>
      </w:r>
      <w:r w:rsidRPr="004D6414">
        <w:t xml:space="preserve">les </w:t>
      </w:r>
      <w:r>
        <w:t>articles</w:t>
      </w:r>
      <w:r w:rsidR="001B4D5A">
        <w:t> </w:t>
      </w:r>
      <w:r>
        <w:t xml:space="preserve">443 et 444 sur la </w:t>
      </w:r>
      <w:r w:rsidRPr="00D0238F">
        <w:t xml:space="preserve">diffamation </w:t>
      </w:r>
      <w:r w:rsidRPr="000476D0">
        <w:t>sont compatibles avec l</w:t>
      </w:r>
      <w:r>
        <w:t>’</w:t>
      </w:r>
      <w:r w:rsidRPr="000476D0">
        <w:t>article</w:t>
      </w:r>
      <w:r w:rsidR="001B4D5A">
        <w:t> </w:t>
      </w:r>
      <w:r w:rsidRPr="000476D0">
        <w:t>19 du Pacte</w:t>
      </w:r>
      <w:r>
        <w:t>.</w:t>
      </w:r>
    </w:p>
    <w:p w:rsidR="00036773" w:rsidRDefault="00036773" w:rsidP="00036773">
      <w:pPr>
        <w:pStyle w:val="H23G"/>
        <w:jc w:val="both"/>
      </w:pPr>
      <w:r>
        <w:tab/>
      </w:r>
      <w:r>
        <w:tab/>
        <w:t xml:space="preserve">Liberté de conscience, de croyance </w:t>
      </w:r>
      <w:r w:rsidRPr="000476D0">
        <w:t>et de religion</w:t>
      </w:r>
      <w:r>
        <w:t xml:space="preserve"> (art.</w:t>
      </w:r>
      <w:r w:rsidR="001B4D5A">
        <w:t> </w:t>
      </w:r>
      <w:r>
        <w:t>2, 18 et 26)</w:t>
      </w:r>
    </w:p>
    <w:p w:rsidR="00036773" w:rsidRDefault="00036773" w:rsidP="00036773">
      <w:pPr>
        <w:pStyle w:val="Paragraphedeliste"/>
        <w:numPr>
          <w:ilvl w:val="0"/>
          <w:numId w:val="20"/>
        </w:numPr>
        <w:tabs>
          <w:tab w:val="left" w:pos="1701"/>
        </w:tabs>
        <w:spacing w:after="120"/>
        <w:ind w:left="1134" w:right="1133" w:firstLine="0"/>
        <w:contextualSpacing w:val="0"/>
        <w:jc w:val="both"/>
      </w:pPr>
      <w:r>
        <w:t>Donner des informations sur les retombées des actions entreprises par l’État partie, telles que la signature de la Convention entre l’État du Grand-Duché de Luxembourg et les communautés religieuses établies au Luxembourg</w:t>
      </w:r>
      <w:r w:rsidRPr="008445C9">
        <w:t xml:space="preserve">. </w:t>
      </w:r>
      <w:r w:rsidRPr="000476D0">
        <w:t xml:space="preserve">Fournir des informations sur </w:t>
      </w:r>
      <w:r>
        <w:t xml:space="preserve">la mise en place du cours intitulé « Vie et société » en remplacement des cours d’instruction religieuse </w:t>
      </w:r>
      <w:r w:rsidRPr="00371328">
        <w:t xml:space="preserve">et </w:t>
      </w:r>
      <w:r w:rsidRPr="000476D0">
        <w:t xml:space="preserve">de </w:t>
      </w:r>
      <w:r w:rsidRPr="00371328">
        <w:t xml:space="preserve">formation </w:t>
      </w:r>
      <w:r>
        <w:t>morale et sociale. Donner des informations sur les mesures prises pour faire face à l’augmentation de cas signalés d’incidents antisémites et islamophobes.</w:t>
      </w:r>
    </w:p>
    <w:p w:rsidR="00036773" w:rsidRDefault="00036773" w:rsidP="00036773">
      <w:pPr>
        <w:pStyle w:val="H23G"/>
        <w:jc w:val="both"/>
      </w:pPr>
      <w:r>
        <w:lastRenderedPageBreak/>
        <w:tab/>
      </w:r>
      <w:r>
        <w:tab/>
        <w:t>Droit de réunion pacifique (art.</w:t>
      </w:r>
      <w:r w:rsidR="001B4D5A">
        <w:t> </w:t>
      </w:r>
      <w:r>
        <w:t>21)</w:t>
      </w:r>
    </w:p>
    <w:p w:rsidR="00E85C42" w:rsidRDefault="002E1090" w:rsidP="00036773">
      <w:pPr>
        <w:pStyle w:val="SingleTxtG"/>
      </w:pPr>
      <w:r>
        <w:t>20.</w:t>
      </w:r>
      <w:r>
        <w:tab/>
      </w:r>
      <w:r w:rsidR="00036773">
        <w:t>Expliquer si les dispositions de l’article</w:t>
      </w:r>
      <w:r w:rsidR="001B4D5A">
        <w:t> </w:t>
      </w:r>
      <w:r w:rsidR="00036773">
        <w:t xml:space="preserve">25 de la Constitution de l’État partie s’entendent comme soumettant les rassemblements en plein air, politiques, religieux ou autres à une autorisation préalable. Donner des informations </w:t>
      </w:r>
      <w:r w:rsidR="001B4D5A">
        <w:t xml:space="preserve">sur </w:t>
      </w:r>
      <w:r w:rsidR="00036773">
        <w:t>les procédures de notification et d’autorisation des rassemblements et des manifestations.</w:t>
      </w:r>
    </w:p>
    <w:p w:rsidR="00036773" w:rsidRPr="00036773" w:rsidRDefault="00036773" w:rsidP="00036773">
      <w:pPr>
        <w:pStyle w:val="SingleTxtG"/>
        <w:spacing w:before="240" w:after="0"/>
        <w:jc w:val="center"/>
        <w:rPr>
          <w:u w:val="single"/>
        </w:rPr>
      </w:pPr>
      <w:r>
        <w:rPr>
          <w:u w:val="single"/>
        </w:rPr>
        <w:tab/>
      </w:r>
      <w:r>
        <w:rPr>
          <w:u w:val="single"/>
        </w:rPr>
        <w:tab/>
      </w:r>
      <w:r>
        <w:rPr>
          <w:u w:val="single"/>
        </w:rPr>
        <w:tab/>
      </w:r>
    </w:p>
    <w:sectPr w:rsidR="00036773" w:rsidRPr="00036773" w:rsidSect="000367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B89" w:rsidRDefault="00377B89" w:rsidP="00F95C08">
      <w:pPr>
        <w:spacing w:line="240" w:lineRule="auto"/>
      </w:pPr>
    </w:p>
  </w:endnote>
  <w:endnote w:type="continuationSeparator" w:id="0">
    <w:p w:rsidR="00377B89" w:rsidRPr="00AC3823" w:rsidRDefault="00377B89" w:rsidP="00AC3823">
      <w:pPr>
        <w:pStyle w:val="Pieddepage"/>
      </w:pPr>
    </w:p>
  </w:endnote>
  <w:endnote w:type="continuationNotice" w:id="1">
    <w:p w:rsidR="00377B89" w:rsidRDefault="00377B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773" w:rsidRPr="00036773" w:rsidRDefault="00036773" w:rsidP="00036773">
    <w:pPr>
      <w:pStyle w:val="Pieddepage"/>
      <w:tabs>
        <w:tab w:val="right" w:pos="9638"/>
      </w:tabs>
    </w:pPr>
    <w:r w:rsidRPr="00036773">
      <w:rPr>
        <w:b/>
        <w:sz w:val="18"/>
      </w:rPr>
      <w:fldChar w:fldCharType="begin"/>
    </w:r>
    <w:r w:rsidRPr="00036773">
      <w:rPr>
        <w:b/>
        <w:sz w:val="18"/>
      </w:rPr>
      <w:instrText xml:space="preserve"> PAGE  \* MERGEFORMAT </w:instrText>
    </w:r>
    <w:r w:rsidRPr="00036773">
      <w:rPr>
        <w:b/>
        <w:sz w:val="18"/>
      </w:rPr>
      <w:fldChar w:fldCharType="separate"/>
    </w:r>
    <w:r w:rsidR="00BD7164">
      <w:rPr>
        <w:b/>
        <w:noProof/>
        <w:sz w:val="18"/>
      </w:rPr>
      <w:t>4</w:t>
    </w:r>
    <w:r w:rsidRPr="0003677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773" w:rsidRPr="00036773" w:rsidRDefault="00036773" w:rsidP="00036773">
    <w:pPr>
      <w:pStyle w:val="Pieddepage"/>
      <w:tabs>
        <w:tab w:val="right" w:pos="9638"/>
      </w:tabs>
      <w:rPr>
        <w:b/>
        <w:sz w:val="18"/>
      </w:rPr>
    </w:pPr>
    <w:r>
      <w:tab/>
    </w:r>
    <w:r w:rsidRPr="00036773">
      <w:rPr>
        <w:b/>
        <w:sz w:val="18"/>
      </w:rPr>
      <w:fldChar w:fldCharType="begin"/>
    </w:r>
    <w:r w:rsidRPr="00036773">
      <w:rPr>
        <w:b/>
        <w:sz w:val="18"/>
      </w:rPr>
      <w:instrText xml:space="preserve"> PAGE  \* MERGEFORMAT </w:instrText>
    </w:r>
    <w:r w:rsidRPr="00036773">
      <w:rPr>
        <w:b/>
        <w:sz w:val="18"/>
      </w:rPr>
      <w:fldChar w:fldCharType="separate"/>
    </w:r>
    <w:r w:rsidR="00BD7164">
      <w:rPr>
        <w:b/>
        <w:noProof/>
        <w:sz w:val="18"/>
      </w:rPr>
      <w:t>3</w:t>
    </w:r>
    <w:r w:rsidRPr="000367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031967" w:rsidRDefault="00031967" w:rsidP="00031967">
    <w:pPr>
      <w:pStyle w:val="Pieddepage"/>
      <w:tabs>
        <w:tab w:val="left" w:pos="6520"/>
        <w:tab w:val="right" w:pos="9638"/>
      </w:tabs>
      <w:spacing w:before="120"/>
      <w:rPr>
        <w:sz w:val="20"/>
      </w:rPr>
    </w:pPr>
    <w:r>
      <w:rPr>
        <w:sz w:val="20"/>
      </w:rPr>
      <w:t>GE.20-16797  (F)</w:t>
    </w:r>
    <w:r>
      <w:rPr>
        <w:sz w:val="20"/>
      </w:rPr>
      <w:tab/>
    </w:r>
    <w:r w:rsidRPr="00031967">
      <w:rPr>
        <w:noProof/>
        <w:sz w:val="20"/>
        <w:lang w:eastAsia="fr-CH"/>
      </w:rPr>
      <w:drawing>
        <wp:inline distT="0" distB="0" distL="0" distR="0" wp14:anchorId="43F3BBA2">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B89" w:rsidRPr="00AC3823" w:rsidRDefault="00377B89" w:rsidP="00AC3823">
      <w:pPr>
        <w:pStyle w:val="Pieddepage"/>
        <w:tabs>
          <w:tab w:val="right" w:pos="2155"/>
        </w:tabs>
        <w:spacing w:after="80" w:line="240" w:lineRule="atLeast"/>
        <w:ind w:left="680"/>
        <w:rPr>
          <w:u w:val="single"/>
        </w:rPr>
      </w:pPr>
      <w:r>
        <w:rPr>
          <w:u w:val="single"/>
        </w:rPr>
        <w:tab/>
      </w:r>
    </w:p>
  </w:footnote>
  <w:footnote w:type="continuationSeparator" w:id="0">
    <w:p w:rsidR="00377B89" w:rsidRPr="00AC3823" w:rsidRDefault="00377B89" w:rsidP="00AC3823">
      <w:pPr>
        <w:pStyle w:val="Pieddepage"/>
        <w:tabs>
          <w:tab w:val="right" w:pos="2155"/>
        </w:tabs>
        <w:spacing w:after="80" w:line="240" w:lineRule="atLeast"/>
        <w:ind w:left="680"/>
        <w:rPr>
          <w:u w:val="single"/>
        </w:rPr>
      </w:pPr>
      <w:r>
        <w:rPr>
          <w:u w:val="single"/>
        </w:rPr>
        <w:tab/>
      </w:r>
    </w:p>
  </w:footnote>
  <w:footnote w:type="continuationNotice" w:id="1">
    <w:p w:rsidR="00377B89" w:rsidRPr="00AC3823" w:rsidRDefault="00377B89">
      <w:pPr>
        <w:spacing w:line="240" w:lineRule="auto"/>
        <w:rPr>
          <w:sz w:val="2"/>
          <w:szCs w:val="2"/>
        </w:rPr>
      </w:pPr>
    </w:p>
  </w:footnote>
  <w:footnote w:id="2">
    <w:p w:rsidR="001B4D5A" w:rsidRPr="001B4D5A" w:rsidRDefault="001B4D5A">
      <w:pPr>
        <w:pStyle w:val="Notedebasdepage"/>
      </w:pPr>
      <w:r>
        <w:rPr>
          <w:rStyle w:val="Appelnotedebasdep"/>
        </w:rPr>
        <w:tab/>
      </w:r>
      <w:r w:rsidRPr="00CA1117">
        <w:rPr>
          <w:rStyle w:val="Appelnotedebasdep"/>
          <w:sz w:val="20"/>
          <w:vertAlign w:val="baseline"/>
        </w:rPr>
        <w:t>*</w:t>
      </w:r>
      <w:r>
        <w:rPr>
          <w:rStyle w:val="Appelnotedebasdep"/>
          <w:sz w:val="20"/>
          <w:vertAlign w:val="baseline"/>
        </w:rPr>
        <w:tab/>
      </w:r>
      <w:r>
        <w:rPr>
          <w:lang w:eastAsia="en-GB"/>
        </w:rPr>
        <w:t>Adoptée par le Comité à sa 130</w:t>
      </w:r>
      <w:r w:rsidRPr="008445C9">
        <w:rPr>
          <w:vertAlign w:val="superscript"/>
          <w:lang w:eastAsia="en-GB"/>
        </w:rPr>
        <w:t>e</w:t>
      </w:r>
      <w:r>
        <w:rPr>
          <w:lang w:eastAsia="en-GB"/>
        </w:rPr>
        <w:t> session (12 octobre-6 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773" w:rsidRPr="00036773" w:rsidRDefault="0002797E">
    <w:pPr>
      <w:pStyle w:val="En-tte"/>
    </w:pPr>
    <w:r>
      <w:fldChar w:fldCharType="begin"/>
    </w:r>
    <w:r>
      <w:instrText xml:space="preserve"> TITLE  \* MERGEFORMAT </w:instrText>
    </w:r>
    <w:r>
      <w:fldChar w:fldCharType="separate"/>
    </w:r>
    <w:r w:rsidR="00036773">
      <w:t>CCPR/C/LUX/Q/4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773" w:rsidRPr="00036773" w:rsidRDefault="0002797E" w:rsidP="00036773">
    <w:pPr>
      <w:pStyle w:val="En-tte"/>
      <w:jc w:val="right"/>
    </w:pPr>
    <w:r>
      <w:fldChar w:fldCharType="begin"/>
    </w:r>
    <w:r>
      <w:instrText xml:space="preserve"> TITLE  \* MERGEFORMAT </w:instrText>
    </w:r>
    <w:r>
      <w:fldChar w:fldCharType="separate"/>
    </w:r>
    <w:r w:rsidR="00036773">
      <w:t>CCPR/C/LUX/Q/4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6C1129E"/>
    <w:multiLevelType w:val="hybridMultilevel"/>
    <w:tmpl w:val="E7682358"/>
    <w:lvl w:ilvl="0" w:tplc="0809000F">
      <w:start w:val="1"/>
      <w:numFmt w:val="decimal"/>
      <w:lvlText w:val="%1."/>
      <w:lvlJc w:val="left"/>
      <w:pPr>
        <w:ind w:left="3905"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3"/>
  </w:num>
  <w:num w:numId="18">
    <w:abstractNumId w:val="12"/>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829"/>
    <w:rsid w:val="00017F94"/>
    <w:rsid w:val="00023842"/>
    <w:rsid w:val="0002797E"/>
    <w:rsid w:val="00031967"/>
    <w:rsid w:val="000334F9"/>
    <w:rsid w:val="00036773"/>
    <w:rsid w:val="00041082"/>
    <w:rsid w:val="0007796D"/>
    <w:rsid w:val="000919AD"/>
    <w:rsid w:val="000B7790"/>
    <w:rsid w:val="000C2225"/>
    <w:rsid w:val="00111F2F"/>
    <w:rsid w:val="0014365E"/>
    <w:rsid w:val="001534EC"/>
    <w:rsid w:val="00176178"/>
    <w:rsid w:val="001B379B"/>
    <w:rsid w:val="001B4D5A"/>
    <w:rsid w:val="001F525A"/>
    <w:rsid w:val="00223272"/>
    <w:rsid w:val="0024779E"/>
    <w:rsid w:val="002B7BC7"/>
    <w:rsid w:val="002E1090"/>
    <w:rsid w:val="002E2D46"/>
    <w:rsid w:val="0032225A"/>
    <w:rsid w:val="003265B7"/>
    <w:rsid w:val="003402F1"/>
    <w:rsid w:val="00351332"/>
    <w:rsid w:val="00377B89"/>
    <w:rsid w:val="003A6E96"/>
    <w:rsid w:val="00446FE5"/>
    <w:rsid w:val="00452396"/>
    <w:rsid w:val="00492829"/>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A6A35"/>
    <w:rsid w:val="00AC3823"/>
    <w:rsid w:val="00AE323C"/>
    <w:rsid w:val="00B00181"/>
    <w:rsid w:val="00B765F7"/>
    <w:rsid w:val="00BA0CA9"/>
    <w:rsid w:val="00BD7164"/>
    <w:rsid w:val="00C01ACF"/>
    <w:rsid w:val="00C02897"/>
    <w:rsid w:val="00CA1117"/>
    <w:rsid w:val="00CA7BC4"/>
    <w:rsid w:val="00CF5083"/>
    <w:rsid w:val="00D05667"/>
    <w:rsid w:val="00D3439C"/>
    <w:rsid w:val="00D744E5"/>
    <w:rsid w:val="00D83177"/>
    <w:rsid w:val="00DA6BBC"/>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8EB81E2-6253-4504-A1CA-050F22702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036773"/>
    <w:rPr>
      <w:rFonts w:ascii="Times New Roman" w:eastAsiaTheme="minorHAnsi" w:hAnsi="Times New Roman" w:cs="Times New Roman"/>
      <w:sz w:val="20"/>
      <w:szCs w:val="20"/>
      <w:lang w:eastAsia="en-US"/>
    </w:rPr>
  </w:style>
  <w:style w:type="paragraph" w:styleId="Paragraphedeliste">
    <w:name w:val="List Paragraph"/>
    <w:basedOn w:val="Normal"/>
    <w:uiPriority w:val="34"/>
    <w:semiHidden/>
    <w:qFormat/>
    <w:rsid w:val="000367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1683</Words>
  <Characters>9227</Characters>
  <Application>Microsoft Office Word</Application>
  <DocSecurity>0</DocSecurity>
  <Lines>148</Lines>
  <Paragraphs>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CCPR/C/LUX/Q/4</vt:lpstr>
      <vt:lpstr/>
    </vt:vector>
  </TitlesOfParts>
  <Company>DCM</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CCPR/C/LUX/Q/4</dc:title>
  <dc:subject/>
  <dc:creator>Marie DESCHAMPS</dc:creator>
  <cp:keywords/>
  <cp:lastModifiedBy>Nicolas Morin</cp:lastModifiedBy>
  <cp:revision>2</cp:revision>
  <cp:lastPrinted>2014-05-14T10:59:00Z</cp:lastPrinted>
  <dcterms:created xsi:type="dcterms:W3CDTF">2020-12-11T14:27:00Z</dcterms:created>
  <dcterms:modified xsi:type="dcterms:W3CDTF">2020-12-11T14:27:00Z</dcterms:modified>
</cp:coreProperties>
</file>