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40431">
        <w:trPr>
          <w:trHeight w:hRule="exact" w:val="851"/>
        </w:trPr>
        <w:tc>
          <w:tcPr>
            <w:tcW w:w="1280" w:type="dxa"/>
            <w:tcBorders>
              <w:bottom w:val="single" w:sz="4" w:space="0" w:color="auto"/>
            </w:tcBorders>
          </w:tcPr>
          <w:p w:rsidR="00C40431" w:rsidRDefault="00C40431">
            <w:pPr>
              <w:rPr>
                <w:rFonts w:hint="eastAsia"/>
              </w:rPr>
            </w:pPr>
          </w:p>
        </w:tc>
        <w:tc>
          <w:tcPr>
            <w:tcW w:w="2273" w:type="dxa"/>
            <w:tcBorders>
              <w:bottom w:val="single" w:sz="4" w:space="0" w:color="auto"/>
            </w:tcBorders>
            <w:vAlign w:val="bottom"/>
          </w:tcPr>
          <w:p w:rsidR="00C40431" w:rsidRDefault="00C40431">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40431" w:rsidRPr="00DA1A45" w:rsidRDefault="00C40431">
            <w:pPr>
              <w:spacing w:line="240" w:lineRule="atLeast"/>
              <w:jc w:val="right"/>
              <w:rPr>
                <w:sz w:val="20"/>
                <w:szCs w:val="21"/>
              </w:rPr>
            </w:pPr>
            <w:r>
              <w:rPr>
                <w:rFonts w:hint="eastAsia"/>
                <w:sz w:val="40"/>
                <w:szCs w:val="40"/>
              </w:rPr>
              <w:t>CCPR</w:t>
            </w:r>
            <w:r w:rsidRPr="002D3D9F">
              <w:rPr>
                <w:sz w:val="20"/>
              </w:rPr>
              <w:t>/</w:t>
            </w:r>
            <w:r w:rsidR="00DA1A45" w:rsidRPr="00DA1A45">
              <w:rPr>
                <w:sz w:val="20"/>
              </w:rPr>
              <w:t>C/POL/CO/6</w:t>
            </w:r>
          </w:p>
        </w:tc>
      </w:tr>
      <w:tr w:rsidR="00C40431">
        <w:trPr>
          <w:trHeight w:hRule="exact" w:val="2835"/>
        </w:trPr>
        <w:tc>
          <w:tcPr>
            <w:tcW w:w="1280" w:type="dxa"/>
            <w:tcBorders>
              <w:top w:val="single" w:sz="4" w:space="0" w:color="auto"/>
              <w:bottom w:val="single" w:sz="12" w:space="0" w:color="auto"/>
            </w:tcBorders>
          </w:tcPr>
          <w:p w:rsidR="00C40431" w:rsidRDefault="00C40431">
            <w:pPr>
              <w:spacing w:line="120" w:lineRule="atLeast"/>
              <w:rPr>
                <w:sz w:val="10"/>
                <w:szCs w:val="10"/>
              </w:rPr>
            </w:pPr>
          </w:p>
          <w:p w:rsidR="00C40431" w:rsidRDefault="00C40431">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40431" w:rsidRDefault="00C40431">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40431" w:rsidRPr="002D3D9F" w:rsidRDefault="00D06A78" w:rsidP="002D3D9F">
            <w:pPr>
              <w:spacing w:before="240" w:line="240" w:lineRule="atLeast"/>
              <w:rPr>
                <w:rFonts w:hint="eastAsia"/>
                <w:sz w:val="20"/>
              </w:rPr>
            </w:pPr>
            <w:r>
              <w:rPr>
                <w:sz w:val="20"/>
              </w:rPr>
              <w:t xml:space="preserve">Distr.: </w:t>
            </w:r>
            <w:r w:rsidR="00E15FAF" w:rsidRPr="00E15FAF">
              <w:rPr>
                <w:sz w:val="20"/>
              </w:rPr>
              <w:t>General</w:t>
            </w:r>
          </w:p>
          <w:p w:rsidR="00C40431" w:rsidRPr="002D3D9F" w:rsidRDefault="00E15FAF">
            <w:pPr>
              <w:spacing w:line="240" w:lineRule="atLeast"/>
              <w:rPr>
                <w:rFonts w:hint="eastAsia"/>
                <w:sz w:val="20"/>
              </w:rPr>
            </w:pPr>
            <w:r>
              <w:rPr>
                <w:rFonts w:hint="eastAsia"/>
                <w:sz w:val="20"/>
              </w:rPr>
              <w:t xml:space="preserve">15 </w:t>
            </w:r>
            <w:r w:rsidRPr="00E15FAF">
              <w:rPr>
                <w:sz w:val="20"/>
              </w:rPr>
              <w:t>November</w:t>
            </w:r>
            <w:r w:rsidR="005F24E4">
              <w:rPr>
                <w:sz w:val="20"/>
              </w:rPr>
              <w:t xml:space="preserve"> 20</w:t>
            </w:r>
            <w:r w:rsidR="005F24E4">
              <w:rPr>
                <w:rFonts w:hint="eastAsia"/>
                <w:sz w:val="20"/>
              </w:rPr>
              <w:t>10</w:t>
            </w:r>
          </w:p>
          <w:p w:rsidR="00C40431" w:rsidRPr="002D3D9F" w:rsidRDefault="00C40431">
            <w:pPr>
              <w:spacing w:line="240" w:lineRule="atLeast"/>
              <w:rPr>
                <w:sz w:val="20"/>
              </w:rPr>
            </w:pPr>
            <w:r w:rsidRPr="002D3D9F">
              <w:rPr>
                <w:sz w:val="20"/>
              </w:rPr>
              <w:t xml:space="preserve">Chinese </w:t>
            </w:r>
          </w:p>
          <w:p w:rsidR="00C40431" w:rsidRPr="002D3D9F" w:rsidRDefault="00D06A78">
            <w:pPr>
              <w:spacing w:line="240" w:lineRule="atLeast"/>
              <w:rPr>
                <w:rFonts w:hint="eastAsia"/>
                <w:sz w:val="20"/>
              </w:rPr>
            </w:pPr>
            <w:r>
              <w:rPr>
                <w:sz w:val="20"/>
              </w:rPr>
              <w:t xml:space="preserve">Original: </w:t>
            </w:r>
            <w:r w:rsidR="00C40431" w:rsidRPr="002D3D9F">
              <w:rPr>
                <w:sz w:val="20"/>
              </w:rPr>
              <w:t>English</w:t>
            </w:r>
          </w:p>
        </w:tc>
      </w:tr>
    </w:tbl>
    <w:p w:rsidR="00C40431" w:rsidRDefault="00C40431">
      <w:pPr>
        <w:spacing w:before="120"/>
        <w:rPr>
          <w:rFonts w:ascii="Time New Roman" w:eastAsia="SimHei" w:hAnsi="Time New Roman"/>
          <w:sz w:val="24"/>
          <w:szCs w:val="24"/>
        </w:rPr>
      </w:pPr>
      <w:r>
        <w:rPr>
          <w:rFonts w:ascii="Time New Roman" w:eastAsia="SimHei" w:hAnsi="Time New Roman" w:hint="eastAsia"/>
          <w:sz w:val="24"/>
          <w:szCs w:val="24"/>
        </w:rPr>
        <w:t>人权事务委员会</w:t>
      </w:r>
    </w:p>
    <w:p w:rsidR="00C40431" w:rsidRDefault="00C40431" w:rsidP="00A22CB9">
      <w:pPr>
        <w:pStyle w:val="SingleTxtGC"/>
        <w:spacing w:after="0"/>
        <w:ind w:left="0"/>
        <w:rPr>
          <w:rFonts w:hint="eastAsia"/>
        </w:rPr>
      </w:pPr>
      <w:r w:rsidRPr="00553C07">
        <w:rPr>
          <w:rFonts w:ascii="Time New Roman" w:eastAsia="SimHei" w:hAnsi="Time New Roman" w:hint="eastAsia"/>
        </w:rPr>
        <w:t>第</w:t>
      </w:r>
      <w:r w:rsidR="00E15FAF" w:rsidRPr="00E15FAF">
        <w:rPr>
          <w:rFonts w:ascii="Time New Roman" w:eastAsia="SimHei" w:hAnsi="Time New Roman" w:hint="eastAsia"/>
        </w:rPr>
        <w:t>一</w:t>
      </w:r>
      <w:r w:rsidR="00A22CB9" w:rsidRPr="009330E9">
        <w:rPr>
          <w:rFonts w:ascii="SimSun" w:eastAsia="SimHei" w:hAnsi="SimSun" w:hint="eastAsia"/>
        </w:rPr>
        <w:t>〇〇</w:t>
      </w:r>
      <w:r w:rsidRPr="009330E9">
        <w:rPr>
          <w:rFonts w:eastAsia="SimHei" w:hint="eastAsia"/>
        </w:rPr>
        <w:t>届会议</w:t>
      </w:r>
    </w:p>
    <w:p w:rsidR="00E15FAF" w:rsidRDefault="005F24E4" w:rsidP="00A22CB9">
      <w:pPr>
        <w:rPr>
          <w:rFonts w:hint="eastAsia"/>
          <w:snapToGrid/>
        </w:rPr>
      </w:pPr>
      <w:r>
        <w:rPr>
          <w:rFonts w:hint="eastAsia"/>
          <w:snapToGrid/>
        </w:rPr>
        <w:t>2010</w:t>
      </w:r>
      <w:r w:rsidR="00D15CBD">
        <w:rPr>
          <w:rFonts w:hint="eastAsia"/>
          <w:snapToGrid/>
        </w:rPr>
        <w:t>年</w:t>
      </w:r>
      <w:r w:rsidR="00E15FAF">
        <w:rPr>
          <w:rFonts w:hint="eastAsia"/>
          <w:snapToGrid/>
        </w:rPr>
        <w:t>10</w:t>
      </w:r>
      <w:r w:rsidR="00D15CBD">
        <w:rPr>
          <w:rFonts w:hint="eastAsia"/>
          <w:snapToGrid/>
        </w:rPr>
        <w:t>月</w:t>
      </w:r>
      <w:r w:rsidR="00E15FAF">
        <w:rPr>
          <w:rFonts w:hint="eastAsia"/>
          <w:snapToGrid/>
        </w:rPr>
        <w:t>11</w:t>
      </w:r>
      <w:r w:rsidR="00D15CBD">
        <w:rPr>
          <w:rFonts w:hint="eastAsia"/>
          <w:snapToGrid/>
        </w:rPr>
        <w:t>日至</w:t>
      </w:r>
      <w:r w:rsidR="00E15FAF">
        <w:rPr>
          <w:rFonts w:hint="eastAsia"/>
          <w:snapToGrid/>
        </w:rPr>
        <w:t>29</w:t>
      </w:r>
      <w:r w:rsidR="00D15CBD">
        <w:rPr>
          <w:rFonts w:hint="eastAsia"/>
          <w:snapToGrid/>
        </w:rPr>
        <w:t>日</w:t>
      </w:r>
      <w:r w:rsidR="00D06A78">
        <w:rPr>
          <w:rFonts w:hint="eastAsia"/>
          <w:snapToGrid/>
        </w:rPr>
        <w:t>，</w:t>
      </w:r>
      <w:r w:rsidR="00E15FAF">
        <w:rPr>
          <w:rFonts w:hint="eastAsia"/>
          <w:snapToGrid/>
        </w:rPr>
        <w:t>日内瓦</w:t>
      </w:r>
    </w:p>
    <w:p w:rsidR="00E15FAF" w:rsidRPr="00E15FAF" w:rsidRDefault="00E15FAF" w:rsidP="00D06A78">
      <w:pPr>
        <w:pStyle w:val="HChGC"/>
        <w:rPr>
          <w:snapToGrid/>
        </w:rPr>
      </w:pPr>
      <w:r w:rsidRPr="00E15FAF">
        <w:rPr>
          <w:snapToGrid/>
        </w:rPr>
        <w:tab/>
      </w:r>
      <w:r w:rsidRPr="00E15FAF">
        <w:rPr>
          <w:snapToGrid/>
        </w:rPr>
        <w:tab/>
      </w:r>
      <w:r w:rsidRPr="00E15FAF">
        <w:rPr>
          <w:rFonts w:hint="eastAsia"/>
          <w:snapToGrid/>
        </w:rPr>
        <w:t>审议缔约国根据《公约》第四十条提交的报告</w:t>
      </w:r>
    </w:p>
    <w:p w:rsidR="00E15FAF" w:rsidRPr="00E15FAF" w:rsidRDefault="00E15FAF" w:rsidP="00D06A78">
      <w:pPr>
        <w:pStyle w:val="H1GC"/>
        <w:rPr>
          <w:rFonts w:hint="eastAsia"/>
          <w:snapToGrid/>
        </w:rPr>
      </w:pPr>
      <w:r w:rsidRPr="00E15FAF">
        <w:rPr>
          <w:snapToGrid/>
        </w:rPr>
        <w:tab/>
      </w:r>
      <w:r w:rsidRPr="00E15FAF">
        <w:rPr>
          <w:snapToGrid/>
        </w:rPr>
        <w:tab/>
      </w:r>
      <w:r w:rsidRPr="00E15FAF">
        <w:rPr>
          <w:rFonts w:hint="eastAsia"/>
          <w:snapToGrid/>
        </w:rPr>
        <w:t>人权事务委员会的结论性意见</w:t>
      </w:r>
    </w:p>
    <w:p w:rsidR="00E15FAF" w:rsidRPr="00E15FAF" w:rsidRDefault="00E15FAF" w:rsidP="00D06A78">
      <w:pPr>
        <w:pStyle w:val="HChGC"/>
        <w:rPr>
          <w:rFonts w:hint="eastAsia"/>
          <w:snapToGrid/>
        </w:rPr>
      </w:pPr>
      <w:r w:rsidRPr="00E15FAF">
        <w:rPr>
          <w:rFonts w:hint="eastAsia"/>
          <w:snapToGrid/>
        </w:rPr>
        <w:tab/>
      </w:r>
      <w:r w:rsidRPr="00E15FAF">
        <w:rPr>
          <w:rFonts w:hint="eastAsia"/>
          <w:snapToGrid/>
        </w:rPr>
        <w:tab/>
      </w:r>
      <w:r w:rsidRPr="00E15FAF">
        <w:rPr>
          <w:rFonts w:hint="eastAsia"/>
          <w:snapToGrid/>
        </w:rPr>
        <w:t>波兰</w:t>
      </w:r>
    </w:p>
    <w:p w:rsidR="00E15FAF" w:rsidRPr="00E15FAF" w:rsidRDefault="00E15FAF" w:rsidP="00E15FAF">
      <w:pPr>
        <w:pStyle w:val="SingleTxtGC"/>
        <w:rPr>
          <w:rFonts w:hint="eastAsia"/>
          <w:snapToGrid/>
        </w:rPr>
      </w:pPr>
      <w:r w:rsidRPr="00E15FAF">
        <w:rPr>
          <w:rFonts w:hint="eastAsia"/>
          <w:snapToGrid/>
        </w:rPr>
        <w:t>1.  2010</w:t>
      </w:r>
      <w:r w:rsidRPr="00E15FAF">
        <w:rPr>
          <w:rFonts w:hint="eastAsia"/>
          <w:snapToGrid/>
        </w:rPr>
        <w:t>年</w:t>
      </w:r>
      <w:r w:rsidRPr="00E15FAF">
        <w:rPr>
          <w:rFonts w:hint="eastAsia"/>
          <w:snapToGrid/>
        </w:rPr>
        <w:t>10</w:t>
      </w:r>
      <w:r w:rsidRPr="00E15FAF">
        <w:rPr>
          <w:rFonts w:hint="eastAsia"/>
          <w:snapToGrid/>
        </w:rPr>
        <w:t>月</w:t>
      </w:r>
      <w:r w:rsidRPr="00E15FAF">
        <w:rPr>
          <w:rFonts w:hint="eastAsia"/>
          <w:snapToGrid/>
        </w:rPr>
        <w:t>12</w:t>
      </w:r>
      <w:r w:rsidRPr="00E15FAF">
        <w:rPr>
          <w:rFonts w:hint="eastAsia"/>
          <w:snapToGrid/>
        </w:rPr>
        <w:t>日和</w:t>
      </w:r>
      <w:r w:rsidRPr="00E15FAF">
        <w:rPr>
          <w:rFonts w:hint="eastAsia"/>
          <w:snapToGrid/>
        </w:rPr>
        <w:t>13</w:t>
      </w:r>
      <w:r w:rsidRPr="00E15FAF">
        <w:rPr>
          <w:rFonts w:hint="eastAsia"/>
          <w:snapToGrid/>
        </w:rPr>
        <w:t>日，委员会举行了第</w:t>
      </w:r>
      <w:r w:rsidRPr="00E15FAF">
        <w:rPr>
          <w:rFonts w:hint="eastAsia"/>
          <w:snapToGrid/>
        </w:rPr>
        <w:t>2746</w:t>
      </w:r>
      <w:r w:rsidRPr="00E15FAF">
        <w:rPr>
          <w:rFonts w:hint="eastAsia"/>
          <w:snapToGrid/>
        </w:rPr>
        <w:t>次和第</w:t>
      </w:r>
      <w:r w:rsidRPr="00E15FAF">
        <w:rPr>
          <w:rFonts w:hint="eastAsia"/>
          <w:snapToGrid/>
        </w:rPr>
        <w:t>2747</w:t>
      </w:r>
      <w:r w:rsidRPr="00E15FAF">
        <w:rPr>
          <w:rFonts w:hint="eastAsia"/>
          <w:snapToGrid/>
        </w:rPr>
        <w:t>次会议</w:t>
      </w:r>
      <w:r w:rsidRPr="00E15FAF">
        <w:rPr>
          <w:rFonts w:hint="eastAsia"/>
          <w:snapToGrid/>
        </w:rPr>
        <w:t>(CCPR/C/SR.2746</w:t>
      </w:r>
      <w:r w:rsidRPr="00E15FAF">
        <w:rPr>
          <w:rFonts w:hint="eastAsia"/>
          <w:snapToGrid/>
        </w:rPr>
        <w:t>和</w:t>
      </w:r>
      <w:r w:rsidRPr="00E15FAF">
        <w:rPr>
          <w:rFonts w:hint="eastAsia"/>
          <w:snapToGrid/>
        </w:rPr>
        <w:t>CCPR/C/SR.2747)</w:t>
      </w:r>
      <w:r w:rsidRPr="00E15FAF">
        <w:rPr>
          <w:rFonts w:hint="eastAsia"/>
          <w:snapToGrid/>
        </w:rPr>
        <w:t>，审议了波兰提交的第六次定期报告</w:t>
      </w:r>
      <w:r w:rsidRPr="00E15FAF">
        <w:rPr>
          <w:rFonts w:hint="eastAsia"/>
          <w:snapToGrid/>
        </w:rPr>
        <w:t xml:space="preserve"> (CCPR/C/POL/</w:t>
      </w:r>
      <w:r w:rsidR="006C0641">
        <w:rPr>
          <w:rFonts w:hint="eastAsia"/>
          <w:snapToGrid/>
        </w:rPr>
        <w:t>6</w:t>
      </w:r>
      <w:r w:rsidRPr="00E15FAF">
        <w:rPr>
          <w:rFonts w:hint="eastAsia"/>
          <w:snapToGrid/>
        </w:rPr>
        <w:t>)</w:t>
      </w:r>
      <w:r w:rsidRPr="00E15FAF">
        <w:rPr>
          <w:rFonts w:hint="eastAsia"/>
          <w:snapToGrid/>
        </w:rPr>
        <w:t>，并于</w:t>
      </w:r>
      <w:r w:rsidRPr="00E15FAF">
        <w:rPr>
          <w:rFonts w:hint="eastAsia"/>
          <w:snapToGrid/>
        </w:rPr>
        <w:t>2010</w:t>
      </w:r>
      <w:r w:rsidRPr="00E15FAF">
        <w:rPr>
          <w:rFonts w:hint="eastAsia"/>
          <w:snapToGrid/>
        </w:rPr>
        <w:t>年</w:t>
      </w:r>
      <w:r w:rsidRPr="00E15FAF">
        <w:rPr>
          <w:rFonts w:hint="eastAsia"/>
          <w:snapToGrid/>
        </w:rPr>
        <w:t>10</w:t>
      </w:r>
      <w:r w:rsidRPr="00E15FAF">
        <w:rPr>
          <w:rFonts w:hint="eastAsia"/>
          <w:snapToGrid/>
        </w:rPr>
        <w:t>月</w:t>
      </w:r>
      <w:r w:rsidRPr="00E15FAF">
        <w:rPr>
          <w:rFonts w:hint="eastAsia"/>
          <w:snapToGrid/>
        </w:rPr>
        <w:t>26</w:t>
      </w:r>
      <w:r w:rsidRPr="00E15FAF">
        <w:rPr>
          <w:rFonts w:hint="eastAsia"/>
          <w:snapToGrid/>
        </w:rPr>
        <w:t>日举行了第</w:t>
      </w:r>
      <w:r w:rsidRPr="00E15FAF">
        <w:rPr>
          <w:rFonts w:hint="eastAsia"/>
          <w:snapToGrid/>
        </w:rPr>
        <w:t>2766</w:t>
      </w:r>
      <w:r w:rsidRPr="00E15FAF">
        <w:rPr>
          <w:rFonts w:hint="eastAsia"/>
          <w:snapToGrid/>
        </w:rPr>
        <w:t>次会议</w:t>
      </w:r>
      <w:r w:rsidRPr="00E15FAF">
        <w:rPr>
          <w:rFonts w:hint="eastAsia"/>
          <w:snapToGrid/>
        </w:rPr>
        <w:t>(CCPR/C/SR. 2766)</w:t>
      </w:r>
      <w:r w:rsidRPr="00E15FAF">
        <w:rPr>
          <w:rFonts w:hint="eastAsia"/>
          <w:snapToGrid/>
        </w:rPr>
        <w:t>，通过了以下结论性意见。</w:t>
      </w:r>
    </w:p>
    <w:p w:rsidR="00E15FAF" w:rsidRPr="00E15FAF" w:rsidRDefault="00E15FAF" w:rsidP="0083342F">
      <w:pPr>
        <w:pStyle w:val="H1GC"/>
        <w:rPr>
          <w:rFonts w:hint="eastAsia"/>
          <w:snapToGrid/>
        </w:rPr>
      </w:pPr>
      <w:r w:rsidRPr="00E15FAF">
        <w:rPr>
          <w:rFonts w:hint="eastAsia"/>
          <w:snapToGrid/>
        </w:rPr>
        <w:tab/>
        <w:t>A.</w:t>
      </w:r>
      <w:r w:rsidRPr="00E15FAF">
        <w:rPr>
          <w:rFonts w:hint="eastAsia"/>
          <w:snapToGrid/>
        </w:rPr>
        <w:tab/>
      </w:r>
      <w:r w:rsidRPr="00E15FAF">
        <w:rPr>
          <w:rFonts w:hint="eastAsia"/>
          <w:snapToGrid/>
        </w:rPr>
        <w:t>导言</w:t>
      </w:r>
    </w:p>
    <w:p w:rsidR="00E15FAF" w:rsidRPr="00E15FAF" w:rsidRDefault="00E15FAF" w:rsidP="00E15FAF">
      <w:pPr>
        <w:pStyle w:val="SingleTxtGC"/>
        <w:rPr>
          <w:rFonts w:hint="eastAsia"/>
          <w:snapToGrid/>
        </w:rPr>
      </w:pPr>
      <w:r w:rsidRPr="00E15FAF">
        <w:rPr>
          <w:rFonts w:hint="eastAsia"/>
          <w:snapToGrid/>
        </w:rPr>
        <w:t xml:space="preserve">2.  </w:t>
      </w:r>
      <w:r w:rsidRPr="00E15FAF">
        <w:rPr>
          <w:rFonts w:hint="eastAsia"/>
          <w:snapToGrid/>
        </w:rPr>
        <w:t>委员会欢迎波兰依据准则提交了第六次定期报告，并在报告中列入资料阐明了为解决委员会上次结论性意见</w:t>
      </w:r>
      <w:r w:rsidRPr="00E15FAF">
        <w:rPr>
          <w:snapToGrid/>
        </w:rPr>
        <w:t>(CCPR/CO/82/POL)</w:t>
      </w:r>
      <w:r w:rsidRPr="00E15FAF">
        <w:rPr>
          <w:rFonts w:hint="eastAsia"/>
          <w:snapToGrid/>
        </w:rPr>
        <w:t>表达的关注问</w:t>
      </w:r>
      <w:r w:rsidR="007A0F2D">
        <w:rPr>
          <w:rFonts w:hint="eastAsia"/>
          <w:snapToGrid/>
        </w:rPr>
        <w:t>题所采取的若干措施。委员会欢迎，委员会与高级代表团举行的对话在</w:t>
      </w:r>
      <w:r w:rsidRPr="00E15FAF">
        <w:rPr>
          <w:rFonts w:hint="eastAsia"/>
          <w:snapToGrid/>
        </w:rPr>
        <w:t>针对委员会问题清单提交的书面答复</w:t>
      </w:r>
      <w:r w:rsidRPr="00E15FAF">
        <w:rPr>
          <w:snapToGrid/>
        </w:rPr>
        <w:t>(CCPR/C/POL/Q/6/Add.1)</w:t>
      </w:r>
      <w:r w:rsidRPr="00E15FAF">
        <w:rPr>
          <w:rFonts w:hint="eastAsia"/>
          <w:snapToGrid/>
        </w:rPr>
        <w:t>，以及在报告审议期间所作的澄清。</w:t>
      </w:r>
    </w:p>
    <w:p w:rsidR="00E15FAF" w:rsidRPr="00E15FAF" w:rsidRDefault="00E15FAF" w:rsidP="0083342F">
      <w:pPr>
        <w:pStyle w:val="H1GC"/>
        <w:rPr>
          <w:rFonts w:hint="eastAsia"/>
          <w:snapToGrid/>
        </w:rPr>
      </w:pPr>
      <w:r w:rsidRPr="00E15FAF">
        <w:rPr>
          <w:rFonts w:hint="eastAsia"/>
          <w:snapToGrid/>
        </w:rPr>
        <w:tab/>
        <w:t>B.</w:t>
      </w:r>
      <w:r w:rsidRPr="00E15FAF">
        <w:rPr>
          <w:rFonts w:hint="eastAsia"/>
          <w:snapToGrid/>
        </w:rPr>
        <w:tab/>
      </w:r>
      <w:r w:rsidRPr="00E15FAF">
        <w:rPr>
          <w:rFonts w:hint="eastAsia"/>
          <w:snapToGrid/>
        </w:rPr>
        <w:t>积极方面</w:t>
      </w:r>
    </w:p>
    <w:p w:rsidR="00E15FAF" w:rsidRPr="00E15FAF" w:rsidRDefault="00E15FAF" w:rsidP="00E15FAF">
      <w:pPr>
        <w:pStyle w:val="SingleTxtGC"/>
        <w:rPr>
          <w:rFonts w:hint="eastAsia"/>
          <w:snapToGrid/>
        </w:rPr>
      </w:pPr>
      <w:r w:rsidRPr="00E15FAF">
        <w:rPr>
          <w:rFonts w:hint="eastAsia"/>
          <w:snapToGrid/>
        </w:rPr>
        <w:t xml:space="preserve">3.  </w:t>
      </w:r>
      <w:r w:rsidRPr="00E15FAF">
        <w:rPr>
          <w:rFonts w:hint="eastAsia"/>
          <w:snapToGrid/>
        </w:rPr>
        <w:t>委员会欢迎，在所审议的报告期间出现的如下一些积极发展动态：</w:t>
      </w:r>
    </w:p>
    <w:p w:rsidR="00E15FAF" w:rsidRPr="00E15FAF" w:rsidRDefault="00E15FAF" w:rsidP="00A22CB9">
      <w:pPr>
        <w:pStyle w:val="SingleTxtGC"/>
        <w:numPr>
          <w:ilvl w:val="0"/>
          <w:numId w:val="41"/>
        </w:numPr>
        <w:rPr>
          <w:rFonts w:hint="eastAsia"/>
          <w:snapToGrid/>
        </w:rPr>
      </w:pPr>
      <w:r w:rsidRPr="00E15FAF">
        <w:rPr>
          <w:rFonts w:hint="eastAsia"/>
          <w:snapToGrid/>
        </w:rPr>
        <w:t>2005</w:t>
      </w:r>
      <w:r w:rsidRPr="00E15FAF">
        <w:rPr>
          <w:rFonts w:hint="eastAsia"/>
          <w:snapToGrid/>
        </w:rPr>
        <w:t>年通过了《禁止家庭暴力法》和</w:t>
      </w:r>
      <w:r w:rsidRPr="00E15FAF">
        <w:rPr>
          <w:rFonts w:hint="eastAsia"/>
          <w:snapToGrid/>
        </w:rPr>
        <w:t>2006</w:t>
      </w:r>
      <w:r w:rsidRPr="00E15FAF">
        <w:rPr>
          <w:rFonts w:hint="eastAsia"/>
          <w:snapToGrid/>
        </w:rPr>
        <w:t>年批准了“</w:t>
      </w:r>
      <w:r w:rsidRPr="00E15FAF">
        <w:rPr>
          <w:rFonts w:hint="eastAsia"/>
          <w:snapToGrid/>
        </w:rPr>
        <w:t>2006-2016</w:t>
      </w:r>
      <w:r w:rsidRPr="00E15FAF">
        <w:rPr>
          <w:rFonts w:hint="eastAsia"/>
          <w:snapToGrid/>
        </w:rPr>
        <w:t>年全国防止家庭暴力方案”；</w:t>
      </w:r>
    </w:p>
    <w:p w:rsidR="00E15FAF" w:rsidRPr="00E15FAF" w:rsidRDefault="00E15FAF" w:rsidP="00A22CB9">
      <w:pPr>
        <w:pStyle w:val="SingleTxtGC"/>
        <w:numPr>
          <w:ilvl w:val="0"/>
          <w:numId w:val="41"/>
        </w:numPr>
        <w:rPr>
          <w:rFonts w:hint="eastAsia"/>
          <w:snapToGrid/>
        </w:rPr>
      </w:pPr>
      <w:r w:rsidRPr="00E15FAF">
        <w:rPr>
          <w:rFonts w:hint="eastAsia"/>
          <w:snapToGrid/>
        </w:rPr>
        <w:t>截止至</w:t>
      </w:r>
      <w:r w:rsidRPr="00E15FAF">
        <w:rPr>
          <w:rFonts w:hint="eastAsia"/>
          <w:snapToGrid/>
        </w:rPr>
        <w:t>2013</w:t>
      </w:r>
      <w:r w:rsidRPr="00E15FAF">
        <w:rPr>
          <w:rFonts w:hint="eastAsia"/>
          <w:snapToGrid/>
        </w:rPr>
        <w:t>年，继续推行“全国反种族歧视、仇外心理和相关不容忍现象方案”；</w:t>
      </w:r>
    </w:p>
    <w:p w:rsidR="00E15FAF" w:rsidRPr="00E15FAF" w:rsidRDefault="00E15FAF" w:rsidP="00A22CB9">
      <w:pPr>
        <w:pStyle w:val="SingleTxtGC"/>
        <w:numPr>
          <w:ilvl w:val="0"/>
          <w:numId w:val="41"/>
        </w:numPr>
        <w:rPr>
          <w:rFonts w:hint="eastAsia"/>
          <w:snapToGrid/>
        </w:rPr>
      </w:pPr>
      <w:r w:rsidRPr="00E15FAF">
        <w:rPr>
          <w:rFonts w:hint="eastAsia"/>
          <w:snapToGrid/>
        </w:rPr>
        <w:t>减少预审拘留羁押的人数；</w:t>
      </w:r>
    </w:p>
    <w:p w:rsidR="00E15FAF" w:rsidRPr="00E15FAF" w:rsidRDefault="00E15FAF" w:rsidP="00A22CB9">
      <w:pPr>
        <w:pStyle w:val="SingleTxtGC"/>
        <w:numPr>
          <w:ilvl w:val="0"/>
          <w:numId w:val="41"/>
        </w:numPr>
        <w:rPr>
          <w:rFonts w:hint="eastAsia"/>
          <w:snapToGrid/>
        </w:rPr>
      </w:pPr>
      <w:r w:rsidRPr="00E15FAF">
        <w:rPr>
          <w:rFonts w:hint="eastAsia"/>
          <w:snapToGrid/>
        </w:rPr>
        <w:t>2010</w:t>
      </w:r>
      <w:r w:rsidRPr="00E15FAF">
        <w:rPr>
          <w:rFonts w:hint="eastAsia"/>
          <w:snapToGrid/>
        </w:rPr>
        <w:t>年</w:t>
      </w:r>
      <w:r w:rsidRPr="00E15FAF">
        <w:rPr>
          <w:rFonts w:hint="eastAsia"/>
          <w:snapToGrid/>
        </w:rPr>
        <w:t>9</w:t>
      </w:r>
      <w:r w:rsidRPr="00E15FAF">
        <w:rPr>
          <w:rFonts w:hint="eastAsia"/>
          <w:snapToGrid/>
        </w:rPr>
        <w:t>月修订了《刑法》，列入了贩运人口的定义；和</w:t>
      </w:r>
    </w:p>
    <w:p w:rsidR="00E15FAF" w:rsidRPr="00E15FAF" w:rsidRDefault="00E15FAF" w:rsidP="00A22CB9">
      <w:pPr>
        <w:pStyle w:val="SingleTxtGC"/>
        <w:numPr>
          <w:ilvl w:val="0"/>
          <w:numId w:val="41"/>
        </w:numPr>
        <w:rPr>
          <w:rFonts w:hint="eastAsia"/>
          <w:snapToGrid/>
        </w:rPr>
      </w:pPr>
      <w:r w:rsidRPr="00E15FAF">
        <w:rPr>
          <w:rFonts w:hint="eastAsia"/>
          <w:snapToGrid/>
        </w:rPr>
        <w:t>2005</w:t>
      </w:r>
      <w:r w:rsidRPr="00E15FAF">
        <w:rPr>
          <w:rFonts w:hint="eastAsia"/>
          <w:snapToGrid/>
        </w:rPr>
        <w:t>年通过了《关于少数民族和族裔及区域方言法》。</w:t>
      </w:r>
    </w:p>
    <w:p w:rsidR="00E15FAF" w:rsidRPr="00E15FAF" w:rsidRDefault="00E15FAF" w:rsidP="0083342F">
      <w:pPr>
        <w:pStyle w:val="H1GC"/>
        <w:rPr>
          <w:rFonts w:hint="eastAsia"/>
          <w:snapToGrid/>
        </w:rPr>
      </w:pPr>
      <w:r w:rsidRPr="00E15FAF">
        <w:rPr>
          <w:rFonts w:hint="eastAsia"/>
          <w:snapToGrid/>
        </w:rPr>
        <w:tab/>
        <w:t>C.</w:t>
      </w:r>
      <w:r w:rsidRPr="00E15FAF">
        <w:rPr>
          <w:rFonts w:hint="eastAsia"/>
          <w:snapToGrid/>
        </w:rPr>
        <w:tab/>
      </w:r>
      <w:r w:rsidRPr="00E15FAF">
        <w:rPr>
          <w:rFonts w:hint="eastAsia"/>
          <w:snapToGrid/>
        </w:rPr>
        <w:t>主要关注的问题和建议</w:t>
      </w:r>
    </w:p>
    <w:p w:rsidR="00E15FAF" w:rsidRPr="00E15FAF" w:rsidRDefault="00E15FAF" w:rsidP="00E15FAF">
      <w:pPr>
        <w:pStyle w:val="SingleTxtGC"/>
        <w:rPr>
          <w:rFonts w:hint="eastAsia"/>
          <w:snapToGrid/>
        </w:rPr>
      </w:pPr>
      <w:r w:rsidRPr="00E15FAF">
        <w:rPr>
          <w:rFonts w:hint="eastAsia"/>
          <w:snapToGrid/>
        </w:rPr>
        <w:t xml:space="preserve">4. </w:t>
      </w:r>
      <w:r w:rsidR="00725E13">
        <w:rPr>
          <w:rFonts w:hint="eastAsia"/>
          <w:snapToGrid/>
        </w:rPr>
        <w:t xml:space="preserve"> </w:t>
      </w:r>
      <w:r w:rsidRPr="00E15FAF">
        <w:rPr>
          <w:rFonts w:hint="eastAsia"/>
          <w:snapToGrid/>
        </w:rPr>
        <w:t>委员会关切《刑法》第</w:t>
      </w:r>
      <w:r w:rsidRPr="00E15FAF">
        <w:rPr>
          <w:rFonts w:hint="eastAsia"/>
          <w:snapToGrid/>
        </w:rPr>
        <w:t>115</w:t>
      </w:r>
      <w:r w:rsidRPr="00E15FAF">
        <w:rPr>
          <w:rFonts w:hint="eastAsia"/>
          <w:snapToGrid/>
        </w:rPr>
        <w:t>条所立恐怖主义罪的定义偏泛，不足以界定恐怖主义行为的性质和影响后果</w:t>
      </w:r>
      <w:r w:rsidRPr="00E15FAF">
        <w:rPr>
          <w:rFonts w:hint="eastAsia"/>
          <w:snapToGrid/>
        </w:rPr>
        <w:t>(</w:t>
      </w:r>
      <w:r w:rsidRPr="00E15FAF">
        <w:rPr>
          <w:rFonts w:hint="eastAsia"/>
          <w:snapToGrid/>
        </w:rPr>
        <w:t>第二条</w:t>
      </w:r>
      <w:r w:rsidRPr="00E15FAF">
        <w:rPr>
          <w:rFonts w:hint="eastAsia"/>
          <w:snapToGrid/>
        </w:rPr>
        <w:t>)</w:t>
      </w:r>
      <w:r w:rsidRPr="00E15FAF">
        <w:rPr>
          <w:rFonts w:hint="eastAsia"/>
          <w:snapToGrid/>
        </w:rPr>
        <w:t>。</w:t>
      </w:r>
    </w:p>
    <w:p w:rsidR="00E15FAF" w:rsidRPr="00D06A78" w:rsidRDefault="00E15FAF" w:rsidP="00725E13">
      <w:pPr>
        <w:pStyle w:val="SingleTxtGC"/>
        <w:tabs>
          <w:tab w:val="clear" w:pos="1134"/>
          <w:tab w:val="left" w:pos="1300"/>
        </w:tabs>
        <w:ind w:left="1560"/>
        <w:rPr>
          <w:rFonts w:eastAsia="SimHei" w:hint="eastAsia"/>
          <w:snapToGrid/>
        </w:rPr>
      </w:pPr>
      <w:r w:rsidRPr="00D06A78">
        <w:rPr>
          <w:rFonts w:eastAsia="SimHei" w:hint="eastAsia"/>
          <w:snapToGrid/>
        </w:rPr>
        <w:t>缔约国不仅应确保《刑法》名符其实地界定恐怖主义罪，而且还得狭义界定此类行为的性质。</w:t>
      </w:r>
    </w:p>
    <w:p w:rsidR="00E15FAF" w:rsidRPr="00E15FAF" w:rsidRDefault="00E15FAF" w:rsidP="00E15FAF">
      <w:pPr>
        <w:pStyle w:val="SingleTxtGC"/>
        <w:rPr>
          <w:rFonts w:hint="eastAsia"/>
          <w:snapToGrid/>
        </w:rPr>
      </w:pPr>
      <w:r w:rsidRPr="00E15FAF">
        <w:rPr>
          <w:rFonts w:hint="eastAsia"/>
          <w:snapToGrid/>
        </w:rPr>
        <w:t xml:space="preserve">5.  </w:t>
      </w:r>
      <w:r w:rsidRPr="00E15FAF">
        <w:rPr>
          <w:rFonts w:hint="eastAsia"/>
          <w:snapToGrid/>
        </w:rPr>
        <w:t>委员会关切《平等待遇法》尚未达到无漏可遗，未涵盖教育、卫生保健、社会保护和住房等领域，基于性取向、残疾、宗教或年龄原因的歧视</w:t>
      </w:r>
      <w:r w:rsidRPr="00E15FAF">
        <w:rPr>
          <w:rFonts w:hint="eastAsia"/>
          <w:snapToGrid/>
        </w:rPr>
        <w:t>(</w:t>
      </w:r>
      <w:r w:rsidRPr="00E15FAF">
        <w:rPr>
          <w:rFonts w:hint="eastAsia"/>
          <w:snapToGrid/>
        </w:rPr>
        <w:t>第二条</w:t>
      </w:r>
      <w:r w:rsidRPr="00E15FAF">
        <w:rPr>
          <w:rFonts w:hint="eastAsia"/>
          <w:snapToGrid/>
        </w:rPr>
        <w:t>)</w:t>
      </w:r>
      <w:r w:rsidRPr="00E15FAF">
        <w:rPr>
          <w:rFonts w:hint="eastAsia"/>
          <w:snapToGrid/>
        </w:rPr>
        <w:t>。</w:t>
      </w:r>
    </w:p>
    <w:p w:rsidR="00E15FAF" w:rsidRPr="00D06A78" w:rsidRDefault="00E15FAF" w:rsidP="00725E13">
      <w:pPr>
        <w:pStyle w:val="SingleTxtGC"/>
        <w:tabs>
          <w:tab w:val="clear" w:pos="1134"/>
          <w:tab w:val="left" w:pos="1300"/>
        </w:tabs>
        <w:ind w:left="1560"/>
        <w:rPr>
          <w:rFonts w:eastAsia="SimHei" w:hint="eastAsia"/>
          <w:snapToGrid/>
        </w:rPr>
      </w:pPr>
      <w:r w:rsidRPr="00D06A78">
        <w:rPr>
          <w:rFonts w:eastAsia="SimHei" w:hint="eastAsia"/>
          <w:snapToGrid/>
        </w:rPr>
        <w:t>缔约国应进一步修订《平等待遇法》，从而充分涵盖基于所有原因及所有领域的歧视。</w:t>
      </w:r>
    </w:p>
    <w:p w:rsidR="00E15FAF" w:rsidRPr="00E15FAF" w:rsidRDefault="00E15FAF" w:rsidP="00E15FAF">
      <w:pPr>
        <w:pStyle w:val="SingleTxtGC"/>
        <w:rPr>
          <w:rFonts w:hint="eastAsia"/>
          <w:snapToGrid/>
        </w:rPr>
      </w:pPr>
      <w:r w:rsidRPr="00E15FAF">
        <w:rPr>
          <w:rFonts w:hint="eastAsia"/>
          <w:snapToGrid/>
        </w:rPr>
        <w:t xml:space="preserve">6.  </w:t>
      </w:r>
      <w:r w:rsidRPr="00E15FAF">
        <w:rPr>
          <w:rFonts w:hint="eastAsia"/>
          <w:snapToGrid/>
        </w:rPr>
        <w:t>委员会关切向执法机构</w:t>
      </w:r>
      <w:r w:rsidR="00004FFF">
        <w:rPr>
          <w:rFonts w:hint="eastAsia"/>
          <w:snapToGrid/>
        </w:rPr>
        <w:t>投</w:t>
      </w:r>
      <w:r w:rsidR="007A0F2D">
        <w:rPr>
          <w:rFonts w:hint="eastAsia"/>
          <w:snapToGrid/>
        </w:rPr>
        <w:t>告</w:t>
      </w:r>
      <w:r w:rsidRPr="00E15FAF">
        <w:rPr>
          <w:rFonts w:hint="eastAsia"/>
          <w:snapToGrid/>
        </w:rPr>
        <w:t>的种族仇恨案件大幅度上升，但遗憾地注意到，据报称调查和追究率低。委员会还关切，尽管缔约国采取了种种措施，但屡屡发生各种反犹表现，包括人身攻击，毁坏犹太人墓地以及通过互联网和印刷传媒散布反犹宣传</w:t>
      </w:r>
      <w:r w:rsidRPr="00E15FAF">
        <w:rPr>
          <w:rFonts w:hint="eastAsia"/>
          <w:snapToGrid/>
        </w:rPr>
        <w:t>(</w:t>
      </w:r>
      <w:r w:rsidRPr="00E15FAF">
        <w:rPr>
          <w:rFonts w:hint="eastAsia"/>
          <w:snapToGrid/>
        </w:rPr>
        <w:t>第二条</w:t>
      </w:r>
      <w:r w:rsidRPr="00E15FAF">
        <w:rPr>
          <w:rFonts w:hint="eastAsia"/>
          <w:snapToGrid/>
        </w:rPr>
        <w:t>)</w:t>
      </w:r>
      <w:r w:rsidRPr="00E15FAF">
        <w:rPr>
          <w:rFonts w:hint="eastAsia"/>
          <w:snapToGrid/>
        </w:rPr>
        <w:t>。</w:t>
      </w:r>
    </w:p>
    <w:p w:rsidR="00E15FAF" w:rsidRPr="00D06A78" w:rsidRDefault="00E15FAF" w:rsidP="00725E13">
      <w:pPr>
        <w:pStyle w:val="SingleTxtGC"/>
        <w:tabs>
          <w:tab w:val="clear" w:pos="1134"/>
          <w:tab w:val="left" w:pos="1300"/>
        </w:tabs>
        <w:ind w:left="1560"/>
        <w:rPr>
          <w:rFonts w:eastAsia="SimHei" w:hint="eastAsia"/>
          <w:snapToGrid/>
        </w:rPr>
      </w:pPr>
      <w:r w:rsidRPr="00D06A78">
        <w:rPr>
          <w:rFonts w:eastAsia="SimHei" w:hint="eastAsia"/>
          <w:snapToGrid/>
        </w:rPr>
        <w:t>缔约国应下力增强容忍和打击偏见，尤其按业已延续至</w:t>
      </w:r>
      <w:r w:rsidRPr="00D06A78">
        <w:rPr>
          <w:rFonts w:eastAsia="SimHei" w:hint="eastAsia"/>
          <w:snapToGrid/>
        </w:rPr>
        <w:t>2013</w:t>
      </w:r>
      <w:r w:rsidRPr="00D06A78">
        <w:rPr>
          <w:rFonts w:eastAsia="SimHei" w:hint="eastAsia"/>
          <w:snapToGrid/>
        </w:rPr>
        <w:t>年“全国反种族歧视、仇外心理和相关不容忍现象方案”实施上述举措。缔约国应特别注意监察原先和当前各全国方案的影响力。缔约国还必须在下次定期报告中详情阐明对一些反犹事件和表现展开的调查，以及针对每起案件提出的起诉和下达的判决。</w:t>
      </w:r>
    </w:p>
    <w:p w:rsidR="00E15FAF" w:rsidRPr="00E15FAF" w:rsidRDefault="00E15FAF" w:rsidP="00E15FAF">
      <w:pPr>
        <w:pStyle w:val="SingleTxtGC"/>
        <w:rPr>
          <w:rFonts w:hint="eastAsia"/>
          <w:snapToGrid/>
        </w:rPr>
      </w:pPr>
      <w:r w:rsidRPr="00E15FAF">
        <w:rPr>
          <w:rFonts w:hint="eastAsia"/>
          <w:snapToGrid/>
        </w:rPr>
        <w:t xml:space="preserve">7.  </w:t>
      </w:r>
      <w:r w:rsidRPr="00E15FAF">
        <w:rPr>
          <w:rFonts w:hint="eastAsia"/>
          <w:snapToGrid/>
        </w:rPr>
        <w:t>委员会仍关切罗姆少数民族依然不断地遭受的社会排斥和歧视，尤其在教育、就业和住房方面面临的歧视</w:t>
      </w:r>
      <w:r w:rsidRPr="00E15FAF">
        <w:rPr>
          <w:rFonts w:hint="eastAsia"/>
          <w:snapToGrid/>
        </w:rPr>
        <w:t>(</w:t>
      </w:r>
      <w:r w:rsidRPr="00E15FAF">
        <w:rPr>
          <w:rFonts w:hint="eastAsia"/>
          <w:snapToGrid/>
        </w:rPr>
        <w:t>第二、二十六和二十七条</w:t>
      </w:r>
      <w:r w:rsidRPr="00E15FAF">
        <w:rPr>
          <w:rFonts w:hint="eastAsia"/>
          <w:snapToGrid/>
        </w:rPr>
        <w:t>)</w:t>
      </w:r>
      <w:r w:rsidRPr="00E15FAF">
        <w:rPr>
          <w:rFonts w:hint="eastAsia"/>
          <w:snapToGrid/>
        </w:rPr>
        <w:t>。</w:t>
      </w:r>
    </w:p>
    <w:p w:rsidR="00E15FAF" w:rsidRPr="00D06A78" w:rsidRDefault="00E15FAF" w:rsidP="00725E13">
      <w:pPr>
        <w:pStyle w:val="SingleTxtGC"/>
        <w:tabs>
          <w:tab w:val="clear" w:pos="1134"/>
          <w:tab w:val="left" w:pos="1300"/>
        </w:tabs>
        <w:ind w:left="1560"/>
        <w:rPr>
          <w:rFonts w:eastAsia="SimHei" w:hint="eastAsia"/>
          <w:snapToGrid/>
        </w:rPr>
      </w:pPr>
      <w:r w:rsidRPr="00D06A78">
        <w:rPr>
          <w:rFonts w:eastAsia="SimHei" w:hint="eastAsia"/>
          <w:snapToGrid/>
        </w:rPr>
        <w:t>缔约国应继续采取一切必要的措施，通过落实并加强防止和纠正对罗姆人的歧视及其严峻的社会和经济境况的有效措施，确保罗姆人按《公约》规定切实享有其权利。</w:t>
      </w:r>
    </w:p>
    <w:p w:rsidR="00E15FAF" w:rsidRPr="00E15FAF" w:rsidRDefault="00E15FAF" w:rsidP="00E15FAF">
      <w:pPr>
        <w:pStyle w:val="SingleTxtGC"/>
        <w:rPr>
          <w:rFonts w:hint="eastAsia"/>
          <w:snapToGrid/>
        </w:rPr>
      </w:pPr>
      <w:r w:rsidRPr="00E15FAF">
        <w:rPr>
          <w:rFonts w:hint="eastAsia"/>
          <w:snapToGrid/>
        </w:rPr>
        <w:t xml:space="preserve">8.  </w:t>
      </w:r>
      <w:r w:rsidRPr="00E15FAF">
        <w:rPr>
          <w:rFonts w:hint="eastAsia"/>
          <w:snapToGrid/>
        </w:rPr>
        <w:t>委员会关切地注意到，针对男女同性恋、双性恋和变性者的仇视言论和不容忍表现大为加剧，并且自</w:t>
      </w:r>
      <w:r w:rsidRPr="00E15FAF">
        <w:rPr>
          <w:rFonts w:hint="eastAsia"/>
          <w:snapToGrid/>
        </w:rPr>
        <w:t>2005</w:t>
      </w:r>
      <w:r w:rsidRPr="00E15FAF">
        <w:rPr>
          <w:rFonts w:hint="eastAsia"/>
          <w:snapToGrid/>
        </w:rPr>
        <w:t>年以来，监察署接报基于性取向原因的案件数量剧</w:t>
      </w:r>
      <w:r w:rsidR="009F4217">
        <w:rPr>
          <w:rFonts w:hint="eastAsia"/>
          <w:snapToGrid/>
        </w:rPr>
        <w:t>增</w:t>
      </w:r>
      <w:r w:rsidRPr="00E15FAF">
        <w:rPr>
          <w:rFonts w:hint="eastAsia"/>
          <w:snapToGrid/>
        </w:rPr>
        <w:t>。委员会还遗憾地感到，《刑法》尚未规定基于性取向或性别认同原因的仇恨言论和仇恨罪行可受惩治的罪行</w:t>
      </w:r>
      <w:r w:rsidRPr="00E15FAF">
        <w:rPr>
          <w:rFonts w:hint="eastAsia"/>
          <w:snapToGrid/>
        </w:rPr>
        <w:t>(</w:t>
      </w:r>
      <w:r w:rsidRPr="00E15FAF">
        <w:rPr>
          <w:rFonts w:hint="eastAsia"/>
          <w:snapToGrid/>
        </w:rPr>
        <w:t>第二条</w:t>
      </w:r>
      <w:r w:rsidRPr="00E15FAF">
        <w:rPr>
          <w:rFonts w:hint="eastAsia"/>
          <w:snapToGrid/>
        </w:rPr>
        <w:t>)</w:t>
      </w:r>
      <w:r w:rsidRPr="00E15FAF">
        <w:rPr>
          <w:rFonts w:hint="eastAsia"/>
          <w:snapToGrid/>
        </w:rPr>
        <w:t>。</w:t>
      </w:r>
    </w:p>
    <w:p w:rsidR="00E15FAF" w:rsidRPr="00D06A78" w:rsidRDefault="00E15FAF" w:rsidP="00725E13">
      <w:pPr>
        <w:pStyle w:val="SingleTxtGC"/>
        <w:tabs>
          <w:tab w:val="clear" w:pos="1134"/>
          <w:tab w:val="left" w:pos="1300"/>
        </w:tabs>
        <w:ind w:left="1560"/>
        <w:rPr>
          <w:rFonts w:eastAsia="SimHei" w:hint="eastAsia"/>
          <w:snapToGrid/>
        </w:rPr>
      </w:pPr>
      <w:r w:rsidRPr="00D06A78">
        <w:rPr>
          <w:rFonts w:eastAsia="SimHei" w:hint="eastAsia"/>
          <w:snapToGrid/>
        </w:rPr>
        <w:t>缔约国应确保，对所有指控出于性取向或性别认同原因，针对个人实施的侵袭和威胁行为进行彻查。缔约国还应：从法律上禁止基于性取向和性别认同原因的歧视；修订《刑法》，将基于性取向和性别认同原因的仇恨言论或仇恨罪行划入可予惩处的罪行类别；并加强旨在提高警察队伍和广大民众认识的运动。</w:t>
      </w:r>
    </w:p>
    <w:p w:rsidR="00E15FAF" w:rsidRPr="00E15FAF" w:rsidRDefault="00E15FAF" w:rsidP="00E15FAF">
      <w:pPr>
        <w:pStyle w:val="SingleTxtGC"/>
        <w:rPr>
          <w:rFonts w:hint="eastAsia"/>
          <w:snapToGrid/>
        </w:rPr>
      </w:pPr>
      <w:r w:rsidRPr="00E15FAF">
        <w:rPr>
          <w:rFonts w:hint="eastAsia"/>
          <w:snapToGrid/>
        </w:rPr>
        <w:t xml:space="preserve">9.  </w:t>
      </w:r>
      <w:r w:rsidRPr="00E15FAF">
        <w:rPr>
          <w:rFonts w:hint="eastAsia"/>
          <w:snapToGrid/>
        </w:rPr>
        <w:t>委员会欢迎力争扩大妇女在公共和民间部门上的比例，但仍关切公共和政治领域，具体在议会、政府行政部门、司法机构、公务部门、学术界、警察和监狱部门中身居高级职位的女性比例仍然不足。委员会关切高级管理层职位男女之间的薪酬不平等。最后，委员会对</w:t>
      </w:r>
      <w:r w:rsidRPr="00E15FAF">
        <w:rPr>
          <w:rFonts w:hint="eastAsia"/>
          <w:snapToGrid/>
        </w:rPr>
        <w:t>2005</w:t>
      </w:r>
      <w:r w:rsidRPr="00E15FAF">
        <w:rPr>
          <w:rFonts w:hint="eastAsia"/>
          <w:snapToGrid/>
        </w:rPr>
        <w:t>年撤销政府促进男女平等事务全权办公厅感到遗憾</w:t>
      </w:r>
      <w:r w:rsidRPr="00E15FAF">
        <w:rPr>
          <w:rFonts w:hint="eastAsia"/>
          <w:snapToGrid/>
        </w:rPr>
        <w:t>(</w:t>
      </w:r>
      <w:r w:rsidRPr="00E15FAF">
        <w:rPr>
          <w:rFonts w:hint="eastAsia"/>
          <w:snapToGrid/>
        </w:rPr>
        <w:t>第三条</w:t>
      </w:r>
      <w:r w:rsidRPr="00E15FAF">
        <w:rPr>
          <w:rFonts w:hint="eastAsia"/>
          <w:snapToGrid/>
        </w:rPr>
        <w:t>)</w:t>
      </w:r>
      <w:r w:rsidRPr="00E15FAF">
        <w:rPr>
          <w:rFonts w:hint="eastAsia"/>
          <w:snapToGrid/>
        </w:rPr>
        <w:t>。</w:t>
      </w:r>
    </w:p>
    <w:p w:rsidR="00E15FAF" w:rsidRPr="00D06A78" w:rsidRDefault="00E15FAF" w:rsidP="00725E13">
      <w:pPr>
        <w:pStyle w:val="SingleTxtGC"/>
        <w:tabs>
          <w:tab w:val="clear" w:pos="1134"/>
          <w:tab w:val="left" w:pos="1300"/>
        </w:tabs>
        <w:ind w:left="1560"/>
        <w:rPr>
          <w:rFonts w:eastAsia="SimHei" w:hint="eastAsia"/>
          <w:snapToGrid/>
        </w:rPr>
      </w:pPr>
      <w:r w:rsidRPr="00D06A78">
        <w:rPr>
          <w:rFonts w:eastAsia="SimHei" w:hint="eastAsia"/>
          <w:snapToGrid/>
        </w:rPr>
        <w:t>委员会应加强努力争取在具体且紧迫的时限框架内，实现女性在议会和政府、司法机构、公务部门、学术界、警察和监狱部门等各级最高职别上的平等比例。最后，缔约国应恢复政府促进男女平等事务全权办公厅，作为一个全国主管平等事务的独立机构。</w:t>
      </w:r>
    </w:p>
    <w:p w:rsidR="00E15FAF" w:rsidRPr="00E15FAF" w:rsidRDefault="00E15FAF" w:rsidP="00E15FAF">
      <w:pPr>
        <w:pStyle w:val="SingleTxtGC"/>
        <w:rPr>
          <w:rFonts w:hint="eastAsia"/>
          <w:snapToGrid/>
        </w:rPr>
      </w:pPr>
      <w:r w:rsidRPr="00E15FAF">
        <w:rPr>
          <w:rFonts w:hint="eastAsia"/>
          <w:snapToGrid/>
        </w:rPr>
        <w:t xml:space="preserve">10.  </w:t>
      </w:r>
      <w:r w:rsidRPr="00E15FAF">
        <w:rPr>
          <w:rFonts w:hint="eastAsia"/>
          <w:snapToGrid/>
        </w:rPr>
        <w:t>委员会表示关切：</w:t>
      </w:r>
      <w:r w:rsidRPr="00E15FAF">
        <w:rPr>
          <w:rFonts w:hint="eastAsia"/>
          <w:snapToGrid/>
        </w:rPr>
        <w:t>(a)</w:t>
      </w:r>
      <w:r w:rsidR="00BF5662">
        <w:rPr>
          <w:rFonts w:hint="eastAsia"/>
          <w:snapToGrid/>
        </w:rPr>
        <w:t xml:space="preserve"> </w:t>
      </w:r>
      <w:r w:rsidRPr="00E15FAF">
        <w:rPr>
          <w:rFonts w:hint="eastAsia"/>
          <w:snapToGrid/>
        </w:rPr>
        <w:t>屡禁不止的家庭暴力问题；</w:t>
      </w:r>
      <w:r w:rsidRPr="00E15FAF">
        <w:rPr>
          <w:rFonts w:hint="eastAsia"/>
          <w:snapToGrid/>
        </w:rPr>
        <w:t>(b)</w:t>
      </w:r>
      <w:r w:rsidR="00BF5662">
        <w:rPr>
          <w:rFonts w:hint="eastAsia"/>
          <w:snapToGrid/>
        </w:rPr>
        <w:t xml:space="preserve"> </w:t>
      </w:r>
      <w:r w:rsidRPr="00E15FAF">
        <w:rPr>
          <w:rFonts w:hint="eastAsia"/>
          <w:snapToGrid/>
        </w:rPr>
        <w:t>诉讼层面驳回家庭暴力案的比率高；</w:t>
      </w:r>
      <w:r w:rsidRPr="00E15FAF">
        <w:rPr>
          <w:rFonts w:hint="eastAsia"/>
          <w:snapToGrid/>
        </w:rPr>
        <w:t>(c)</w:t>
      </w:r>
      <w:r w:rsidR="00BF5662">
        <w:rPr>
          <w:rFonts w:hint="eastAsia"/>
          <w:snapToGrid/>
        </w:rPr>
        <w:t xml:space="preserve"> </w:t>
      </w:r>
      <w:r w:rsidRPr="00E15FAF">
        <w:rPr>
          <w:rFonts w:hint="eastAsia"/>
          <w:snapToGrid/>
        </w:rPr>
        <w:t>冗长的诉讼程序，阻碍了受害者投诉案情，加剧了受害者的易受害程度；和</w:t>
      </w:r>
      <w:r w:rsidRPr="00E15FAF">
        <w:rPr>
          <w:rFonts w:hint="eastAsia"/>
          <w:snapToGrid/>
        </w:rPr>
        <w:t>(d)</w:t>
      </w:r>
      <w:r w:rsidR="00BF5662">
        <w:rPr>
          <w:rFonts w:hint="eastAsia"/>
          <w:snapToGrid/>
        </w:rPr>
        <w:t xml:space="preserve"> </w:t>
      </w:r>
      <w:r w:rsidRPr="00E15FAF">
        <w:rPr>
          <w:rFonts w:hint="eastAsia"/>
          <w:snapToGrid/>
        </w:rPr>
        <w:t>为家庭暴力受害者设立的专家支助中心数量不够</w:t>
      </w:r>
      <w:r w:rsidRPr="00E15FAF">
        <w:rPr>
          <w:rFonts w:hint="eastAsia"/>
          <w:snapToGrid/>
        </w:rPr>
        <w:t>(</w:t>
      </w:r>
      <w:r w:rsidRPr="00E15FAF">
        <w:rPr>
          <w:rFonts w:hint="eastAsia"/>
          <w:snapToGrid/>
        </w:rPr>
        <w:t>第三条</w:t>
      </w:r>
      <w:r w:rsidRPr="00E15FAF">
        <w:rPr>
          <w:rFonts w:hint="eastAsia"/>
          <w:snapToGrid/>
        </w:rPr>
        <w:t>)</w:t>
      </w:r>
      <w:r w:rsidRPr="00E15FAF">
        <w:rPr>
          <w:rFonts w:hint="eastAsia"/>
          <w:snapToGrid/>
        </w:rPr>
        <w:t>。</w:t>
      </w:r>
    </w:p>
    <w:p w:rsidR="00E15FAF" w:rsidRPr="00D06A78" w:rsidRDefault="00E15FAF" w:rsidP="00725E13">
      <w:pPr>
        <w:pStyle w:val="SingleTxtGC"/>
        <w:tabs>
          <w:tab w:val="clear" w:pos="1134"/>
          <w:tab w:val="left" w:pos="1300"/>
        </w:tabs>
        <w:ind w:left="1560"/>
        <w:rPr>
          <w:rFonts w:eastAsia="SimHei" w:hint="eastAsia"/>
          <w:snapToGrid/>
        </w:rPr>
      </w:pPr>
      <w:r w:rsidRPr="00D06A78">
        <w:rPr>
          <w:rFonts w:eastAsia="SimHei" w:hint="eastAsia"/>
          <w:snapToGrid/>
        </w:rPr>
        <w:t>委员会应修订《禁止家庭暴力法》，授权警官当场下达即刻生效的限制令。缔约国应将家庭暴力问题列入为执法和司法人员举行的标准培训。缔约国应保证家庭暴力的受害者可获得援助，包括法律和心理咨询、医疗帮助和庇护所。</w:t>
      </w:r>
    </w:p>
    <w:p w:rsidR="00E15FAF" w:rsidRPr="00E15FAF" w:rsidRDefault="00E15FAF" w:rsidP="00E15FAF">
      <w:pPr>
        <w:pStyle w:val="SingleTxtGC"/>
        <w:rPr>
          <w:rFonts w:hint="eastAsia"/>
          <w:snapToGrid/>
        </w:rPr>
      </w:pPr>
      <w:r w:rsidRPr="00E15FAF">
        <w:rPr>
          <w:rFonts w:hint="eastAsia"/>
          <w:snapToGrid/>
        </w:rPr>
        <w:t xml:space="preserve">11.  </w:t>
      </w:r>
      <w:r w:rsidRPr="00E15FAF">
        <w:rPr>
          <w:rFonts w:hint="eastAsia"/>
          <w:snapToGrid/>
        </w:rPr>
        <w:t>委员会注意到</w:t>
      </w:r>
      <w:r w:rsidR="00D06A78">
        <w:rPr>
          <w:rFonts w:hint="eastAsia"/>
          <w:snapToGrid/>
        </w:rPr>
        <w:t>，</w:t>
      </w:r>
      <w:r w:rsidRPr="00E15FAF">
        <w:rPr>
          <w:rFonts w:hint="eastAsia"/>
          <w:snapToGrid/>
        </w:rPr>
        <w:t>2000</w:t>
      </w:r>
      <w:r w:rsidRPr="00E15FAF">
        <w:rPr>
          <w:rFonts w:hint="eastAsia"/>
          <w:snapToGrid/>
        </w:rPr>
        <w:t>年</w:t>
      </w:r>
      <w:r w:rsidRPr="00E15FAF">
        <w:rPr>
          <w:rFonts w:hint="eastAsia"/>
          <w:snapToGrid/>
        </w:rPr>
        <w:t>3</w:t>
      </w:r>
      <w:r w:rsidRPr="00E15FAF">
        <w:rPr>
          <w:rFonts w:hint="eastAsia"/>
          <w:snapToGrid/>
        </w:rPr>
        <w:t>月</w:t>
      </w:r>
      <w:r w:rsidRPr="00E15FAF">
        <w:rPr>
          <w:rFonts w:hint="eastAsia"/>
          <w:snapToGrid/>
        </w:rPr>
        <w:t>21</w:t>
      </w:r>
      <w:r w:rsidRPr="00E15FAF">
        <w:rPr>
          <w:rFonts w:hint="eastAsia"/>
          <w:snapToGrid/>
        </w:rPr>
        <w:t>日，缔约国签署了旨在废除死刑的《公民权利和政治权利国际公约第二任择议定书》，但缔约国还尚未批准该文书</w:t>
      </w:r>
      <w:r w:rsidRPr="00E15FAF">
        <w:rPr>
          <w:rFonts w:hint="eastAsia"/>
          <w:snapToGrid/>
        </w:rPr>
        <w:t>(</w:t>
      </w:r>
      <w:r w:rsidRPr="00E15FAF">
        <w:rPr>
          <w:rFonts w:hint="eastAsia"/>
          <w:snapToGrid/>
        </w:rPr>
        <w:t>第六条</w:t>
      </w:r>
      <w:r w:rsidRPr="00E15FAF">
        <w:rPr>
          <w:rFonts w:hint="eastAsia"/>
          <w:snapToGrid/>
        </w:rPr>
        <w:t>)</w:t>
      </w:r>
      <w:r w:rsidRPr="00E15FAF">
        <w:rPr>
          <w:rFonts w:hint="eastAsia"/>
          <w:snapToGrid/>
        </w:rPr>
        <w:t>。</w:t>
      </w:r>
    </w:p>
    <w:p w:rsidR="00E15FAF" w:rsidRPr="00D06A78" w:rsidRDefault="00E15FAF" w:rsidP="00725E13">
      <w:pPr>
        <w:pStyle w:val="SingleTxtGC"/>
        <w:tabs>
          <w:tab w:val="clear" w:pos="1134"/>
          <w:tab w:val="left" w:pos="1300"/>
        </w:tabs>
        <w:ind w:left="1560"/>
        <w:rPr>
          <w:rFonts w:eastAsia="SimHei" w:hint="eastAsia"/>
          <w:snapToGrid/>
        </w:rPr>
      </w:pPr>
      <w:r w:rsidRPr="00D06A78">
        <w:rPr>
          <w:rFonts w:eastAsia="SimHei" w:hint="eastAsia"/>
          <w:snapToGrid/>
        </w:rPr>
        <w:t>请缔约国批准旨在废除死刑的《公民权利和政治权利国际公约第二任择议定书》。</w:t>
      </w:r>
    </w:p>
    <w:p w:rsidR="00E15FAF" w:rsidRPr="00E15FAF" w:rsidRDefault="00E15FAF" w:rsidP="00E15FAF">
      <w:pPr>
        <w:pStyle w:val="SingleTxtGC"/>
        <w:rPr>
          <w:rFonts w:hint="eastAsia"/>
          <w:snapToGrid/>
        </w:rPr>
      </w:pPr>
      <w:r w:rsidRPr="00E15FAF">
        <w:rPr>
          <w:rFonts w:hint="eastAsia"/>
          <w:snapToGrid/>
        </w:rPr>
        <w:t xml:space="preserve">12.  </w:t>
      </w:r>
      <w:r w:rsidRPr="00E15FAF">
        <w:rPr>
          <w:rFonts w:hint="eastAsia"/>
          <w:snapToGrid/>
        </w:rPr>
        <w:t>委员会关切，许多妇女实际上被剥夺了生育保健服务，包括避孕问题咨询、产前检验和合法中止怀孕。委员会关切地注意到，往往未遵规守矩地适用</w:t>
      </w:r>
      <w:r w:rsidRPr="00E15FAF">
        <w:rPr>
          <w:rFonts w:hint="eastAsia"/>
          <w:snapToGrid/>
        </w:rPr>
        <w:t>1996</w:t>
      </w:r>
      <w:r w:rsidRPr="00E15FAF">
        <w:rPr>
          <w:rFonts w:hint="eastAsia"/>
          <w:snapToGrid/>
        </w:rPr>
        <w:t>年</w:t>
      </w:r>
      <w:r w:rsidRPr="00E15FAF">
        <w:rPr>
          <w:rFonts w:hint="eastAsia"/>
          <w:snapToGrid/>
        </w:rPr>
        <w:t>12</w:t>
      </w:r>
      <w:r w:rsidRPr="00E15FAF">
        <w:rPr>
          <w:rFonts w:hint="eastAsia"/>
          <w:snapToGrid/>
        </w:rPr>
        <w:t>月</w:t>
      </w:r>
      <w:r w:rsidRPr="00E15FAF">
        <w:rPr>
          <w:rFonts w:hint="eastAsia"/>
          <w:snapToGrid/>
        </w:rPr>
        <w:t>5</w:t>
      </w:r>
      <w:r w:rsidRPr="00E15FAF">
        <w:rPr>
          <w:rFonts w:hint="eastAsia"/>
          <w:snapToGrid/>
        </w:rPr>
        <w:t>日《医疗职业法》第</w:t>
      </w:r>
      <w:r w:rsidRPr="00E15FAF">
        <w:rPr>
          <w:rFonts w:hint="eastAsia"/>
          <w:snapToGrid/>
        </w:rPr>
        <w:t>39</w:t>
      </w:r>
      <w:r w:rsidRPr="00E15FAF">
        <w:rPr>
          <w:rFonts w:hint="eastAsia"/>
          <w:snapToGrid/>
        </w:rPr>
        <w:t>条</w:t>
      </w:r>
      <w:r w:rsidRPr="00E15FAF">
        <w:rPr>
          <w:rFonts w:hint="eastAsia"/>
          <w:snapToGrid/>
        </w:rPr>
        <w:t>(</w:t>
      </w:r>
      <w:r w:rsidRPr="00E15FAF">
        <w:rPr>
          <w:rFonts w:hint="eastAsia"/>
          <w:snapToGrid/>
        </w:rPr>
        <w:t>“良心条款”</w:t>
      </w:r>
      <w:r w:rsidRPr="00E15FAF">
        <w:rPr>
          <w:rFonts w:hint="eastAsia"/>
          <w:snapToGrid/>
        </w:rPr>
        <w:t>)</w:t>
      </w:r>
      <w:r w:rsidRPr="00E15FAF">
        <w:rPr>
          <w:rFonts w:hint="eastAsia"/>
          <w:snapToGrid/>
        </w:rPr>
        <w:t>所载的程序保障。委员会还关切地注意到，据报称非法堕胎实为司空见惯的现象</w:t>
      </w:r>
      <w:r w:rsidRPr="00E15FAF">
        <w:rPr>
          <w:rFonts w:hint="eastAsia"/>
          <w:snapToGrid/>
        </w:rPr>
        <w:t>(</w:t>
      </w:r>
      <w:r w:rsidRPr="00E15FAF">
        <w:rPr>
          <w:rFonts w:hint="eastAsia"/>
          <w:snapToGrid/>
        </w:rPr>
        <w:t>估计每年非法堕胎达</w:t>
      </w:r>
      <w:r w:rsidRPr="00E15FAF">
        <w:rPr>
          <w:rFonts w:hint="eastAsia"/>
          <w:snapToGrid/>
        </w:rPr>
        <w:t>15</w:t>
      </w:r>
      <w:r w:rsidR="00D06A78">
        <w:rPr>
          <w:rFonts w:hint="eastAsia"/>
          <w:snapToGrid/>
        </w:rPr>
        <w:t>0,</w:t>
      </w:r>
      <w:r w:rsidRPr="00E15FAF">
        <w:rPr>
          <w:rFonts w:hint="eastAsia"/>
          <w:snapToGrid/>
        </w:rPr>
        <w:t>000</w:t>
      </w:r>
      <w:r w:rsidRPr="00E15FAF">
        <w:rPr>
          <w:rFonts w:hint="eastAsia"/>
          <w:snapToGrid/>
        </w:rPr>
        <w:t>例</w:t>
      </w:r>
      <w:r w:rsidRPr="00E15FAF">
        <w:rPr>
          <w:rFonts w:hint="eastAsia"/>
          <w:snapToGrid/>
        </w:rPr>
        <w:t>)</w:t>
      </w:r>
      <w:r w:rsidRPr="00E15FAF">
        <w:rPr>
          <w:rFonts w:hint="eastAsia"/>
          <w:snapToGrid/>
        </w:rPr>
        <w:t>，不安全的堕胎有时造成了孕妇死亡，而那些协助或怂恿非法堕胎者</w:t>
      </w:r>
      <w:r w:rsidRPr="00E15FAF">
        <w:rPr>
          <w:rFonts w:hint="eastAsia"/>
          <w:snapToGrid/>
        </w:rPr>
        <w:t>(</w:t>
      </w:r>
      <w:r w:rsidRPr="00E15FAF">
        <w:rPr>
          <w:rFonts w:hint="eastAsia"/>
          <w:snapToGrid/>
        </w:rPr>
        <w:t>诸如丈夫或家长</w:t>
      </w:r>
      <w:r w:rsidRPr="00E15FAF">
        <w:rPr>
          <w:rFonts w:hint="eastAsia"/>
          <w:snapToGrid/>
        </w:rPr>
        <w:t>)</w:t>
      </w:r>
      <w:r w:rsidRPr="00E15FAF">
        <w:rPr>
          <w:rFonts w:hint="eastAsia"/>
          <w:snapToGrid/>
        </w:rPr>
        <w:t>则被判罪获刑。最后，委员会关切地注意到，由于</w:t>
      </w:r>
      <w:r w:rsidRPr="00E15FAF">
        <w:rPr>
          <w:rFonts w:hint="eastAsia"/>
          <w:snapToGrid/>
        </w:rPr>
        <w:t>30</w:t>
      </w:r>
      <w:r w:rsidRPr="00E15FAF">
        <w:rPr>
          <w:rFonts w:hint="eastAsia"/>
          <w:snapToGrid/>
        </w:rPr>
        <w:t>天的回复限期，医务委员会对堕胎所持不同医疗见解的裁定可能被耽搁</w:t>
      </w:r>
      <w:r w:rsidRPr="00E15FAF">
        <w:rPr>
          <w:rFonts w:hint="eastAsia"/>
          <w:snapToGrid/>
        </w:rPr>
        <w:t>(</w:t>
      </w:r>
      <w:r w:rsidRPr="00E15FAF">
        <w:rPr>
          <w:rFonts w:hint="eastAsia"/>
          <w:snapToGrid/>
        </w:rPr>
        <w:t>第六条</w:t>
      </w:r>
      <w:r w:rsidRPr="00E15FAF">
        <w:rPr>
          <w:rFonts w:hint="eastAsia"/>
          <w:snapToGrid/>
        </w:rPr>
        <w:t>)</w:t>
      </w:r>
      <w:r w:rsidRPr="00E15FAF">
        <w:rPr>
          <w:rFonts w:hint="eastAsia"/>
          <w:snapToGrid/>
        </w:rPr>
        <w:t>。</w:t>
      </w:r>
    </w:p>
    <w:p w:rsidR="00E15FAF" w:rsidRPr="00D06A78" w:rsidRDefault="00E15FAF" w:rsidP="00725E13">
      <w:pPr>
        <w:pStyle w:val="SingleTxtGC"/>
        <w:tabs>
          <w:tab w:val="clear" w:pos="1134"/>
          <w:tab w:val="left" w:pos="1300"/>
        </w:tabs>
        <w:ind w:left="1560"/>
        <w:rPr>
          <w:rFonts w:eastAsia="SimHei" w:hint="eastAsia"/>
          <w:snapToGrid/>
        </w:rPr>
      </w:pPr>
      <w:r w:rsidRPr="00D06A78">
        <w:rPr>
          <w:rFonts w:eastAsia="SimHei" w:hint="eastAsia"/>
          <w:snapToGrid/>
        </w:rPr>
        <w:t>缔约国应紧急审查严格禁止堕胎法对妇女的影响。缔约国应对利用非法堕胎问题展开调研并拿出相关统计数。缔约国应出台禁止医务专业人员不适当援用和履行“良心条款”的管制条例。缔约国还应大幅度缩短医务委员会有关堕胎案的回复限期。最后缔约国应加强措施，尤其应按可承担得起的价格，广泛提供一系列综合避孕器具，并将之列入受补贴的医用品范畴，旨在防止意外的怀孕。</w:t>
      </w:r>
    </w:p>
    <w:p w:rsidR="00E15FAF" w:rsidRPr="00E15FAF" w:rsidRDefault="00E15FAF" w:rsidP="00E15FAF">
      <w:pPr>
        <w:pStyle w:val="SingleTxtGC"/>
        <w:rPr>
          <w:rFonts w:hint="eastAsia"/>
          <w:snapToGrid/>
        </w:rPr>
      </w:pPr>
      <w:r w:rsidRPr="00E15FAF">
        <w:rPr>
          <w:rFonts w:hint="eastAsia"/>
          <w:snapToGrid/>
        </w:rPr>
        <w:t xml:space="preserve">13.  </w:t>
      </w:r>
      <w:r w:rsidRPr="00E15FAF">
        <w:rPr>
          <w:rFonts w:hint="eastAsia"/>
          <w:snapToGrid/>
        </w:rPr>
        <w:t>委员会关切，关于执法官员使用过度武力和渎职行为调查数量日增的报告。然而，委员会注意到，由于受害者本人担心遭到报复，并未全部投报警察暴力案。委员会还关切地注意到，被羁押在管教所和拘留所的人提出的申诉，交由监管局各主管单位受理，各受理单位按申诉是否有理的相关正式标准，以及与申诉所述事件相关的总体情况进行审查</w:t>
      </w:r>
      <w:r w:rsidRPr="00E15FAF">
        <w:rPr>
          <w:rFonts w:hint="eastAsia"/>
          <w:snapToGrid/>
        </w:rPr>
        <w:t>(</w:t>
      </w:r>
      <w:r w:rsidRPr="00E15FAF">
        <w:rPr>
          <w:rFonts w:hint="eastAsia"/>
          <w:snapToGrid/>
        </w:rPr>
        <w:t>第七条</w:t>
      </w:r>
      <w:r w:rsidRPr="00E15FAF">
        <w:rPr>
          <w:rFonts w:hint="eastAsia"/>
          <w:snapToGrid/>
        </w:rPr>
        <w:t>)</w:t>
      </w:r>
      <w:r w:rsidRPr="00E15FAF">
        <w:rPr>
          <w:rFonts w:hint="eastAsia"/>
          <w:snapToGrid/>
        </w:rPr>
        <w:t>。</w:t>
      </w:r>
    </w:p>
    <w:p w:rsidR="00E15FAF" w:rsidRPr="00D06A78" w:rsidRDefault="00E15FAF" w:rsidP="00725E13">
      <w:pPr>
        <w:pStyle w:val="SingleTxtGC"/>
        <w:tabs>
          <w:tab w:val="clear" w:pos="1134"/>
          <w:tab w:val="left" w:pos="1300"/>
        </w:tabs>
        <w:ind w:left="1560"/>
        <w:rPr>
          <w:rFonts w:eastAsia="SimHei" w:hint="eastAsia"/>
          <w:snapToGrid/>
        </w:rPr>
      </w:pPr>
      <w:r w:rsidRPr="00D06A78">
        <w:rPr>
          <w:rFonts w:eastAsia="SimHei" w:hint="eastAsia"/>
          <w:snapToGrid/>
        </w:rPr>
        <w:t>缔约国应加强努力，具体通过培训，和彻底且公正的调查和追究责任人的方式，铲除警察的渎职案。缔约国还应建议一个胜任、独立和公正的机构，调查警察的不规行为，可允许申诉方</w:t>
      </w:r>
      <w:r w:rsidRPr="00D06A78">
        <w:rPr>
          <w:rFonts w:eastAsia="SimHei" w:hint="eastAsia"/>
          <w:snapToGrid/>
        </w:rPr>
        <w:t>(</w:t>
      </w:r>
      <w:r w:rsidRPr="00D06A78">
        <w:rPr>
          <w:rFonts w:eastAsia="SimHei" w:hint="eastAsia"/>
          <w:snapToGrid/>
        </w:rPr>
        <w:t>或警方人员</w:t>
      </w:r>
      <w:r w:rsidRPr="00D06A78">
        <w:rPr>
          <w:rFonts w:eastAsia="SimHei" w:hint="eastAsia"/>
          <w:snapToGrid/>
        </w:rPr>
        <w:t>)</w:t>
      </w:r>
      <w:r w:rsidRPr="00D06A78">
        <w:rPr>
          <w:rFonts w:eastAsia="SimHei" w:hint="eastAsia"/>
          <w:snapToGrid/>
        </w:rPr>
        <w:t>对该机构直接提出不公开的申诉。</w:t>
      </w:r>
    </w:p>
    <w:p w:rsidR="00E15FAF" w:rsidRPr="00E15FAF" w:rsidRDefault="00E15FAF" w:rsidP="00E15FAF">
      <w:pPr>
        <w:pStyle w:val="SingleTxtGC"/>
        <w:rPr>
          <w:rFonts w:hint="eastAsia"/>
          <w:snapToGrid/>
        </w:rPr>
      </w:pPr>
      <w:r w:rsidRPr="00E15FAF">
        <w:rPr>
          <w:rFonts w:hint="eastAsia"/>
          <w:snapToGrid/>
        </w:rPr>
        <w:t xml:space="preserve">14.  </w:t>
      </w:r>
      <w:r w:rsidRPr="00E15FAF">
        <w:rPr>
          <w:rFonts w:hint="eastAsia"/>
          <w:snapToGrid/>
        </w:rPr>
        <w:t>委员会关切，《刑法》未载有保护贩运受害者的法律条款，阐明他们不会因身为遭贩运者的境况直接造成了非法入境、非法滞留或卷入非法行为的后果，而遭到起诉、拘留或惩罚</w:t>
      </w:r>
      <w:r w:rsidRPr="00E15FAF">
        <w:rPr>
          <w:rFonts w:hint="eastAsia"/>
          <w:snapToGrid/>
        </w:rPr>
        <w:t>(</w:t>
      </w:r>
      <w:r w:rsidRPr="00E15FAF">
        <w:rPr>
          <w:rFonts w:hint="eastAsia"/>
          <w:snapToGrid/>
        </w:rPr>
        <w:t>第八条</w:t>
      </w:r>
      <w:r w:rsidRPr="00E15FAF">
        <w:rPr>
          <w:rFonts w:hint="eastAsia"/>
          <w:snapToGrid/>
        </w:rPr>
        <w:t>)</w:t>
      </w:r>
      <w:r w:rsidRPr="00E15FAF">
        <w:rPr>
          <w:rFonts w:hint="eastAsia"/>
          <w:snapToGrid/>
        </w:rPr>
        <w:t>。</w:t>
      </w:r>
    </w:p>
    <w:p w:rsidR="00E15FAF" w:rsidRPr="00D06A78" w:rsidRDefault="00E15FAF" w:rsidP="00725E13">
      <w:pPr>
        <w:pStyle w:val="SingleTxtGC"/>
        <w:tabs>
          <w:tab w:val="clear" w:pos="1134"/>
          <w:tab w:val="left" w:pos="1300"/>
        </w:tabs>
        <w:ind w:left="1560"/>
        <w:rPr>
          <w:rFonts w:eastAsia="SimHei" w:hint="eastAsia"/>
          <w:snapToGrid/>
        </w:rPr>
      </w:pPr>
      <w:r w:rsidRPr="00D06A78">
        <w:rPr>
          <w:rFonts w:eastAsia="SimHei" w:hint="eastAsia"/>
          <w:snapToGrid/>
        </w:rPr>
        <w:t>缔约国的《刑法》应列入一项保护贩运受害者的条款，列明他们不会因身为遭贩运者的境况直接造成了非法入境、非法滞留或卷入非法行为的后果，而遭到起诉、拘留或惩罚。缔约国应采取进一步的措施，包括立法措施，确保对遭贩运者的保护，不以该当事人在法律诉讼过程中的配合为条件。</w:t>
      </w:r>
    </w:p>
    <w:p w:rsidR="00E15FAF" w:rsidRPr="00E15FAF" w:rsidRDefault="00E15FAF" w:rsidP="00E15FAF">
      <w:pPr>
        <w:pStyle w:val="SingleTxtGC"/>
        <w:rPr>
          <w:rFonts w:hint="eastAsia"/>
          <w:snapToGrid/>
        </w:rPr>
      </w:pPr>
      <w:r w:rsidRPr="00E15FAF">
        <w:rPr>
          <w:rFonts w:hint="eastAsia"/>
          <w:snapToGrid/>
        </w:rPr>
        <w:t xml:space="preserve">15.  </w:t>
      </w:r>
      <w:r w:rsidR="002C6581">
        <w:rPr>
          <w:rFonts w:hint="eastAsia"/>
          <w:snapToGrid/>
        </w:rPr>
        <w:t>委员会关切，</w:t>
      </w:r>
      <w:r w:rsidRPr="00E15FAF">
        <w:rPr>
          <w:rFonts w:hint="eastAsia"/>
          <w:snapToGrid/>
        </w:rPr>
        <w:t>据称，</w:t>
      </w:r>
      <w:r w:rsidRPr="00E15FAF">
        <w:rPr>
          <w:snapToGrid/>
        </w:rPr>
        <w:t>2003</w:t>
      </w:r>
      <w:r w:rsidRPr="00E15FAF">
        <w:rPr>
          <w:snapToGrid/>
        </w:rPr>
        <w:t>至</w:t>
      </w:r>
      <w:r w:rsidRPr="00E15FAF">
        <w:rPr>
          <w:snapToGrid/>
        </w:rPr>
        <w:t>2005</w:t>
      </w:r>
      <w:r w:rsidRPr="00E15FAF">
        <w:rPr>
          <w:snapToGrid/>
        </w:rPr>
        <w:t>年间，</w:t>
      </w:r>
      <w:r w:rsidRPr="00E15FAF">
        <w:rPr>
          <w:snapToGrid/>
        </w:rPr>
        <w:t>Stare Kiejkuty</w:t>
      </w:r>
      <w:r w:rsidRPr="00E15FAF">
        <w:rPr>
          <w:snapToGrid/>
        </w:rPr>
        <w:t>即</w:t>
      </w:r>
      <w:r w:rsidRPr="00E15FAF">
        <w:rPr>
          <w:rFonts w:hint="eastAsia"/>
          <w:snapToGrid/>
        </w:rPr>
        <w:t>在</w:t>
      </w:r>
      <w:r w:rsidRPr="00E15FAF">
        <w:rPr>
          <w:snapToGrid/>
        </w:rPr>
        <w:t xml:space="preserve">Szymany </w:t>
      </w:r>
      <w:r w:rsidRPr="00E15FAF">
        <w:rPr>
          <w:snapToGrid/>
        </w:rPr>
        <w:t>机场附近的一个军事基地曾设有一个秘密拘留所，</w:t>
      </w:r>
      <w:r w:rsidRPr="00E15FAF">
        <w:rPr>
          <w:rFonts w:hint="eastAsia"/>
          <w:snapToGrid/>
        </w:rPr>
        <w:t>据称</w:t>
      </w:r>
      <w:r w:rsidRPr="00E15FAF">
        <w:rPr>
          <w:snapToGrid/>
        </w:rPr>
        <w:t>嫌疑人就是通过该机场进行引渡</w:t>
      </w:r>
      <w:r w:rsidRPr="00E15FAF">
        <w:rPr>
          <w:rFonts w:hint="eastAsia"/>
          <w:snapToGrid/>
        </w:rPr>
        <w:t>。委员会关切地注意到，华沙上诉检察局主管有组织犯罪和腐败问题的第五司从事的调查尚未得出结论</w:t>
      </w:r>
      <w:r w:rsidRPr="00E15FAF">
        <w:rPr>
          <w:rFonts w:hint="eastAsia"/>
          <w:snapToGrid/>
        </w:rPr>
        <w:t>(</w:t>
      </w:r>
      <w:r w:rsidRPr="00E15FAF">
        <w:rPr>
          <w:rFonts w:hint="eastAsia"/>
          <w:snapToGrid/>
        </w:rPr>
        <w:t>第二、九和七条</w:t>
      </w:r>
      <w:r w:rsidRPr="00E15FAF">
        <w:rPr>
          <w:rFonts w:hint="eastAsia"/>
          <w:snapToGrid/>
        </w:rPr>
        <w:t xml:space="preserve">) </w:t>
      </w:r>
      <w:r w:rsidRPr="00E15FAF">
        <w:rPr>
          <w:rFonts w:hint="eastAsia"/>
          <w:snapToGrid/>
        </w:rPr>
        <w:t>。</w:t>
      </w:r>
    </w:p>
    <w:p w:rsidR="00E15FAF" w:rsidRPr="00D06A78" w:rsidRDefault="00E15FAF" w:rsidP="00725E13">
      <w:pPr>
        <w:pStyle w:val="SingleTxtGC"/>
        <w:tabs>
          <w:tab w:val="clear" w:pos="1134"/>
          <w:tab w:val="left" w:pos="1300"/>
        </w:tabs>
        <w:ind w:left="1560"/>
        <w:rPr>
          <w:rFonts w:eastAsia="SimHei" w:hint="eastAsia"/>
          <w:snapToGrid/>
        </w:rPr>
      </w:pPr>
      <w:r w:rsidRPr="00D06A78">
        <w:rPr>
          <w:rFonts w:eastAsia="SimHei" w:hint="eastAsia"/>
          <w:snapToGrid/>
        </w:rPr>
        <w:t>缔约国应立即展开彻底、独立和有效的调查，凭借全面调查实权，查询出勤人员和出示的文件，调查参与引渡和秘密拘留的波兰官员，并追究那些被查证有罪者的责任，包括诉诸刑事司法体制进行追查。缔约国应将调查结果公布</w:t>
      </w:r>
      <w:r w:rsidR="000E056E">
        <w:rPr>
          <w:rFonts w:eastAsia="SimHei" w:hint="eastAsia"/>
          <w:snapToGrid/>
        </w:rPr>
        <w:t>于</w:t>
      </w:r>
      <w:r w:rsidRPr="00D06A78">
        <w:rPr>
          <w:rFonts w:eastAsia="SimHei" w:hint="eastAsia"/>
          <w:snapToGrid/>
        </w:rPr>
        <w:t>众。</w:t>
      </w:r>
    </w:p>
    <w:p w:rsidR="00E15FAF" w:rsidRPr="00E15FAF" w:rsidRDefault="00E15FAF" w:rsidP="00E15FAF">
      <w:pPr>
        <w:pStyle w:val="SingleTxtGC"/>
        <w:rPr>
          <w:rFonts w:hint="eastAsia"/>
          <w:snapToGrid/>
        </w:rPr>
      </w:pPr>
      <w:r w:rsidRPr="00E15FAF">
        <w:rPr>
          <w:rFonts w:hint="eastAsia"/>
          <w:snapToGrid/>
        </w:rPr>
        <w:t xml:space="preserve">16. </w:t>
      </w:r>
      <w:r w:rsidR="00AB5D43">
        <w:rPr>
          <w:rFonts w:hint="eastAsia"/>
          <w:snapToGrid/>
        </w:rPr>
        <w:t xml:space="preserve"> </w:t>
      </w:r>
      <w:r w:rsidRPr="00E15FAF">
        <w:rPr>
          <w:rFonts w:hint="eastAsia"/>
          <w:snapToGrid/>
        </w:rPr>
        <w:t>尽管遭预审拘留的人数减少了，但委员会关切地感到，按《刑事诉讼法》的具体制定，预审拘留期之长至少可羁押长达两年之久，加剧了过度拥挤问题。委员会还关切地注意到，事实上，两年限期之后还会继续延长，</w:t>
      </w:r>
      <w:r w:rsidRPr="00E15FAF">
        <w:rPr>
          <w:rFonts w:hint="eastAsia"/>
          <w:snapToGrid/>
        </w:rPr>
        <w:t>2009</w:t>
      </w:r>
      <w:r w:rsidRPr="00E15FAF">
        <w:rPr>
          <w:rFonts w:hint="eastAsia"/>
          <w:snapToGrid/>
        </w:rPr>
        <w:t>年针对未按合理时限展开公平审理提出的申诉数量比</w:t>
      </w:r>
      <w:r w:rsidRPr="00E15FAF">
        <w:rPr>
          <w:rFonts w:hint="eastAsia"/>
          <w:snapToGrid/>
        </w:rPr>
        <w:t>2008</w:t>
      </w:r>
      <w:r w:rsidRPr="00E15FAF">
        <w:rPr>
          <w:rFonts w:hint="eastAsia"/>
          <w:snapToGrid/>
        </w:rPr>
        <w:t>年增多</w:t>
      </w:r>
      <w:r w:rsidRPr="00E15FAF">
        <w:rPr>
          <w:rFonts w:hint="eastAsia"/>
          <w:snapToGrid/>
        </w:rPr>
        <w:t>(</w:t>
      </w:r>
      <w:r w:rsidRPr="00E15FAF">
        <w:rPr>
          <w:rFonts w:hint="eastAsia"/>
          <w:snapToGrid/>
        </w:rPr>
        <w:t>第九条</w:t>
      </w:r>
      <w:r w:rsidRPr="00E15FAF">
        <w:rPr>
          <w:rFonts w:hint="eastAsia"/>
          <w:snapToGrid/>
        </w:rPr>
        <w:t>)</w:t>
      </w:r>
      <w:r w:rsidRPr="00E15FAF">
        <w:rPr>
          <w:rFonts w:hint="eastAsia"/>
          <w:snapToGrid/>
        </w:rPr>
        <w:t>。</w:t>
      </w:r>
    </w:p>
    <w:p w:rsidR="00E15FAF" w:rsidRPr="00D06A78" w:rsidRDefault="00E15FAF" w:rsidP="00725E13">
      <w:pPr>
        <w:pStyle w:val="SingleTxtGC"/>
        <w:tabs>
          <w:tab w:val="clear" w:pos="1134"/>
          <w:tab w:val="left" w:pos="1300"/>
        </w:tabs>
        <w:ind w:left="1560"/>
        <w:rPr>
          <w:rFonts w:eastAsia="SimHei" w:hint="eastAsia"/>
          <w:snapToGrid/>
        </w:rPr>
      </w:pPr>
      <w:r w:rsidRPr="00D06A78">
        <w:rPr>
          <w:rFonts w:eastAsia="SimHei" w:hint="eastAsia"/>
          <w:snapToGrid/>
        </w:rPr>
        <w:t>缔约国应采取追加的有效法律及其它措施，全面履行《公约》第九条第</w:t>
      </w:r>
      <w:r w:rsidRPr="00D06A78">
        <w:rPr>
          <w:rFonts w:eastAsia="SimHei" w:hint="eastAsia"/>
          <w:snapToGrid/>
        </w:rPr>
        <w:t>3</w:t>
      </w:r>
      <w:r w:rsidRPr="00D06A78">
        <w:rPr>
          <w:rFonts w:eastAsia="SimHei" w:hint="eastAsia"/>
          <w:snapToGrid/>
        </w:rPr>
        <w:t>和</w:t>
      </w:r>
      <w:r w:rsidRPr="00D06A78">
        <w:rPr>
          <w:rFonts w:eastAsia="SimHei" w:hint="eastAsia"/>
          <w:snapToGrid/>
        </w:rPr>
        <w:t>5</w:t>
      </w:r>
      <w:r w:rsidRPr="00D06A78">
        <w:rPr>
          <w:rFonts w:eastAsia="SimHei" w:hint="eastAsia"/>
          <w:snapToGrid/>
        </w:rPr>
        <w:t>款，缩短预审拘留期，并确保采用预审拘留只作为一项有时限的特殊措施。缔约国应考虑预审拘留不可再延续的最长时限，并加强替代预审拘留的其它措施。</w:t>
      </w:r>
    </w:p>
    <w:p w:rsidR="00E15FAF" w:rsidRPr="00E15FAF" w:rsidRDefault="00E15FAF" w:rsidP="00E15FAF">
      <w:pPr>
        <w:pStyle w:val="SingleTxtGC"/>
        <w:rPr>
          <w:rFonts w:hint="eastAsia"/>
          <w:snapToGrid/>
        </w:rPr>
      </w:pPr>
      <w:r w:rsidRPr="00E15FAF">
        <w:rPr>
          <w:rFonts w:hint="eastAsia"/>
          <w:snapToGrid/>
        </w:rPr>
        <w:t xml:space="preserve">17.  </w:t>
      </w:r>
      <w:r w:rsidRPr="00E15FAF">
        <w:rPr>
          <w:rFonts w:hint="eastAsia"/>
          <w:snapToGrid/>
        </w:rPr>
        <w:t>委员会关切拘留中心和监狱依旧拥挤不堪的问题。</w:t>
      </w:r>
      <w:r w:rsidRPr="00E15FAF">
        <w:rPr>
          <w:rFonts w:hint="eastAsia"/>
          <w:snapToGrid/>
        </w:rPr>
        <w:t>(</w:t>
      </w:r>
      <w:r w:rsidRPr="00E15FAF">
        <w:rPr>
          <w:rFonts w:hint="eastAsia"/>
          <w:snapToGrid/>
        </w:rPr>
        <w:t>第十条</w:t>
      </w:r>
      <w:r w:rsidRPr="00E15FAF">
        <w:rPr>
          <w:rFonts w:hint="eastAsia"/>
          <w:snapToGrid/>
        </w:rPr>
        <w:t>)</w:t>
      </w:r>
    </w:p>
    <w:p w:rsidR="00E15FAF" w:rsidRPr="00D06A78" w:rsidRDefault="00E15FAF" w:rsidP="00725E13">
      <w:pPr>
        <w:pStyle w:val="SingleTxtGC"/>
        <w:tabs>
          <w:tab w:val="clear" w:pos="1134"/>
          <w:tab w:val="left" w:pos="1300"/>
        </w:tabs>
        <w:ind w:left="1560"/>
        <w:rPr>
          <w:rFonts w:eastAsia="SimHei" w:hint="eastAsia"/>
          <w:snapToGrid/>
        </w:rPr>
      </w:pPr>
      <w:r w:rsidRPr="00D06A78">
        <w:rPr>
          <w:rFonts w:eastAsia="SimHei" w:hint="eastAsia"/>
          <w:snapToGrid/>
        </w:rPr>
        <w:t>缔约国应采取紧迫措施解决拘留中心和监狱过度拥挤问题，包括扩大运用诸如电子监控和假释之类其它形式的惩处法，减少对预审拘留的运用。</w:t>
      </w:r>
    </w:p>
    <w:p w:rsidR="00E15FAF" w:rsidRPr="00E15FAF" w:rsidRDefault="00E15FAF" w:rsidP="00E15FAF">
      <w:pPr>
        <w:pStyle w:val="SingleTxtGC"/>
        <w:rPr>
          <w:rFonts w:hint="eastAsia"/>
          <w:snapToGrid/>
        </w:rPr>
      </w:pPr>
      <w:r w:rsidRPr="00E15FAF">
        <w:rPr>
          <w:rFonts w:hint="eastAsia"/>
          <w:snapToGrid/>
        </w:rPr>
        <w:t xml:space="preserve">18. </w:t>
      </w:r>
      <w:r w:rsidR="00AB5D43">
        <w:rPr>
          <w:rFonts w:hint="eastAsia"/>
          <w:snapToGrid/>
        </w:rPr>
        <w:t xml:space="preserve"> </w:t>
      </w:r>
      <w:r w:rsidRPr="00E15FAF">
        <w:rPr>
          <w:rFonts w:hint="eastAsia"/>
          <w:snapToGrid/>
        </w:rPr>
        <w:t>委员会关切，尚无关于羁押驱逐期限已过外籍人的具体法律，而且有些外籍人的驱逐限期虽已过，却未经法院下令被羁押在转送监区。委员会关切地注意到，有些报告称，有些收押寻求庇护者的拘留中心的医务援助不足，以及那些收押等候遣送出境外籍人的转送监区和遣送拘留中心的条件差。最后，委员会关切有些报告称，被拘押的外籍人往往无法知道他们的权利，因为写明这类信息的招示牌往往只挂在办公室和讯问室里，而且只用波兰言撰写，再则，有些翻译不够格，无法转译</w:t>
      </w:r>
      <w:r w:rsidRPr="00E15FAF">
        <w:rPr>
          <w:rFonts w:hint="eastAsia"/>
          <w:snapToGrid/>
        </w:rPr>
        <w:t>(</w:t>
      </w:r>
      <w:r w:rsidRPr="00E15FAF">
        <w:rPr>
          <w:rFonts w:hint="eastAsia"/>
          <w:snapToGrid/>
        </w:rPr>
        <w:t>第十二和十四条</w:t>
      </w:r>
      <w:r w:rsidRPr="00E15FAF">
        <w:rPr>
          <w:rFonts w:hint="eastAsia"/>
          <w:snapToGrid/>
        </w:rPr>
        <w:t>)</w:t>
      </w:r>
      <w:r w:rsidRPr="00E15FAF">
        <w:rPr>
          <w:rFonts w:hint="eastAsia"/>
          <w:snapToGrid/>
        </w:rPr>
        <w:t>。</w:t>
      </w:r>
    </w:p>
    <w:p w:rsidR="00E15FAF" w:rsidRPr="00D06A78" w:rsidRDefault="00E15FAF" w:rsidP="00725E13">
      <w:pPr>
        <w:pStyle w:val="SingleTxtGC"/>
        <w:tabs>
          <w:tab w:val="clear" w:pos="1134"/>
          <w:tab w:val="left" w:pos="1300"/>
        </w:tabs>
        <w:ind w:left="1560"/>
        <w:rPr>
          <w:rFonts w:eastAsia="SimHei" w:hint="eastAsia"/>
          <w:snapToGrid/>
        </w:rPr>
      </w:pPr>
      <w:r w:rsidRPr="00D06A78">
        <w:rPr>
          <w:rFonts w:eastAsia="SimHei" w:hint="eastAsia"/>
          <w:snapToGrid/>
        </w:rPr>
        <w:t>缔约国应采取措施，确保关押在转送监区的外籍人不会遭过度长期的羁押，而若要延长羁押，须经法院裁定。缔约国应确保所有遣送拘留中心的制度、服务和医疗条件都达到最起码的标准。最后，缔约国应确保被拘押的外籍人通过他们能读懂的语言文字，便于了解他们的权利，即使为此须提供够格的翻译。</w:t>
      </w:r>
    </w:p>
    <w:p w:rsidR="00E15FAF" w:rsidRPr="00E15FAF" w:rsidRDefault="00E15FAF" w:rsidP="00E15FAF">
      <w:pPr>
        <w:pStyle w:val="SingleTxtGC"/>
        <w:rPr>
          <w:rFonts w:hint="eastAsia"/>
          <w:snapToGrid/>
        </w:rPr>
      </w:pPr>
      <w:r w:rsidRPr="00E15FAF">
        <w:rPr>
          <w:rFonts w:hint="eastAsia"/>
          <w:snapToGrid/>
        </w:rPr>
        <w:t xml:space="preserve">19.  </w:t>
      </w:r>
      <w:r w:rsidRPr="00E15FAF">
        <w:rPr>
          <w:rFonts w:hint="eastAsia"/>
          <w:snapToGrid/>
        </w:rPr>
        <w:t>委员会关切有些报告称，法院制度的行政管理差人员配备不足，继续呈现积压案件现象，法律诉讼费高和大量赔偿案遭到不应有的拖延。委员会还关切法院下达的法令往往得不到或延滞执行，和敷衍了事</w:t>
      </w:r>
      <w:r w:rsidR="00D06A78">
        <w:rPr>
          <w:rFonts w:hint="eastAsia"/>
          <w:snapToGrid/>
        </w:rPr>
        <w:t>(</w:t>
      </w:r>
      <w:r w:rsidRPr="00E15FAF">
        <w:rPr>
          <w:rFonts w:hint="eastAsia"/>
          <w:snapToGrid/>
        </w:rPr>
        <w:t>第十四条</w:t>
      </w:r>
      <w:r w:rsidR="00D06A78">
        <w:rPr>
          <w:rFonts w:hint="eastAsia"/>
          <w:snapToGrid/>
        </w:rPr>
        <w:t>)</w:t>
      </w:r>
      <w:r w:rsidRPr="00E15FAF">
        <w:rPr>
          <w:rFonts w:hint="eastAsia"/>
          <w:snapToGrid/>
        </w:rPr>
        <w:t>。</w:t>
      </w:r>
    </w:p>
    <w:p w:rsidR="00E15FAF" w:rsidRPr="00D06A78" w:rsidRDefault="00E15FAF" w:rsidP="00725E13">
      <w:pPr>
        <w:pStyle w:val="SingleTxtGC"/>
        <w:tabs>
          <w:tab w:val="clear" w:pos="1134"/>
          <w:tab w:val="left" w:pos="1300"/>
        </w:tabs>
        <w:ind w:left="1560"/>
        <w:rPr>
          <w:rFonts w:eastAsia="SimHei" w:hint="eastAsia"/>
          <w:snapToGrid/>
        </w:rPr>
      </w:pPr>
      <w:r w:rsidRPr="00D06A78">
        <w:rPr>
          <w:rFonts w:eastAsia="SimHei" w:hint="eastAsia"/>
          <w:snapToGrid/>
        </w:rPr>
        <w:t>缔约国应紧急改善司法体制的运作，包括扩大够格和经专业培训的司法人员队伍，并对法官和法庭职员进行有效处置案件手法的培训。缔约国还应确保批准对长期拖延诉案的充分赔偿。</w:t>
      </w:r>
    </w:p>
    <w:p w:rsidR="00E15FAF" w:rsidRPr="00E15FAF" w:rsidRDefault="00E15FAF" w:rsidP="00E15FAF">
      <w:pPr>
        <w:pStyle w:val="SingleTxtGC"/>
        <w:rPr>
          <w:rFonts w:hint="eastAsia"/>
          <w:snapToGrid/>
        </w:rPr>
      </w:pPr>
      <w:r w:rsidRPr="00E15FAF">
        <w:rPr>
          <w:rFonts w:hint="eastAsia"/>
          <w:snapToGrid/>
        </w:rPr>
        <w:t xml:space="preserve">20.  </w:t>
      </w:r>
      <w:r w:rsidRPr="00E15FAF">
        <w:rPr>
          <w:rFonts w:hint="eastAsia"/>
          <w:snapToGrid/>
        </w:rPr>
        <w:t>委员会重申其关切那些从遭到羁押起即未享有法律援助权的被拘押者。委员会关切地注意到，当嫌疑人与其律师会面时，检察官或经检察官授权的人可在场，而且检察官可下令检查嫌疑人与其律师之间的来往通信。委员会关切地注意到，被拘留者与其律师的通信要经过预审拘留中心的行政管理部门，结果造成有时期间的中转期长达四至六个星期</w:t>
      </w:r>
      <w:r w:rsidRPr="00E15FAF">
        <w:rPr>
          <w:rFonts w:hint="eastAsia"/>
          <w:snapToGrid/>
        </w:rPr>
        <w:t>(</w:t>
      </w:r>
      <w:r w:rsidRPr="00E15FAF">
        <w:rPr>
          <w:rFonts w:hint="eastAsia"/>
          <w:snapToGrid/>
        </w:rPr>
        <w:t>第十四条</w:t>
      </w:r>
      <w:r w:rsidRPr="00E15FAF">
        <w:rPr>
          <w:rFonts w:hint="eastAsia"/>
          <w:snapToGrid/>
        </w:rPr>
        <w:t>)</w:t>
      </w:r>
      <w:r w:rsidRPr="00E15FAF">
        <w:rPr>
          <w:rFonts w:hint="eastAsia"/>
          <w:snapToGrid/>
        </w:rPr>
        <w:t>。</w:t>
      </w:r>
    </w:p>
    <w:p w:rsidR="00E15FAF" w:rsidRPr="00D06A78" w:rsidRDefault="00E15FAF" w:rsidP="00725E13">
      <w:pPr>
        <w:pStyle w:val="SingleTxtGC"/>
        <w:tabs>
          <w:tab w:val="clear" w:pos="1134"/>
          <w:tab w:val="left" w:pos="1300"/>
        </w:tabs>
        <w:ind w:left="1560"/>
        <w:rPr>
          <w:rFonts w:eastAsia="SimHei" w:hint="eastAsia"/>
          <w:snapToGrid/>
        </w:rPr>
      </w:pPr>
      <w:r w:rsidRPr="00D06A78">
        <w:rPr>
          <w:rFonts w:eastAsia="SimHei" w:hint="eastAsia"/>
          <w:snapToGrid/>
        </w:rPr>
        <w:t>缔约国应确保被剥夺自由者：</w:t>
      </w:r>
      <w:r w:rsidRPr="00D06A78">
        <w:rPr>
          <w:rFonts w:eastAsia="SimHei" w:hint="eastAsia"/>
          <w:snapToGrid/>
        </w:rPr>
        <w:t xml:space="preserve">(a) </w:t>
      </w:r>
      <w:r w:rsidRPr="00D06A78">
        <w:rPr>
          <w:rFonts w:eastAsia="SimHei" w:hint="eastAsia"/>
          <w:snapToGrid/>
        </w:rPr>
        <w:t>从被拘留即刻起即与律师接洽；</w:t>
      </w:r>
      <w:r w:rsidRPr="00D06A78">
        <w:rPr>
          <w:rFonts w:eastAsia="SimHei" w:hint="eastAsia"/>
          <w:snapToGrid/>
        </w:rPr>
        <w:t xml:space="preserve">(b) </w:t>
      </w:r>
      <w:r w:rsidRPr="00D06A78">
        <w:rPr>
          <w:rFonts w:eastAsia="SimHei" w:hint="eastAsia"/>
          <w:snapToGrid/>
        </w:rPr>
        <w:t>可私下与其律师会晤，包括在庭审之前的会晤；和</w:t>
      </w:r>
      <w:r w:rsidRPr="00D06A78">
        <w:rPr>
          <w:rFonts w:eastAsia="SimHei" w:hint="eastAsia"/>
          <w:snapToGrid/>
        </w:rPr>
        <w:t>(</w:t>
      </w:r>
      <w:r w:rsidR="001D714A">
        <w:rPr>
          <w:rFonts w:eastAsia="SimHei" w:hint="eastAsia"/>
          <w:snapToGrid/>
        </w:rPr>
        <w:t>c</w:t>
      </w:r>
      <w:r w:rsidRPr="00D06A78">
        <w:rPr>
          <w:rFonts w:eastAsia="SimHei" w:hint="eastAsia"/>
          <w:snapToGrid/>
        </w:rPr>
        <w:t xml:space="preserve">) </w:t>
      </w:r>
      <w:r w:rsidRPr="00D06A78">
        <w:rPr>
          <w:rFonts w:eastAsia="SimHei" w:hint="eastAsia"/>
          <w:snapToGrid/>
        </w:rPr>
        <w:t>在任何情况下可与律师进行不受外部监查，而且迅捷保密的通信。</w:t>
      </w:r>
    </w:p>
    <w:p w:rsidR="00E15FAF" w:rsidRPr="00E15FAF" w:rsidRDefault="00E15FAF" w:rsidP="00E15FAF">
      <w:pPr>
        <w:pStyle w:val="SingleTxtGC"/>
        <w:rPr>
          <w:rFonts w:hint="eastAsia"/>
          <w:snapToGrid/>
        </w:rPr>
      </w:pPr>
      <w:r w:rsidRPr="00E15FAF">
        <w:rPr>
          <w:rFonts w:hint="eastAsia"/>
          <w:snapToGrid/>
        </w:rPr>
        <w:t xml:space="preserve">21.  </w:t>
      </w:r>
      <w:r w:rsidRPr="00E15FAF">
        <w:rPr>
          <w:rFonts w:hint="eastAsia"/>
          <w:snapToGrid/>
        </w:rPr>
        <w:t>委员会关切地注意到，</w:t>
      </w:r>
      <w:r w:rsidRPr="00E15FAF">
        <w:rPr>
          <w:rFonts w:hint="eastAsia"/>
          <w:snapToGrid/>
        </w:rPr>
        <w:t>2006</w:t>
      </w:r>
      <w:r w:rsidRPr="00E15FAF">
        <w:rPr>
          <w:rFonts w:hint="eastAsia"/>
          <w:snapToGrid/>
        </w:rPr>
        <w:t>年《拨乱反正法》和《刑事诉讼法》规定，在法院开庭审理之前阶段，限制遭《拨乱反正法》起诉者查阅保密档案文献和案情宗卷</w:t>
      </w:r>
      <w:r w:rsidRPr="00E15FAF">
        <w:rPr>
          <w:rFonts w:hint="eastAsia"/>
          <w:snapToGrid/>
        </w:rPr>
        <w:t>(</w:t>
      </w:r>
      <w:r w:rsidRPr="00E15FAF">
        <w:rPr>
          <w:rFonts w:hint="eastAsia"/>
          <w:snapToGrid/>
        </w:rPr>
        <w:t>第十四和十七条</w:t>
      </w:r>
      <w:r w:rsidRPr="00E15FAF">
        <w:rPr>
          <w:rFonts w:hint="eastAsia"/>
          <w:snapToGrid/>
        </w:rPr>
        <w:t>)</w:t>
      </w:r>
      <w:r w:rsidRPr="00E15FAF">
        <w:rPr>
          <w:rFonts w:hint="eastAsia"/>
          <w:snapToGrid/>
        </w:rPr>
        <w:t>。</w:t>
      </w:r>
    </w:p>
    <w:p w:rsidR="00E15FAF" w:rsidRPr="00D06A78" w:rsidRDefault="00E15FAF" w:rsidP="00725E13">
      <w:pPr>
        <w:pStyle w:val="SingleTxtGC"/>
        <w:tabs>
          <w:tab w:val="clear" w:pos="1134"/>
          <w:tab w:val="left" w:pos="1300"/>
        </w:tabs>
        <w:ind w:left="1560"/>
        <w:rPr>
          <w:rFonts w:eastAsia="SimHei" w:hint="eastAsia"/>
          <w:snapToGrid/>
        </w:rPr>
      </w:pPr>
      <w:r w:rsidRPr="00D06A78">
        <w:rPr>
          <w:rFonts w:eastAsia="SimHei"/>
          <w:snapToGrid/>
        </w:rPr>
        <w:t>缔约国应修订</w:t>
      </w:r>
      <w:r w:rsidRPr="00D06A78">
        <w:rPr>
          <w:rFonts w:eastAsia="SimHei"/>
          <w:snapToGrid/>
        </w:rPr>
        <w:t>2006</w:t>
      </w:r>
      <w:r w:rsidRPr="00D06A78">
        <w:rPr>
          <w:rFonts w:eastAsia="SimHei"/>
          <w:snapToGrid/>
        </w:rPr>
        <w:t>年《拨乱反正法》，确保遭《拨乱</w:t>
      </w:r>
      <w:r w:rsidRPr="00D06A78">
        <w:rPr>
          <w:rFonts w:eastAsia="SimHei" w:hint="eastAsia"/>
          <w:snapToGrid/>
        </w:rPr>
        <w:t>反正法》起诉的人可完全不受阻碍地查阅所有的案情宗卷和保密档案文献。</w:t>
      </w:r>
    </w:p>
    <w:p w:rsidR="00E15FAF" w:rsidRPr="00E15FAF" w:rsidRDefault="00E15FAF" w:rsidP="00E15FAF">
      <w:pPr>
        <w:pStyle w:val="SingleTxtGC"/>
        <w:rPr>
          <w:snapToGrid/>
        </w:rPr>
      </w:pPr>
      <w:r w:rsidRPr="00E15FAF">
        <w:rPr>
          <w:rFonts w:hint="eastAsia"/>
          <w:snapToGrid/>
        </w:rPr>
        <w:t xml:space="preserve">22.  </w:t>
      </w:r>
      <w:r w:rsidRPr="00E15FAF">
        <w:rPr>
          <w:rFonts w:hint="eastAsia"/>
          <w:snapToGrid/>
        </w:rPr>
        <w:t>委员会关切，尽管</w:t>
      </w:r>
      <w:r w:rsidRPr="00E15FAF">
        <w:rPr>
          <w:snapToGrid/>
        </w:rPr>
        <w:t>2010</w:t>
      </w:r>
      <w:r w:rsidRPr="00E15FAF">
        <w:rPr>
          <w:snapToGrid/>
        </w:rPr>
        <w:t>年</w:t>
      </w:r>
      <w:r w:rsidRPr="00E15FAF">
        <w:rPr>
          <w:snapToGrid/>
        </w:rPr>
        <w:t>6</w:t>
      </w:r>
      <w:r w:rsidRPr="00E15FAF">
        <w:rPr>
          <w:snapToGrid/>
        </w:rPr>
        <w:t>月修订了《刑法》第</w:t>
      </w:r>
      <w:r w:rsidRPr="00E15FAF">
        <w:rPr>
          <w:snapToGrid/>
        </w:rPr>
        <w:t>8</w:t>
      </w:r>
      <w:r w:rsidRPr="00E15FAF">
        <w:rPr>
          <w:snapToGrid/>
        </w:rPr>
        <w:t>条，但按《刑法》第</w:t>
      </w:r>
      <w:r w:rsidRPr="00E15FAF">
        <w:rPr>
          <w:snapToGrid/>
        </w:rPr>
        <w:t>212</w:t>
      </w:r>
      <w:r w:rsidRPr="00E15FAF">
        <w:rPr>
          <w:snapToGrid/>
        </w:rPr>
        <w:t>条第</w:t>
      </w:r>
      <w:r w:rsidRPr="00E15FAF">
        <w:rPr>
          <w:snapToGrid/>
        </w:rPr>
        <w:t>2</w:t>
      </w:r>
      <w:r w:rsidRPr="00E15FAF">
        <w:rPr>
          <w:snapToGrid/>
        </w:rPr>
        <w:t>款的具体规定，诽谤罪仍可被判处被剥夺自由一年的惩罚</w:t>
      </w:r>
      <w:r w:rsidRPr="00E15FAF">
        <w:rPr>
          <w:snapToGrid/>
        </w:rPr>
        <w:t>(</w:t>
      </w:r>
      <w:r w:rsidRPr="00E15FAF">
        <w:rPr>
          <w:snapToGrid/>
        </w:rPr>
        <w:t>第十九条</w:t>
      </w:r>
      <w:r w:rsidRPr="00E15FAF">
        <w:rPr>
          <w:snapToGrid/>
        </w:rPr>
        <w:t>)</w:t>
      </w:r>
      <w:r w:rsidRPr="00E15FAF">
        <w:rPr>
          <w:snapToGrid/>
        </w:rPr>
        <w:t>。</w:t>
      </w:r>
    </w:p>
    <w:p w:rsidR="00E15FAF" w:rsidRPr="00D06A78" w:rsidRDefault="00E15FAF" w:rsidP="00725E13">
      <w:pPr>
        <w:pStyle w:val="SingleTxtGC"/>
        <w:tabs>
          <w:tab w:val="clear" w:pos="1134"/>
          <w:tab w:val="left" w:pos="1300"/>
        </w:tabs>
        <w:ind w:left="1560"/>
        <w:rPr>
          <w:rFonts w:eastAsia="SimHei" w:hint="eastAsia"/>
          <w:snapToGrid/>
        </w:rPr>
      </w:pPr>
      <w:r w:rsidRPr="00D06A78">
        <w:rPr>
          <w:rFonts w:eastAsia="SimHei" w:hint="eastAsia"/>
          <w:snapToGrid/>
        </w:rPr>
        <w:t>缔约国应加快对《刑法》的修订工作，废除对新闻罪的监禁规定。</w:t>
      </w:r>
    </w:p>
    <w:p w:rsidR="00E15FAF" w:rsidRPr="00E15FAF" w:rsidRDefault="00E15FAF" w:rsidP="00E15FAF">
      <w:pPr>
        <w:pStyle w:val="SingleTxtGC"/>
        <w:rPr>
          <w:rFonts w:hint="eastAsia"/>
          <w:snapToGrid/>
        </w:rPr>
      </w:pPr>
      <w:r w:rsidRPr="00E15FAF">
        <w:rPr>
          <w:rFonts w:hint="eastAsia"/>
          <w:snapToGrid/>
        </w:rPr>
        <w:t xml:space="preserve">23.  </w:t>
      </w:r>
      <w:r w:rsidRPr="00E15FAF">
        <w:rPr>
          <w:rFonts w:hint="eastAsia"/>
          <w:snapToGrid/>
        </w:rPr>
        <w:t>委员会关切，根据</w:t>
      </w:r>
      <w:r w:rsidRPr="00E15FAF">
        <w:rPr>
          <w:rFonts w:hint="eastAsia"/>
          <w:snapToGrid/>
        </w:rPr>
        <w:t>1990</w:t>
      </w:r>
      <w:r w:rsidRPr="00E15FAF">
        <w:rPr>
          <w:rFonts w:hint="eastAsia"/>
          <w:snapToGrid/>
        </w:rPr>
        <w:t>年</w:t>
      </w:r>
      <w:r w:rsidRPr="00E15FAF">
        <w:rPr>
          <w:rFonts w:hint="eastAsia"/>
          <w:snapToGrid/>
        </w:rPr>
        <w:t>7</w:t>
      </w:r>
      <w:r w:rsidRPr="00E15FAF">
        <w:rPr>
          <w:rFonts w:hint="eastAsia"/>
          <w:snapToGrid/>
        </w:rPr>
        <w:t>月</w:t>
      </w:r>
      <w:r w:rsidRPr="00E15FAF">
        <w:rPr>
          <w:rFonts w:hint="eastAsia"/>
          <w:snapToGrid/>
        </w:rPr>
        <w:t>15</w:t>
      </w:r>
      <w:r w:rsidRPr="00E15FAF">
        <w:rPr>
          <w:rFonts w:hint="eastAsia"/>
          <w:snapToGrid/>
        </w:rPr>
        <w:t>日《集会法》，为了举行集会不受禁令管制须办理为期冗长的手续，可损害享有和平集会的权利</w:t>
      </w:r>
      <w:r w:rsidRPr="00E15FAF">
        <w:rPr>
          <w:rFonts w:hint="eastAsia"/>
          <w:snapToGrid/>
        </w:rPr>
        <w:t>(</w:t>
      </w:r>
      <w:r w:rsidRPr="00E15FAF">
        <w:rPr>
          <w:rFonts w:hint="eastAsia"/>
          <w:snapToGrid/>
        </w:rPr>
        <w:t>第二</w:t>
      </w:r>
      <w:r w:rsidR="00D6152B">
        <w:rPr>
          <w:rFonts w:hint="eastAsia"/>
          <w:snapToGrid/>
        </w:rPr>
        <w:t>十一</w:t>
      </w:r>
      <w:r w:rsidRPr="00E15FAF">
        <w:rPr>
          <w:rFonts w:hint="eastAsia"/>
          <w:snapToGrid/>
        </w:rPr>
        <w:t>条</w:t>
      </w:r>
      <w:r w:rsidRPr="00E15FAF">
        <w:rPr>
          <w:rFonts w:hint="eastAsia"/>
          <w:snapToGrid/>
        </w:rPr>
        <w:t>)</w:t>
      </w:r>
      <w:r w:rsidRPr="00E15FAF">
        <w:rPr>
          <w:rFonts w:hint="eastAsia"/>
          <w:snapToGrid/>
        </w:rPr>
        <w:t>。</w:t>
      </w:r>
    </w:p>
    <w:p w:rsidR="00E15FAF" w:rsidRPr="00D06A78" w:rsidRDefault="00E15FAF" w:rsidP="00725E13">
      <w:pPr>
        <w:pStyle w:val="SingleTxtGC"/>
        <w:tabs>
          <w:tab w:val="clear" w:pos="1134"/>
          <w:tab w:val="left" w:pos="1300"/>
        </w:tabs>
        <w:ind w:left="1560"/>
        <w:rPr>
          <w:rFonts w:eastAsia="SimHei" w:hint="eastAsia"/>
          <w:snapToGrid/>
        </w:rPr>
      </w:pPr>
      <w:r w:rsidRPr="00D06A78">
        <w:rPr>
          <w:rFonts w:eastAsia="SimHei" w:hint="eastAsia"/>
          <w:snapToGrid/>
        </w:rPr>
        <w:t>缔约国应对《集会法》提出修订案，以确保为举行集会不受管制办理的申请手续期不超过必要的时限，并在计划集会日期之前办理完毕。</w:t>
      </w:r>
    </w:p>
    <w:p w:rsidR="00E15FAF" w:rsidRPr="00E15FAF" w:rsidRDefault="00E15FAF" w:rsidP="00E15FAF">
      <w:pPr>
        <w:pStyle w:val="SingleTxtGC"/>
        <w:rPr>
          <w:rFonts w:hint="eastAsia"/>
          <w:snapToGrid/>
        </w:rPr>
      </w:pPr>
      <w:r w:rsidRPr="00E15FAF">
        <w:rPr>
          <w:rFonts w:hint="eastAsia"/>
          <w:snapToGrid/>
        </w:rPr>
        <w:t xml:space="preserve">24.  </w:t>
      </w:r>
      <w:r w:rsidRPr="00E15FAF">
        <w:rPr>
          <w:rFonts w:hint="eastAsia"/>
          <w:snapToGrid/>
        </w:rPr>
        <w:t>委员会关切，据称从抚养照管中心出逃的儿童可被羁押在警方儿童监押中心</w:t>
      </w:r>
      <w:r w:rsidRPr="00E15FAF">
        <w:rPr>
          <w:rFonts w:hint="eastAsia"/>
          <w:snapToGrid/>
        </w:rPr>
        <w:t>(</w:t>
      </w:r>
      <w:r w:rsidRPr="00E15FAF">
        <w:rPr>
          <w:rFonts w:hint="eastAsia"/>
          <w:snapToGrid/>
        </w:rPr>
        <w:t>第二十四条</w:t>
      </w:r>
      <w:r w:rsidRPr="00E15FAF">
        <w:rPr>
          <w:rFonts w:hint="eastAsia"/>
          <w:snapToGrid/>
        </w:rPr>
        <w:t>)</w:t>
      </w:r>
      <w:r w:rsidRPr="00E15FAF">
        <w:rPr>
          <w:rFonts w:hint="eastAsia"/>
          <w:snapToGrid/>
        </w:rPr>
        <w:t>。</w:t>
      </w:r>
    </w:p>
    <w:p w:rsidR="00E15FAF" w:rsidRPr="00D06A78" w:rsidRDefault="00E15FAF" w:rsidP="00725E13">
      <w:pPr>
        <w:pStyle w:val="SingleTxtGC"/>
        <w:tabs>
          <w:tab w:val="clear" w:pos="1134"/>
          <w:tab w:val="left" w:pos="1300"/>
        </w:tabs>
        <w:ind w:left="1560"/>
        <w:rPr>
          <w:rFonts w:eastAsia="SimHei" w:hint="eastAsia"/>
          <w:snapToGrid/>
        </w:rPr>
      </w:pPr>
      <w:r w:rsidRPr="00D06A78">
        <w:rPr>
          <w:rFonts w:eastAsia="SimHei" w:hint="eastAsia"/>
          <w:snapToGrid/>
        </w:rPr>
        <w:t>缔约国应制订新的立法，从细节上规定警方儿童监押中心的生活条件，并且列明向该设施送交和收押儿童的规则。缔约国还要确保不将未犯有可受惩罚行为的儿童送入该监押中心。</w:t>
      </w:r>
    </w:p>
    <w:p w:rsidR="00E15FAF" w:rsidRPr="00E15FAF" w:rsidRDefault="00E15FAF" w:rsidP="00E15FAF">
      <w:pPr>
        <w:pStyle w:val="SingleTxtGC"/>
        <w:rPr>
          <w:rFonts w:hint="eastAsia"/>
          <w:snapToGrid/>
        </w:rPr>
      </w:pPr>
      <w:r w:rsidRPr="00E15FAF">
        <w:rPr>
          <w:rFonts w:hint="eastAsia"/>
          <w:snapToGrid/>
        </w:rPr>
        <w:t xml:space="preserve">25.  </w:t>
      </w:r>
      <w:r w:rsidRPr="00E15FAF">
        <w:rPr>
          <w:rFonts w:hint="eastAsia"/>
          <w:snapToGrid/>
        </w:rPr>
        <w:t>缔约国应广泛为传发其第六次定期报告和本结论性意见的案文。</w:t>
      </w:r>
    </w:p>
    <w:p w:rsidR="00E15FAF" w:rsidRPr="00E15FAF" w:rsidRDefault="00E15FAF" w:rsidP="00E15FAF">
      <w:pPr>
        <w:pStyle w:val="SingleTxtGC"/>
        <w:rPr>
          <w:rFonts w:hint="eastAsia"/>
          <w:snapToGrid/>
        </w:rPr>
      </w:pPr>
      <w:r w:rsidRPr="00E15FAF">
        <w:rPr>
          <w:rFonts w:hint="eastAsia"/>
          <w:snapToGrid/>
        </w:rPr>
        <w:t xml:space="preserve">26.  </w:t>
      </w:r>
      <w:r w:rsidRPr="00E15FAF">
        <w:rPr>
          <w:rFonts w:hint="eastAsia"/>
          <w:snapToGrid/>
        </w:rPr>
        <w:t>根据委员会议事规则第</w:t>
      </w:r>
      <w:r w:rsidRPr="00E15FAF">
        <w:rPr>
          <w:rFonts w:hint="eastAsia"/>
          <w:snapToGrid/>
        </w:rPr>
        <w:t>71</w:t>
      </w:r>
      <w:r w:rsidRPr="00E15FAF">
        <w:rPr>
          <w:rFonts w:hint="eastAsia"/>
          <w:snapToGrid/>
        </w:rPr>
        <w:t>条第</w:t>
      </w:r>
      <w:r w:rsidRPr="00E15FAF">
        <w:rPr>
          <w:rFonts w:hint="eastAsia"/>
          <w:snapToGrid/>
        </w:rPr>
        <w:t>5</w:t>
      </w:r>
      <w:r w:rsidRPr="00E15FAF">
        <w:rPr>
          <w:rFonts w:hint="eastAsia"/>
          <w:snapToGrid/>
        </w:rPr>
        <w:t>款，缔约国应在一年之内提交补充资料，阐明对情势的评估和对第</w:t>
      </w:r>
      <w:r w:rsidRPr="00E15FAF">
        <w:rPr>
          <w:rFonts w:hint="eastAsia"/>
          <w:snapToGrid/>
        </w:rPr>
        <w:t>10</w:t>
      </w:r>
      <w:r w:rsidRPr="00E15FAF">
        <w:rPr>
          <w:rFonts w:hint="eastAsia"/>
          <w:snapToGrid/>
        </w:rPr>
        <w:t>、</w:t>
      </w:r>
      <w:r w:rsidRPr="00E15FAF">
        <w:rPr>
          <w:rFonts w:hint="eastAsia"/>
          <w:snapToGrid/>
        </w:rPr>
        <w:t>12</w:t>
      </w:r>
      <w:r w:rsidRPr="00E15FAF">
        <w:rPr>
          <w:rFonts w:hint="eastAsia"/>
          <w:snapToGrid/>
        </w:rPr>
        <w:t>和</w:t>
      </w:r>
      <w:r w:rsidRPr="00E15FAF">
        <w:rPr>
          <w:rFonts w:hint="eastAsia"/>
          <w:snapToGrid/>
        </w:rPr>
        <w:t>18</w:t>
      </w:r>
      <w:r w:rsidRPr="00E15FAF">
        <w:rPr>
          <w:rFonts w:hint="eastAsia"/>
          <w:snapToGrid/>
        </w:rPr>
        <w:t>段所载委员会建议的执行情况。</w:t>
      </w:r>
    </w:p>
    <w:p w:rsidR="00E15FAF" w:rsidRPr="00E15FAF" w:rsidRDefault="00E15FAF" w:rsidP="00E15FAF">
      <w:pPr>
        <w:pStyle w:val="SingleTxtGC"/>
        <w:rPr>
          <w:rFonts w:hint="eastAsia"/>
          <w:snapToGrid/>
        </w:rPr>
      </w:pPr>
      <w:r w:rsidRPr="00E15FAF">
        <w:rPr>
          <w:rFonts w:hint="eastAsia"/>
          <w:snapToGrid/>
        </w:rPr>
        <w:t xml:space="preserve">27.  </w:t>
      </w:r>
      <w:r w:rsidRPr="00E15FAF">
        <w:rPr>
          <w:rFonts w:hint="eastAsia"/>
          <w:snapToGrid/>
        </w:rPr>
        <w:t>委员会请缔约国预定于</w:t>
      </w:r>
      <w:r w:rsidRPr="00E15FAF">
        <w:rPr>
          <w:rFonts w:hint="eastAsia"/>
          <w:snapToGrid/>
        </w:rPr>
        <w:t>2015</w:t>
      </w:r>
      <w:r w:rsidRPr="00E15FAF">
        <w:rPr>
          <w:rFonts w:hint="eastAsia"/>
          <w:snapToGrid/>
        </w:rPr>
        <w:t>年</w:t>
      </w:r>
      <w:r w:rsidRPr="00E15FAF">
        <w:rPr>
          <w:rFonts w:hint="eastAsia"/>
          <w:snapToGrid/>
        </w:rPr>
        <w:t>10</w:t>
      </w:r>
      <w:r w:rsidRPr="00E15FAF">
        <w:rPr>
          <w:rFonts w:hint="eastAsia"/>
          <w:snapToGrid/>
        </w:rPr>
        <w:t>月</w:t>
      </w:r>
      <w:r w:rsidRPr="00E15FAF">
        <w:rPr>
          <w:rFonts w:hint="eastAsia"/>
          <w:snapToGrid/>
        </w:rPr>
        <w:t>26</w:t>
      </w:r>
      <w:r w:rsidRPr="00E15FAF">
        <w:rPr>
          <w:rFonts w:hint="eastAsia"/>
          <w:snapToGrid/>
        </w:rPr>
        <w:t>日之前提交的下次定期报告中阐明对其它各项建议和对整体《公约》的执行情况。</w:t>
      </w:r>
    </w:p>
    <w:p w:rsidR="00E15FAF" w:rsidRPr="00E15FAF" w:rsidRDefault="00E15FAF" w:rsidP="00E15FAF">
      <w:pPr>
        <w:pStyle w:val="SingleTxtGC"/>
        <w:rPr>
          <w:rFonts w:hint="eastAsia"/>
          <w:snapToGrid/>
        </w:rPr>
      </w:pPr>
    </w:p>
    <w:p w:rsidR="00D06A78" w:rsidRPr="002D6A9C" w:rsidRDefault="00D06A7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15FAF" w:rsidRPr="00E15FAF" w:rsidRDefault="00E15FAF" w:rsidP="00E15FAF">
      <w:pPr>
        <w:pStyle w:val="SingleTxtGC"/>
        <w:rPr>
          <w:rFonts w:hint="eastAsia"/>
          <w:snapToGrid/>
        </w:rPr>
      </w:pPr>
    </w:p>
    <w:sectPr w:rsidR="00E15FAF" w:rsidRPr="00E15FAF">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5C89" w:rsidRPr="000F217F" w:rsidRDefault="002B5C89" w:rsidP="000F217F">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2B5C89" w:rsidRPr="000F217F" w:rsidRDefault="002B5C89" w:rsidP="000F217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6A45" w:rsidRPr="00E15FAF" w:rsidRDefault="00DC6A45" w:rsidP="00E52100">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4C7691">
      <w:rPr>
        <w:rStyle w:val="PageNumber"/>
        <w:noProof/>
      </w:rPr>
      <w:t>2</w:t>
    </w:r>
    <w:r>
      <w:rPr>
        <w:rStyle w:val="PageNumber"/>
      </w:rPr>
      <w:fldChar w:fldCharType="end"/>
    </w:r>
    <w:r>
      <w:rPr>
        <w:rStyle w:val="PageNumber"/>
        <w:rFonts w:eastAsia="SimSun" w:hint="eastAsia"/>
        <w:lang w:eastAsia="zh-CN"/>
      </w:rPr>
      <w:tab/>
    </w:r>
    <w:r w:rsidRPr="00E15FAF">
      <w:rPr>
        <w:rFonts w:eastAsia="SimSun"/>
      </w:rPr>
      <w:t>GE.10-46683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6A45" w:rsidRDefault="00DC6A45">
    <w:pPr>
      <w:pStyle w:val="Footer"/>
      <w:tabs>
        <w:tab w:val="right" w:pos="9639"/>
      </w:tabs>
    </w:pPr>
    <w:r w:rsidRPr="00E15FAF">
      <w:rPr>
        <w:rFonts w:eastAsia="SimSun"/>
      </w:rPr>
      <w:t>GE.10-46683</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4C7691">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6A45" w:rsidRPr="0061164F" w:rsidRDefault="00DC6A45" w:rsidP="0061164F">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46683</w:t>
    </w:r>
    <w:r w:rsidRPr="00EE277A">
      <w:rPr>
        <w:rFonts w:eastAsia="SimSun"/>
        <w:sz w:val="20"/>
        <w:lang w:eastAsia="zh-CN"/>
      </w:rPr>
      <w:t xml:space="preserve"> (C)</w:t>
    </w:r>
    <w:r>
      <w:rPr>
        <w:rFonts w:eastAsia="SimSun"/>
        <w:sz w:val="20"/>
        <w:lang w:eastAsia="zh-CN"/>
      </w:rPr>
      <w:tab/>
    </w:r>
    <w:r>
      <w:rPr>
        <w:rFonts w:eastAsia="SimSun" w:hint="eastAsia"/>
        <w:sz w:val="20"/>
        <w:lang w:eastAsia="zh-CN"/>
      </w:rPr>
      <w:t>131210</w:t>
    </w:r>
    <w:r>
      <w:rPr>
        <w:rFonts w:eastAsia="SimSun"/>
        <w:sz w:val="20"/>
        <w:lang w:eastAsia="zh-CN"/>
      </w:rPr>
      <w:tab/>
    </w:r>
    <w:r>
      <w:rPr>
        <w:rFonts w:eastAsia="SimSun" w:hint="eastAsia"/>
        <w:sz w:val="20"/>
        <w:lang w:eastAsia="zh-CN"/>
      </w:rPr>
      <w:t>161210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5C89" w:rsidRPr="00052154" w:rsidRDefault="002B5C89"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2B5C89" w:rsidRPr="00052154" w:rsidRDefault="002B5C89"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6A45" w:rsidRPr="00E15FAF" w:rsidRDefault="00DC6A45">
    <w:pPr>
      <w:pStyle w:val="Header"/>
    </w:pPr>
    <w:r w:rsidRPr="00E15FAF">
      <w:t>CCPR/C/POL/CO/6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6A45" w:rsidRPr="00E15FAF" w:rsidRDefault="00DC6A45">
    <w:pPr>
      <w:pStyle w:val="Header"/>
      <w:jc w:val="right"/>
    </w:pPr>
    <w:r w:rsidRPr="00E15FAF">
      <w:t>CCPR/C/POL/CO/6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6A45" w:rsidRDefault="00DC6A45">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1E83449A"/>
    <w:multiLevelType w:val="hybridMultilevel"/>
    <w:tmpl w:val="F1B66EF2"/>
    <w:lvl w:ilvl="0" w:tplc="FA4A7BA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F325985"/>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47BE1237"/>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4BD62247"/>
    <w:multiLevelType w:val="hybridMultilevel"/>
    <w:tmpl w:val="1164A8D8"/>
    <w:lvl w:ilvl="0" w:tplc="9D5072D0">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1">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2">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nsid w:val="69BB755C"/>
    <w:multiLevelType w:val="hybridMultilevel"/>
    <w:tmpl w:val="137E240E"/>
    <w:lvl w:ilvl="0" w:tplc="CA966D3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7E3E665E"/>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5"/>
  </w:num>
  <w:num w:numId="13">
    <w:abstractNumId w:val="16"/>
  </w:num>
  <w:num w:numId="14">
    <w:abstractNumId w:val="11"/>
  </w:num>
  <w:num w:numId="15">
    <w:abstractNumId w:val="12"/>
  </w:num>
  <w:num w:numId="16">
    <w:abstractNumId w:val="22"/>
  </w:num>
  <w:num w:numId="17">
    <w:abstractNumId w:val="11"/>
  </w:num>
  <w:num w:numId="18">
    <w:abstractNumId w:val="11"/>
  </w:num>
  <w:num w:numId="19">
    <w:abstractNumId w:val="22"/>
  </w:num>
  <w:num w:numId="20">
    <w:abstractNumId w:val="12"/>
  </w:num>
  <w:num w:numId="21">
    <w:abstractNumId w:val="12"/>
  </w:num>
  <w:num w:numId="22">
    <w:abstractNumId w:val="18"/>
  </w:num>
  <w:num w:numId="23">
    <w:abstractNumId w:val="10"/>
  </w:num>
  <w:num w:numId="24">
    <w:abstractNumId w:val="15"/>
  </w:num>
  <w:num w:numId="25">
    <w:abstractNumId w:val="21"/>
  </w:num>
  <w:num w:numId="26">
    <w:abstractNumId w:val="17"/>
  </w:num>
  <w:num w:numId="27">
    <w:abstractNumId w:val="14"/>
  </w:num>
  <w:num w:numId="28">
    <w:abstractNumId w:val="18"/>
  </w:num>
  <w:num w:numId="29">
    <w:abstractNumId w:val="10"/>
  </w:num>
  <w:num w:numId="30">
    <w:abstractNumId w:val="15"/>
  </w:num>
  <w:num w:numId="31">
    <w:abstractNumId w:val="24"/>
  </w:num>
  <w:num w:numId="32">
    <w:abstractNumId w:val="21"/>
  </w:num>
  <w:num w:numId="33">
    <w:abstractNumId w:val="17"/>
  </w:num>
  <w:num w:numId="34">
    <w:abstractNumId w:val="14"/>
  </w:num>
  <w:num w:numId="35">
    <w:abstractNumId w:val="18"/>
  </w:num>
  <w:num w:numId="36">
    <w:abstractNumId w:val="10"/>
  </w:num>
  <w:num w:numId="37">
    <w:abstractNumId w:val="15"/>
  </w:num>
  <w:num w:numId="38">
    <w:abstractNumId w:val="24"/>
  </w:num>
  <w:num w:numId="39">
    <w:abstractNumId w:val="23"/>
  </w:num>
  <w:num w:numId="40">
    <w:abstractNumId w:val="20"/>
  </w:num>
  <w:num w:numId="41">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768C3"/>
    <w:rsid w:val="00004FFF"/>
    <w:rsid w:val="000130F0"/>
    <w:rsid w:val="00051474"/>
    <w:rsid w:val="00052154"/>
    <w:rsid w:val="00056B0A"/>
    <w:rsid w:val="0008053E"/>
    <w:rsid w:val="000848DB"/>
    <w:rsid w:val="00086AFE"/>
    <w:rsid w:val="000D41E7"/>
    <w:rsid w:val="000E056E"/>
    <w:rsid w:val="000F217F"/>
    <w:rsid w:val="000F6239"/>
    <w:rsid w:val="0014292A"/>
    <w:rsid w:val="00144BFE"/>
    <w:rsid w:val="00161576"/>
    <w:rsid w:val="001909BF"/>
    <w:rsid w:val="001A7516"/>
    <w:rsid w:val="001D714A"/>
    <w:rsid w:val="001F04F8"/>
    <w:rsid w:val="002250D3"/>
    <w:rsid w:val="0023199F"/>
    <w:rsid w:val="0023313F"/>
    <w:rsid w:val="00242C16"/>
    <w:rsid w:val="002547C8"/>
    <w:rsid w:val="002918A1"/>
    <w:rsid w:val="002B5C89"/>
    <w:rsid w:val="002C2513"/>
    <w:rsid w:val="002C618C"/>
    <w:rsid w:val="002C6581"/>
    <w:rsid w:val="002D3D9F"/>
    <w:rsid w:val="002F16D0"/>
    <w:rsid w:val="0038024C"/>
    <w:rsid w:val="0038588B"/>
    <w:rsid w:val="003976FB"/>
    <w:rsid w:val="003C6A6A"/>
    <w:rsid w:val="003D1840"/>
    <w:rsid w:val="003F3E54"/>
    <w:rsid w:val="00463CF0"/>
    <w:rsid w:val="004841B8"/>
    <w:rsid w:val="00497733"/>
    <w:rsid w:val="004A27CA"/>
    <w:rsid w:val="004C7691"/>
    <w:rsid w:val="004D0D53"/>
    <w:rsid w:val="004D1555"/>
    <w:rsid w:val="004E0BB3"/>
    <w:rsid w:val="004F49CC"/>
    <w:rsid w:val="004F794C"/>
    <w:rsid w:val="005054E6"/>
    <w:rsid w:val="00520B34"/>
    <w:rsid w:val="00524A79"/>
    <w:rsid w:val="005252B4"/>
    <w:rsid w:val="00547485"/>
    <w:rsid w:val="005539DA"/>
    <w:rsid w:val="00553C07"/>
    <w:rsid w:val="005714D8"/>
    <w:rsid w:val="0058028F"/>
    <w:rsid w:val="00581F93"/>
    <w:rsid w:val="00583259"/>
    <w:rsid w:val="005848A2"/>
    <w:rsid w:val="0059200A"/>
    <w:rsid w:val="005A1158"/>
    <w:rsid w:val="005C1316"/>
    <w:rsid w:val="005C425C"/>
    <w:rsid w:val="005F24E4"/>
    <w:rsid w:val="0061164F"/>
    <w:rsid w:val="00630134"/>
    <w:rsid w:val="006425A2"/>
    <w:rsid w:val="0064450E"/>
    <w:rsid w:val="0065322F"/>
    <w:rsid w:val="00654852"/>
    <w:rsid w:val="006708D2"/>
    <w:rsid w:val="00671AA3"/>
    <w:rsid w:val="0068106B"/>
    <w:rsid w:val="006A719B"/>
    <w:rsid w:val="006B6E2A"/>
    <w:rsid w:val="006C0641"/>
    <w:rsid w:val="006D3DFA"/>
    <w:rsid w:val="006D537E"/>
    <w:rsid w:val="00721ADC"/>
    <w:rsid w:val="00725E13"/>
    <w:rsid w:val="007802C5"/>
    <w:rsid w:val="007A0F2D"/>
    <w:rsid w:val="007B5B8A"/>
    <w:rsid w:val="007E1E0A"/>
    <w:rsid w:val="007F57CE"/>
    <w:rsid w:val="0082020C"/>
    <w:rsid w:val="0083342F"/>
    <w:rsid w:val="008351FB"/>
    <w:rsid w:val="00840AD2"/>
    <w:rsid w:val="00856FB9"/>
    <w:rsid w:val="0086574C"/>
    <w:rsid w:val="00867AE0"/>
    <w:rsid w:val="008768C3"/>
    <w:rsid w:val="00877885"/>
    <w:rsid w:val="008A29C7"/>
    <w:rsid w:val="008A2C66"/>
    <w:rsid w:val="008B7C42"/>
    <w:rsid w:val="008D08D4"/>
    <w:rsid w:val="008F1659"/>
    <w:rsid w:val="008F2A5F"/>
    <w:rsid w:val="00924464"/>
    <w:rsid w:val="009330E9"/>
    <w:rsid w:val="00935148"/>
    <w:rsid w:val="009353BD"/>
    <w:rsid w:val="00964A61"/>
    <w:rsid w:val="0097303C"/>
    <w:rsid w:val="00983FE7"/>
    <w:rsid w:val="00997F66"/>
    <w:rsid w:val="009F4217"/>
    <w:rsid w:val="00A02B21"/>
    <w:rsid w:val="00A13418"/>
    <w:rsid w:val="00A22CB9"/>
    <w:rsid w:val="00A3593C"/>
    <w:rsid w:val="00A37913"/>
    <w:rsid w:val="00A50BDC"/>
    <w:rsid w:val="00A53684"/>
    <w:rsid w:val="00A956E4"/>
    <w:rsid w:val="00AB5D43"/>
    <w:rsid w:val="00AC0B2D"/>
    <w:rsid w:val="00AC56DE"/>
    <w:rsid w:val="00AE6BDB"/>
    <w:rsid w:val="00AF26E4"/>
    <w:rsid w:val="00B20434"/>
    <w:rsid w:val="00B26D69"/>
    <w:rsid w:val="00B75594"/>
    <w:rsid w:val="00B92A61"/>
    <w:rsid w:val="00BE7C39"/>
    <w:rsid w:val="00BF5662"/>
    <w:rsid w:val="00C03CB4"/>
    <w:rsid w:val="00C1716A"/>
    <w:rsid w:val="00C21A92"/>
    <w:rsid w:val="00C40431"/>
    <w:rsid w:val="00C51697"/>
    <w:rsid w:val="00C63BBD"/>
    <w:rsid w:val="00CD0C47"/>
    <w:rsid w:val="00CD2B51"/>
    <w:rsid w:val="00CD757E"/>
    <w:rsid w:val="00D012B2"/>
    <w:rsid w:val="00D01D93"/>
    <w:rsid w:val="00D06A78"/>
    <w:rsid w:val="00D129A7"/>
    <w:rsid w:val="00D159B2"/>
    <w:rsid w:val="00D15CBD"/>
    <w:rsid w:val="00D26C70"/>
    <w:rsid w:val="00D3329D"/>
    <w:rsid w:val="00D37022"/>
    <w:rsid w:val="00D563C9"/>
    <w:rsid w:val="00D6152B"/>
    <w:rsid w:val="00D7111C"/>
    <w:rsid w:val="00D73055"/>
    <w:rsid w:val="00DA1A45"/>
    <w:rsid w:val="00DC6A45"/>
    <w:rsid w:val="00DD5096"/>
    <w:rsid w:val="00E04759"/>
    <w:rsid w:val="00E15FAF"/>
    <w:rsid w:val="00E52100"/>
    <w:rsid w:val="00E9545F"/>
    <w:rsid w:val="00E9599A"/>
    <w:rsid w:val="00E97B28"/>
    <w:rsid w:val="00EA55AB"/>
    <w:rsid w:val="00EB1486"/>
    <w:rsid w:val="00EB791E"/>
    <w:rsid w:val="00EC1754"/>
    <w:rsid w:val="00ED4038"/>
    <w:rsid w:val="00F01AE0"/>
    <w:rsid w:val="00F039D0"/>
    <w:rsid w:val="00F174AF"/>
    <w:rsid w:val="00F21548"/>
    <w:rsid w:val="00F22540"/>
    <w:rsid w:val="00F3189E"/>
    <w:rsid w:val="00F32849"/>
    <w:rsid w:val="00F4532B"/>
    <w:rsid w:val="00F64F15"/>
    <w:rsid w:val="00F82225"/>
    <w:rsid w:val="00F91E32"/>
    <w:rsid w:val="00FC151B"/>
    <w:rsid w:val="00FD51D4"/>
    <w:rsid w:val="00FE1AD3"/>
    <w:rsid w:val="00FE63AD"/>
    <w:rsid w:val="00FE6EA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1659"/>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0F217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0F217F"/>
    <w:pPr>
      <w:tabs>
        <w:tab w:val="clear" w:pos="431"/>
        <w:tab w:val="right" w:pos="1021"/>
      </w:tabs>
      <w:spacing w:after="120" w:line="240" w:lineRule="exact"/>
      <w:ind w:left="1134" w:right="1134" w:hanging="1134"/>
    </w:pPr>
    <w:rPr>
      <w:sz w:val="18"/>
    </w:rPr>
  </w:style>
  <w:style w:type="character" w:styleId="FootnoteReference">
    <w:name w:val="footnote reference"/>
    <w:rsid w:val="00FE6EA5"/>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520B34"/>
    <w:pPr>
      <w:ind w:left="1565"/>
    </w:pPr>
  </w:style>
  <w:style w:type="paragraph" w:customStyle="1" w:styleId="a0">
    <w:name w:val="表中标题"/>
    <w:basedOn w:val="SingleTxtGC"/>
    <w:rsid w:val="00D563C9"/>
    <w:pPr>
      <w:spacing w:before="80" w:after="80" w:line="200" w:lineRule="exact"/>
      <w:ind w:left="0" w:right="113"/>
    </w:pPr>
    <w:rPr>
      <w:rFonts w:eastAsia="KaiTi_GB2312"/>
      <w:sz w:val="18"/>
    </w:rPr>
  </w:style>
  <w:style w:type="paragraph" w:customStyle="1" w:styleId="a1">
    <w:name w:val="目录段页次"/>
    <w:basedOn w:val="Normal"/>
    <w:rsid w:val="00FD51D4"/>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D51D4"/>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0F217F"/>
    <w:pPr>
      <w:tabs>
        <w:tab w:val="right" w:pos="1021"/>
      </w:tabs>
    </w:pPr>
  </w:style>
  <w:style w:type="character" w:styleId="EndnoteReference">
    <w:name w:val="endnote reference"/>
    <w:basedOn w:val="FootnoteReference"/>
    <w:rsid w:val="00FE6EA5"/>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8F1659"/>
    <w:pPr>
      <w:spacing w:line="240" w:lineRule="auto"/>
    </w:pPr>
    <w:rPr>
      <w:rFonts w:eastAsia="Times New Roman"/>
      <w:sz w:val="16"/>
      <w:lang w:val="en-GB" w:eastAsia="en-US"/>
    </w:rPr>
  </w:style>
  <w:style w:type="character" w:styleId="PageNumber">
    <w:name w:val="page number"/>
    <w:rsid w:val="008F1659"/>
    <w:rPr>
      <w:rFonts w:ascii="Times New Roman" w:hAnsi="Times New Roman"/>
      <w:b/>
      <w:spacing w:val="0"/>
      <w:kern w:val="0"/>
      <w:sz w:val="18"/>
    </w:rPr>
  </w:style>
  <w:style w:type="paragraph" w:styleId="Header">
    <w:name w:val="header"/>
    <w:basedOn w:val="Normal"/>
    <w:rsid w:val="008F1659"/>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8F1659"/>
    <w:pPr>
      <w:numPr>
        <w:numId w:val="18"/>
      </w:numPr>
      <w:spacing w:after="120"/>
      <w:ind w:right="1134"/>
    </w:pPr>
  </w:style>
  <w:style w:type="paragraph" w:customStyle="1" w:styleId="Bullet2GC">
    <w:name w:val="_Bullet 2_GC"/>
    <w:basedOn w:val="Normal"/>
    <w:rsid w:val="000F217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58028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8028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8028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8028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8028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8028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8A29C7"/>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37913"/>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37913"/>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a3">
    <w:name w:val="悬挂"/>
    <w:basedOn w:val="SingleTxtGC"/>
    <w:rsid w:val="007B5B8A"/>
    <w:pPr>
      <w:ind w:left="1565" w:hanging="431"/>
    </w:pPr>
  </w:style>
  <w:style w:type="paragraph" w:customStyle="1" w:styleId="a4">
    <w:name w:val="表中文字"/>
    <w:basedOn w:val="SingleTxtGC"/>
    <w:rsid w:val="00654852"/>
    <w:pPr>
      <w:spacing w:before="40" w:line="240" w:lineRule="atLeast"/>
      <w:ind w:left="0" w:right="113"/>
    </w:pPr>
    <w:rPr>
      <w:sz w:val="18"/>
    </w:rPr>
  </w:style>
  <w:style w:type="paragraph" w:customStyle="1" w:styleId="a5">
    <w:name w:val="表数文字"/>
    <w:basedOn w:val="SingleTxtGC"/>
    <w:rsid w:val="0082020C"/>
    <w:pPr>
      <w:spacing w:before="40" w:after="40" w:line="240" w:lineRule="atLeast"/>
      <w:ind w:left="0" w:right="113"/>
    </w:pPr>
    <w:rPr>
      <w:sz w:val="18"/>
    </w:rPr>
  </w:style>
  <w:style w:type="table" w:styleId="TableGrid">
    <w:name w:val="Table Grid"/>
    <w:basedOn w:val="TableNormal"/>
    <w:semiHidden/>
    <w:rsid w:val="00D15CB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link w:val="SingleTxtGC"/>
    <w:locked/>
    <w:rsid w:val="005F24E4"/>
    <w:rPr>
      <w:rFonts w:eastAsia="SimSun"/>
      <w:snapToGrid w:val="0"/>
      <w:sz w:val="21"/>
      <w:lang w:val="en-US" w:eastAsia="zh-CN" w:bidi="ar-SA"/>
    </w:rPr>
  </w:style>
  <w:style w:type="paragraph" w:styleId="BalloonText">
    <w:name w:val="Balloon Text"/>
    <w:basedOn w:val="Normal"/>
    <w:semiHidden/>
    <w:rsid w:val="0097303C"/>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4847;&#3526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CCPR-意见</Template>
  <TotalTime>3</TotalTime>
  <Pages>1</Pages>
  <Words>775</Words>
  <Characters>4424</Characters>
  <Application>Microsoft Office Word</Application>
  <DocSecurity>4</DocSecurity>
  <Lines>36</Lines>
  <Paragraphs>10</Paragraphs>
  <ScaleCrop>false</ScaleCrop>
  <Company>CSD</Company>
  <LinksUpToDate>false</LinksUpToDate>
  <CharactersWithSpaces>5189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YWX</dc:creator>
  <cp:keywords/>
  <dc:description/>
  <cp:lastModifiedBy>KONG</cp:lastModifiedBy>
  <cp:revision>3</cp:revision>
  <cp:lastPrinted>2010-12-16T08:35:00Z</cp:lastPrinted>
  <dcterms:created xsi:type="dcterms:W3CDTF">2010-12-16T08:35:00Z</dcterms:created>
  <dcterms:modified xsi:type="dcterms:W3CDTF">2010-12-16T08:38:00Z</dcterms:modified>
</cp:coreProperties>
</file>