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AB1F8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B1F8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B1F8A" w:rsidP="00AB1F8A">
            <w:pPr>
              <w:jc w:val="right"/>
            </w:pPr>
            <w:r w:rsidRPr="00AB1F8A">
              <w:rPr>
                <w:sz w:val="40"/>
              </w:rPr>
              <w:t>CERD</w:t>
            </w:r>
            <w:r>
              <w:t>/C/GEO/Q/6-8</w:t>
            </w:r>
          </w:p>
        </w:tc>
      </w:tr>
      <w:tr w:rsidR="002D5AAC" w:rsidTr="00AB1F8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A17DF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B298F27" wp14:editId="546585E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B1F8A" w:rsidP="00B778C8">
            <w:pPr>
              <w:spacing w:before="240"/>
            </w:pPr>
            <w:r>
              <w:t>Distr. general</w:t>
            </w:r>
          </w:p>
          <w:p w:rsidR="00AB1F8A" w:rsidRDefault="00AB1F8A" w:rsidP="00AB1F8A">
            <w:pPr>
              <w:spacing w:line="240" w:lineRule="exact"/>
            </w:pPr>
            <w:r>
              <w:t>4 de marzo de 2016</w:t>
            </w:r>
          </w:p>
          <w:p w:rsidR="00AB1F8A" w:rsidRDefault="00AB1F8A" w:rsidP="00AB1F8A">
            <w:pPr>
              <w:spacing w:line="240" w:lineRule="exact"/>
            </w:pPr>
            <w:r>
              <w:t>Español</w:t>
            </w:r>
          </w:p>
          <w:p w:rsidR="00AB1F8A" w:rsidRDefault="00AB1F8A" w:rsidP="00AB1F8A">
            <w:pPr>
              <w:spacing w:line="240" w:lineRule="exact"/>
            </w:pPr>
            <w:r>
              <w:t>Original: inglés</w:t>
            </w:r>
          </w:p>
          <w:p w:rsidR="009A2D88" w:rsidRDefault="009A2D88" w:rsidP="00AB1F8A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AB1F8A" w:rsidRPr="00AB1F8A" w:rsidRDefault="00AB1F8A" w:rsidP="00AB1F8A">
      <w:pPr>
        <w:spacing w:before="120"/>
        <w:rPr>
          <w:b/>
          <w:sz w:val="24"/>
          <w:szCs w:val="24"/>
          <w:lang w:val="es-ES_tradnl"/>
        </w:rPr>
      </w:pPr>
      <w:r w:rsidRPr="00AB1F8A">
        <w:rPr>
          <w:b/>
          <w:sz w:val="24"/>
          <w:szCs w:val="24"/>
          <w:lang w:val="es-ES_tradnl"/>
        </w:rPr>
        <w:t xml:space="preserve">Comité para la Eliminación de la Discriminación Racial </w:t>
      </w:r>
    </w:p>
    <w:p w:rsidR="00AB1F8A" w:rsidRPr="00AB1F8A" w:rsidRDefault="00AB1F8A" w:rsidP="00AB1F8A">
      <w:pPr>
        <w:rPr>
          <w:b/>
          <w:lang w:val="es-ES_tradnl"/>
        </w:rPr>
      </w:pPr>
      <w:r w:rsidRPr="00AB1F8A">
        <w:rPr>
          <w:b/>
          <w:lang w:val="es-ES_tradnl"/>
        </w:rPr>
        <w:t>89º período de sesiones</w:t>
      </w:r>
    </w:p>
    <w:p w:rsidR="00AB1F8A" w:rsidRPr="00AB1F8A" w:rsidRDefault="00AB1F8A" w:rsidP="00AB1F8A">
      <w:pPr>
        <w:rPr>
          <w:lang w:val="es-ES_tradnl"/>
        </w:rPr>
      </w:pPr>
      <w:r w:rsidRPr="00AB1F8A">
        <w:rPr>
          <w:lang w:val="es-ES_tradnl"/>
        </w:rPr>
        <w:t>25 de abril a 13 de mayo de 2016</w:t>
      </w:r>
    </w:p>
    <w:p w:rsidR="00AB1F8A" w:rsidRPr="00AB1F8A" w:rsidRDefault="00AB1F8A" w:rsidP="00AB1F8A">
      <w:pPr>
        <w:rPr>
          <w:lang w:val="es-ES_tradnl"/>
        </w:rPr>
      </w:pPr>
      <w:r w:rsidRPr="00AB1F8A">
        <w:rPr>
          <w:lang w:val="es-ES_tradnl"/>
        </w:rPr>
        <w:t>Tema 6 del programa provisional</w:t>
      </w:r>
    </w:p>
    <w:p w:rsidR="00AB1F8A" w:rsidRPr="00AB1F8A" w:rsidRDefault="00AB1F8A" w:rsidP="00AB1F8A">
      <w:pPr>
        <w:rPr>
          <w:b/>
          <w:bCs/>
          <w:lang w:val="es-ES_tradnl"/>
        </w:rPr>
      </w:pPr>
      <w:r w:rsidRPr="00AB1F8A">
        <w:rPr>
          <w:b/>
          <w:bCs/>
          <w:lang w:val="es-ES_tradnl"/>
        </w:rPr>
        <w:t>Examen de los informes, las observaciones y la información</w:t>
      </w:r>
      <w:r w:rsidR="00E667A7">
        <w:rPr>
          <w:b/>
          <w:bCs/>
          <w:lang w:val="es-ES_tradnl"/>
        </w:rPr>
        <w:t xml:space="preserve"> </w:t>
      </w:r>
      <w:r w:rsidRPr="00AB1F8A">
        <w:rPr>
          <w:b/>
          <w:bCs/>
          <w:lang w:val="es-ES_tradnl"/>
        </w:rPr>
        <w:t>presentados</w:t>
      </w:r>
      <w:r w:rsidR="00083FEF">
        <w:rPr>
          <w:b/>
          <w:bCs/>
          <w:lang w:val="es-ES_tradnl"/>
        </w:rPr>
        <w:br/>
      </w:r>
      <w:r w:rsidRPr="00AB1F8A">
        <w:rPr>
          <w:b/>
          <w:bCs/>
          <w:lang w:val="es-ES_tradnl"/>
        </w:rPr>
        <w:t>por los Estados partes en virtud del artículo 9 de la Convención</w:t>
      </w:r>
    </w:p>
    <w:p w:rsidR="00AB1F8A" w:rsidRPr="00AB1F8A" w:rsidRDefault="00AB1F8A" w:rsidP="00AB1F8A">
      <w:pPr>
        <w:pStyle w:val="HCh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AB1F8A">
        <w:rPr>
          <w:lang w:val="es-ES_tradnl"/>
        </w:rPr>
        <w:t>Lista de temas relativa a los informes periódicos sexto a</w:t>
      </w:r>
      <w:r w:rsidR="003563D2">
        <w:rPr>
          <w:lang w:val="es-ES_tradnl"/>
        </w:rPr>
        <w:t> </w:t>
      </w:r>
      <w:r w:rsidRPr="00AB1F8A">
        <w:rPr>
          <w:lang w:val="es-ES_tradnl"/>
        </w:rPr>
        <w:t xml:space="preserve">octavo combinados de Georgia (CERD/C/GEO/6-8) </w:t>
      </w:r>
    </w:p>
    <w:p w:rsidR="00AB1F8A" w:rsidRDefault="00AB1F8A" w:rsidP="00AB1F8A">
      <w:pPr>
        <w:pStyle w:val="H1G"/>
        <w:rPr>
          <w:lang w:val="es-ES_tradnl"/>
        </w:rPr>
      </w:pPr>
      <w:r w:rsidRPr="00AB1F8A">
        <w:rPr>
          <w:lang w:val="es-ES_tradnl"/>
        </w:rPr>
        <w:tab/>
      </w:r>
      <w:r w:rsidRPr="00AB1F8A">
        <w:rPr>
          <w:lang w:val="es-ES_tradnl"/>
        </w:rPr>
        <w:tab/>
        <w:t>Nota del Relator para el país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AB1F8A" w:rsidTr="00850215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AB1F8A" w:rsidRDefault="00AB1F8A" w:rsidP="00850215">
            <w:pPr>
              <w:spacing w:line="240" w:lineRule="auto"/>
            </w:pPr>
          </w:p>
        </w:tc>
      </w:tr>
      <w:tr w:rsidR="00AB1F8A" w:rsidTr="00850215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AB1F8A" w:rsidRDefault="00AB1F8A" w:rsidP="00850215">
            <w:pPr>
              <w:spacing w:after="120"/>
              <w:jc w:val="both"/>
            </w:pPr>
            <w:r w:rsidRPr="00AB1F8A">
              <w:rPr>
                <w:lang w:val="es-ES_tradnl"/>
              </w:rPr>
              <w:tab/>
              <w:t>El Comité para la Eliminación de la Discriminación Racial decidió en su 76º período de sesiones (A/65/18,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exhaustiva: durante el diálogo con el Estado parte podrán abordarse otros asuntos. No se requieren respuestas por escrito.</w:t>
            </w:r>
          </w:p>
        </w:tc>
      </w:tr>
      <w:tr w:rsidR="00AB1F8A" w:rsidTr="00850215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AB1F8A" w:rsidRDefault="00AB1F8A" w:rsidP="00850215">
            <w:pPr>
              <w:spacing w:line="240" w:lineRule="auto"/>
            </w:pPr>
          </w:p>
        </w:tc>
      </w:tr>
    </w:tbl>
    <w:p w:rsidR="00AB1F8A" w:rsidRPr="00AB1F8A" w:rsidRDefault="00AB1F8A" w:rsidP="00AB1F8A">
      <w:pPr>
        <w:pStyle w:val="H1G"/>
        <w:rPr>
          <w:lang w:val="es-ES_tradnl"/>
        </w:rPr>
      </w:pPr>
      <w:r w:rsidRPr="00AB1F8A">
        <w:rPr>
          <w:lang w:val="es-ES_tradnl"/>
        </w:rPr>
        <w:tab/>
        <w:t>1.</w:t>
      </w:r>
      <w:r w:rsidRPr="00AB1F8A">
        <w:rPr>
          <w:lang w:val="es-ES_tradnl"/>
        </w:rPr>
        <w:tab/>
        <w:t xml:space="preserve">Marco jurídico e institucional, políticas y programas para </w:t>
      </w:r>
      <w:r>
        <w:rPr>
          <w:lang w:val="es-ES_tradnl"/>
        </w:rPr>
        <w:br/>
      </w:r>
      <w:r w:rsidRPr="00AB1F8A">
        <w:rPr>
          <w:lang w:val="es-ES_tradnl"/>
        </w:rPr>
        <w:t>la aplicación de la Convención (arts. 1, 2, 4, 6 y 7)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a)</w:t>
      </w:r>
      <w:r w:rsidRPr="00AB1F8A">
        <w:rPr>
          <w:lang w:val="es-ES_tradnl"/>
        </w:rPr>
        <w:tab/>
        <w:t>Más información sobre la Ley de Eliminación de Todas las Formas de Discriminación de Georgia y su conformidad con el artículo 1 de la Convención, e información sobre las medidas adoptadas par</w:t>
      </w:r>
      <w:bookmarkStart w:id="0" w:name="_GoBack"/>
      <w:bookmarkEnd w:id="0"/>
      <w:r w:rsidRPr="00AB1F8A">
        <w:rPr>
          <w:lang w:val="es-ES_tradnl"/>
        </w:rPr>
        <w:t>a concienciar sobre los derechos y normas contenidos en la ley (véanse CERD/C/GEO/CO/4-5, párr. 10, y CERD/C/GEO/6-8, párrs.</w:t>
      </w:r>
      <w:r>
        <w:rPr>
          <w:lang w:val="es-ES_tradnl"/>
        </w:rPr>
        <w:t> </w:t>
      </w:r>
      <w:r w:rsidRPr="00AB1F8A">
        <w:rPr>
          <w:lang w:val="es-ES_tradnl"/>
        </w:rPr>
        <w:t>91 a 96)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b)</w:t>
      </w:r>
      <w:r w:rsidRPr="00AB1F8A">
        <w:rPr>
          <w:lang w:val="es-ES_tradnl"/>
        </w:rPr>
        <w:tab/>
        <w:t>Información sobre los tribunales del Estado parte que han invocado y aplicado las disposiciones de la Convención, e información actualizada sobre los casos de discriminación racial, incluidos la difusión de ideas basadas en la superioridad o en el odio racial, toda incitación a la discriminación racial y todo acto de violencia o toda incitación a cometer tales actos (CERD/C/GEO/CO/4-5, párr. 12, y CERD/C/GEO/6-8, párr. 103). Información sobre los casos en que la motivación racial se ha considerado una circunstancia agravante (CERD/C/GEO/6-8, párr. 197)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lastRenderedPageBreak/>
        <w:tab/>
      </w:r>
      <w:r w:rsidRPr="00AB1F8A">
        <w:rPr>
          <w:lang w:val="es-ES_tradnl"/>
        </w:rPr>
        <w:t>c)</w:t>
      </w:r>
      <w:r w:rsidRPr="00AB1F8A">
        <w:rPr>
          <w:lang w:val="es-ES_tradnl"/>
        </w:rPr>
        <w:tab/>
        <w:t>Más información sobre la prohibición de las organizaciones que promueven la discriminación racial o incitan a ella, como se exige en el artículo 4 b) de la Convención (CERD/C/GEO/CO/4-5, párr. 11, y CERD/C/GEO/6-8, párr. 102)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d)</w:t>
      </w:r>
      <w:r w:rsidRPr="00AB1F8A">
        <w:rPr>
          <w:lang w:val="es-ES_tradnl"/>
        </w:rPr>
        <w:tab/>
        <w:t>Información sobre los recursos humanos y financieros de que dispone el Defensor del Pueblo de Georgia, e información adicional sobre las denuncias recibidas por el Departamento de Igualdad de la Oficina del Defensor del Pueblo y la reparación ofrecida a las víctimas (CERD/C/GEO/6-8, párr. 96)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e)</w:t>
      </w:r>
      <w:r w:rsidRPr="00AB1F8A">
        <w:rPr>
          <w:lang w:val="es-ES_tradnl"/>
        </w:rPr>
        <w:tab/>
        <w:t>Información sobre el impacto de las sesiones de capacitación destinadas a los agentes del orden, en particular en lo que respecta a su conducta de cara a los miembros de las minorías étnicas y étnico-religiosas y la forma de afrontar los casos de discriminación racial. Información sobre el resultado de los casos de actitudes discriminatorias y uso desproporcionado de la fuerza por los agentes del orden (CERD/C/GEO/CO/4-5, párr. 13, y CERD/C/GEO/6-8, párrs. 111 a 121).</w:t>
      </w:r>
    </w:p>
    <w:p w:rsidR="00AB1F8A" w:rsidRPr="00AB1F8A" w:rsidRDefault="00AB1F8A" w:rsidP="00AB1F8A">
      <w:pPr>
        <w:pStyle w:val="H1G"/>
        <w:rPr>
          <w:lang w:val="es-ES_tradnl"/>
        </w:rPr>
      </w:pPr>
      <w:r w:rsidRPr="00AB1F8A">
        <w:rPr>
          <w:lang w:val="es-ES_tradnl"/>
        </w:rPr>
        <w:tab/>
        <w:t>2.</w:t>
      </w:r>
      <w:r w:rsidRPr="00AB1F8A">
        <w:rPr>
          <w:lang w:val="es-ES_tradnl"/>
        </w:rPr>
        <w:tab/>
        <w:t xml:space="preserve">Discriminación de las minorías nacionales o étnicas (arts. 2 a 7) 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a)</w:t>
      </w:r>
      <w:r w:rsidRPr="00AB1F8A">
        <w:rPr>
          <w:lang w:val="es-ES_tradnl"/>
        </w:rPr>
        <w:tab/>
        <w:t>Datos demográficos sobre la composición étnica de la población y su distribución geográfica, incluidos los grupos menos numerosos como los kits, los kurdos, los judíos, los griegos y los asirios (CERD/C/GEO/CO/4-5, párr. 19), e información sobre la representación de las minorías étnicas en el poder ejecutivo, el parlamento, los partidos políticos y otros entes públicos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b)</w:t>
      </w:r>
      <w:r w:rsidRPr="00AB1F8A">
        <w:rPr>
          <w:lang w:val="es-ES_tradnl"/>
        </w:rPr>
        <w:tab/>
        <w:t>Información actualizada sobre la situación de los desplazados internos (CERD/C/GEO/CO/4-5, párr. 20, y CERD/C/GEO/6-8, párrs. 152 a 165)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c)</w:t>
      </w:r>
      <w:r w:rsidRPr="00AB1F8A">
        <w:rPr>
          <w:lang w:val="es-ES_tradnl"/>
        </w:rPr>
        <w:tab/>
        <w:t>Información sobre la situación de las minorías étnico-religiosas y sobre el presunto aumento de los discursos intolerantes y los actos discriminatorios contra dichas minorías. Información sobre las medidas adoptadas para responder a esos actos, como investigaciones o enjuiciamientos, y sobre los esfuerzos realizados para promover y proteger el derecho a la libertad de religión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d)</w:t>
      </w:r>
      <w:r w:rsidRPr="00AB1F8A">
        <w:rPr>
          <w:lang w:val="es-ES_tradnl"/>
        </w:rPr>
        <w:tab/>
        <w:t>Más información sobre la situación de los romaníes, entre otras cosas sobre su representación en la vida pública, la matriculación de los niños romaníes en las escuelas y el acceso de los romaníes a atención de la salud y viviendas adecuadas, y sobre los esfuerzos realizados para combatir los prejuicios, los estereotipos y la marginación de los romaníes en la sociedad (CERD/C/GEO/CO/4-5, párr. 17, y CERD/C/GEO/6-8, párr. 142)</w:t>
      </w:r>
      <w:r w:rsidR="009A2D88">
        <w:rPr>
          <w:lang w:val="es-ES_tradnl"/>
        </w:rPr>
        <w:t>.</w:t>
      </w:r>
    </w:p>
    <w:p w:rsidR="00AB1F8A" w:rsidRPr="00AB1F8A" w:rsidRDefault="00AB1F8A" w:rsidP="00AB1F8A">
      <w:pPr>
        <w:pStyle w:val="SingleTxtG"/>
        <w:rPr>
          <w:b/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e)</w:t>
      </w:r>
      <w:r w:rsidRPr="00AB1F8A">
        <w:rPr>
          <w:lang w:val="es-ES_tradnl"/>
        </w:rPr>
        <w:tab/>
        <w:t>Más información sobre la efectividad del derecho de todos los ciudadanos a recibir educación general en su lengua materna (CERD/C/GEO/CO/4-5, párr. 15, y CERD/C/GEO/6-8, párr. 204).</w:t>
      </w:r>
    </w:p>
    <w:p w:rsidR="00AB1F8A" w:rsidRPr="00AB1F8A" w:rsidRDefault="00AB1F8A" w:rsidP="00AB1F8A">
      <w:pPr>
        <w:pStyle w:val="H1G"/>
        <w:rPr>
          <w:lang w:val="es-ES_tradnl"/>
        </w:rPr>
      </w:pPr>
      <w:r w:rsidRPr="00AB1F8A">
        <w:rPr>
          <w:lang w:val="es-ES_tradnl"/>
        </w:rPr>
        <w:tab/>
        <w:t>3.</w:t>
      </w:r>
      <w:r w:rsidRPr="00AB1F8A">
        <w:rPr>
          <w:lang w:val="es-ES_tradnl"/>
        </w:rPr>
        <w:tab/>
        <w:t xml:space="preserve">Situación de los no ciudadanos, incluidos los migrantes, </w:t>
      </w:r>
      <w:r>
        <w:rPr>
          <w:lang w:val="es-ES_tradnl"/>
        </w:rPr>
        <w:br/>
      </w:r>
      <w:r w:rsidRPr="00AB1F8A">
        <w:rPr>
          <w:lang w:val="es-ES_tradnl"/>
        </w:rPr>
        <w:t xml:space="preserve">los solicitantes de asilo, los refugiados y los apátridas </w:t>
      </w:r>
      <w:r>
        <w:rPr>
          <w:lang w:val="es-ES_tradnl"/>
        </w:rPr>
        <w:br/>
      </w:r>
      <w:r w:rsidRPr="00AB1F8A">
        <w:rPr>
          <w:lang w:val="es-ES_tradnl"/>
        </w:rPr>
        <w:t>(arts. 5 y 7)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a)</w:t>
      </w:r>
      <w:r w:rsidRPr="00AB1F8A">
        <w:rPr>
          <w:lang w:val="es-ES_tradnl"/>
        </w:rPr>
        <w:tab/>
        <w:t>Datos sobre los extranjeros y sobre su situación en el Estado parte;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b)</w:t>
      </w:r>
      <w:r w:rsidRPr="00AB1F8A">
        <w:rPr>
          <w:lang w:val="es-ES_tradnl"/>
        </w:rPr>
        <w:tab/>
        <w:t>Información sobre la situación de los migrantes, los solicitantes de asilo y los refugiados, sobre todo en lo que respecta a su acceso a la educación, la vivienda, los servicios de salud y el empleo (CERD/C/GEO/CO/4-5, párr. 22, y CERD/C/GEO/6-8, párrs. 178 a 184);</w:t>
      </w:r>
    </w:p>
    <w:p w:rsidR="00AB1F8A" w:rsidRPr="00AB1F8A" w:rsidRDefault="00AB1F8A" w:rsidP="00AB1F8A">
      <w:pPr>
        <w:pStyle w:val="SingleTxtG"/>
        <w:keepNext/>
        <w:keepLines/>
        <w:rPr>
          <w:lang w:val="es-ES_tradnl"/>
        </w:rPr>
      </w:pPr>
      <w:r>
        <w:rPr>
          <w:lang w:val="es-ES_tradnl"/>
        </w:rPr>
        <w:lastRenderedPageBreak/>
        <w:tab/>
      </w:r>
      <w:r w:rsidRPr="00AB1F8A">
        <w:rPr>
          <w:lang w:val="es-ES_tradnl"/>
        </w:rPr>
        <w:t>c)</w:t>
      </w:r>
      <w:r w:rsidRPr="00AB1F8A">
        <w:rPr>
          <w:lang w:val="es-ES_tradnl"/>
        </w:rPr>
        <w:tab/>
        <w:t>Más información sobre la situación de los apátridas y sobre las medidas adoptadas para facilitar su acceso a asistencia y representación jurídica gratuita para obtener la ciudadanía (CERD/C/GEO/CO/4-5, párr. 21, y CERD/C/GEO/6-8, párrs. 166 a</w:t>
      </w:r>
      <w:r w:rsidR="003563D2">
        <w:rPr>
          <w:lang w:val="es-ES_tradnl"/>
        </w:rPr>
        <w:t> </w:t>
      </w:r>
      <w:r w:rsidRPr="00AB1F8A">
        <w:rPr>
          <w:lang w:val="es-ES_tradnl"/>
        </w:rPr>
        <w:t>171);</w:t>
      </w:r>
    </w:p>
    <w:p w:rsidR="00AB1F8A" w:rsidRPr="00AB1F8A" w:rsidRDefault="00AB1F8A" w:rsidP="00AB1F8A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AB1F8A">
        <w:rPr>
          <w:lang w:val="es-ES_tradnl"/>
        </w:rPr>
        <w:t>d)</w:t>
      </w:r>
      <w:r w:rsidRPr="00AB1F8A">
        <w:rPr>
          <w:lang w:val="es-ES_tradnl"/>
        </w:rPr>
        <w:tab/>
        <w:t>Información actualizada sobre la situación de las personas deportadas por la Unión de Repúblicas Socialistas Soviéticas</w:t>
      </w:r>
      <w:r w:rsidRPr="00AB1F8A">
        <w:t xml:space="preserve"> </w:t>
      </w:r>
      <w:r w:rsidRPr="00AB1F8A">
        <w:rPr>
          <w:lang w:val="es-ES_tradnl"/>
        </w:rPr>
        <w:t>en 1944, incluido el número de personas que aún no han obtenido la ciudadanía, y sobre las indemnizaciones que hayan podido concederse a esas personas por la pérdida de sus propiedades (CERD/C/GEO/CO/4-5, párr.</w:t>
      </w:r>
      <w:r w:rsidR="003563D2">
        <w:rPr>
          <w:lang w:val="es-ES_tradnl"/>
        </w:rPr>
        <w:t> </w:t>
      </w:r>
      <w:r w:rsidRPr="00AB1F8A">
        <w:rPr>
          <w:lang w:val="es-ES_tradnl"/>
        </w:rPr>
        <w:t>18, y CERD/C/GEO/6-8, párrs. 143 a 151).</w:t>
      </w:r>
    </w:p>
    <w:p w:rsidR="00381C24" w:rsidRPr="00AB1F8A" w:rsidRDefault="00AB1F8A" w:rsidP="00AB1F8A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B1F8A" w:rsidSect="00AB1F8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B9D" w:rsidRPr="00D43FF0" w:rsidRDefault="00F54B9D" w:rsidP="00D43FF0">
      <w:pPr>
        <w:pStyle w:val="Piedepgina"/>
      </w:pPr>
    </w:p>
  </w:endnote>
  <w:endnote w:type="continuationSeparator" w:id="0">
    <w:p w:rsidR="00F54B9D" w:rsidRPr="00D43FF0" w:rsidRDefault="00F54B9D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8A" w:rsidRPr="00AB1F8A" w:rsidRDefault="00AB1F8A" w:rsidP="00AB1F8A">
    <w:pPr>
      <w:pStyle w:val="Piedepgina"/>
      <w:tabs>
        <w:tab w:val="right" w:pos="9638"/>
      </w:tabs>
    </w:pPr>
    <w:r w:rsidRPr="00AB1F8A">
      <w:rPr>
        <w:b/>
        <w:sz w:val="18"/>
      </w:rPr>
      <w:fldChar w:fldCharType="begin"/>
    </w:r>
    <w:r w:rsidRPr="00AB1F8A">
      <w:rPr>
        <w:b/>
        <w:sz w:val="18"/>
      </w:rPr>
      <w:instrText xml:space="preserve"> PAGE  \* MERGEFORMAT </w:instrText>
    </w:r>
    <w:r w:rsidRPr="00AB1F8A">
      <w:rPr>
        <w:b/>
        <w:sz w:val="18"/>
      </w:rPr>
      <w:fldChar w:fldCharType="separate"/>
    </w:r>
    <w:r w:rsidR="00083FEF">
      <w:rPr>
        <w:b/>
        <w:noProof/>
        <w:sz w:val="18"/>
      </w:rPr>
      <w:t>2</w:t>
    </w:r>
    <w:r w:rsidRPr="00AB1F8A">
      <w:rPr>
        <w:b/>
        <w:sz w:val="18"/>
      </w:rPr>
      <w:fldChar w:fldCharType="end"/>
    </w:r>
    <w:r>
      <w:rPr>
        <w:b/>
        <w:sz w:val="18"/>
      </w:rPr>
      <w:tab/>
    </w:r>
    <w:r>
      <w:t>GE.16-03507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8A" w:rsidRPr="00AB1F8A" w:rsidRDefault="00AB1F8A" w:rsidP="00AB1F8A">
    <w:pPr>
      <w:pStyle w:val="Piedepgina"/>
      <w:tabs>
        <w:tab w:val="right" w:pos="9638"/>
      </w:tabs>
      <w:rPr>
        <w:b/>
        <w:sz w:val="18"/>
      </w:rPr>
    </w:pPr>
    <w:r>
      <w:t>GE.16-03507</w:t>
    </w:r>
    <w:r>
      <w:tab/>
    </w:r>
    <w:r w:rsidRPr="00AB1F8A">
      <w:rPr>
        <w:b/>
        <w:sz w:val="18"/>
      </w:rPr>
      <w:fldChar w:fldCharType="begin"/>
    </w:r>
    <w:r w:rsidRPr="00AB1F8A">
      <w:rPr>
        <w:b/>
        <w:sz w:val="18"/>
      </w:rPr>
      <w:instrText xml:space="preserve"> PAGE  \* MERGEFORMAT </w:instrText>
    </w:r>
    <w:r w:rsidRPr="00AB1F8A">
      <w:rPr>
        <w:b/>
        <w:sz w:val="18"/>
      </w:rPr>
      <w:fldChar w:fldCharType="separate"/>
    </w:r>
    <w:r w:rsidR="00083FEF">
      <w:rPr>
        <w:b/>
        <w:noProof/>
        <w:sz w:val="18"/>
      </w:rPr>
      <w:t>3</w:t>
    </w:r>
    <w:r w:rsidRPr="00AB1F8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A" w:rsidRPr="00AB1F8A" w:rsidRDefault="00AB1F8A" w:rsidP="00AB1F8A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0F7D44EC" wp14:editId="53C9CBF4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16-03507  (S)    140316    220316</w:t>
    </w:r>
    <w:r>
      <w:rPr>
        <w:sz w:val="20"/>
      </w:rPr>
      <w:br/>
    </w:r>
    <w:r w:rsidRPr="00AB1F8A">
      <w:rPr>
        <w:rFonts w:ascii="C39T30Lfz" w:hAnsi="C39T30Lfz"/>
        <w:sz w:val="56"/>
      </w:rPr>
      <w:t></w:t>
    </w:r>
    <w:r w:rsidRPr="00AB1F8A">
      <w:rPr>
        <w:rFonts w:ascii="C39T30Lfz" w:hAnsi="C39T30Lfz"/>
        <w:sz w:val="56"/>
      </w:rPr>
      <w:t></w:t>
    </w:r>
    <w:r w:rsidRPr="00AB1F8A">
      <w:rPr>
        <w:rFonts w:ascii="C39T30Lfz" w:hAnsi="C39T30Lfz"/>
        <w:sz w:val="56"/>
      </w:rPr>
      <w:t></w:t>
    </w:r>
    <w:r w:rsidRPr="00AB1F8A">
      <w:rPr>
        <w:rFonts w:ascii="C39T30Lfz" w:hAnsi="C39T30Lfz"/>
        <w:sz w:val="56"/>
      </w:rPr>
      <w:t></w:t>
    </w:r>
    <w:r w:rsidRPr="00AB1F8A">
      <w:rPr>
        <w:rFonts w:ascii="C39T30Lfz" w:hAnsi="C39T30Lfz"/>
        <w:sz w:val="56"/>
      </w:rPr>
      <w:t></w:t>
    </w:r>
    <w:r w:rsidRPr="00AB1F8A">
      <w:rPr>
        <w:rFonts w:ascii="C39T30Lfz" w:hAnsi="C39T30Lfz"/>
        <w:sz w:val="56"/>
      </w:rPr>
      <w:t></w:t>
    </w:r>
    <w:r w:rsidRPr="00AB1F8A">
      <w:rPr>
        <w:rFonts w:ascii="C39T30Lfz" w:hAnsi="C39T30Lfz"/>
        <w:sz w:val="56"/>
      </w:rPr>
      <w:t></w:t>
    </w:r>
    <w:r w:rsidRPr="00AB1F8A">
      <w:rPr>
        <w:rFonts w:ascii="C39T30Lfz" w:hAnsi="C39T30Lfz"/>
        <w:sz w:val="56"/>
      </w:rPr>
      <w:t></w:t>
    </w:r>
    <w:r w:rsidRPr="00AB1F8A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CERD/C/GEO/Q/6-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ERD/C/GEO/Q/6-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B9D" w:rsidRPr="001075E9" w:rsidRDefault="00F54B9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54B9D" w:rsidRDefault="00F54B9D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8A" w:rsidRPr="00AB1F8A" w:rsidRDefault="00AB1F8A">
    <w:pPr>
      <w:pStyle w:val="Encabezado"/>
    </w:pPr>
    <w:r>
      <w:t>CERD/C/GEO/Q/6-8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F8A" w:rsidRPr="00AB1F8A" w:rsidRDefault="00AB1F8A" w:rsidP="00AB1F8A">
    <w:pPr>
      <w:pStyle w:val="Encabezado"/>
      <w:jc w:val="right"/>
    </w:pPr>
    <w:r>
      <w:t>CERD/C/GEO/Q/6-8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9D"/>
    <w:rsid w:val="00006BB9"/>
    <w:rsid w:val="000107A1"/>
    <w:rsid w:val="0002339D"/>
    <w:rsid w:val="00036733"/>
    <w:rsid w:val="00083FEF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563D2"/>
    <w:rsid w:val="00380A6A"/>
    <w:rsid w:val="00381C24"/>
    <w:rsid w:val="003958D0"/>
    <w:rsid w:val="004031F0"/>
    <w:rsid w:val="00454E07"/>
    <w:rsid w:val="00471CB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131E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A2D88"/>
    <w:rsid w:val="00A17DFD"/>
    <w:rsid w:val="00A414EF"/>
    <w:rsid w:val="00A4674B"/>
    <w:rsid w:val="00A917B3"/>
    <w:rsid w:val="00AB1F8A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667A7"/>
    <w:rsid w:val="00E73F76"/>
    <w:rsid w:val="00EA31D8"/>
    <w:rsid w:val="00EA5579"/>
    <w:rsid w:val="00EF1360"/>
    <w:rsid w:val="00EF3220"/>
    <w:rsid w:val="00EF7198"/>
    <w:rsid w:val="00F41883"/>
    <w:rsid w:val="00F45524"/>
    <w:rsid w:val="00F54B9D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annotation reference" w:semiHidden="1"/>
    <w:lsdException w:name="table of authorities" w:semiHidden="1"/>
    <w:lsdException w:name="macro" w:semiHidden="1"/>
    <w:lsdException w:name="toa heading" w:semiHidden="1"/>
    <w:lsdException w:name="Document Map" w:semiHidden="1"/>
    <w:lsdException w:name="annotation subject" w:semiHidden="1"/>
    <w:lsdException w:name="Balloon Text" w:semiHidden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921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CERD/C/GEO/Q/6-8</vt:lpstr>
    </vt:vector>
  </TitlesOfParts>
  <Company/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CERD/C/GEO/Q/6-8</dc:title>
  <dc:subject/>
  <dc:creator>Urquizu</dc:creator>
  <cp:keywords/>
  <dc:description/>
  <cp:lastModifiedBy>Maruchi Zeballos</cp:lastModifiedBy>
  <cp:revision>2</cp:revision>
  <cp:lastPrinted>2016-03-22T14:34:00Z</cp:lastPrinted>
  <dcterms:created xsi:type="dcterms:W3CDTF">2016-03-22T15:28:00Z</dcterms:created>
  <dcterms:modified xsi:type="dcterms:W3CDTF">2016-03-22T15:28:00Z</dcterms:modified>
</cp:coreProperties>
</file>