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9037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93"/>
        <w:rPr>
          <w:lang w:val="es-ES_tradnl"/>
        </w:rPr>
      </w:pPr>
      <w:r>
        <w:rPr>
          <w:lang w:val="es-ES_tradnl"/>
        </w:rPr>
        <w:t>Distr.</w:t>
      </w:r>
      <w:r>
        <w:rPr>
          <w:lang w:val="es-ES_tradnl"/>
        </w:rPr>
        <w:br/>
        <w:t>GENERAL</w:t>
      </w:r>
    </w:p>
    <w:p w:rsidR="00000000" w:rsidRDefault="00000000">
      <w:pPr>
        <w:spacing w:after="240"/>
        <w:ind w:left="7293"/>
        <w:rPr>
          <w:lang w:val="es-ES_tradnl"/>
        </w:rPr>
      </w:pPr>
      <w:r>
        <w:rPr>
          <w:lang w:val="es-ES_tradnl"/>
        </w:rPr>
        <w:t>CRC/C/15/Add.187</w:t>
      </w:r>
      <w:r>
        <w:rPr>
          <w:lang w:val="es-ES_tradnl"/>
        </w:rPr>
        <w:br/>
        <w:t>9 de octubre de 2002</w:t>
      </w:r>
    </w:p>
    <w:p w:rsidR="00000000" w:rsidRDefault="00000000">
      <w:pPr>
        <w:ind w:left="7292"/>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r>
        <w:rPr>
          <w:lang w:val="es-ES_tradnl"/>
        </w:rPr>
        <w:br/>
        <w:t>31º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480"/>
        <w:jc w:val="center"/>
        <w:rPr>
          <w:b/>
          <w:bCs/>
          <w:lang w:val="es-ES_tradnl"/>
        </w:rPr>
      </w:pPr>
      <w:r>
        <w:rPr>
          <w:b/>
          <w:bCs/>
          <w:lang w:val="es-ES_tradnl"/>
        </w:rPr>
        <w:t xml:space="preserve">EXAMEN DE LOS INFORMES PRESENTADOS POR LOS ESTADOS </w:t>
      </w:r>
      <w:r>
        <w:rPr>
          <w:b/>
          <w:bCs/>
          <w:lang w:val="es-ES_tradnl"/>
        </w:rPr>
        <w:br/>
        <w:t>PARTES EN VIRTUD DEL ARTICULO 44 DE LA CONVENCIÓN</w:t>
      </w:r>
    </w:p>
    <w:p w:rsidR="00000000" w:rsidRDefault="00000000">
      <w:pPr>
        <w:spacing w:after="240"/>
        <w:jc w:val="center"/>
        <w:rPr>
          <w:lang w:val="es-ES_tradnl"/>
        </w:rPr>
      </w:pPr>
      <w:r>
        <w:rPr>
          <w:b/>
          <w:bCs/>
          <w:lang w:val="es-ES_tradnl"/>
        </w:rPr>
        <w:t>OBSERVACIONES FINALES:  ARGENTINA</w:t>
      </w:r>
    </w:p>
    <w:p w:rsidR="00000000" w:rsidRDefault="00000000">
      <w:pPr>
        <w:spacing w:after="240"/>
        <w:rPr>
          <w:lang w:val="es-ES_tradnl"/>
        </w:rPr>
      </w:pPr>
      <w:r>
        <w:rPr>
          <w:lang w:val="es-ES_tradnl"/>
        </w:rPr>
        <w:t>1.</w:t>
      </w:r>
      <w:r>
        <w:rPr>
          <w:lang w:val="es-ES_tradnl"/>
        </w:rPr>
        <w:tab/>
        <w:t>El Comité examinó el segundo informe periódico de la Argentina (CRC/C/70/Add.10), presentado el 12 de agosto de 1999, en sus sesiones 807ª y 808ª (CRC/C/SR.807 y 808), celebradas el 17 de septiembre de 2002, y en su 833ª sesión (CRC/C/SR.833), celebrada el 4 de octubre de 2002, aprobó las observaciones finales que figuran a continuación.</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 aunque lamenta que no siga las directrices para la presentación de informes.  Lamenta también que las respuestas escritas a su lista de cuestiones (CRC/C/Q/ARG/2) se hayan presentado con retraso y de manera incompleta.  No obstante, el Comité ve con agrado que el Estado Parte haya enviado una delegación de alto nivel y bien informada, que se haya podido mantener un diálogo franco y que haya habido reacciones positivas a las sugerencias y recomendaciones formuladas durante el examen.</w:t>
      </w:r>
    </w:p>
    <w:p w:rsidR="00000000" w:rsidRDefault="00000000">
      <w:pPr>
        <w:spacing w:after="240"/>
        <w:ind w:left="284" w:hanging="284"/>
        <w:jc w:val="center"/>
        <w:rPr>
          <w:lang w:val="es-ES_tradnl"/>
        </w:rPr>
      </w:pPr>
      <w:r>
        <w:rPr>
          <w:b/>
          <w:bCs/>
          <w:lang w:val="es-ES_tradnl"/>
        </w:rPr>
        <w:t xml:space="preserve">B.  Medidas de seguimiento adoptadas y progresos </w:t>
      </w:r>
      <w:r>
        <w:rPr>
          <w:b/>
          <w:bCs/>
          <w:lang w:val="es-ES_tradnl"/>
        </w:rPr>
        <w:br/>
        <w:t>realizados por el Estado Parte</w:t>
      </w:r>
    </w:p>
    <w:p w:rsidR="00000000" w:rsidRDefault="00000000">
      <w:pPr>
        <w:rPr>
          <w:lang w:val="es-ES_tradnl"/>
        </w:rPr>
      </w:pPr>
      <w:r>
        <w:rPr>
          <w:lang w:val="es-ES_tradnl"/>
        </w:rPr>
        <w:t>3.</w:t>
      </w:r>
      <w:r>
        <w:rPr>
          <w:lang w:val="es-ES_tradnl"/>
        </w:rPr>
        <w:tab/>
        <w:t>El Comité observa con satisfacción que en algunas provincias, como Mendoza o Chubut, y en la Ciudad de Buenos Aires, la legislación del Estado Parte relativa al niño se ajusta a las disposiciones y los principios de la Convención.</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GE.02-45428  (S)    151102    181102</w:t>
      </w:r>
    </w:p>
    <w:p w:rsidR="00000000" w:rsidRDefault="00000000">
      <w:pPr>
        <w:spacing w:after="240"/>
        <w:rPr>
          <w:lang w:val="es-ES_tradnl"/>
        </w:rPr>
      </w:pPr>
      <w:r>
        <w:rPr>
          <w:lang w:val="es-ES_tradnl"/>
        </w:rPr>
        <w:t>4.</w:t>
      </w:r>
      <w:r>
        <w:rPr>
          <w:lang w:val="es-ES_tradnl"/>
        </w:rPr>
        <w:tab/>
        <w:t>El Comité celebra que se haya aprobado la Ley Nº 24.417 de protección contra la violencia familiar.</w:t>
      </w:r>
    </w:p>
    <w:p w:rsidR="00000000" w:rsidRDefault="00000000">
      <w:pPr>
        <w:spacing w:after="240"/>
        <w:rPr>
          <w:lang w:val="es-ES_tradnl"/>
        </w:rPr>
      </w:pPr>
      <w:r>
        <w:rPr>
          <w:lang w:val="es-ES_tradnl"/>
        </w:rPr>
        <w:t>5.</w:t>
      </w:r>
      <w:r>
        <w:rPr>
          <w:lang w:val="es-ES_tradnl"/>
        </w:rPr>
        <w:tab/>
        <w:t>El Comité toma nota de la reciente creación del Consejo Nacional del Menor y la Familia y de la creación de la Oficina de Asistencia Integral a la Víctima del Delito, tal como recomendaba en las anteriores observaciones finales (CRC/C/15/Add.35, párrafo 20).</w:t>
      </w:r>
    </w:p>
    <w:p w:rsidR="00000000" w:rsidRDefault="00000000">
      <w:pPr>
        <w:spacing w:after="240"/>
        <w:rPr>
          <w:lang w:val="es-ES_tradnl"/>
        </w:rPr>
      </w:pPr>
      <w:r>
        <w:rPr>
          <w:lang w:val="es-ES_tradnl"/>
        </w:rPr>
        <w:t>6</w:t>
      </w:r>
      <w:r>
        <w:rPr>
          <w:lang w:val="es-ES_tradnl"/>
        </w:rPr>
        <w:tab/>
        <w:t>El Comité observa con agrado el mejoramiento de la cooperación entre el Estado Parte y las organizaciones no gubernamentales que se ocupan de las cuestiones relacionadas con los derechos del niño.</w:t>
      </w:r>
    </w:p>
    <w:p w:rsidR="00000000" w:rsidRDefault="00000000">
      <w:pPr>
        <w:spacing w:after="240"/>
        <w:rPr>
          <w:lang w:val="es-ES_tradnl"/>
        </w:rPr>
      </w:pPr>
      <w:r>
        <w:rPr>
          <w:lang w:val="es-ES_tradnl"/>
        </w:rPr>
        <w:t>7.</w:t>
      </w:r>
      <w:r>
        <w:rPr>
          <w:lang w:val="es-ES_tradnl"/>
        </w:rPr>
        <w:tab/>
        <w:t>El Comité celebra que se haya firmado un memorando de entendimiento con el Programa Internacional para la Erradicación del Trabajo Infantil (IPEC) y se haya creado, en el año 2000, la Comisión Nacional para la Erradicación del Trabajo Infantil.</w:t>
      </w:r>
    </w:p>
    <w:p w:rsidR="00000000" w:rsidRDefault="00000000">
      <w:pPr>
        <w:spacing w:after="240"/>
        <w:rPr>
          <w:lang w:val="es-ES_tradnl"/>
        </w:rPr>
      </w:pPr>
      <w:r>
        <w:rPr>
          <w:lang w:val="es-ES_tradnl"/>
        </w:rPr>
        <w:t>8.</w:t>
      </w:r>
      <w:r>
        <w:rPr>
          <w:lang w:val="es-ES_tradnl"/>
        </w:rPr>
        <w:tab/>
        <w:t>El Comité toma nota con satisfacción de la adopción de un plan nacional de acción contra la explotación sexual comercial de niños.</w:t>
      </w:r>
    </w:p>
    <w:p w:rsidR="00000000" w:rsidRDefault="00000000">
      <w:pPr>
        <w:spacing w:after="240"/>
        <w:rPr>
          <w:lang w:val="es-ES_tradnl"/>
        </w:rPr>
      </w:pPr>
      <w:r>
        <w:rPr>
          <w:lang w:val="es-ES_tradnl"/>
        </w:rPr>
        <w:t>9.</w:t>
      </w:r>
      <w:r>
        <w:rPr>
          <w:lang w:val="es-ES_tradnl"/>
        </w:rPr>
        <w:tab/>
        <w:t>El Comité celebra que el Estado Parte haya ratificado el Protocolo Facultativo de la Convención sobre los Derechos del Niño relativo a la participación de niños en los conflictos armados.</w:t>
      </w:r>
    </w:p>
    <w:p w:rsidR="00000000" w:rsidRDefault="00000000">
      <w:pPr>
        <w:spacing w:after="240"/>
        <w:jc w:val="center"/>
        <w:rPr>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10.</w:t>
      </w:r>
      <w:r>
        <w:rPr>
          <w:lang w:val="es-ES_tradnl"/>
        </w:rPr>
        <w:tab/>
        <w:t>El Comité reconoce que el Estado Parte se enfrenta a muchas dificultades para aplicar la Convención, en particular debido a la crisis económica, política y social que afecta al país, y que la pobreza creciente obstaculiza la puesta en práctica y el disfrute plenos de los derechos enunciados en la Convención.</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lang w:val="es-ES_tradnl"/>
        </w:rPr>
      </w:pPr>
      <w:r>
        <w:rPr>
          <w:b/>
          <w:bCs/>
          <w:lang w:val="es-ES_tradnl"/>
        </w:rPr>
        <w:t>1.</w:t>
      </w:r>
      <w:r>
        <w:rPr>
          <w:b/>
          <w:bCs/>
          <w:lang w:val="es-ES_tradnl"/>
        </w:rPr>
        <w:tab/>
        <w:t>Medidas generales de aplicación</w:t>
      </w:r>
    </w:p>
    <w:p w:rsidR="00000000" w:rsidRDefault="00000000">
      <w:pPr>
        <w:spacing w:after="240"/>
        <w:ind w:firstLine="567"/>
        <w:rPr>
          <w:lang w:val="es-ES_tradnl"/>
        </w:rPr>
      </w:pPr>
      <w:r>
        <w:rPr>
          <w:b/>
          <w:bCs/>
          <w:lang w:val="es-ES_tradnl"/>
        </w:rPr>
        <w:t>Recomendaciones anteriores del Comité</w:t>
      </w:r>
    </w:p>
    <w:p w:rsidR="00000000" w:rsidRDefault="00000000">
      <w:pPr>
        <w:spacing w:after="240"/>
        <w:rPr>
          <w:lang w:val="es-ES_tradnl"/>
        </w:rPr>
      </w:pPr>
      <w:r>
        <w:rPr>
          <w:lang w:val="es-ES_tradnl"/>
        </w:rPr>
        <w:t>11.</w:t>
      </w:r>
      <w:r>
        <w:rPr>
          <w:lang w:val="es-ES_tradnl"/>
        </w:rPr>
        <w:tab/>
        <w:t>El Comité lamenta que la mayoría de los motivos de preocupación y recomendaciones (ibíd.) formulados al examinar el informe inicial del Estado Parte (CRC/C/8/Add.2 y 17) no se hayan tratado suficientemente, especialmente los que figuraban en los párrafos 14 (reservas), 15 (coordinación) y 16 (revisión de las medidas presupuestarias).  El Comité señala que esos motivos de preocupación y recomendaciones se reiteran en el presente documento.</w:t>
      </w:r>
    </w:p>
    <w:p w:rsidR="00000000" w:rsidRDefault="00000000">
      <w:pPr>
        <w:spacing w:after="240"/>
        <w:rPr>
          <w:lang w:val="es-ES_tradnl"/>
        </w:rPr>
      </w:pPr>
      <w:r>
        <w:rPr>
          <w:lang w:val="es-ES_tradnl"/>
        </w:rPr>
        <w:t>12.</w:t>
      </w:r>
      <w:r>
        <w:rPr>
          <w:lang w:val="es-ES_tradnl"/>
        </w:rPr>
        <w:tab/>
      </w:r>
      <w:r>
        <w:rPr>
          <w:b/>
          <w:bCs/>
          <w:lang w:val="es-ES_tradnl"/>
        </w:rPr>
        <w:t>El Comité insta al Estado Parte a que realice todos los esfuerzos necesarios para poner en práctica las recomendaciones formuladas en las observaciones finales sobre el informe inicial que todavía no se hayan aplicado y que se ocupe de la lista de motivos de preocupación que figuran en las presentes observaciones finales</w:t>
      </w:r>
      <w:r>
        <w:rPr>
          <w:b/>
          <w:bCs/>
          <w:i/>
          <w:iCs/>
          <w:lang w:val="es-ES_tradnl"/>
        </w:rPr>
        <w:t>.</w:t>
      </w:r>
    </w:p>
    <w:p w:rsidR="00000000" w:rsidRDefault="00000000">
      <w:pPr>
        <w:keepNext/>
        <w:spacing w:after="240"/>
        <w:ind w:firstLine="567"/>
        <w:rPr>
          <w:b/>
          <w:bCs/>
          <w:lang w:val="es-ES_tradnl"/>
        </w:rPr>
      </w:pPr>
      <w:r>
        <w:rPr>
          <w:b/>
          <w:bCs/>
          <w:lang w:val="es-ES_tradnl"/>
        </w:rPr>
        <w:t>Reservas</w:t>
      </w:r>
    </w:p>
    <w:p w:rsidR="00000000" w:rsidRDefault="00000000">
      <w:pPr>
        <w:keepNext/>
        <w:spacing w:after="240"/>
        <w:rPr>
          <w:lang w:val="es-ES_tradnl"/>
        </w:rPr>
      </w:pPr>
      <w:r>
        <w:rPr>
          <w:lang w:val="es-ES_tradnl"/>
        </w:rPr>
        <w:t>13.</w:t>
      </w:r>
      <w:r>
        <w:rPr>
          <w:lang w:val="es-ES_tradnl"/>
        </w:rPr>
        <w:tab/>
        <w:t>El Comité reitera su preocupación acerca de las reservas (ibíd., párr. 8) a los apartados b), c), d) y e) del artículo 21, formuladas por el Gobierno de la Argentina al ratificar la Convención.</w:t>
      </w:r>
    </w:p>
    <w:p w:rsidR="00000000" w:rsidRDefault="00000000">
      <w:pPr>
        <w:spacing w:after="240"/>
        <w:rPr>
          <w:b/>
          <w:bCs/>
          <w:lang w:val="es-ES_tradnl"/>
        </w:rPr>
      </w:pPr>
      <w:r>
        <w:rPr>
          <w:lang w:val="es-ES_tradnl"/>
        </w:rPr>
        <w:t>14.</w:t>
      </w:r>
      <w:r>
        <w:rPr>
          <w:lang w:val="es-ES_tradnl"/>
        </w:rPr>
        <w:tab/>
      </w:r>
      <w:r>
        <w:rPr>
          <w:b/>
          <w:bCs/>
          <w:lang w:val="es-ES_tradnl"/>
        </w:rPr>
        <w:t>El Comité reitera su recomendación (ibíd., párr. 14) de que el Estado Parte considere la posibilidad de revisar las reservas que formuló al ratificar la Convención, con miras a retirarlas.</w:t>
      </w:r>
    </w:p>
    <w:p w:rsidR="00000000" w:rsidRDefault="00000000">
      <w:pPr>
        <w:spacing w:after="240"/>
        <w:ind w:firstLine="567"/>
        <w:rPr>
          <w:b/>
          <w:bCs/>
          <w:lang w:val="es-ES_tradnl"/>
        </w:rPr>
      </w:pPr>
      <w:r>
        <w:rPr>
          <w:b/>
          <w:bCs/>
          <w:lang w:val="es-ES_tradnl"/>
        </w:rPr>
        <w:t>Legislación</w:t>
      </w:r>
    </w:p>
    <w:p w:rsidR="00000000" w:rsidRDefault="00000000">
      <w:pPr>
        <w:spacing w:after="240"/>
        <w:rPr>
          <w:lang w:val="es-ES_tradnl"/>
        </w:rPr>
      </w:pPr>
      <w:r>
        <w:rPr>
          <w:lang w:val="es-ES_tradnl"/>
        </w:rPr>
        <w:t>15.</w:t>
      </w:r>
      <w:r>
        <w:rPr>
          <w:lang w:val="es-ES_tradnl"/>
        </w:rPr>
        <w:tab/>
        <w:t>Al Comité le preocupa que la ley vigente relativa al niño, a saber, la Ley Nº 10.903 (Ley de patronato), se remonte a 1919 y se base en la doctrina de la "situación irregular", en virtud de la cual los niños son objeto de protección judicial.  Aunque en noviembre de 2001 la Cámara de Diputados aprobó un proyecto de ley sobre la protección integral de los derechos del niño y el adolescente, ese proyecto no se ha aprobado todavía (sólo tiene media sanción), de manera que no existe ninguna ley nacional vigente en que se considere que el niño es sujeto de derechos.  Además, el Comité observa que, con frecuencia, la legislación provincial no se ajusta a las disposiciones y los principios de la Convención.</w:t>
      </w:r>
    </w:p>
    <w:p w:rsidR="00000000" w:rsidRDefault="00000000">
      <w:pPr>
        <w:spacing w:after="240"/>
        <w:rPr>
          <w:b/>
          <w:bCs/>
          <w:lang w:val="es-ES_tradnl"/>
        </w:rPr>
      </w:pPr>
      <w:r>
        <w:rPr>
          <w:lang w:val="es-ES_tradnl"/>
        </w:rPr>
        <w:t>16.</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Tome todas las medidas necesarias para que el Congreso apruebe sin tardanza el proyecto de ley de protección integral de los derechos del niño y el adolescente;</w:t>
      </w:r>
    </w:p>
    <w:p w:rsidR="00000000" w:rsidRDefault="00000000">
      <w:pPr>
        <w:spacing w:after="240"/>
        <w:ind w:left="1134" w:hanging="567"/>
        <w:rPr>
          <w:b/>
          <w:bCs/>
          <w:lang w:val="es-ES_tradnl"/>
        </w:rPr>
      </w:pPr>
      <w:r>
        <w:rPr>
          <w:b/>
          <w:bCs/>
          <w:lang w:val="es-ES_tradnl"/>
        </w:rPr>
        <w:t>b)</w:t>
      </w:r>
      <w:r>
        <w:rPr>
          <w:b/>
          <w:bCs/>
          <w:lang w:val="es-ES_tradnl"/>
        </w:rPr>
        <w:tab/>
        <w:t>Vele por que, una vez promulgada, la Ley de protección integral de los derechos del niño y el adolescente se aplique plenamente de conformidad con la Convención, prestando especial atención a la necesidad de asignar los recursos humanos y financieros necesarios para poder contar con estructuras adecuadas;</w:t>
      </w:r>
    </w:p>
    <w:p w:rsidR="00000000" w:rsidRDefault="00000000">
      <w:pPr>
        <w:spacing w:after="240"/>
        <w:ind w:left="1134" w:hanging="567"/>
        <w:rPr>
          <w:b/>
          <w:bCs/>
          <w:lang w:val="es-ES_tradnl"/>
        </w:rPr>
      </w:pPr>
      <w:r>
        <w:rPr>
          <w:b/>
          <w:bCs/>
          <w:lang w:val="es-ES_tradnl"/>
        </w:rPr>
        <w:t>c)</w:t>
      </w:r>
      <w:r>
        <w:rPr>
          <w:b/>
          <w:bCs/>
          <w:lang w:val="es-ES_tradnl"/>
        </w:rPr>
        <w:tab/>
        <w:t>Vele por que la legislación provincial en su conjunto se ajuste plenamente a las disposiciones y los principios de la Convención; y</w:t>
      </w:r>
    </w:p>
    <w:p w:rsidR="00000000" w:rsidRDefault="00000000">
      <w:pPr>
        <w:spacing w:after="240"/>
        <w:ind w:left="1134" w:hanging="567"/>
        <w:rPr>
          <w:b/>
          <w:bCs/>
          <w:lang w:val="es-ES_tradnl"/>
        </w:rPr>
      </w:pPr>
      <w:r>
        <w:rPr>
          <w:b/>
          <w:bCs/>
          <w:lang w:val="es-ES_tradnl"/>
        </w:rPr>
        <w:t>d)</w:t>
      </w:r>
      <w:r>
        <w:rPr>
          <w:b/>
          <w:bCs/>
          <w:lang w:val="es-ES_tradnl"/>
        </w:rPr>
        <w:tab/>
        <w:t>Solicite la asistencia técnica del Fondo de las Naciones Unidas para la Infancia (UNICEF), entre otros organismos.</w:t>
      </w:r>
    </w:p>
    <w:p w:rsidR="00000000" w:rsidRDefault="00000000">
      <w:pPr>
        <w:spacing w:after="240"/>
        <w:ind w:firstLine="567"/>
        <w:rPr>
          <w:b/>
          <w:bCs/>
          <w:lang w:val="es-ES_tradnl"/>
        </w:rPr>
      </w:pPr>
      <w:r>
        <w:rPr>
          <w:b/>
          <w:bCs/>
          <w:lang w:val="es-ES_tradnl"/>
        </w:rPr>
        <w:t>Coordinación</w:t>
      </w:r>
    </w:p>
    <w:p w:rsidR="00000000" w:rsidRDefault="00000000">
      <w:pPr>
        <w:spacing w:after="240"/>
        <w:rPr>
          <w:lang w:val="es-ES_tradnl"/>
        </w:rPr>
      </w:pPr>
      <w:r>
        <w:rPr>
          <w:lang w:val="es-ES_tradnl"/>
        </w:rPr>
        <w:t>17.</w:t>
      </w:r>
      <w:r>
        <w:rPr>
          <w:lang w:val="es-ES_tradnl"/>
        </w:rPr>
        <w:tab/>
        <w:t>Aunque toma nota de la labor realizada recientemente por el Consejo Nacional del Menor y la Familia para mejorar la coordinación, así como la creación de equipos de supervisión en 17 provincias, el Comité lamenta que no se haya seguido plenamente su anterior recomendación de que se mejorara la coordinación entre los diversos mecanismos e instituciones que se ocupan de promover y proteger los derechos del niño (ibíd., párr. 15), y que en el Estado Parte no exista todavía una política integral y claramente definida de los derechos del niño ni un plan de acción para aplicar la Convención.</w:t>
      </w:r>
    </w:p>
    <w:p w:rsidR="00000000" w:rsidRDefault="00000000">
      <w:pPr>
        <w:keepNext/>
        <w:spacing w:after="240"/>
        <w:rPr>
          <w:b/>
          <w:bCs/>
          <w:lang w:val="es-ES_tradnl"/>
        </w:rPr>
      </w:pPr>
      <w:r>
        <w:rPr>
          <w:lang w:val="es-ES_tradnl"/>
        </w:rPr>
        <w:t>18.</w:t>
      </w:r>
      <w:r>
        <w:rPr>
          <w:lang w:val="es-ES_tradnl"/>
        </w:rPr>
        <w:tab/>
      </w:r>
      <w:r>
        <w:rPr>
          <w:b/>
          <w:bCs/>
          <w:lang w:val="es-ES_tradnl"/>
        </w:rPr>
        <w:t>El Comité reitera su recomendación anterior (ibíd.) de que el Estado Parte adopte un criterio amplio para aplicar la Convención, en particular:</w:t>
      </w:r>
    </w:p>
    <w:p w:rsidR="00000000" w:rsidRDefault="00000000">
      <w:pPr>
        <w:keepNext/>
        <w:spacing w:after="240"/>
        <w:ind w:left="1134" w:hanging="567"/>
        <w:rPr>
          <w:b/>
          <w:bCs/>
          <w:lang w:val="es-ES_tradnl"/>
        </w:rPr>
      </w:pPr>
      <w:r>
        <w:rPr>
          <w:b/>
          <w:bCs/>
          <w:lang w:val="es-ES_tradnl"/>
        </w:rPr>
        <w:t>a)</w:t>
      </w:r>
      <w:r>
        <w:rPr>
          <w:b/>
          <w:bCs/>
          <w:lang w:val="es-ES_tradnl"/>
        </w:rPr>
        <w:tab/>
        <w:t>Mejorando la coordinación entre los diversos mecanismos e instituciones que se ocupan de promover y proteger los derechos del niño;</w:t>
      </w:r>
    </w:p>
    <w:p w:rsidR="00000000" w:rsidRDefault="00000000">
      <w:pPr>
        <w:spacing w:after="240"/>
        <w:ind w:left="1134" w:hanging="567"/>
        <w:rPr>
          <w:b/>
          <w:bCs/>
          <w:lang w:val="es-ES_tradnl"/>
        </w:rPr>
      </w:pPr>
      <w:r>
        <w:rPr>
          <w:b/>
          <w:bCs/>
          <w:lang w:val="es-ES_tradnl"/>
        </w:rPr>
        <w:t>b)</w:t>
      </w:r>
      <w:r>
        <w:rPr>
          <w:b/>
          <w:bCs/>
          <w:lang w:val="es-ES_tradnl"/>
        </w:rPr>
        <w:tab/>
        <w:t>Afianzando su política en materia de derechos del niño y elaborando un plan de acción nacional para aplicar la Convención que se debería preparar mediante un proceso abierto, consultivo y participativo.</w:t>
      </w:r>
    </w:p>
    <w:p w:rsidR="00000000" w:rsidRDefault="00000000">
      <w:pPr>
        <w:spacing w:after="240"/>
        <w:ind w:firstLine="567"/>
        <w:rPr>
          <w:b/>
          <w:bCs/>
          <w:lang w:val="es-ES_tradnl"/>
        </w:rPr>
      </w:pPr>
      <w:r>
        <w:rPr>
          <w:b/>
          <w:bCs/>
          <w:lang w:val="es-ES_tradnl"/>
        </w:rPr>
        <w:t>Recursos destinados a los niños</w:t>
      </w:r>
    </w:p>
    <w:p w:rsidR="00000000" w:rsidRDefault="00000000">
      <w:pPr>
        <w:spacing w:after="240"/>
        <w:rPr>
          <w:lang w:val="es-ES_tradnl"/>
        </w:rPr>
      </w:pPr>
      <w:r>
        <w:rPr>
          <w:lang w:val="es-ES_tradnl"/>
        </w:rPr>
        <w:t>19.</w:t>
      </w:r>
      <w:r>
        <w:rPr>
          <w:lang w:val="es-ES_tradnl"/>
        </w:rPr>
        <w:tab/>
        <w:t>El Comité expresa su preocupación ante el hecho de que las asignaciones presupuestarias destinadas a los niños sigan siendo insuficientes para atender a las prioridades nacionales, provinciales y municipales en materia de promoción y protección de los derechos del niño y para eliminar las desigualdades existentes entre las zonas rurales y urbanas, y en las propias zonas urbanas, en particular en Buenos Aires, en lo que respecta a los servicios públicos que se prestan a los niños.  El Comité toma nota con profunda preocupación de que, según datos estadísticos recientes mencionados por el Estado Parte en su respuesta a la lista de cuestiones, el 69,2% de los niños de la Argentina vive en la pobreza y que el 35,4% de ellos lo hace en condiciones de extrema pobreza.</w:t>
      </w:r>
    </w:p>
    <w:p w:rsidR="00000000" w:rsidRDefault="00000000">
      <w:pPr>
        <w:spacing w:after="240"/>
        <w:rPr>
          <w:b/>
          <w:bCs/>
          <w:lang w:val="es-ES_tradnl"/>
        </w:rPr>
      </w:pPr>
      <w:r>
        <w:rPr>
          <w:lang w:val="es-ES_tradnl"/>
        </w:rPr>
        <w:t>20.</w:t>
      </w:r>
      <w:r>
        <w:rPr>
          <w:b/>
          <w:bCs/>
          <w:lang w:val="es-ES_tradnl"/>
        </w:rPr>
        <w:tab/>
        <w:t>Teniendo en cuenta lo dispuesto en el artículo 4 de la Convención, 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Revise las políticas económica y social y la asignación de recursos presupuestarios para que se atribuya el máximo de recursos disponibles a la promoción y protección de los derechos del niño en los ámbitos nacional, provincial y municipal, especialmente en las esferas de la salud, la educación, el bienestar social y la seguridad, tal como se recomendó anteriormente (ibíd., párr. 16);</w:t>
      </w:r>
    </w:p>
    <w:p w:rsidR="00000000" w:rsidRDefault="00000000">
      <w:pPr>
        <w:spacing w:after="240"/>
        <w:ind w:left="1134" w:hanging="567"/>
        <w:rPr>
          <w:b/>
          <w:bCs/>
          <w:lang w:val="es-ES_tradnl"/>
        </w:rPr>
      </w:pPr>
      <w:r>
        <w:rPr>
          <w:b/>
          <w:bCs/>
          <w:lang w:val="es-ES_tradnl"/>
        </w:rPr>
        <w:t>b)</w:t>
      </w:r>
      <w:r>
        <w:rPr>
          <w:b/>
          <w:bCs/>
          <w:lang w:val="es-ES_tradnl"/>
        </w:rPr>
        <w:tab/>
        <w:t>Determine la cantidad y la proporción de recursos que se dedican a los niños en los planos nacional y local para evaluar los efectos de los gastos realizados en la esfera de la infancia.</w:t>
      </w:r>
    </w:p>
    <w:p w:rsidR="00000000" w:rsidRDefault="00000000">
      <w:pPr>
        <w:spacing w:after="240"/>
        <w:ind w:firstLine="567"/>
        <w:rPr>
          <w:b/>
          <w:bCs/>
          <w:lang w:val="es-ES_tradnl"/>
        </w:rPr>
      </w:pPr>
      <w:r>
        <w:rPr>
          <w:b/>
          <w:bCs/>
          <w:lang w:val="es-ES_tradnl"/>
        </w:rPr>
        <w:t>Vigilancia independiente</w:t>
      </w:r>
    </w:p>
    <w:p w:rsidR="00000000" w:rsidRDefault="00000000">
      <w:pPr>
        <w:spacing w:after="240"/>
        <w:rPr>
          <w:lang w:val="es-ES_tradnl"/>
        </w:rPr>
      </w:pPr>
      <w:r>
        <w:rPr>
          <w:lang w:val="es-ES_tradnl"/>
        </w:rPr>
        <w:t>21.</w:t>
      </w:r>
      <w:r>
        <w:rPr>
          <w:lang w:val="es-ES_tradnl"/>
        </w:rPr>
        <w:tab/>
        <w:t>Aunque toma nota de la existencia del Defensor del Pueblo, al Comité le preocupa que no exista un mecanismo nacional general que se ocupe de vigilar y evaluar periódicamente los progresos que se realizan en la aplicación de la Convención, y que esté autorizado a recibir y tramitar las denuncias presentadas por niños.  Toma nota también de que el proyecto de ley de protección integral de los derechos del niño y el adolescente, que todavía no se ha aprobado, incluye disposiciones para la creación del cargo de defensor de los derechos del niño.</w:t>
      </w:r>
    </w:p>
    <w:p w:rsidR="00000000" w:rsidRDefault="00000000">
      <w:pPr>
        <w:spacing w:after="240"/>
        <w:rPr>
          <w:b/>
          <w:bCs/>
          <w:lang w:val="es-ES_tradnl"/>
        </w:rPr>
      </w:pPr>
      <w:r>
        <w:rPr>
          <w:lang w:val="es-ES_tradnl"/>
        </w:rPr>
        <w:t>22.</w:t>
      </w:r>
      <w:r>
        <w:rPr>
          <w:b/>
          <w:bCs/>
          <w:lang w:val="es-ES_tradnl"/>
        </w:rPr>
        <w:tab/>
        <w:t>El Comité alienta al Estado Parte a que, tal como recomendó anteriormente (ibíd., párr. 15), establezca un mecanismo independiente y eficaz, de conformidad con los principios relativos al estatuto de las instituciones nacionales de promoción y protección de los derechos humanos (Principios de París, resolución 48/134 de la Asamblea General, anexo), ya se trate de un organismo integrado en una institución nacional de derechos humanos o de un organismo independiente, por ejemplo una defensoría del niño, dotado de recursos humanos y financieros suficientes y al que puedan recurrir fácilmente los niños, para que:</w:t>
      </w:r>
    </w:p>
    <w:p w:rsidR="00000000" w:rsidRDefault="00000000">
      <w:pPr>
        <w:spacing w:after="240"/>
        <w:ind w:left="1134" w:hanging="567"/>
        <w:rPr>
          <w:b/>
          <w:bCs/>
          <w:lang w:val="es-ES_tradnl"/>
        </w:rPr>
      </w:pPr>
      <w:r>
        <w:rPr>
          <w:b/>
          <w:bCs/>
          <w:lang w:val="es-ES_tradnl"/>
        </w:rPr>
        <w:t>a)</w:t>
      </w:r>
      <w:r>
        <w:rPr>
          <w:b/>
          <w:bCs/>
          <w:lang w:val="es-ES_tradnl"/>
        </w:rPr>
        <w:tab/>
        <w:t>Vigile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Tramite rápidamente las denuncias presentadas por niños teniendo en cuenta los intereses de éstos;</w:t>
      </w:r>
    </w:p>
    <w:p w:rsidR="00000000" w:rsidRDefault="00000000">
      <w:pPr>
        <w:spacing w:after="240"/>
        <w:ind w:left="1134" w:hanging="567"/>
        <w:rPr>
          <w:b/>
          <w:bCs/>
          <w:lang w:val="es-ES_tradnl"/>
        </w:rPr>
      </w:pPr>
      <w:r>
        <w:rPr>
          <w:b/>
          <w:bCs/>
          <w:lang w:val="es-ES_tradnl"/>
        </w:rPr>
        <w:t>c)</w:t>
      </w:r>
      <w:r>
        <w:rPr>
          <w:b/>
          <w:bCs/>
          <w:lang w:val="es-ES_tradnl"/>
        </w:rPr>
        <w:tab/>
        <w:t>Proporcione más reparación por las violaciones de los derechos que correspondan a los niños en virtud de la Convención.</w:t>
      </w:r>
    </w:p>
    <w:p w:rsidR="00000000" w:rsidRDefault="00000000">
      <w:pPr>
        <w:spacing w:after="240"/>
        <w:rPr>
          <w:b/>
          <w:bCs/>
          <w:lang w:val="es-ES_tradnl"/>
        </w:rPr>
      </w:pPr>
      <w:r>
        <w:rPr>
          <w:b/>
          <w:bCs/>
          <w:lang w:val="es-ES_tradnl"/>
        </w:rPr>
        <w:t>A este respecto, el Comité recomienda además al Estado Parte que considere la posibilidad de solicitar asistencia técnica al UNICEF y a la Oficina del Alto Comisionado de las Naciones Unidas para los Derechos Humanos (ACNUDH), entre otros organismos.</w:t>
      </w:r>
    </w:p>
    <w:p w:rsidR="00000000" w:rsidRDefault="00000000">
      <w:pPr>
        <w:spacing w:after="240"/>
        <w:ind w:firstLine="567"/>
        <w:rPr>
          <w:b/>
          <w:bCs/>
          <w:lang w:val="es-ES_tradnl"/>
        </w:rPr>
      </w:pPr>
      <w:r>
        <w:rPr>
          <w:b/>
          <w:bCs/>
          <w:lang w:val="es-ES_tradnl"/>
        </w:rPr>
        <w:t>Reunión de datos</w:t>
      </w:r>
    </w:p>
    <w:p w:rsidR="00000000" w:rsidRDefault="00000000">
      <w:pPr>
        <w:spacing w:after="240"/>
        <w:rPr>
          <w:lang w:val="es-ES_tradnl"/>
        </w:rPr>
      </w:pPr>
      <w:r>
        <w:rPr>
          <w:lang w:val="es-ES_tradnl"/>
        </w:rPr>
        <w:t>23.</w:t>
      </w:r>
      <w:r>
        <w:rPr>
          <w:lang w:val="es-ES_tradnl"/>
        </w:rPr>
        <w:tab/>
        <w:t>El Comité toma nota de que se ha creado un sistema unificado de reunión de datos, aunque le sigue preocupando que los datos estadísticos sobre los niños no abarquen suficientemente ni desagreguen todas las esferas a las que se refiere la Convención y que esos datos, cuando existen, no se utilicen adecuadamente para evaluar las tendencias y como base para elaborar las políticas en la esfera de los derechos del niño.</w:t>
      </w:r>
    </w:p>
    <w:p w:rsidR="00000000" w:rsidRDefault="00000000">
      <w:pPr>
        <w:spacing w:after="240"/>
        <w:rPr>
          <w:b/>
          <w:bCs/>
          <w:lang w:val="es-ES_tradnl"/>
        </w:rPr>
      </w:pPr>
      <w:r>
        <w:rPr>
          <w:lang w:val="es-ES_tradnl"/>
        </w:rPr>
        <w:t>24.</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Mejore su sistema de reunión de datos para que incluya, desagregándolas, todas las esferas abarcadas por la Convención.  El sistema debería comprender a todas las personas menores de 18 años y prestar especial atención a los menores particularmente vulnerables, como los niños con discapacidades.</w:t>
      </w:r>
    </w:p>
    <w:p w:rsidR="00000000" w:rsidRDefault="00000000">
      <w:pPr>
        <w:spacing w:after="240"/>
        <w:ind w:left="1134" w:hanging="567"/>
        <w:rPr>
          <w:b/>
          <w:bCs/>
          <w:lang w:val="es-ES_tradnl"/>
        </w:rPr>
      </w:pPr>
      <w:r>
        <w:rPr>
          <w:b/>
          <w:bCs/>
          <w:lang w:val="es-ES_tradnl"/>
        </w:rPr>
        <w:t>b)</w:t>
      </w:r>
      <w:r>
        <w:rPr>
          <w:b/>
          <w:bCs/>
          <w:lang w:val="es-ES_tradnl"/>
        </w:rPr>
        <w:tab/>
        <w:t>Utilice eficazmente esos indicadores y datos para formular y evaluar las políticas y los programas destinados a aplicar la Convención y velar por su aplicación.</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25.</w:t>
      </w:r>
      <w:r>
        <w:rPr>
          <w:lang w:val="es-ES_tradnl"/>
        </w:rPr>
        <w:tab/>
        <w:t>El Comité reitera su preocupación por el hecho de que en la legislación argentina haya una diferencia entre la edad mínima para contraer matrimonio aplicable a los varones y la que se aplica a las mujeres (ibíd., párr. 10).</w:t>
      </w:r>
    </w:p>
    <w:p w:rsidR="00000000" w:rsidRDefault="00000000">
      <w:pPr>
        <w:spacing w:after="240"/>
        <w:rPr>
          <w:b/>
          <w:bCs/>
          <w:lang w:val="es-ES_tradnl"/>
        </w:rPr>
      </w:pPr>
      <w:r>
        <w:rPr>
          <w:lang w:val="es-ES_tradnl"/>
        </w:rPr>
        <w:t>26.</w:t>
      </w:r>
      <w:r>
        <w:rPr>
          <w:b/>
          <w:bCs/>
          <w:lang w:val="es-ES_tradnl"/>
        </w:rPr>
        <w:tab/>
        <w:t>Teniendo en cuenta los artículos 1 y 2 de la Convención, así como otras disposiciones conexas de la misma, el Comité recomienda al Estado Parte que revise su legislación para aumentar la edad mínima de las mujeres para contraer matrimonio y equipararla a la de los varones.</w:t>
      </w:r>
    </w:p>
    <w:p w:rsidR="00000000" w:rsidRDefault="00000000">
      <w:pPr>
        <w:keepNext/>
        <w:spacing w:after="240"/>
        <w:rPr>
          <w:b/>
          <w:bCs/>
          <w:lang w:val="es-ES_tradnl"/>
        </w:rPr>
      </w:pPr>
      <w:r>
        <w:rPr>
          <w:b/>
          <w:bCs/>
          <w:lang w:val="es-ES_tradnl"/>
        </w:rPr>
        <w:t>3.</w:t>
      </w:r>
      <w:r>
        <w:rPr>
          <w:b/>
          <w:bCs/>
          <w:lang w:val="es-ES_tradnl"/>
        </w:rPr>
        <w:tab/>
        <w:t>Principios generales</w:t>
      </w:r>
    </w:p>
    <w:p w:rsidR="00000000" w:rsidRDefault="00000000">
      <w:pPr>
        <w:keepNext/>
        <w:spacing w:after="240"/>
        <w:rPr>
          <w:lang w:val="es-ES_tradnl"/>
        </w:rPr>
      </w:pPr>
      <w:r>
        <w:rPr>
          <w:lang w:val="es-ES_tradnl"/>
        </w:rPr>
        <w:t>27.</w:t>
      </w:r>
      <w:r>
        <w:rPr>
          <w:lang w:val="es-ES_tradnl"/>
        </w:rPr>
        <w:tab/>
        <w:t>Al Comité le preocupa que los principios de no discriminación, interés superior del niño, derecho a la vida, supervivencia y desarrollo del niño, y respeto de las opiniones del niño no se tengan plenamente en cuenta en la legislación y en las decisiones administrativas y judiciales del Estado Parte, ni en las políticas y los programas nacionales, provinciales y municipales para la infancia.</w:t>
      </w:r>
    </w:p>
    <w:p w:rsidR="00000000" w:rsidRDefault="00000000">
      <w:pPr>
        <w:spacing w:after="240"/>
        <w:rPr>
          <w:b/>
          <w:bCs/>
          <w:lang w:val="es-ES_tradnl"/>
        </w:rPr>
      </w:pPr>
      <w:r>
        <w:rPr>
          <w:lang w:val="es-ES_tradnl"/>
        </w:rPr>
        <w:t>28.</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Integre adecuadamente los principios generales de la Convención, enunciados en los artículos 2, 3, 6 y 12, en todas las leyes que atañan a los niños;</w:t>
      </w:r>
    </w:p>
    <w:p w:rsidR="00000000" w:rsidRDefault="00000000">
      <w:pPr>
        <w:spacing w:after="240"/>
        <w:ind w:left="1134" w:hanging="567"/>
        <w:rPr>
          <w:b/>
          <w:bCs/>
          <w:lang w:val="es-ES_tradnl"/>
        </w:rPr>
      </w:pPr>
      <w:r>
        <w:rPr>
          <w:b/>
          <w:bCs/>
          <w:lang w:val="es-ES_tradnl"/>
        </w:rPr>
        <w:t>b)</w:t>
      </w:r>
      <w:r>
        <w:rPr>
          <w:b/>
          <w:bCs/>
          <w:lang w:val="es-ES_tradnl"/>
        </w:rPr>
        <w:tab/>
        <w:t>Aplique esos principios en todas las decisiones políticas, judiciales y administrativas, así como en los proyectos, programas y servicios, que afecten a los niños;</w:t>
      </w:r>
    </w:p>
    <w:p w:rsidR="00000000" w:rsidRDefault="00000000">
      <w:pPr>
        <w:spacing w:after="240"/>
        <w:ind w:left="1134" w:hanging="567"/>
        <w:rPr>
          <w:b/>
          <w:bCs/>
          <w:lang w:val="es-ES_tradnl"/>
        </w:rPr>
      </w:pPr>
      <w:r>
        <w:rPr>
          <w:b/>
          <w:bCs/>
          <w:lang w:val="es-ES_tradnl"/>
        </w:rPr>
        <w:t>c)</w:t>
      </w:r>
      <w:r>
        <w:rPr>
          <w:b/>
          <w:bCs/>
          <w:lang w:val="es-ES_tradnl"/>
        </w:rPr>
        <w:tab/>
        <w:t>Aplique esos principios al planificar y formular políticas en todos los niveles, así como en las medidas que adopten las instituciones de bienestar social, salud y educación, los tribunales y las autoridades administrativas.</w:t>
      </w:r>
    </w:p>
    <w:p w:rsidR="00000000" w:rsidRDefault="00000000">
      <w:pPr>
        <w:spacing w:after="240"/>
        <w:ind w:firstLine="567"/>
        <w:rPr>
          <w:b/>
          <w:bCs/>
          <w:lang w:val="es-ES_tradnl"/>
        </w:rPr>
      </w:pPr>
      <w:r>
        <w:rPr>
          <w:b/>
          <w:bCs/>
          <w:lang w:val="es-ES_tradnl"/>
        </w:rPr>
        <w:t>No discriminación</w:t>
      </w:r>
    </w:p>
    <w:p w:rsidR="00000000" w:rsidRDefault="00000000">
      <w:pPr>
        <w:spacing w:after="240"/>
        <w:rPr>
          <w:lang w:val="es-ES_tradnl"/>
        </w:rPr>
      </w:pPr>
      <w:r>
        <w:rPr>
          <w:lang w:val="es-ES_tradnl"/>
        </w:rPr>
        <w:t>29</w:t>
      </w:r>
      <w:r>
        <w:rPr>
          <w:lang w:val="es-ES_tradnl"/>
        </w:rPr>
        <w:tab/>
        <w:t>Al Comité le preocupa que el principio de no discriminación no se aplique plenamente a los niños que viven en la pobreza, los niños indígenas, los hijos de trabajadores migrantes, sobre todo los de los países vecinos, los niños de la calle, los niños con discapacidades y los adolescentes marginados que no estudian ni trabajan, especialmente con respecto a su posibilidad de gozar de servicios adecuados de atención de la salud y de educación.</w:t>
      </w:r>
    </w:p>
    <w:p w:rsidR="00000000" w:rsidRDefault="00000000">
      <w:pPr>
        <w:spacing w:after="240"/>
        <w:rPr>
          <w:b/>
          <w:bCs/>
          <w:lang w:val="es-ES_tradnl"/>
        </w:rPr>
      </w:pPr>
      <w:r>
        <w:rPr>
          <w:lang w:val="es-ES_tradnl"/>
        </w:rPr>
        <w:t>30.</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Vigile la situación de los niños, en particular la de los que pertenecen a los citados grupos vulnerables, que están expuestos a la discriminación; y</w:t>
      </w:r>
    </w:p>
    <w:p w:rsidR="00000000" w:rsidRDefault="00000000">
      <w:pPr>
        <w:spacing w:after="240"/>
        <w:ind w:left="1134" w:hanging="567"/>
        <w:rPr>
          <w:b/>
          <w:bCs/>
          <w:lang w:val="es-ES_tradnl"/>
        </w:rPr>
      </w:pPr>
      <w:r>
        <w:rPr>
          <w:b/>
          <w:bCs/>
          <w:lang w:val="es-ES_tradnl"/>
        </w:rPr>
        <w:t>b)</w:t>
      </w:r>
      <w:r>
        <w:rPr>
          <w:b/>
          <w:bCs/>
          <w:lang w:val="es-ES_tradnl"/>
        </w:rPr>
        <w:tab/>
        <w:t>Elabore, sobre la base de los resultados de esa labor de vigilancia, estrategias integradas en las que se prevean medidas concretas con objetivos bien definidos para poner fin a todas las formas de discriminación.</w:t>
      </w:r>
    </w:p>
    <w:p w:rsidR="00000000" w:rsidRDefault="00000000">
      <w:pPr>
        <w:spacing w:after="240"/>
        <w:rPr>
          <w:b/>
          <w:bCs/>
          <w:lang w:val="es-ES_tradnl"/>
        </w:rPr>
      </w:pPr>
      <w:r>
        <w:rPr>
          <w:lang w:val="es-ES_tradnl"/>
        </w:rPr>
        <w:t>31.</w:t>
      </w:r>
      <w:r>
        <w:rPr>
          <w:b/>
          <w:bCs/>
          <w:lang w:val="es-ES_tradnl"/>
        </w:rPr>
        <w:tab/>
        <w:t>El Comité pide que en el próximo informe periódico se incluya información concreta sobre las medidas y los programas relacionados con la Convención que haya puesto en marcha el Estado Parte en cumplimiento de la Declaración y Programa de Acción de Durban aprobados en la Conferencia Mundial contra el Racismo, la Discriminación Racial, la Xenofobia y las Formas Conexas de Intolerancia, y teniendo en cuenta la Observación general Nº 1 del Comité acerca del párrafo 1 del artículo 29 de la Convención, relativo a los propósitos de la educación.</w:t>
      </w:r>
    </w:p>
    <w:p w:rsidR="00000000" w:rsidRDefault="00000000">
      <w:pPr>
        <w:keepNext/>
        <w:spacing w:after="240"/>
        <w:ind w:firstLine="567"/>
        <w:rPr>
          <w:lang w:val="es-ES_tradnl"/>
        </w:rPr>
      </w:pPr>
      <w:r>
        <w:rPr>
          <w:b/>
          <w:bCs/>
          <w:lang w:val="es-ES_tradnl"/>
        </w:rPr>
        <w:t>Respeto de las opiniones del niño</w:t>
      </w:r>
    </w:p>
    <w:p w:rsidR="00000000" w:rsidRDefault="00000000">
      <w:pPr>
        <w:keepNext/>
        <w:spacing w:after="240"/>
        <w:rPr>
          <w:lang w:val="es-ES_tradnl"/>
        </w:rPr>
      </w:pPr>
      <w:r>
        <w:rPr>
          <w:lang w:val="es-ES_tradnl"/>
        </w:rPr>
        <w:t>32.</w:t>
      </w:r>
      <w:r>
        <w:rPr>
          <w:lang w:val="es-ES_tradnl"/>
        </w:rPr>
        <w:tab/>
        <w:t>El Comité señala que se debe afianzar más el derecho de los niños a participar, tanto en las escuelas como fuera de ellas, en todas las cuestiones que les atañan.</w:t>
      </w:r>
    </w:p>
    <w:p w:rsidR="00000000" w:rsidRDefault="00000000">
      <w:pPr>
        <w:spacing w:after="240"/>
        <w:rPr>
          <w:b/>
          <w:bCs/>
          <w:lang w:val="es-ES_tradnl"/>
        </w:rPr>
      </w:pPr>
      <w:r>
        <w:rPr>
          <w:lang w:val="es-ES_tradnl"/>
        </w:rPr>
        <w:t>33.</w:t>
      </w:r>
      <w:r>
        <w:rPr>
          <w:b/>
          <w:bCs/>
          <w:lang w:val="es-ES_tradnl"/>
        </w:rPr>
        <w:tab/>
        <w:t>Teniendo presente el artículo 12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Aplique la recomendación anterior del Comité (ibíd., párr. 21) de que se tomen más medidas para fomentar la activa participación de los niños en las escuelas y en la sociedad en general, según lo dispuesto en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Garantice que todos los niños que tengan suficiente madurez puedan expresar sus opiniones y ser escuchados en todo procedimiento judicial o administrativo que les afecte;</w:t>
      </w:r>
    </w:p>
    <w:p w:rsidR="00000000" w:rsidRDefault="00000000">
      <w:pPr>
        <w:spacing w:after="240"/>
        <w:ind w:left="1134" w:hanging="567"/>
        <w:rPr>
          <w:b/>
          <w:bCs/>
          <w:lang w:val="es-ES_tradnl"/>
        </w:rPr>
      </w:pPr>
      <w:r>
        <w:rPr>
          <w:b/>
          <w:bCs/>
          <w:lang w:val="es-ES_tradnl"/>
        </w:rPr>
        <w:t>c)</w:t>
      </w:r>
      <w:r>
        <w:rPr>
          <w:b/>
          <w:bCs/>
          <w:lang w:val="es-ES_tradnl"/>
        </w:rPr>
        <w:tab/>
        <w:t>Organice campañas para sensibilizar a los niños, los padres, los profesionales que trabajan con niños o para ellos y la población en general de que los niños tienen derecho a ser escuchados y a que se tengan debidamente en cuenta sus opiniones.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firstLine="567"/>
        <w:rPr>
          <w:b/>
          <w:bCs/>
          <w:lang w:val="es-ES_tradnl"/>
        </w:rPr>
      </w:pPr>
      <w:r>
        <w:rPr>
          <w:b/>
          <w:bCs/>
          <w:lang w:val="es-ES_tradnl"/>
        </w:rPr>
        <w:t>Preservación de la identidad</w:t>
      </w:r>
    </w:p>
    <w:p w:rsidR="00000000" w:rsidRDefault="00000000">
      <w:pPr>
        <w:spacing w:after="240"/>
        <w:rPr>
          <w:lang w:val="es-ES_tradnl"/>
        </w:rPr>
      </w:pPr>
      <w:r>
        <w:rPr>
          <w:lang w:val="es-ES_tradnl"/>
        </w:rPr>
        <w:t>34.</w:t>
      </w:r>
      <w:r>
        <w:rPr>
          <w:lang w:val="es-ES_tradnl"/>
        </w:rPr>
        <w:tab/>
        <w:t>El Comité aprecia la labor realizada por la Comisión Nacional por el Derecho a la Identidad para encontrar a los niños desaparecidos durante el régimen militar que ocupó el poder de 1976 a 1983, y toma nota de que se ha encontrado a 73 niños de los 500 casos estimados de desaparición de niños.</w:t>
      </w:r>
    </w:p>
    <w:p w:rsidR="00000000" w:rsidRDefault="00000000">
      <w:pPr>
        <w:spacing w:after="240"/>
        <w:rPr>
          <w:b/>
          <w:bCs/>
          <w:lang w:val="es-ES_tradnl"/>
        </w:rPr>
      </w:pPr>
      <w:r>
        <w:rPr>
          <w:lang w:val="es-ES_tradnl"/>
        </w:rPr>
        <w:t>35.</w:t>
      </w:r>
      <w:r>
        <w:rPr>
          <w:b/>
          <w:bCs/>
          <w:lang w:val="es-ES_tradnl"/>
        </w:rPr>
        <w:tab/>
        <w:t>Teniendo en cuenta el artículo 8 de la Convención, el Comité alienta al Estado Parte a que continúe e intensifique sus esfuerzos para encontrar a los niños que desaparecieron durante el régimen militar.</w:t>
      </w:r>
    </w:p>
    <w:p w:rsidR="00000000" w:rsidRDefault="00000000">
      <w:pPr>
        <w:spacing w:after="240"/>
        <w:ind w:firstLine="567"/>
        <w:rPr>
          <w:b/>
          <w:bCs/>
          <w:lang w:val="es-ES_tradnl"/>
        </w:rPr>
      </w:pPr>
      <w:r>
        <w:rPr>
          <w:b/>
          <w:bCs/>
          <w:lang w:val="es-ES_tradnl"/>
        </w:rPr>
        <w:t>Derecho a no ser sometido a tortura</w:t>
      </w:r>
    </w:p>
    <w:p w:rsidR="00000000" w:rsidRDefault="00000000">
      <w:pPr>
        <w:spacing w:after="240"/>
        <w:rPr>
          <w:lang w:val="es-ES_tradnl"/>
        </w:rPr>
      </w:pPr>
      <w:r>
        <w:rPr>
          <w:lang w:val="es-ES_tradnl"/>
        </w:rPr>
        <w:t>36.</w:t>
      </w:r>
      <w:r>
        <w:rPr>
          <w:lang w:val="es-ES_tradnl"/>
        </w:rPr>
        <w:tab/>
        <w:t>El Comité expresa profunda preocupación por la violencia institucional y los informes sobre torturas y malos tratos a que han sido sometidos algunos niños en comisarías de policía y que, en algunos casos, produjeron la muerte.  Le preocupan también profundamente otros informes sobre la brutalidad policial, especialmente el fenómeno del gatillo fácil, sobre todo en la provincia de Buenos Aires, que ha producido la muerte de muchos niños.  Observa que, de acuerdo con la Corte Suprema de Justicia de la provincia de Buenos Aires, varios de los niños que después murieron habían informado de que la policía provincial los había sometido a presión y torturas, y que la mayoría de los casos no se investigan adecuadamente y los autores no son llevados ante la justicia.</w:t>
      </w:r>
    </w:p>
    <w:p w:rsidR="00000000" w:rsidRDefault="00000000">
      <w:pPr>
        <w:keepNext/>
        <w:spacing w:after="240"/>
        <w:rPr>
          <w:b/>
          <w:bCs/>
          <w:lang w:val="es-ES_tradnl"/>
        </w:rPr>
      </w:pPr>
      <w:r>
        <w:rPr>
          <w:lang w:val="es-ES_tradnl"/>
        </w:rPr>
        <w:t>37.</w:t>
      </w:r>
      <w:r>
        <w:rPr>
          <w:lang w:val="es-ES_tradnl"/>
        </w:rPr>
        <w:tab/>
      </w:r>
      <w:r>
        <w:rPr>
          <w:b/>
          <w:bCs/>
          <w:lang w:val="es-ES_tradnl"/>
        </w:rPr>
        <w:t>Teniendo en cuenta el párrafo a) del artículo 37 de la Convención, el Comité insta al Estado Parte a que:</w:t>
      </w:r>
    </w:p>
    <w:p w:rsidR="00000000" w:rsidRDefault="00000000">
      <w:pPr>
        <w:keepNext/>
        <w:spacing w:after="240"/>
        <w:ind w:left="1134" w:hanging="567"/>
        <w:rPr>
          <w:b/>
          <w:bCs/>
          <w:lang w:val="es-ES_tradnl"/>
        </w:rPr>
      </w:pPr>
      <w:r>
        <w:rPr>
          <w:b/>
          <w:bCs/>
          <w:lang w:val="es-ES_tradnl"/>
        </w:rPr>
        <w:t>a)</w:t>
      </w:r>
      <w:r>
        <w:rPr>
          <w:b/>
          <w:bCs/>
          <w:lang w:val="es-ES_tradnl"/>
        </w:rPr>
        <w:tab/>
        <w:t>Realice un estudio sobre esas cuestiones para evaluar su magnitud, alcance y naturaleza;</w:t>
      </w:r>
    </w:p>
    <w:p w:rsidR="00000000" w:rsidRDefault="00000000">
      <w:pPr>
        <w:spacing w:after="240"/>
        <w:ind w:left="1134" w:hanging="567"/>
        <w:rPr>
          <w:b/>
          <w:bCs/>
          <w:lang w:val="es-ES_tradnl"/>
        </w:rPr>
      </w:pPr>
      <w:r>
        <w:rPr>
          <w:b/>
          <w:bCs/>
          <w:lang w:val="es-ES_tradnl"/>
        </w:rPr>
        <w:t>b)</w:t>
      </w:r>
      <w:r>
        <w:rPr>
          <w:b/>
          <w:bCs/>
          <w:lang w:val="es-ES_tradnl"/>
        </w:rPr>
        <w:tab/>
        <w:t>Ponga en práctica el plan nacional de acción para la prevención y eliminación de la violencia institucional recientemente aprobado;</w:t>
      </w:r>
    </w:p>
    <w:p w:rsidR="00000000" w:rsidRDefault="00000000">
      <w:pPr>
        <w:spacing w:after="240"/>
        <w:ind w:left="1134" w:hanging="567"/>
        <w:rPr>
          <w:b/>
          <w:bCs/>
          <w:lang w:val="es-ES_tradnl"/>
        </w:rPr>
      </w:pPr>
      <w:r>
        <w:rPr>
          <w:b/>
          <w:bCs/>
          <w:lang w:val="es-ES_tradnl"/>
        </w:rPr>
        <w:t>c)</w:t>
      </w:r>
      <w:r>
        <w:rPr>
          <w:b/>
          <w:bCs/>
          <w:lang w:val="es-ES_tradnl"/>
        </w:rPr>
        <w:tab/>
        <w:t>Investigue de manera eficaz y en un plazo razonable los casos de muerte, tortura y maltrato de niños de los que se ha informado;</w:t>
      </w:r>
    </w:p>
    <w:p w:rsidR="00000000" w:rsidRDefault="00000000">
      <w:pPr>
        <w:spacing w:after="240"/>
        <w:ind w:left="1134" w:hanging="567"/>
        <w:rPr>
          <w:b/>
          <w:bCs/>
          <w:lang w:val="es-ES_tradnl"/>
        </w:rPr>
      </w:pPr>
      <w:r>
        <w:rPr>
          <w:b/>
          <w:bCs/>
          <w:lang w:val="es-ES_tradnl"/>
        </w:rPr>
        <w:t>d)</w:t>
      </w:r>
      <w:r>
        <w:rPr>
          <w:b/>
          <w:bCs/>
          <w:lang w:val="es-ES_tradnl"/>
        </w:rPr>
        <w:tab/>
        <w:t>Adopte urgentemente medidas para separar del servicio activo o suspender, según corresponda, a los presuntos autores mientras se lleva a cabo la investigación, o retirarlos del servicio si se los declara culpables;</w:t>
      </w:r>
    </w:p>
    <w:p w:rsidR="00000000" w:rsidRDefault="00000000">
      <w:pPr>
        <w:spacing w:after="240"/>
        <w:ind w:left="1134" w:hanging="567"/>
        <w:rPr>
          <w:b/>
          <w:bCs/>
          <w:lang w:val="es-ES_tradnl"/>
        </w:rPr>
      </w:pPr>
      <w:r>
        <w:rPr>
          <w:b/>
          <w:bCs/>
          <w:lang w:val="es-ES_tradnl"/>
        </w:rPr>
        <w:t>e)</w:t>
      </w:r>
      <w:r>
        <w:rPr>
          <w:b/>
          <w:bCs/>
          <w:lang w:val="es-ES_tradnl"/>
        </w:rPr>
        <w:tab/>
        <w:t>Proporcione formación sistemática a las fuerzas del orden en derechos humanos y derechos del niño y en las formas de evitar el uso de la fuerza;</w:t>
      </w:r>
    </w:p>
    <w:p w:rsidR="00000000" w:rsidRDefault="00000000">
      <w:pPr>
        <w:spacing w:after="240"/>
        <w:ind w:left="1134" w:hanging="567"/>
        <w:rPr>
          <w:b/>
          <w:bCs/>
          <w:lang w:val="es-ES_tradnl"/>
        </w:rPr>
      </w:pPr>
      <w:r>
        <w:rPr>
          <w:b/>
          <w:bCs/>
          <w:lang w:val="es-ES_tradnl"/>
        </w:rPr>
        <w:t>f)</w:t>
      </w:r>
      <w:r>
        <w:rPr>
          <w:b/>
          <w:bCs/>
          <w:lang w:val="es-ES_tradnl"/>
        </w:rPr>
        <w:tab/>
        <w:t>Establezca un mecanismo de presentación de denuncias al que se pueda recurrir fácilmente y que tenga en cuenta los intereses del niño e informe a los niños de sus derechos, entre ellos el derecho a presentar denuncias;</w:t>
      </w:r>
    </w:p>
    <w:p w:rsidR="00000000" w:rsidRDefault="00000000">
      <w:pPr>
        <w:spacing w:after="240"/>
        <w:ind w:left="1134" w:hanging="567"/>
        <w:rPr>
          <w:b/>
          <w:bCs/>
          <w:lang w:val="es-ES_tradnl"/>
        </w:rPr>
      </w:pPr>
      <w:r>
        <w:rPr>
          <w:b/>
          <w:bCs/>
          <w:lang w:val="es-ES_tradnl"/>
        </w:rPr>
        <w:t>g)</w:t>
      </w:r>
      <w:r>
        <w:rPr>
          <w:b/>
          <w:bCs/>
          <w:lang w:val="es-ES_tradnl"/>
        </w:rPr>
        <w:tab/>
        <w:t>Vele por que se exija la presencia de personal médico independiente y calificado para llevar a cabo exámenes periódicos de los niños detenidos;</w:t>
      </w:r>
    </w:p>
    <w:p w:rsidR="00000000" w:rsidRDefault="00000000">
      <w:pPr>
        <w:spacing w:after="240"/>
        <w:ind w:left="1134" w:hanging="567"/>
        <w:rPr>
          <w:b/>
          <w:bCs/>
          <w:lang w:val="es-ES_tradnl"/>
        </w:rPr>
      </w:pPr>
      <w:r>
        <w:rPr>
          <w:b/>
          <w:bCs/>
          <w:lang w:val="es-ES_tradnl"/>
        </w:rPr>
        <w:t>h)</w:t>
      </w:r>
      <w:r>
        <w:rPr>
          <w:b/>
          <w:bCs/>
          <w:lang w:val="es-ES_tradnl"/>
        </w:rPr>
        <w:tab/>
        <w:t>Adopte todas las medidas adecuadas, teniendo en cuenta el artículo 39 de la Convención, para que los niños que hayan sido torturados o maltratados puedan disponer de servicios de recuperación física y psicológica y de reintegración social, y sean indemnizados.</w:t>
      </w:r>
    </w:p>
    <w:p w:rsidR="00000000" w:rsidRDefault="00000000">
      <w:pPr>
        <w:spacing w:after="240"/>
        <w:ind w:firstLine="567"/>
        <w:rPr>
          <w:b/>
          <w:bCs/>
          <w:lang w:val="es-ES_tradnl"/>
        </w:rPr>
      </w:pPr>
      <w:r>
        <w:rPr>
          <w:b/>
          <w:bCs/>
          <w:lang w:val="es-ES_tradnl"/>
        </w:rPr>
        <w:t>Castigos corporales</w:t>
      </w:r>
    </w:p>
    <w:p w:rsidR="00000000" w:rsidRDefault="00000000">
      <w:pPr>
        <w:spacing w:after="240"/>
        <w:rPr>
          <w:lang w:val="es-ES_tradnl"/>
        </w:rPr>
      </w:pPr>
      <w:r>
        <w:rPr>
          <w:lang w:val="es-ES_tradnl"/>
        </w:rPr>
        <w:t>38.</w:t>
      </w:r>
      <w:r>
        <w:rPr>
          <w:lang w:val="es-ES_tradnl"/>
        </w:rPr>
        <w:tab/>
        <w:t>El Comité observa con preocupación que la ley no prohíbe explícitamente los castigos corporales, que todavía se practican frecuentemente en el hogar y en algunas instituciones.</w:t>
      </w:r>
    </w:p>
    <w:p w:rsidR="00000000" w:rsidRDefault="00000000">
      <w:pPr>
        <w:spacing w:after="240"/>
        <w:rPr>
          <w:b/>
          <w:bCs/>
          <w:lang w:val="es-ES_tradnl"/>
        </w:rPr>
      </w:pPr>
      <w:r>
        <w:rPr>
          <w:lang w:val="es-ES_tradnl"/>
        </w:rPr>
        <w:t>39.</w:t>
      </w:r>
      <w:r>
        <w:rPr>
          <w:lang w:val="es-ES_tradnl"/>
        </w:rPr>
        <w:tab/>
      </w:r>
      <w:r>
        <w:rPr>
          <w:b/>
          <w:bCs/>
          <w:lang w:val="es-ES_tradnl"/>
        </w:rPr>
        <w:t>El Comité recomienda al Estado Parte que prohíba expresamente los castigos corporales en el hogar y en todas las instituciones y lleve a cabo campañas de educación pública para promover formas positivas y no violentas de castigo como alternativa a los castigos corporales.</w:t>
      </w:r>
    </w:p>
    <w:p w:rsidR="00000000" w:rsidRDefault="00000000">
      <w:pPr>
        <w:spacing w:after="240"/>
        <w:rPr>
          <w:b/>
          <w:bCs/>
          <w:lang w:val="es-ES_tradnl"/>
        </w:rPr>
      </w:pPr>
      <w:r>
        <w:rPr>
          <w:b/>
          <w:bCs/>
          <w:lang w:val="es-ES_tradnl"/>
        </w:rPr>
        <w:t>5.</w:t>
      </w:r>
      <w:r>
        <w:rPr>
          <w:b/>
          <w:bCs/>
          <w:lang w:val="es-ES_tradnl"/>
        </w:rPr>
        <w:tab/>
        <w:t>Entorno familiar y otros tipos de tutela</w:t>
      </w:r>
    </w:p>
    <w:p w:rsidR="00000000" w:rsidRDefault="00000000">
      <w:pPr>
        <w:spacing w:after="240"/>
        <w:ind w:left="567"/>
        <w:rPr>
          <w:b/>
          <w:bCs/>
          <w:lang w:val="es-ES_tradnl"/>
        </w:rPr>
      </w:pPr>
      <w:r>
        <w:rPr>
          <w:b/>
          <w:bCs/>
          <w:lang w:val="es-ES_tradnl"/>
        </w:rPr>
        <w:t>Niños privados del medio familiar</w:t>
      </w:r>
    </w:p>
    <w:p w:rsidR="00000000" w:rsidRDefault="00000000">
      <w:pPr>
        <w:spacing w:after="240"/>
        <w:rPr>
          <w:lang w:val="es-ES_tradnl"/>
        </w:rPr>
      </w:pPr>
      <w:r>
        <w:rPr>
          <w:lang w:val="es-ES_tradnl"/>
        </w:rPr>
        <w:t>40.</w:t>
      </w:r>
      <w:r>
        <w:rPr>
          <w:lang w:val="es-ES_tradnl"/>
        </w:rPr>
        <w:tab/>
        <w:t>El Comité expresa profunda preocupación por el hecho de que la Ley Nº 10.903, de 1919, y la Ley Nº 22.278, que siguen en vigor y se basan en la doctrina de la "situación irregular", no distingan, en lo que se refiere a los procedimientos judiciales y el trato, entre los niños que necesitan atención y protección y los niños que tienen conflictos con la justicia.</w:t>
      </w:r>
    </w:p>
    <w:p w:rsidR="00000000" w:rsidRDefault="00000000">
      <w:pPr>
        <w:spacing w:after="240"/>
        <w:rPr>
          <w:lang w:val="es-ES_tradnl"/>
        </w:rPr>
      </w:pPr>
      <w:r>
        <w:rPr>
          <w:lang w:val="es-ES_tradnl"/>
        </w:rPr>
        <w:t>41.</w:t>
      </w:r>
      <w:r>
        <w:rPr>
          <w:b/>
          <w:bCs/>
          <w:lang w:val="es-ES_tradnl"/>
        </w:rPr>
        <w:tab/>
        <w:t>El Comité recomienda al Estado Parte que establezca mecanismos y procedimientos apropiados para hacer frente a la situación de los niños que necesitan atención y protección que puedan ponerse en práctica inmediatamente una vez que se ponga en vigor la ley de protección integral de los derechos del niño que se está debatiendo (ya tiene media sanción), que sustituirá la Ley Nº 10.903 y la Ley Nº 22.278.</w:t>
      </w:r>
    </w:p>
    <w:p w:rsidR="00000000" w:rsidRDefault="00000000">
      <w:pPr>
        <w:spacing w:after="240"/>
        <w:rPr>
          <w:lang w:val="es-ES_tradnl"/>
        </w:rPr>
      </w:pPr>
      <w:r>
        <w:rPr>
          <w:lang w:val="es-ES_tradnl"/>
        </w:rPr>
        <w:t>42.</w:t>
      </w:r>
      <w:r>
        <w:rPr>
          <w:lang w:val="es-ES_tradnl"/>
        </w:rPr>
        <w:tab/>
        <w:t>El Comité expresa su grave preocupación por el número de niños, especialmente los niños de familias pobres, que se encuentran privados de un medio familiar y colocados en instituciones de asistencia pública o en internados, a menudo lejos de su hogar.</w:t>
      </w:r>
    </w:p>
    <w:p w:rsidR="00000000" w:rsidRDefault="00000000">
      <w:pPr>
        <w:spacing w:after="240"/>
        <w:rPr>
          <w:b/>
          <w:bCs/>
          <w:lang w:val="es-ES_tradnl"/>
        </w:rPr>
      </w:pPr>
      <w:r>
        <w:rPr>
          <w:lang w:val="es-ES_tradnl"/>
        </w:rPr>
        <w:t>43.</w:t>
      </w:r>
      <w:r>
        <w:rPr>
          <w:b/>
          <w:bCs/>
          <w:lang w:val="es-ES_tradnl"/>
        </w:rPr>
        <w:tab/>
        <w:t>Teniendo en cuenta el artículo 20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medidas eficaces para desarrollar y afianzar la colocación en familias de guarda, hogares de guarda de tipo familiar y otros tipos de tutela de tipo familiar;</w:t>
      </w:r>
    </w:p>
    <w:p w:rsidR="00000000" w:rsidRDefault="00000000">
      <w:pPr>
        <w:spacing w:after="240"/>
        <w:ind w:left="1134" w:hanging="567"/>
        <w:rPr>
          <w:b/>
          <w:bCs/>
          <w:lang w:val="es-ES_tradnl"/>
        </w:rPr>
      </w:pPr>
      <w:r>
        <w:rPr>
          <w:b/>
          <w:bCs/>
          <w:lang w:val="es-ES_tradnl"/>
        </w:rPr>
        <w:t>b)</w:t>
      </w:r>
      <w:r>
        <w:rPr>
          <w:b/>
          <w:bCs/>
          <w:lang w:val="es-ES_tradnl"/>
        </w:rPr>
        <w:tab/>
        <w:t>Interne a niños en instituciones únicamente como medida extrema;</w:t>
      </w:r>
    </w:p>
    <w:p w:rsidR="00000000" w:rsidRDefault="00000000">
      <w:pPr>
        <w:spacing w:after="240"/>
        <w:ind w:left="1134" w:hanging="567"/>
        <w:rPr>
          <w:b/>
          <w:bCs/>
          <w:lang w:val="es-ES_tradnl"/>
        </w:rPr>
      </w:pPr>
      <w:r>
        <w:rPr>
          <w:b/>
          <w:bCs/>
          <w:lang w:val="es-ES_tradnl"/>
        </w:rPr>
        <w:t>c)</w:t>
      </w:r>
      <w:r>
        <w:rPr>
          <w:b/>
          <w:bCs/>
          <w:lang w:val="es-ES_tradnl"/>
        </w:rPr>
        <w:tab/>
        <w:t>Tome todas las medidas necesarias para mejorar las condiciones reinantes en las instituciones;</w:t>
      </w:r>
    </w:p>
    <w:p w:rsidR="00000000" w:rsidRDefault="00000000">
      <w:pPr>
        <w:spacing w:after="240"/>
        <w:ind w:left="1134" w:hanging="567"/>
        <w:rPr>
          <w:b/>
          <w:bCs/>
          <w:lang w:val="es-ES_tradnl"/>
        </w:rPr>
      </w:pPr>
      <w:r>
        <w:rPr>
          <w:b/>
          <w:bCs/>
          <w:lang w:val="es-ES_tradnl"/>
        </w:rPr>
        <w:t>d)</w:t>
      </w:r>
      <w:r>
        <w:rPr>
          <w:b/>
          <w:bCs/>
          <w:lang w:val="es-ES_tradnl"/>
        </w:rPr>
        <w:tab/>
        <w:t>Proporcione apoyo y formación al personal que trabaja en las instituciones; y</w:t>
      </w:r>
    </w:p>
    <w:p w:rsidR="00000000" w:rsidRDefault="00000000">
      <w:pPr>
        <w:spacing w:after="240"/>
        <w:ind w:left="1134" w:hanging="567"/>
        <w:rPr>
          <w:b/>
          <w:bCs/>
          <w:lang w:val="es-ES_tradnl"/>
        </w:rPr>
      </w:pPr>
      <w:r>
        <w:rPr>
          <w:b/>
          <w:bCs/>
          <w:lang w:val="es-ES_tradnl"/>
        </w:rPr>
        <w:t>e)</w:t>
      </w:r>
      <w:r>
        <w:rPr>
          <w:b/>
          <w:bCs/>
          <w:lang w:val="es-ES_tradnl"/>
        </w:rPr>
        <w:tab/>
        <w:t>Establezca mecanismos eficaces para recibir y tramitar las denuncias presentadas por niños que se encuentran en régimen de guarda, para cerciorarse de que se cumplan las normas relativas a la guarda y, teniendo en cuenta el artículo 25 de la Convención, implantar un régimen de examen periódico de la colocación.</w:t>
      </w:r>
    </w:p>
    <w:p w:rsidR="00000000" w:rsidRDefault="00000000">
      <w:pPr>
        <w:spacing w:after="240"/>
        <w:ind w:left="567"/>
        <w:rPr>
          <w:b/>
          <w:bCs/>
          <w:lang w:val="es-ES_tradnl"/>
        </w:rPr>
      </w:pPr>
      <w:r>
        <w:rPr>
          <w:b/>
          <w:bCs/>
          <w:lang w:val="es-ES_tradnl"/>
        </w:rPr>
        <w:t>Abuso y descuido</w:t>
      </w:r>
    </w:p>
    <w:p w:rsidR="00000000" w:rsidRDefault="00000000">
      <w:pPr>
        <w:spacing w:after="240"/>
        <w:rPr>
          <w:lang w:val="es-ES_tradnl"/>
        </w:rPr>
      </w:pPr>
      <w:r>
        <w:rPr>
          <w:lang w:val="es-ES_tradnl"/>
        </w:rPr>
        <w:t>44.</w:t>
      </w:r>
      <w:r>
        <w:rPr>
          <w:lang w:val="es-ES_tradnl"/>
        </w:rPr>
        <w:tab/>
        <w:t>El Comité toma nota de que se ha aprobado la Ley Nº 24.417 de protección contra la violencia familiar, pero le sigue preocupando la magnitud del fenómeno de la violencia doméstica, la falta de procedimientos normalizados para la detección y comunicación de los casos de descuido, maltrato y abuso, y el carácter limitado de los servicios de apoyo a las víctimas, especialmente en las provincias.</w:t>
      </w:r>
    </w:p>
    <w:p w:rsidR="00000000" w:rsidRDefault="00000000">
      <w:pPr>
        <w:spacing w:after="240"/>
        <w:rPr>
          <w:b/>
          <w:bCs/>
          <w:lang w:val="es-ES_tradnl"/>
        </w:rPr>
      </w:pPr>
      <w:r>
        <w:rPr>
          <w:lang w:val="es-ES_tradnl"/>
        </w:rPr>
        <w:t>45.</w:t>
      </w:r>
      <w:r>
        <w:rPr>
          <w:b/>
          <w:bCs/>
          <w:lang w:val="es-ES_tradnl"/>
        </w:rPr>
        <w:tab/>
        <w:t>Teniendo en cuenta el artículo 19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sobre la violencia doméstica, la violencia contra los niños, el maltrato y el abuso, incluido el abuso sexual, y extienda el sistema de reunión de datos a todo el país para llevar un registro de los casos de violencia física y mental y de descuido de que son víctimas los niños, para evaluar la magnitud, el alcance y la naturaleza de esas prácticas;</w:t>
      </w:r>
    </w:p>
    <w:p w:rsidR="00000000" w:rsidRDefault="00000000">
      <w:pPr>
        <w:spacing w:after="240"/>
        <w:ind w:left="1134" w:hanging="567"/>
        <w:rPr>
          <w:b/>
          <w:bCs/>
          <w:lang w:val="es-ES_tradnl"/>
        </w:rPr>
      </w:pPr>
      <w:r>
        <w:rPr>
          <w:b/>
          <w:bCs/>
          <w:lang w:val="es-ES_tradnl"/>
        </w:rPr>
        <w:t>b)</w:t>
      </w:r>
      <w:r>
        <w:rPr>
          <w:b/>
          <w:bCs/>
          <w:lang w:val="es-ES_tradnl"/>
        </w:rPr>
        <w:tab/>
        <w:t>Adopte y aplique eficazmente medidas y políticas adecuadas, que incluyan la organización de campañas públicas, sobre las formas alternativas de castigo, que contribuyan a cambiar las actitudes;</w:t>
      </w:r>
    </w:p>
    <w:p w:rsidR="00000000" w:rsidRDefault="00000000">
      <w:pPr>
        <w:spacing w:after="240"/>
        <w:ind w:left="1134" w:hanging="567"/>
        <w:rPr>
          <w:b/>
          <w:bCs/>
          <w:lang w:val="es-ES_tradnl"/>
        </w:rPr>
      </w:pPr>
      <w:r>
        <w:rPr>
          <w:b/>
          <w:bCs/>
          <w:lang w:val="es-ES_tradnl"/>
        </w:rPr>
        <w:t>c)</w:t>
      </w:r>
      <w:r>
        <w:rPr>
          <w:b/>
          <w:bCs/>
          <w:lang w:val="es-ES_tradnl"/>
        </w:rPr>
        <w:tab/>
        <w:t>Investigue eficazmente los casos de violencia doméstica y de maltrato y abuso de niños, incluido el abuso sexual en la familia, en el marco de una investigación y un procedimiento judicial que tengan en cuenta los intereses del niño, para mejorar la protección de las víctimas infantiles, que incluya la protección de su derecho a la vida privada;</w:t>
      </w:r>
    </w:p>
    <w:p w:rsidR="00000000" w:rsidRDefault="00000000">
      <w:pPr>
        <w:spacing w:after="240"/>
        <w:ind w:left="1134" w:hanging="567"/>
        <w:rPr>
          <w:b/>
          <w:bCs/>
          <w:lang w:val="es-ES_tradnl"/>
        </w:rPr>
      </w:pPr>
      <w:r>
        <w:rPr>
          <w:b/>
          <w:bCs/>
          <w:lang w:val="es-ES_tradnl"/>
        </w:rPr>
        <w:t>d)</w:t>
      </w:r>
      <w:r>
        <w:rPr>
          <w:b/>
          <w:bCs/>
          <w:lang w:val="es-ES_tradnl"/>
        </w:rPr>
        <w:tab/>
        <w:t>Refuerce las medidas para prestar servicios de apoyo a los niños en los procesos judiciales y favorecer la recuperación física y psicológica y la reintegración social de las víctimas de violaciones, abusos, descuido, malos tratos y violencia, de conformidad con el artículo 39 de la Convención; y</w:t>
      </w:r>
    </w:p>
    <w:p w:rsidR="00000000" w:rsidRDefault="00000000">
      <w:pPr>
        <w:spacing w:after="240"/>
        <w:ind w:left="1134" w:hanging="567"/>
        <w:rPr>
          <w:b/>
          <w:bCs/>
          <w:lang w:val="es-ES_tradnl"/>
        </w:rPr>
      </w:pPr>
      <w:r>
        <w:rPr>
          <w:b/>
          <w:bCs/>
          <w:lang w:val="es-ES_tradnl"/>
        </w:rPr>
        <w:t>e)</w:t>
      </w:r>
      <w:r>
        <w:rPr>
          <w:b/>
          <w:bCs/>
          <w:lang w:val="es-ES_tradnl"/>
        </w:rPr>
        <w:tab/>
        <w:t>Tenga en cuenta las recomendaciones del Comité aprobadas en sus días de debate general sobre la violencia contra los niños en la familia y en las escuelas (véase el documento CRC/C/111) y sobre "La violencia estatal contra los niños" (véase el documento CRC/C/100).</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left="567"/>
        <w:rPr>
          <w:b/>
          <w:bCs/>
          <w:lang w:val="es-ES_tradnl"/>
        </w:rPr>
      </w:pPr>
      <w:r>
        <w:rPr>
          <w:b/>
          <w:bCs/>
          <w:lang w:val="es-ES_tradnl"/>
        </w:rPr>
        <w:t>Salud y servicios sanitarios</w:t>
      </w:r>
    </w:p>
    <w:p w:rsidR="00000000" w:rsidRDefault="00000000">
      <w:pPr>
        <w:spacing w:after="240"/>
        <w:rPr>
          <w:lang w:val="es-ES_tradnl"/>
        </w:rPr>
      </w:pPr>
      <w:r>
        <w:rPr>
          <w:lang w:val="es-ES_tradnl"/>
        </w:rPr>
        <w:t>46.</w:t>
      </w:r>
      <w:r>
        <w:rPr>
          <w:lang w:val="es-ES_tradnl"/>
        </w:rPr>
        <w:tab/>
        <w:t>El Comité toma nota de que han bajado las tasas de mortalidad de lactantes, infantil y materna, pero le preocupa que esas tasas se mantengan altas y presenten grandes diferencias, en particular en lo que respecta a los niños de extracción humilde, los que viven en las zonas rurales, especialmente en las provincias norteñas, y los niños indígenas.  También toma nota de que de diez muertes de lactantes seis podrían evitarse con medidas de bajo costo.</w:t>
      </w:r>
    </w:p>
    <w:p w:rsidR="00000000" w:rsidRDefault="00000000">
      <w:pPr>
        <w:spacing w:after="240"/>
        <w:rPr>
          <w:b/>
          <w:bCs/>
          <w:lang w:val="es-ES_tradnl"/>
        </w:rPr>
      </w:pPr>
      <w:r>
        <w:rPr>
          <w:lang w:val="es-ES_tradnl"/>
        </w:rPr>
        <w:t>47.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Asigne recursos suficientes y elabore políticas y programas integrales para mejorar la situación sanitaria de todos los niños, sin discriminación, especialmente prestando más atención a la promoción y prevención sanitarias;</w:t>
      </w:r>
    </w:p>
    <w:p w:rsidR="00000000" w:rsidRDefault="00000000">
      <w:pPr>
        <w:spacing w:after="240"/>
        <w:ind w:left="1134" w:hanging="567"/>
        <w:rPr>
          <w:b/>
          <w:bCs/>
          <w:lang w:val="es-ES_tradnl"/>
        </w:rPr>
      </w:pPr>
      <w:r>
        <w:rPr>
          <w:b/>
          <w:bCs/>
          <w:lang w:val="es-ES_tradnl"/>
        </w:rPr>
        <w:t>b)</w:t>
      </w:r>
      <w:r>
        <w:rPr>
          <w:b/>
          <w:bCs/>
          <w:lang w:val="es-ES_tradnl"/>
        </w:rPr>
        <w:tab/>
        <w:t>Para reducir aún más las tasas de mortalidad y morbilidad infantiles y de mortalidad materna, adopte medidas para aplicar la Ley de salud reproductiva y procreación responsable, de julio de 2000; y</w:t>
      </w:r>
    </w:p>
    <w:p w:rsidR="00000000" w:rsidRDefault="00000000">
      <w:pPr>
        <w:spacing w:after="240"/>
        <w:ind w:left="1134" w:hanging="567"/>
        <w:rPr>
          <w:b/>
          <w:bCs/>
          <w:lang w:val="es-ES_tradnl"/>
        </w:rPr>
      </w:pPr>
      <w:r>
        <w:rPr>
          <w:b/>
          <w:bCs/>
          <w:lang w:val="es-ES_tradnl"/>
        </w:rPr>
        <w:t>c)</w:t>
      </w:r>
      <w:r>
        <w:rPr>
          <w:b/>
          <w:bCs/>
          <w:lang w:val="es-ES_tradnl"/>
        </w:rPr>
        <w:tab/>
        <w:t>Preste servicios adecuados de atención sanitaria prenatal y postnatal y organice campañas para informar a los padres acerca de la salud básica y la nutrición del niño, las ventajas del amamantamiento, la higiene y el saneamiento ambiental, la planificación de la familia y la salud reproductiva, especialmente en las provincias.</w:t>
      </w:r>
    </w:p>
    <w:p w:rsidR="00000000" w:rsidRDefault="00000000">
      <w:pPr>
        <w:keepNext/>
        <w:spacing w:after="240"/>
        <w:ind w:left="567"/>
        <w:rPr>
          <w:b/>
          <w:bCs/>
          <w:lang w:val="es-ES_tradnl"/>
        </w:rPr>
      </w:pPr>
      <w:r>
        <w:rPr>
          <w:b/>
          <w:bCs/>
          <w:lang w:val="es-ES_tradnl"/>
        </w:rPr>
        <w:t>Malnutrición</w:t>
      </w:r>
    </w:p>
    <w:p w:rsidR="00000000" w:rsidRDefault="00000000">
      <w:pPr>
        <w:keepNext/>
        <w:spacing w:after="240"/>
        <w:rPr>
          <w:lang w:val="es-ES_tradnl"/>
        </w:rPr>
      </w:pPr>
      <w:r>
        <w:rPr>
          <w:lang w:val="es-ES_tradnl"/>
        </w:rPr>
        <w:t>48.</w:t>
      </w:r>
      <w:r>
        <w:rPr>
          <w:lang w:val="es-ES_tradnl"/>
        </w:rPr>
        <w:tab/>
        <w:t>El Comité toma nota con profunda preocupación de que, según las estadísticas más recientes, el aumento de la tasa de malnutrición está afectando a más de 4 millones de niños y, en particular, a los recién nacidos y a los que viven en las provincias norteñas.  También toma nota de que aún no se han evaluado los efectos de la crisis económica en el estado de salud y la nutrición de los niños.</w:t>
      </w:r>
    </w:p>
    <w:p w:rsidR="00000000" w:rsidRDefault="00000000">
      <w:pPr>
        <w:spacing w:after="240"/>
        <w:rPr>
          <w:b/>
          <w:bCs/>
          <w:lang w:val="es-ES_tradnl"/>
        </w:rPr>
      </w:pPr>
      <w:r>
        <w:rPr>
          <w:lang w:val="es-ES_tradnl"/>
        </w:rPr>
        <w:t>49.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sobre la malnutrición infantil y cree un sistema integral de estadísticas para llevar un registro de los casos de malnutrición a fin de evaluar la magnitud, el alcance y la naturaleza de ese fenómeno;</w:t>
      </w:r>
    </w:p>
    <w:p w:rsidR="00000000" w:rsidRDefault="00000000">
      <w:pPr>
        <w:spacing w:after="240"/>
        <w:ind w:left="1134" w:hanging="567"/>
        <w:rPr>
          <w:b/>
          <w:bCs/>
          <w:lang w:val="es-ES_tradnl"/>
        </w:rPr>
      </w:pPr>
      <w:r>
        <w:rPr>
          <w:b/>
          <w:bCs/>
          <w:lang w:val="es-ES_tradnl"/>
        </w:rPr>
        <w:t>b)</w:t>
      </w:r>
      <w:r>
        <w:rPr>
          <w:b/>
          <w:bCs/>
          <w:lang w:val="es-ES_tradnl"/>
        </w:rPr>
        <w:tab/>
        <w:t xml:space="preserve">Elabore un programa integral en materia de nutrición para evitar y combatir ese fenómeno; y </w:t>
      </w:r>
    </w:p>
    <w:p w:rsidR="00000000" w:rsidRDefault="00000000">
      <w:pPr>
        <w:spacing w:after="240"/>
        <w:ind w:left="1134" w:hanging="567"/>
        <w:rPr>
          <w:b/>
          <w:bCs/>
          <w:lang w:val="es-ES_tradnl"/>
        </w:rPr>
      </w:pPr>
      <w:r>
        <w:rPr>
          <w:b/>
          <w:bCs/>
          <w:lang w:val="es-ES_tradnl"/>
        </w:rPr>
        <w:t>c)</w:t>
      </w:r>
      <w:r>
        <w:rPr>
          <w:b/>
          <w:bCs/>
          <w:lang w:val="es-ES_tradnl"/>
        </w:rPr>
        <w:tab/>
        <w:t>Solicite la cooperación internacional del UNICEF y de la Organización Mundial de la Salud, entre otros organismos.</w:t>
      </w:r>
    </w:p>
    <w:p w:rsidR="00000000" w:rsidRDefault="00000000">
      <w:pPr>
        <w:spacing w:after="240"/>
        <w:ind w:left="567"/>
        <w:rPr>
          <w:b/>
          <w:bCs/>
          <w:lang w:val="es-ES_tradnl"/>
        </w:rPr>
      </w:pPr>
      <w:r>
        <w:rPr>
          <w:b/>
          <w:bCs/>
          <w:lang w:val="es-ES_tradnl"/>
        </w:rPr>
        <w:t>Salud del adolescente</w:t>
      </w:r>
    </w:p>
    <w:p w:rsidR="00000000" w:rsidRDefault="00000000">
      <w:pPr>
        <w:spacing w:after="240"/>
        <w:rPr>
          <w:lang w:val="es-ES_tradnl"/>
        </w:rPr>
      </w:pPr>
      <w:r>
        <w:rPr>
          <w:lang w:val="es-ES_tradnl"/>
        </w:rPr>
        <w:t>50.</w:t>
      </w:r>
      <w:r>
        <w:rPr>
          <w:lang w:val="es-ES_tradnl"/>
        </w:rPr>
        <w:tab/>
        <w:t>El Comité toma nota con preocupación del número cada vez mayor de casos de VIH/SIDA que se dan entre los jóvenes, a pesar de existir un plan nacional de lucha contra el SIDA, y reitera su preocupación (ibíd., párr. 12) por el número de embarazos de adolescentes, especialmente en algunas provincias.</w:t>
      </w:r>
    </w:p>
    <w:p w:rsidR="00000000" w:rsidRDefault="00000000">
      <w:pPr>
        <w:spacing w:after="240"/>
        <w:rPr>
          <w:b/>
          <w:bCs/>
          <w:lang w:val="es-ES_tradnl"/>
        </w:rPr>
      </w:pPr>
      <w:r>
        <w:rPr>
          <w:lang w:val="es-ES_tradnl"/>
        </w:rPr>
        <w:t>51.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Revise y reactive sus programas de lucha contra el VIH/SIDA e intensifique sus esfuerzos para promover las políticas de salud del adolescente.  Debería prestarse debidamente atención a la salud reproductiva y se debería potenciar aún más el programa de educación sanitaria y sexual en las escuelas.</w:t>
      </w:r>
    </w:p>
    <w:p w:rsidR="00000000" w:rsidRDefault="00000000">
      <w:pPr>
        <w:spacing w:after="240"/>
        <w:ind w:left="1134" w:hanging="567"/>
        <w:rPr>
          <w:b/>
          <w:bCs/>
          <w:lang w:val="es-ES_tradnl"/>
        </w:rPr>
      </w:pPr>
      <w:r>
        <w:rPr>
          <w:b/>
          <w:bCs/>
          <w:lang w:val="es-ES_tradnl"/>
        </w:rPr>
        <w:t>b)</w:t>
      </w:r>
      <w:r>
        <w:rPr>
          <w:b/>
          <w:bCs/>
          <w:lang w:val="es-ES_tradnl"/>
        </w:rPr>
        <w:tab/>
        <w:t>Realice un estudio completo y multidisciplinario para evaluar el alcance y la naturaleza de los problemas de salud de los adolescentes, incluidos los efectos negativos de las enfermedades de transmisión sexual y del VIH/SIDA, y siga elaborando políticas y programas adecuados.</w:t>
      </w:r>
    </w:p>
    <w:p w:rsidR="00000000" w:rsidRDefault="00000000">
      <w:pPr>
        <w:spacing w:after="240"/>
        <w:ind w:left="1134" w:hanging="567"/>
        <w:rPr>
          <w:b/>
          <w:bCs/>
          <w:lang w:val="es-ES_tradnl"/>
        </w:rPr>
      </w:pPr>
      <w:r>
        <w:rPr>
          <w:b/>
          <w:bCs/>
          <w:lang w:val="es-ES_tradnl"/>
        </w:rPr>
        <w:t>c)</w:t>
      </w:r>
      <w:r>
        <w:rPr>
          <w:b/>
          <w:bCs/>
          <w:lang w:val="es-ES_tradnl"/>
        </w:rPr>
        <w:tab/>
        <w:t>Adopte nuevas medidas, como la asignación de recursos humanos y financieros suficientes, para evaluar la eficacia de los programas de formación en materia de educación sanitaria, en particular en lo que respecta a la salud reproductiva, y para establecer servicios de asesoramiento, atención y rehabilitación de carácter confidencial, que tengan en cuenta los intereses de los adolescentes y a los que se pueda recurrir sin el consentimiento de los padres cuando así lo exija el interés superior del menor; y</w:t>
      </w:r>
    </w:p>
    <w:p w:rsidR="00000000" w:rsidRDefault="00000000">
      <w:pPr>
        <w:spacing w:after="240"/>
        <w:ind w:left="1134" w:hanging="567"/>
        <w:rPr>
          <w:b/>
          <w:bCs/>
          <w:lang w:val="es-ES_tradnl"/>
        </w:rPr>
      </w:pPr>
      <w:r>
        <w:rPr>
          <w:b/>
          <w:bCs/>
          <w:lang w:val="es-ES_tradnl"/>
        </w:rPr>
        <w:t>d)</w:t>
      </w:r>
      <w:r>
        <w:rPr>
          <w:b/>
          <w:bCs/>
          <w:lang w:val="es-ES_tradnl"/>
        </w:rPr>
        <w:tab/>
        <w:t>Solicite cooperación técnica al FNUAP, el UNICEF, la OMS y ONUSIDA, entre otros organismos.</w:t>
      </w:r>
    </w:p>
    <w:p w:rsidR="00000000" w:rsidRDefault="00000000">
      <w:pPr>
        <w:spacing w:after="240"/>
        <w:ind w:left="567"/>
        <w:rPr>
          <w:b/>
          <w:bCs/>
          <w:lang w:val="es-ES_tradnl"/>
        </w:rPr>
      </w:pPr>
      <w:r>
        <w:rPr>
          <w:b/>
          <w:bCs/>
          <w:lang w:val="es-ES_tradnl"/>
        </w:rPr>
        <w:t>Niños con discapacidades</w:t>
      </w:r>
    </w:p>
    <w:p w:rsidR="00000000" w:rsidRDefault="00000000">
      <w:pPr>
        <w:spacing w:after="240"/>
        <w:rPr>
          <w:lang w:val="es-ES_tradnl"/>
        </w:rPr>
      </w:pPr>
      <w:r>
        <w:rPr>
          <w:lang w:val="es-ES_tradnl"/>
        </w:rPr>
        <w:t>52.</w:t>
      </w:r>
      <w:r>
        <w:rPr>
          <w:lang w:val="es-ES_tradnl"/>
        </w:rPr>
        <w:tab/>
        <w:t>El Comité observa con preocupación que se carece de información sobre los niños con discapacidades de la Argentina y que hay niños que son internados en instituciones porque la ayuda que se presta a las familias pobres con niños discapacitados es insuficiente.</w:t>
      </w:r>
    </w:p>
    <w:p w:rsidR="00000000" w:rsidRDefault="00000000">
      <w:pPr>
        <w:spacing w:after="240"/>
        <w:rPr>
          <w:b/>
          <w:bCs/>
          <w:lang w:val="es-ES_tradnl"/>
        </w:rPr>
      </w:pPr>
      <w:r>
        <w:rPr>
          <w:lang w:val="es-ES_tradnl"/>
        </w:rPr>
        <w:t>53.</w:t>
      </w:r>
      <w:r>
        <w:rPr>
          <w:b/>
          <w:bCs/>
          <w:lang w:val="es-ES_tradnl"/>
        </w:rPr>
        <w:tab/>
        <w:t>Teniendo en cuenta el artículo 23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sobre la situación de los niños con discapacidades para evaluar su magnitud, alcance y naturaleza;</w:t>
      </w:r>
    </w:p>
    <w:p w:rsidR="00000000" w:rsidRDefault="00000000">
      <w:pPr>
        <w:spacing w:after="240"/>
        <w:ind w:left="1134" w:hanging="567"/>
        <w:rPr>
          <w:b/>
          <w:bCs/>
          <w:lang w:val="es-ES_tradnl"/>
        </w:rPr>
      </w:pPr>
      <w:r>
        <w:rPr>
          <w:b/>
          <w:bCs/>
          <w:lang w:val="es-ES_tradnl"/>
        </w:rPr>
        <w:t>b)</w:t>
      </w:r>
      <w:r>
        <w:rPr>
          <w:b/>
          <w:bCs/>
          <w:lang w:val="es-ES_tradnl"/>
        </w:rPr>
        <w:tab/>
        <w:t>Adopte medidas para asegurarse de que se siga de cerca la situación de los niños con discapacidades a fin de evaluarla y atender eficazmente a las necesidades de esos niños;</w:t>
      </w:r>
    </w:p>
    <w:p w:rsidR="00000000" w:rsidRDefault="00000000">
      <w:pPr>
        <w:spacing w:after="240"/>
        <w:ind w:left="1134" w:hanging="567"/>
        <w:rPr>
          <w:b/>
          <w:bCs/>
          <w:lang w:val="es-ES_tradnl"/>
        </w:rPr>
      </w:pPr>
      <w:r>
        <w:rPr>
          <w:b/>
          <w:bCs/>
          <w:lang w:val="es-ES_tradnl"/>
        </w:rPr>
        <w:t>c)</w:t>
      </w:r>
      <w:r>
        <w:rPr>
          <w:b/>
          <w:bCs/>
          <w:lang w:val="es-ES_tradnl"/>
        </w:rPr>
        <w:tab/>
        <w:t>Organice campañas de sensibilización de la población para hacerle tomar conciencia de la situación y de los derechos de los niños con discapacidades;</w:t>
      </w:r>
    </w:p>
    <w:p w:rsidR="00000000" w:rsidRDefault="00000000">
      <w:pPr>
        <w:spacing w:after="240"/>
        <w:ind w:left="1134" w:hanging="567"/>
        <w:rPr>
          <w:b/>
          <w:bCs/>
          <w:lang w:val="es-ES_tradnl"/>
        </w:rPr>
      </w:pPr>
      <w:r>
        <w:rPr>
          <w:b/>
          <w:bCs/>
          <w:lang w:val="es-ES_tradnl"/>
        </w:rPr>
        <w:t>d)</w:t>
      </w:r>
      <w:r>
        <w:rPr>
          <w:b/>
          <w:bCs/>
          <w:lang w:val="es-ES_tradnl"/>
        </w:rPr>
        <w:tab/>
        <w:t>Asigne los recursos necesarios para los programas y servicios destinados a los niños con discapacidades, especialmente los que viven en las provincias, y mejore los programas comunitarios para que esos niños puedan permanecer en casa con sus familiares;</w:t>
      </w:r>
    </w:p>
    <w:p w:rsidR="00000000" w:rsidRDefault="00000000">
      <w:pPr>
        <w:spacing w:after="240"/>
        <w:ind w:left="1134" w:hanging="567"/>
        <w:rPr>
          <w:b/>
          <w:bCs/>
          <w:lang w:val="es-ES_tradnl"/>
        </w:rPr>
      </w:pPr>
      <w:r>
        <w:rPr>
          <w:b/>
          <w:bCs/>
          <w:lang w:val="es-ES_tradnl"/>
        </w:rPr>
        <w:t>e)</w:t>
      </w:r>
      <w:r>
        <w:rPr>
          <w:b/>
          <w:bCs/>
          <w:lang w:val="es-ES_tradnl"/>
        </w:rPr>
        <w:tab/>
        <w:t>Preste apoyo a los padres de los niños con discapacidades suministrándoles asesoramiento y, de ser necesario, apoyo financiero; y</w:t>
      </w:r>
    </w:p>
    <w:p w:rsidR="00000000" w:rsidRDefault="00000000">
      <w:pPr>
        <w:spacing w:after="240"/>
        <w:ind w:left="1134" w:hanging="567"/>
        <w:rPr>
          <w:b/>
          <w:bCs/>
          <w:lang w:val="es-ES_tradnl"/>
        </w:rPr>
      </w:pPr>
      <w:r>
        <w:rPr>
          <w:b/>
          <w:bCs/>
          <w:lang w:val="es-ES_tradnl"/>
        </w:rPr>
        <w:t>f)</w:t>
      </w:r>
      <w:r>
        <w:rPr>
          <w:b/>
          <w:bCs/>
          <w:lang w:val="es-ES_tradnl"/>
        </w:rPr>
        <w:tab/>
        <w:t>Teniendo en cuenta las Normas Uniformes sobre la igualdad de oportunidades para las personas con discapacidad (resolución 48/96 de la Asamblea General, anexo) y las recomendaciones aprobadas por el Comité en su día de debate general sobre los derechos de los niños con discapacidades (CRC/C/69, párrs. 310 a 339), siga promoviendo la integración de esos niños en el sistema de educación ordinario y en la sociedad, entre otras cosas impartiendo una formación especial a los maestros y facilitando el acceso de esos niños a las escuelas.</w:t>
      </w:r>
    </w:p>
    <w:p w:rsidR="00000000" w:rsidRDefault="00000000">
      <w:pPr>
        <w:spacing w:after="240"/>
        <w:ind w:left="567"/>
        <w:rPr>
          <w:lang w:val="es-ES_tradnl"/>
        </w:rPr>
      </w:pPr>
      <w:r>
        <w:rPr>
          <w:b/>
          <w:bCs/>
          <w:lang w:val="es-ES_tradnl"/>
        </w:rPr>
        <w:t>Nivel de vida</w:t>
      </w:r>
    </w:p>
    <w:p w:rsidR="00000000" w:rsidRDefault="00000000">
      <w:pPr>
        <w:spacing w:after="240"/>
        <w:rPr>
          <w:lang w:val="es-ES_tradnl"/>
        </w:rPr>
      </w:pPr>
      <w:r>
        <w:rPr>
          <w:lang w:val="es-ES_tradnl"/>
        </w:rPr>
        <w:t>54.</w:t>
      </w:r>
      <w:r>
        <w:rPr>
          <w:lang w:val="es-ES_tradnl"/>
        </w:rPr>
        <w:tab/>
        <w:t>El Comité toma nota con preocupación de que la reciente crisis económica, política y social ha aumentado la pobreza, especialmente entre los niños y los grupos vulnerables.</w:t>
      </w:r>
    </w:p>
    <w:p w:rsidR="00000000" w:rsidRDefault="00000000">
      <w:pPr>
        <w:spacing w:after="240"/>
        <w:rPr>
          <w:b/>
          <w:bCs/>
          <w:lang w:val="es-ES_tradnl"/>
        </w:rPr>
      </w:pPr>
      <w:r>
        <w:rPr>
          <w:lang w:val="es-ES_tradnl"/>
        </w:rPr>
        <w:t>55.</w:t>
      </w:r>
      <w:r>
        <w:rPr>
          <w:b/>
          <w:bCs/>
          <w:lang w:val="es-ES_tradnl"/>
        </w:rPr>
        <w:tab/>
        <w:t>El Comité recomienda al Estado Parte que prosiga sus esfuerzos para evitar, incluso mediante una estrategia integral de reducción de la pobreza en la que se incorporen los principios de derechos humanos, la disminución del nivel de vida de los hogares, en particular entre los grupos vulnerables.</w:t>
      </w:r>
    </w:p>
    <w:p w:rsidR="00000000" w:rsidRDefault="00000000">
      <w:pPr>
        <w:keepNext/>
        <w:spacing w:after="240"/>
        <w:rPr>
          <w:b/>
          <w:bCs/>
          <w:lang w:val="es-ES_tradnl"/>
        </w:rPr>
      </w:pPr>
      <w:r>
        <w:rPr>
          <w:b/>
          <w:bCs/>
          <w:lang w:val="es-ES_tradnl"/>
        </w:rPr>
        <w:t>7.</w:t>
      </w:r>
      <w:r>
        <w:rPr>
          <w:b/>
          <w:bCs/>
          <w:lang w:val="es-ES_tradnl"/>
        </w:rPr>
        <w:tab/>
        <w:t>Educación, esparcimiento y actividades culturales</w:t>
      </w:r>
    </w:p>
    <w:p w:rsidR="00000000" w:rsidRDefault="00000000">
      <w:pPr>
        <w:keepNext/>
        <w:spacing w:after="240"/>
        <w:ind w:left="567"/>
        <w:rPr>
          <w:b/>
          <w:bCs/>
          <w:lang w:val="es-ES_tradnl"/>
        </w:rPr>
      </w:pPr>
      <w:r>
        <w:rPr>
          <w:b/>
          <w:bCs/>
          <w:lang w:val="es-ES_tradnl"/>
        </w:rPr>
        <w:t>Educación</w:t>
      </w:r>
    </w:p>
    <w:p w:rsidR="00000000" w:rsidRDefault="00000000">
      <w:pPr>
        <w:keepNext/>
        <w:spacing w:after="240"/>
        <w:rPr>
          <w:lang w:val="es-ES_tradnl"/>
        </w:rPr>
      </w:pPr>
      <w:r>
        <w:rPr>
          <w:lang w:val="es-ES_tradnl"/>
        </w:rPr>
        <w:t>56.</w:t>
      </w:r>
      <w:r>
        <w:rPr>
          <w:lang w:val="es-ES_tradnl"/>
        </w:rPr>
        <w:tab/>
        <w:t>El Comité toma nota de que ha aumentado la matriculación en la enseñanza primaria y secundaria, pero le sigue preocupando el limitado acceso a la educación y las elevadas tasas de deserción escolar y repetición, especialmente en la escuela secundaria, que afectan, en particular, a los niños de las zonas urbanas y rurales marginadas, los niños indígenas y los niños de las familias de migrantes, especialmente las de los migrantes ilegales.  También toma nota con preocupación de que se ha reducido el gasto escolar, lo que afecta, en particular, a los niños más pobres.</w:t>
      </w:r>
    </w:p>
    <w:p w:rsidR="00000000" w:rsidRDefault="00000000">
      <w:pPr>
        <w:spacing w:after="240"/>
        <w:rPr>
          <w:b/>
          <w:bCs/>
          <w:lang w:val="es-ES_tradnl"/>
        </w:rPr>
      </w:pPr>
      <w:r>
        <w:rPr>
          <w:lang w:val="es-ES_tradnl"/>
        </w:rPr>
        <w:t>57.</w:t>
      </w:r>
      <w:r>
        <w:rPr>
          <w:b/>
          <w:bCs/>
          <w:lang w:val="es-ES_tradnl"/>
        </w:rPr>
        <w:tab/>
        <w:t>Teniendo en cuenta los artículos 28 y 29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Aumente el presupuesto de educación;</w:t>
      </w:r>
    </w:p>
    <w:p w:rsidR="00000000" w:rsidRDefault="00000000">
      <w:pPr>
        <w:spacing w:after="240"/>
        <w:ind w:left="1134" w:hanging="567"/>
        <w:rPr>
          <w:b/>
          <w:bCs/>
          <w:lang w:val="es-ES_tradnl"/>
        </w:rPr>
      </w:pPr>
      <w:r>
        <w:rPr>
          <w:b/>
          <w:bCs/>
          <w:lang w:val="es-ES_tradnl"/>
        </w:rPr>
        <w:t>b)</w:t>
      </w:r>
      <w:r>
        <w:rPr>
          <w:b/>
          <w:bCs/>
          <w:lang w:val="es-ES_tradnl"/>
        </w:rPr>
        <w:tab/>
        <w:t>Mejore el Plan Social de Educación para garantizar una asistencia regular a la escuela y la reducción de la tasa de deserción escolar, especialmente en el caso de los niños más vulnerables;</w:t>
      </w:r>
    </w:p>
    <w:p w:rsidR="00000000" w:rsidRDefault="00000000">
      <w:pPr>
        <w:spacing w:after="240"/>
        <w:ind w:left="1134" w:hanging="567"/>
        <w:rPr>
          <w:b/>
          <w:bCs/>
          <w:lang w:val="es-ES_tradnl"/>
        </w:rPr>
      </w:pPr>
      <w:r>
        <w:rPr>
          <w:b/>
          <w:bCs/>
          <w:lang w:val="es-ES_tradnl"/>
        </w:rPr>
        <w:t>c)</w:t>
      </w:r>
      <w:r>
        <w:rPr>
          <w:b/>
          <w:bCs/>
          <w:lang w:val="es-ES_tradnl"/>
        </w:rPr>
        <w:tab/>
        <w:t>Mejore los programas de subsidios y becas para los niños más afectados por la crisis económica;</w:t>
      </w:r>
    </w:p>
    <w:p w:rsidR="00000000" w:rsidRDefault="00000000">
      <w:pPr>
        <w:spacing w:after="240"/>
        <w:ind w:left="1134" w:hanging="567"/>
        <w:rPr>
          <w:b/>
          <w:bCs/>
          <w:lang w:val="es-ES_tradnl"/>
        </w:rPr>
      </w:pPr>
      <w:r>
        <w:rPr>
          <w:b/>
          <w:bCs/>
          <w:lang w:val="es-ES_tradnl"/>
        </w:rPr>
        <w:t>d)</w:t>
      </w:r>
      <w:r>
        <w:rPr>
          <w:b/>
          <w:bCs/>
          <w:lang w:val="es-ES_tradnl"/>
        </w:rPr>
        <w:tab/>
        <w:t>Intensifique y desarrolle la enseñanza de los derechos humanos y los derechos del niño; y</w:t>
      </w:r>
    </w:p>
    <w:p w:rsidR="00000000" w:rsidRDefault="00000000">
      <w:pPr>
        <w:spacing w:after="240"/>
        <w:ind w:left="1134" w:hanging="567"/>
        <w:rPr>
          <w:b/>
          <w:bCs/>
          <w:lang w:val="es-ES_tradnl"/>
        </w:rPr>
      </w:pPr>
      <w:r>
        <w:rPr>
          <w:b/>
          <w:bCs/>
          <w:lang w:val="es-ES_tradnl"/>
        </w:rPr>
        <w:t>e)</w:t>
      </w:r>
      <w:r>
        <w:rPr>
          <w:b/>
          <w:bCs/>
          <w:lang w:val="es-ES_tradnl"/>
        </w:rPr>
        <w:tab/>
        <w:t>Mejore la calidad de la educación para alcanzar los objetivos mencionados en el párrafo 1 del artículo 29, en consonancia con la Observación general Nº 1 del Comité, relativa a los objetivos de la educación.</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ind w:left="567"/>
        <w:rPr>
          <w:b/>
          <w:bCs/>
          <w:lang w:val="es-ES_tradnl"/>
        </w:rPr>
      </w:pPr>
      <w:r>
        <w:rPr>
          <w:b/>
          <w:bCs/>
          <w:lang w:val="es-ES_tradnl"/>
        </w:rPr>
        <w:t>Explotación económica</w:t>
      </w:r>
    </w:p>
    <w:p w:rsidR="00000000" w:rsidRDefault="00000000">
      <w:pPr>
        <w:spacing w:after="240"/>
        <w:rPr>
          <w:lang w:val="es-ES_tradnl"/>
        </w:rPr>
      </w:pPr>
      <w:r>
        <w:rPr>
          <w:lang w:val="es-ES_tradnl"/>
        </w:rPr>
        <w:t>58.</w:t>
      </w:r>
      <w:r>
        <w:rPr>
          <w:lang w:val="es-ES_tradnl"/>
        </w:rPr>
        <w:tab/>
        <w:t>El Comité toma nota de que el Estado Parte ratificó en 1996 el Convenio Nº 138, sobre la edad mínima de admisión al empleo, y en 2001 el Convenio Nº 182, sobre la prohibición de las peores formas de trabajo infantil y la acción inmediata para su eliminación, ambos de la OIT, pero observa con profunda preocupación el número cada vez mayor de niños menores de 14 años que son objeto de explotación económica, especialmente en las zonas rurales, a causa de la crisis económica.  También le preocupa la falta de datos e información sobre esta cuestión.</w:t>
      </w:r>
    </w:p>
    <w:p w:rsidR="00000000" w:rsidRDefault="00000000">
      <w:pPr>
        <w:spacing w:after="240"/>
        <w:rPr>
          <w:b/>
          <w:bCs/>
          <w:lang w:val="es-ES_tradnl"/>
        </w:rPr>
      </w:pPr>
      <w:r>
        <w:rPr>
          <w:lang w:val="es-ES_tradnl"/>
        </w:rPr>
        <w:t>59.</w:t>
      </w:r>
      <w:r>
        <w:rPr>
          <w:b/>
          <w:bCs/>
          <w:lang w:val="es-ES_tradnl"/>
        </w:rPr>
        <w:tab/>
        <w:t>Teniendo en cuenta el artículo 32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completo sobre el trabajo infantil para evaluar la magnitud, el alcance y la naturaleza de ese problema;</w:t>
      </w:r>
    </w:p>
    <w:p w:rsidR="00000000" w:rsidRDefault="00000000">
      <w:pPr>
        <w:spacing w:after="240"/>
        <w:ind w:left="1134" w:hanging="567"/>
        <w:rPr>
          <w:b/>
          <w:bCs/>
          <w:lang w:val="es-ES_tradnl"/>
        </w:rPr>
      </w:pPr>
      <w:r>
        <w:rPr>
          <w:b/>
          <w:bCs/>
          <w:lang w:val="es-ES_tradnl"/>
        </w:rPr>
        <w:t>b)</w:t>
      </w:r>
      <w:r>
        <w:rPr>
          <w:b/>
          <w:bCs/>
          <w:lang w:val="es-ES_tradnl"/>
        </w:rPr>
        <w:tab/>
        <w:t>Siga aprobando leyes y mejorando las existentes para proporcionar protección a los niños que trabajan, de conformidad con los Convenios Nos. 138 y 182 de la OIT, entre otras cosas para aumentar a 15 años la edad mínima para el empleo;</w:t>
      </w:r>
    </w:p>
    <w:p w:rsidR="00000000" w:rsidRDefault="00000000">
      <w:pPr>
        <w:spacing w:after="240"/>
        <w:ind w:left="1134" w:hanging="567"/>
        <w:rPr>
          <w:b/>
          <w:bCs/>
          <w:lang w:val="es-ES_tradnl"/>
        </w:rPr>
      </w:pPr>
      <w:r>
        <w:rPr>
          <w:b/>
          <w:bCs/>
          <w:lang w:val="es-ES_tradnl"/>
        </w:rPr>
        <w:t>c)</w:t>
      </w:r>
      <w:r>
        <w:rPr>
          <w:b/>
          <w:bCs/>
          <w:lang w:val="es-ES_tradnl"/>
        </w:rPr>
        <w:tab/>
        <w:t>Siga elaborando y garantice la aprobación del plan nacional para evitar y erradicar el trabajo infantil;</w:t>
      </w:r>
    </w:p>
    <w:p w:rsidR="00000000" w:rsidRDefault="00000000">
      <w:pPr>
        <w:spacing w:after="240"/>
        <w:ind w:left="1134" w:hanging="567"/>
        <w:rPr>
          <w:b/>
          <w:bCs/>
          <w:lang w:val="es-ES_tradnl"/>
        </w:rPr>
      </w:pPr>
      <w:r>
        <w:rPr>
          <w:b/>
          <w:bCs/>
          <w:lang w:val="es-ES_tradnl"/>
        </w:rPr>
        <w:t>d)</w:t>
      </w:r>
      <w:r>
        <w:rPr>
          <w:b/>
          <w:bCs/>
          <w:lang w:val="es-ES_tradnl"/>
        </w:rPr>
        <w:tab/>
        <w:t>Establezca un sistema fiable de reunión de información sobre el trabajo infantil; y</w:t>
      </w:r>
    </w:p>
    <w:p w:rsidR="00000000" w:rsidRDefault="00000000">
      <w:pPr>
        <w:spacing w:after="240"/>
        <w:ind w:left="1134" w:hanging="567"/>
        <w:rPr>
          <w:b/>
          <w:bCs/>
          <w:lang w:val="es-ES_tradnl"/>
        </w:rPr>
      </w:pPr>
      <w:r>
        <w:rPr>
          <w:b/>
          <w:bCs/>
          <w:lang w:val="es-ES_tradnl"/>
        </w:rPr>
        <w:t>e)</w:t>
      </w:r>
      <w:r>
        <w:rPr>
          <w:b/>
          <w:bCs/>
          <w:lang w:val="es-ES_tradnl"/>
        </w:rPr>
        <w:tab/>
        <w:t>Combata y erradique lo más eficazmente posible todas las formas de trabajo infantil, incluso aumentando su cooperación con el IPEC/OIT y el UNICEF.</w:t>
      </w:r>
    </w:p>
    <w:p w:rsidR="00000000" w:rsidRDefault="00000000">
      <w:pPr>
        <w:spacing w:after="240"/>
        <w:ind w:left="567"/>
        <w:rPr>
          <w:b/>
          <w:bCs/>
          <w:lang w:val="es-ES_tradnl"/>
        </w:rPr>
      </w:pPr>
      <w:r>
        <w:rPr>
          <w:b/>
          <w:bCs/>
          <w:lang w:val="es-ES_tradnl"/>
        </w:rPr>
        <w:t>Explotación sexual y trata de niños</w:t>
      </w:r>
    </w:p>
    <w:p w:rsidR="00000000" w:rsidRDefault="00000000">
      <w:pPr>
        <w:spacing w:after="240"/>
        <w:rPr>
          <w:lang w:val="es-ES_tradnl"/>
        </w:rPr>
      </w:pPr>
      <w:r>
        <w:rPr>
          <w:lang w:val="es-ES_tradnl"/>
        </w:rPr>
        <w:t>60.</w:t>
      </w:r>
      <w:r>
        <w:rPr>
          <w:lang w:val="es-ES_tradnl"/>
        </w:rPr>
        <w:tab/>
        <w:t>Al Comité le preocupa que esté aumentando la prostitución infantil, especialmente en las grandes ciudades.  Además, observa que, a pesar de que en 2000 se aprobó un plan nacional de acción para combatir la explotación sexual comercial de los niños, aún no se han formulado políticas y programas coordinados sobre esa cuestión.</w:t>
      </w:r>
    </w:p>
    <w:p w:rsidR="00000000" w:rsidRDefault="00000000">
      <w:pPr>
        <w:spacing w:after="240"/>
        <w:rPr>
          <w:b/>
          <w:bCs/>
          <w:lang w:val="es-ES_tradnl"/>
        </w:rPr>
      </w:pPr>
      <w:r>
        <w:rPr>
          <w:lang w:val="es-ES_tradnl"/>
        </w:rPr>
        <w:t>61.</w:t>
      </w:r>
      <w:r>
        <w:rPr>
          <w:b/>
          <w:bCs/>
          <w:lang w:val="es-ES_tradnl"/>
        </w:rPr>
        <w:tab/>
        <w:t>Teniendo en cuenta los artículos 32 a 36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sobre la cuestión de la explotación sexual comercial y la trata de niños para evaluar su alcance y sus causas y elaborar medidas eficaces de control y otras medidas preventivas;</w:t>
      </w:r>
    </w:p>
    <w:p w:rsidR="00000000" w:rsidRDefault="00000000">
      <w:pPr>
        <w:spacing w:after="240"/>
        <w:ind w:left="1134" w:hanging="567"/>
        <w:rPr>
          <w:b/>
          <w:bCs/>
          <w:lang w:val="es-ES_tradnl"/>
        </w:rPr>
      </w:pPr>
      <w:r>
        <w:rPr>
          <w:b/>
          <w:bCs/>
          <w:lang w:val="es-ES_tradnl"/>
        </w:rPr>
        <w:t>b)</w:t>
      </w:r>
      <w:r>
        <w:rPr>
          <w:b/>
          <w:bCs/>
          <w:lang w:val="es-ES_tradnl"/>
        </w:rPr>
        <w:tab/>
        <w:t>Combata y elimine la explotación sexual comercial y la trata de niños, entre otras cosas poniendo en práctica el Plan Nacional de Acción y elaborando programas de integración social y políticas y programas de rehabilitación y recuperación de las víctimas infantiles, de conformidad con la Declaración y Programa de Acción y el Compromiso Mundial aprobados en los Congresos Mundiales contra la Explotación Sexual Comercial de los Niños de 1996 y 2001.</w:t>
      </w:r>
    </w:p>
    <w:p w:rsidR="00000000" w:rsidRDefault="00000000">
      <w:pPr>
        <w:spacing w:after="240"/>
        <w:ind w:left="567"/>
        <w:rPr>
          <w:lang w:val="es-ES_tradnl"/>
        </w:rPr>
      </w:pPr>
      <w:r>
        <w:rPr>
          <w:b/>
          <w:bCs/>
          <w:lang w:val="es-ES_tradnl"/>
        </w:rPr>
        <w:t>Administración de la justicia de menores</w:t>
      </w:r>
    </w:p>
    <w:p w:rsidR="00000000" w:rsidRDefault="00000000">
      <w:pPr>
        <w:spacing w:after="240"/>
        <w:rPr>
          <w:lang w:val="es-ES_tradnl"/>
        </w:rPr>
      </w:pPr>
      <w:r>
        <w:rPr>
          <w:lang w:val="es-ES_tradnl"/>
        </w:rPr>
        <w:t>62.</w:t>
      </w:r>
      <w:r>
        <w:rPr>
          <w:lang w:val="es-ES_tradnl"/>
        </w:rPr>
        <w:tab/>
        <w:t>El Comité toma nota con satisfacción de que se ha aprobado el proyecto de ley sobre la responsabilidad penal de los menores, en el que se establecen límites para dicha responsabilidad y los procedimientos que deben aplicarse, de conformidad con lo dispuesto en el párrafo 3 del artículo 40 de la Convención.  En cambio, el Comité reitera su profunda preocupación por el hecho de que la Ley Nº 10.903, de 1919, y la Ley Nº 22.278, que están vigentes y se basan en la doctrina de la "situación irregular", no distingan claramente entre los niños que necesitan atención y protección y los niños que tienen conflictos con la justicia.  A este respecto, el Comité observa que el Congreso está debatiendo varios proyectos de ley para reformar el sistema de justicia de menores, en virtud de los cuales un juez puede ordenar la detención de un niño sin las debidas garantías procesales únicamente por su condición social, y que esa decisión no puede apelarse.  Además, expresa su preocupación por el hecho de que, en virtud de lo dispuesto en el artículo 205 del Código Procesal Penal, un niño puede permanecer incomunicado hasta 72 horas.  También observa con preocupación las precarias condiciones en que se encuentran los niños privados de libertad, entre las que cabe citar la falta de servicios básicos adecuados, como los de educación y salud, la ausencia de personal debidamente formado y el recurso a los castigos corporales y al aislamiento.</w:t>
      </w:r>
    </w:p>
    <w:p w:rsidR="00000000" w:rsidRDefault="00000000">
      <w:pPr>
        <w:spacing w:after="240"/>
        <w:rPr>
          <w:lang w:val="es-ES_tradnl"/>
        </w:rPr>
      </w:pPr>
      <w:r>
        <w:rPr>
          <w:lang w:val="es-ES_tradnl"/>
        </w:rPr>
        <w:t>63.</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Revise sus leyes y prácticas relativas al sistema de justicia de menores para lograr cuanto antes su plena conformidad con las disposiciones de la Convención, en particular los artículos 37, 39 y 40, así como con otras normas internacionales en la materia, como las Reglas mínimas de las Naciones Unidas para la administración de la justicia de menores (Reglas de Beijing) y las Directrices de las Naciones Unidas para la prevención de la delincuencia juvenil (Directrices de Riad);</w:t>
      </w:r>
    </w:p>
    <w:p w:rsidR="00000000" w:rsidRDefault="00000000">
      <w:pPr>
        <w:spacing w:after="240"/>
        <w:ind w:left="1134" w:hanging="567"/>
        <w:rPr>
          <w:b/>
          <w:bCs/>
          <w:lang w:val="es-ES_tradnl"/>
        </w:rPr>
      </w:pPr>
      <w:r>
        <w:rPr>
          <w:b/>
          <w:bCs/>
          <w:lang w:val="es-ES_tradnl"/>
        </w:rPr>
        <w:t>b)</w:t>
      </w:r>
      <w:r>
        <w:rPr>
          <w:b/>
          <w:bCs/>
          <w:lang w:val="es-ES_tradnl"/>
        </w:rPr>
        <w:tab/>
        <w:t>Acelere el proceso mencionado en a), entre otras cosas asignando suficientes recursos humanos y financieros;</w:t>
      </w:r>
    </w:p>
    <w:p w:rsidR="00000000" w:rsidRDefault="00000000">
      <w:pPr>
        <w:spacing w:after="240"/>
        <w:ind w:left="1134" w:hanging="567"/>
        <w:rPr>
          <w:b/>
          <w:bCs/>
          <w:lang w:val="es-ES_tradnl"/>
        </w:rPr>
      </w:pPr>
      <w:r>
        <w:rPr>
          <w:b/>
          <w:bCs/>
          <w:lang w:val="es-ES_tradnl"/>
        </w:rPr>
        <w:t>c)</w:t>
      </w:r>
      <w:r>
        <w:rPr>
          <w:b/>
          <w:bCs/>
          <w:lang w:val="es-ES_tradnl"/>
        </w:rPr>
        <w:tab/>
        <w:t>Se asegure de que exista una clara distinción, en cuanto a procedimientos y trato, entre los niños que tienen conflictos con la justicia y los niños que necesitan protección;</w:t>
      </w:r>
    </w:p>
    <w:p w:rsidR="00000000" w:rsidRDefault="00000000">
      <w:pPr>
        <w:spacing w:after="240"/>
        <w:ind w:left="1134" w:hanging="567"/>
        <w:rPr>
          <w:b/>
          <w:bCs/>
          <w:lang w:val="es-ES_tradnl"/>
        </w:rPr>
      </w:pPr>
      <w:r>
        <w:rPr>
          <w:b/>
          <w:bCs/>
          <w:lang w:val="es-ES_tradnl"/>
        </w:rPr>
        <w:t>d)</w:t>
      </w:r>
      <w:r>
        <w:rPr>
          <w:b/>
          <w:bCs/>
          <w:lang w:val="es-ES_tradnl"/>
        </w:rPr>
        <w:tab/>
        <w:t>Recurra a la prisión, incluso la prisión preventiva, únicamente como medida extrema, por períodos que sean lo más breves posible y no superen la duración del período previsto por la ley, y garanticen que los niños siempre estén separados de los adultos;</w:t>
      </w:r>
    </w:p>
    <w:p w:rsidR="00000000" w:rsidRDefault="00000000">
      <w:pPr>
        <w:spacing w:after="240"/>
        <w:ind w:left="1134" w:hanging="567"/>
        <w:rPr>
          <w:b/>
          <w:bCs/>
          <w:lang w:val="es-ES_tradnl"/>
        </w:rPr>
      </w:pPr>
      <w:r>
        <w:rPr>
          <w:b/>
          <w:bCs/>
          <w:lang w:val="es-ES_tradnl"/>
        </w:rPr>
        <w:t>e)</w:t>
      </w:r>
      <w:r>
        <w:rPr>
          <w:b/>
          <w:bCs/>
          <w:lang w:val="es-ES_tradnl"/>
        </w:rPr>
        <w:tab/>
        <w:t>Aplique medidas alternativas a la prisión preventiva y otras formas de privación de la libertad, cuando ello sea posible;</w:t>
      </w:r>
    </w:p>
    <w:p w:rsidR="00000000" w:rsidRDefault="00000000">
      <w:pPr>
        <w:spacing w:after="240"/>
        <w:ind w:left="1134" w:hanging="567"/>
        <w:rPr>
          <w:b/>
          <w:bCs/>
          <w:lang w:val="es-ES_tradnl"/>
        </w:rPr>
      </w:pPr>
      <w:r>
        <w:rPr>
          <w:b/>
          <w:bCs/>
          <w:lang w:val="es-ES_tradnl"/>
        </w:rPr>
        <w:t>f)</w:t>
      </w:r>
      <w:r>
        <w:rPr>
          <w:b/>
          <w:bCs/>
          <w:lang w:val="es-ES_tradnl"/>
        </w:rPr>
        <w:tab/>
        <w:t>Incorpore en sus leyes y prácticas las Reglas de las Naciones Unidas para la Protección de los Menores Privados de Libertad, sobre todo para que esos menores puedan utilizar procedimientos de denuncia eficaces que abarquen todos los aspectos del trato que reciban;</w:t>
      </w:r>
    </w:p>
    <w:p w:rsidR="00000000" w:rsidRDefault="00000000">
      <w:pPr>
        <w:spacing w:after="240"/>
        <w:ind w:left="1134" w:hanging="567"/>
        <w:rPr>
          <w:b/>
          <w:bCs/>
          <w:lang w:val="es-ES_tradnl"/>
        </w:rPr>
      </w:pPr>
      <w:r>
        <w:rPr>
          <w:b/>
          <w:bCs/>
          <w:lang w:val="es-ES_tradnl"/>
        </w:rPr>
        <w:t>g)</w:t>
      </w:r>
      <w:r>
        <w:rPr>
          <w:b/>
          <w:bCs/>
          <w:lang w:val="es-ES_tradnl"/>
        </w:rPr>
        <w:tab/>
        <w:t>Adopte las medidas necesarias para mejorar las condiciones de encarcelamiento;</w:t>
      </w:r>
    </w:p>
    <w:p w:rsidR="00000000" w:rsidRDefault="00000000">
      <w:pPr>
        <w:spacing w:after="240"/>
        <w:ind w:left="1134" w:hanging="567"/>
        <w:rPr>
          <w:b/>
          <w:bCs/>
          <w:lang w:val="es-ES_tradnl"/>
        </w:rPr>
      </w:pPr>
      <w:r>
        <w:rPr>
          <w:b/>
          <w:bCs/>
          <w:lang w:val="es-ES_tradnl"/>
        </w:rPr>
        <w:t>h)</w:t>
      </w:r>
      <w:r>
        <w:rPr>
          <w:b/>
          <w:bCs/>
          <w:lang w:val="es-ES_tradnl"/>
        </w:rPr>
        <w:tab/>
        <w:t>Teniendo en cuenta el artículo 39, adopte las medidas apropiadas para promover la recuperación y la reintegración social de los niños que han pasado por el sistema de justicia de menores; e</w:t>
      </w:r>
    </w:p>
    <w:p w:rsidR="00000000" w:rsidRDefault="00000000">
      <w:pPr>
        <w:spacing w:after="240"/>
        <w:ind w:left="1134" w:hanging="567"/>
        <w:rPr>
          <w:b/>
          <w:bCs/>
          <w:lang w:val="es-ES_tradnl"/>
        </w:rPr>
      </w:pPr>
      <w:r>
        <w:rPr>
          <w:b/>
          <w:bCs/>
          <w:lang w:val="es-ES_tradnl"/>
        </w:rPr>
        <w:t>i)</w:t>
      </w:r>
      <w:r>
        <w:rPr>
          <w:b/>
          <w:bCs/>
          <w:lang w:val="es-ES_tradnl"/>
        </w:rPr>
        <w:tab/>
        <w:t>Solicite asistencia, entre otras entidades, al ACNUDH, el Centro de las Naciones Unidas para la Prevención Internacional del Delito, la Red internacional sobre justicia de menores y el UNICEF, por conducto del Grupo de Coordinación sobre Asesoramiento y Asistencia Técnicos en Materia de Justicia de Menores.</w:t>
      </w:r>
    </w:p>
    <w:p w:rsidR="00000000" w:rsidRDefault="00000000">
      <w:pPr>
        <w:keepNext/>
        <w:spacing w:after="240"/>
        <w:rPr>
          <w:b/>
          <w:bCs/>
          <w:lang w:val="es-ES_tradnl"/>
        </w:rPr>
      </w:pPr>
      <w:r>
        <w:rPr>
          <w:b/>
          <w:bCs/>
          <w:lang w:val="es-ES_tradnl"/>
        </w:rPr>
        <w:t>9.</w:t>
      </w:r>
      <w:r>
        <w:rPr>
          <w:b/>
          <w:bCs/>
          <w:lang w:val="es-ES_tradnl"/>
        </w:rPr>
        <w:tab/>
        <w:t>Protocolos Facultativos</w:t>
      </w:r>
    </w:p>
    <w:p w:rsidR="00000000" w:rsidRDefault="00000000">
      <w:pPr>
        <w:keepNext/>
        <w:spacing w:after="240"/>
        <w:rPr>
          <w:lang w:val="es-ES_tradnl"/>
        </w:rPr>
      </w:pPr>
      <w:r>
        <w:rPr>
          <w:lang w:val="es-ES_tradnl"/>
        </w:rPr>
        <w:t>64.</w:t>
      </w:r>
      <w:r>
        <w:rPr>
          <w:lang w:val="es-ES_tradnl"/>
        </w:rPr>
        <w:tab/>
        <w:t>El Comité celebra que el Estado Parte haya ratificado el Protocolo Facultativo de la Convención sobre los Derechos del Niño relativo a la participación de niños en los conflictos armados, pero observa que aún no ha ratificado el Protocolo Facultativo relativo a la venta de niños, la prostitución infantil y la utilización de niños en la pornografía.</w:t>
      </w:r>
    </w:p>
    <w:p w:rsidR="00000000" w:rsidRDefault="00000000">
      <w:pPr>
        <w:spacing w:after="240"/>
        <w:rPr>
          <w:b/>
          <w:bCs/>
          <w:lang w:val="es-ES_tradnl"/>
        </w:rPr>
      </w:pPr>
      <w:r>
        <w:rPr>
          <w:lang w:val="es-ES_tradnl"/>
        </w:rPr>
        <w:t>65.</w:t>
      </w:r>
      <w:r>
        <w:rPr>
          <w:b/>
          <w:bCs/>
          <w:lang w:val="es-ES_tradnl"/>
        </w:rPr>
        <w:tab/>
        <w:t>El Comité recomienda al Estado Parte que prosiga sus preparativos para ratificar el Protocolo Facultativo relativo a la venta de niños, la prostitución infantil y la utilización de niños en la pornografía.</w:t>
      </w:r>
    </w:p>
    <w:p w:rsidR="00000000" w:rsidRDefault="00000000">
      <w:pPr>
        <w:spacing w:after="240"/>
        <w:rPr>
          <w:b/>
          <w:bCs/>
          <w:lang w:val="es-ES_tradnl"/>
        </w:rPr>
      </w:pPr>
      <w:r>
        <w:rPr>
          <w:b/>
          <w:bCs/>
          <w:lang w:val="es-ES_tradnl"/>
        </w:rPr>
        <w:t>10.</w:t>
      </w:r>
      <w:r>
        <w:rPr>
          <w:b/>
          <w:bCs/>
          <w:lang w:val="es-ES_tradnl"/>
        </w:rPr>
        <w:tab/>
        <w:t>Difusión de los informes</w:t>
      </w:r>
    </w:p>
    <w:p w:rsidR="00000000" w:rsidRDefault="00000000">
      <w:pPr>
        <w:spacing w:after="240"/>
        <w:rPr>
          <w:b/>
          <w:bCs/>
          <w:lang w:val="es-ES_tradnl"/>
        </w:rPr>
      </w:pPr>
      <w:r>
        <w:rPr>
          <w:lang w:val="es-ES_tradnl"/>
        </w:rPr>
        <w:t>66.</w:t>
      </w:r>
      <w:r>
        <w:rPr>
          <w:b/>
          <w:bCs/>
          <w:lang w:val="es-ES_tradnl"/>
        </w:rPr>
        <w:tab/>
        <w:t>Por último, el Comité recomienda que, de conformidad con lo dispuesto en el párrafo 6 del artículo 44 de la Convención, se dé amplia difusión al segundo informe periódico y a las respuestas presentadas por escrito por el Estado Parte, y se considere la posibilidad de publicar el informe, junto con las actas resumidas correspondientes y las observaciones finales que apruebe el Comité.  Ese documento debería distribuirse ampliamente para generar un debate y promover el conocimiento de la Convención, así como su aplicación y la supervisión de esa aplicación, entre las autoridades públicas, en el Congreso y entre la población, así como entre las organizaciones no gubernamentales interesadas.</w:t>
      </w:r>
    </w:p>
    <w:p w:rsidR="00000000" w:rsidRDefault="00000000">
      <w:pPr>
        <w:spacing w:after="240"/>
        <w:rPr>
          <w:b/>
          <w:bCs/>
          <w:lang w:val="es-ES_tradnl"/>
        </w:rPr>
      </w:pPr>
      <w:r>
        <w:rPr>
          <w:b/>
          <w:bCs/>
          <w:lang w:val="es-ES_tradnl"/>
        </w:rPr>
        <w:t>11.</w:t>
      </w:r>
      <w:r>
        <w:rPr>
          <w:b/>
          <w:bCs/>
          <w:lang w:val="es-ES_tradnl"/>
        </w:rPr>
        <w:tab/>
        <w:t>Próximos informes</w:t>
      </w:r>
    </w:p>
    <w:p w:rsidR="00000000" w:rsidRDefault="00000000">
      <w:pPr>
        <w:spacing w:after="240"/>
        <w:rPr>
          <w:b/>
          <w:bCs/>
          <w:lang w:val="es-ES_tradnl"/>
        </w:rPr>
      </w:pPr>
      <w:r>
        <w:rPr>
          <w:lang w:val="es-ES_tradnl"/>
        </w:rPr>
        <w:t>67.</w:t>
      </w:r>
      <w:r>
        <w:rPr>
          <w:b/>
          <w:bCs/>
          <w:lang w:val="es-ES_tradnl"/>
        </w:rPr>
        <w:tab/>
        <w:t>El Comité subraya la importancia de una práctica de presentación de informes que se ajusta plenamente a lo dispuesto en el artículo 44 de la Convención.  Un aspecto importante de las obligaciones que tienen los Estados Partes para con los niños en virtud de la Convención es asegurar que el Comité de los Derechos del Niño tenga periódicamente la oportunidad de examinar los progresos realizados en la aplicación de la Convención.  Al respecto, es fundamental que los Estados Partes presenten los informes con regularidad y en el momento previsto.  El Comité reconoce que algunos Estados Partes tienen dificultades para hacerlo.  Como medida excepcional y para ayudar al Estado Parte a cumplir sus obligaciones en materia de presentación de informes ajustándose plenamente a la Convención, el Comité invita al Estado Parte a que presente su próximo informe periódico antes de la fecha establecida en virtud de la Convención para el cuarto informe periódico, es decir, el 2 de enero de 2008.  En ese informe se combinarán los informes periódicos tercero y cuarto.</w:t>
      </w:r>
    </w:p>
    <w:p w:rsidR="00000000" w:rsidRDefault="00000000">
      <w:pPr>
        <w:spacing w:after="240"/>
        <w:jc w:val="center"/>
      </w:pPr>
      <w:r>
        <w:rPr>
          <w:b/>
          <w:bCs/>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CRC/C/15/Add.187</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5700</Words>
  <Characters>31353</Characters>
  <Application>Microsoft Office Word</Application>
  <DocSecurity>4</DocSecurity>
  <Lines>3135</Lines>
  <Paragraphs>1363</Paragraphs>
  <ScaleCrop>false</ScaleCrop>
  <HeadingPairs>
    <vt:vector size="2" baseType="variant">
      <vt:variant>
        <vt:lpstr>Título</vt:lpstr>
      </vt:variant>
      <vt:variant>
        <vt:i4>1</vt:i4>
      </vt:variant>
    </vt:vector>
  </HeadingPairs>
  <TitlesOfParts>
    <vt:vector size="1" baseType="lpstr">
      <vt:lpstr>CRC/C/15/Add.187   0245428</vt:lpstr>
    </vt:vector>
  </TitlesOfParts>
  <Company>ONU</Company>
  <LinksUpToDate>false</LinksUpToDate>
  <CharactersWithSpaces>39903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CRC/C/15/Add.187   0245428</dc:title>
  <dc:subject/>
  <dc:creator>María SENTÍES LARA</dc:creator>
  <cp:keywords/>
  <dc:description/>
  <cp:lastModifiedBy>PDF</cp:lastModifiedBy>
  <cp:revision>2</cp:revision>
  <cp:lastPrinted>2002-11-18T11:14:00Z</cp:lastPrinted>
  <dcterms:created xsi:type="dcterms:W3CDTF">2002-11-18T11:35:00Z</dcterms:created>
  <dcterms:modified xsi:type="dcterms:W3CDTF">2002-11-18T11:35:00Z</dcterms:modified>
</cp:coreProperties>
</file>