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190783C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DC764E3" w14:textId="77777777" w:rsidR="002D5AAC" w:rsidRDefault="002D5AAC" w:rsidP="00A320D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5762E1C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1D3B340" w14:textId="3FAFE372" w:rsidR="002D5AAC" w:rsidRDefault="00A320D0" w:rsidP="00A320D0">
            <w:pPr>
              <w:jc w:val="right"/>
            </w:pPr>
            <w:r w:rsidRPr="00A320D0">
              <w:rPr>
                <w:sz w:val="40"/>
              </w:rPr>
              <w:t>CCPR</w:t>
            </w:r>
            <w:r>
              <w:t>/C/GUY/CO/3</w:t>
            </w:r>
          </w:p>
        </w:tc>
      </w:tr>
      <w:tr w:rsidR="002D5AAC" w14:paraId="3B394937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E619BC5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29DFE44" wp14:editId="1230465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1A1A5B8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48C3B9C" w14:textId="77777777" w:rsidR="002D5AAC" w:rsidRDefault="00A320D0" w:rsidP="00BC3629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.: General</w:t>
            </w:r>
          </w:p>
          <w:p w14:paraId="65476770" w14:textId="77777777" w:rsidR="00A320D0" w:rsidRDefault="00A320D0" w:rsidP="00A320D0">
            <w:pPr>
              <w:spacing w:line="240" w:lineRule="exact"/>
            </w:pPr>
            <w:r>
              <w:t xml:space="preserve">3 </w:t>
            </w:r>
            <w:proofErr w:type="spellStart"/>
            <w:r>
              <w:t>May</w:t>
            </w:r>
            <w:proofErr w:type="spellEnd"/>
            <w:r>
              <w:t xml:space="preserve"> 2024</w:t>
            </w:r>
          </w:p>
          <w:p w14:paraId="142348DA" w14:textId="77777777" w:rsidR="00A320D0" w:rsidRDefault="00A320D0" w:rsidP="00A320D0">
            <w:pPr>
              <w:spacing w:line="240" w:lineRule="exact"/>
            </w:pPr>
            <w:r>
              <w:t>Russian</w:t>
            </w:r>
          </w:p>
          <w:p w14:paraId="015F2C76" w14:textId="4A93C49B" w:rsidR="00A320D0" w:rsidRPr="00375F01" w:rsidRDefault="00A320D0" w:rsidP="00A320D0">
            <w:pPr>
              <w:spacing w:line="240" w:lineRule="exact"/>
            </w:pPr>
            <w:proofErr w:type="spellStart"/>
            <w:r>
              <w:t>Original</w:t>
            </w:r>
            <w:proofErr w:type="spellEnd"/>
            <w:r>
              <w:t>: English</w:t>
            </w:r>
          </w:p>
        </w:tc>
      </w:tr>
    </w:tbl>
    <w:p w14:paraId="6DF2A8FB" w14:textId="77777777" w:rsidR="00A320D0" w:rsidRPr="00A320D0" w:rsidRDefault="00A320D0" w:rsidP="00A320D0">
      <w:pPr>
        <w:spacing w:before="120"/>
        <w:rPr>
          <w:rFonts w:asciiTheme="majorBidi" w:hAnsiTheme="majorBidi" w:cstheme="majorBidi"/>
          <w:b/>
          <w:bCs/>
          <w:sz w:val="24"/>
          <w:szCs w:val="24"/>
        </w:rPr>
      </w:pPr>
      <w:r w:rsidRPr="00A320D0">
        <w:rPr>
          <w:b/>
          <w:bCs/>
          <w:sz w:val="24"/>
          <w:szCs w:val="24"/>
        </w:rPr>
        <w:t>Комитет по правам человека</w:t>
      </w:r>
    </w:p>
    <w:p w14:paraId="11498BFD" w14:textId="77777777" w:rsidR="00A320D0" w:rsidRPr="00526348" w:rsidRDefault="00A320D0" w:rsidP="00A320D0">
      <w:pPr>
        <w:pStyle w:val="HCh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Заключительные замечания по третьему периодическому докладу Гайаны</w:t>
      </w:r>
      <w:r w:rsidRPr="00A320D0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4D8C247A" w14:textId="57E11FF2" w:rsidR="00A320D0" w:rsidRPr="00526348" w:rsidRDefault="00A320D0" w:rsidP="00A320D0">
      <w:pPr>
        <w:pStyle w:val="SingleTxtG"/>
        <w:rPr>
          <w:rFonts w:asciiTheme="majorBidi" w:hAnsiTheme="majorBidi" w:cstheme="majorBidi"/>
          <w:bCs/>
        </w:rPr>
      </w:pPr>
      <w:r>
        <w:t>1.</w:t>
      </w:r>
      <w:r>
        <w:tab/>
        <w:t>Комитет рассмотрел третий периодический доклад Гайаны</w:t>
      </w:r>
      <w:r w:rsidRPr="00331874">
        <w:rPr>
          <w:rStyle w:val="aa"/>
        </w:rPr>
        <w:footnoteReference w:id="2"/>
      </w:r>
      <w:r>
        <w:t xml:space="preserve"> на своих 4097-м, 4099-м и 4101-м заседаниях</w:t>
      </w:r>
      <w:r w:rsidR="00580403" w:rsidRPr="00331874">
        <w:rPr>
          <w:rStyle w:val="aa"/>
        </w:rPr>
        <w:footnoteReference w:id="3"/>
      </w:r>
      <w:r>
        <w:t>, состоявшихся в смешанном формате 18, 19 и 20 марта 2024 года. На своем 4109-м заседании, состоявшемся 26 марта 2024 года, он принял настоящие заключительные замечания.</w:t>
      </w:r>
    </w:p>
    <w:p w14:paraId="146045AC" w14:textId="4C686F5B" w:rsidR="00A320D0" w:rsidRPr="00526348" w:rsidRDefault="00A320D0" w:rsidP="00A320D0">
      <w:pPr>
        <w:pStyle w:val="H1G"/>
        <w:rPr>
          <w:rFonts w:asciiTheme="majorBidi" w:hAnsiTheme="majorBidi" w:cstheme="majorBidi"/>
        </w:rPr>
      </w:pPr>
      <w:r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4C5D99CC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r>
        <w:t>2.</w:t>
      </w:r>
      <w:r>
        <w:tab/>
        <w:t>Комитет выражает признательность государству-участнику за согласие следовать упрощенной процедуре представления докладов и за представление своего третьего периодического доклада в ответ на препровожденный до представления доклада перечень вопросов, который был подготовлен в рамках этой процедуры</w:t>
      </w:r>
      <w:r w:rsidRPr="00331874">
        <w:rPr>
          <w:rStyle w:val="aa"/>
        </w:rPr>
        <w:footnoteReference w:id="4"/>
      </w:r>
      <w:r>
        <w:t>. Он выражает признательность за возможность возобновить конструктивный диалог с делегацией государства-участника по мерам, принятым в течение отчетного периода для выполнения положений Пакта. Комитет благодарит государство-участник за устные ответы делегации и за дополнительную информацию, представленную ему в письменном виде.</w:t>
      </w:r>
    </w:p>
    <w:p w14:paraId="3DE1F76F" w14:textId="5D84E57A" w:rsidR="00A320D0" w:rsidRPr="00526348" w:rsidRDefault="00A320D0" w:rsidP="00A320D0">
      <w:pPr>
        <w:pStyle w:val="H1G"/>
        <w:rPr>
          <w:rFonts w:asciiTheme="majorBidi" w:hAnsiTheme="majorBidi" w:cstheme="majorBidi"/>
        </w:rPr>
      </w:pPr>
      <w:r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20DE2C60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r>
        <w:t>3.</w:t>
      </w:r>
      <w:r>
        <w:tab/>
        <w:t>Комитет приветствует следующие законодательные и политические меры, принятые государством-участником:</w:t>
      </w:r>
    </w:p>
    <w:p w14:paraId="06592A8E" w14:textId="4E6456FB" w:rsidR="00A320D0" w:rsidRPr="00526348" w:rsidRDefault="00A320D0" w:rsidP="00A320D0">
      <w:pPr>
        <w:pStyle w:val="SingleTxtG"/>
      </w:pPr>
      <w:bookmarkStart w:id="0" w:name="_Hlk160797448"/>
      <w:bookmarkStart w:id="1" w:name="_Hlk156565442"/>
      <w:r>
        <w:tab/>
      </w:r>
      <w:r>
        <w:t>a)</w:t>
      </w:r>
      <w:r>
        <w:tab/>
        <w:t>Закон о борьбе с торговлей людьми 2023 года;</w:t>
      </w:r>
      <w:bookmarkStart w:id="2" w:name="_Hlk160799019"/>
    </w:p>
    <w:p w14:paraId="25C24E99" w14:textId="7A69B6F8" w:rsidR="00A320D0" w:rsidRPr="00526348" w:rsidRDefault="00A320D0" w:rsidP="00A320D0">
      <w:pPr>
        <w:pStyle w:val="SingleTxtG"/>
      </w:pPr>
      <w:r>
        <w:tab/>
      </w:r>
      <w:r>
        <w:t>b)</w:t>
      </w:r>
      <w:r>
        <w:tab/>
        <w:t>Закон о защите данных 2023 года;</w:t>
      </w:r>
    </w:p>
    <w:p w14:paraId="2A4E0239" w14:textId="449D357D" w:rsidR="00A320D0" w:rsidRPr="00526348" w:rsidRDefault="00A320D0" w:rsidP="00A320D0">
      <w:pPr>
        <w:pStyle w:val="SingleTxtG"/>
      </w:pPr>
      <w:r>
        <w:tab/>
      </w:r>
      <w:r>
        <w:t>c)</w:t>
      </w:r>
      <w:r>
        <w:tab/>
        <w:t>Закон о борьбе с отмыванием денег и финансированием терроризма (поправки) 2022 года;</w:t>
      </w:r>
    </w:p>
    <w:p w14:paraId="0DB818DB" w14:textId="5E19DDBE" w:rsidR="00A320D0" w:rsidRPr="00526348" w:rsidRDefault="00A320D0" w:rsidP="00A320D0">
      <w:pPr>
        <w:pStyle w:val="SingleTxtG"/>
      </w:pPr>
      <w:r>
        <w:tab/>
      </w:r>
      <w:r>
        <w:t>d)</w:t>
      </w:r>
      <w:r>
        <w:tab/>
        <w:t>Закон о борьбе с отмыванием денег и финансированием терроризма (поправка) 2023 года;</w:t>
      </w:r>
    </w:p>
    <w:p w14:paraId="6A9E3C5C" w14:textId="215C99FE" w:rsidR="00A320D0" w:rsidRPr="00526348" w:rsidRDefault="00A320D0" w:rsidP="00A320D0">
      <w:pPr>
        <w:pStyle w:val="SingleTxtG"/>
      </w:pPr>
      <w:r>
        <w:tab/>
      </w:r>
      <w:r>
        <w:t>e)</w:t>
      </w:r>
      <w:r>
        <w:tab/>
        <w:t>Закон о цифровом удостоверении личности 2023 года;</w:t>
      </w:r>
    </w:p>
    <w:p w14:paraId="537E751B" w14:textId="788C6230" w:rsidR="00A320D0" w:rsidRPr="00526348" w:rsidRDefault="00A320D0" w:rsidP="00A320D0">
      <w:pPr>
        <w:pStyle w:val="SingleTxtG"/>
      </w:pPr>
      <w:r>
        <w:tab/>
      </w:r>
      <w:r>
        <w:t>f)</w:t>
      </w:r>
      <w:r>
        <w:tab/>
        <w:t>Закон о предотвращении самоубийств 2022 года;</w:t>
      </w:r>
    </w:p>
    <w:p w14:paraId="355F64ED" w14:textId="3C9FBF21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r>
        <w:tab/>
      </w:r>
      <w:r>
        <w:t>g)</w:t>
      </w:r>
      <w:r>
        <w:tab/>
        <w:t>Закон о восстановительном правосудии 2022 года;</w:t>
      </w:r>
    </w:p>
    <w:p w14:paraId="27AFA2F4" w14:textId="577419D9" w:rsidR="00A320D0" w:rsidRPr="00526348" w:rsidRDefault="00A320D0" w:rsidP="00A320D0">
      <w:pPr>
        <w:pStyle w:val="SingleTxtG"/>
      </w:pPr>
      <w:r>
        <w:tab/>
      </w:r>
      <w:r>
        <w:t>h)</w:t>
      </w:r>
      <w:r>
        <w:tab/>
        <w:t xml:space="preserve">Закон об освобождении под залог 2022 года; </w:t>
      </w:r>
    </w:p>
    <w:bookmarkEnd w:id="0"/>
    <w:bookmarkEnd w:id="2"/>
    <w:p w14:paraId="180B2FBA" w14:textId="285C02CE" w:rsidR="00A320D0" w:rsidRPr="00526348" w:rsidRDefault="00A320D0" w:rsidP="00A320D0">
      <w:pPr>
        <w:pStyle w:val="SingleTxtG"/>
      </w:pPr>
      <w:r>
        <w:lastRenderedPageBreak/>
        <w:tab/>
      </w:r>
      <w:r>
        <w:t>i)</w:t>
      </w:r>
      <w:r>
        <w:tab/>
        <w:t>Закон о контроле за оборотом наркотических средства и психотропных веществ (поправка) 2022 года;</w:t>
      </w:r>
    </w:p>
    <w:p w14:paraId="0032B82F" w14:textId="6CE458E6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r>
        <w:tab/>
      </w:r>
      <w:r>
        <w:t>j)</w:t>
      </w:r>
      <w:r>
        <w:tab/>
        <w:t>Закон об охране и укреплении психического здоровья 2022 года;</w:t>
      </w:r>
    </w:p>
    <w:p w14:paraId="34D08CBC" w14:textId="0F335503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r>
        <w:tab/>
      </w:r>
      <w:r>
        <w:t>k)</w:t>
      </w:r>
      <w:r>
        <w:tab/>
        <w:t>Закон о Комиссии по конституционной реформе 2022 года;</w:t>
      </w:r>
    </w:p>
    <w:p w14:paraId="3FB3E1D7" w14:textId="3F510578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r>
        <w:tab/>
      </w:r>
      <w:r>
        <w:t>l)</w:t>
      </w:r>
      <w:r>
        <w:tab/>
        <w:t>Закон о Комиссии по реформе законодательства (поправки) 2021 года;</w:t>
      </w:r>
    </w:p>
    <w:p w14:paraId="72EBB94A" w14:textId="224B9AF9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r>
        <w:tab/>
      </w:r>
      <w:r>
        <w:t>m)</w:t>
      </w:r>
      <w:r>
        <w:tab/>
        <w:t>Закон об усыновлении/удочерении детей (поправки) 2021 года;</w:t>
      </w:r>
    </w:p>
    <w:p w14:paraId="583030F6" w14:textId="4984F5C8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r>
        <w:tab/>
      </w:r>
      <w:r>
        <w:t>n)</w:t>
      </w:r>
      <w:r>
        <w:tab/>
        <w:t>Закон о гражданском праве Гайаны (поправки) 2021 года;</w:t>
      </w:r>
    </w:p>
    <w:p w14:paraId="4BD3288E" w14:textId="0CD5E3C2" w:rsidR="00A320D0" w:rsidRPr="00526348" w:rsidRDefault="00A320D0" w:rsidP="00A320D0">
      <w:pPr>
        <w:pStyle w:val="SingleTxtG"/>
      </w:pPr>
      <w:r>
        <w:tab/>
      </w:r>
      <w:r>
        <w:t>o)</w:t>
      </w:r>
      <w:r>
        <w:tab/>
        <w:t>Закон о регистрации рождений и смертей (поправки) 2021 года;</w:t>
      </w:r>
    </w:p>
    <w:p w14:paraId="7EC7AB98" w14:textId="523CE896" w:rsidR="00A320D0" w:rsidRPr="00526348" w:rsidRDefault="00A320D0" w:rsidP="00A320D0">
      <w:pPr>
        <w:pStyle w:val="SingleTxtG"/>
      </w:pPr>
      <w:r>
        <w:tab/>
      </w:r>
      <w:r>
        <w:t>p)</w:t>
      </w:r>
      <w:r>
        <w:tab/>
        <w:t xml:space="preserve">Стратегия </w:t>
      </w:r>
      <w:proofErr w:type="spellStart"/>
      <w:r>
        <w:t>низкоуглеродного</w:t>
      </w:r>
      <w:proofErr w:type="spellEnd"/>
      <w:r>
        <w:t xml:space="preserve"> развития на период до 2030 года </w:t>
      </w:r>
      <w:r w:rsidR="00C67718">
        <w:br/>
      </w:r>
      <w:r>
        <w:t>(2021</w:t>
      </w:r>
      <w:r>
        <w:t>–</w:t>
      </w:r>
      <w:r>
        <w:t>2030</w:t>
      </w:r>
      <w:r w:rsidR="00C67718">
        <w:t> годы</w:t>
      </w:r>
      <w:r>
        <w:t>);</w:t>
      </w:r>
    </w:p>
    <w:p w14:paraId="4D0EE885" w14:textId="74725F56" w:rsidR="00A320D0" w:rsidRPr="00526348" w:rsidRDefault="00A320D0" w:rsidP="00A320D0">
      <w:pPr>
        <w:pStyle w:val="SingleTxtG"/>
      </w:pPr>
      <w:r>
        <w:tab/>
      </w:r>
      <w:r>
        <w:t>q)</w:t>
      </w:r>
      <w:r>
        <w:tab/>
        <w:t xml:space="preserve">Национальный стратегический план Гайаны по борьбе с ВИЧ </w:t>
      </w:r>
      <w:r w:rsidR="00C67718">
        <w:br/>
      </w:r>
      <w:r>
        <w:t>(2013</w:t>
      </w:r>
      <w:r>
        <w:t>–</w:t>
      </w:r>
      <w:r>
        <w:t>2020</w:t>
      </w:r>
      <w:r>
        <w:t> </w:t>
      </w:r>
      <w:r>
        <w:t>годы) (</w:t>
      </w:r>
      <w:proofErr w:type="spellStart"/>
      <w:r>
        <w:t>HIVision</w:t>
      </w:r>
      <w:proofErr w:type="spellEnd"/>
      <w:r>
        <w:t xml:space="preserve"> 2020);</w:t>
      </w:r>
    </w:p>
    <w:p w14:paraId="4FFB0B5C" w14:textId="05B3AFBE" w:rsidR="00A320D0" w:rsidRPr="00526348" w:rsidRDefault="00C67718" w:rsidP="00A320D0">
      <w:pPr>
        <w:pStyle w:val="SingleTxtG"/>
      </w:pPr>
      <w:r>
        <w:tab/>
      </w:r>
      <w:r w:rsidR="00A320D0">
        <w:t>r)</w:t>
      </w:r>
      <w:r w:rsidR="00A320D0">
        <w:tab/>
        <w:t xml:space="preserve">Политика в области детского труда и Национальный план действий </w:t>
      </w:r>
      <w:r>
        <w:br/>
      </w:r>
      <w:r w:rsidR="00A320D0">
        <w:t>(2019</w:t>
      </w:r>
      <w:r w:rsidR="00A320D0">
        <w:t>–</w:t>
      </w:r>
      <w:r w:rsidR="00A320D0">
        <w:t>2025</w:t>
      </w:r>
      <w:r w:rsidR="00A320D0">
        <w:t> </w:t>
      </w:r>
      <w:r w:rsidR="00A320D0">
        <w:t>годы).</w:t>
      </w:r>
    </w:p>
    <w:bookmarkEnd w:id="1"/>
    <w:p w14:paraId="6CEFA87A" w14:textId="5D7B8AF2" w:rsidR="00A320D0" w:rsidRPr="00526348" w:rsidRDefault="00A320D0" w:rsidP="00A320D0">
      <w:pPr>
        <w:pStyle w:val="H1G"/>
        <w:rPr>
          <w:rFonts w:asciiTheme="majorBidi" w:hAnsiTheme="majorBidi" w:cstheme="majorBidi"/>
        </w:rPr>
      </w:pPr>
      <w:r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</w:rPr>
        <w:t> </w:t>
      </w:r>
      <w:r>
        <w:rPr>
          <w:bCs/>
        </w:rPr>
        <w:t>рекомендации</w:t>
      </w:r>
    </w:p>
    <w:p w14:paraId="411F4B47" w14:textId="77777777" w:rsidR="00A320D0" w:rsidRPr="00526348" w:rsidRDefault="00A320D0" w:rsidP="00A320D0">
      <w:pPr>
        <w:pStyle w:val="H23G"/>
        <w:rPr>
          <w:rFonts w:asciiTheme="majorBidi" w:hAnsiTheme="majorBidi" w:cstheme="majorBidi"/>
        </w:rPr>
      </w:pPr>
      <w:bookmarkStart w:id="3" w:name="_Hlk161686491"/>
      <w:r>
        <w:tab/>
      </w:r>
      <w:r>
        <w:tab/>
      </w:r>
      <w:r>
        <w:rPr>
          <w:bCs/>
        </w:rPr>
        <w:t>Конституционная и правовая основа применения Пакта</w:t>
      </w:r>
    </w:p>
    <w:bookmarkEnd w:id="3"/>
    <w:p w14:paraId="6897BF7A" w14:textId="6F876123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r>
        <w:t>4.</w:t>
      </w:r>
      <w:r>
        <w:tab/>
        <w:t>Принимая к сведению представленную государством-участником информацию о том, что конституционная реформа начнется в 2024 году, Комитет обеспокоен тем, что статья 154А</w:t>
      </w:r>
      <w:r>
        <w:t> </w:t>
      </w:r>
      <w:r>
        <w:t>(6) действующей Конституции предусматривает, что государство-участник может отказаться от выполнения своих обязательств по Пакту или иным образом ограничить их. Он также обеспокоен тем, что толкование статьи 154А</w:t>
      </w:r>
      <w:r>
        <w:t> </w:t>
      </w:r>
      <w:r>
        <w:t>(2) Конституции может ограничить применение Пакта в рамках национальной правовой системы. Комитет также обеспокоен тем, что государство-участник не в полной мере инкорпорировало положения Пакта в свою внутреннюю правовую систему. Кроме того, он обеспокоен отсутствием специализированной подготовки по Пакту и возможностям защиты закрепленных в нем прав в судебном порядке для судей, прокуроров и адвокатов, а также информационно-просветительских мероприятий для широкой общественности (статья 2).</w:t>
      </w:r>
      <w:bookmarkStart w:id="4" w:name="_Hlk161658141"/>
      <w:bookmarkEnd w:id="4"/>
    </w:p>
    <w:p w14:paraId="20999F9C" w14:textId="4F5055D1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t>5.</w:t>
      </w:r>
      <w:r>
        <w:tab/>
      </w:r>
      <w:r>
        <w:rPr>
          <w:b/>
          <w:bCs/>
        </w:rPr>
        <w:t>Государству-участнику следует активизировать свои усилия, в том числе в рамках процесса пересмотра Конституции, для обеспечения совместимости своего статутного и обычного права с Пактом.</w:t>
      </w:r>
      <w:r>
        <w:t xml:space="preserve"> </w:t>
      </w:r>
      <w:r>
        <w:rPr>
          <w:b/>
          <w:bCs/>
        </w:rPr>
        <w:t>Ему следует рассмотреть вопрос о пересмотре статьи 154A (2) и (6) Конституции, чтобы обеспечить ограничение прав, защищаемых Пактом, только в тех случаях, когда это разрешено им.</w:t>
      </w:r>
      <w:r>
        <w:t xml:space="preserve"> </w:t>
      </w:r>
      <w:r>
        <w:rPr>
          <w:b/>
          <w:bCs/>
        </w:rPr>
        <w:t xml:space="preserve">Государству-участнику следует полностью инкорпорировать положения </w:t>
      </w:r>
      <w:r w:rsidR="00AD238F">
        <w:rPr>
          <w:b/>
          <w:bCs/>
        </w:rPr>
        <w:br/>
      </w:r>
      <w:r>
        <w:rPr>
          <w:b/>
          <w:bCs/>
        </w:rPr>
        <w:t>Пакта в свое внутреннее законодательство.</w:t>
      </w:r>
      <w:r>
        <w:t xml:space="preserve"> </w:t>
      </w:r>
      <w:r>
        <w:rPr>
          <w:b/>
          <w:bCs/>
        </w:rPr>
        <w:t>Государству-участнику следует: a)</w:t>
      </w:r>
      <w:r>
        <w:rPr>
          <w:b/>
          <w:bCs/>
        </w:rPr>
        <w:t> </w:t>
      </w:r>
      <w:r>
        <w:rPr>
          <w:b/>
          <w:bCs/>
        </w:rPr>
        <w:t>осуществлять тщательную, доступную и регулярно обновляемую программу специализированной подготовки по Пакту для судей, прокуроров и адвокатов, с</w:t>
      </w:r>
      <w:r>
        <w:rPr>
          <w:b/>
          <w:bCs/>
        </w:rPr>
        <w:t> </w:t>
      </w:r>
      <w:r>
        <w:rPr>
          <w:b/>
          <w:bCs/>
        </w:rPr>
        <w:t>тем чтобы они применяли и толковали внутреннее законодательство в свете Пакта.</w:t>
      </w:r>
      <w:r>
        <w:t xml:space="preserve"> </w:t>
      </w:r>
      <w:r>
        <w:rPr>
          <w:b/>
          <w:bCs/>
        </w:rPr>
        <w:t>Ему следует повышать осведомленность о Пакте среди всех субъектов, ответственных за его осуществление, и широкой общественности.</w:t>
      </w:r>
    </w:p>
    <w:p w14:paraId="408CF9EA" w14:textId="77777777" w:rsidR="00A320D0" w:rsidRPr="00526348" w:rsidRDefault="00A320D0" w:rsidP="00A320D0">
      <w:pPr>
        <w:pStyle w:val="H23G"/>
        <w:rPr>
          <w:rFonts w:asciiTheme="majorBidi" w:hAnsiTheme="majorBidi" w:cstheme="majorBidi"/>
        </w:rPr>
      </w:pPr>
      <w:bookmarkStart w:id="5" w:name="_Hlk161519437"/>
      <w:r>
        <w:tab/>
      </w:r>
      <w:r>
        <w:tab/>
      </w:r>
      <w:r>
        <w:rPr>
          <w:bCs/>
        </w:rPr>
        <w:t>Выполнение соображений, принятых Комитетом согласно Факультативному протоколу</w:t>
      </w:r>
    </w:p>
    <w:p w14:paraId="7B5C6277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bookmarkStart w:id="6" w:name="_Hlk156568093"/>
      <w:bookmarkEnd w:id="5"/>
      <w:r>
        <w:t>6.</w:t>
      </w:r>
      <w:r>
        <w:tab/>
        <w:t xml:space="preserve">Приветствуя представленную государством-участником информацию о том, что оно пересматривает свою оговорку, сделанную при повторном присоединении к Факультативному протоколу в 1999 году, и рассматривает вопрос о снятии этой оговорки, Комитет вновь выражает свою ранее заявленную обеспокоенность тем, что </w:t>
      </w:r>
      <w:r>
        <w:lastRenderedPageBreak/>
        <w:t>эта оговорка все еще сохраняется</w:t>
      </w:r>
      <w:r w:rsidRPr="00331874">
        <w:rPr>
          <w:rStyle w:val="aa"/>
        </w:rPr>
        <w:footnoteReference w:id="5"/>
      </w:r>
      <w:r>
        <w:t>. Комитет выражает сожаление по поводу отсутствия подробной информации о выполнении его Соображений, их правовом статусе и наличии в государстве-участнике специализированной подготовки по механизму индивидуальных сообщений. Он обеспокоен отсутствием конкретной процедуры или механизма для рассмотрения и реализации Соображений Комитета в соответствии с Факультативным протоколом (статья 2).</w:t>
      </w:r>
      <w:bookmarkEnd w:id="6"/>
    </w:p>
    <w:p w14:paraId="223A74FB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t>7.</w:t>
      </w:r>
      <w:r>
        <w:tab/>
      </w:r>
      <w:r>
        <w:rPr>
          <w:b/>
          <w:bCs/>
        </w:rPr>
        <w:t>В соответствии с предыдущей рекомендацией Комитета</w:t>
      </w:r>
      <w:r w:rsidRPr="00331874">
        <w:rPr>
          <w:rStyle w:val="aa"/>
        </w:rPr>
        <w:footnoteReference w:id="6"/>
      </w:r>
      <w:r>
        <w:rPr>
          <w:b/>
          <w:bCs/>
        </w:rPr>
        <w:t xml:space="preserve"> государству-участнику следует продолжить рассмотрение вопроса о принятии конкретных мер для снятия своей оговорки к Факультативному протоколу к Пакту.</w:t>
      </w:r>
      <w:r>
        <w:t xml:space="preserve"> </w:t>
      </w:r>
      <w:r>
        <w:rPr>
          <w:b/>
          <w:bCs/>
        </w:rPr>
        <w:t>Государству-участнику следует обеспечить выполнение рекомендаций, содержащихся в соображениях, принятых Комитетом, в том числе через национальные суды, с тем чтобы гарантировать право жертв на эффективные средства правовой защиты.</w:t>
      </w:r>
      <w:r>
        <w:t xml:space="preserve"> </w:t>
      </w:r>
      <w:r>
        <w:rPr>
          <w:b/>
          <w:bCs/>
        </w:rPr>
        <w:t>Ему следует рассмотреть вопрос о принятии законодательства, признающего право авторов сообщений, которым Комитет предоставил какие-либо меры по возмещению ущерба, требовать в национальных судах исполнения этих мер.</w:t>
      </w:r>
      <w:r>
        <w:t xml:space="preserve"> </w:t>
      </w:r>
      <w:r>
        <w:rPr>
          <w:b/>
          <w:bCs/>
        </w:rPr>
        <w:t>Ему также следует рассмотреть вопрос о создании национального механизма по контролю за выполнением соображений Комитета.</w:t>
      </w:r>
    </w:p>
    <w:p w14:paraId="37A67D80" w14:textId="77777777" w:rsidR="00A320D0" w:rsidRPr="00526348" w:rsidRDefault="00A320D0" w:rsidP="00A320D0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092979CF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r>
        <w:t>8.</w:t>
      </w:r>
      <w:r>
        <w:tab/>
        <w:t>Хотя Комитет принимает к сведению представленную государством-участником информацию о том, что действующее конституционное положение о назначении Председателя Комиссии по правам человека осложняет усилия государства по обеспечению функционирования Комиссии, он выражает сожаление по поводу отсутствия явного прогресса в деле обеспечения функционирования такого учреждения и сохраняющейся вакансии на посту Председателя Комиссии, что препятствует соблюдению принципов, касающихся статуса национальных учреждений, занимающихся поощрением и защитой прав человека (Парижские принципы) (статья 2).</w:t>
      </w:r>
    </w:p>
    <w:p w14:paraId="1732B9AB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t>9.</w:t>
      </w:r>
      <w:r>
        <w:tab/>
      </w:r>
      <w:r>
        <w:rPr>
          <w:b/>
          <w:bCs/>
        </w:rPr>
        <w:t>Государству-участнику следует принять меры, необходимые для обеспечения функционирования Комиссии по правам человека в качестве независимого национального правозащитного учреждения в соответствии с Парижскими принципами, и в приоритетном порядке рассмотреть вопрос о пересмотре конституционного положения, затрудняющего процесс назначения Председателя Комиссии.</w:t>
      </w:r>
      <w:r>
        <w:t xml:space="preserve"> </w:t>
      </w:r>
      <w:r>
        <w:rPr>
          <w:b/>
          <w:bCs/>
        </w:rPr>
        <w:t>Государству-участнику следует обеспечить, чтобы Комиссия по правам человека была обеспечена людскими и финансовыми ресурсами, необходимыми для эффективного выполнения ее мандата.</w:t>
      </w:r>
    </w:p>
    <w:p w14:paraId="100982D5" w14:textId="77777777" w:rsidR="00A320D0" w:rsidRPr="00526348" w:rsidRDefault="00A320D0" w:rsidP="00A320D0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Меры по борьбе с коррупцией</w:t>
      </w:r>
    </w:p>
    <w:p w14:paraId="57ECD136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bookmarkStart w:id="7" w:name="_Hlk159079786"/>
      <w:bookmarkStart w:id="8" w:name="_Hlk159079830"/>
      <w:r>
        <w:t>10.</w:t>
      </w:r>
      <w:r>
        <w:tab/>
        <w:t xml:space="preserve">Комитет принимает к сведению принятие государством-участником ряда законов и нормативных актов по борьбе с коррупцией, а также такие меры, как создание специального подразделения по борьбе с организованной преступностью в составе полиции Гайаны, которое несет основную ответственность за расследование финансовых преступлений. Однако Комитет по-прежнему обеспокоен тем, что институциональная база борьбы с коррупцией еще недостаточно прочна и эффективна на практике, чтобы надлежащим образом предотвращать коррупцию, в том числе коррупцию со стороны сотрудников полиции и высокопоставленных </w:t>
      </w:r>
      <w:proofErr w:type="gramStart"/>
      <w:r>
        <w:t>государственных чиновников</w:t>
      </w:r>
      <w:proofErr w:type="gramEnd"/>
      <w:r>
        <w:t>, и привлекать их к ответственности. Например, Комитет обеспокоен сообщениями о том, что: a) Уполномоченный по вопросам информации не отвечает на все запросы, полученные от общественности; и b) Закон о раскрытии информации под защитой и Закон о защите свидетелей еще не вступили в силу (статьи 1, 2, 14 и 25).</w:t>
      </w:r>
      <w:bookmarkStart w:id="9" w:name="_Hlk162168915"/>
      <w:bookmarkStart w:id="10" w:name="_Hlk162169206"/>
      <w:bookmarkStart w:id="11" w:name="_Hlk159071896"/>
      <w:bookmarkStart w:id="12" w:name="_Hlk159022587"/>
      <w:bookmarkEnd w:id="9"/>
      <w:bookmarkEnd w:id="10"/>
      <w:bookmarkEnd w:id="11"/>
      <w:bookmarkEnd w:id="12"/>
    </w:p>
    <w:p w14:paraId="3322E86C" w14:textId="77777777" w:rsidR="00A320D0" w:rsidRPr="00526348" w:rsidRDefault="00A320D0" w:rsidP="00B53553">
      <w:pPr>
        <w:pStyle w:val="SingleTxtG"/>
        <w:keepLines/>
        <w:rPr>
          <w:rFonts w:asciiTheme="majorBidi" w:hAnsiTheme="majorBidi" w:cstheme="majorBidi"/>
          <w:b/>
          <w:bCs/>
        </w:rPr>
      </w:pPr>
      <w:r>
        <w:lastRenderedPageBreak/>
        <w:t>11.</w:t>
      </w:r>
      <w:r>
        <w:tab/>
      </w:r>
      <w:r>
        <w:rPr>
          <w:b/>
          <w:bCs/>
        </w:rPr>
        <w:t>Государству-участнику следует расширить свои усилия по принятию и осуществлению эффективных и оперативных мер по содействию благому управлению и борьбе с коррупцией и безнаказанностью на всех уровнях власти.</w:t>
      </w:r>
      <w:r>
        <w:t xml:space="preserve"> </w:t>
      </w:r>
      <w:r>
        <w:rPr>
          <w:b/>
          <w:bCs/>
        </w:rPr>
        <w:t>В этой связи Комитет настоятельно призывает государство-участник:</w:t>
      </w:r>
    </w:p>
    <w:p w14:paraId="5D3B4EF9" w14:textId="777ED650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принять конкретные меры по устранению коренных причин коррупции в приоритетном порядке;</w:t>
      </w:r>
    </w:p>
    <w:p w14:paraId="47519B32" w14:textId="57F0BB7D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обеспечить, чтобы все случаи коррупции, включая случаи коррупции на высоком уровне и коррупции в полиции, расследовались и преследовались независимо и беспристрастно, чтобы виновные, если они осуждены, понесли наказание, соразмерное тяжести преступления, и чтобы жертвы получили полное возмещение ущерба;</w:t>
      </w:r>
    </w:p>
    <w:bookmarkEnd w:id="7"/>
    <w:bookmarkEnd w:id="8"/>
    <w:p w14:paraId="20BBA6DB" w14:textId="49559123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принять меры, необходимые для обеспечения на практике независимости, эффективности, прозрачности и подотчетности всех антикоррупционных органов, включая Управление генерального аудитора, Уполномоченного по вопросам информации, Комиссию по профессиональной этике и Комиссию по государственным закупкам;</w:t>
      </w:r>
    </w:p>
    <w:p w14:paraId="59FCE34B" w14:textId="72ADC6AD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обеспечить эффективную реализацию права на доступ к информации, имеющейся у Уполномоченного по вопросам информации;</w:t>
      </w:r>
    </w:p>
    <w:p w14:paraId="55A895E0" w14:textId="0FABC852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>
        <w:rPr>
          <w:b/>
          <w:bCs/>
        </w:rPr>
        <w:t>e</w:t>
      </w:r>
      <w:r>
        <w:t>)</w:t>
      </w:r>
      <w:r>
        <w:tab/>
      </w:r>
      <w:r>
        <w:rPr>
          <w:b/>
          <w:bCs/>
        </w:rPr>
        <w:t>эффективно защищать лиц, сообщающих о нарушениях, и свидетелей, в частности, путем ускорения вступления в силу Закона о защите информации и Закона о защите свидетелей.</w:t>
      </w:r>
    </w:p>
    <w:p w14:paraId="3F8AA637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r>
        <w:t>12.</w:t>
      </w:r>
      <w:r>
        <w:tab/>
        <w:t>Комитет обеспокоен сообщениями о коррупции и отсутствии прозрачности и подотчетности в управлении природными ресурсами, особенно в нефтегазовом секторе. В этом отношении Комитет обеспокоен сообщениями о коррупции государственных служащих в этом секторе и отсутствием информации о мерах, принятых для расследования таких утверждений (статьи 1, 2, 14 и 25).</w:t>
      </w:r>
    </w:p>
    <w:p w14:paraId="45175EC7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szCs w:val="24"/>
        </w:rPr>
      </w:pPr>
      <w:r>
        <w:t>13.</w:t>
      </w:r>
      <w:r>
        <w:tab/>
      </w:r>
      <w:r>
        <w:rPr>
          <w:b/>
          <w:bCs/>
        </w:rPr>
        <w:t>Государству-участнику следует принять все необходимые меры для обеспечения того, чтобы управление его природными ресурсами не было подвержено коррупции.</w:t>
      </w:r>
      <w:r>
        <w:t xml:space="preserve"> </w:t>
      </w:r>
      <w:r>
        <w:rPr>
          <w:b/>
          <w:bCs/>
        </w:rPr>
        <w:t>Ему следует обеспечить, чтобы выдаваемые правительством разрешения на эксплуатацию природных ресурсов и лицензии на разработку нефтяных месторождений проходили адекватную предварительную оценку воздействия на окружающую среду и общество, проводимую на систематической и прозрачной основе при реальном участии всех затрагиваемых сообществ.</w:t>
      </w:r>
      <w:r>
        <w:t xml:space="preserve"> </w:t>
      </w:r>
      <w:r>
        <w:rPr>
          <w:b/>
          <w:bCs/>
        </w:rPr>
        <w:t>Кроме того, государству-участнику следует обеспечить оперативное, тщательное, независимое и беспристрастное расследование сообщений о коррупции при заключении публичных контрактов, возбуждать судебные преследования и, в случае вынесения обвинительных приговоров, применять меры наказания, соразмерные тяжести совершенного преступления.</w:t>
      </w:r>
    </w:p>
    <w:p w14:paraId="2C9BC71E" w14:textId="77777777" w:rsidR="00A320D0" w:rsidRPr="00526348" w:rsidRDefault="00A320D0" w:rsidP="00A320D0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tab/>
      </w:r>
      <w:r>
        <w:rPr>
          <w:bCs/>
        </w:rPr>
        <w:t>Недискриминация</w:t>
      </w:r>
    </w:p>
    <w:p w14:paraId="6F32A708" w14:textId="68C24CFD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bookmarkStart w:id="13" w:name="_Hlk161486303"/>
      <w:bookmarkStart w:id="14" w:name="_Hlk157608738"/>
      <w:r>
        <w:t>14.</w:t>
      </w:r>
      <w:r>
        <w:tab/>
        <w:t>Комитет принимает к сведению представленную государством-участником информацию о том, что оно пересматривает Закон о предупреждении дискриминации 1997 года. Однако он по-прежнему обеспокоен отсутствием всеобъемлющего антидискриминационного законодательства, которое выходило бы за рамки дискриминации в сфере занятости, обеспечивало бы полную и эффективную защиту от всех форм дискриминации, запрещенных Пактом, включая прямую, косвенную и множественную дискриминацию, и содержало бы перечень запрещенных оснований для дискриминации в соответствии с Пактом. Комитет обеспокоен сообщениями о: a)</w:t>
      </w:r>
      <w:r>
        <w:t> </w:t>
      </w:r>
      <w:r>
        <w:t xml:space="preserve">сохраняющихся межэтническом расколе и напряженности в государстве-участнике; b) ненавистнических высказываниях и подстрекательстве к расовой вражде со стороны политиков и государственных служащих, а также расовом профилировании полицией; c) жестоком обращении и насилии, включая сексуальное насилие в отношении трансгендеров в полицейских участках и тюрьмах, которые усугубляются занижением отчетностью и неэффективными расследованиями таких нарушений прав человека; и </w:t>
      </w:r>
      <w:r>
        <w:lastRenderedPageBreak/>
        <w:t>d) неспособности полиции расследовать все заявления о дискриминации и насилии в отношении лесбиянок, геев, бисексуалов и трансгендеров, в частности об убийствах, и</w:t>
      </w:r>
      <w:r w:rsidR="00B53553">
        <w:t> </w:t>
      </w:r>
      <w:r>
        <w:t>привлекать виновных к ответственности (статьи 2, 7 и 26).</w:t>
      </w:r>
      <w:bookmarkStart w:id="15" w:name="_Hlk161658566"/>
      <w:bookmarkStart w:id="16" w:name="_Hlk161502698"/>
      <w:bookmarkStart w:id="17" w:name="_Hlk161659122"/>
      <w:bookmarkStart w:id="18" w:name="_Hlk161838001"/>
      <w:bookmarkStart w:id="19" w:name="_Hlk157675990"/>
      <w:bookmarkStart w:id="20" w:name="_Hlk157673810"/>
      <w:bookmarkStart w:id="21" w:name="_Hlk159119008"/>
      <w:bookmarkStart w:id="22" w:name="_Hlk157611274"/>
      <w:bookmarkEnd w:id="15"/>
      <w:bookmarkEnd w:id="16"/>
      <w:bookmarkEnd w:id="17"/>
      <w:bookmarkEnd w:id="18"/>
      <w:bookmarkEnd w:id="19"/>
      <w:bookmarkEnd w:id="20"/>
      <w:bookmarkEnd w:id="21"/>
    </w:p>
    <w:p w14:paraId="053ED5A5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bookmarkStart w:id="23" w:name="_Hlk161488801"/>
      <w:bookmarkEnd w:id="13"/>
      <w:bookmarkEnd w:id="22"/>
      <w:r>
        <w:t>15.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5696D89B" w14:textId="70B97402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 w:rsidRPr="00B53553">
        <w:rPr>
          <w:b/>
          <w:bCs/>
          <w:spacing w:val="-2"/>
        </w:rPr>
        <w:t>принять всеобъемлющее антидискриминационное законодательство</w:t>
      </w:r>
      <w:r>
        <w:rPr>
          <w:b/>
          <w:bCs/>
        </w:rPr>
        <w:t xml:space="preserve">, четко охватывающее все сферы жизни и запрещающее прямую, косвенную и </w:t>
      </w:r>
      <w:proofErr w:type="spellStart"/>
      <w:r>
        <w:rPr>
          <w:b/>
          <w:bCs/>
        </w:rPr>
        <w:t>межсекторальную</w:t>
      </w:r>
      <w:proofErr w:type="spellEnd"/>
      <w:r>
        <w:rPr>
          <w:b/>
          <w:bCs/>
        </w:rPr>
        <w:t xml:space="preserve"> дискриминацию по всем признакам, включая расу, этническую принадлежность, возраст, гражданство, религию, миграционный статус, инвалидность, сексуальную ориентацию и гендерную идентичность, и</w:t>
      </w:r>
      <w:r w:rsidR="00B53553">
        <w:rPr>
          <w:b/>
          <w:bCs/>
        </w:rPr>
        <w:t> </w:t>
      </w:r>
      <w:r>
        <w:rPr>
          <w:b/>
          <w:bCs/>
        </w:rPr>
        <w:t>обеспечить для жертв дискриминации доступ к эффективным и надлежащим средствам правовой защиты;</w:t>
      </w:r>
    </w:p>
    <w:p w14:paraId="74009EF4" w14:textId="3B1E5D44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удвоить усилия по прекращению существующего раскола и напряженности между этническими группами и дискриминации в отношении групп этнических меньшинств, в том числе путем создания возможностей для открытого диалога между различными этническими группами, поощрения межэтнической гармонии и терпимости и преодоления предрассудков и негативных стереотипов, в том числе в школах и университетах и через средства массовой информации;</w:t>
      </w:r>
    </w:p>
    <w:p w14:paraId="56DEDF04" w14:textId="16ECCCCD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предпринять необходимые шаги для предотвращения, осуждения и пресечения ненавистнических высказываний и подстрекательства к расовой вражде, в том числе со стороны государственных должностных лиц и политиков, в адрес групп, наиболее подверженных расовой дискриминации;</w:t>
      </w:r>
    </w:p>
    <w:p w14:paraId="3F1E7757" w14:textId="157998CF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принять все необходимые меры для эффективной борьбы с расовым профилированием сотрудниками правоохранительных органов и его искоренения, в том числе путем проведения обязательной подготовки сотрудников правоохранительных органов по вопросам культурного разнообразия и недопустимости расового профилирования;</w:t>
      </w:r>
      <w:bookmarkStart w:id="24" w:name="_Hlk162422904"/>
    </w:p>
    <w:bookmarkEnd w:id="24"/>
    <w:p w14:paraId="0ED52B1C" w14:textId="74E809D9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>
        <w:rPr>
          <w:b/>
          <w:bCs/>
        </w:rPr>
        <w:t>e</w:t>
      </w:r>
      <w:r>
        <w:t>)</w:t>
      </w:r>
      <w:r>
        <w:tab/>
      </w:r>
      <w:r>
        <w:rPr>
          <w:b/>
          <w:bCs/>
        </w:rPr>
        <w:t>вести борьбу с насилием и дискриминацией в отношении лиц по признаку их сексуальной ориентации и гендерной идентичности, обеспечить оперативное расследование преступлений, мотивом для которых послужила сексуальная ориентация или гендерная идентичность жертвы, и разработать специальные протоколы расследования таких дел для обеспечения привлечения виновных к ответственности и их надлежащего наказания, а также получения жертвами полного возмещения ущерба.</w:t>
      </w:r>
    </w:p>
    <w:bookmarkEnd w:id="14"/>
    <w:bookmarkEnd w:id="23"/>
    <w:p w14:paraId="22E3973B" w14:textId="77777777" w:rsidR="00A320D0" w:rsidRPr="00526348" w:rsidRDefault="00A320D0" w:rsidP="00A320D0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Гендерное равенство</w:t>
      </w:r>
    </w:p>
    <w:p w14:paraId="102D85E8" w14:textId="5FE60A92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bookmarkStart w:id="25" w:name="_Hlk157765527"/>
      <w:r>
        <w:t>16.</w:t>
      </w:r>
      <w:r>
        <w:tab/>
        <w:t>Комитет с удовлетворением отмечает переданную государством-участником информацию о том, что представленность женщин в парламенте возросла до 39</w:t>
      </w:r>
      <w:r>
        <w:t> </w:t>
      </w:r>
      <w:r w:rsidR="00B53553">
        <w:t>процентов</w:t>
      </w:r>
      <w:r>
        <w:t xml:space="preserve"> и что 49</w:t>
      </w:r>
      <w:r>
        <w:t> </w:t>
      </w:r>
      <w:r w:rsidR="00B53553">
        <w:t>процентов</w:t>
      </w:r>
      <w:r>
        <w:t xml:space="preserve"> руководящих должностей занимают женщины. Вместе с тем Комитет обеспокоен тем, что государство-участник не использует временные специальные меры, направленные на ускорение достижения фактического равенства между женщинами и мужчинами, в том числе с помощью установленных законом квот на представительство женщин в национальных и местных законодательных собраниях. Комитет также обеспокоен сохраняющимся разрывом в оплате труда (статьи 2, 3, 25 и</w:t>
      </w:r>
      <w:r>
        <w:t> </w:t>
      </w:r>
      <w:r>
        <w:t>26).</w:t>
      </w:r>
      <w:bookmarkStart w:id="26" w:name="_Hlk157771968"/>
      <w:bookmarkStart w:id="27" w:name="_Hlk157771987"/>
      <w:bookmarkStart w:id="28" w:name="_Hlk157772253"/>
      <w:bookmarkStart w:id="29" w:name="_Hlk157772288"/>
      <w:bookmarkStart w:id="30" w:name="_Hlk159122061"/>
      <w:bookmarkEnd w:id="26"/>
      <w:bookmarkEnd w:id="27"/>
      <w:bookmarkEnd w:id="28"/>
      <w:bookmarkEnd w:id="29"/>
      <w:bookmarkEnd w:id="30"/>
    </w:p>
    <w:p w14:paraId="3D76D618" w14:textId="66C30592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t>17.</w:t>
      </w:r>
      <w:r>
        <w:tab/>
      </w:r>
      <w:r>
        <w:rPr>
          <w:b/>
          <w:bCs/>
        </w:rPr>
        <w:t>В соответствии с рекомендациями Комитета по ликвидации дискриминации в отношении женщин</w:t>
      </w:r>
      <w:r w:rsidR="00580403" w:rsidRPr="00331874">
        <w:rPr>
          <w:rStyle w:val="aa"/>
        </w:rPr>
        <w:footnoteReference w:id="7"/>
      </w:r>
      <w:r>
        <w:rPr>
          <w:b/>
          <w:bCs/>
        </w:rPr>
        <w:t xml:space="preserve"> государству-участнику следует рассмотреть вопрос о принятии временных специальных мер, таких как установленные законом квоты и система гендерного паритета, для ускорения достижения фактического равенства между женщинами и мужчинами во всех областях, в которых женщины </w:t>
      </w:r>
      <w:proofErr w:type="spellStart"/>
      <w:r>
        <w:rPr>
          <w:b/>
          <w:bCs/>
        </w:rPr>
        <w:t>недопредставлены</w:t>
      </w:r>
      <w:proofErr w:type="spellEnd"/>
      <w:r>
        <w:rPr>
          <w:b/>
          <w:bCs/>
        </w:rPr>
        <w:t xml:space="preserve"> или ограничены в правах</w:t>
      </w:r>
      <w:r>
        <w:t xml:space="preserve">. </w:t>
      </w:r>
      <w:r>
        <w:rPr>
          <w:b/>
          <w:bCs/>
        </w:rPr>
        <w:t xml:space="preserve">Ему </w:t>
      </w:r>
      <w:r>
        <w:rPr>
          <w:b/>
          <w:bCs/>
        </w:rPr>
        <w:lastRenderedPageBreak/>
        <w:t>следует активизировать свои усилия по сокращению разрыва в оплате труда между женщинами и мужчинами.</w:t>
      </w:r>
    </w:p>
    <w:bookmarkEnd w:id="25"/>
    <w:p w14:paraId="13003522" w14:textId="77777777" w:rsidR="00A320D0" w:rsidRPr="00526348" w:rsidRDefault="00A320D0" w:rsidP="00A320D0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Насилие в отношении женщин, в том числе домашнее насилие</w:t>
      </w:r>
    </w:p>
    <w:p w14:paraId="0A0307BC" w14:textId="77777777" w:rsidR="00A320D0" w:rsidRPr="00526348" w:rsidRDefault="00A320D0" w:rsidP="00A320D0">
      <w:pPr>
        <w:pStyle w:val="SingleTxtG"/>
      </w:pPr>
      <w:r>
        <w:t>18.</w:t>
      </w:r>
      <w:r>
        <w:tab/>
        <w:t>Комитет отмечает меры, принятые государством-участником для предотвращения насилия в отношении женщин и борьбы с ним, включая создание судов по делам о сексуальных преступлениях. Тем не менее он обеспокоен распространенностью насилия в отношении женщин, включая домашнее и сексуальное насилие, а также убийства женщин. Он также обеспокоен числом сообщений о гендерном насилии со стороны жертв и низкими показателями осуждения виновных, что способствует безнаказанности преступников. Комитет также обеспокоен недостаточным количеством приютов для жертв домашнего насилия и их детей на всей территории государства-участника, особенно в сельских и отдаленных районах. Кроме того, он обеспокоен тем, что фемицид не квалифицирован в качестве конкретного уголовного преступления, что затрудняет выявление всех случаев фемицида (статьи 2, 6, 7, 14 и 26).</w:t>
      </w:r>
      <w:bookmarkStart w:id="31" w:name="_Hlk161876311"/>
      <w:bookmarkEnd w:id="31"/>
    </w:p>
    <w:p w14:paraId="314C7B7C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r>
        <w:t>19.</w:t>
      </w:r>
      <w:r>
        <w:tab/>
      </w:r>
      <w:r>
        <w:rPr>
          <w:b/>
          <w:bCs/>
        </w:rPr>
        <w:t>Комитет одобряет рекомендации Комитета по ликвидации дискриминации в отношении женщин и настоятельно призывает государство-участник принять необходимые меры для предотвращения, пресечения и искоренения всех форм насилия в отношении женщин, включая сексуальное и домашнее насилие и фемицид.</w:t>
      </w:r>
      <w:r>
        <w:t xml:space="preserve"> </w:t>
      </w:r>
      <w:r>
        <w:rPr>
          <w:b/>
          <w:bCs/>
        </w:rPr>
        <w:t>Государству-участнику следует принять национальный план действий по борьбе с гендерным насилием в отношении женщин, а также принять и ввести в действие всеобъемлющее законодательство, предусматривающее уголовную ответственность за все формы насилия в отношении женщин, включая преднамеренные убийства женщин по гендерным мотивам.</w:t>
      </w:r>
      <w:r>
        <w:t xml:space="preserve"> </w:t>
      </w:r>
      <w:r>
        <w:rPr>
          <w:b/>
          <w:bCs/>
        </w:rPr>
        <w:t>Ему следует поощрять сообщение о случаях насилия в отношении женщин, включая домашнее насилие и сексуальные домогательства, в том числе путем расширения доступа к правосудию и решения проблемы социальной стигматизации жертв, особенно в сельских и отдаленных районах.</w:t>
      </w:r>
      <w:r>
        <w:t xml:space="preserve"> </w:t>
      </w:r>
      <w:r>
        <w:rPr>
          <w:b/>
          <w:bCs/>
        </w:rPr>
        <w:t>Государству-участнику следует обеспечить расследование всех случаев насилия в отношении женщин, включая сексуальное и домашнее насилие и фемицид, привлечение виновных к ответственности, а в случае вынесения обвинительного приговора, назначение им наказания, соразмерного тяжести совершенных преступлений, а также предоставление надлежащей компенсации жертвам.</w:t>
      </w:r>
      <w:r>
        <w:t xml:space="preserve"> </w:t>
      </w:r>
      <w:r>
        <w:rPr>
          <w:b/>
          <w:bCs/>
        </w:rPr>
        <w:t>Необходимо увеличить количество приютов и центров помощи.</w:t>
      </w:r>
      <w:bookmarkStart w:id="32" w:name="_Hlk159244141"/>
      <w:bookmarkEnd w:id="32"/>
    </w:p>
    <w:p w14:paraId="5E2A02C3" w14:textId="6D56B49F" w:rsidR="00A320D0" w:rsidRPr="00526348" w:rsidRDefault="00A320D0" w:rsidP="00A320D0">
      <w:pPr>
        <w:pStyle w:val="H23G"/>
        <w:rPr>
          <w:rFonts w:asciiTheme="majorBidi" w:hAnsiTheme="majorBidi" w:cstheme="majorBidi"/>
        </w:rPr>
      </w:pPr>
      <w:bookmarkStart w:id="33" w:name="_Hlk161724769"/>
      <w:bookmarkStart w:id="34" w:name="_Hlk161852299"/>
      <w:r>
        <w:tab/>
      </w:r>
      <w:r>
        <w:tab/>
      </w:r>
      <w:r>
        <w:rPr>
          <w:bCs/>
        </w:rPr>
        <w:t>Материнская смертность, сексуальное и репродуктивное здоровье и</w:t>
      </w:r>
      <w:r>
        <w:rPr>
          <w:bCs/>
        </w:rPr>
        <w:t> </w:t>
      </w:r>
      <w:r>
        <w:rPr>
          <w:bCs/>
        </w:rPr>
        <w:t>добровольное прерывание беременности</w:t>
      </w:r>
    </w:p>
    <w:bookmarkEnd w:id="33"/>
    <w:p w14:paraId="0CB8CDF5" w14:textId="3728613C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r>
        <w:t>20.</w:t>
      </w:r>
      <w:r>
        <w:tab/>
        <w:t>Принимая к сведению представленную государством-участником информацию о снижении уровня материнской смертности, Комитет тем не менее обеспокоен тем, что он остается высоким (100 смертей на 100</w:t>
      </w:r>
      <w:r w:rsidR="00B53553">
        <w:t> </w:t>
      </w:r>
      <w:r>
        <w:t>000 живорождений). Комитет также обеспокоен ограниченным доступом к безопасным, законным и эффективным услугам по прерыванию беременности во всех районах страны, особенно для женщин из числа коренных народов, женщин, проживающих в сельских районах, и женщин, живущих в бедности, что приводит к большому числу небезопасных, подпольных абортов. Комитет также обеспокоен ростом смертности от рака молочной железы из-за отсутствия адекватных медицинских услуг, включая доступ к и другим жизненно важным видам диагностики, которые могут способствовать раннему выявлению рака молочной железы среди женщин на всей территории страны (статьи 2, 6 и 7).</w:t>
      </w:r>
      <w:bookmarkStart w:id="35" w:name="_Hlk159258734"/>
      <w:bookmarkEnd w:id="35"/>
    </w:p>
    <w:p w14:paraId="28C1DEB0" w14:textId="2EA2B3A1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t>21.</w:t>
      </w:r>
      <w:r>
        <w:tab/>
      </w:r>
      <w:r>
        <w:rPr>
          <w:b/>
          <w:bCs/>
        </w:rPr>
        <w:t>В свете пункта 8 замечания общего порядка №</w:t>
      </w:r>
      <w:r w:rsidR="00B53553">
        <w:rPr>
          <w:b/>
          <w:bCs/>
        </w:rPr>
        <w:t> </w:t>
      </w:r>
      <w:r>
        <w:rPr>
          <w:b/>
          <w:bCs/>
        </w:rPr>
        <w:t>36 (2018) Комитета о праве на жизнь государству-участнику следует удвоить усилия по предотвращению материнской смертности и борьбе с ней и обеспечить доступ женщин к безопасным и законным услугам по прерыванию беременности, особенно для женщин из числа коренных народов, женщин, проживающих в сельских районах, и женщин, живущих в бедности.</w:t>
      </w:r>
      <w:r>
        <w:t xml:space="preserve"> </w:t>
      </w:r>
      <w:r>
        <w:rPr>
          <w:b/>
          <w:bCs/>
        </w:rPr>
        <w:t xml:space="preserve">Ему следует активизировать его усилия, направленные на снижение высокой заболеваемости раком груди посредством повышения эффективности профилактики, а также раннего выявления и </w:t>
      </w:r>
      <w:r>
        <w:rPr>
          <w:b/>
          <w:bCs/>
        </w:rPr>
        <w:lastRenderedPageBreak/>
        <w:t>лечения рака и предоставления психологической поддержки больным раком женщинам и девочкам, а также путем выделения необходимых людских и финансовых ресурсов на эти цели.</w:t>
      </w:r>
    </w:p>
    <w:p w14:paraId="3088BFA2" w14:textId="77777777" w:rsidR="00A320D0" w:rsidRPr="00526348" w:rsidRDefault="00A320D0" w:rsidP="00A320D0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Смертная казнь</w:t>
      </w:r>
    </w:p>
    <w:p w14:paraId="092C7E73" w14:textId="4CB3C0A7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r>
        <w:t>22.</w:t>
      </w:r>
      <w:r>
        <w:tab/>
        <w:t xml:space="preserve">Комитет приветствует внесение в 2010 году поправок в Закон об уголовных преступлениях (правонарушениях), которые привели к отмене обязательной смертной казни и предусматривают пожизненное заключение и тюремное заключение с возможностью условно-досрочного освобождения. Комитет отмечает, что с 1997 года ни один смертный приговор не был приведен в исполнение. Вместе с тем Комитет сожалеет, что вынесение смертного приговора по-прежнему возможно в соответствии со статьей 138 Конституции и что государство-участник сохраняет смертную казнь за некоторые преступления, , которые не подпадают под категорию </w:t>
      </w:r>
      <w:r>
        <w:t>«</w:t>
      </w:r>
      <w:r>
        <w:t>самых тяжких преступлений</w:t>
      </w:r>
      <w:r>
        <w:t xml:space="preserve">» </w:t>
      </w:r>
      <w:r>
        <w:t>по смыслу пункта 2 статьи 6 Пакта, такие как государственная измена и захват судна или пиратство, связанное с нападением на судно. Комитет также сожалеет об отсутствии информации о том, могут ли лица, чьи обвинительные вердикты и приговоры стали окончательными, представить вновь открывшиеся доказательства своей невиновности в суд или другие государственные органы (статьи</w:t>
      </w:r>
      <w:r>
        <w:t> </w:t>
      </w:r>
      <w:r>
        <w:t>2 и 6).</w:t>
      </w:r>
    </w:p>
    <w:p w14:paraId="0AFBB807" w14:textId="3995F2B6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t>23.</w:t>
      </w:r>
      <w:r>
        <w:tab/>
      </w:r>
      <w:r>
        <w:rPr>
          <w:b/>
          <w:bCs/>
        </w:rPr>
        <w:t>С учетом замечания общего порядка Комитета №</w:t>
      </w:r>
      <w:r w:rsidR="00B53553">
        <w:rPr>
          <w:b/>
          <w:bCs/>
        </w:rPr>
        <w:t> </w:t>
      </w:r>
      <w:r>
        <w:rPr>
          <w:b/>
          <w:bCs/>
        </w:rPr>
        <w:t>36 (2018) государству-участнику следует:</w:t>
      </w:r>
    </w:p>
    <w:p w14:paraId="75CFAB7F" w14:textId="2472F323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предпринять все необходимые шаги, чтобы исключить положение о смертной казни из своих законов, включая Конституцию;</w:t>
      </w:r>
    </w:p>
    <w:p w14:paraId="3AF327DD" w14:textId="68E65C1B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принять меры по повышению осведомленности в целях мобилизации общественного мнения в поддержку отмены смертной казни;</w:t>
      </w:r>
    </w:p>
    <w:p w14:paraId="1D4D2586" w14:textId="68686234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рассмотреть возможность присоединения ко второму Факультативному протоколу к Пакту, направленному на отмену смертной казни;</w:t>
      </w:r>
      <w:bookmarkEnd w:id="34"/>
    </w:p>
    <w:p w14:paraId="33A55029" w14:textId="078C6266" w:rsidR="00A320D0" w:rsidRPr="00526348" w:rsidRDefault="00A320D0" w:rsidP="00A320D0">
      <w:pPr>
        <w:pStyle w:val="SingleTxtG"/>
        <w:rPr>
          <w:rFonts w:asciiTheme="majorBidi" w:hAnsiTheme="majorBidi" w:cstheme="majorBidi"/>
          <w:b/>
        </w:rPr>
      </w:pPr>
      <w:r>
        <w:rPr>
          <w:b/>
          <w:bCs/>
        </w:rPr>
        <w:tab/>
      </w: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создать механизм для пересмотра обвинительных вердиктов и приговоров на основании вновь открывшихся доказательств, как рекомендует Комитет в своем замечании общего порядка № 36 (2018), и предоставить соответствующие средства правовой защиты, включая компенсацию, тем, кто был оправдан.</w:t>
      </w:r>
    </w:p>
    <w:p w14:paraId="6800FD7F" w14:textId="77777777" w:rsidR="00A320D0" w:rsidRPr="00526348" w:rsidRDefault="00A320D0" w:rsidP="00A320D0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Внесудебные казни</w:t>
      </w:r>
    </w:p>
    <w:p w14:paraId="0909F1B8" w14:textId="30D13048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bookmarkStart w:id="36" w:name="_Hlk159424259"/>
      <w:r>
        <w:t>24.</w:t>
      </w:r>
      <w:r>
        <w:tab/>
        <w:t>Комитет обеспокоен сообщениями о том, что в государстве-участнике по-прежнему совершаются внесудебные казни, в том числе сотрудниками полиции. В</w:t>
      </w:r>
      <w:r>
        <w:t> </w:t>
      </w:r>
      <w:r>
        <w:t>этой связи Комитет сожалеет, что не получил достаточной информации о мерах, принятых для борьбы с такими преступлениями и их предотвращения. Кроме того, Комитет обеспокоен тем, что предполагаемые внесудебные казни, имевшие место в период с 2002 по 2006 год, не были должным образом расследованы, а виновные не были привлечены к ответственности и не понесли должного наказания. В этой связи Комитет обеспокоен тем, что не было достигнуто существенного прогресса в создании президентской комиссии по расследованию утверждений о внесудебных казнях в этот период, несмотря на то что правительство объявило о таком плане в 2018 году (статья</w:t>
      </w:r>
      <w:r>
        <w:t> </w:t>
      </w:r>
      <w:r>
        <w:t>6).</w:t>
      </w:r>
      <w:bookmarkStart w:id="37" w:name="_Hlk159421330"/>
      <w:bookmarkStart w:id="38" w:name="_Hlk159414859"/>
      <w:bookmarkEnd w:id="37"/>
      <w:bookmarkEnd w:id="38"/>
    </w:p>
    <w:bookmarkEnd w:id="36"/>
    <w:p w14:paraId="5D8AC7A1" w14:textId="077C4867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t>25.</w:t>
      </w:r>
      <w:r>
        <w:tab/>
      </w:r>
      <w:r>
        <w:rPr>
          <w:b/>
          <w:bCs/>
        </w:rPr>
        <w:t>Государству-участнику следует обеспечить, чтобы все сообщения о внесудебных казнях расследовались оперативным, беспристрастным, прозрачным и тщательным образом;</w:t>
      </w:r>
      <w:r>
        <w:t xml:space="preserve"> </w:t>
      </w:r>
      <w:r>
        <w:rPr>
          <w:b/>
          <w:bCs/>
        </w:rPr>
        <w:t>чтобы виновные привлекались к ответственности и, в случае осуждения, несли наказание, соразмерное тяжести преступлений;</w:t>
      </w:r>
      <w:r>
        <w:t xml:space="preserve"> </w:t>
      </w:r>
      <w:r>
        <w:rPr>
          <w:b/>
          <w:bCs/>
        </w:rPr>
        <w:t>и чтобы семьям жертв предоставлялась полная компенсация.</w:t>
      </w:r>
      <w:r>
        <w:t xml:space="preserve"> </w:t>
      </w:r>
      <w:r>
        <w:rPr>
          <w:b/>
          <w:bCs/>
        </w:rPr>
        <w:t>В</w:t>
      </w:r>
      <w:r>
        <w:rPr>
          <w:b/>
          <w:bCs/>
        </w:rPr>
        <w:t> </w:t>
      </w:r>
      <w:r>
        <w:rPr>
          <w:b/>
          <w:bCs/>
        </w:rPr>
        <w:t>качестве приоритетной задачи ему следует создать президентскую комиссию по расследованию предполагаемых внесудебных казней, совершенных в период с 2002 по 2006 год.</w:t>
      </w:r>
      <w:r>
        <w:t xml:space="preserve"> </w:t>
      </w:r>
      <w:r>
        <w:rPr>
          <w:b/>
          <w:bCs/>
        </w:rPr>
        <w:t>Государству-участнику следует принять все необходимые меры для предотвращения внесудебных казней в будущем.</w:t>
      </w:r>
      <w:r>
        <w:t xml:space="preserve"> </w:t>
      </w:r>
    </w:p>
    <w:p w14:paraId="301956A3" w14:textId="21DE189A" w:rsidR="00A320D0" w:rsidRPr="00526348" w:rsidRDefault="00A320D0" w:rsidP="00A320D0">
      <w:pPr>
        <w:pStyle w:val="H23G"/>
        <w:rPr>
          <w:rFonts w:asciiTheme="majorBidi" w:hAnsiTheme="majorBidi" w:cstheme="majorBidi"/>
        </w:rPr>
      </w:pPr>
      <w:r>
        <w:lastRenderedPageBreak/>
        <w:tab/>
      </w:r>
      <w:r>
        <w:tab/>
      </w:r>
      <w:r>
        <w:rPr>
          <w:bCs/>
        </w:rPr>
        <w:t>Ухудшение состояния окружающей среды, вызванное загрязнением и</w:t>
      </w:r>
      <w:r w:rsidR="009F355A">
        <w:rPr>
          <w:bCs/>
        </w:rPr>
        <w:t> </w:t>
      </w:r>
      <w:r>
        <w:rPr>
          <w:bCs/>
        </w:rPr>
        <w:t>изменением климата</w:t>
      </w:r>
    </w:p>
    <w:p w14:paraId="571D7B50" w14:textId="390F45A4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bookmarkStart w:id="39" w:name="_Hlk159601079"/>
      <w:bookmarkStart w:id="40" w:name="_Hlk159601959"/>
      <w:r>
        <w:t>26.</w:t>
      </w:r>
      <w:r>
        <w:tab/>
        <w:t>Приветствуя ратификацию государством</w:t>
      </w:r>
      <w:r w:rsidR="009F355A">
        <w:t>-</w:t>
      </w:r>
      <w:r>
        <w:t xml:space="preserve">участником Регионального соглашения о доступе к информации, участии общественности и правосудии по вопросам окружающей среды в Латинской Америке и Карибском бассейне (Соглашение </w:t>
      </w:r>
      <w:proofErr w:type="spellStart"/>
      <w:r>
        <w:t>Эскасу</w:t>
      </w:r>
      <w:proofErr w:type="spellEnd"/>
      <w:r>
        <w:t xml:space="preserve">), Комитет тем не менее выражает озабоченность в связи с сообщениями о неадекватном осуществлении природоохранных норм, включая Закон об охране окружающей среды, и отсутствием подробной информации об эффективной роли Агентства по охране окружающей среды в осуществлении этих норм. Комитет также обеспокоен ограниченным доступом к экологической информации и отсутствием эффективных консультаций и конструктивного участия в процессах принятия решений наиболее обездоленных групп населения, включая индейцев и общины, зависящие от рыболовства, на которых загрязнение и изменение климата оказывают прямое воздействие. Комитет также обеспокоен распространенностью незаконной добычи полезных ископаемых, которая вносит значительный вклад в опустынивание, и отсутствием тщательной оценки экологических последствий такой деятельности со стороны Агентства по охране окружающей среды. Он обеспокоен негативными последствиями загрязнения воды и воздуха, вызванными этой деятельностью, а также неэффективным обращением с опасными отходами, и их воздействием в форме вызванных плохой экологией состояний, таких как осложнения при родах, усталость и потеря памяти. Он также обеспокоен сообщениями об опасностях, связанных с загрязнением и отравлением ртутью в результате добычи полезных ископаемых в населенных районах, в частности в районах проживания коренных народов (статьи 6, 17 и 19). </w:t>
      </w:r>
      <w:bookmarkStart w:id="41" w:name="_Hlk159602008"/>
      <w:bookmarkStart w:id="42" w:name="_Hlk159602094"/>
      <w:bookmarkStart w:id="43" w:name="_Hlk161934507"/>
      <w:bookmarkStart w:id="44" w:name="_Hlk157432294"/>
      <w:bookmarkStart w:id="45" w:name="_Hlk162170531"/>
      <w:bookmarkEnd w:id="41"/>
      <w:bookmarkEnd w:id="42"/>
      <w:bookmarkEnd w:id="43"/>
      <w:bookmarkEnd w:id="44"/>
      <w:bookmarkEnd w:id="45"/>
    </w:p>
    <w:bookmarkEnd w:id="39"/>
    <w:p w14:paraId="21108C93" w14:textId="11E8F688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t>27.</w:t>
      </w:r>
      <w:r>
        <w:tab/>
      </w:r>
      <w:r>
        <w:rPr>
          <w:b/>
          <w:bCs/>
        </w:rPr>
        <w:t>В свете пункта 26 своего замечания общего порядка №</w:t>
      </w:r>
      <w:r w:rsidR="009F355A">
        <w:rPr>
          <w:b/>
          <w:bCs/>
        </w:rPr>
        <w:t> </w:t>
      </w:r>
      <w:r>
        <w:rPr>
          <w:b/>
          <w:bCs/>
        </w:rPr>
        <w:t>36 (2018) государству-участнику следует:</w:t>
      </w:r>
    </w:p>
    <w:p w14:paraId="12ED9515" w14:textId="00BF9650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a</w:t>
      </w:r>
      <w:r w:rsidR="00A320D0">
        <w:t>)</w:t>
      </w:r>
      <w:r w:rsidR="00A320D0">
        <w:tab/>
      </w:r>
      <w:r w:rsidR="00A320D0">
        <w:rPr>
          <w:b/>
          <w:bCs/>
        </w:rPr>
        <w:t>расширить возможности общественности в плане конструктивного участия в принятии решений по вопросам охраны окружающей среды и доступа к информации, в частности, для индейцев и общин, зависящих от рыболовства, в</w:t>
      </w:r>
      <w:r>
        <w:rPr>
          <w:b/>
          <w:bCs/>
        </w:rPr>
        <w:t> </w:t>
      </w:r>
      <w:r w:rsidR="00A320D0">
        <w:rPr>
          <w:b/>
          <w:bCs/>
        </w:rPr>
        <w:t>том числе в отношении качества воздуха и воды, законов, нормативных актов, политики, заявок на получение разрешений и решений, данных о загрязнении и правоприменительных мер;</w:t>
      </w:r>
    </w:p>
    <w:p w14:paraId="3F7D0A84" w14:textId="78220937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b</w:t>
      </w:r>
      <w:r w:rsidR="00A320D0">
        <w:t>)</w:t>
      </w:r>
      <w:r w:rsidR="00A320D0">
        <w:tab/>
      </w:r>
      <w:r w:rsidR="00A320D0">
        <w:rPr>
          <w:b/>
          <w:bCs/>
        </w:rPr>
        <w:t>удвоить усилия по борьбе с загрязнением воды и воздуха, улучшить обращение с отходами, усовершенствовать систему обеспечения соблюдения соответствующих норм и регулировать предельно допустимые концентрации загрязняющих веществ в воздухе и воде;</w:t>
      </w:r>
    </w:p>
    <w:p w14:paraId="3B093329" w14:textId="4CC88C53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c</w:t>
      </w:r>
      <w:r w:rsidR="00A320D0">
        <w:t>)</w:t>
      </w:r>
      <w:r w:rsidR="00A320D0">
        <w:tab/>
      </w:r>
      <w:r w:rsidR="00A320D0">
        <w:rPr>
          <w:b/>
          <w:bCs/>
        </w:rPr>
        <w:t>пересмотреть правовую базу, регулирующую социальную и экологическую ответственность, а также правовой режим и нормативные стандарты, применимые к добыче полезных ископаемых, в том числе частными иностранными компаниями, с тем чтобы возложить на них обязанность проявлять должную осмотрительность для выявления рисков нарушения прав, защищаемых Пактом, предотвращения и смягчения таких рисков и предотвращения нарушений этих прав.</w:t>
      </w:r>
    </w:p>
    <w:bookmarkEnd w:id="40"/>
    <w:p w14:paraId="6AFC7120" w14:textId="77777777" w:rsidR="00A320D0" w:rsidRPr="00526348" w:rsidRDefault="00A320D0" w:rsidP="00A320D0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Запрет пыток и других жестоких, бесчеловечных или унижающих достоинство видов обращения и наказания</w:t>
      </w:r>
    </w:p>
    <w:p w14:paraId="718CD288" w14:textId="53A2B0EF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t>28.</w:t>
      </w:r>
      <w:r>
        <w:tab/>
        <w:t xml:space="preserve">Комитет обеспокоен отсутствием конкретного законодательства, которое бы четко определяло и криминализировало пытки и другие виды жестокого обращения. Он также обеспокоен сообщениями о широко распространенных пытках или жестоком обращении с лицами, лишенными свободы, включая: a) пытки и жестокое обращение, применяемые для получения признательных показаний в ходе расследований; </w:t>
      </w:r>
      <w:r w:rsidR="009F355A">
        <w:br/>
      </w:r>
      <w:r>
        <w:t xml:space="preserve">и b) сексуальное насилие, включая изнасилование заключенных сотрудниками полиции. Комитет сожалеет о низком числе уголовных расследований, преследований и приговоров, вынесенных в результате таких заявлений. Он также выражает сожаление по поводу отсутствия информации о расследовании заявлений о правонарушениях в случаях, когда комиссар полиции препятствует поступлению </w:t>
      </w:r>
      <w:r>
        <w:lastRenderedPageBreak/>
        <w:t>таких заявлений в Управление по рассмотрению жалоб на действия полиции (статья</w:t>
      </w:r>
      <w:r w:rsidR="009F355A">
        <w:t> </w:t>
      </w:r>
      <w:r>
        <w:t>7).</w:t>
      </w:r>
    </w:p>
    <w:p w14:paraId="427599A0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t>29.</w:t>
      </w:r>
      <w:r>
        <w:tab/>
      </w:r>
      <w:r>
        <w:rPr>
          <w:b/>
          <w:bCs/>
        </w:rPr>
        <w:t>Государству-участнику следует принять все необходимые меры для прекращения практики пыток и жестокого обращения в соответствии с Пактом и международными стандартами.</w:t>
      </w:r>
      <w:r>
        <w:t xml:space="preserve"> </w:t>
      </w:r>
      <w:r>
        <w:rPr>
          <w:b/>
          <w:bCs/>
        </w:rPr>
        <w:t>В частности, ему следует:</w:t>
      </w:r>
    </w:p>
    <w:p w14:paraId="34937075" w14:textId="236AA9CD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a</w:t>
      </w:r>
      <w:r w:rsidR="00A320D0">
        <w:t>)</w:t>
      </w:r>
      <w:r w:rsidR="00A320D0">
        <w:tab/>
      </w:r>
      <w:r w:rsidR="00A320D0">
        <w:rPr>
          <w:b/>
          <w:bCs/>
        </w:rPr>
        <w:t>безотлагательно принять законодательство по борьбе с пытками и обеспечить, чтобы оно содержало определение пытки, соответствующее международному праву;</w:t>
      </w:r>
      <w:r w:rsidR="00A320D0">
        <w:t xml:space="preserve"> </w:t>
      </w:r>
    </w:p>
    <w:p w14:paraId="174E1079" w14:textId="4E00E34E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b</w:t>
      </w:r>
      <w:r w:rsidR="00A320D0">
        <w:t>)</w:t>
      </w:r>
      <w:r w:rsidR="00A320D0">
        <w:tab/>
      </w:r>
      <w:r w:rsidR="00A320D0">
        <w:rPr>
          <w:b/>
          <w:bCs/>
        </w:rPr>
        <w:t>проводить оперативные, тщательные, прозрачные и беспристрастные расследования в связи со всеми сообщениями о применении пыток и жестоком обращении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протокол), обеспечивая преследование виновных и, в случае признания их вины, вынесение наказания, соразмерного тяжести преступления, и предоставление жертвам полного возмещения, включая реабилитацию и адекватную компенсацию;</w:t>
      </w:r>
    </w:p>
    <w:p w14:paraId="28DAAEE0" w14:textId="131D0C44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c</w:t>
      </w:r>
      <w:r w:rsidR="00A320D0">
        <w:t>)</w:t>
      </w:r>
      <w:r w:rsidR="00A320D0">
        <w:tab/>
      </w:r>
      <w:r w:rsidR="00A320D0">
        <w:rPr>
          <w:b/>
          <w:bCs/>
        </w:rPr>
        <w:t>рассмотреть вопрос об укреплении мандата Управления по рассмотрению жалоб на действия полиции, с тем чтобы оно было уполномочено эффективно и независимо расследовать все случаи пыток и жестокого обращения, в том числе инициировать расследования по собственной инициативе в ответ на утверждения о подобных злоупотреблениях;</w:t>
      </w:r>
    </w:p>
    <w:p w14:paraId="687394B3" w14:textId="5C6C59E1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d</w:t>
      </w:r>
      <w:r w:rsidR="00A320D0">
        <w:t>)</w:t>
      </w:r>
      <w:r w:rsidR="00A320D0">
        <w:tab/>
      </w:r>
      <w:r w:rsidR="00A320D0">
        <w:rPr>
          <w:b/>
          <w:bCs/>
        </w:rPr>
        <w:t>обеспечить обязательное обучение всех сотрудников правоохранительных органов, тюремного персонала и других государственных служащих международным нормам по предупреждению пыток, включая Принципы эффективного ведения опроса в ходе расследования и сбора информации.</w:t>
      </w:r>
    </w:p>
    <w:p w14:paraId="351C8240" w14:textId="77777777" w:rsidR="00A320D0" w:rsidRPr="00526348" w:rsidRDefault="00A320D0" w:rsidP="00A320D0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Обращение с лицами, лишенными свободы, и условия содержания под стражей</w:t>
      </w:r>
    </w:p>
    <w:p w14:paraId="21BDA852" w14:textId="5ADEC77D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r>
        <w:t>30.</w:t>
      </w:r>
      <w:r>
        <w:tab/>
        <w:t>Признавая усилия государства-участника по решению проблемы переполненности тюрем, Комитет тем не менее обеспокоен тяжелыми и опасными для жизни условиями содержания в тюрьмах, которые включают сильную переполненность, физическое насилие, отсутствие доступа к надлежащей медицинской помощи, питьевой воде и надлежащим санитарно-гигиеническим условиям, а также ограниченное естественное освещение. Он также обеспокоен сообщениями об отсутствии прозрачности деятельности, подотчетности и независимости комитетов по посещению тюрем, которым поручено регулярно инспектировать тюрьмы и расследовать жалобы заключенных (статьи 6, 7, 9, 10, 14 и</w:t>
      </w:r>
      <w:r w:rsidR="009F355A">
        <w:t> </w:t>
      </w:r>
      <w:r>
        <w:t>26).</w:t>
      </w:r>
      <w:bookmarkStart w:id="46" w:name="_Hlk160277140"/>
      <w:bookmarkStart w:id="47" w:name="_Hlk159925994"/>
      <w:bookmarkStart w:id="48" w:name="_Hlk160276499"/>
      <w:bookmarkEnd w:id="46"/>
      <w:bookmarkEnd w:id="47"/>
      <w:bookmarkEnd w:id="48"/>
    </w:p>
    <w:p w14:paraId="03EF07D1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t>31.</w:t>
      </w:r>
      <w:r>
        <w:tab/>
      </w:r>
      <w:r>
        <w:rPr>
          <w:b/>
          <w:bCs/>
        </w:rPr>
        <w:t>Государству-участнику следует обеспечить, чтобы условия содержания под стражей соответствовали соответствующим международным стандартам в области прав человека.</w:t>
      </w:r>
      <w:r>
        <w:t xml:space="preserve"> </w:t>
      </w:r>
      <w:r>
        <w:rPr>
          <w:b/>
          <w:bCs/>
        </w:rPr>
        <w:t>В частности, государству-участнику следует:</w:t>
      </w:r>
    </w:p>
    <w:p w14:paraId="040B8EFB" w14:textId="2F97E20C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a</w:t>
      </w:r>
      <w:r w:rsidR="00A320D0">
        <w:t>)</w:t>
      </w:r>
      <w:r w:rsidR="00A320D0">
        <w:tab/>
      </w:r>
      <w:r w:rsidR="00A320D0">
        <w:rPr>
          <w:b/>
          <w:bCs/>
        </w:rPr>
        <w:t>привести законы и политику в области содержания заключенных в соответствие с Минимальными стандартными правилами Организации Объединенных Наций в отношении обращения с заключенными (Правила Нельсона Манделы);</w:t>
      </w:r>
    </w:p>
    <w:p w14:paraId="4A78F38C" w14:textId="70C7C5D1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b</w:t>
      </w:r>
      <w:r w:rsidR="00A320D0">
        <w:t>)</w:t>
      </w:r>
      <w:r w:rsidR="00A320D0">
        <w:tab/>
      </w:r>
      <w:r w:rsidR="00A320D0">
        <w:rPr>
          <w:b/>
          <w:bCs/>
        </w:rPr>
        <w:t>принять незамедлительные меры по значительному снижению переполненности тюрем, в том числе путем более широкого применения мер, не связанных с лишением свободы, в качестве альтернативы тюремному заключению, как указано в Минимальных стандартных правилах Организации Объединенных Наций в отношении мер, не связанных с тюремным заключением (Токийские правила);</w:t>
      </w:r>
    </w:p>
    <w:p w14:paraId="1D241CD3" w14:textId="3AFCCC80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lastRenderedPageBreak/>
        <w:tab/>
      </w:r>
      <w:r w:rsidR="00A320D0">
        <w:rPr>
          <w:b/>
          <w:bCs/>
        </w:rPr>
        <w:t>c</w:t>
      </w:r>
      <w:r w:rsidR="00A320D0">
        <w:t>)</w:t>
      </w:r>
      <w:r w:rsidR="00A320D0">
        <w:tab/>
      </w:r>
      <w:r w:rsidR="00A320D0">
        <w:rPr>
          <w:b/>
          <w:bCs/>
        </w:rPr>
        <w:t>улучшить условия содержания под стражей и обеспечить адекватный доступ к медицинскому обслуживанию, чистой воде и естественному освещению для лиц, содержащихся во всех местах лишения свободы;</w:t>
      </w:r>
      <w:r w:rsidR="00A320D0">
        <w:t xml:space="preserve"> </w:t>
      </w:r>
    </w:p>
    <w:p w14:paraId="0D7291C3" w14:textId="0F3E21CB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d</w:t>
      </w:r>
      <w:r w:rsidR="00A320D0">
        <w:t>)</w:t>
      </w:r>
      <w:r w:rsidR="00A320D0">
        <w:tab/>
      </w:r>
      <w:r w:rsidR="00A320D0">
        <w:rPr>
          <w:b/>
          <w:bCs/>
        </w:rPr>
        <w:t>содействовать независимому, эффективному и регулярному мониторингу всех мест содержания под стражей без предварительного уведомления и какого-либо надзора, в том числе путем создания независимого механизма мониторинга условий содержания в тюрьмах и обеспечения обязательного обучения соответствующих сотрудников правоохранительных органов, а также судей, прокуроров и других специалистов в области права по вопросам предотвращения случаев смерти в период содержания под стражей.</w:t>
      </w:r>
    </w:p>
    <w:p w14:paraId="7F4EA7C6" w14:textId="77777777" w:rsidR="00A320D0" w:rsidRPr="00526348" w:rsidRDefault="00A320D0" w:rsidP="00A320D0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Свобода и личная неприкосновенность</w:t>
      </w:r>
      <w:r>
        <w:t xml:space="preserve"> </w:t>
      </w:r>
    </w:p>
    <w:p w14:paraId="07875124" w14:textId="78D72C02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r>
        <w:t>32.</w:t>
      </w:r>
      <w:r>
        <w:tab/>
        <w:t>Комитет обеспокоен широко распространенной практикой произвольных и незаконных задержаний сотрудниками полиции, приводящих к последующему незаконному содержанию под стражей, в том числе несовершеннолетних. Он сожалеет об отсутствии информации о количестве расследований, обвинительных вердиктов и приговоров, вынесенных по жалобам на произвольные и незаконные задержания и содержание под стражей. Кроме того, он с обеспокоенностью отмечает отсутствие системы возмещения ущерба лицам, неправомерно лишенным свободы или содержащимся под стражей без права освобождения под залог в течение длительного времени. Кроме того, Комитет по-прежнему обеспокоен большим количеством лиц, содержащихся под стражей до суда, и подследственных, которые часто оказываются лишены свободы на неоправданно длительные сроки</w:t>
      </w:r>
      <w:r>
        <w:t xml:space="preserve"> — </w:t>
      </w:r>
      <w:r>
        <w:t>до трех лет, а также тем, что заключенные не всегда содержатся раздельно в зависимости от их режима содержания под стражей (статьи 9 и 14).</w:t>
      </w:r>
    </w:p>
    <w:p w14:paraId="6D408F71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t>33.</w:t>
      </w:r>
      <w:r>
        <w:tab/>
      </w:r>
      <w:r>
        <w:rPr>
          <w:b/>
          <w:bCs/>
        </w:rPr>
        <w:t>Государству-участнику следует:</w:t>
      </w:r>
    </w:p>
    <w:p w14:paraId="60CBD92F" w14:textId="5DA333AC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a</w:t>
      </w:r>
      <w:r w:rsidR="00A320D0">
        <w:t>)</w:t>
      </w:r>
      <w:r w:rsidR="00A320D0">
        <w:tab/>
      </w:r>
      <w:r w:rsidR="00A320D0">
        <w:rPr>
          <w:b/>
          <w:bCs/>
        </w:rPr>
        <w:t>обеспечить всем заключенным соблюдение всех юридических и процессуальных гарантий в соответствии с Пактом и с замечанием общего порядка № 35 (2014) Комитета о свободе и личной неприкосновенности;</w:t>
      </w:r>
    </w:p>
    <w:p w14:paraId="0757D916" w14:textId="59023FE6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b</w:t>
      </w:r>
      <w:r w:rsidR="00A320D0">
        <w:t>)</w:t>
      </w:r>
      <w:r w:rsidR="00A320D0">
        <w:tab/>
      </w:r>
      <w:r w:rsidR="00A320D0">
        <w:rPr>
          <w:b/>
          <w:bCs/>
        </w:rPr>
        <w:t>принять все необходимые меры для предотвращения практики произвольных и незаконных задержаний, особенно несовершеннолетних.</w:t>
      </w:r>
      <w:r w:rsidR="00A320D0">
        <w:t xml:space="preserve"> </w:t>
      </w:r>
      <w:r w:rsidR="00A320D0">
        <w:rPr>
          <w:b/>
          <w:bCs/>
        </w:rPr>
        <w:t>Ему надлежит немедленно освободить тех, кто незаконно содержится под стражей, безотлагательно провести тщательное и независимое расследование таких случаев, предать виновных суду и предоставить жертвам эффективные средства правовой защиты.</w:t>
      </w:r>
    </w:p>
    <w:p w14:paraId="502FE1E1" w14:textId="465A4268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c</w:t>
      </w:r>
      <w:r w:rsidR="00A320D0">
        <w:t>)</w:t>
      </w:r>
      <w:r w:rsidR="00A320D0">
        <w:tab/>
      </w:r>
      <w:r w:rsidR="00A320D0">
        <w:rPr>
          <w:b/>
          <w:bCs/>
        </w:rPr>
        <w:t>обеспечить, чтобы все жертвы произвольного содержания под стражей имели доступ к эффективным средствам правовой защиты и получали адекватную компенсацию, реституцию и реабилитацию;</w:t>
      </w:r>
    </w:p>
    <w:p w14:paraId="57F95A1D" w14:textId="0FB2602F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d</w:t>
      </w:r>
      <w:r w:rsidR="00A320D0">
        <w:t>)</w:t>
      </w:r>
      <w:r w:rsidR="00A320D0">
        <w:tab/>
      </w:r>
      <w:r w:rsidR="00A320D0">
        <w:rPr>
          <w:b/>
          <w:bCs/>
        </w:rPr>
        <w:t>обеспечить, чтобы предварительное заключение было разумной и необходимой мерой, основывалось на индивидуальных обстоятельствах и регулярно пересматривалось в судебном порядке, а заключенные содержались только в официальных местах содержания под стражей, и поощрять применение альтернативных мер, не связанных с лишением свободы, как это предусмотрено Минимальными стандартными правилами Организации Объединенных Наций в отношении мер, не связанных с тюремным заключением (Токийские правила);</w:t>
      </w:r>
    </w:p>
    <w:p w14:paraId="14030186" w14:textId="49209ABA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e</w:t>
      </w:r>
      <w:r w:rsidR="00A320D0">
        <w:t>)</w:t>
      </w:r>
      <w:r w:rsidR="00A320D0">
        <w:tab/>
      </w:r>
      <w:r w:rsidR="00A320D0">
        <w:rPr>
          <w:b/>
          <w:bCs/>
        </w:rPr>
        <w:t>принять меры, необходимые для обеспечения раздельного содержания лиц, находящихся в предварительном заключении, и лиц, отбывающих тюремное наказание.</w:t>
      </w:r>
    </w:p>
    <w:p w14:paraId="525E363D" w14:textId="77777777" w:rsidR="00A320D0" w:rsidRPr="00526348" w:rsidRDefault="00A320D0" w:rsidP="00A320D0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Правосудие в отношении несовершеннолетних</w:t>
      </w:r>
    </w:p>
    <w:p w14:paraId="0353A3B9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r>
        <w:t>34.</w:t>
      </w:r>
      <w:r>
        <w:tab/>
        <w:t xml:space="preserve">Комитет отмечает, что государство-участник повысило возраст наступления уголовной ответственности с 10 до 14 лет. Однако он обеспокоен тем, что дети в возрасте от 16 до 18 лет, вступившие в конфликт с законом, исключаются из системы правосудия по делам несовершеннолетних и предаются суду как взрослые. Он также обеспокоен отсутствием правовых гарантий, обеспечивающих, чтобы лишение </w:t>
      </w:r>
      <w:r>
        <w:lastRenderedPageBreak/>
        <w:t>свободы детей использовалось только в качестве крайней меры и на максимально короткий срок (статьи 7, 9, 10 и 24).</w:t>
      </w:r>
      <w:bookmarkStart w:id="49" w:name="_Hlk161969863"/>
      <w:bookmarkEnd w:id="49"/>
    </w:p>
    <w:p w14:paraId="3ABC905A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t>35.</w:t>
      </w:r>
      <w:r>
        <w:tab/>
      </w:r>
      <w:r>
        <w:rPr>
          <w:b/>
          <w:bCs/>
        </w:rPr>
        <w:t>Государству-участнику следует обеспечить, чтобы его система уголовного правосудия по делам несовершеннолетних соблюдала права, закрепленные в Пакте, включая право детей, находящихся в конфликте с законом, на такое обращение, которое будет способствовать их интеграции в общество.</w:t>
      </w:r>
      <w:r>
        <w:t xml:space="preserve"> </w:t>
      </w:r>
      <w:r>
        <w:rPr>
          <w:b/>
          <w:bCs/>
        </w:rPr>
        <w:t xml:space="preserve">Государству-участнику следует также обеспечить, чтобы содержание под стражей и тюремное заключение использовались только в качестве крайней </w:t>
      </w:r>
      <w:proofErr w:type="gramStart"/>
      <w:r>
        <w:rPr>
          <w:b/>
          <w:bCs/>
        </w:rPr>
        <w:t>меры</w:t>
      </w:r>
      <w:proofErr w:type="gramEnd"/>
      <w:r>
        <w:rPr>
          <w:b/>
          <w:bCs/>
        </w:rPr>
        <w:t xml:space="preserve"> и чтобы в любом случае дети содержались отдельно от взрослых.</w:t>
      </w:r>
    </w:p>
    <w:p w14:paraId="6EFAA39D" w14:textId="77777777" w:rsidR="00A320D0" w:rsidRPr="00526348" w:rsidRDefault="00A320D0" w:rsidP="00A320D0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Ликвидация рабства, принудительного труда и торговли людьми</w:t>
      </w:r>
    </w:p>
    <w:p w14:paraId="2063A37E" w14:textId="69AB0A28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r>
        <w:t>36.</w:t>
      </w:r>
      <w:r>
        <w:tab/>
        <w:t>Комитет приветствует меры, принятые государством-участником в целях предотвращения торговли людьми и принудительного труда и борьбы с ними. Однако он обеспокоен сохраняющейся распространенностью торговли людьми и детского труда, особенно в сельских и удаленных районах. Он также обеспокоен сообщениями о привлечении детей к опасному труду, в том числе среди индейских общин. Комитет сожалеет об отсутствии подробной информации о количестве и положении детей в ситуациях улицы, которые подвергаются наибольшему риску насилия и уязвимы в плане сексуальной эксплуатации. Комитет отмечает усилия, предпринимаемые государством-участником для того, чтобы гарантировать право на идентичность с момента рождения. Вместе с тем он обеспокоен сообщениями о сохраняющихся трудностях с регистрацией рождений и выдачей свидетельств о рождении в удаленных районах государства-участника, что повышает уязвимость детей (статьи 2, 7, 8, 24 и</w:t>
      </w:r>
      <w:r w:rsidR="009F355A">
        <w:t> </w:t>
      </w:r>
      <w:r>
        <w:t>26).</w:t>
      </w:r>
      <w:bookmarkStart w:id="50" w:name="_Hlk162072371"/>
      <w:bookmarkEnd w:id="50"/>
    </w:p>
    <w:p w14:paraId="2983CA27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t>37.</w:t>
      </w:r>
      <w:r>
        <w:tab/>
      </w:r>
      <w:r>
        <w:rPr>
          <w:b/>
          <w:bCs/>
        </w:rPr>
        <w:t>Государству-участнику следует:</w:t>
      </w:r>
    </w:p>
    <w:p w14:paraId="3FEF088B" w14:textId="649E9ADD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a</w:t>
      </w:r>
      <w:r w:rsidR="00A320D0">
        <w:t>)</w:t>
      </w:r>
      <w:r w:rsidR="00A320D0">
        <w:tab/>
      </w:r>
      <w:r w:rsidR="00A320D0">
        <w:rPr>
          <w:b/>
          <w:bCs/>
        </w:rPr>
        <w:t>активизировать свои усилия по борьбе с торговлей людьми, ее</w:t>
      </w:r>
      <w:r w:rsidR="00B53553">
        <w:rPr>
          <w:b/>
          <w:bCs/>
        </w:rPr>
        <w:t> </w:t>
      </w:r>
      <w:r w:rsidR="00A320D0">
        <w:rPr>
          <w:b/>
          <w:bCs/>
        </w:rPr>
        <w:t>предупреждению, искоренению и наказанию за нее, в частности, путем улучшения раннего выявления жертв, обеспечения эффективного преследования и наказания лиц, виновных в торговле людьми, с уделением особого внимания государственным должностным лицам, а также обеспечения возмещения ущерба жертвам;</w:t>
      </w:r>
    </w:p>
    <w:p w14:paraId="5027962F" w14:textId="71D5A9FE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b</w:t>
      </w:r>
      <w:r w:rsidR="00A320D0">
        <w:t>)</w:t>
      </w:r>
      <w:r w:rsidR="00A320D0">
        <w:tab/>
      </w:r>
      <w:r w:rsidR="00A320D0">
        <w:rPr>
          <w:b/>
          <w:bCs/>
        </w:rPr>
        <w:t>укреплять профилактические и информационно-просветительские кампании и подготовку, ориентированные на государственных служащих и других лиц, ответственных за расследование и преследование случаев торговли людьми, и обеспечить выделение достаточных финансовых, технических и людских ресурсов всем учреждениям, ответственным за предупреждение и пресечение таких преступлений и наказание за них;</w:t>
      </w:r>
    </w:p>
    <w:p w14:paraId="19B9732D" w14:textId="513CE0B4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c</w:t>
      </w:r>
      <w:r w:rsidR="00A320D0">
        <w:t>)</w:t>
      </w:r>
      <w:r w:rsidR="00A320D0">
        <w:tab/>
      </w:r>
      <w:r w:rsidR="00A320D0">
        <w:rPr>
          <w:b/>
          <w:bCs/>
        </w:rPr>
        <w:t>удвоить усилия по борьбе с детским трудом и его искоренению, в</w:t>
      </w:r>
      <w:r w:rsidR="00B53553">
        <w:rPr>
          <w:b/>
          <w:bCs/>
        </w:rPr>
        <w:t> </w:t>
      </w:r>
      <w:r w:rsidR="00A320D0">
        <w:rPr>
          <w:b/>
          <w:bCs/>
        </w:rPr>
        <w:t>частности с привлечением детей к опасному труду, в том числе путем увеличения числа инспекций труда;</w:t>
      </w:r>
    </w:p>
    <w:p w14:paraId="7A84409D" w14:textId="4564C8B9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d</w:t>
      </w:r>
      <w:r w:rsidR="00A320D0">
        <w:t>)</w:t>
      </w:r>
      <w:r w:rsidR="00A320D0">
        <w:tab/>
      </w:r>
      <w:r w:rsidR="00A320D0">
        <w:rPr>
          <w:b/>
          <w:bCs/>
        </w:rPr>
        <w:t>принять срочные и надлежащие меры для выявления коренных причин такого явления, как дети в ситуациях улицы, разработать программы по устранению этих причин, обеспечить приют для детей в ситуациях улицы, выявлять жертв сексуального насилия, выплачивать им компенсацию и оказывать помощь, а также привлекать виновных к ответственности;</w:t>
      </w:r>
    </w:p>
    <w:p w14:paraId="3EAFBAE0" w14:textId="409F7C3C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e</w:t>
      </w:r>
      <w:r w:rsidR="00A320D0">
        <w:t>)</w:t>
      </w:r>
      <w:r w:rsidR="00A320D0">
        <w:tab/>
      </w:r>
      <w:r w:rsidR="00A320D0">
        <w:rPr>
          <w:b/>
          <w:bCs/>
        </w:rPr>
        <w:t>продолжать усилия по обеспечению того, чтобы все дети, родившиеся на его территории, были зарегистрированы и получили официальное свидетельство о рождении, в том числе путем упорядочения регистрации рождений во удаленных районах государства-участника, в</w:t>
      </w:r>
      <w:r w:rsidR="00B53553">
        <w:rPr>
          <w:b/>
          <w:bCs/>
        </w:rPr>
        <w:t> </w:t>
      </w:r>
      <w:r w:rsidR="00A320D0">
        <w:rPr>
          <w:b/>
          <w:bCs/>
        </w:rPr>
        <w:t>частности с помощью местных органов ЗАГС, мобильных подразделений и информационно-пропагандистских программ.</w:t>
      </w:r>
    </w:p>
    <w:p w14:paraId="76A0F651" w14:textId="77777777" w:rsidR="00A320D0" w:rsidRPr="00526348" w:rsidRDefault="00A320D0" w:rsidP="00A320D0">
      <w:pPr>
        <w:pStyle w:val="H23G"/>
        <w:rPr>
          <w:rFonts w:asciiTheme="majorBidi" w:hAnsiTheme="majorBidi" w:cstheme="majorBidi"/>
        </w:rPr>
      </w:pPr>
      <w:r>
        <w:lastRenderedPageBreak/>
        <w:tab/>
      </w:r>
      <w:r>
        <w:tab/>
      </w:r>
      <w:r>
        <w:rPr>
          <w:bCs/>
        </w:rPr>
        <w:t>Обращение с иностранцами, включая беженцев и просителей убежища</w:t>
      </w:r>
    </w:p>
    <w:p w14:paraId="1816848E" w14:textId="77777777" w:rsidR="00A320D0" w:rsidRPr="00526348" w:rsidRDefault="00A320D0" w:rsidP="00B53553">
      <w:pPr>
        <w:pStyle w:val="SingleTxtG"/>
        <w:keepLines/>
        <w:rPr>
          <w:rFonts w:asciiTheme="majorBidi" w:hAnsiTheme="majorBidi" w:cstheme="majorBidi"/>
        </w:rPr>
      </w:pPr>
      <w:r>
        <w:t>38.</w:t>
      </w:r>
      <w:r>
        <w:tab/>
        <w:t xml:space="preserve">Комитет отмечает проблемы, с которыми сталкивается государство-участник в связи с притоком из соседних стран большого числа просителей убежища и лиц, нуждающихся в международной защите, а также меры, принятые государством-участником для оказания им помощи. Однако Комитет обеспокоен отсутствием национального закона о беженцах и процедуры предоставления убежища. Комитет глубоко обеспокоен уязвимым положением просителей убежища, лиц, нуждающихся в международной защите, и беженцев в государстве-участнике, в том числе прибывающих из Гаити и Боливарианской Республики Венесуэла, в частности в связи с препятствиями для получения легального статуса и доступа к основным социальным услугам, а также введением визовых ограничений для гаитян. Он обеспокоен отсутствием законодательных положений, признающих принцип </w:t>
      </w:r>
      <w:proofErr w:type="spellStart"/>
      <w:r>
        <w:t>невыдворения</w:t>
      </w:r>
      <w:proofErr w:type="spellEnd"/>
      <w:r>
        <w:t xml:space="preserve">. Комитет отмечает, что государство-участник еще не ратифицировало международные договоры, касающиеся защиты беженцев и просителей убежища. Комитет обеспокоен законодательством о приобретении гражданства, которое запрещает гайанским гражданам, родившимся за границей, передавать гайанское гражданство своим детям, в результате чего они становятся лицами без гражданства (статьи 2, 6, 7, 9, 10, 13 и 26). </w:t>
      </w:r>
      <w:bookmarkStart w:id="51" w:name="_Hlk147255043"/>
      <w:bookmarkStart w:id="52" w:name="_Hlk147254977"/>
      <w:bookmarkEnd w:id="51"/>
    </w:p>
    <w:p w14:paraId="32E7EA44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t>39.</w:t>
      </w:r>
      <w:r>
        <w:tab/>
      </w:r>
      <w:r>
        <w:rPr>
          <w:b/>
          <w:bCs/>
        </w:rPr>
        <w:t>Государству-участнику следует:</w:t>
      </w:r>
    </w:p>
    <w:p w14:paraId="061312C4" w14:textId="1847C57A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a</w:t>
      </w:r>
      <w:r w:rsidR="00A320D0">
        <w:t>)</w:t>
      </w:r>
      <w:r w:rsidR="00A320D0">
        <w:tab/>
      </w:r>
      <w:r w:rsidR="00A320D0">
        <w:rPr>
          <w:b/>
          <w:bCs/>
        </w:rPr>
        <w:t>незамедлительно принять национальное законодательство по защите прав беженцев и просителей убежища и ввести соответствующие процедуры в соответствии с Пактом и другими международными нормами и стандартами;</w:t>
      </w:r>
      <w:bookmarkEnd w:id="52"/>
    </w:p>
    <w:p w14:paraId="24C39770" w14:textId="146F97F7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b</w:t>
      </w:r>
      <w:r w:rsidR="00A320D0">
        <w:t>)</w:t>
      </w:r>
      <w:r w:rsidR="00A320D0">
        <w:tab/>
      </w:r>
      <w:r w:rsidR="00A320D0">
        <w:rPr>
          <w:b/>
          <w:bCs/>
        </w:rPr>
        <w:t>обеспечить наличие процессуальных гарантий защиты от принудительного возвращения и эффективных средств правовой защиты в связи с принудительным возвращением в рамках процедуры высылки, включая пересмотр независимым судебным органом отклоненных заявлений, в частности на этапе обжалования;</w:t>
      </w:r>
    </w:p>
    <w:p w14:paraId="7E9559EF" w14:textId="18258C84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c</w:t>
      </w:r>
      <w:r w:rsidR="00A320D0">
        <w:t>)</w:t>
      </w:r>
      <w:r w:rsidR="00A320D0">
        <w:tab/>
      </w:r>
      <w:r w:rsidR="00A320D0">
        <w:rPr>
          <w:b/>
          <w:bCs/>
        </w:rPr>
        <w:t>удвоить усилия по легализации положения лиц, нуждающихся в международной защите, в частности путем предоставления их легального статуса, и предоставить доступ к официальной занятости и базовым услугам, реагируя при этом на особые потребности тех, кто находится в уязвимом положении;</w:t>
      </w:r>
    </w:p>
    <w:p w14:paraId="42A81325" w14:textId="738C56C0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d</w:t>
      </w:r>
      <w:r w:rsidR="00A320D0">
        <w:t>)</w:t>
      </w:r>
      <w:r w:rsidR="00A320D0">
        <w:tab/>
      </w:r>
      <w:r w:rsidR="00A320D0">
        <w:rPr>
          <w:b/>
          <w:bCs/>
        </w:rPr>
        <w:t>рассмотреть возможность пересмотра законодательства о гражданстве, чтобы гарантировать, что ни один ребенок, включая детей гайанских родителей, родившихся за границей, не может стать лицом без гражданства;</w:t>
      </w:r>
      <w:r w:rsidR="00A320D0">
        <w:t xml:space="preserve"> </w:t>
      </w:r>
    </w:p>
    <w:p w14:paraId="44F34CE1" w14:textId="69E909CB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e</w:t>
      </w:r>
      <w:r w:rsidR="00A320D0">
        <w:t>)</w:t>
      </w:r>
      <w:r w:rsidR="00A320D0">
        <w:tab/>
      </w:r>
      <w:r w:rsidR="00A320D0">
        <w:rPr>
          <w:b/>
          <w:bCs/>
        </w:rPr>
        <w:t>рассмотреть возможность ратификации Конвенции о статусе беженцев, Протокола, касающегося статуса беженцев, и Конвенции о статусе апатридов и Конвенции о сокращении безгражданства.</w:t>
      </w:r>
    </w:p>
    <w:p w14:paraId="44D936CB" w14:textId="5636EECB" w:rsidR="00A320D0" w:rsidRPr="00526348" w:rsidRDefault="00A320D0" w:rsidP="00A320D0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Доступ к правосудию, независимость судебной системы и право на</w:t>
      </w:r>
      <w:r w:rsidR="009F355A">
        <w:rPr>
          <w:bCs/>
        </w:rPr>
        <w:t> </w:t>
      </w:r>
      <w:r>
        <w:rPr>
          <w:bCs/>
        </w:rPr>
        <w:t>справедливое судебное разбирательство</w:t>
      </w:r>
      <w:r>
        <w:t xml:space="preserve"> </w:t>
      </w:r>
    </w:p>
    <w:p w14:paraId="5C17E887" w14:textId="2BACF1AB" w:rsidR="00A320D0" w:rsidRPr="00526348" w:rsidRDefault="00A320D0" w:rsidP="00A320D0">
      <w:pPr>
        <w:pStyle w:val="SingleTxtG"/>
        <w:rPr>
          <w:rFonts w:asciiTheme="majorBidi" w:hAnsiTheme="majorBidi" w:cstheme="majorBidi"/>
          <w:b/>
        </w:rPr>
      </w:pPr>
      <w:bookmarkStart w:id="53" w:name="_Hlk161997471"/>
      <w:r>
        <w:t>40.</w:t>
      </w:r>
      <w:r>
        <w:tab/>
        <w:t xml:space="preserve">Комитет обеспокоен ролью исполнительной и законодательной власти в назначении членов судебной системы, в частности Председателя суда и Верховного судьи, которые назначаются непосредственно президентом после получения согласия лидера оппозиции в соответствии со статьей 127 Конституции, и судей, которые назначаются президентом после консультаций с Комиссией по судебной службе. Комитет также обеспокоен тем, что члены Комиссии по судебной службе назначаются президентом после консультаций с лидером оппозиции. Комитет также обеспокоен сообщениями о практике назначения </w:t>
      </w:r>
      <w:r>
        <w:t>«</w:t>
      </w:r>
      <w:r>
        <w:t>исполняющих обязанности судей</w:t>
      </w:r>
      <w:r>
        <w:t>»</w:t>
      </w:r>
      <w:r>
        <w:t xml:space="preserve">, которая не гарантирует независимость судебной системы или ее компетентность. Принимая к сведению представленную государством-участником информацию о прогрессе, достигнутом в сокращении числа гражданских дел, Комитет по-прежнему обеспокоен значительным отставанием в рассмотрении дел, в частности уголовных, что приводит к длительному предварительному заключению, которое усугубляется задержками с </w:t>
      </w:r>
      <w:r>
        <w:lastRenderedPageBreak/>
        <w:t>назначением судей. Кроме того, Комитет обеспокоен сообщениями об ограниченном доступе к бесплатной юридической помощи для лиц, проживающих в сельских районах, и членов общин коренных народов (статьи 2 и 14).</w:t>
      </w:r>
    </w:p>
    <w:p w14:paraId="1C407AA2" w14:textId="77777777" w:rsidR="00A320D0" w:rsidRPr="00526348" w:rsidRDefault="00A320D0" w:rsidP="00A320D0">
      <w:pPr>
        <w:pStyle w:val="SingleTxtG"/>
        <w:keepNext/>
        <w:rPr>
          <w:rFonts w:asciiTheme="majorBidi" w:hAnsiTheme="majorBidi" w:cstheme="majorBidi"/>
          <w:b/>
        </w:rPr>
      </w:pPr>
      <w:r>
        <w:t>41.</w:t>
      </w:r>
      <w:r>
        <w:tab/>
      </w:r>
      <w:r>
        <w:rPr>
          <w:b/>
          <w:bCs/>
        </w:rPr>
        <w:t>Государству-участнику следует принять все необходимые меры для реформирования системы правосудия.</w:t>
      </w:r>
      <w:r>
        <w:t xml:space="preserve"> </w:t>
      </w:r>
      <w:r>
        <w:rPr>
          <w:b/>
          <w:bCs/>
        </w:rPr>
        <w:t>С этой целью ему следует:</w:t>
      </w:r>
      <w:r>
        <w:t xml:space="preserve"> </w:t>
      </w:r>
    </w:p>
    <w:p w14:paraId="70AD486E" w14:textId="1473C913" w:rsidR="00A320D0" w:rsidRPr="00526348" w:rsidRDefault="009F355A" w:rsidP="00A320D0">
      <w:pPr>
        <w:pStyle w:val="SingleTxtG"/>
        <w:rPr>
          <w:rFonts w:asciiTheme="majorBidi" w:hAnsiTheme="majorBidi" w:cstheme="majorBidi"/>
          <w:b/>
        </w:rPr>
      </w:pPr>
      <w:r>
        <w:rPr>
          <w:b/>
          <w:bCs/>
        </w:rPr>
        <w:tab/>
      </w:r>
      <w:r w:rsidR="00A320D0">
        <w:rPr>
          <w:b/>
          <w:bCs/>
        </w:rPr>
        <w:t>a</w:t>
      </w:r>
      <w:r w:rsidR="00A320D0">
        <w:t>)</w:t>
      </w:r>
      <w:r w:rsidR="00A320D0">
        <w:tab/>
      </w:r>
      <w:r w:rsidR="00A320D0">
        <w:rPr>
          <w:b/>
          <w:bCs/>
        </w:rPr>
        <w:t>принять необходимые меры для обеспечения независимости и беспристрастности судебной власти, в том числе путем обеспечения того, чтобы процедуры отбора, назначения, продвижения по службе, наказания и смещения судей были прозрачными и беспристрастными и соответствовали положениям Пакта и соответствующим международным стандартам, включая Основные принципы независимости судебных органов;</w:t>
      </w:r>
    </w:p>
    <w:p w14:paraId="42C08AEA" w14:textId="6D2146F7" w:rsidR="00A320D0" w:rsidRPr="00526348" w:rsidRDefault="009F355A" w:rsidP="00A320D0">
      <w:pPr>
        <w:pStyle w:val="SingleTxtG"/>
        <w:rPr>
          <w:rFonts w:asciiTheme="majorBidi" w:hAnsiTheme="majorBidi" w:cstheme="majorBidi"/>
          <w:b/>
        </w:rPr>
      </w:pPr>
      <w:r>
        <w:rPr>
          <w:b/>
          <w:bCs/>
        </w:rPr>
        <w:tab/>
      </w:r>
      <w:r w:rsidR="00A320D0">
        <w:rPr>
          <w:b/>
          <w:bCs/>
        </w:rPr>
        <w:t>b</w:t>
      </w:r>
      <w:r w:rsidR="00A320D0">
        <w:t>)</w:t>
      </w:r>
      <w:r w:rsidR="00A320D0">
        <w:tab/>
      </w:r>
      <w:r w:rsidR="00A320D0">
        <w:rPr>
          <w:b/>
          <w:bCs/>
        </w:rPr>
        <w:t>принять всеобъемлющую стратегию по устранению отставания в рассмотрении дел, в частности уголовных, во всех судебных органах и обеспечить право на справедливое судебное разбирательство без неоправданных задержек в соответствии со статьей 14 Пакта и замечанием общего порядка №</w:t>
      </w:r>
      <w:r w:rsidR="00434279">
        <w:rPr>
          <w:b/>
          <w:bCs/>
        </w:rPr>
        <w:t> </w:t>
      </w:r>
      <w:r w:rsidR="00A320D0">
        <w:rPr>
          <w:b/>
          <w:bCs/>
        </w:rPr>
        <w:t>32 (2007) Комитета о праве на равенство перед судами и трибуналами и на справедливое судебное разбирательство;</w:t>
      </w:r>
    </w:p>
    <w:p w14:paraId="6F9DFCA9" w14:textId="429D07F8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c</w:t>
      </w:r>
      <w:r w:rsidR="00A320D0">
        <w:t>)</w:t>
      </w:r>
      <w:r w:rsidR="00A320D0">
        <w:tab/>
      </w:r>
      <w:r w:rsidR="00A320D0">
        <w:rPr>
          <w:b/>
          <w:bCs/>
        </w:rPr>
        <w:t>расширить предоставление бесплатной юридической помощи путем укрепления финансового и кадрового потенциала центров юридической помощи, чтобы облегчить доступ к правосудию для всех, в том числе для жителей сельских районов и общин коренных народов.</w:t>
      </w:r>
    </w:p>
    <w:bookmarkEnd w:id="53"/>
    <w:p w14:paraId="1AF2CE71" w14:textId="77777777" w:rsidR="00A320D0" w:rsidRPr="00526348" w:rsidRDefault="00A320D0" w:rsidP="00A320D0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Свобода выражения мнений</w:t>
      </w:r>
    </w:p>
    <w:p w14:paraId="6FE68004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r>
        <w:t>42.</w:t>
      </w:r>
      <w:r>
        <w:tab/>
        <w:t>Комитет с обеспокоенностью отмечает сообщения о преследованиях, запугиваниях и исках о диффамации против журналистов, работников СМИ и правозащитников, включая защитников окружающей среды, направленных на то, чтобы помешать им свободно выражать свое мнение, а также неадекватность существующих защитных механизмов для решения подобных проблем. Комитет обеспокоен тем, что уголовные законы о диффамации и Закон о киберпреступности 2018 года оказывают сдерживающее воздействие на свободу выражения мнений в Гайане. Комитет также обеспокоен полномочиями президента назначать членов Национального управления телерадиовещания Гайаны и отсутствием у него независимости и беспристрастности при принятии решений о регулировании и лицензировании (статья 19).</w:t>
      </w:r>
      <w:bookmarkStart w:id="54" w:name="_Hlk160618700"/>
      <w:bookmarkStart w:id="55" w:name="_Hlk160636902"/>
      <w:bookmarkStart w:id="56" w:name="_Hlk160633359"/>
      <w:bookmarkEnd w:id="54"/>
      <w:bookmarkEnd w:id="55"/>
      <w:bookmarkEnd w:id="56"/>
    </w:p>
    <w:p w14:paraId="78CA17C7" w14:textId="62E0AC77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r>
        <w:t>43.</w:t>
      </w:r>
      <w:r>
        <w:tab/>
      </w:r>
      <w:r>
        <w:rPr>
          <w:b/>
          <w:bCs/>
        </w:rPr>
        <w:t>Государству-участнику следует принять незамедлительные меры для обеспечения того, чтобы каждый человек мог свободно осуществлять право на свободу выражения мнений в соответствии со статьей 19 Пакта и замечанием общего порядка №</w:t>
      </w:r>
      <w:r w:rsidR="00434279">
        <w:rPr>
          <w:b/>
          <w:bCs/>
        </w:rPr>
        <w:t> </w:t>
      </w:r>
      <w:r>
        <w:rPr>
          <w:b/>
          <w:bCs/>
        </w:rPr>
        <w:t>34 (2011) Комитета о свободе мнений и их свободного выражения и чтобы любые ограничения на осуществление этого права соответствовали строгим требованиям пункта 3 статьи 19 Пакта.</w:t>
      </w:r>
      <w:r>
        <w:t xml:space="preserve"> </w:t>
      </w:r>
      <w:r>
        <w:rPr>
          <w:b/>
          <w:bCs/>
        </w:rPr>
        <w:t>При этом государству-участнику следует:</w:t>
      </w:r>
      <w:r>
        <w:t xml:space="preserve"> </w:t>
      </w:r>
    </w:p>
    <w:p w14:paraId="7BFF3715" w14:textId="1D477A08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a</w:t>
      </w:r>
      <w:r w:rsidR="00A320D0">
        <w:t>)</w:t>
      </w:r>
      <w:r w:rsidR="00A320D0">
        <w:tab/>
      </w:r>
      <w:r w:rsidR="00A320D0">
        <w:rPr>
          <w:b/>
          <w:bCs/>
        </w:rPr>
        <w:t>эффективно предотвращать и пресекать акты преследования и запугивания журналистов, работников СМИ и правозащитников, включая защитников окружающей среды, чтобы обеспечить им возможность эффективно выполнять свою работу, не опасаясь репрессий;</w:t>
      </w:r>
    </w:p>
    <w:p w14:paraId="08F12255" w14:textId="5A213C94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b</w:t>
      </w:r>
      <w:r w:rsidR="00A320D0">
        <w:t>)</w:t>
      </w:r>
      <w:r w:rsidR="00A320D0">
        <w:tab/>
      </w:r>
      <w:r w:rsidR="00A320D0">
        <w:rPr>
          <w:b/>
          <w:bCs/>
        </w:rPr>
        <w:t>провести обзор и пересмотр действующего Закона о киберпреступности 2018 года, чтобы избежать использования расплывчатой терминологии и чрезмерно широких ограничений и обеспечить его соответствие Пакту;</w:t>
      </w:r>
    </w:p>
    <w:p w14:paraId="25BEDA8B" w14:textId="481DD208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c</w:t>
      </w:r>
      <w:r w:rsidR="00A320D0">
        <w:t>)</w:t>
      </w:r>
      <w:r w:rsidR="00A320D0">
        <w:tab/>
      </w:r>
      <w:r w:rsidR="00A320D0">
        <w:rPr>
          <w:b/>
          <w:bCs/>
        </w:rPr>
        <w:t>рассмотреть возможность декриминализации клеветы и ограничить применение уголовного законодательства наиболее серьезными случаями клеветы, помня о том, что лишение свободы ни при каких условиях не должно считаться адекватной мерой наказания за клевету;</w:t>
      </w:r>
    </w:p>
    <w:p w14:paraId="25D2BACC" w14:textId="3B0F55B2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lastRenderedPageBreak/>
        <w:tab/>
      </w:r>
      <w:r w:rsidR="00A320D0">
        <w:rPr>
          <w:b/>
          <w:bCs/>
        </w:rPr>
        <w:t>d</w:t>
      </w:r>
      <w:r w:rsidR="00A320D0">
        <w:t>)</w:t>
      </w:r>
      <w:r w:rsidR="00A320D0">
        <w:tab/>
      </w:r>
      <w:r w:rsidR="00A320D0">
        <w:rPr>
          <w:b/>
          <w:bCs/>
        </w:rPr>
        <w:t>принять меры, необходимые для обеспечения того, чтобы Национальное управление телерадиовещания Гайаны выполняло свои функции независимым, прозрачным и беспристрастным образом.</w:t>
      </w:r>
      <w:r w:rsidR="00A320D0">
        <w:t xml:space="preserve"> </w:t>
      </w:r>
    </w:p>
    <w:p w14:paraId="2054F5B5" w14:textId="77777777" w:rsidR="00A320D0" w:rsidRPr="00526348" w:rsidRDefault="00A320D0" w:rsidP="00A320D0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Участие в ведении государственных дел</w:t>
      </w:r>
    </w:p>
    <w:p w14:paraId="7662F32C" w14:textId="7391E15E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bookmarkStart w:id="57" w:name="_Hlk160738407"/>
      <w:bookmarkStart w:id="58" w:name="_Hlk160742120"/>
      <w:r>
        <w:t>44.</w:t>
      </w:r>
      <w:r>
        <w:tab/>
        <w:t>Приветствуя внесение поправок в Закон о народном представительстве в 2022</w:t>
      </w:r>
      <w:r w:rsidR="009F355A">
        <w:t> </w:t>
      </w:r>
      <w:r>
        <w:t>году, которые внесли усовершенствования в избирательный процесс, Комитет по-прежнему обеспокоен тем, что избирательная система усугубляет существующую этнополитическую поляризацию между двумя основными этническими группами и способствует политической маргинализации других этнических групп и коренных народов. Кроме того, Комитет обеспокоен ангажированностью состава Избирательной комиссии Гайаны, в которую не входят члены других партий и коренных народов, что мешает ей эффективно и независимо выполнять свой мандат. Он также обеспокоен сообщениями о том, что люди с инвалидностью не получают достаточной поддержки и обучения для осуществления своего избирательного права, а заключенные и лица, находящиеся в предварительном заключении, по-прежнему лишены избирательных прав на практике (статьи 2, 25 и 26).</w:t>
      </w:r>
      <w:bookmarkStart w:id="59" w:name="_Hlk160722730"/>
      <w:bookmarkStart w:id="60" w:name="_Hlk161823686"/>
      <w:bookmarkStart w:id="61" w:name="_Hlk160725539"/>
      <w:bookmarkStart w:id="62" w:name="_Hlk160726865"/>
      <w:bookmarkEnd w:id="57"/>
      <w:bookmarkEnd w:id="59"/>
      <w:bookmarkEnd w:id="60"/>
      <w:bookmarkEnd w:id="61"/>
      <w:bookmarkEnd w:id="62"/>
    </w:p>
    <w:bookmarkEnd w:id="58"/>
    <w:p w14:paraId="4D17D7B2" w14:textId="77777777" w:rsidR="00A320D0" w:rsidRPr="00526348" w:rsidRDefault="00A320D0" w:rsidP="00A320D0">
      <w:pPr>
        <w:pStyle w:val="SingleTxtG"/>
        <w:keepNext/>
        <w:rPr>
          <w:rFonts w:asciiTheme="majorBidi" w:hAnsiTheme="majorBidi" w:cstheme="majorBidi"/>
          <w:b/>
          <w:bCs/>
        </w:rPr>
      </w:pPr>
      <w:r>
        <w:t>45.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26BA931E" w14:textId="3E7FC27E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a</w:t>
      </w:r>
      <w:r w:rsidR="00A320D0">
        <w:t>)</w:t>
      </w:r>
      <w:r w:rsidR="00A320D0">
        <w:tab/>
      </w:r>
      <w:r w:rsidR="00A320D0">
        <w:rPr>
          <w:b/>
          <w:bCs/>
        </w:rPr>
        <w:t>провести обзор и пересмотр избирательной системы, чтобы гарантировать полное соответствие Пакту, в частности статье 25, и в свете руководящих принципов для государств по эффективному осуществлению права на участие в ведении государственных дел, обеспечить равное осуществление права на участие для всех граждан, независимо от этнической принадлежности, и устранить любые неясные или расплывчатые положения в избирательных нормах, которые могут препятствовать прозрачному и справедливому функционированию системы;</w:t>
      </w:r>
    </w:p>
    <w:p w14:paraId="5EAABC5D" w14:textId="4655329E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b</w:t>
      </w:r>
      <w:r w:rsidR="00A320D0">
        <w:t>)</w:t>
      </w:r>
      <w:r w:rsidR="00A320D0">
        <w:tab/>
      </w:r>
      <w:r w:rsidR="00A320D0">
        <w:rPr>
          <w:b/>
          <w:bCs/>
        </w:rPr>
        <w:t>принять все необходимые меры для того, чтобы Избирательная комиссия Гайаны действовала беспристрастно, была независима от политических партий и могла выполнять свою роль защитника демократического плюрализма;</w:t>
      </w:r>
      <w:r w:rsidR="00A320D0">
        <w:t xml:space="preserve"> </w:t>
      </w:r>
    </w:p>
    <w:p w14:paraId="57092D27" w14:textId="4D839EE1" w:rsidR="00A320D0" w:rsidRPr="00526348" w:rsidRDefault="009F355A" w:rsidP="00A320D0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A320D0">
        <w:rPr>
          <w:b/>
          <w:bCs/>
        </w:rPr>
        <w:t>c</w:t>
      </w:r>
      <w:r w:rsidR="00A320D0">
        <w:t>)</w:t>
      </w:r>
      <w:r w:rsidR="00A320D0">
        <w:tab/>
      </w:r>
      <w:r w:rsidR="00A320D0">
        <w:rPr>
          <w:b/>
          <w:bCs/>
        </w:rPr>
        <w:t>обеспечить доступность избирательных прав для всех граждан, включая людей с инвалидностью и лиц, лишенных свободы.</w:t>
      </w:r>
    </w:p>
    <w:p w14:paraId="16160431" w14:textId="77777777" w:rsidR="00A320D0" w:rsidRPr="00526348" w:rsidRDefault="00A320D0" w:rsidP="00A320D0">
      <w:pPr>
        <w:pStyle w:val="H23G"/>
        <w:rPr>
          <w:rFonts w:asciiTheme="majorBidi" w:hAnsiTheme="majorBidi" w:cstheme="majorBidi"/>
        </w:rPr>
      </w:pPr>
      <w:bookmarkStart w:id="63" w:name="_Hlk157431066"/>
      <w:r>
        <w:tab/>
      </w:r>
      <w:r>
        <w:tab/>
      </w:r>
      <w:r>
        <w:rPr>
          <w:bCs/>
        </w:rPr>
        <w:t>Права коренных народов</w:t>
      </w:r>
    </w:p>
    <w:p w14:paraId="65AB892A" w14:textId="3F25A0D0" w:rsidR="00A320D0" w:rsidRPr="00526348" w:rsidRDefault="00A320D0" w:rsidP="00A320D0">
      <w:pPr>
        <w:pStyle w:val="SingleTxtG"/>
        <w:rPr>
          <w:rFonts w:asciiTheme="majorBidi" w:hAnsiTheme="majorBidi" w:cstheme="majorBidi"/>
        </w:rPr>
      </w:pPr>
      <w:bookmarkStart w:id="64" w:name="_Hlk157785345"/>
      <w:bookmarkEnd w:id="63"/>
      <w:r>
        <w:t>46.</w:t>
      </w:r>
      <w:r>
        <w:tab/>
        <w:t>Высоко оценивая представленную государством-участником информацию о законах и процедурах по защите коренных народов в Гайане, Комитет разделяет обеспокоенность Комитета по экономическим, социальным и культурным правам</w:t>
      </w:r>
      <w:r w:rsidR="009F355A" w:rsidRPr="00331874">
        <w:rPr>
          <w:rStyle w:val="aa"/>
        </w:rPr>
        <w:footnoteReference w:id="8"/>
      </w:r>
      <w:r>
        <w:t xml:space="preserve"> и Комитета по ликвидации дискриминации в отношении женщин</w:t>
      </w:r>
      <w:r w:rsidR="009F355A" w:rsidRPr="00331874">
        <w:rPr>
          <w:rStyle w:val="aa"/>
        </w:rPr>
        <w:footnoteReference w:id="9"/>
      </w:r>
      <w:r>
        <w:t xml:space="preserve"> по поводу недостаточного признания права коренных народов на земли и территории, которые они традиционно занимают и которыми они владеют или пользуются, и отсутствия прогресса в деле внесения необходимых поправок в Закон об индейцах. Кроме того, Комитет обеспокоен сообщениями о неадекватном регулировании добычи полезных ископаемых в районах проживания индейцев, поскольку такая деятельность негативно сказывается на определении границ их традиционных земель, вызывает деградацию окружающей среды и угрожает их здоровью и традиционному образу жизни. Комитет обеспокоен заслуживающими доверия сообщениями о недостаточном участии затрагиваемых коренных народов, включая общины </w:t>
      </w:r>
      <w:proofErr w:type="spellStart"/>
      <w:r>
        <w:t>вапичан</w:t>
      </w:r>
      <w:proofErr w:type="spellEnd"/>
      <w:r>
        <w:t>, и неадекватности консультаций с ними для получения их согласия на выдачу лицензий на разведку и эксплуатацию ресурсов на их традиционных территориях (статьи 1, 2 и 25</w:t>
      </w:r>
      <w:r w:rsidR="009F355A">
        <w:t>–</w:t>
      </w:r>
      <w:r>
        <w:t>27).</w:t>
      </w:r>
      <w:bookmarkStart w:id="65" w:name="_Hlk157781951"/>
      <w:bookmarkStart w:id="66" w:name="_Hlk157431188"/>
      <w:bookmarkStart w:id="67" w:name="_Hlk161152687"/>
      <w:bookmarkEnd w:id="65"/>
      <w:bookmarkEnd w:id="66"/>
      <w:bookmarkEnd w:id="67"/>
    </w:p>
    <w:bookmarkEnd w:id="64"/>
    <w:p w14:paraId="00BA0766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t>47.</w:t>
      </w:r>
      <w:r>
        <w:tab/>
      </w:r>
      <w:r>
        <w:rPr>
          <w:b/>
          <w:bCs/>
        </w:rPr>
        <w:t xml:space="preserve">Государству-участнику следует ускорить процесс пересмотра Закона об индейцах 2006 года для обеспечения полного соблюдения прав коренных народов на занятие, владение, использование и освоение своих традиционных земель, </w:t>
      </w:r>
      <w:r>
        <w:rPr>
          <w:b/>
          <w:bCs/>
        </w:rPr>
        <w:lastRenderedPageBreak/>
        <w:t>территорий и ресурсов и эффективного применения пересмотренных положений на практике.</w:t>
      </w:r>
      <w:r>
        <w:t xml:space="preserve"> </w:t>
      </w:r>
      <w:r>
        <w:rPr>
          <w:b/>
          <w:bCs/>
        </w:rPr>
        <w:t>Государству-участнику следует ускорить процесс определения границ коллективных земель коренных народов и оформления прав собственности на них, в том числе путем повышения доступности и эффективности процесса предоставления прав собственности для индейских общин.</w:t>
      </w:r>
      <w:r>
        <w:t xml:space="preserve"> </w:t>
      </w:r>
      <w:r>
        <w:rPr>
          <w:b/>
          <w:bCs/>
        </w:rPr>
        <w:t>Государству-участнику следует обеспечить необходимое участие коренных народов и проведение необходимых консультаций с коренными народами для получения их свободного и осознанного согласия до принятия любого законодательства, политики или проекта, затрагивающего их земли или территории и другие ресурсы.</w:t>
      </w:r>
      <w:bookmarkStart w:id="68" w:name="_Hlk161151760"/>
      <w:bookmarkEnd w:id="68"/>
    </w:p>
    <w:p w14:paraId="7BBA802F" w14:textId="3D7A3DFD" w:rsidR="00A320D0" w:rsidRPr="00526348" w:rsidRDefault="009F355A" w:rsidP="00A320D0">
      <w:pPr>
        <w:pStyle w:val="H1G"/>
        <w:rPr>
          <w:rFonts w:asciiTheme="majorBidi" w:hAnsiTheme="majorBidi" w:cstheme="majorBidi"/>
        </w:rPr>
      </w:pPr>
      <w:r>
        <w:rPr>
          <w:bCs/>
        </w:rPr>
        <w:tab/>
      </w:r>
      <w:r w:rsidR="00A320D0">
        <w:rPr>
          <w:bCs/>
        </w:rPr>
        <w:t>D.</w:t>
      </w:r>
      <w:r w:rsidR="00A320D0">
        <w:tab/>
      </w:r>
      <w:r w:rsidR="00A320D0">
        <w:rPr>
          <w:bCs/>
        </w:rPr>
        <w:t>Распространение информации и последующие действия</w:t>
      </w:r>
      <w:r w:rsidR="00A320D0">
        <w:t xml:space="preserve"> </w:t>
      </w:r>
    </w:p>
    <w:p w14:paraId="3CD48AC1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t>48.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текста Пакта, своего третьего периодического доклада и настоящих заключительных замечаний с целью повышения уровня осведомленности судебных, законодательных и административных органов, гражданского общества и неправительственных организаций, действующих в стране, а также населения в целом о закрепленных в Пакте правах.</w:t>
      </w:r>
      <w:r>
        <w:t xml:space="preserve"> </w:t>
      </w:r>
    </w:p>
    <w:p w14:paraId="40DBE0E9" w14:textId="77777777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t>49.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не позднее 29 марта 2027 года информацию о выполнении рекомендаций, вынесенных Комитетом в пунктах 5 (конституционно-правовая основа применения Пакта), 41 (доступ к правосудию, независимость судебной власти и право на справедливое судебное разбирательство) и 47 (права коренных народов) выше.</w:t>
      </w:r>
    </w:p>
    <w:p w14:paraId="4E501978" w14:textId="00BF9F47" w:rsidR="00A320D0" w:rsidRPr="00526348" w:rsidRDefault="00A320D0" w:rsidP="00A320D0">
      <w:pPr>
        <w:pStyle w:val="SingleTxtG"/>
        <w:rPr>
          <w:rFonts w:asciiTheme="majorBidi" w:hAnsiTheme="majorBidi" w:cstheme="majorBidi"/>
          <w:b/>
          <w:bCs/>
        </w:rPr>
      </w:pPr>
      <w:r>
        <w:t>50.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в 2030 году перечень вопросов Комитета до представления доклада и должно будет представить в течение одного года свои ответы, которые составят его четвертый периодический доклад.</w:t>
      </w:r>
      <w:r>
        <w:t xml:space="preserve"> </w:t>
      </w:r>
      <w:r>
        <w:rPr>
          <w:b/>
          <w:bCs/>
        </w:rPr>
        <w:t>Комитет просит государство-участник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</w:t>
      </w:r>
      <w:r w:rsidR="00434279">
        <w:rPr>
          <w:b/>
          <w:bCs/>
        </w:rPr>
        <w:t> </w:t>
      </w:r>
      <w:r>
        <w:rPr>
          <w:b/>
          <w:bCs/>
        </w:rPr>
        <w:t>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2032 году в Женеве.</w:t>
      </w:r>
    </w:p>
    <w:p w14:paraId="49E8B1A8" w14:textId="6E4D27D1" w:rsidR="00381C24" w:rsidRPr="00A320D0" w:rsidRDefault="00A320D0" w:rsidP="00A320D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A320D0" w:rsidSect="00A320D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3256A" w14:textId="77777777" w:rsidR="00B827CB" w:rsidRPr="00A312BC" w:rsidRDefault="00B827CB" w:rsidP="00A312BC"/>
  </w:endnote>
  <w:endnote w:type="continuationSeparator" w:id="0">
    <w:p w14:paraId="275ECCB4" w14:textId="77777777" w:rsidR="00B827CB" w:rsidRPr="00A312BC" w:rsidRDefault="00B827C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32D63" w14:textId="493D6991" w:rsidR="00A320D0" w:rsidRPr="00A320D0" w:rsidRDefault="00A320D0">
    <w:pPr>
      <w:pStyle w:val="a8"/>
    </w:pPr>
    <w:r w:rsidRPr="00A320D0">
      <w:rPr>
        <w:b/>
        <w:sz w:val="18"/>
      </w:rPr>
      <w:fldChar w:fldCharType="begin"/>
    </w:r>
    <w:r w:rsidRPr="00A320D0">
      <w:rPr>
        <w:b/>
        <w:sz w:val="18"/>
      </w:rPr>
      <w:instrText xml:space="preserve"> PAGE  \* MERGEFORMAT </w:instrText>
    </w:r>
    <w:r w:rsidRPr="00A320D0">
      <w:rPr>
        <w:b/>
        <w:sz w:val="18"/>
      </w:rPr>
      <w:fldChar w:fldCharType="separate"/>
    </w:r>
    <w:r w:rsidRPr="00A320D0">
      <w:rPr>
        <w:b/>
        <w:noProof/>
        <w:sz w:val="18"/>
      </w:rPr>
      <w:t>2</w:t>
    </w:r>
    <w:r w:rsidRPr="00A320D0">
      <w:rPr>
        <w:b/>
        <w:sz w:val="18"/>
      </w:rPr>
      <w:fldChar w:fldCharType="end"/>
    </w:r>
    <w:r>
      <w:rPr>
        <w:b/>
        <w:sz w:val="18"/>
      </w:rPr>
      <w:tab/>
    </w:r>
    <w:r>
      <w:t>GE.24-06045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09192" w14:textId="4B5CA4ED" w:rsidR="00A320D0" w:rsidRPr="00A320D0" w:rsidRDefault="00A320D0" w:rsidP="00A320D0">
    <w:pPr>
      <w:pStyle w:val="a8"/>
      <w:tabs>
        <w:tab w:val="clear" w:pos="9639"/>
        <w:tab w:val="right" w:pos="9638"/>
      </w:tabs>
      <w:rPr>
        <w:b/>
        <w:sz w:val="18"/>
      </w:rPr>
    </w:pPr>
    <w:r>
      <w:t>GE.24-06045</w:t>
    </w:r>
    <w:r>
      <w:tab/>
    </w:r>
    <w:r w:rsidRPr="00A320D0">
      <w:rPr>
        <w:b/>
        <w:sz w:val="18"/>
      </w:rPr>
      <w:fldChar w:fldCharType="begin"/>
    </w:r>
    <w:r w:rsidRPr="00A320D0">
      <w:rPr>
        <w:b/>
        <w:sz w:val="18"/>
      </w:rPr>
      <w:instrText xml:space="preserve"> PAGE  \* MERGEFORMAT </w:instrText>
    </w:r>
    <w:r w:rsidRPr="00A320D0">
      <w:rPr>
        <w:b/>
        <w:sz w:val="18"/>
      </w:rPr>
      <w:fldChar w:fldCharType="separate"/>
    </w:r>
    <w:r w:rsidRPr="00A320D0">
      <w:rPr>
        <w:b/>
        <w:noProof/>
        <w:sz w:val="18"/>
      </w:rPr>
      <w:t>3</w:t>
    </w:r>
    <w:r w:rsidRPr="00A320D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1B60A" w14:textId="6B8BBCAD" w:rsidR="00042B72" w:rsidRPr="00E77B93" w:rsidRDefault="00A320D0" w:rsidP="00A320D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A5E2935" wp14:editId="6FFDE5A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24-06045 </w:t>
    </w:r>
    <w:r w:rsidR="00E77B93">
      <w:rPr>
        <w:lang w:val="en-US"/>
      </w:rPr>
      <w:t xml:space="preserve">  </w:t>
    </w:r>
    <w:r>
      <w:t>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6CBDB8E" wp14:editId="7149833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7B93">
      <w:rPr>
        <w:lang w:val="en-US"/>
      </w:rPr>
      <w:t xml:space="preserve">   220524   230524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7C7C1" w14:textId="77777777" w:rsidR="00B827CB" w:rsidRPr="001075E9" w:rsidRDefault="00B827C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611CABE" w14:textId="77777777" w:rsidR="00B827CB" w:rsidRDefault="00B827C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1EDEDBA" w14:textId="438A37C9" w:rsidR="00A320D0" w:rsidRPr="00526348" w:rsidRDefault="00A320D0" w:rsidP="00A320D0">
      <w:pPr>
        <w:pStyle w:val="ad"/>
      </w:pPr>
      <w:r>
        <w:tab/>
      </w:r>
      <w:r w:rsidRPr="00C67718">
        <w:rPr>
          <w:sz w:val="20"/>
        </w:rPr>
        <w:t>*</w:t>
      </w:r>
      <w:r>
        <w:tab/>
        <w:t>Приняты Комитетом на его сто сороковой сессии (4</w:t>
      </w:r>
      <w:r w:rsidR="00C67718">
        <w:t>–</w:t>
      </w:r>
      <w:r>
        <w:t xml:space="preserve">28 марта 2024 года). </w:t>
      </w:r>
    </w:p>
  </w:footnote>
  <w:footnote w:id="2">
    <w:p w14:paraId="4FC5F04E" w14:textId="43B7C05C" w:rsidR="00A320D0" w:rsidRPr="00121577" w:rsidRDefault="00A320D0" w:rsidP="00A320D0">
      <w:pPr>
        <w:pStyle w:val="ad"/>
      </w:pPr>
      <w:r w:rsidRPr="00121577">
        <w:tab/>
      </w:r>
      <w:r w:rsidRPr="002524D8">
        <w:rPr>
          <w:rStyle w:val="aa"/>
        </w:rPr>
        <w:footnoteRef/>
      </w:r>
      <w:r>
        <w:tab/>
      </w:r>
      <w:hyperlink r:id="rId1" w:history="1">
        <w:r w:rsidRPr="00A320D0">
          <w:rPr>
            <w:rStyle w:val="af1"/>
          </w:rPr>
          <w:t>CCPR/C/GUY/3</w:t>
        </w:r>
      </w:hyperlink>
      <w:r>
        <w:t>.</w:t>
      </w:r>
    </w:p>
  </w:footnote>
  <w:footnote w:id="3">
    <w:p w14:paraId="72935AFB" w14:textId="77777777" w:rsidR="00580403" w:rsidRPr="00526348" w:rsidRDefault="00580403" w:rsidP="00580403">
      <w:pPr>
        <w:pStyle w:val="ad"/>
      </w:pPr>
      <w:r w:rsidRPr="00121577">
        <w:tab/>
      </w:r>
      <w:r w:rsidRPr="002524D8">
        <w:rPr>
          <w:rStyle w:val="aa"/>
        </w:rPr>
        <w:footnoteRef/>
      </w:r>
      <w:r>
        <w:tab/>
        <w:t xml:space="preserve">См. </w:t>
      </w:r>
      <w:hyperlink r:id="rId2" w:history="1">
        <w:r w:rsidRPr="00A320D0">
          <w:rPr>
            <w:rStyle w:val="af1"/>
          </w:rPr>
          <w:t>CCPR/C/SR.4097</w:t>
        </w:r>
      </w:hyperlink>
      <w:r>
        <w:t xml:space="preserve">, </w:t>
      </w:r>
      <w:hyperlink r:id="rId3" w:history="1">
        <w:r w:rsidRPr="00A320D0">
          <w:rPr>
            <w:rStyle w:val="af1"/>
          </w:rPr>
          <w:t>CCPR/C/SR.4099</w:t>
        </w:r>
      </w:hyperlink>
      <w:r>
        <w:t xml:space="preserve"> и </w:t>
      </w:r>
      <w:hyperlink r:id="rId4" w:history="1">
        <w:r w:rsidRPr="00A320D0">
          <w:rPr>
            <w:rStyle w:val="af1"/>
          </w:rPr>
          <w:t>CCPR/C/SR.4101</w:t>
        </w:r>
      </w:hyperlink>
      <w:r>
        <w:t>.</w:t>
      </w:r>
    </w:p>
  </w:footnote>
  <w:footnote w:id="4">
    <w:p w14:paraId="6D9A106E" w14:textId="2FB9544F" w:rsidR="00A320D0" w:rsidRPr="00526348" w:rsidRDefault="00A320D0" w:rsidP="00A320D0">
      <w:pPr>
        <w:pStyle w:val="ad"/>
      </w:pPr>
      <w:r w:rsidRPr="00331874">
        <w:tab/>
      </w:r>
      <w:r w:rsidRPr="00331874">
        <w:rPr>
          <w:rStyle w:val="aa"/>
        </w:rPr>
        <w:footnoteRef/>
      </w:r>
      <w:r>
        <w:tab/>
      </w:r>
      <w:hyperlink r:id="rId5" w:history="1">
        <w:r w:rsidRPr="00A320D0">
          <w:rPr>
            <w:rStyle w:val="af1"/>
          </w:rPr>
          <w:t>CCPR/C/GUY/QPR/3</w:t>
        </w:r>
      </w:hyperlink>
      <w:r>
        <w:t>.</w:t>
      </w:r>
    </w:p>
  </w:footnote>
  <w:footnote w:id="5">
    <w:p w14:paraId="4A75347C" w14:textId="2F67FE47" w:rsidR="00A320D0" w:rsidRPr="00526348" w:rsidRDefault="00A320D0" w:rsidP="00A320D0">
      <w:pPr>
        <w:pStyle w:val="ad"/>
      </w:pPr>
      <w:r w:rsidRPr="00121577">
        <w:tab/>
      </w:r>
      <w:r w:rsidRPr="002524D8">
        <w:rPr>
          <w:rStyle w:val="aa"/>
        </w:rPr>
        <w:footnoteRef/>
      </w:r>
      <w:r>
        <w:t xml:space="preserve"> </w:t>
      </w:r>
      <w:r>
        <w:tab/>
      </w:r>
      <w:hyperlink r:id="rId6" w:history="1">
        <w:r w:rsidRPr="00A320D0">
          <w:rPr>
            <w:rStyle w:val="af1"/>
          </w:rPr>
          <w:t>CCPR/C/79/Add.121</w:t>
        </w:r>
      </w:hyperlink>
      <w:r>
        <w:t>, п. 9.</w:t>
      </w:r>
    </w:p>
  </w:footnote>
  <w:footnote w:id="6">
    <w:p w14:paraId="0D6B61E0" w14:textId="77777777" w:rsidR="00A320D0" w:rsidRPr="00526348" w:rsidRDefault="00A320D0" w:rsidP="00A320D0">
      <w:pPr>
        <w:pStyle w:val="ad"/>
      </w:pPr>
      <w:r w:rsidRPr="00121577">
        <w:tab/>
      </w:r>
      <w:r w:rsidRPr="002524D8">
        <w:rPr>
          <w:rStyle w:val="aa"/>
        </w:rPr>
        <w:footnoteRef/>
      </w:r>
      <w:r>
        <w:t xml:space="preserve"> </w:t>
      </w:r>
      <w:r>
        <w:tab/>
        <w:t>Там же.</w:t>
      </w:r>
    </w:p>
  </w:footnote>
  <w:footnote w:id="7">
    <w:p w14:paraId="62B992EB" w14:textId="77777777" w:rsidR="00580403" w:rsidRPr="00121577" w:rsidRDefault="00580403" w:rsidP="00580403">
      <w:pPr>
        <w:pStyle w:val="ad"/>
      </w:pPr>
      <w:r w:rsidRPr="00121577">
        <w:tab/>
      </w:r>
      <w:r w:rsidRPr="002524D8">
        <w:rPr>
          <w:rStyle w:val="aa"/>
        </w:rPr>
        <w:footnoteRef/>
      </w:r>
      <w:r w:rsidRPr="00526348">
        <w:rPr>
          <w:lang w:val="en-US"/>
        </w:rPr>
        <w:t xml:space="preserve"> </w:t>
      </w:r>
      <w:r w:rsidRPr="00526348">
        <w:rPr>
          <w:lang w:val="en-US"/>
        </w:rPr>
        <w:tab/>
      </w:r>
      <w:hyperlink r:id="rId7" w:history="1">
        <w:r w:rsidRPr="00A320D0">
          <w:rPr>
            <w:rStyle w:val="af1"/>
            <w:lang w:val="en-US"/>
          </w:rPr>
          <w:t>CEDAW/C/GUY/CO/9</w:t>
        </w:r>
      </w:hyperlink>
      <w:r w:rsidRPr="00526348">
        <w:rPr>
          <w:lang w:val="en-US"/>
        </w:rPr>
        <w:t xml:space="preserve">, </w:t>
      </w:r>
      <w:r>
        <w:t>п.</w:t>
      </w:r>
      <w:r w:rsidRPr="00526348">
        <w:rPr>
          <w:lang w:val="en-US"/>
        </w:rPr>
        <w:t xml:space="preserve"> 22.</w:t>
      </w:r>
    </w:p>
  </w:footnote>
  <w:footnote w:id="8">
    <w:p w14:paraId="034D5732" w14:textId="77777777" w:rsidR="009F355A" w:rsidRPr="00526348" w:rsidRDefault="009F355A" w:rsidP="009F355A">
      <w:pPr>
        <w:pStyle w:val="ad"/>
        <w:rPr>
          <w:lang w:val="es-ES"/>
        </w:rPr>
      </w:pPr>
      <w:r w:rsidRPr="00526348">
        <w:rPr>
          <w:lang w:val="en-US"/>
        </w:rPr>
        <w:tab/>
      </w:r>
      <w:r w:rsidRPr="002524D8">
        <w:rPr>
          <w:rStyle w:val="aa"/>
        </w:rPr>
        <w:footnoteRef/>
      </w:r>
      <w:r w:rsidRPr="00526348">
        <w:rPr>
          <w:lang w:val="es-ES"/>
        </w:rPr>
        <w:t xml:space="preserve"> </w:t>
      </w:r>
      <w:r w:rsidRPr="00526348">
        <w:rPr>
          <w:lang w:val="es-ES"/>
        </w:rPr>
        <w:tab/>
      </w:r>
      <w:hyperlink r:id="rId8" w:history="1">
        <w:r w:rsidRPr="00A320D0">
          <w:rPr>
            <w:rStyle w:val="af1"/>
            <w:lang w:val="es-ES"/>
          </w:rPr>
          <w:t>E/C.12/GUY/CO/2-4</w:t>
        </w:r>
      </w:hyperlink>
      <w:r w:rsidRPr="00526348">
        <w:rPr>
          <w:lang w:val="es-ES"/>
        </w:rPr>
        <w:t xml:space="preserve">, </w:t>
      </w:r>
      <w:proofErr w:type="spellStart"/>
      <w:r>
        <w:t>пп</w:t>
      </w:r>
      <w:proofErr w:type="spellEnd"/>
      <w:r w:rsidRPr="00526348">
        <w:rPr>
          <w:lang w:val="es-ES"/>
        </w:rPr>
        <w:t xml:space="preserve">. 14 </w:t>
      </w:r>
      <w:r>
        <w:t>и</w:t>
      </w:r>
      <w:r w:rsidRPr="00526348">
        <w:rPr>
          <w:lang w:val="es-ES"/>
        </w:rPr>
        <w:t xml:space="preserve"> 16.</w:t>
      </w:r>
    </w:p>
  </w:footnote>
  <w:footnote w:id="9">
    <w:p w14:paraId="1F11FECD" w14:textId="7EB4FCE0" w:rsidR="009F355A" w:rsidRPr="006576D6" w:rsidRDefault="009F355A" w:rsidP="009F355A">
      <w:pPr>
        <w:pStyle w:val="ad"/>
      </w:pPr>
      <w:r w:rsidRPr="00526348">
        <w:rPr>
          <w:lang w:val="es-ES"/>
        </w:rPr>
        <w:tab/>
      </w:r>
      <w:r w:rsidRPr="002524D8">
        <w:rPr>
          <w:rStyle w:val="aa"/>
        </w:rPr>
        <w:footnoteRef/>
      </w:r>
      <w:r w:rsidRPr="00526348">
        <w:rPr>
          <w:lang w:val="en-US"/>
        </w:rPr>
        <w:t xml:space="preserve"> </w:t>
      </w:r>
      <w:r w:rsidRPr="00526348">
        <w:rPr>
          <w:lang w:val="en-US"/>
        </w:rPr>
        <w:tab/>
      </w:r>
      <w:hyperlink r:id="rId9" w:history="1">
        <w:r w:rsidRPr="00A320D0">
          <w:rPr>
            <w:rStyle w:val="af1"/>
            <w:lang w:val="en-US"/>
          </w:rPr>
          <w:t>CEDAW/C/GUY/CO/9</w:t>
        </w:r>
      </w:hyperlink>
      <w:r w:rsidRPr="00526348">
        <w:rPr>
          <w:lang w:val="en-US"/>
        </w:rPr>
        <w:t xml:space="preserve">, </w:t>
      </w:r>
      <w:r>
        <w:t>п</w:t>
      </w:r>
      <w:r w:rsidR="00434279">
        <w:t xml:space="preserve">. </w:t>
      </w:r>
      <w:r w:rsidRPr="00526348">
        <w:rPr>
          <w:lang w:val="en-US"/>
        </w:rPr>
        <w:t>43.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65A78" w14:textId="0C0A24A9" w:rsidR="00A320D0" w:rsidRPr="00A320D0" w:rsidRDefault="00A320D0">
    <w:pPr>
      <w:pStyle w:val="a5"/>
    </w:pPr>
    <w:fldSimple w:instr=" TITLE  \* MERGEFORMAT ">
      <w:r w:rsidR="007D6BBB">
        <w:t>CCPR/C/GUY/CO/3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52898" w14:textId="68C31650" w:rsidR="00A320D0" w:rsidRPr="00A320D0" w:rsidRDefault="00A320D0" w:rsidP="00A320D0">
    <w:pPr>
      <w:pStyle w:val="a5"/>
      <w:jc w:val="right"/>
    </w:pPr>
    <w:fldSimple w:instr=" TITLE  \* MERGEFORMAT ">
      <w:r w:rsidR="007D6BBB">
        <w:t>CCPR/C/GUY/CO/3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7CB"/>
    <w:rsid w:val="00033EE1"/>
    <w:rsid w:val="000358F2"/>
    <w:rsid w:val="00042B72"/>
    <w:rsid w:val="0005587C"/>
    <w:rsid w:val="000558BD"/>
    <w:rsid w:val="000B57E7"/>
    <w:rsid w:val="000B6373"/>
    <w:rsid w:val="000F09DF"/>
    <w:rsid w:val="000F61B2"/>
    <w:rsid w:val="001075E9"/>
    <w:rsid w:val="00146DB6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34279"/>
    <w:rsid w:val="00452493"/>
    <w:rsid w:val="00454E07"/>
    <w:rsid w:val="00472C5C"/>
    <w:rsid w:val="004969B2"/>
    <w:rsid w:val="0050108D"/>
    <w:rsid w:val="00513081"/>
    <w:rsid w:val="00517901"/>
    <w:rsid w:val="00526683"/>
    <w:rsid w:val="005513F3"/>
    <w:rsid w:val="005709E0"/>
    <w:rsid w:val="00572E19"/>
    <w:rsid w:val="00580403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17DB"/>
    <w:rsid w:val="00712895"/>
    <w:rsid w:val="0075523D"/>
    <w:rsid w:val="00757357"/>
    <w:rsid w:val="00787D3A"/>
    <w:rsid w:val="00791B9D"/>
    <w:rsid w:val="007D6BBB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9F355A"/>
    <w:rsid w:val="00A14DA8"/>
    <w:rsid w:val="00A312BC"/>
    <w:rsid w:val="00A320D0"/>
    <w:rsid w:val="00A34D07"/>
    <w:rsid w:val="00A84021"/>
    <w:rsid w:val="00A84D35"/>
    <w:rsid w:val="00A917B3"/>
    <w:rsid w:val="00AB4B51"/>
    <w:rsid w:val="00AD238F"/>
    <w:rsid w:val="00AD6F87"/>
    <w:rsid w:val="00B10CC7"/>
    <w:rsid w:val="00B136DB"/>
    <w:rsid w:val="00B53553"/>
    <w:rsid w:val="00B539E7"/>
    <w:rsid w:val="00B62458"/>
    <w:rsid w:val="00B827CB"/>
    <w:rsid w:val="00BC18B2"/>
    <w:rsid w:val="00BC3629"/>
    <w:rsid w:val="00BD33EE"/>
    <w:rsid w:val="00BF1A04"/>
    <w:rsid w:val="00C0177C"/>
    <w:rsid w:val="00C106D6"/>
    <w:rsid w:val="00C46D5A"/>
    <w:rsid w:val="00C60F0C"/>
    <w:rsid w:val="00C67718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77B93"/>
    <w:rsid w:val="00EA2C9F"/>
    <w:rsid w:val="00EA420E"/>
    <w:rsid w:val="00ED0BDA"/>
    <w:rsid w:val="00EF1360"/>
    <w:rsid w:val="00EF3220"/>
    <w:rsid w:val="00F06CB4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0C1E0"/>
  <w15:docId w15:val="{92CB08F7-DA79-433B-AC97-FA8E817EC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A320D0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A320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E/C.12/GUY/CO/2-4" TargetMode="External"/><Relationship Id="rId3" Type="http://schemas.openxmlformats.org/officeDocument/2006/relationships/hyperlink" Target="http://undocs.org/ru/CCPR/C/SR.4099" TargetMode="External"/><Relationship Id="rId7" Type="http://schemas.openxmlformats.org/officeDocument/2006/relationships/hyperlink" Target="http://undocs.org/ru/CEDAW/C/GUY/CO/9" TargetMode="External"/><Relationship Id="rId2" Type="http://schemas.openxmlformats.org/officeDocument/2006/relationships/hyperlink" Target="http://undocs.org/ru/CCPR/C/SR.4097" TargetMode="External"/><Relationship Id="rId1" Type="http://schemas.openxmlformats.org/officeDocument/2006/relationships/hyperlink" Target="http://undocs.org/ru/CCPR/C/GUY/3" TargetMode="External"/><Relationship Id="rId6" Type="http://schemas.openxmlformats.org/officeDocument/2006/relationships/hyperlink" Target="http://undocs.org/ru/CCPR/C/79/Add.121" TargetMode="External"/><Relationship Id="rId5" Type="http://schemas.openxmlformats.org/officeDocument/2006/relationships/hyperlink" Target="http://undocs.org/ru/CCPR/C/GUY/QPR/3" TargetMode="External"/><Relationship Id="rId4" Type="http://schemas.openxmlformats.org/officeDocument/2006/relationships/hyperlink" Target="http://undocs.org/ru/CCPR/C/SR.4101" TargetMode="External"/><Relationship Id="rId9" Type="http://schemas.openxmlformats.org/officeDocument/2006/relationships/hyperlink" Target="http://undocs.org/ru/CEDAW/C/GUY/CO/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220</TotalTime>
  <Pages>15</Pages>
  <Words>6028</Words>
  <Characters>42022</Characters>
  <Application>Microsoft Office Word</Application>
  <DocSecurity>0</DocSecurity>
  <Lines>748</Lines>
  <Paragraphs>152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CCPR/C/GUY/CO/3</vt:lpstr>
      <vt:lpstr>A/</vt:lpstr>
      <vt:lpstr>A/</vt:lpstr>
    </vt:vector>
  </TitlesOfParts>
  <Company>DCM</Company>
  <LinksUpToDate>false</LinksUpToDate>
  <CharactersWithSpaces>48036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CCPR/C/GUY/CO/3</dc:title>
  <dc:subject/>
  <dc:creator>Larisa MAYKOVSKAYA</dc:creator>
  <cp:keywords/>
  <cp:lastModifiedBy>Larisa MAYKOVSKAYA</cp:lastModifiedBy>
  <cp:revision>3</cp:revision>
  <cp:lastPrinted>2024-05-23T15:53:00Z</cp:lastPrinted>
  <dcterms:created xsi:type="dcterms:W3CDTF">2024-05-23T15:53:00Z</dcterms:created>
  <dcterms:modified xsi:type="dcterms:W3CDTF">2024-05-23T15:53:00Z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