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107D551" w14:textId="77777777" w:rsidTr="009D5F1A">
        <w:trPr>
          <w:trHeight w:hRule="exact" w:val="851"/>
        </w:trPr>
        <w:tc>
          <w:tcPr>
            <w:tcW w:w="1276" w:type="dxa"/>
            <w:tcBorders>
              <w:bottom w:val="single" w:sz="4" w:space="0" w:color="auto"/>
            </w:tcBorders>
          </w:tcPr>
          <w:p w14:paraId="3E0359EA" w14:textId="77777777" w:rsidR="00DC0149" w:rsidRPr="00DB58B5" w:rsidRDefault="00DC0149" w:rsidP="00EA1D73"/>
        </w:tc>
        <w:tc>
          <w:tcPr>
            <w:tcW w:w="2268" w:type="dxa"/>
            <w:tcBorders>
              <w:bottom w:val="single" w:sz="4" w:space="0" w:color="auto"/>
            </w:tcBorders>
            <w:vAlign w:val="bottom"/>
          </w:tcPr>
          <w:p w14:paraId="219D38F5"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9EC567" w14:textId="64B68EDB" w:rsidR="00DC0149" w:rsidRPr="00DB58B5" w:rsidRDefault="00EA1D73" w:rsidP="00EA1D73">
            <w:pPr>
              <w:jc w:val="right"/>
            </w:pPr>
            <w:r w:rsidRPr="00EA1D73">
              <w:rPr>
                <w:sz w:val="40"/>
              </w:rPr>
              <w:t>CERD</w:t>
            </w:r>
            <w:r>
              <w:t>/C/SRB/Q/6-9</w:t>
            </w:r>
          </w:p>
        </w:tc>
      </w:tr>
      <w:tr w:rsidR="00DC0149" w:rsidRPr="00DB58B5" w14:paraId="1459661A" w14:textId="77777777" w:rsidTr="009D5F1A">
        <w:trPr>
          <w:trHeight w:hRule="exact" w:val="2835"/>
        </w:trPr>
        <w:tc>
          <w:tcPr>
            <w:tcW w:w="1276" w:type="dxa"/>
            <w:tcBorders>
              <w:top w:val="single" w:sz="4" w:space="0" w:color="auto"/>
              <w:bottom w:val="single" w:sz="12" w:space="0" w:color="auto"/>
            </w:tcBorders>
          </w:tcPr>
          <w:p w14:paraId="748F302E" w14:textId="77777777" w:rsidR="00DC0149" w:rsidRPr="00DB58B5" w:rsidRDefault="00DC0149" w:rsidP="009D5F1A">
            <w:pPr>
              <w:spacing w:before="120"/>
              <w:jc w:val="center"/>
            </w:pPr>
            <w:r>
              <w:rPr>
                <w:noProof/>
                <w:lang w:eastAsia="fr-CH"/>
              </w:rPr>
              <w:drawing>
                <wp:inline distT="0" distB="0" distL="0" distR="0" wp14:anchorId="6F366A34" wp14:editId="159530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3857E9"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2A68A350" w14:textId="77777777" w:rsidR="00DC0149" w:rsidRDefault="00EA1D73" w:rsidP="009D5F1A">
            <w:pPr>
              <w:spacing w:before="240"/>
            </w:pPr>
            <w:proofErr w:type="spellStart"/>
            <w:r>
              <w:t>Distr</w:t>
            </w:r>
            <w:proofErr w:type="spellEnd"/>
            <w:r>
              <w:t>. générale</w:t>
            </w:r>
          </w:p>
          <w:p w14:paraId="30FF54E2" w14:textId="77777777" w:rsidR="00EA1D73" w:rsidRDefault="00EA1D73" w:rsidP="00EA1D73">
            <w:pPr>
              <w:spacing w:line="240" w:lineRule="exact"/>
            </w:pPr>
            <w:r>
              <w:t>26 février 2026</w:t>
            </w:r>
          </w:p>
          <w:p w14:paraId="6947D240" w14:textId="77777777" w:rsidR="00EA1D73" w:rsidRDefault="00EA1D73" w:rsidP="00EA1D73">
            <w:pPr>
              <w:spacing w:line="240" w:lineRule="exact"/>
            </w:pPr>
            <w:r>
              <w:t>Français</w:t>
            </w:r>
          </w:p>
          <w:p w14:paraId="38F63241" w14:textId="77777777" w:rsidR="00EA1D73" w:rsidRDefault="00EA1D73" w:rsidP="00EA1D73">
            <w:pPr>
              <w:spacing w:line="240" w:lineRule="exact"/>
            </w:pPr>
            <w:r>
              <w:t>Original : anglais</w:t>
            </w:r>
          </w:p>
          <w:p w14:paraId="70916194" w14:textId="5E502107" w:rsidR="00EA1D73" w:rsidRPr="00DB58B5" w:rsidRDefault="00EA1D73" w:rsidP="00EA1D73">
            <w:pPr>
              <w:spacing w:line="240" w:lineRule="exact"/>
            </w:pPr>
            <w:r>
              <w:t>Anglais, espagnol et français seulement</w:t>
            </w:r>
          </w:p>
        </w:tc>
      </w:tr>
    </w:tbl>
    <w:p w14:paraId="44AEA652" w14:textId="77777777" w:rsidR="00623CA8" w:rsidRDefault="00623CA8" w:rsidP="00623CA8">
      <w:pPr>
        <w:spacing w:before="120"/>
        <w:rPr>
          <w:b/>
          <w:sz w:val="24"/>
          <w:szCs w:val="24"/>
        </w:rPr>
      </w:pPr>
      <w:r w:rsidRPr="00C56102">
        <w:rPr>
          <w:b/>
          <w:sz w:val="24"/>
          <w:szCs w:val="24"/>
        </w:rPr>
        <w:t>Comité pour l’élimination de la discrimination raciale</w:t>
      </w:r>
    </w:p>
    <w:p w14:paraId="278BA9D1" w14:textId="77777777" w:rsidR="00EA1D73" w:rsidRPr="00282D80" w:rsidRDefault="00EA1D73" w:rsidP="00EA1D73">
      <w:r>
        <w:rPr>
          <w:b/>
          <w:bCs/>
          <w:lang w:val="fr-FR"/>
        </w:rPr>
        <w:t>117</w:t>
      </w:r>
      <w:r w:rsidRPr="00202A38">
        <w:rPr>
          <w:b/>
          <w:bCs/>
          <w:vertAlign w:val="superscript"/>
          <w:lang w:val="fr-FR"/>
        </w:rPr>
        <w:t>e</w:t>
      </w:r>
      <w:r>
        <w:rPr>
          <w:b/>
          <w:bCs/>
          <w:lang w:val="fr-FR"/>
        </w:rPr>
        <w:t xml:space="preserve"> session</w:t>
      </w:r>
    </w:p>
    <w:p w14:paraId="33FE7A36" w14:textId="77777777" w:rsidR="00EA1D73" w:rsidRPr="00282D80" w:rsidRDefault="00EA1D73" w:rsidP="00EA1D73">
      <w:r>
        <w:rPr>
          <w:lang w:val="fr-FR"/>
        </w:rPr>
        <w:t>Genève, 13 avril-1</w:t>
      </w:r>
      <w:r w:rsidRPr="00202A38">
        <w:rPr>
          <w:vertAlign w:val="superscript"/>
          <w:lang w:val="fr-FR"/>
        </w:rPr>
        <w:t>er</w:t>
      </w:r>
      <w:r>
        <w:rPr>
          <w:lang w:val="fr-FR"/>
        </w:rPr>
        <w:t xml:space="preserve"> mai 2026</w:t>
      </w:r>
    </w:p>
    <w:p w14:paraId="44A347CD" w14:textId="77777777" w:rsidR="00EA1D73" w:rsidRPr="00282D80" w:rsidRDefault="00EA1D73" w:rsidP="00EA1D73">
      <w:pPr>
        <w:rPr>
          <w:b/>
          <w:bCs/>
        </w:rPr>
      </w:pPr>
      <w:r>
        <w:rPr>
          <w:lang w:val="fr-FR"/>
        </w:rPr>
        <w:t>Point 6 de l’ordre du jour provisoire</w:t>
      </w:r>
    </w:p>
    <w:p w14:paraId="470669AD" w14:textId="77777777" w:rsidR="00EA1D73" w:rsidRPr="00282D80" w:rsidRDefault="00EA1D73" w:rsidP="00EA1D73">
      <w:pPr>
        <w:rPr>
          <w:b/>
          <w:bCs/>
        </w:rPr>
      </w:pPr>
      <w:r>
        <w:rPr>
          <w:b/>
          <w:bCs/>
          <w:lang w:val="fr-FR"/>
        </w:rPr>
        <w:t xml:space="preserve">Examen des rapports, observations et renseignements soumis </w:t>
      </w:r>
      <w:r>
        <w:rPr>
          <w:b/>
          <w:bCs/>
          <w:lang w:val="fr-FR"/>
        </w:rPr>
        <w:br/>
        <w:t>par les États Parties en application de l’article 9 de la Convention</w:t>
      </w:r>
    </w:p>
    <w:p w14:paraId="5C10E265" w14:textId="77777777" w:rsidR="00EA1D73" w:rsidRPr="00282D80" w:rsidRDefault="00EA1D73" w:rsidP="00EA1D73">
      <w:pPr>
        <w:pStyle w:val="HChG"/>
      </w:pPr>
      <w:r>
        <w:rPr>
          <w:lang w:val="fr-FR"/>
        </w:rPr>
        <w:tab/>
      </w:r>
      <w:r>
        <w:rPr>
          <w:lang w:val="fr-FR"/>
        </w:rPr>
        <w:tab/>
        <w:t xml:space="preserve">Liste de thèmes concernant le rapport de la Serbie </w:t>
      </w:r>
      <w:r>
        <w:rPr>
          <w:lang w:val="fr-FR"/>
        </w:rPr>
        <w:br/>
        <w:t>valant sixième à neuvième rapports périodiques</w:t>
      </w:r>
    </w:p>
    <w:p w14:paraId="0ECA20A6" w14:textId="77777777" w:rsidR="00EA1D73" w:rsidRPr="00282D80" w:rsidRDefault="00EA1D73" w:rsidP="00EA1D73">
      <w:pPr>
        <w:pStyle w:val="H1G"/>
      </w:pPr>
      <w:r>
        <w:rPr>
          <w:lang w:val="fr-FR"/>
        </w:rPr>
        <w:tab/>
      </w:r>
      <w:r>
        <w:rPr>
          <w:lang w:val="fr-FR"/>
        </w:rPr>
        <w:tab/>
      </w:r>
      <w:r>
        <w:rPr>
          <w:bCs/>
          <w:lang w:val="fr-FR"/>
        </w:rPr>
        <w:t>Note du rapporteur pour le pays</w:t>
      </w:r>
    </w:p>
    <w:p w14:paraId="7B533F9E" w14:textId="77777777" w:rsidR="00EA1D73" w:rsidRPr="00282D80" w:rsidRDefault="00EA1D73" w:rsidP="00EA1D73">
      <w:pPr>
        <w:pStyle w:val="SingleTxtG"/>
      </w:pPr>
      <w:r>
        <w:rPr>
          <w:lang w:val="fr-FR"/>
        </w:rPr>
        <w:t>1.</w:t>
      </w:r>
      <w:r>
        <w:rPr>
          <w:lang w:val="fr-FR"/>
        </w:rPr>
        <w:tab/>
        <w:t>À sa soixante-seizième session</w:t>
      </w:r>
      <w:r w:rsidRPr="00202A38">
        <w:rPr>
          <w:rStyle w:val="Appelnotedebasdep"/>
        </w:rPr>
        <w:footnoteReference w:id="2"/>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43BC7CE5" w14:textId="77777777" w:rsidR="00EA1D73" w:rsidRPr="00282D80" w:rsidRDefault="00EA1D73" w:rsidP="00EA1D73">
      <w:pPr>
        <w:pStyle w:val="H23G"/>
      </w:pPr>
      <w:r>
        <w:rPr>
          <w:lang w:val="fr-FR"/>
        </w:rPr>
        <w:tab/>
      </w:r>
      <w:r>
        <w:rPr>
          <w:lang w:val="fr-FR"/>
        </w:rPr>
        <w:tab/>
      </w:r>
      <w:r>
        <w:rPr>
          <w:bCs/>
          <w:lang w:val="fr-FR"/>
        </w:rPr>
        <w:t>Statistiques</w:t>
      </w:r>
    </w:p>
    <w:p w14:paraId="311037A2" w14:textId="77777777" w:rsidR="00EA1D73" w:rsidRPr="00282D80" w:rsidRDefault="00EA1D73" w:rsidP="00EA1D73">
      <w:pPr>
        <w:pStyle w:val="SingleTxtG"/>
      </w:pPr>
      <w:r>
        <w:rPr>
          <w:lang w:val="fr-FR"/>
        </w:rPr>
        <w:t>2.</w:t>
      </w:r>
      <w:r>
        <w:rPr>
          <w:lang w:val="fr-FR"/>
        </w:rPr>
        <w:tab/>
        <w:t>Données statistiques actualisées sur la composition démographique de la population basées sur l’</w:t>
      </w:r>
      <w:proofErr w:type="spellStart"/>
      <w:r>
        <w:rPr>
          <w:lang w:val="fr-FR"/>
        </w:rPr>
        <w:t>auto-identification</w:t>
      </w:r>
      <w:proofErr w:type="spellEnd"/>
      <w:r>
        <w:rPr>
          <w:lang w:val="fr-FR"/>
        </w:rPr>
        <w:t>, ventilées par origine ethnique, et sur les migrants, les réfugiés, les demandeurs d’asile, les personnes déplacées à l’intérieur du pays et les apatrides. Indicateurs économiques et sociaux, ventilés par origine nationale ou ethnique, genre et âge, concernant les différents groupes qui vivent sur le territoire de l’État Partie, notamment les groupes nationaux minoritaires</w:t>
      </w:r>
      <w:r w:rsidRPr="00202A38">
        <w:rPr>
          <w:rStyle w:val="Appelnotedebasdep"/>
        </w:rPr>
        <w:footnoteReference w:id="3"/>
      </w:r>
      <w:r>
        <w:rPr>
          <w:lang w:val="fr-FR"/>
        </w:rPr>
        <w:t xml:space="preserve">. </w:t>
      </w:r>
    </w:p>
    <w:p w14:paraId="5632FE8B" w14:textId="77777777" w:rsidR="00EA1D73" w:rsidRPr="00282D80" w:rsidRDefault="00EA1D73" w:rsidP="00EA1D73">
      <w:pPr>
        <w:pStyle w:val="H23G"/>
      </w:pPr>
      <w:r>
        <w:rPr>
          <w:lang w:val="fr-FR"/>
        </w:rPr>
        <w:tab/>
      </w:r>
      <w:r>
        <w:rPr>
          <w:lang w:val="fr-FR"/>
        </w:rPr>
        <w:tab/>
      </w:r>
      <w:r>
        <w:rPr>
          <w:bCs/>
          <w:lang w:val="fr-FR"/>
        </w:rPr>
        <w:t xml:space="preserve">La Convention dans le droit interne et le cadre institutionnel et général régissant </w:t>
      </w:r>
      <w:r>
        <w:rPr>
          <w:bCs/>
          <w:lang w:val="fr-FR"/>
        </w:rPr>
        <w:br/>
        <w:t>son application (art. 1</w:t>
      </w:r>
      <w:r w:rsidRPr="00EA1D73">
        <w:rPr>
          <w:bCs/>
          <w:vertAlign w:val="superscript"/>
          <w:lang w:val="fr-FR"/>
        </w:rPr>
        <w:t>er</w:t>
      </w:r>
      <w:r>
        <w:rPr>
          <w:bCs/>
          <w:lang w:val="fr-FR"/>
        </w:rPr>
        <w:t>, 2, 4 et 6)</w:t>
      </w:r>
    </w:p>
    <w:p w14:paraId="7D5BF947" w14:textId="77777777" w:rsidR="00EA1D73" w:rsidRPr="00282D80" w:rsidRDefault="00EA1D73" w:rsidP="00EA1D73">
      <w:pPr>
        <w:pStyle w:val="SingleTxtG"/>
      </w:pPr>
      <w:r>
        <w:rPr>
          <w:lang w:val="fr-FR"/>
        </w:rPr>
        <w:t>3.</w:t>
      </w:r>
      <w:r>
        <w:rPr>
          <w:lang w:val="fr-FR"/>
        </w:rPr>
        <w:tab/>
        <w:t>Informations sur le cadre législatif relatif à la lutte contre la discrimination raciale et sur son application, notamment au regard des modifications apportées à la loi sur l’interdiction de la discrimination, en mai 2021, et au Code pénal, en mai 2019. Informations sur les mesures prises pour mettre le cadre juridique national sur l’interdiction de la discrimination raciale en conformité avec les articles 1</w:t>
      </w:r>
      <w:r w:rsidRPr="00EA1D73">
        <w:rPr>
          <w:vertAlign w:val="superscript"/>
          <w:lang w:val="fr-FR"/>
        </w:rPr>
        <w:t>er</w:t>
      </w:r>
      <w:r>
        <w:rPr>
          <w:lang w:val="fr-FR"/>
        </w:rPr>
        <w:t>, 2 et 4 de la Convention</w:t>
      </w:r>
      <w:r w:rsidRPr="00202A38">
        <w:rPr>
          <w:rStyle w:val="Appelnotedebasdep"/>
        </w:rPr>
        <w:footnoteReference w:id="4"/>
      </w:r>
      <w:r>
        <w:rPr>
          <w:lang w:val="fr-FR"/>
        </w:rPr>
        <w:t xml:space="preserve">. </w:t>
      </w:r>
    </w:p>
    <w:p w14:paraId="4C771061" w14:textId="77777777" w:rsidR="00EA1D73" w:rsidRPr="00282D80" w:rsidRDefault="00EA1D73" w:rsidP="00EA1D73">
      <w:pPr>
        <w:pStyle w:val="SingleTxtG"/>
      </w:pPr>
      <w:r>
        <w:rPr>
          <w:lang w:val="fr-FR"/>
        </w:rPr>
        <w:t>4.</w:t>
      </w:r>
      <w:r>
        <w:rPr>
          <w:lang w:val="fr-FR"/>
        </w:rPr>
        <w:tab/>
        <w:t>Informations sur le cadre général de lutte contre le racisme, la discrimination raciale et l’intolérance, notamment sur la portée et l’application de la Stratégie nationale de prévention et de protection en matière de discrimination pour la période 2022-2030</w:t>
      </w:r>
      <w:r w:rsidRPr="00202A38">
        <w:rPr>
          <w:rStyle w:val="Appelnotedebasdep"/>
        </w:rPr>
        <w:footnoteReference w:id="5"/>
      </w:r>
      <w:r>
        <w:rPr>
          <w:lang w:val="fr-FR"/>
        </w:rPr>
        <w:t>.</w:t>
      </w:r>
    </w:p>
    <w:p w14:paraId="0EBC2F2F" w14:textId="77777777" w:rsidR="00EA1D73" w:rsidRPr="00282D80" w:rsidRDefault="00EA1D73" w:rsidP="00EA1D73">
      <w:pPr>
        <w:pStyle w:val="SingleTxtG"/>
      </w:pPr>
      <w:r>
        <w:rPr>
          <w:lang w:val="fr-FR"/>
        </w:rPr>
        <w:lastRenderedPageBreak/>
        <w:t>5.</w:t>
      </w:r>
      <w:r>
        <w:rPr>
          <w:lang w:val="fr-FR"/>
        </w:rPr>
        <w:tab/>
        <w:t xml:space="preserve">Informations actualisées sur les autres mesures prises pour lutter contre les discours de haine à caractère raciste, y compris dans la sphère politique, dans les </w:t>
      </w:r>
      <w:proofErr w:type="spellStart"/>
      <w:r>
        <w:rPr>
          <w:lang w:val="fr-FR"/>
        </w:rPr>
        <w:t>médias</w:t>
      </w:r>
      <w:proofErr w:type="spellEnd"/>
      <w:r>
        <w:rPr>
          <w:lang w:val="fr-FR"/>
        </w:rPr>
        <w:t xml:space="preserve"> et sur Internet</w:t>
      </w:r>
      <w:r w:rsidRPr="00202A38">
        <w:rPr>
          <w:rStyle w:val="Appelnotedebasdep"/>
        </w:rPr>
        <w:footnoteReference w:id="6"/>
      </w:r>
      <w:r>
        <w:rPr>
          <w:lang w:val="fr-FR"/>
        </w:rPr>
        <w:t>.</w:t>
      </w:r>
    </w:p>
    <w:p w14:paraId="646ADEA9" w14:textId="77777777" w:rsidR="00EA1D73" w:rsidRPr="00282D80" w:rsidRDefault="00EA1D73" w:rsidP="00EA1D73">
      <w:pPr>
        <w:pStyle w:val="SingleTxtG"/>
      </w:pPr>
      <w:r>
        <w:rPr>
          <w:lang w:val="fr-FR"/>
        </w:rPr>
        <w:t>6.</w:t>
      </w:r>
      <w:r>
        <w:rPr>
          <w:lang w:val="fr-FR"/>
        </w:rPr>
        <w:tab/>
        <w:t>Mesures prises ou envisagées pour faire en sorte que les policiers et les autres membres des forces de l’ordre ne se livrent pas à des actes de discrimination raciale, notamment à des violences fondées sur des motifs raciaux et à des pratiques qui s’apparentent à du profilage racial</w:t>
      </w:r>
      <w:r w:rsidRPr="00202A38">
        <w:rPr>
          <w:rStyle w:val="Appelnotedebasdep"/>
        </w:rPr>
        <w:footnoteReference w:id="7"/>
      </w:r>
      <w:r>
        <w:rPr>
          <w:lang w:val="fr-FR"/>
        </w:rPr>
        <w:t>.</w:t>
      </w:r>
    </w:p>
    <w:p w14:paraId="72ECE942" w14:textId="77777777" w:rsidR="00EA1D73" w:rsidRPr="00282D80" w:rsidRDefault="00EA1D73" w:rsidP="00EA1D73">
      <w:pPr>
        <w:pStyle w:val="SingleTxtG"/>
      </w:pPr>
      <w:r>
        <w:rPr>
          <w:lang w:val="fr-FR"/>
        </w:rPr>
        <w:t>7.</w:t>
      </w:r>
      <w:r>
        <w:rPr>
          <w:lang w:val="fr-FR"/>
        </w:rPr>
        <w:tab/>
        <w:t xml:space="preserve">Renseignements détaillés et actualisés sur les plaintes déposées devant les tribunaux ou toute autre institution nationale, notamment le Commissariat à la protection de l’égalité et le Bureau du Protecteur des citoyens (Médiateur), concernant des actes de discrimination raciale, des discours et des infractions fondées sur la haine raciale, y compris sur Internet et dans les </w:t>
      </w:r>
      <w:proofErr w:type="spellStart"/>
      <w:r>
        <w:rPr>
          <w:lang w:val="fr-FR"/>
        </w:rPr>
        <w:t>médias</w:t>
      </w:r>
      <w:proofErr w:type="spellEnd"/>
      <w:r>
        <w:rPr>
          <w:lang w:val="fr-FR"/>
        </w:rPr>
        <w:t>, et informations sur les suites données à ces plaintes, sur les enquêtes menées, les poursuites engagées et les déclarations de culpabilité ou les mesures disciplinaires prononcées à l’égard des auteurs des faits, et sur les réparations accordées aux victimes</w:t>
      </w:r>
      <w:r w:rsidRPr="00202A38">
        <w:rPr>
          <w:rStyle w:val="Appelnotedebasdep"/>
        </w:rPr>
        <w:footnoteReference w:id="8"/>
      </w:r>
      <w:r>
        <w:rPr>
          <w:lang w:val="fr-FR"/>
        </w:rPr>
        <w:t>.</w:t>
      </w:r>
    </w:p>
    <w:p w14:paraId="05BD9073" w14:textId="77777777" w:rsidR="00EA1D73" w:rsidRPr="00282D80" w:rsidRDefault="00EA1D73" w:rsidP="00EA1D73">
      <w:pPr>
        <w:pStyle w:val="SingleTxtG"/>
      </w:pPr>
      <w:r>
        <w:rPr>
          <w:lang w:val="fr-FR"/>
        </w:rPr>
        <w:t>8.</w:t>
      </w:r>
      <w:r>
        <w:rPr>
          <w:lang w:val="fr-FR"/>
        </w:rPr>
        <w:tab/>
        <w:t>Renseignements détaillés et actualisés sur les mesures prises pour garantir et renforcer l’indépendance du pouvoir judiciaire, en particulier sur la réforme constitutionnelle de 2022</w:t>
      </w:r>
      <w:r w:rsidRPr="00202A38">
        <w:rPr>
          <w:rStyle w:val="Appelnotedebasdep"/>
        </w:rPr>
        <w:footnoteReference w:id="9"/>
      </w:r>
      <w:r>
        <w:rPr>
          <w:lang w:val="fr-FR"/>
        </w:rPr>
        <w:t xml:space="preserve">. </w:t>
      </w:r>
    </w:p>
    <w:p w14:paraId="545B4ED6" w14:textId="77777777" w:rsidR="00EA1D73" w:rsidRPr="00282D80" w:rsidRDefault="00EA1D73" w:rsidP="00EA1D73">
      <w:pPr>
        <w:pStyle w:val="SingleTxtG"/>
      </w:pPr>
      <w:r>
        <w:rPr>
          <w:lang w:val="fr-FR"/>
        </w:rPr>
        <w:t>9.</w:t>
      </w:r>
      <w:r>
        <w:rPr>
          <w:lang w:val="fr-FR"/>
        </w:rPr>
        <w:tab/>
        <w:t>Informations actualisées sur les mesures prises pour renforcer les services d’aide juridique et faire en sorte que de tels services soient accessibles, ainsi que pour garantir l’assistance d’un avocat afin de faciliter les poursuites dans les affaires de discrimination raciale, notamment des informations sur l’application de la loi sur l’aide juridique gratuite</w:t>
      </w:r>
      <w:r w:rsidRPr="00202A38">
        <w:rPr>
          <w:rStyle w:val="Appelnotedebasdep"/>
        </w:rPr>
        <w:footnoteReference w:id="10"/>
      </w:r>
      <w:r>
        <w:rPr>
          <w:lang w:val="fr-FR"/>
        </w:rPr>
        <w:t xml:space="preserve">. </w:t>
      </w:r>
    </w:p>
    <w:p w14:paraId="4DEC5763" w14:textId="77777777" w:rsidR="00EA1D73" w:rsidRPr="00282D80" w:rsidRDefault="00EA1D73" w:rsidP="00EA1D73">
      <w:pPr>
        <w:pStyle w:val="H23G"/>
      </w:pPr>
      <w:r>
        <w:rPr>
          <w:lang w:val="fr-FR"/>
        </w:rPr>
        <w:tab/>
      </w:r>
      <w:r>
        <w:rPr>
          <w:lang w:val="fr-FR"/>
        </w:rPr>
        <w:tab/>
      </w:r>
      <w:r>
        <w:rPr>
          <w:bCs/>
          <w:lang w:val="fr-FR"/>
        </w:rPr>
        <w:t>Situation des groupes ethniques minoritaires (art. 2, 5 et 6)</w:t>
      </w:r>
    </w:p>
    <w:p w14:paraId="7EE13D2A" w14:textId="77777777" w:rsidR="00EA1D73" w:rsidRPr="00282D80" w:rsidRDefault="00EA1D73" w:rsidP="00EA1D73">
      <w:pPr>
        <w:pStyle w:val="SingleTxtG"/>
      </w:pPr>
      <w:r>
        <w:rPr>
          <w:lang w:val="fr-FR"/>
        </w:rPr>
        <w:t>10.</w:t>
      </w:r>
      <w:r>
        <w:rPr>
          <w:lang w:val="fr-FR"/>
        </w:rPr>
        <w:tab/>
        <w:t>Renseignements actualisés sur les mesures prises pour garantir aux membres des groupes ethniques minoritaires la jouissance de tous les droits consacrés par la Convention, sans discrimination, en particulier les droits économiques, sociaux et culturels, et pour assurer leur participation et leur représentation effectives dans la vie publique et politique, en particulier dans les institutions de l’État, les forces de l’ordre et l’appareil judiciaire</w:t>
      </w:r>
      <w:r w:rsidRPr="00202A38">
        <w:rPr>
          <w:rStyle w:val="Appelnotedebasdep"/>
        </w:rPr>
        <w:footnoteReference w:id="11"/>
      </w:r>
      <w:r>
        <w:rPr>
          <w:lang w:val="fr-FR"/>
        </w:rPr>
        <w:t>. Informations actualisées sur le mandat et les activités des conseils nationaux des minorités nationales et sur l’allocation des ressources nécessaires à l’exécution de leur mandat</w:t>
      </w:r>
      <w:r w:rsidRPr="00202A38">
        <w:rPr>
          <w:rStyle w:val="Appelnotedebasdep"/>
        </w:rPr>
        <w:footnoteReference w:id="12"/>
      </w:r>
      <w:r>
        <w:rPr>
          <w:lang w:val="fr-FR"/>
        </w:rPr>
        <w:t>.</w:t>
      </w:r>
    </w:p>
    <w:p w14:paraId="21F46A0C" w14:textId="77777777" w:rsidR="00EA1D73" w:rsidRPr="00282D80" w:rsidRDefault="00EA1D73" w:rsidP="00EA1D73">
      <w:pPr>
        <w:pStyle w:val="SingleTxtG"/>
      </w:pPr>
      <w:r>
        <w:rPr>
          <w:lang w:val="fr-FR"/>
        </w:rPr>
        <w:t>11.</w:t>
      </w:r>
      <w:r>
        <w:rPr>
          <w:lang w:val="fr-FR"/>
        </w:rPr>
        <w:tab/>
        <w:t>Renseignements sur les résultats obtenus dans le cadre de la Stratégie pour l’inclusion sociale des Roms en République de Serbie pour la période 2016-2025 et sur toute évaluation menée au sujet de son application, ainsi que sur les mesures prises pour élaborer une nouvelle stratégie nationale globale en consultant les Roms et en les associant à l’élaboration du texte et à son application</w:t>
      </w:r>
      <w:r w:rsidRPr="00202A38">
        <w:rPr>
          <w:rStyle w:val="Appelnotedebasdep"/>
        </w:rPr>
        <w:footnoteReference w:id="13"/>
      </w:r>
      <w:r>
        <w:rPr>
          <w:lang w:val="fr-FR"/>
        </w:rPr>
        <w:t>.</w:t>
      </w:r>
    </w:p>
    <w:p w14:paraId="38951684" w14:textId="77777777" w:rsidR="00EA1D73" w:rsidRPr="00282D80" w:rsidRDefault="00EA1D73" w:rsidP="00EA1D73">
      <w:pPr>
        <w:pStyle w:val="SingleTxtG"/>
      </w:pPr>
      <w:r>
        <w:rPr>
          <w:lang w:val="fr-FR"/>
        </w:rPr>
        <w:t>12.</w:t>
      </w:r>
      <w:r>
        <w:rPr>
          <w:lang w:val="fr-FR"/>
        </w:rPr>
        <w:tab/>
        <w:t>Renseignements sur les mesures prises pour lutter contre les stéréotypes et la discrimination structurelle à l’égard des Roms et pour faire en sorte que les intéressés puissent pleinement jouir, dans des conditions d’égalité, de leurs droits économiques, sociaux et culturels, en particulier le droit d’accès à l’éducation et à un logement convenable</w:t>
      </w:r>
      <w:r w:rsidRPr="00202A38">
        <w:rPr>
          <w:rStyle w:val="Appelnotedebasdep"/>
        </w:rPr>
        <w:footnoteReference w:id="14"/>
      </w:r>
      <w:r>
        <w:rPr>
          <w:lang w:val="fr-FR"/>
        </w:rPr>
        <w:t>. Mesures prises pour garantir aux enfants roms un accès à un enseignement de qualité, dans des conditions d’égalité, et pour prévenir une ségrégation de fait des élèves roms</w:t>
      </w:r>
      <w:r w:rsidRPr="00202A38">
        <w:rPr>
          <w:rStyle w:val="Appelnotedebasdep"/>
        </w:rPr>
        <w:footnoteReference w:id="15"/>
      </w:r>
      <w:r>
        <w:rPr>
          <w:lang w:val="fr-FR"/>
        </w:rPr>
        <w:t xml:space="preserve">. </w:t>
      </w:r>
    </w:p>
    <w:p w14:paraId="4A8D9CB8" w14:textId="5BEAF6F6" w:rsidR="00EA1D73" w:rsidRPr="00282D80" w:rsidRDefault="00EA1D73" w:rsidP="00EA1D73">
      <w:pPr>
        <w:pStyle w:val="SingleTxtG"/>
      </w:pPr>
      <w:r>
        <w:rPr>
          <w:lang w:val="fr-FR"/>
        </w:rPr>
        <w:lastRenderedPageBreak/>
        <w:t>13.</w:t>
      </w:r>
      <w:r>
        <w:rPr>
          <w:lang w:val="fr-FR"/>
        </w:rPr>
        <w:tab/>
        <w:t>Renseignements sur le processus de justice transitionnelle, l’établissement des responsabilités pour les violations des droits de l’homme commises par le passé et la négation des crimes de guerre</w:t>
      </w:r>
      <w:r w:rsidRPr="00202A38">
        <w:rPr>
          <w:rStyle w:val="Appelnotedebasdep"/>
        </w:rPr>
        <w:footnoteReference w:id="16"/>
      </w:r>
      <w:r>
        <w:rPr>
          <w:lang w:val="fr-FR"/>
        </w:rPr>
        <w:t>.</w:t>
      </w:r>
    </w:p>
    <w:p w14:paraId="35C225B9" w14:textId="77777777" w:rsidR="00EA1D73" w:rsidRPr="00282D80" w:rsidRDefault="00EA1D73" w:rsidP="00EA1D73">
      <w:pPr>
        <w:pStyle w:val="SingleTxtG"/>
      </w:pPr>
      <w:r>
        <w:rPr>
          <w:lang w:val="fr-FR"/>
        </w:rPr>
        <w:t>14.</w:t>
      </w:r>
      <w:r>
        <w:rPr>
          <w:lang w:val="fr-FR"/>
        </w:rPr>
        <w:tab/>
        <w:t>Renseignements sur les mesures prises pour faciliter le retour et la réintégration durables des réfugiés de guerre</w:t>
      </w:r>
      <w:r w:rsidRPr="00202A38">
        <w:rPr>
          <w:rStyle w:val="Appelnotedebasdep"/>
        </w:rPr>
        <w:footnoteReference w:id="17"/>
      </w:r>
      <w:r>
        <w:rPr>
          <w:lang w:val="fr-FR"/>
        </w:rPr>
        <w:t>.</w:t>
      </w:r>
    </w:p>
    <w:p w14:paraId="742DECBE" w14:textId="1998680C" w:rsidR="00EA1D73" w:rsidRPr="00282D80" w:rsidRDefault="00EA1D73" w:rsidP="00EA1D73">
      <w:pPr>
        <w:pStyle w:val="H23G"/>
      </w:pPr>
      <w:r>
        <w:rPr>
          <w:lang w:val="fr-FR"/>
        </w:rPr>
        <w:tab/>
      </w:r>
      <w:r>
        <w:rPr>
          <w:lang w:val="fr-FR"/>
        </w:rPr>
        <w:tab/>
      </w:r>
      <w:r>
        <w:rPr>
          <w:bCs/>
          <w:lang w:val="fr-FR"/>
        </w:rPr>
        <w:t xml:space="preserve">Situation des migrants, des demandeurs d’asile, des réfugiés </w:t>
      </w:r>
      <w:r>
        <w:rPr>
          <w:bCs/>
          <w:lang w:val="fr-FR"/>
        </w:rPr>
        <w:br/>
      </w:r>
      <w:r>
        <w:rPr>
          <w:bCs/>
          <w:lang w:val="fr-FR"/>
        </w:rPr>
        <w:t>et des apatrides (art. 2 et 5)</w:t>
      </w:r>
    </w:p>
    <w:p w14:paraId="20E01A41" w14:textId="77777777" w:rsidR="00EA1D73" w:rsidRPr="00282D80" w:rsidRDefault="00EA1D73" w:rsidP="00EA1D73">
      <w:pPr>
        <w:pStyle w:val="SingleTxtG"/>
      </w:pPr>
      <w:r>
        <w:rPr>
          <w:lang w:val="fr-FR"/>
        </w:rPr>
        <w:t>15.</w:t>
      </w:r>
      <w:r>
        <w:rPr>
          <w:lang w:val="fr-FR"/>
        </w:rPr>
        <w:tab/>
        <w:t>Informations actualisées sur les cadres législatif et stratégique relatifs aux demandeurs d’asile et aux réfugiés, ainsi que sur les mesures que l’État Partie a prises pour garantir à toutes les personnes relevant de sa juridiction un accès sans discrimination à l’éducation, à l’emploi et aux services de santé</w:t>
      </w:r>
      <w:r w:rsidRPr="00202A38">
        <w:rPr>
          <w:rStyle w:val="Appelnotedebasdep"/>
        </w:rPr>
        <w:footnoteReference w:id="18"/>
      </w:r>
      <w:r>
        <w:rPr>
          <w:lang w:val="fr-FR"/>
        </w:rPr>
        <w:t>.</w:t>
      </w:r>
    </w:p>
    <w:p w14:paraId="505BF260" w14:textId="77777777" w:rsidR="00EA1D73" w:rsidRPr="00282D80" w:rsidRDefault="00EA1D73" w:rsidP="00EA1D73">
      <w:pPr>
        <w:pStyle w:val="SingleTxtG"/>
      </w:pPr>
      <w:r>
        <w:rPr>
          <w:lang w:val="fr-FR"/>
        </w:rPr>
        <w:t>16.</w:t>
      </w:r>
      <w:r>
        <w:rPr>
          <w:lang w:val="fr-FR"/>
        </w:rPr>
        <w:tab/>
        <w:t>Renseignements sur les mesures prises pour permettre aux personnes ayant besoin d’une protection internationale d’accéder au territoire national, pour respecter le principe de non-refoulement et pour enquêter sur les allégations d’expulsions collectives et de renvois sommaires de migrants, de réfugiés et de demandeurs d’asile par les forces de l’ordre</w:t>
      </w:r>
      <w:r w:rsidRPr="00202A38">
        <w:rPr>
          <w:rStyle w:val="Appelnotedebasdep"/>
        </w:rPr>
        <w:footnoteReference w:id="19"/>
      </w:r>
      <w:r>
        <w:rPr>
          <w:lang w:val="fr-FR"/>
        </w:rPr>
        <w:t>.</w:t>
      </w:r>
    </w:p>
    <w:p w14:paraId="726E20A4" w14:textId="77777777" w:rsidR="00EA1D73" w:rsidRPr="00282D80" w:rsidRDefault="00EA1D73" w:rsidP="00EA1D73">
      <w:pPr>
        <w:pStyle w:val="SingleTxtG"/>
      </w:pPr>
      <w:r>
        <w:rPr>
          <w:lang w:val="fr-FR"/>
        </w:rPr>
        <w:t>17.</w:t>
      </w:r>
      <w:r>
        <w:rPr>
          <w:lang w:val="fr-FR"/>
        </w:rPr>
        <w:tab/>
        <w:t>Informations actualisées sur les mesures prises pour prévenir et combattre la traite des personnes, y compris sur l’effet de ces mesures, et sur les cas de traite signalés, les poursuites engagées et les déclarations de culpabilité prononcées</w:t>
      </w:r>
      <w:r w:rsidRPr="00202A38">
        <w:rPr>
          <w:rStyle w:val="Appelnotedebasdep"/>
        </w:rPr>
        <w:footnoteReference w:id="20"/>
      </w:r>
      <w:r>
        <w:rPr>
          <w:lang w:val="fr-FR"/>
        </w:rPr>
        <w:t xml:space="preserve">. </w:t>
      </w:r>
    </w:p>
    <w:p w14:paraId="05E736A2" w14:textId="77777777" w:rsidR="00EA1D73" w:rsidRPr="00282D80" w:rsidRDefault="00EA1D73" w:rsidP="00EA1D73">
      <w:pPr>
        <w:pStyle w:val="SingleTxtG"/>
      </w:pPr>
      <w:r>
        <w:rPr>
          <w:lang w:val="fr-FR"/>
        </w:rPr>
        <w:t>18.</w:t>
      </w:r>
      <w:r>
        <w:rPr>
          <w:lang w:val="fr-FR"/>
        </w:rPr>
        <w:tab/>
        <w:t>Informations sur les mesures visant à prévenir l’apatridie et à protéger les personnes de l’apatridie, y compris des statistiques actualisées sur les apatrides et les personnes menacées d’apatridie</w:t>
      </w:r>
      <w:r w:rsidRPr="00202A38">
        <w:rPr>
          <w:rStyle w:val="Appelnotedebasdep"/>
        </w:rPr>
        <w:footnoteReference w:id="21"/>
      </w:r>
      <w:r>
        <w:rPr>
          <w:lang w:val="fr-FR"/>
        </w:rPr>
        <w:t>.</w:t>
      </w:r>
    </w:p>
    <w:p w14:paraId="12278C7E" w14:textId="15849016" w:rsidR="00EA1D73" w:rsidRPr="00282D80" w:rsidRDefault="00EA1D73" w:rsidP="00EA1D73">
      <w:pPr>
        <w:pStyle w:val="H23G"/>
      </w:pPr>
      <w:r>
        <w:rPr>
          <w:lang w:val="fr-FR"/>
        </w:rPr>
        <w:tab/>
      </w:r>
      <w:r>
        <w:rPr>
          <w:lang w:val="fr-FR"/>
        </w:rPr>
        <w:tab/>
      </w:r>
      <w:r>
        <w:rPr>
          <w:bCs/>
          <w:lang w:val="fr-FR"/>
        </w:rPr>
        <w:t xml:space="preserve">Éducation aux droits de l’homme visant à lutter contre les préjugés </w:t>
      </w:r>
      <w:r>
        <w:rPr>
          <w:bCs/>
          <w:lang w:val="fr-FR"/>
        </w:rPr>
        <w:br/>
      </w:r>
      <w:r>
        <w:rPr>
          <w:bCs/>
          <w:lang w:val="fr-FR"/>
        </w:rPr>
        <w:t>et l’intolérance (art. 7)</w:t>
      </w:r>
    </w:p>
    <w:p w14:paraId="36FA7C9B" w14:textId="5B88A4DC" w:rsidR="00984B29" w:rsidRDefault="00EA1D73" w:rsidP="00EA1D73">
      <w:pPr>
        <w:pStyle w:val="SingleTxtG"/>
        <w:rPr>
          <w:lang w:val="fr-FR"/>
        </w:rPr>
      </w:pPr>
      <w:r>
        <w:rPr>
          <w:lang w:val="fr-FR"/>
        </w:rPr>
        <w:t>19.</w:t>
      </w:r>
      <w:r>
        <w:rPr>
          <w:lang w:val="fr-FR"/>
        </w:rPr>
        <w:tab/>
        <w:t>Renseignements sur les mesures visant à promouvoir l’éducation aux droits de l’homme, notamment aux fins de la lutte contre la discrimination raciale, dans tous les programmes scolaires et universitaires et dans les programmes de formation des enseignants, et sur les mesures qui ont été prises pour sensibiliser le grand public, les fonctionnaires, les membres des forces de l’ordre et les autorités judiciaires à l’importance de la diversité culturelle et à la tolérance</w:t>
      </w:r>
      <w:r w:rsidRPr="00202A38">
        <w:rPr>
          <w:rStyle w:val="Appelnotedebasdep"/>
        </w:rPr>
        <w:footnoteReference w:id="22"/>
      </w:r>
      <w:r>
        <w:rPr>
          <w:lang w:val="fr-FR"/>
        </w:rPr>
        <w:t>.</w:t>
      </w:r>
      <w:r w:rsidR="001971AD">
        <w:rPr>
          <w:lang w:val="fr-FR"/>
        </w:rPr>
        <w:t xml:space="preserve"> </w:t>
      </w:r>
    </w:p>
    <w:p w14:paraId="675C4620" w14:textId="59FB3747" w:rsidR="00EA1D73" w:rsidRPr="00EA1D73" w:rsidRDefault="00EA1D73" w:rsidP="00EA1D73">
      <w:pPr>
        <w:pStyle w:val="SingleTxtG"/>
        <w:spacing w:before="240" w:after="0"/>
        <w:jc w:val="center"/>
        <w:rPr>
          <w:u w:val="single"/>
        </w:rPr>
      </w:pPr>
      <w:r>
        <w:rPr>
          <w:u w:val="single"/>
        </w:rPr>
        <w:tab/>
      </w:r>
      <w:r>
        <w:rPr>
          <w:u w:val="single"/>
        </w:rPr>
        <w:tab/>
      </w:r>
      <w:r>
        <w:rPr>
          <w:u w:val="single"/>
        </w:rPr>
        <w:tab/>
      </w:r>
    </w:p>
    <w:sectPr w:rsidR="00EA1D73" w:rsidRPr="00EA1D73" w:rsidSect="00EA1D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1C85E" w14:textId="77777777" w:rsidR="001D082F" w:rsidRDefault="001D082F" w:rsidP="00F95C08">
      <w:pPr>
        <w:spacing w:line="240" w:lineRule="auto"/>
      </w:pPr>
    </w:p>
  </w:endnote>
  <w:endnote w:type="continuationSeparator" w:id="0">
    <w:p w14:paraId="21DE27B6" w14:textId="77777777" w:rsidR="001D082F" w:rsidRPr="00AC3823" w:rsidRDefault="001D082F" w:rsidP="00AC3823">
      <w:pPr>
        <w:pStyle w:val="Pieddepage"/>
      </w:pPr>
    </w:p>
  </w:endnote>
  <w:endnote w:type="continuationNotice" w:id="1">
    <w:p w14:paraId="1E7CE2DD" w14:textId="77777777" w:rsidR="001D082F" w:rsidRDefault="001D08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C13DE" w14:textId="744271A5" w:rsidR="00EA1D73" w:rsidRPr="00EA1D73" w:rsidRDefault="00EA1D73" w:rsidP="00EA1D73">
    <w:pPr>
      <w:pStyle w:val="Pieddepage"/>
      <w:tabs>
        <w:tab w:val="right" w:pos="9638"/>
      </w:tabs>
    </w:pPr>
    <w:r w:rsidRPr="00EA1D73">
      <w:rPr>
        <w:b/>
        <w:sz w:val="18"/>
      </w:rPr>
      <w:fldChar w:fldCharType="begin"/>
    </w:r>
    <w:r w:rsidRPr="00EA1D73">
      <w:rPr>
        <w:b/>
        <w:sz w:val="18"/>
      </w:rPr>
      <w:instrText xml:space="preserve"> PAGE  \* MERGEFORMAT </w:instrText>
    </w:r>
    <w:r w:rsidRPr="00EA1D73">
      <w:rPr>
        <w:b/>
        <w:sz w:val="18"/>
      </w:rPr>
      <w:fldChar w:fldCharType="separate"/>
    </w:r>
    <w:r w:rsidRPr="00EA1D73">
      <w:rPr>
        <w:b/>
        <w:noProof/>
        <w:sz w:val="18"/>
      </w:rPr>
      <w:t>2</w:t>
    </w:r>
    <w:r w:rsidRPr="00EA1D73">
      <w:rPr>
        <w:b/>
        <w:sz w:val="18"/>
      </w:rPr>
      <w:fldChar w:fldCharType="end"/>
    </w:r>
    <w:r>
      <w:rPr>
        <w:b/>
        <w:sz w:val="18"/>
      </w:rPr>
      <w:tab/>
    </w:r>
    <w:r>
      <w:t>GE.26-01931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D9E28" w14:textId="11E16174" w:rsidR="00EA1D73" w:rsidRPr="00EA1D73" w:rsidRDefault="00EA1D73" w:rsidP="00EA1D73">
    <w:pPr>
      <w:pStyle w:val="Pieddepage"/>
      <w:tabs>
        <w:tab w:val="right" w:pos="9638"/>
      </w:tabs>
      <w:rPr>
        <w:b/>
        <w:sz w:val="18"/>
      </w:rPr>
    </w:pPr>
    <w:r>
      <w:t>GE.26-01931</w:t>
    </w:r>
    <w:r>
      <w:tab/>
    </w:r>
    <w:r w:rsidRPr="00EA1D73">
      <w:rPr>
        <w:b/>
        <w:sz w:val="18"/>
      </w:rPr>
      <w:fldChar w:fldCharType="begin"/>
    </w:r>
    <w:r w:rsidRPr="00EA1D73">
      <w:rPr>
        <w:b/>
        <w:sz w:val="18"/>
      </w:rPr>
      <w:instrText xml:space="preserve"> PAGE  \* MERGEFORMAT </w:instrText>
    </w:r>
    <w:r w:rsidRPr="00EA1D73">
      <w:rPr>
        <w:b/>
        <w:sz w:val="18"/>
      </w:rPr>
      <w:fldChar w:fldCharType="separate"/>
    </w:r>
    <w:r w:rsidRPr="00EA1D73">
      <w:rPr>
        <w:b/>
        <w:noProof/>
        <w:sz w:val="18"/>
      </w:rPr>
      <w:t>3</w:t>
    </w:r>
    <w:r w:rsidRPr="00EA1D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42F2C" w14:textId="2F118C7B" w:rsidR="00984B29" w:rsidRPr="00EA1D73" w:rsidRDefault="00EA1D73" w:rsidP="00EA1D73">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D199BD" wp14:editId="7263107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26-01931  (F)</w:t>
    </w:r>
    <w:r>
      <w:rPr>
        <w:noProof/>
        <w:sz w:val="20"/>
      </w:rPr>
      <w:drawing>
        <wp:anchor distT="0" distB="0" distL="114300" distR="114300" simplePos="0" relativeHeight="251660288" behindDoc="0" locked="0" layoutInCell="1" allowOverlap="1" wp14:anchorId="08EFB753" wp14:editId="5386CD84">
          <wp:simplePos x="0" y="0"/>
          <wp:positionH relativeFrom="margin">
            <wp:posOffset>5489575</wp:posOffset>
          </wp:positionH>
          <wp:positionV relativeFrom="margin">
            <wp:posOffset>8891905</wp:posOffset>
          </wp:positionV>
          <wp:extent cx="628650" cy="628650"/>
          <wp:effectExtent l="0" t="0" r="0" b="0"/>
          <wp:wrapNone/>
          <wp:docPr id="3282036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060326    060326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13FE2" w14:textId="77777777" w:rsidR="001D082F" w:rsidRPr="00AC3823" w:rsidRDefault="001D082F" w:rsidP="00AC3823">
      <w:pPr>
        <w:pStyle w:val="Pieddepage"/>
        <w:tabs>
          <w:tab w:val="right" w:pos="2155"/>
        </w:tabs>
        <w:spacing w:after="80" w:line="240" w:lineRule="atLeast"/>
        <w:ind w:left="680"/>
        <w:rPr>
          <w:u w:val="single"/>
        </w:rPr>
      </w:pPr>
      <w:r>
        <w:rPr>
          <w:u w:val="single"/>
        </w:rPr>
        <w:tab/>
      </w:r>
    </w:p>
  </w:footnote>
  <w:footnote w:type="continuationSeparator" w:id="0">
    <w:p w14:paraId="4FDC564D" w14:textId="77777777" w:rsidR="001D082F" w:rsidRPr="00AC3823" w:rsidRDefault="001D082F" w:rsidP="00AC3823">
      <w:pPr>
        <w:pStyle w:val="Pieddepage"/>
        <w:tabs>
          <w:tab w:val="right" w:pos="2155"/>
        </w:tabs>
        <w:spacing w:after="80" w:line="240" w:lineRule="atLeast"/>
        <w:ind w:left="680"/>
        <w:rPr>
          <w:u w:val="single"/>
        </w:rPr>
      </w:pPr>
      <w:r>
        <w:rPr>
          <w:u w:val="single"/>
        </w:rPr>
        <w:tab/>
      </w:r>
    </w:p>
  </w:footnote>
  <w:footnote w:type="continuationNotice" w:id="1">
    <w:p w14:paraId="1E147942" w14:textId="77777777" w:rsidR="001D082F" w:rsidRPr="00AC3823" w:rsidRDefault="001D082F">
      <w:pPr>
        <w:spacing w:line="240" w:lineRule="auto"/>
        <w:rPr>
          <w:sz w:val="2"/>
          <w:szCs w:val="2"/>
        </w:rPr>
      </w:pPr>
    </w:p>
  </w:footnote>
  <w:footnote w:id="2">
    <w:p w14:paraId="0D97D01B" w14:textId="77777777" w:rsidR="00EA1D73" w:rsidRPr="00282D80" w:rsidRDefault="00EA1D73" w:rsidP="00EA1D73">
      <w:pPr>
        <w:pStyle w:val="Notedebasdepage"/>
      </w:pPr>
      <w:r>
        <w:rPr>
          <w:lang w:val="fr-FR"/>
        </w:rPr>
        <w:tab/>
      </w:r>
      <w:r w:rsidRPr="00202A38">
        <w:rPr>
          <w:rStyle w:val="Appelnotedebasdep"/>
        </w:rPr>
        <w:footnoteRef/>
      </w:r>
      <w:r>
        <w:rPr>
          <w:lang w:val="fr-FR"/>
        </w:rPr>
        <w:t xml:space="preserve"> </w:t>
      </w:r>
      <w:r>
        <w:rPr>
          <w:lang w:val="fr-FR"/>
        </w:rPr>
        <w:tab/>
      </w:r>
      <w:hyperlink r:id="rId1" w:history="1">
        <w:r w:rsidRPr="00202A38">
          <w:rPr>
            <w:rStyle w:val="Lienhypertexte"/>
            <w:lang w:val="fr-FR"/>
          </w:rPr>
          <w:t>A/65/18</w:t>
        </w:r>
      </w:hyperlink>
      <w:r>
        <w:rPr>
          <w:lang w:val="fr-FR"/>
        </w:rPr>
        <w:t>, par. 85.</w:t>
      </w:r>
      <w:hyperlink r:id="rId2" w:history="1"/>
    </w:p>
  </w:footnote>
  <w:footnote w:id="3">
    <w:p w14:paraId="14175535" w14:textId="77777777" w:rsidR="00EA1D73" w:rsidRPr="00282D80" w:rsidRDefault="00EA1D73" w:rsidP="00EA1D73">
      <w:pPr>
        <w:pStyle w:val="Notedebasdepage"/>
      </w:pPr>
      <w:r w:rsidRPr="000E26E1">
        <w:rPr>
          <w:lang w:val="fr-FR"/>
        </w:rPr>
        <w:tab/>
      </w:r>
      <w:r w:rsidRPr="00202A38">
        <w:rPr>
          <w:rStyle w:val="Appelnotedebasdep"/>
        </w:rPr>
        <w:footnoteRef/>
      </w:r>
      <w:r>
        <w:rPr>
          <w:lang w:val="fr-FR"/>
        </w:rPr>
        <w:tab/>
      </w:r>
      <w:hyperlink r:id="rId3" w:history="1">
        <w:r w:rsidRPr="00202A38">
          <w:rPr>
            <w:rStyle w:val="Lienhypertexte"/>
            <w:lang w:val="fr-FR"/>
          </w:rPr>
          <w:t>CERD/C/SRB/6-9</w:t>
        </w:r>
      </w:hyperlink>
      <w:r>
        <w:rPr>
          <w:lang w:val="fr-FR"/>
        </w:rPr>
        <w:t xml:space="preserve">, par. 12 à 19, 37 et 38. </w:t>
      </w:r>
      <w:hyperlink r:id="rId4" w:history="1"/>
    </w:p>
  </w:footnote>
  <w:footnote w:id="4">
    <w:p w14:paraId="5E2C8AF9" w14:textId="77777777" w:rsidR="00EA1D73" w:rsidRPr="00282D80" w:rsidRDefault="00EA1D73" w:rsidP="00EA1D73">
      <w:pPr>
        <w:pStyle w:val="Notedebasdepage"/>
      </w:pPr>
      <w:r w:rsidRPr="00554A24">
        <w:rPr>
          <w:lang w:val="fr-FR"/>
        </w:rPr>
        <w:tab/>
      </w:r>
      <w:r w:rsidRPr="00202A38">
        <w:rPr>
          <w:rStyle w:val="Appelnotedebasdep"/>
        </w:rPr>
        <w:footnoteRef/>
      </w:r>
      <w:r>
        <w:rPr>
          <w:lang w:val="fr-FR"/>
        </w:rPr>
        <w:t xml:space="preserve"> </w:t>
      </w:r>
      <w:r>
        <w:rPr>
          <w:lang w:val="fr-FR"/>
        </w:rPr>
        <w:tab/>
      </w:r>
      <w:hyperlink r:id="rId5" w:history="1">
        <w:r w:rsidRPr="00202A38">
          <w:rPr>
            <w:rStyle w:val="Lienhypertexte"/>
            <w:lang w:val="fr-FR"/>
          </w:rPr>
          <w:t>CERD/C/SRB/CO/2-5</w:t>
        </w:r>
      </w:hyperlink>
      <w:r>
        <w:rPr>
          <w:lang w:val="fr-FR"/>
        </w:rPr>
        <w:t xml:space="preserve">, par. 14 et 16 ; et </w:t>
      </w:r>
      <w:hyperlink r:id="rId6" w:history="1">
        <w:r w:rsidRPr="00202A38">
          <w:rPr>
            <w:rStyle w:val="Lienhypertexte"/>
            <w:lang w:val="fr-FR"/>
          </w:rPr>
          <w:t>CERD/C/SRB/6-9</w:t>
        </w:r>
      </w:hyperlink>
      <w:r>
        <w:rPr>
          <w:lang w:val="fr-FR"/>
        </w:rPr>
        <w:t>, par. 81 à 102.</w:t>
      </w:r>
      <w:hyperlink r:id="rId7" w:history="1"/>
      <w:hyperlink r:id="rId8" w:history="1"/>
    </w:p>
  </w:footnote>
  <w:footnote w:id="5">
    <w:p w14:paraId="6DDC5F8D" w14:textId="77777777" w:rsidR="00EA1D73" w:rsidRPr="00282D80" w:rsidRDefault="00EA1D73" w:rsidP="00EA1D73">
      <w:pPr>
        <w:pStyle w:val="Notedebasdepage"/>
      </w:pPr>
      <w:r>
        <w:rPr>
          <w:lang w:val="fr-FR"/>
        </w:rPr>
        <w:tab/>
      </w:r>
      <w:r w:rsidRPr="00202A38">
        <w:rPr>
          <w:rStyle w:val="Appelnotedebasdep"/>
        </w:rPr>
        <w:footnoteRef/>
      </w:r>
      <w:r>
        <w:rPr>
          <w:lang w:val="fr-FR"/>
        </w:rPr>
        <w:t xml:space="preserve"> </w:t>
      </w:r>
      <w:r>
        <w:rPr>
          <w:lang w:val="fr-FR"/>
        </w:rPr>
        <w:tab/>
      </w:r>
      <w:hyperlink r:id="rId9" w:history="1">
        <w:r w:rsidRPr="00202A38">
          <w:rPr>
            <w:rStyle w:val="Lienhypertexte"/>
            <w:lang w:val="fr-FR"/>
          </w:rPr>
          <w:t>CERD/C/SRB/6-9</w:t>
        </w:r>
      </w:hyperlink>
      <w:r>
        <w:rPr>
          <w:lang w:val="fr-FR"/>
        </w:rPr>
        <w:t>, par. 54.</w:t>
      </w:r>
      <w:hyperlink r:id="rId10" w:history="1"/>
    </w:p>
  </w:footnote>
  <w:footnote w:id="6">
    <w:p w14:paraId="3A4A900C" w14:textId="77777777" w:rsidR="00EA1D73" w:rsidRPr="00282D80" w:rsidRDefault="00EA1D73" w:rsidP="00EA1D73">
      <w:pPr>
        <w:pStyle w:val="Notedebasdepage"/>
      </w:pPr>
      <w:r w:rsidRPr="001311B5">
        <w:rPr>
          <w:lang w:val="fr-FR"/>
        </w:rPr>
        <w:tab/>
      </w:r>
      <w:r w:rsidRPr="00202A38">
        <w:rPr>
          <w:rStyle w:val="Appelnotedebasdep"/>
        </w:rPr>
        <w:footnoteRef/>
      </w:r>
      <w:r>
        <w:rPr>
          <w:lang w:val="fr-FR"/>
        </w:rPr>
        <w:t xml:space="preserve"> </w:t>
      </w:r>
      <w:r>
        <w:rPr>
          <w:lang w:val="fr-FR"/>
        </w:rPr>
        <w:tab/>
      </w:r>
      <w:hyperlink r:id="rId11" w:history="1">
        <w:r w:rsidRPr="00202A38">
          <w:rPr>
            <w:rStyle w:val="Lienhypertexte"/>
            <w:lang w:val="fr-FR"/>
          </w:rPr>
          <w:t>CERD/C/SRB</w:t>
        </w:r>
        <w:r w:rsidRPr="00202A38">
          <w:rPr>
            <w:rStyle w:val="Lienhypertexte"/>
            <w:lang w:val="fr-FR"/>
          </w:rPr>
          <w:t>/</w:t>
        </w:r>
        <w:r w:rsidRPr="00202A38">
          <w:rPr>
            <w:rStyle w:val="Lienhypertexte"/>
            <w:lang w:val="fr-FR"/>
          </w:rPr>
          <w:t>CO/2-5</w:t>
        </w:r>
      </w:hyperlink>
      <w:r>
        <w:rPr>
          <w:lang w:val="fr-FR"/>
        </w:rPr>
        <w:t xml:space="preserve">, par. 14 ; et </w:t>
      </w:r>
      <w:hyperlink r:id="rId12" w:history="1">
        <w:r w:rsidRPr="00202A38">
          <w:rPr>
            <w:rStyle w:val="Lienhypertexte"/>
            <w:lang w:val="fr-FR"/>
          </w:rPr>
          <w:t>CERD/C/SRB/6-9</w:t>
        </w:r>
      </w:hyperlink>
      <w:r>
        <w:rPr>
          <w:lang w:val="fr-FR"/>
        </w:rPr>
        <w:t>, par. 81 à 96, 227 et 228.</w:t>
      </w:r>
      <w:hyperlink r:id="rId13" w:history="1"/>
      <w:hyperlink r:id="rId14" w:history="1"/>
    </w:p>
  </w:footnote>
  <w:footnote w:id="7">
    <w:p w14:paraId="5984DE85" w14:textId="77777777" w:rsidR="00EA1D73" w:rsidRPr="00282D80" w:rsidRDefault="00EA1D73" w:rsidP="00EA1D73">
      <w:pPr>
        <w:pStyle w:val="Notedebasdepage"/>
      </w:pPr>
      <w:r>
        <w:rPr>
          <w:lang w:val="fr-FR"/>
        </w:rPr>
        <w:tab/>
      </w:r>
      <w:r w:rsidRPr="00202A38">
        <w:rPr>
          <w:rStyle w:val="Appelnotedebasdep"/>
        </w:rPr>
        <w:footnoteRef/>
      </w:r>
      <w:r>
        <w:rPr>
          <w:lang w:val="fr-FR"/>
        </w:rPr>
        <w:t xml:space="preserve"> </w:t>
      </w:r>
      <w:r>
        <w:rPr>
          <w:lang w:val="fr-FR"/>
        </w:rPr>
        <w:tab/>
      </w:r>
      <w:hyperlink r:id="rId15" w:history="1">
        <w:r w:rsidRPr="00202A38">
          <w:rPr>
            <w:rStyle w:val="Lienhypertexte"/>
            <w:lang w:val="fr-FR"/>
          </w:rPr>
          <w:t>CERD/C/SRB/6-9</w:t>
        </w:r>
      </w:hyperlink>
      <w:r>
        <w:rPr>
          <w:lang w:val="fr-FR"/>
        </w:rPr>
        <w:t>, par. 133, 134, 157 et 158.</w:t>
      </w:r>
      <w:hyperlink r:id="rId16" w:history="1"/>
    </w:p>
  </w:footnote>
  <w:footnote w:id="8">
    <w:p w14:paraId="59597D11" w14:textId="77777777" w:rsidR="00EA1D73" w:rsidRPr="00282D80" w:rsidRDefault="00EA1D73" w:rsidP="00EA1D73">
      <w:pPr>
        <w:pStyle w:val="Notedebasdepage"/>
      </w:pPr>
      <w:r>
        <w:rPr>
          <w:lang w:val="fr-FR"/>
        </w:rPr>
        <w:tab/>
      </w:r>
      <w:r w:rsidRPr="00202A38">
        <w:rPr>
          <w:rStyle w:val="Appelnotedebasdep"/>
        </w:rPr>
        <w:footnoteRef/>
      </w:r>
      <w:r>
        <w:rPr>
          <w:lang w:val="fr-FR"/>
        </w:rPr>
        <w:t xml:space="preserve"> </w:t>
      </w:r>
      <w:r>
        <w:rPr>
          <w:lang w:val="fr-FR"/>
        </w:rPr>
        <w:tab/>
      </w:r>
      <w:hyperlink r:id="rId17" w:history="1">
        <w:r w:rsidRPr="00202A38">
          <w:rPr>
            <w:rStyle w:val="Lienhypertexte"/>
            <w:lang w:val="fr-FR"/>
          </w:rPr>
          <w:t>CERD/C/SRB/CO/2-5</w:t>
        </w:r>
      </w:hyperlink>
      <w:r>
        <w:rPr>
          <w:lang w:val="fr-FR"/>
        </w:rPr>
        <w:t xml:space="preserve">, par. 14, 16 et 17 ; et </w:t>
      </w:r>
      <w:hyperlink r:id="rId18" w:history="1">
        <w:r w:rsidRPr="00202A38">
          <w:rPr>
            <w:rStyle w:val="Lienhypertexte"/>
            <w:lang w:val="fr-FR"/>
          </w:rPr>
          <w:t>CERD/C/SRB/6-9</w:t>
        </w:r>
      </w:hyperlink>
      <w:r>
        <w:rPr>
          <w:lang w:val="fr-FR"/>
        </w:rPr>
        <w:t>, par. 59 à 62, 92, 97 à 100, 113 à 117 et 166.</w:t>
      </w:r>
      <w:hyperlink r:id="rId19" w:history="1"/>
      <w:hyperlink r:id="rId20" w:history="1"/>
    </w:p>
  </w:footnote>
  <w:footnote w:id="9">
    <w:p w14:paraId="591FCC77" w14:textId="77777777" w:rsidR="00EA1D73" w:rsidRPr="00282D80" w:rsidRDefault="00EA1D73" w:rsidP="00EA1D73">
      <w:pPr>
        <w:pStyle w:val="Notedebasdepage"/>
      </w:pPr>
      <w:r>
        <w:rPr>
          <w:lang w:val="fr-FR"/>
        </w:rPr>
        <w:tab/>
      </w:r>
      <w:r w:rsidRPr="00202A38">
        <w:rPr>
          <w:rStyle w:val="Appelnotedebasdep"/>
        </w:rPr>
        <w:footnoteRef/>
      </w:r>
      <w:r>
        <w:rPr>
          <w:lang w:val="fr-FR"/>
        </w:rPr>
        <w:t xml:space="preserve"> </w:t>
      </w:r>
      <w:r>
        <w:rPr>
          <w:lang w:val="fr-FR"/>
        </w:rPr>
        <w:tab/>
      </w:r>
      <w:hyperlink r:id="rId21" w:history="1">
        <w:r w:rsidRPr="00202A38">
          <w:rPr>
            <w:rStyle w:val="Lienhypertexte"/>
            <w:lang w:val="fr-FR"/>
          </w:rPr>
          <w:t>CERD/C/SRB/CO/2-5</w:t>
        </w:r>
      </w:hyperlink>
      <w:r>
        <w:rPr>
          <w:lang w:val="fr-FR"/>
        </w:rPr>
        <w:t xml:space="preserve">, par. 12 ; et </w:t>
      </w:r>
      <w:hyperlink r:id="rId22" w:history="1">
        <w:r w:rsidRPr="00202A38">
          <w:rPr>
            <w:rStyle w:val="Lienhypertexte"/>
            <w:lang w:val="fr-FR"/>
          </w:rPr>
          <w:t>CERD/C/SRB/6-9</w:t>
        </w:r>
      </w:hyperlink>
      <w:r>
        <w:rPr>
          <w:lang w:val="fr-FR"/>
        </w:rPr>
        <w:t>, par. 63 à 71.</w:t>
      </w:r>
      <w:hyperlink r:id="rId23" w:history="1"/>
      <w:hyperlink r:id="rId24" w:history="1"/>
    </w:p>
  </w:footnote>
  <w:footnote w:id="10">
    <w:p w14:paraId="33F3E286" w14:textId="77777777" w:rsidR="00EA1D73" w:rsidRPr="00282D80" w:rsidRDefault="00EA1D73" w:rsidP="00EA1D73">
      <w:pPr>
        <w:pStyle w:val="Notedebasdepage"/>
      </w:pPr>
      <w:r w:rsidRPr="000E26E1">
        <w:rPr>
          <w:lang w:val="fr-FR"/>
        </w:rPr>
        <w:tab/>
      </w:r>
      <w:r w:rsidRPr="00202A38">
        <w:rPr>
          <w:rStyle w:val="Appelnotedebasdep"/>
        </w:rPr>
        <w:footnoteRef/>
      </w:r>
      <w:r>
        <w:rPr>
          <w:lang w:val="fr-FR"/>
        </w:rPr>
        <w:t xml:space="preserve"> </w:t>
      </w:r>
      <w:r>
        <w:rPr>
          <w:lang w:val="fr-FR"/>
        </w:rPr>
        <w:tab/>
      </w:r>
      <w:hyperlink r:id="rId25" w:history="1">
        <w:r w:rsidRPr="00202A38">
          <w:rPr>
            <w:rStyle w:val="Lienhypertexte"/>
            <w:lang w:val="fr-FR"/>
          </w:rPr>
          <w:t>CERD/C/SRB/CO/2-5</w:t>
        </w:r>
      </w:hyperlink>
      <w:r>
        <w:rPr>
          <w:lang w:val="fr-FR"/>
        </w:rPr>
        <w:t xml:space="preserve">, par. 25 ; et </w:t>
      </w:r>
      <w:hyperlink r:id="rId26" w:history="1">
        <w:r w:rsidRPr="00202A38">
          <w:rPr>
            <w:rStyle w:val="Lienhypertexte"/>
            <w:lang w:val="fr-FR"/>
          </w:rPr>
          <w:t>CERD/C/SRB/6-9</w:t>
        </w:r>
      </w:hyperlink>
      <w:r>
        <w:rPr>
          <w:lang w:val="fr-FR"/>
        </w:rPr>
        <w:t>, par. 127 à 132.</w:t>
      </w:r>
      <w:hyperlink r:id="rId27" w:history="1"/>
      <w:bookmarkStart w:id="0" w:name="_Hlk220666765"/>
      <w:bookmarkEnd w:id="0"/>
    </w:p>
  </w:footnote>
  <w:footnote w:id="11">
    <w:p w14:paraId="2E45FABC" w14:textId="77777777" w:rsidR="00EA1D73" w:rsidRPr="00282D80" w:rsidRDefault="00EA1D73" w:rsidP="00EA1D73">
      <w:pPr>
        <w:pStyle w:val="Notedebasdepage"/>
      </w:pPr>
      <w:r w:rsidRPr="000E26E1">
        <w:rPr>
          <w:lang w:val="fr-FR"/>
        </w:rPr>
        <w:tab/>
      </w:r>
      <w:r w:rsidRPr="00202A38">
        <w:rPr>
          <w:rStyle w:val="Appelnotedebasdep"/>
        </w:rPr>
        <w:footnoteRef/>
      </w:r>
      <w:r>
        <w:rPr>
          <w:lang w:val="fr-FR"/>
        </w:rPr>
        <w:t xml:space="preserve"> </w:t>
      </w:r>
      <w:r>
        <w:rPr>
          <w:lang w:val="fr-FR"/>
        </w:rPr>
        <w:tab/>
      </w:r>
      <w:hyperlink r:id="rId28" w:history="1">
        <w:r w:rsidRPr="00202A38">
          <w:rPr>
            <w:rStyle w:val="Lienhypertexte"/>
            <w:lang w:val="fr-FR"/>
          </w:rPr>
          <w:t>CERD/C/SRB/6-9</w:t>
        </w:r>
      </w:hyperlink>
      <w:r>
        <w:rPr>
          <w:lang w:val="fr-FR"/>
        </w:rPr>
        <w:t>, par. 118 à 125, 135 à 172 et 203 à 228.</w:t>
      </w:r>
      <w:hyperlink r:id="rId29" w:history="1"/>
    </w:p>
  </w:footnote>
  <w:footnote w:id="12">
    <w:p w14:paraId="4DB0BFC9" w14:textId="77777777" w:rsidR="00EA1D73" w:rsidRPr="00282D80" w:rsidRDefault="00EA1D73" w:rsidP="00EA1D73">
      <w:pPr>
        <w:pStyle w:val="Notedebasdepage"/>
      </w:pPr>
      <w:r w:rsidRPr="000E26E1">
        <w:rPr>
          <w:lang w:val="fr-FR"/>
        </w:rPr>
        <w:tab/>
      </w:r>
      <w:r w:rsidRPr="00202A38">
        <w:rPr>
          <w:rStyle w:val="Appelnotedebasdep"/>
        </w:rPr>
        <w:footnoteRef/>
      </w:r>
      <w:r>
        <w:rPr>
          <w:lang w:val="fr-FR"/>
        </w:rPr>
        <w:t xml:space="preserve"> </w:t>
      </w:r>
      <w:r>
        <w:rPr>
          <w:lang w:val="fr-FR"/>
        </w:rPr>
        <w:tab/>
        <w:t>Ibid., par. 141 à 145.</w:t>
      </w:r>
    </w:p>
  </w:footnote>
  <w:footnote w:id="13">
    <w:p w14:paraId="10BA526C" w14:textId="77777777" w:rsidR="00EA1D73" w:rsidRPr="00282D80" w:rsidRDefault="00EA1D73" w:rsidP="00EA1D73">
      <w:pPr>
        <w:pStyle w:val="Notedebasdepage"/>
      </w:pPr>
      <w:r w:rsidRPr="00554A24">
        <w:rPr>
          <w:lang w:val="fr-FR"/>
        </w:rPr>
        <w:tab/>
      </w:r>
      <w:r w:rsidRPr="00202A38">
        <w:rPr>
          <w:rStyle w:val="Appelnotedebasdep"/>
        </w:rPr>
        <w:footnoteRef/>
      </w:r>
      <w:r>
        <w:rPr>
          <w:lang w:val="fr-FR"/>
        </w:rPr>
        <w:t xml:space="preserve"> </w:t>
      </w:r>
      <w:r>
        <w:rPr>
          <w:lang w:val="fr-FR"/>
        </w:rPr>
        <w:tab/>
        <w:t>Ibid., par. 30 à 36.</w:t>
      </w:r>
    </w:p>
  </w:footnote>
  <w:footnote w:id="14">
    <w:p w14:paraId="56F8A8E3" w14:textId="77777777" w:rsidR="00EA1D73" w:rsidRPr="00282D80" w:rsidRDefault="00EA1D73" w:rsidP="00EA1D73">
      <w:pPr>
        <w:pStyle w:val="Notedebasdepage"/>
      </w:pPr>
      <w:r w:rsidRPr="001311B5">
        <w:rPr>
          <w:lang w:val="fr-FR"/>
        </w:rPr>
        <w:tab/>
      </w:r>
      <w:r w:rsidRPr="00202A38">
        <w:rPr>
          <w:rStyle w:val="Appelnotedebasdep"/>
        </w:rPr>
        <w:footnoteRef/>
      </w:r>
      <w:r>
        <w:rPr>
          <w:lang w:val="fr-FR"/>
        </w:rPr>
        <w:t xml:space="preserve"> </w:t>
      </w:r>
      <w:r>
        <w:rPr>
          <w:lang w:val="fr-FR"/>
        </w:rPr>
        <w:tab/>
      </w:r>
      <w:hyperlink r:id="rId30" w:history="1">
        <w:r w:rsidRPr="00202A38">
          <w:rPr>
            <w:rStyle w:val="Lienhypertexte"/>
            <w:lang w:val="fr-FR"/>
          </w:rPr>
          <w:t>CERD/C/SRB/CO/2-5</w:t>
        </w:r>
      </w:hyperlink>
      <w:r>
        <w:rPr>
          <w:lang w:val="fr-FR"/>
        </w:rPr>
        <w:t xml:space="preserve">, par. 21 et 25 ; et </w:t>
      </w:r>
      <w:hyperlink r:id="rId31" w:history="1">
        <w:r w:rsidRPr="00202A38">
          <w:rPr>
            <w:rStyle w:val="Lienhypertexte"/>
            <w:lang w:val="fr-FR"/>
          </w:rPr>
          <w:t>CERD/C/SRB/6-9</w:t>
        </w:r>
      </w:hyperlink>
      <w:r>
        <w:rPr>
          <w:lang w:val="fr-FR"/>
        </w:rPr>
        <w:t>, par. 72 à 80 et 203 à 225.</w:t>
      </w:r>
      <w:hyperlink r:id="rId32" w:history="1"/>
      <w:hyperlink r:id="rId33" w:history="1"/>
    </w:p>
  </w:footnote>
  <w:footnote w:id="15">
    <w:p w14:paraId="1C73FA63" w14:textId="77777777" w:rsidR="00EA1D73" w:rsidRPr="00282D80" w:rsidRDefault="00EA1D73" w:rsidP="00EA1D73">
      <w:pPr>
        <w:pStyle w:val="Notedebasdepage"/>
      </w:pPr>
      <w:r>
        <w:rPr>
          <w:lang w:val="fr-FR"/>
        </w:rPr>
        <w:tab/>
      </w:r>
      <w:r w:rsidRPr="00202A38">
        <w:rPr>
          <w:rStyle w:val="Appelnotedebasdep"/>
        </w:rPr>
        <w:footnoteRef/>
      </w:r>
      <w:r>
        <w:rPr>
          <w:lang w:val="fr-FR"/>
        </w:rPr>
        <w:t xml:space="preserve"> </w:t>
      </w:r>
      <w:r>
        <w:rPr>
          <w:lang w:val="fr-FR"/>
        </w:rPr>
        <w:tab/>
      </w:r>
      <w:hyperlink r:id="rId34" w:history="1">
        <w:r w:rsidRPr="00202A38">
          <w:rPr>
            <w:rStyle w:val="Lienhypertexte"/>
            <w:lang w:val="fr-FR"/>
          </w:rPr>
          <w:t>CERD/C/SRB/CO/2-5</w:t>
        </w:r>
      </w:hyperlink>
      <w:r>
        <w:rPr>
          <w:lang w:val="fr-FR"/>
        </w:rPr>
        <w:t xml:space="preserve">, par. 21 ; et </w:t>
      </w:r>
      <w:hyperlink r:id="rId35" w:history="1">
        <w:r w:rsidRPr="00202A38">
          <w:rPr>
            <w:rStyle w:val="Lienhypertexte"/>
            <w:lang w:val="fr-FR"/>
          </w:rPr>
          <w:t>CERD/C/SRB/6-9</w:t>
        </w:r>
      </w:hyperlink>
      <w:r>
        <w:rPr>
          <w:lang w:val="fr-FR"/>
        </w:rPr>
        <w:t>, par. 203 à 210.</w:t>
      </w:r>
      <w:hyperlink r:id="rId36" w:history="1"/>
      <w:hyperlink r:id="rId37" w:history="1"/>
    </w:p>
  </w:footnote>
  <w:footnote w:id="16">
    <w:p w14:paraId="28596D5A" w14:textId="77777777" w:rsidR="00EA1D73" w:rsidRPr="00282D80" w:rsidRDefault="00EA1D73" w:rsidP="00EA1D73">
      <w:pPr>
        <w:pStyle w:val="Notedebasdepage"/>
      </w:pPr>
      <w:r>
        <w:rPr>
          <w:lang w:val="fr-FR"/>
        </w:rPr>
        <w:tab/>
      </w:r>
      <w:r w:rsidRPr="00202A38">
        <w:rPr>
          <w:rStyle w:val="Appelnotedebasdep"/>
        </w:rPr>
        <w:footnoteRef/>
      </w:r>
      <w:r>
        <w:rPr>
          <w:lang w:val="fr-FR"/>
        </w:rPr>
        <w:t xml:space="preserve"> </w:t>
      </w:r>
      <w:r>
        <w:rPr>
          <w:lang w:val="fr-FR"/>
        </w:rPr>
        <w:tab/>
      </w:r>
      <w:hyperlink r:id="rId38" w:history="1">
        <w:r w:rsidRPr="00202A38">
          <w:rPr>
            <w:rStyle w:val="Lienhypertexte"/>
            <w:lang w:val="fr-FR"/>
          </w:rPr>
          <w:t>CERD/C/SRB/CO/2-5</w:t>
        </w:r>
      </w:hyperlink>
      <w:r>
        <w:rPr>
          <w:lang w:val="fr-FR"/>
        </w:rPr>
        <w:t xml:space="preserve">, par. 14 ; et </w:t>
      </w:r>
      <w:hyperlink r:id="rId39" w:history="1">
        <w:r w:rsidRPr="00202A38">
          <w:rPr>
            <w:rStyle w:val="Lienhypertexte"/>
            <w:lang w:val="fr-FR"/>
          </w:rPr>
          <w:t>CERD/C/SRB/6-9</w:t>
        </w:r>
      </w:hyperlink>
      <w:r>
        <w:rPr>
          <w:lang w:val="fr-FR"/>
        </w:rPr>
        <w:t>, par. 89 et 122 à 126.</w:t>
      </w:r>
      <w:hyperlink r:id="rId40" w:history="1"/>
      <w:hyperlink r:id="rId41" w:history="1"/>
    </w:p>
  </w:footnote>
  <w:footnote w:id="17">
    <w:p w14:paraId="09C4D0D1" w14:textId="77777777" w:rsidR="00EA1D73" w:rsidRPr="00282D80" w:rsidRDefault="00EA1D73" w:rsidP="00EA1D73">
      <w:pPr>
        <w:pStyle w:val="Notedebasdepage"/>
      </w:pPr>
      <w:r>
        <w:rPr>
          <w:lang w:val="fr-FR"/>
        </w:rPr>
        <w:tab/>
      </w:r>
      <w:r w:rsidRPr="00202A38">
        <w:rPr>
          <w:rStyle w:val="Appelnotedebasdep"/>
        </w:rPr>
        <w:footnoteRef/>
      </w:r>
      <w:r>
        <w:rPr>
          <w:lang w:val="fr-FR"/>
        </w:rPr>
        <w:t xml:space="preserve"> </w:t>
      </w:r>
      <w:r>
        <w:rPr>
          <w:lang w:val="fr-FR"/>
        </w:rPr>
        <w:tab/>
      </w:r>
      <w:hyperlink r:id="rId42" w:history="1">
        <w:r w:rsidRPr="00202A38">
          <w:rPr>
            <w:rStyle w:val="Lienhypertexte"/>
            <w:lang w:val="fr-FR"/>
          </w:rPr>
          <w:t>CERD/C/SRB/6-9</w:t>
        </w:r>
      </w:hyperlink>
      <w:r>
        <w:rPr>
          <w:lang w:val="fr-FR"/>
        </w:rPr>
        <w:t>, par. 27 à 45, 89 et 173 à 178.</w:t>
      </w:r>
      <w:hyperlink r:id="rId43" w:history="1"/>
    </w:p>
  </w:footnote>
  <w:footnote w:id="18">
    <w:p w14:paraId="5E8BA177" w14:textId="77777777" w:rsidR="00EA1D73" w:rsidRPr="00282D80" w:rsidRDefault="00EA1D73" w:rsidP="00EA1D73">
      <w:pPr>
        <w:pStyle w:val="Notedebasdepage"/>
      </w:pPr>
      <w:r>
        <w:rPr>
          <w:lang w:val="fr-FR"/>
        </w:rPr>
        <w:tab/>
      </w:r>
      <w:r w:rsidRPr="00202A38">
        <w:rPr>
          <w:rStyle w:val="Appelnotedebasdep"/>
        </w:rPr>
        <w:footnoteRef/>
      </w:r>
      <w:r>
        <w:rPr>
          <w:lang w:val="fr-FR"/>
        </w:rPr>
        <w:t xml:space="preserve"> </w:t>
      </w:r>
      <w:r>
        <w:rPr>
          <w:lang w:val="fr-FR"/>
        </w:rPr>
        <w:tab/>
      </w:r>
      <w:hyperlink r:id="rId44" w:history="1">
        <w:r w:rsidRPr="00202A38">
          <w:rPr>
            <w:rStyle w:val="Lienhypertexte"/>
            <w:lang w:val="fr-FR"/>
          </w:rPr>
          <w:t>CERD/C/SRB/CO/2-5</w:t>
        </w:r>
      </w:hyperlink>
      <w:r>
        <w:rPr>
          <w:lang w:val="fr-FR"/>
        </w:rPr>
        <w:t xml:space="preserve">, par. 27 ; et </w:t>
      </w:r>
      <w:hyperlink r:id="rId45" w:history="1">
        <w:r w:rsidRPr="00202A38">
          <w:rPr>
            <w:rStyle w:val="Lienhypertexte"/>
            <w:lang w:val="fr-FR"/>
          </w:rPr>
          <w:t>CERD/C/SRB/6-9</w:t>
        </w:r>
      </w:hyperlink>
      <w:r>
        <w:rPr>
          <w:lang w:val="fr-FR"/>
        </w:rPr>
        <w:t>, par. 7 à 51 et 234 à 252.</w:t>
      </w:r>
      <w:hyperlink r:id="rId46" w:history="1"/>
      <w:hyperlink r:id="rId47" w:history="1"/>
    </w:p>
  </w:footnote>
  <w:footnote w:id="19">
    <w:p w14:paraId="2DBE2D45" w14:textId="77777777" w:rsidR="00EA1D73" w:rsidRPr="00282D80" w:rsidRDefault="00EA1D73" w:rsidP="00EA1D73">
      <w:pPr>
        <w:pStyle w:val="Notedebasdepage"/>
      </w:pPr>
      <w:r>
        <w:rPr>
          <w:lang w:val="fr-FR"/>
        </w:rPr>
        <w:tab/>
      </w:r>
      <w:r w:rsidRPr="00202A38">
        <w:rPr>
          <w:rStyle w:val="Appelnotedebasdep"/>
        </w:rPr>
        <w:footnoteRef/>
      </w:r>
      <w:r>
        <w:rPr>
          <w:lang w:val="fr-FR"/>
        </w:rPr>
        <w:t xml:space="preserve"> </w:t>
      </w:r>
      <w:r>
        <w:rPr>
          <w:lang w:val="fr-FR"/>
        </w:rPr>
        <w:tab/>
        <w:t xml:space="preserve">et </w:t>
      </w:r>
      <w:hyperlink r:id="rId48" w:history="1">
        <w:r w:rsidRPr="00202A38">
          <w:rPr>
            <w:rStyle w:val="Lienhypertexte"/>
            <w:lang w:val="fr-FR"/>
          </w:rPr>
          <w:t>CERD/C/SRB/6-9</w:t>
        </w:r>
      </w:hyperlink>
      <w:r>
        <w:rPr>
          <w:lang w:val="fr-FR"/>
        </w:rPr>
        <w:t>, par. 246 à 252.</w:t>
      </w:r>
      <w:hyperlink r:id="rId49" w:history="1"/>
    </w:p>
  </w:footnote>
  <w:footnote w:id="20">
    <w:p w14:paraId="73DB7E24" w14:textId="77777777" w:rsidR="00EA1D73" w:rsidRPr="00282D80" w:rsidRDefault="00EA1D73" w:rsidP="00EA1D73">
      <w:pPr>
        <w:pStyle w:val="Notedebasdepage"/>
      </w:pPr>
      <w:r>
        <w:rPr>
          <w:lang w:val="fr-FR"/>
        </w:rPr>
        <w:tab/>
      </w:r>
      <w:r w:rsidRPr="00202A38">
        <w:rPr>
          <w:rStyle w:val="Appelnotedebasdep"/>
        </w:rPr>
        <w:footnoteRef/>
      </w:r>
      <w:r>
        <w:rPr>
          <w:lang w:val="fr-FR"/>
        </w:rPr>
        <w:t xml:space="preserve"> </w:t>
      </w:r>
      <w:r>
        <w:rPr>
          <w:lang w:val="fr-FR"/>
        </w:rPr>
        <w:tab/>
      </w:r>
      <w:hyperlink r:id="rId50" w:history="1">
        <w:r w:rsidRPr="00202A38">
          <w:rPr>
            <w:rStyle w:val="Lienhypertexte"/>
            <w:lang w:val="fr-FR"/>
          </w:rPr>
          <w:t>CERD/C/SRB/CO/2-5</w:t>
        </w:r>
      </w:hyperlink>
      <w:r>
        <w:rPr>
          <w:lang w:val="fr-FR"/>
        </w:rPr>
        <w:t xml:space="preserve">, par. 19 ; et </w:t>
      </w:r>
      <w:hyperlink r:id="rId51" w:history="1">
        <w:r w:rsidRPr="00202A38">
          <w:rPr>
            <w:rStyle w:val="Lienhypertexte"/>
            <w:lang w:val="fr-FR"/>
          </w:rPr>
          <w:t>CERD/C/SRB/6-9</w:t>
        </w:r>
      </w:hyperlink>
      <w:r>
        <w:rPr>
          <w:lang w:val="fr-FR"/>
        </w:rPr>
        <w:t>, par. 190 à 195.</w:t>
      </w:r>
      <w:hyperlink r:id="rId52" w:history="1"/>
      <w:hyperlink r:id="rId53" w:history="1"/>
    </w:p>
  </w:footnote>
  <w:footnote w:id="21">
    <w:p w14:paraId="46830F42" w14:textId="77777777" w:rsidR="00EA1D73" w:rsidRPr="00282D80" w:rsidRDefault="00EA1D73" w:rsidP="00EA1D73">
      <w:pPr>
        <w:pStyle w:val="Notedebasdepage"/>
      </w:pPr>
      <w:r w:rsidRPr="001311B5">
        <w:rPr>
          <w:lang w:val="fr-FR"/>
        </w:rPr>
        <w:tab/>
      </w:r>
      <w:r w:rsidRPr="00202A38">
        <w:rPr>
          <w:rStyle w:val="Appelnotedebasdep"/>
        </w:rPr>
        <w:footnoteRef/>
      </w:r>
      <w:r>
        <w:rPr>
          <w:lang w:val="fr-FR"/>
        </w:rPr>
        <w:t xml:space="preserve"> </w:t>
      </w:r>
      <w:r>
        <w:rPr>
          <w:lang w:val="fr-FR"/>
        </w:rPr>
        <w:tab/>
      </w:r>
      <w:hyperlink r:id="rId54" w:history="1">
        <w:r w:rsidRPr="00202A38">
          <w:rPr>
            <w:rStyle w:val="Lienhypertexte"/>
            <w:lang w:val="fr-FR"/>
          </w:rPr>
          <w:t>CERD/C/SRB/6-9</w:t>
        </w:r>
      </w:hyperlink>
      <w:r>
        <w:rPr>
          <w:lang w:val="fr-FR"/>
        </w:rPr>
        <w:t>, par. 146 à 156.</w:t>
      </w:r>
      <w:hyperlink r:id="rId55" w:history="1"/>
    </w:p>
  </w:footnote>
  <w:footnote w:id="22">
    <w:p w14:paraId="2CED2B46" w14:textId="77777777" w:rsidR="00EA1D73" w:rsidRPr="00554A24" w:rsidRDefault="00EA1D73" w:rsidP="00EA1D73">
      <w:pPr>
        <w:pStyle w:val="Notedebasdepage"/>
      </w:pPr>
      <w:r w:rsidRPr="00554A24">
        <w:rPr>
          <w:lang w:val="fr-FR"/>
        </w:rPr>
        <w:tab/>
      </w:r>
      <w:r w:rsidRPr="00202A38">
        <w:rPr>
          <w:rStyle w:val="Appelnotedebasdep"/>
        </w:rPr>
        <w:footnoteRef/>
      </w:r>
      <w:r>
        <w:rPr>
          <w:lang w:val="fr-FR"/>
        </w:rPr>
        <w:t xml:space="preserve"> </w:t>
      </w:r>
      <w:r>
        <w:rPr>
          <w:lang w:val="fr-FR"/>
        </w:rPr>
        <w:tab/>
        <w:t>Ibid., par. 196 à 233.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2403D" w14:textId="21321BF0" w:rsidR="00EA1D73" w:rsidRPr="00EA1D73" w:rsidRDefault="00EA1D73">
    <w:pPr>
      <w:pStyle w:val="En-tte"/>
    </w:pPr>
    <w:fldSimple w:instr=" TITLE  \* MERGEFORMAT ">
      <w:r>
        <w:t>CERD/C/SRB/Q/6-9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2E95E" w14:textId="515C6E4F" w:rsidR="00EA1D73" w:rsidRPr="00EA1D73" w:rsidRDefault="00EA1D73" w:rsidP="00EA1D73">
    <w:pPr>
      <w:pStyle w:val="En-tte"/>
      <w:jc w:val="right"/>
    </w:pPr>
    <w:fldSimple w:instr=" TITLE  \* MERGEFORMAT ">
      <w:r>
        <w:t>CERD/C/SRB/Q/6-9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F4"/>
    <w:rsid w:val="00017F94"/>
    <w:rsid w:val="00023842"/>
    <w:rsid w:val="000334F9"/>
    <w:rsid w:val="0007796D"/>
    <w:rsid w:val="000B7790"/>
    <w:rsid w:val="00111F2F"/>
    <w:rsid w:val="0014365E"/>
    <w:rsid w:val="00176178"/>
    <w:rsid w:val="001971AD"/>
    <w:rsid w:val="001D082F"/>
    <w:rsid w:val="001F525A"/>
    <w:rsid w:val="00215BEC"/>
    <w:rsid w:val="00223272"/>
    <w:rsid w:val="0024779E"/>
    <w:rsid w:val="00262657"/>
    <w:rsid w:val="003E18C1"/>
    <w:rsid w:val="00446FE5"/>
    <w:rsid w:val="00452396"/>
    <w:rsid w:val="004F094E"/>
    <w:rsid w:val="005505B7"/>
    <w:rsid w:val="00573BE5"/>
    <w:rsid w:val="00586ED3"/>
    <w:rsid w:val="00596AA9"/>
    <w:rsid w:val="005B51F4"/>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33D50"/>
    <w:rsid w:val="00AC3823"/>
    <w:rsid w:val="00AE323C"/>
    <w:rsid w:val="00B00181"/>
    <w:rsid w:val="00B765F7"/>
    <w:rsid w:val="00BA0CA9"/>
    <w:rsid w:val="00BB0B66"/>
    <w:rsid w:val="00BB19C3"/>
    <w:rsid w:val="00C02897"/>
    <w:rsid w:val="00D3439C"/>
    <w:rsid w:val="00DB1831"/>
    <w:rsid w:val="00DC0149"/>
    <w:rsid w:val="00DD3BFD"/>
    <w:rsid w:val="00DF6678"/>
    <w:rsid w:val="00EA1D73"/>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827CF"/>
  <w15:docId w15:val="{872FC318-E7A2-436A-BA95-31D7BBA99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ERD/C/SRB/CO/2-5" TargetMode="External"/><Relationship Id="rId18" Type="http://schemas.openxmlformats.org/officeDocument/2006/relationships/hyperlink" Target="https://docs.un.org/fr/CERD/C/SRB/6-9" TargetMode="External"/><Relationship Id="rId26" Type="http://schemas.openxmlformats.org/officeDocument/2006/relationships/hyperlink" Target="https://docs.un.org/fr/CERD/C/SRB/6-9" TargetMode="External"/><Relationship Id="rId39" Type="http://schemas.openxmlformats.org/officeDocument/2006/relationships/hyperlink" Target="https://docs.un.org/fr/CERD/C/SRB/6-9" TargetMode="External"/><Relationship Id="rId21" Type="http://schemas.openxmlformats.org/officeDocument/2006/relationships/hyperlink" Target="https://docs.un.org/fr/CERD/C/SRB/CO/2-5" TargetMode="External"/><Relationship Id="rId34" Type="http://schemas.openxmlformats.org/officeDocument/2006/relationships/hyperlink" Target="https://docs.un.org/fr/CERD/C/SRB/CO/2-5" TargetMode="External"/><Relationship Id="rId42" Type="http://schemas.openxmlformats.org/officeDocument/2006/relationships/hyperlink" Target="https://docs.un.org/fr/CERD/C/SRB/6-9" TargetMode="External"/><Relationship Id="rId47" Type="http://schemas.openxmlformats.org/officeDocument/2006/relationships/hyperlink" Target="https://docs.un.org/en/CERD/C/SRB/6-9" TargetMode="External"/><Relationship Id="rId50" Type="http://schemas.openxmlformats.org/officeDocument/2006/relationships/hyperlink" Target="https://docs.un.org/fr/CERD/C/SRB/CO/2-5" TargetMode="External"/><Relationship Id="rId55" Type="http://schemas.openxmlformats.org/officeDocument/2006/relationships/hyperlink" Target="https://docs.un.org/en/CERD/C/SRB/6-9" TargetMode="External"/><Relationship Id="rId7" Type="http://schemas.openxmlformats.org/officeDocument/2006/relationships/hyperlink" Target="https://docs.un.org/en/CERD/C/SRB/CO/2-5" TargetMode="External"/><Relationship Id="rId12" Type="http://schemas.openxmlformats.org/officeDocument/2006/relationships/hyperlink" Target="https://docs.un.org/fr/CERD/C/SRB/6-9" TargetMode="External"/><Relationship Id="rId17" Type="http://schemas.openxmlformats.org/officeDocument/2006/relationships/hyperlink" Target="https://docs.un.org/fr/CERD/C/SRB/CO/2-5" TargetMode="External"/><Relationship Id="rId25" Type="http://schemas.openxmlformats.org/officeDocument/2006/relationships/hyperlink" Target="https://docs.un.org/fr/CERD/C/SRB/CO/2-5" TargetMode="External"/><Relationship Id="rId33" Type="http://schemas.openxmlformats.org/officeDocument/2006/relationships/hyperlink" Target="https://docs.un.org/en/CERD/C/SRB/6-9" TargetMode="External"/><Relationship Id="rId38" Type="http://schemas.openxmlformats.org/officeDocument/2006/relationships/hyperlink" Target="https://docs.un.org/fr/CERD/C/SRB/CO/2-5" TargetMode="External"/><Relationship Id="rId46" Type="http://schemas.openxmlformats.org/officeDocument/2006/relationships/hyperlink" Target="https://docs.un.org/en/CERD/C/SRB/CO/2-5" TargetMode="External"/><Relationship Id="rId2" Type="http://schemas.openxmlformats.org/officeDocument/2006/relationships/hyperlink" Target="https://docs.un.org/en/A/65/18" TargetMode="External"/><Relationship Id="rId16" Type="http://schemas.openxmlformats.org/officeDocument/2006/relationships/hyperlink" Target="https://docs.un.org/en/CERD/C/SRB/6-9" TargetMode="External"/><Relationship Id="rId20" Type="http://schemas.openxmlformats.org/officeDocument/2006/relationships/hyperlink" Target="https://docs.un.org/en/CERD/C/SRB/6-9" TargetMode="External"/><Relationship Id="rId29" Type="http://schemas.openxmlformats.org/officeDocument/2006/relationships/hyperlink" Target="https://docs.un.org/en/CERD/C/SRB/6-9" TargetMode="External"/><Relationship Id="rId41" Type="http://schemas.openxmlformats.org/officeDocument/2006/relationships/hyperlink" Target="https://docs.un.org/en/CERD/C/SRB/6-9" TargetMode="External"/><Relationship Id="rId54" Type="http://schemas.openxmlformats.org/officeDocument/2006/relationships/hyperlink" Target="https://docs.un.org/fr/CERD/C/SRB/6-9" TargetMode="External"/><Relationship Id="rId1" Type="http://schemas.openxmlformats.org/officeDocument/2006/relationships/hyperlink" Target="https://docs.un.org/fr/A/65/18" TargetMode="External"/><Relationship Id="rId6" Type="http://schemas.openxmlformats.org/officeDocument/2006/relationships/hyperlink" Target="https://docs.un.org/fr/CERD/C/SRB/6-9" TargetMode="External"/><Relationship Id="rId11" Type="http://schemas.openxmlformats.org/officeDocument/2006/relationships/hyperlink" Target="https://docs.un.org/fr/CERD/C/SRB/CO/2-5" TargetMode="External"/><Relationship Id="rId24" Type="http://schemas.openxmlformats.org/officeDocument/2006/relationships/hyperlink" Target="https://docs.un.org/en/CERD/C/SRB/6-9" TargetMode="External"/><Relationship Id="rId32" Type="http://schemas.openxmlformats.org/officeDocument/2006/relationships/hyperlink" Target="https://docs.un.org/en/CERD/C/SRB/CO/2-5" TargetMode="External"/><Relationship Id="rId37" Type="http://schemas.openxmlformats.org/officeDocument/2006/relationships/hyperlink" Target="https://docs.un.org/en/CERD/C/SRB/6-9" TargetMode="External"/><Relationship Id="rId40" Type="http://schemas.openxmlformats.org/officeDocument/2006/relationships/hyperlink" Target="https://docs.un.org/en/CERD/C/SRB/CO/2-5" TargetMode="External"/><Relationship Id="rId45" Type="http://schemas.openxmlformats.org/officeDocument/2006/relationships/hyperlink" Target="https://docs.un.org/fr/CERD/C/SRB/6-9" TargetMode="External"/><Relationship Id="rId53" Type="http://schemas.openxmlformats.org/officeDocument/2006/relationships/hyperlink" Target="https://docs.un.org/en/CERD/C/SRB/6-9" TargetMode="External"/><Relationship Id="rId5" Type="http://schemas.openxmlformats.org/officeDocument/2006/relationships/hyperlink" Target="https://docs.un.org/fr/CERD/C/SRB/CO/2-5" TargetMode="External"/><Relationship Id="rId15" Type="http://schemas.openxmlformats.org/officeDocument/2006/relationships/hyperlink" Target="https://docs.un.org/fr/CERD/C/SRB/6-9" TargetMode="External"/><Relationship Id="rId23" Type="http://schemas.openxmlformats.org/officeDocument/2006/relationships/hyperlink" Target="https://docs.un.org/en/CERD/C/SRB/CO/2-5" TargetMode="External"/><Relationship Id="rId28" Type="http://schemas.openxmlformats.org/officeDocument/2006/relationships/hyperlink" Target="https://docs.un.org/fr/CERD/C/SRB/6-9" TargetMode="External"/><Relationship Id="rId36" Type="http://schemas.openxmlformats.org/officeDocument/2006/relationships/hyperlink" Target="https://docs.un.org/en/CERD/C/SRB/CO/2-5" TargetMode="External"/><Relationship Id="rId49" Type="http://schemas.openxmlformats.org/officeDocument/2006/relationships/hyperlink" Target="https://docs.un.org/en/CERD/C/SRB/6-9" TargetMode="External"/><Relationship Id="rId10" Type="http://schemas.openxmlformats.org/officeDocument/2006/relationships/hyperlink" Target="https://docs.un.org/en/CERD/C/SRB/6-9" TargetMode="External"/><Relationship Id="rId19" Type="http://schemas.openxmlformats.org/officeDocument/2006/relationships/hyperlink" Target="https://docs.un.org/en/CERD/C/SRB/CO/2-5" TargetMode="External"/><Relationship Id="rId31" Type="http://schemas.openxmlformats.org/officeDocument/2006/relationships/hyperlink" Target="https://docs.un.org/fr/CERD/C/SRB/6-9" TargetMode="External"/><Relationship Id="rId44" Type="http://schemas.openxmlformats.org/officeDocument/2006/relationships/hyperlink" Target="https://docs.un.org/fr/CERD/C/SRB/CO/2-5" TargetMode="External"/><Relationship Id="rId52" Type="http://schemas.openxmlformats.org/officeDocument/2006/relationships/hyperlink" Target="https://docs.un.org/en/CERD/C/SRB/CO/2-5" TargetMode="External"/><Relationship Id="rId4" Type="http://schemas.openxmlformats.org/officeDocument/2006/relationships/hyperlink" Target="https://docs.un.org/en/CERD/C/SRB/6-9" TargetMode="External"/><Relationship Id="rId9" Type="http://schemas.openxmlformats.org/officeDocument/2006/relationships/hyperlink" Target="https://docs.un.org/fr/CERD/C/SRB/6-9" TargetMode="External"/><Relationship Id="rId14" Type="http://schemas.openxmlformats.org/officeDocument/2006/relationships/hyperlink" Target="https://docs.un.org/en/CERD/C/SRB/6-9" TargetMode="External"/><Relationship Id="rId22" Type="http://schemas.openxmlformats.org/officeDocument/2006/relationships/hyperlink" Target="https://docs.un.org/fr/CERD/C/SRB/6-9" TargetMode="External"/><Relationship Id="rId27" Type="http://schemas.openxmlformats.org/officeDocument/2006/relationships/hyperlink" Target="https://docs.un.org/en/CERD/C/SRB/CO/2-5" TargetMode="External"/><Relationship Id="rId30" Type="http://schemas.openxmlformats.org/officeDocument/2006/relationships/hyperlink" Target="https://docs.un.org/fr/CERD/C/SRB/CO/2-5" TargetMode="External"/><Relationship Id="rId35" Type="http://schemas.openxmlformats.org/officeDocument/2006/relationships/hyperlink" Target="https://docs.un.org/fr/CERD/C/SRB/6-9" TargetMode="External"/><Relationship Id="rId43" Type="http://schemas.openxmlformats.org/officeDocument/2006/relationships/hyperlink" Target="https://docs.un.org/en/CERD/C/SRB/6-9" TargetMode="External"/><Relationship Id="rId48" Type="http://schemas.openxmlformats.org/officeDocument/2006/relationships/hyperlink" Target="https://docs.un.org/fr/CERD/C/SRB/6-9" TargetMode="External"/><Relationship Id="rId8" Type="http://schemas.openxmlformats.org/officeDocument/2006/relationships/hyperlink" Target="https://docs.un.org/en/CERD/C/SRB/6-9" TargetMode="External"/><Relationship Id="rId51" Type="http://schemas.openxmlformats.org/officeDocument/2006/relationships/hyperlink" Target="https://docs.un.org/fr/CERD/C/SRB/6-9" TargetMode="External"/><Relationship Id="rId3" Type="http://schemas.openxmlformats.org/officeDocument/2006/relationships/hyperlink" Target="https://docs.un.org/fr/CERD/C/SRB/6-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3</Pages>
  <Words>992</Words>
  <Characters>6947</Characters>
  <Application>Microsoft Office Word</Application>
  <DocSecurity>0</DocSecurity>
  <Lines>463</Lines>
  <Paragraphs>168</Paragraphs>
  <ScaleCrop>false</ScaleCrop>
  <HeadingPairs>
    <vt:vector size="2" baseType="variant">
      <vt:variant>
        <vt:lpstr>Titre</vt:lpstr>
      </vt:variant>
      <vt:variant>
        <vt:i4>1</vt:i4>
      </vt:variant>
    </vt:vector>
  </HeadingPairs>
  <TitlesOfParts>
    <vt:vector size="1" baseType="lpstr">
      <vt:lpstr>CERD/C/SRB/Q/6-9</vt:lpstr>
    </vt:vector>
  </TitlesOfParts>
  <Company>DCM</Company>
  <LinksUpToDate>false</LinksUpToDate>
  <CharactersWithSpaces>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CERD/C/SRB/Q/6-9</dc:title>
  <dc:subject/>
  <dc:creator>Maud DARICHE</dc:creator>
  <cp:keywords/>
  <cp:lastModifiedBy>Maud DARICHE</cp:lastModifiedBy>
  <cp:revision>4</cp:revision>
  <cp:lastPrinted>2026-03-06T08:56:00Z</cp:lastPrinted>
  <dcterms:created xsi:type="dcterms:W3CDTF">2026-03-06T08:56:00Z</dcterms:created>
  <dcterms:modified xsi:type="dcterms:W3CDTF">2026-03-06T08:56:00Z</dcterms:modified>
</cp:coreProperties>
</file>