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C77" w:rsidRDefault="00F91C77" w:rsidP="00F91C77">
      <w:pPr>
        <w:spacing w:line="60" w:lineRule="exact"/>
        <w:rPr>
          <w:sz w:val="6"/>
        </w:rPr>
        <w:sectPr w:rsidR="00F91C77" w:rsidSect="00F91C7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F91C77" w:rsidRDefault="00F91C77" w:rsidP="00F91C77">
      <w:pPr>
        <w:spacing w:line="60" w:lineRule="exact"/>
        <w:rPr>
          <w:rFonts w:hint="eastAsia"/>
          <w:sz w:val="6"/>
        </w:rPr>
      </w:pPr>
    </w:p>
    <w:p w:rsidR="008479E5"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8479E5" w:rsidRPr="002B0E73" w:rsidRDefault="008479E5" w:rsidP="008479E5">
      <w:pPr>
        <w:pStyle w:val="SingleTxt"/>
        <w:spacing w:after="0" w:line="120" w:lineRule="exact"/>
        <w:rPr>
          <w:rFonts w:hint="eastAsia"/>
          <w:sz w:val="10"/>
        </w:rPr>
      </w:pPr>
    </w:p>
    <w:p w:rsidR="008479E5" w:rsidRPr="002B0E73" w:rsidRDefault="008479E5" w:rsidP="008479E5">
      <w:pPr>
        <w:pStyle w:val="SingleTxt"/>
        <w:spacing w:after="0" w:line="120" w:lineRule="exact"/>
        <w:rPr>
          <w:rFonts w:hint="eastAsia"/>
          <w:sz w:val="10"/>
        </w:rPr>
      </w:pPr>
    </w:p>
    <w:p w:rsidR="008479E5" w:rsidRPr="002B0E73" w:rsidRDefault="008479E5" w:rsidP="008479E5">
      <w:pPr>
        <w:pStyle w:val="SingleTxt"/>
        <w:spacing w:after="0" w:line="120" w:lineRule="exact"/>
        <w:rPr>
          <w:rFonts w:hint="eastAsia"/>
          <w:sz w:val="10"/>
        </w:rPr>
      </w:pP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审议缔约国根据《消除对妇女一切形式歧视公约》第18条提交的报告</w:t>
      </w:r>
    </w:p>
    <w:p w:rsidR="008479E5" w:rsidRPr="002B0E73"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Pr="002B0E73"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第五次定期报告</w:t>
      </w:r>
    </w:p>
    <w:p w:rsidR="008479E5" w:rsidRPr="002B0E73"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Pr="002B0E73"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巴哈马</w:t>
      </w:r>
    </w:p>
    <w:p w:rsidR="008479E5" w:rsidRPr="002B0E73"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Pr="002B0E73"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Default="00A85FBB"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8479E5">
        <w:rPr>
          <w:rFonts w:hint="eastAsia"/>
        </w:rPr>
        <w:tab/>
      </w:r>
      <w:r w:rsidR="008479E5">
        <w:rPr>
          <w:rFonts w:hint="eastAsia"/>
        </w:rPr>
        <w:tab/>
        <w:t>导言</w:t>
      </w:r>
    </w:p>
    <w:p w:rsidR="008479E5" w:rsidRPr="002B0E73" w:rsidRDefault="008479E5" w:rsidP="008479E5">
      <w:pPr>
        <w:pStyle w:val="SingleTxt"/>
        <w:spacing w:after="0" w:line="120" w:lineRule="exact"/>
        <w:rPr>
          <w:rFonts w:hint="eastAsia"/>
          <w:sz w:val="10"/>
        </w:rPr>
      </w:pPr>
    </w:p>
    <w:p w:rsidR="008479E5" w:rsidRPr="002B0E73"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ab/>
        <w:t>巴哈马国政府作为《消除对妇女一切形式歧视公约》缔约国，并为履行其中第18条规定的义务，提交涉及2009年7月1日至2010年12月31日期间的第五次定期报告。</w:t>
      </w:r>
    </w:p>
    <w:p w:rsidR="008479E5" w:rsidRDefault="008479E5" w:rsidP="008479E5">
      <w:pPr>
        <w:pStyle w:val="SingleTxt"/>
        <w:rPr>
          <w:rFonts w:hint="eastAsia"/>
        </w:rPr>
      </w:pPr>
      <w:r>
        <w:rPr>
          <w:rFonts w:hint="eastAsia"/>
        </w:rPr>
        <w:tab/>
        <w:t>《公约》于1993年10月6日获得巴哈马国批准。通过批准《公约》，巴哈马国表明打算在本国建立一个有包容性的社会秩序，确认有必要在日常生活的各个方面提高妇女的法律地位，并让妇女更多参与巴哈马的发展。</w:t>
      </w:r>
    </w:p>
    <w:p w:rsidR="008479E5" w:rsidRPr="002B0E73" w:rsidRDefault="008479E5" w:rsidP="008479E5">
      <w:pPr>
        <w:pStyle w:val="SingleTxt"/>
        <w:rPr>
          <w:rFonts w:ascii="SimHei" w:eastAsia="SimHei" w:hint="eastAsia"/>
        </w:rPr>
      </w:pPr>
      <w:r w:rsidRPr="002B0E73">
        <w:rPr>
          <w:rFonts w:ascii="SimHei" w:eastAsia="SimHei" w:hint="eastAsia"/>
        </w:rPr>
        <w:t>对《公约》的保留</w:t>
      </w:r>
    </w:p>
    <w:p w:rsidR="008479E5" w:rsidRDefault="008479E5" w:rsidP="008479E5">
      <w:pPr>
        <w:pStyle w:val="SingleTxt"/>
        <w:rPr>
          <w:rFonts w:hint="eastAsia"/>
        </w:rPr>
      </w:pPr>
      <w:r>
        <w:rPr>
          <w:rFonts w:hint="eastAsia"/>
        </w:rPr>
        <w:tab/>
        <w:t>巴哈马国政府认为本国不受公约第2(a)条、第9条第2款、第16(h)条和第29条第1款的约束。《消除对妇女一切形式歧视公约》于1993年10月6日获得巴哈马国批准。</w:t>
      </w:r>
    </w:p>
    <w:p w:rsidR="008479E5" w:rsidRDefault="008479E5" w:rsidP="008479E5">
      <w:pPr>
        <w:pStyle w:val="SingleTxt"/>
        <w:rPr>
          <w:rFonts w:hint="eastAsia"/>
        </w:rPr>
      </w:pPr>
      <w:r>
        <w:rPr>
          <w:rFonts w:hint="eastAsia"/>
        </w:rPr>
        <w:tab/>
        <w:t>本报告分为两部分。第一部分介绍巴哈马国的下列概况：人口；家庭组成；经济特点；就业；国际移民组织和联合国发展指数。</w:t>
      </w:r>
    </w:p>
    <w:p w:rsidR="008479E5" w:rsidRDefault="008479E5" w:rsidP="008479E5">
      <w:pPr>
        <w:pStyle w:val="SingleTxt"/>
        <w:rPr>
          <w:rFonts w:hint="eastAsia"/>
        </w:rPr>
      </w:pPr>
      <w:r>
        <w:rPr>
          <w:rFonts w:hint="eastAsia"/>
        </w:rPr>
        <w:tab/>
        <w:t>第二部分涉及《消除对妇女一切形式歧视公约》第16条，其中介绍在报告所述期间采取的举措和各项发展。</w:t>
      </w:r>
    </w:p>
    <w:p w:rsidR="008479E5" w:rsidRDefault="008479E5" w:rsidP="008479E5">
      <w:pPr>
        <w:pStyle w:val="SingleTxt"/>
        <w:rPr>
          <w:rFonts w:hint="eastAsia"/>
        </w:rPr>
      </w:pPr>
      <w:r>
        <w:rPr>
          <w:rFonts w:hint="eastAsia"/>
        </w:rPr>
        <w:tab/>
        <w:t>巴哈马的第五次定期报告由妇女事务局和外交部同下列各部/机构和非政府组织协作编写：总检察长办公室；教育部；卫生部；国家安全部；劳工局；移民局；统计局；巴哈马中央银行；巴哈马学院；巴哈马危机中心；巴哈马计划生育协会；妇女咨询理事会；妇女每月论坛；一些宗教组织。</w:t>
      </w:r>
    </w:p>
    <w:p w:rsidR="008479E5" w:rsidRDefault="008479E5" w:rsidP="008479E5">
      <w:pPr>
        <w:pStyle w:val="SingleTxt"/>
        <w:rPr>
          <w:rFonts w:hint="eastAsia"/>
        </w:rPr>
      </w:pPr>
      <w:r>
        <w:rPr>
          <w:rFonts w:hint="eastAsia"/>
        </w:rPr>
        <w:tab/>
        <w:t>编写工作得到了广泛协作，不仅有热烈的讨论，而且有发人深思的反馈和评论意见。总而言之，这个过程丰富了交流，对参加者起到了启发作用。</w:t>
      </w:r>
    </w:p>
    <w:p w:rsidR="008479E5" w:rsidRDefault="008479E5" w:rsidP="008479E5">
      <w:pPr>
        <w:pStyle w:val="SingleTxt"/>
        <w:rPr>
          <w:rFonts w:hint="eastAsia"/>
        </w:rPr>
      </w:pPr>
      <w:r>
        <w:rPr>
          <w:rFonts w:hint="eastAsia"/>
        </w:rPr>
        <w:tab/>
        <w:t>这次报告和上一次报告之间的时间间隔很短，基本上为一年半。因此，报告中载列的关于一些条款下发展情况的大量资料保持不变，这特别是由于两次报告所述期间都是在同一届政府的任期内结束。</w:t>
      </w:r>
    </w:p>
    <w:p w:rsidR="008479E5" w:rsidRDefault="008479E5" w:rsidP="008479E5">
      <w:pPr>
        <w:pStyle w:val="SingleTxt"/>
        <w:rPr>
          <w:rFonts w:hint="eastAsia"/>
        </w:rPr>
      </w:pPr>
      <w:r>
        <w:rPr>
          <w:rFonts w:hint="eastAsia"/>
        </w:rPr>
        <w:tab/>
        <w:t>最后，巴哈马国政府承诺确保建立适当的机制，以帮助在整个巴哈马群岛建立有利于促进妇女平等的环境。</w:t>
      </w:r>
    </w:p>
    <w:p w:rsidR="008479E5" w:rsidRDefault="008479E5" w:rsidP="008479E5">
      <w:pPr>
        <w:pStyle w:val="HCh6"/>
      </w:pPr>
      <w:r>
        <w:br w:type="page"/>
      </w:r>
      <w:r>
        <w:rPr>
          <w:rFonts w:hint="eastAsia"/>
        </w:rPr>
        <w:t>目录</w:t>
      </w:r>
    </w:p>
    <w:tbl>
      <w:tblPr>
        <w:tblW w:w="9902" w:type="dxa"/>
        <w:tblLayout w:type="fixed"/>
        <w:tblCellMar>
          <w:left w:w="0" w:type="dxa"/>
          <w:right w:w="0" w:type="dxa"/>
        </w:tblCellMar>
        <w:tblLook w:val="0000" w:firstRow="0" w:lastRow="0" w:firstColumn="0" w:lastColumn="0" w:noHBand="0" w:noVBand="0"/>
      </w:tblPr>
      <w:tblGrid>
        <w:gridCol w:w="1059"/>
        <w:gridCol w:w="8306"/>
        <w:gridCol w:w="537"/>
      </w:tblGrid>
      <w:tr w:rsidR="008479E5" w:rsidRPr="00E53517" w:rsidTr="00A65DD4">
        <w:tblPrEx>
          <w:tblCellMar>
            <w:top w:w="0" w:type="dxa"/>
            <w:bottom w:w="0" w:type="dxa"/>
          </w:tblCellMar>
        </w:tblPrEx>
        <w:tc>
          <w:tcPr>
            <w:tcW w:w="1059" w:type="dxa"/>
          </w:tcPr>
          <w:p w:rsidR="008479E5" w:rsidRPr="00E53517" w:rsidRDefault="008479E5" w:rsidP="001C2EF2">
            <w:pPr>
              <w:pStyle w:val="GB23126"/>
            </w:pPr>
          </w:p>
        </w:tc>
        <w:tc>
          <w:tcPr>
            <w:tcW w:w="8306" w:type="dxa"/>
          </w:tcPr>
          <w:p w:rsidR="008479E5" w:rsidRPr="00E53517" w:rsidRDefault="008479E5" w:rsidP="001C2EF2">
            <w:pPr>
              <w:spacing w:after="120" w:line="240" w:lineRule="auto"/>
              <w:rPr>
                <w:rFonts w:eastAsia="KaiTi_GB2312"/>
                <w:color w:val="0000FF"/>
                <w:sz w:val="15"/>
                <w:szCs w:val="15"/>
              </w:rPr>
            </w:pPr>
          </w:p>
        </w:tc>
        <w:tc>
          <w:tcPr>
            <w:tcW w:w="537" w:type="dxa"/>
            <w:shd w:val="clear" w:color="auto" w:fill="auto"/>
          </w:tcPr>
          <w:p w:rsidR="008479E5" w:rsidRPr="00E53517" w:rsidRDefault="008479E5" w:rsidP="001C2EF2">
            <w:pPr>
              <w:pStyle w:val="GB23126"/>
            </w:pPr>
            <w:r w:rsidRPr="00E53517">
              <w:rPr>
                <w:rFonts w:hint="eastAsia"/>
              </w:rPr>
              <w:t>页次</w:t>
            </w:r>
          </w:p>
        </w:tc>
      </w:tr>
      <w:tr w:rsidR="00A65DD4" w:rsidRPr="00E53517" w:rsidTr="00885365">
        <w:tblPrEx>
          <w:tblCellMar>
            <w:top w:w="0" w:type="dxa"/>
            <w:bottom w:w="0" w:type="dxa"/>
          </w:tblCellMar>
        </w:tblPrEx>
        <w:tc>
          <w:tcPr>
            <w:tcW w:w="9365" w:type="dxa"/>
            <w:gridSpan w:val="2"/>
          </w:tcPr>
          <w:p w:rsidR="00A65DD4" w:rsidRPr="00A65DD4" w:rsidRDefault="00A65DD4" w:rsidP="00A85FBB">
            <w:pPr>
              <w:tabs>
                <w:tab w:val="right" w:pos="1080"/>
                <w:tab w:val="right" w:leader="dot" w:pos="8381"/>
              </w:tabs>
              <w:spacing w:after="140"/>
              <w:ind w:left="560" w:hanging="238"/>
              <w:rPr>
                <w:rFonts w:ascii="SimHei" w:eastAsia="SimHei" w:hint="eastAsia"/>
                <w:color w:val="0000FF"/>
                <w:sz w:val="15"/>
                <w:szCs w:val="15"/>
              </w:rPr>
            </w:pPr>
            <w:r w:rsidRPr="00A65DD4">
              <w:rPr>
                <w:rFonts w:ascii="SimHei" w:eastAsia="SimHei" w:hint="eastAsia"/>
              </w:rPr>
              <w:t>第一部分　巴哈马国总体情况</w:t>
            </w:r>
          </w:p>
        </w:tc>
        <w:tc>
          <w:tcPr>
            <w:tcW w:w="537" w:type="dxa"/>
            <w:shd w:val="clear" w:color="auto" w:fill="auto"/>
          </w:tcPr>
          <w:p w:rsidR="00A65DD4" w:rsidRPr="00E53517" w:rsidRDefault="00A65DD4" w:rsidP="001C2EF2">
            <w:pPr>
              <w:pStyle w:val="GB23126"/>
              <w:rPr>
                <w:rFonts w:hint="eastAsia"/>
              </w:rPr>
            </w:pPr>
          </w:p>
        </w:tc>
      </w:tr>
      <w:tr w:rsidR="008479E5" w:rsidTr="008479E5">
        <w:tblPrEx>
          <w:tblCellMar>
            <w:top w:w="0" w:type="dxa"/>
            <w:bottom w:w="0" w:type="dxa"/>
          </w:tblCellMar>
        </w:tblPrEx>
        <w:trPr>
          <w:cantSplit/>
        </w:trPr>
        <w:tc>
          <w:tcPr>
            <w:tcW w:w="9365" w:type="dxa"/>
            <w:gridSpan w:val="2"/>
          </w:tcPr>
          <w:p w:rsidR="008479E5" w:rsidRDefault="008479E5" w:rsidP="008479E5">
            <w:pPr>
              <w:numPr>
                <w:ilvl w:val="0"/>
                <w:numId w:val="1"/>
              </w:numPr>
              <w:tabs>
                <w:tab w:val="right" w:pos="1080"/>
                <w:tab w:val="right" w:leader="dot" w:pos="9365"/>
              </w:tabs>
              <w:spacing w:after="140"/>
            </w:pPr>
            <w:r>
              <w:tab/>
            </w:r>
            <w:r w:rsidR="00A65DD4">
              <w:rPr>
                <w:rFonts w:hint="eastAsia"/>
              </w:rPr>
              <w:t>导言</w:t>
            </w:r>
            <w:r>
              <w:tab/>
            </w:r>
          </w:p>
        </w:tc>
        <w:tc>
          <w:tcPr>
            <w:tcW w:w="537" w:type="dxa"/>
            <w:shd w:val="clear" w:color="auto" w:fill="auto"/>
            <w:vAlign w:val="bottom"/>
          </w:tcPr>
          <w:p w:rsidR="008479E5" w:rsidRDefault="00A65DD4" w:rsidP="001C2EF2">
            <w:pPr>
              <w:spacing w:after="140"/>
              <w:ind w:right="28"/>
              <w:jc w:val="right"/>
              <w:rPr>
                <w:rFonts w:hint="eastAsia"/>
              </w:rPr>
            </w:pPr>
            <w:r>
              <w:rPr>
                <w:rFonts w:hint="eastAsia"/>
              </w:rPr>
              <w:t>5</w:t>
            </w:r>
          </w:p>
        </w:tc>
      </w:tr>
      <w:tr w:rsidR="008479E5" w:rsidTr="008479E5">
        <w:tblPrEx>
          <w:tblCellMar>
            <w:top w:w="0" w:type="dxa"/>
            <w:bottom w:w="0" w:type="dxa"/>
          </w:tblCellMar>
        </w:tblPrEx>
        <w:trPr>
          <w:cantSplit/>
        </w:trPr>
        <w:tc>
          <w:tcPr>
            <w:tcW w:w="9365" w:type="dxa"/>
            <w:gridSpan w:val="2"/>
          </w:tcPr>
          <w:p w:rsidR="008479E5" w:rsidRDefault="008479E5" w:rsidP="008479E5">
            <w:pPr>
              <w:numPr>
                <w:ilvl w:val="0"/>
                <w:numId w:val="1"/>
              </w:numPr>
              <w:tabs>
                <w:tab w:val="clear" w:pos="1296"/>
                <w:tab w:val="right" w:pos="1080"/>
                <w:tab w:val="right" w:leader="dot" w:pos="9371"/>
              </w:tabs>
              <w:spacing w:after="140"/>
            </w:pPr>
            <w:r>
              <w:rPr>
                <w:rFonts w:hint="eastAsia"/>
              </w:rPr>
              <w:tab/>
            </w:r>
            <w:r w:rsidR="00A65DD4">
              <w:rPr>
                <w:rFonts w:hint="eastAsia"/>
              </w:rPr>
              <w:t>地理</w:t>
            </w:r>
            <w:r>
              <w:tab/>
            </w:r>
          </w:p>
        </w:tc>
        <w:tc>
          <w:tcPr>
            <w:tcW w:w="537" w:type="dxa"/>
            <w:shd w:val="clear" w:color="auto" w:fill="auto"/>
            <w:vAlign w:val="bottom"/>
          </w:tcPr>
          <w:p w:rsidR="008479E5" w:rsidRDefault="00A65DD4" w:rsidP="001C2EF2">
            <w:pPr>
              <w:spacing w:after="140"/>
              <w:ind w:right="28"/>
              <w:jc w:val="right"/>
              <w:rPr>
                <w:rFonts w:hint="eastAsia"/>
              </w:rPr>
            </w:pPr>
            <w:r>
              <w:rPr>
                <w:rFonts w:hint="eastAsia"/>
              </w:rPr>
              <w:t>5</w:t>
            </w:r>
          </w:p>
        </w:tc>
      </w:tr>
      <w:tr w:rsidR="00A65DD4" w:rsidTr="008479E5">
        <w:tblPrEx>
          <w:tblCellMar>
            <w:top w:w="0" w:type="dxa"/>
            <w:bottom w:w="0" w:type="dxa"/>
          </w:tblCellMar>
        </w:tblPrEx>
        <w:trPr>
          <w:cantSplit/>
        </w:trPr>
        <w:tc>
          <w:tcPr>
            <w:tcW w:w="9365" w:type="dxa"/>
            <w:gridSpan w:val="2"/>
          </w:tcPr>
          <w:p w:rsidR="00A65DD4" w:rsidRDefault="00A65DD4" w:rsidP="008479E5">
            <w:pPr>
              <w:numPr>
                <w:ilvl w:val="0"/>
                <w:numId w:val="1"/>
              </w:numPr>
              <w:tabs>
                <w:tab w:val="clear" w:pos="1296"/>
                <w:tab w:val="right" w:pos="1080"/>
                <w:tab w:val="right" w:leader="dot" w:pos="9371"/>
              </w:tabs>
              <w:spacing w:after="140"/>
              <w:rPr>
                <w:rFonts w:hint="eastAsia"/>
              </w:rPr>
            </w:pPr>
            <w:r>
              <w:tab/>
            </w:r>
            <w:r>
              <w:rPr>
                <w:rFonts w:hint="eastAsia"/>
              </w:rPr>
              <w:t>历史</w:t>
            </w:r>
            <w:r>
              <w:tab/>
            </w:r>
          </w:p>
        </w:tc>
        <w:tc>
          <w:tcPr>
            <w:tcW w:w="537" w:type="dxa"/>
            <w:shd w:val="clear" w:color="auto" w:fill="auto"/>
            <w:vAlign w:val="bottom"/>
          </w:tcPr>
          <w:p w:rsidR="00A65DD4" w:rsidRDefault="00A65DD4" w:rsidP="001C2EF2">
            <w:pPr>
              <w:spacing w:after="140"/>
              <w:ind w:right="28"/>
              <w:jc w:val="right"/>
              <w:rPr>
                <w:rFonts w:hint="eastAsia"/>
              </w:rPr>
            </w:pPr>
            <w:r>
              <w:rPr>
                <w:rFonts w:hint="eastAsia"/>
              </w:rPr>
              <w:t>5</w:t>
            </w:r>
          </w:p>
        </w:tc>
      </w:tr>
      <w:tr w:rsidR="00A65DD4" w:rsidTr="008479E5">
        <w:tblPrEx>
          <w:tblCellMar>
            <w:top w:w="0" w:type="dxa"/>
            <w:bottom w:w="0" w:type="dxa"/>
          </w:tblCellMar>
        </w:tblPrEx>
        <w:trPr>
          <w:cantSplit/>
        </w:trPr>
        <w:tc>
          <w:tcPr>
            <w:tcW w:w="9365" w:type="dxa"/>
            <w:gridSpan w:val="2"/>
          </w:tcPr>
          <w:p w:rsidR="00A65DD4" w:rsidRDefault="00A65DD4" w:rsidP="008479E5">
            <w:pPr>
              <w:numPr>
                <w:ilvl w:val="0"/>
                <w:numId w:val="1"/>
              </w:numPr>
              <w:tabs>
                <w:tab w:val="clear" w:pos="1296"/>
                <w:tab w:val="right" w:pos="1080"/>
                <w:tab w:val="right" w:leader="dot" w:pos="9371"/>
              </w:tabs>
              <w:spacing w:after="140"/>
              <w:rPr>
                <w:rFonts w:hint="eastAsia"/>
              </w:rPr>
            </w:pPr>
            <w:r>
              <w:tab/>
            </w:r>
            <w:r>
              <w:rPr>
                <w:rFonts w:hint="eastAsia"/>
              </w:rPr>
              <w:t>人口</w:t>
            </w:r>
            <w:r>
              <w:tab/>
            </w:r>
          </w:p>
        </w:tc>
        <w:tc>
          <w:tcPr>
            <w:tcW w:w="537" w:type="dxa"/>
            <w:shd w:val="clear" w:color="auto" w:fill="auto"/>
            <w:vAlign w:val="bottom"/>
          </w:tcPr>
          <w:p w:rsidR="00A65DD4" w:rsidRDefault="00A65DD4" w:rsidP="001C2EF2">
            <w:pPr>
              <w:spacing w:after="140"/>
              <w:ind w:right="28"/>
              <w:jc w:val="right"/>
              <w:rPr>
                <w:rFonts w:hint="eastAsia"/>
              </w:rPr>
            </w:pPr>
            <w:r>
              <w:rPr>
                <w:rFonts w:hint="eastAsia"/>
              </w:rPr>
              <w:t>5</w:t>
            </w:r>
          </w:p>
        </w:tc>
      </w:tr>
      <w:tr w:rsidR="00A65DD4" w:rsidTr="008479E5">
        <w:tblPrEx>
          <w:tblCellMar>
            <w:top w:w="0" w:type="dxa"/>
            <w:bottom w:w="0" w:type="dxa"/>
          </w:tblCellMar>
        </w:tblPrEx>
        <w:trPr>
          <w:cantSplit/>
        </w:trPr>
        <w:tc>
          <w:tcPr>
            <w:tcW w:w="9365" w:type="dxa"/>
            <w:gridSpan w:val="2"/>
          </w:tcPr>
          <w:p w:rsidR="00A65DD4" w:rsidRDefault="00A65DD4" w:rsidP="008479E5">
            <w:pPr>
              <w:numPr>
                <w:ilvl w:val="0"/>
                <w:numId w:val="1"/>
              </w:numPr>
              <w:tabs>
                <w:tab w:val="clear" w:pos="1296"/>
                <w:tab w:val="right" w:pos="1080"/>
                <w:tab w:val="right" w:leader="dot" w:pos="9371"/>
              </w:tabs>
              <w:spacing w:after="140"/>
              <w:rPr>
                <w:rFonts w:hint="eastAsia"/>
              </w:rPr>
            </w:pPr>
            <w:r>
              <w:tab/>
            </w:r>
            <w:r>
              <w:rPr>
                <w:rFonts w:hint="eastAsia"/>
              </w:rPr>
              <w:t>户主的构成</w:t>
            </w:r>
            <w:r>
              <w:tab/>
            </w:r>
          </w:p>
        </w:tc>
        <w:tc>
          <w:tcPr>
            <w:tcW w:w="537" w:type="dxa"/>
            <w:shd w:val="clear" w:color="auto" w:fill="auto"/>
            <w:vAlign w:val="bottom"/>
          </w:tcPr>
          <w:p w:rsidR="00A65DD4" w:rsidRDefault="00A65DD4" w:rsidP="001C2EF2">
            <w:pPr>
              <w:spacing w:after="140"/>
              <w:ind w:right="28"/>
              <w:jc w:val="right"/>
              <w:rPr>
                <w:rFonts w:hint="eastAsia"/>
              </w:rPr>
            </w:pPr>
            <w:r>
              <w:rPr>
                <w:rFonts w:hint="eastAsia"/>
              </w:rPr>
              <w:t>8</w:t>
            </w:r>
          </w:p>
        </w:tc>
      </w:tr>
      <w:tr w:rsidR="00A65DD4" w:rsidTr="008479E5">
        <w:tblPrEx>
          <w:tblCellMar>
            <w:top w:w="0" w:type="dxa"/>
            <w:bottom w:w="0" w:type="dxa"/>
          </w:tblCellMar>
        </w:tblPrEx>
        <w:trPr>
          <w:cantSplit/>
        </w:trPr>
        <w:tc>
          <w:tcPr>
            <w:tcW w:w="9365" w:type="dxa"/>
            <w:gridSpan w:val="2"/>
          </w:tcPr>
          <w:p w:rsidR="00A65DD4" w:rsidRDefault="00A65DD4" w:rsidP="008479E5">
            <w:pPr>
              <w:numPr>
                <w:ilvl w:val="0"/>
                <w:numId w:val="1"/>
              </w:numPr>
              <w:tabs>
                <w:tab w:val="clear" w:pos="1296"/>
                <w:tab w:val="right" w:pos="1080"/>
                <w:tab w:val="right" w:leader="dot" w:pos="9371"/>
              </w:tabs>
              <w:spacing w:after="140"/>
              <w:rPr>
                <w:rFonts w:hint="eastAsia"/>
              </w:rPr>
            </w:pPr>
            <w:r>
              <w:tab/>
            </w:r>
            <w:r>
              <w:rPr>
                <w:rFonts w:hint="eastAsia"/>
              </w:rPr>
              <w:t>经济特点</w:t>
            </w:r>
            <w:r>
              <w:tab/>
            </w:r>
          </w:p>
        </w:tc>
        <w:tc>
          <w:tcPr>
            <w:tcW w:w="537" w:type="dxa"/>
            <w:shd w:val="clear" w:color="auto" w:fill="auto"/>
            <w:vAlign w:val="bottom"/>
          </w:tcPr>
          <w:p w:rsidR="00A65DD4" w:rsidRDefault="00A65DD4" w:rsidP="001C2EF2">
            <w:pPr>
              <w:spacing w:after="140"/>
              <w:ind w:right="28"/>
              <w:jc w:val="right"/>
              <w:rPr>
                <w:rFonts w:hint="eastAsia"/>
              </w:rPr>
            </w:pPr>
            <w:r>
              <w:rPr>
                <w:rFonts w:hint="eastAsia"/>
              </w:rPr>
              <w:t>9</w:t>
            </w:r>
          </w:p>
        </w:tc>
      </w:tr>
      <w:tr w:rsidR="00A65DD4" w:rsidTr="008479E5">
        <w:tblPrEx>
          <w:tblCellMar>
            <w:top w:w="0" w:type="dxa"/>
            <w:bottom w:w="0" w:type="dxa"/>
          </w:tblCellMar>
        </w:tblPrEx>
        <w:trPr>
          <w:cantSplit/>
        </w:trPr>
        <w:tc>
          <w:tcPr>
            <w:tcW w:w="9365" w:type="dxa"/>
            <w:gridSpan w:val="2"/>
          </w:tcPr>
          <w:p w:rsidR="00A65DD4" w:rsidRDefault="00A65DD4" w:rsidP="008479E5">
            <w:pPr>
              <w:numPr>
                <w:ilvl w:val="0"/>
                <w:numId w:val="1"/>
              </w:numPr>
              <w:tabs>
                <w:tab w:val="clear" w:pos="1296"/>
                <w:tab w:val="right" w:pos="1080"/>
                <w:tab w:val="right" w:leader="dot" w:pos="9371"/>
              </w:tabs>
              <w:spacing w:after="140"/>
              <w:rPr>
                <w:rFonts w:hint="eastAsia"/>
              </w:rPr>
            </w:pPr>
            <w:r>
              <w:tab/>
            </w:r>
            <w:r>
              <w:rPr>
                <w:rFonts w:hint="eastAsia"/>
              </w:rPr>
              <w:t>旅游</w:t>
            </w:r>
            <w:r>
              <w:tab/>
            </w:r>
          </w:p>
        </w:tc>
        <w:tc>
          <w:tcPr>
            <w:tcW w:w="537" w:type="dxa"/>
            <w:shd w:val="clear" w:color="auto" w:fill="auto"/>
            <w:vAlign w:val="bottom"/>
          </w:tcPr>
          <w:p w:rsidR="00A65DD4" w:rsidRDefault="00A65DD4" w:rsidP="001C2EF2">
            <w:pPr>
              <w:spacing w:after="140"/>
              <w:ind w:right="28"/>
              <w:jc w:val="right"/>
              <w:rPr>
                <w:rFonts w:hint="eastAsia"/>
              </w:rPr>
            </w:pPr>
            <w:r>
              <w:rPr>
                <w:rFonts w:hint="eastAsia"/>
              </w:rPr>
              <w:t>9</w:t>
            </w:r>
          </w:p>
        </w:tc>
      </w:tr>
      <w:tr w:rsidR="00A65DD4" w:rsidTr="008479E5">
        <w:tblPrEx>
          <w:tblCellMar>
            <w:top w:w="0" w:type="dxa"/>
            <w:bottom w:w="0" w:type="dxa"/>
          </w:tblCellMar>
        </w:tblPrEx>
        <w:trPr>
          <w:cantSplit/>
        </w:trPr>
        <w:tc>
          <w:tcPr>
            <w:tcW w:w="9365" w:type="dxa"/>
            <w:gridSpan w:val="2"/>
          </w:tcPr>
          <w:p w:rsidR="00A65DD4" w:rsidRDefault="00A65DD4" w:rsidP="008479E5">
            <w:pPr>
              <w:numPr>
                <w:ilvl w:val="0"/>
                <w:numId w:val="1"/>
              </w:numPr>
              <w:tabs>
                <w:tab w:val="clear" w:pos="1296"/>
                <w:tab w:val="right" w:pos="1080"/>
                <w:tab w:val="right" w:leader="dot" w:pos="9371"/>
              </w:tabs>
              <w:spacing w:after="140"/>
              <w:rPr>
                <w:rFonts w:hint="eastAsia"/>
              </w:rPr>
            </w:pPr>
            <w:r>
              <w:tab/>
            </w:r>
            <w:r>
              <w:rPr>
                <w:rFonts w:hint="eastAsia"/>
              </w:rPr>
              <w:t>金融服务</w:t>
            </w:r>
            <w:r>
              <w:tab/>
            </w:r>
          </w:p>
        </w:tc>
        <w:tc>
          <w:tcPr>
            <w:tcW w:w="537" w:type="dxa"/>
            <w:shd w:val="clear" w:color="auto" w:fill="auto"/>
            <w:vAlign w:val="bottom"/>
          </w:tcPr>
          <w:p w:rsidR="00A65DD4" w:rsidRDefault="00A65DD4" w:rsidP="001C2EF2">
            <w:pPr>
              <w:spacing w:after="140"/>
              <w:ind w:right="28"/>
              <w:jc w:val="right"/>
              <w:rPr>
                <w:rFonts w:hint="eastAsia"/>
              </w:rPr>
            </w:pPr>
            <w:r>
              <w:rPr>
                <w:rFonts w:hint="eastAsia"/>
              </w:rPr>
              <w:t>10</w:t>
            </w:r>
          </w:p>
        </w:tc>
      </w:tr>
      <w:tr w:rsidR="00A65DD4" w:rsidTr="008479E5">
        <w:tblPrEx>
          <w:tblCellMar>
            <w:top w:w="0" w:type="dxa"/>
            <w:bottom w:w="0" w:type="dxa"/>
          </w:tblCellMar>
        </w:tblPrEx>
        <w:trPr>
          <w:cantSplit/>
        </w:trPr>
        <w:tc>
          <w:tcPr>
            <w:tcW w:w="9365" w:type="dxa"/>
            <w:gridSpan w:val="2"/>
          </w:tcPr>
          <w:p w:rsidR="00A65DD4" w:rsidRDefault="00A65DD4" w:rsidP="008479E5">
            <w:pPr>
              <w:numPr>
                <w:ilvl w:val="0"/>
                <w:numId w:val="1"/>
              </w:numPr>
              <w:tabs>
                <w:tab w:val="clear" w:pos="1296"/>
                <w:tab w:val="right" w:pos="1080"/>
                <w:tab w:val="right" w:leader="dot" w:pos="9371"/>
              </w:tabs>
              <w:spacing w:after="140"/>
              <w:rPr>
                <w:rFonts w:hint="eastAsia"/>
              </w:rPr>
            </w:pPr>
            <w:r>
              <w:tab/>
            </w:r>
            <w:r>
              <w:rPr>
                <w:rFonts w:hint="eastAsia"/>
              </w:rPr>
              <w:t>就业</w:t>
            </w:r>
            <w:r>
              <w:tab/>
            </w:r>
          </w:p>
        </w:tc>
        <w:tc>
          <w:tcPr>
            <w:tcW w:w="537" w:type="dxa"/>
            <w:shd w:val="clear" w:color="auto" w:fill="auto"/>
            <w:vAlign w:val="bottom"/>
          </w:tcPr>
          <w:p w:rsidR="00A65DD4" w:rsidRDefault="00A65DD4" w:rsidP="001C2EF2">
            <w:pPr>
              <w:spacing w:after="140"/>
              <w:ind w:right="28"/>
              <w:jc w:val="right"/>
              <w:rPr>
                <w:rFonts w:hint="eastAsia"/>
              </w:rPr>
            </w:pPr>
            <w:r>
              <w:rPr>
                <w:rFonts w:hint="eastAsia"/>
              </w:rPr>
              <w:t>10</w:t>
            </w:r>
          </w:p>
        </w:tc>
      </w:tr>
      <w:tr w:rsidR="00A65DD4" w:rsidTr="008479E5">
        <w:tblPrEx>
          <w:tblCellMar>
            <w:top w:w="0" w:type="dxa"/>
            <w:bottom w:w="0" w:type="dxa"/>
          </w:tblCellMar>
        </w:tblPrEx>
        <w:trPr>
          <w:cantSplit/>
        </w:trPr>
        <w:tc>
          <w:tcPr>
            <w:tcW w:w="9365" w:type="dxa"/>
            <w:gridSpan w:val="2"/>
          </w:tcPr>
          <w:p w:rsidR="00A65DD4" w:rsidRDefault="00A65DD4" w:rsidP="008479E5">
            <w:pPr>
              <w:numPr>
                <w:ilvl w:val="0"/>
                <w:numId w:val="1"/>
              </w:numPr>
              <w:tabs>
                <w:tab w:val="clear" w:pos="1296"/>
                <w:tab w:val="right" w:pos="1080"/>
                <w:tab w:val="right" w:leader="dot" w:pos="9371"/>
              </w:tabs>
              <w:spacing w:after="140"/>
              <w:rPr>
                <w:rFonts w:hint="eastAsia"/>
              </w:rPr>
            </w:pPr>
            <w:r>
              <w:tab/>
            </w:r>
            <w:r>
              <w:rPr>
                <w:rFonts w:hint="eastAsia"/>
              </w:rPr>
              <w:t>国际移民组织</w:t>
            </w:r>
            <w:r>
              <w:tab/>
            </w:r>
          </w:p>
        </w:tc>
        <w:tc>
          <w:tcPr>
            <w:tcW w:w="537" w:type="dxa"/>
            <w:shd w:val="clear" w:color="auto" w:fill="auto"/>
            <w:vAlign w:val="bottom"/>
          </w:tcPr>
          <w:p w:rsidR="00A65DD4" w:rsidRDefault="00A65DD4" w:rsidP="001C2EF2">
            <w:pPr>
              <w:spacing w:after="140"/>
              <w:ind w:right="28"/>
              <w:jc w:val="right"/>
              <w:rPr>
                <w:rFonts w:hint="eastAsia"/>
              </w:rPr>
            </w:pPr>
            <w:r>
              <w:rPr>
                <w:rFonts w:hint="eastAsia"/>
              </w:rPr>
              <w:t>11</w:t>
            </w:r>
          </w:p>
        </w:tc>
      </w:tr>
      <w:tr w:rsidR="00A65DD4" w:rsidTr="008479E5">
        <w:tblPrEx>
          <w:tblCellMar>
            <w:top w:w="0" w:type="dxa"/>
            <w:bottom w:w="0" w:type="dxa"/>
          </w:tblCellMar>
        </w:tblPrEx>
        <w:trPr>
          <w:cantSplit/>
        </w:trPr>
        <w:tc>
          <w:tcPr>
            <w:tcW w:w="9365" w:type="dxa"/>
            <w:gridSpan w:val="2"/>
          </w:tcPr>
          <w:p w:rsidR="00A65DD4" w:rsidRDefault="00A65DD4" w:rsidP="008479E5">
            <w:pPr>
              <w:numPr>
                <w:ilvl w:val="0"/>
                <w:numId w:val="1"/>
              </w:numPr>
              <w:tabs>
                <w:tab w:val="clear" w:pos="1296"/>
                <w:tab w:val="right" w:pos="1080"/>
                <w:tab w:val="right" w:leader="dot" w:pos="9371"/>
              </w:tabs>
              <w:spacing w:after="140"/>
              <w:rPr>
                <w:rFonts w:hint="eastAsia"/>
              </w:rPr>
            </w:pPr>
            <w:r>
              <w:tab/>
            </w:r>
            <w:r w:rsidRPr="00F47B2B">
              <w:rPr>
                <w:rFonts w:hint="eastAsia"/>
              </w:rPr>
              <w:t>联合国人类发展指数</w:t>
            </w:r>
            <w:r>
              <w:tab/>
            </w:r>
          </w:p>
        </w:tc>
        <w:tc>
          <w:tcPr>
            <w:tcW w:w="537" w:type="dxa"/>
            <w:shd w:val="clear" w:color="auto" w:fill="auto"/>
            <w:vAlign w:val="bottom"/>
          </w:tcPr>
          <w:p w:rsidR="00A65DD4" w:rsidRDefault="00A65DD4" w:rsidP="001C2EF2">
            <w:pPr>
              <w:spacing w:after="140"/>
              <w:ind w:right="28"/>
              <w:jc w:val="right"/>
              <w:rPr>
                <w:rFonts w:hint="eastAsia"/>
              </w:rPr>
            </w:pPr>
            <w:r>
              <w:rPr>
                <w:rFonts w:hint="eastAsia"/>
              </w:rPr>
              <w:t>12</w:t>
            </w:r>
          </w:p>
        </w:tc>
      </w:tr>
      <w:tr w:rsidR="008479E5" w:rsidTr="008479E5">
        <w:tblPrEx>
          <w:tblCellMar>
            <w:top w:w="0" w:type="dxa"/>
            <w:bottom w:w="0" w:type="dxa"/>
          </w:tblCellMar>
        </w:tblPrEx>
        <w:trPr>
          <w:cantSplit/>
        </w:trPr>
        <w:tc>
          <w:tcPr>
            <w:tcW w:w="9365" w:type="dxa"/>
            <w:gridSpan w:val="2"/>
          </w:tcPr>
          <w:p w:rsidR="008479E5" w:rsidRPr="00A65DD4" w:rsidRDefault="00A65DD4" w:rsidP="00A85FBB">
            <w:pPr>
              <w:tabs>
                <w:tab w:val="right" w:pos="1080"/>
                <w:tab w:val="right" w:leader="dot" w:pos="8381"/>
              </w:tabs>
              <w:spacing w:after="140"/>
              <w:ind w:left="560" w:hanging="238"/>
              <w:rPr>
                <w:rFonts w:ascii="SimHei" w:eastAsia="SimHei"/>
              </w:rPr>
            </w:pPr>
            <w:r w:rsidRPr="00A65DD4">
              <w:rPr>
                <w:rFonts w:ascii="SimHei" w:eastAsia="SimHei" w:hint="eastAsia"/>
              </w:rPr>
              <w:t>第二部分</w:t>
            </w:r>
          </w:p>
        </w:tc>
        <w:tc>
          <w:tcPr>
            <w:tcW w:w="537" w:type="dxa"/>
            <w:shd w:val="clear" w:color="auto" w:fill="auto"/>
            <w:vAlign w:val="bottom"/>
          </w:tcPr>
          <w:p w:rsidR="008479E5" w:rsidRDefault="008479E5" w:rsidP="001C2EF2">
            <w:pPr>
              <w:spacing w:after="140"/>
              <w:ind w:right="28"/>
              <w:jc w:val="right"/>
              <w:rPr>
                <w:rFonts w:hint="eastAsia"/>
              </w:rPr>
            </w:pPr>
          </w:p>
        </w:tc>
      </w:tr>
      <w:tr w:rsidR="008479E5" w:rsidTr="008479E5">
        <w:tblPrEx>
          <w:tblCellMar>
            <w:top w:w="0" w:type="dxa"/>
            <w:bottom w:w="0" w:type="dxa"/>
          </w:tblCellMar>
        </w:tblPrEx>
        <w:trPr>
          <w:cantSplit/>
        </w:trPr>
        <w:tc>
          <w:tcPr>
            <w:tcW w:w="9365" w:type="dxa"/>
            <w:gridSpan w:val="2"/>
          </w:tcPr>
          <w:p w:rsidR="008479E5" w:rsidRDefault="00A85FBB" w:rsidP="00885365">
            <w:pPr>
              <w:numPr>
                <w:ilvl w:val="6"/>
                <w:numId w:val="1"/>
              </w:numPr>
              <w:tabs>
                <w:tab w:val="right" w:pos="1080"/>
                <w:tab w:val="right" w:leader="dot" w:pos="9345"/>
              </w:tabs>
              <w:spacing w:after="140"/>
              <w:ind w:firstLine="756"/>
            </w:pPr>
            <w:r>
              <w:rPr>
                <w:rFonts w:hint="eastAsia"/>
              </w:rPr>
              <w:t>第</w:t>
            </w:r>
            <w:r w:rsidR="00885365">
              <w:rPr>
                <w:rFonts w:hint="eastAsia"/>
              </w:rPr>
              <w:t>1</w:t>
            </w:r>
            <w:r>
              <w:rPr>
                <w:rFonts w:hint="eastAsia"/>
              </w:rPr>
              <w:t>条：界定对妇女的歧视</w:t>
            </w:r>
            <w:r w:rsidR="00885365">
              <w:tab/>
            </w:r>
          </w:p>
        </w:tc>
        <w:tc>
          <w:tcPr>
            <w:tcW w:w="537" w:type="dxa"/>
            <w:shd w:val="clear" w:color="auto" w:fill="auto"/>
            <w:vAlign w:val="bottom"/>
          </w:tcPr>
          <w:p w:rsidR="008479E5" w:rsidRDefault="00A85FBB" w:rsidP="001C2EF2">
            <w:pPr>
              <w:spacing w:after="140"/>
              <w:ind w:right="28"/>
              <w:jc w:val="right"/>
              <w:rPr>
                <w:rFonts w:hint="eastAsia"/>
              </w:rPr>
            </w:pPr>
            <w:r>
              <w:rPr>
                <w:rFonts w:hint="eastAsia"/>
              </w:rPr>
              <w:t>12</w:t>
            </w:r>
          </w:p>
        </w:tc>
      </w:tr>
      <w:tr w:rsidR="00A65DD4" w:rsidTr="008479E5">
        <w:tblPrEx>
          <w:tblCellMar>
            <w:top w:w="0" w:type="dxa"/>
            <w:bottom w:w="0" w:type="dxa"/>
          </w:tblCellMar>
        </w:tblPrEx>
        <w:trPr>
          <w:cantSplit/>
        </w:trPr>
        <w:tc>
          <w:tcPr>
            <w:tcW w:w="9365" w:type="dxa"/>
            <w:gridSpan w:val="2"/>
          </w:tcPr>
          <w:p w:rsidR="00A65DD4" w:rsidRDefault="00A85FBB" w:rsidP="00885365">
            <w:pPr>
              <w:numPr>
                <w:ilvl w:val="6"/>
                <w:numId w:val="1"/>
              </w:numPr>
              <w:tabs>
                <w:tab w:val="right" w:pos="1080"/>
                <w:tab w:val="right" w:leader="dot" w:pos="9351"/>
              </w:tabs>
              <w:spacing w:after="140"/>
              <w:ind w:firstLine="756"/>
            </w:pPr>
            <w:r w:rsidRPr="001E5D9E">
              <w:rPr>
                <w:rFonts w:hint="eastAsia"/>
              </w:rPr>
              <w:t>第</w:t>
            </w:r>
            <w:r w:rsidR="00885365">
              <w:rPr>
                <w:rFonts w:hint="eastAsia"/>
              </w:rPr>
              <w:t>2</w:t>
            </w:r>
            <w:r w:rsidRPr="001E5D9E">
              <w:rPr>
                <w:rFonts w:hint="eastAsia"/>
              </w:rPr>
              <w:t>条</w:t>
            </w:r>
            <w:r>
              <w:rPr>
                <w:rFonts w:ascii="Times New Roman"/>
              </w:rPr>
              <w:t>：</w:t>
            </w:r>
            <w:r w:rsidRPr="001E5D9E">
              <w:rPr>
                <w:rFonts w:hint="eastAsia"/>
              </w:rPr>
              <w:t>消除对妇女一切形式歧视的义务</w:t>
            </w:r>
            <w:r w:rsidR="00885365">
              <w:tab/>
            </w:r>
          </w:p>
        </w:tc>
        <w:tc>
          <w:tcPr>
            <w:tcW w:w="537" w:type="dxa"/>
            <w:shd w:val="clear" w:color="auto" w:fill="auto"/>
            <w:vAlign w:val="bottom"/>
          </w:tcPr>
          <w:p w:rsidR="00A65DD4" w:rsidRDefault="00A85FBB" w:rsidP="001C2EF2">
            <w:pPr>
              <w:spacing w:after="140"/>
              <w:ind w:right="28"/>
              <w:jc w:val="right"/>
              <w:rPr>
                <w:rFonts w:hint="eastAsia"/>
              </w:rPr>
            </w:pPr>
            <w:r>
              <w:rPr>
                <w:rFonts w:hint="eastAsia"/>
              </w:rPr>
              <w:t>14</w:t>
            </w:r>
          </w:p>
        </w:tc>
      </w:tr>
      <w:tr w:rsidR="00A65DD4" w:rsidTr="008479E5">
        <w:tblPrEx>
          <w:tblCellMar>
            <w:top w:w="0" w:type="dxa"/>
            <w:bottom w:w="0" w:type="dxa"/>
          </w:tblCellMar>
        </w:tblPrEx>
        <w:trPr>
          <w:cantSplit/>
        </w:trPr>
        <w:tc>
          <w:tcPr>
            <w:tcW w:w="9365" w:type="dxa"/>
            <w:gridSpan w:val="2"/>
          </w:tcPr>
          <w:p w:rsidR="00A65DD4" w:rsidRDefault="00A85FBB" w:rsidP="00885365">
            <w:pPr>
              <w:numPr>
                <w:ilvl w:val="6"/>
                <w:numId w:val="1"/>
              </w:numPr>
              <w:tabs>
                <w:tab w:val="right" w:pos="1080"/>
                <w:tab w:val="right" w:leader="dot" w:pos="9379"/>
              </w:tabs>
              <w:spacing w:after="140"/>
              <w:ind w:firstLine="756"/>
            </w:pPr>
            <w:r>
              <w:rPr>
                <w:rFonts w:hint="eastAsia"/>
              </w:rPr>
              <w:t>第</w:t>
            </w:r>
            <w:r w:rsidR="00885365">
              <w:rPr>
                <w:rFonts w:hint="eastAsia"/>
              </w:rPr>
              <w:t>3</w:t>
            </w:r>
            <w:r>
              <w:rPr>
                <w:rFonts w:hint="eastAsia"/>
              </w:rPr>
              <w:t>条：妇女发展和提高妇女地位</w:t>
            </w:r>
            <w:r w:rsidR="00885365">
              <w:tab/>
            </w:r>
          </w:p>
        </w:tc>
        <w:tc>
          <w:tcPr>
            <w:tcW w:w="537" w:type="dxa"/>
            <w:shd w:val="clear" w:color="auto" w:fill="auto"/>
            <w:vAlign w:val="bottom"/>
          </w:tcPr>
          <w:p w:rsidR="00A65DD4" w:rsidRDefault="00A85FBB" w:rsidP="001C2EF2">
            <w:pPr>
              <w:spacing w:after="140"/>
              <w:ind w:right="28"/>
              <w:jc w:val="right"/>
              <w:rPr>
                <w:rFonts w:hint="eastAsia"/>
              </w:rPr>
            </w:pPr>
            <w:r>
              <w:rPr>
                <w:rFonts w:hint="eastAsia"/>
              </w:rPr>
              <w:t>15</w:t>
            </w:r>
          </w:p>
        </w:tc>
      </w:tr>
      <w:tr w:rsidR="00A65DD4" w:rsidTr="008479E5">
        <w:tblPrEx>
          <w:tblCellMar>
            <w:top w:w="0" w:type="dxa"/>
            <w:bottom w:w="0" w:type="dxa"/>
          </w:tblCellMar>
        </w:tblPrEx>
        <w:trPr>
          <w:cantSplit/>
        </w:trPr>
        <w:tc>
          <w:tcPr>
            <w:tcW w:w="9365" w:type="dxa"/>
            <w:gridSpan w:val="2"/>
          </w:tcPr>
          <w:p w:rsidR="00A65DD4" w:rsidRDefault="00A85FBB" w:rsidP="00885365">
            <w:pPr>
              <w:numPr>
                <w:ilvl w:val="6"/>
                <w:numId w:val="1"/>
              </w:numPr>
              <w:tabs>
                <w:tab w:val="right" w:pos="1080"/>
                <w:tab w:val="right" w:leader="dot" w:pos="9379"/>
              </w:tabs>
              <w:spacing w:after="140"/>
              <w:ind w:firstLine="756"/>
            </w:pPr>
            <w:r>
              <w:rPr>
                <w:rFonts w:hint="eastAsia"/>
              </w:rPr>
              <w:t>第</w:t>
            </w:r>
            <w:r w:rsidR="00885365">
              <w:rPr>
                <w:rFonts w:hint="eastAsia"/>
              </w:rPr>
              <w:t>4</w:t>
            </w:r>
            <w:r>
              <w:rPr>
                <w:rFonts w:hint="eastAsia"/>
              </w:rPr>
              <w:t>条：加速实现男女平等</w:t>
            </w:r>
            <w:r w:rsidR="00885365">
              <w:tab/>
            </w:r>
          </w:p>
        </w:tc>
        <w:tc>
          <w:tcPr>
            <w:tcW w:w="537" w:type="dxa"/>
            <w:shd w:val="clear" w:color="auto" w:fill="auto"/>
            <w:vAlign w:val="bottom"/>
          </w:tcPr>
          <w:p w:rsidR="00A65DD4" w:rsidRDefault="00A85FBB" w:rsidP="001C2EF2">
            <w:pPr>
              <w:spacing w:after="140"/>
              <w:ind w:right="28"/>
              <w:jc w:val="right"/>
              <w:rPr>
                <w:rFonts w:hint="eastAsia"/>
              </w:rPr>
            </w:pPr>
            <w:r>
              <w:rPr>
                <w:rFonts w:hint="eastAsia"/>
              </w:rPr>
              <w:t>15</w:t>
            </w:r>
          </w:p>
        </w:tc>
      </w:tr>
      <w:tr w:rsidR="00A65DD4" w:rsidTr="008479E5">
        <w:tblPrEx>
          <w:tblCellMar>
            <w:top w:w="0" w:type="dxa"/>
            <w:bottom w:w="0" w:type="dxa"/>
          </w:tblCellMar>
        </w:tblPrEx>
        <w:trPr>
          <w:cantSplit/>
        </w:trPr>
        <w:tc>
          <w:tcPr>
            <w:tcW w:w="9365" w:type="dxa"/>
            <w:gridSpan w:val="2"/>
          </w:tcPr>
          <w:p w:rsidR="00A65DD4" w:rsidRDefault="00A85FBB" w:rsidP="00885365">
            <w:pPr>
              <w:numPr>
                <w:ilvl w:val="6"/>
                <w:numId w:val="1"/>
              </w:numPr>
              <w:tabs>
                <w:tab w:val="right" w:pos="1080"/>
                <w:tab w:val="right" w:leader="dot" w:pos="9365"/>
              </w:tabs>
              <w:spacing w:after="140"/>
              <w:ind w:firstLine="756"/>
            </w:pPr>
            <w:r>
              <w:rPr>
                <w:rFonts w:hint="eastAsia"/>
              </w:rPr>
              <w:t>第</w:t>
            </w:r>
            <w:r w:rsidR="00885365">
              <w:rPr>
                <w:rFonts w:hint="eastAsia"/>
              </w:rPr>
              <w:t>5</w:t>
            </w:r>
            <w:r>
              <w:rPr>
                <w:rFonts w:hint="eastAsia"/>
              </w:rPr>
              <w:t>条：两性角色和定型观念</w:t>
            </w:r>
            <w:r w:rsidR="00885365">
              <w:tab/>
            </w:r>
          </w:p>
        </w:tc>
        <w:tc>
          <w:tcPr>
            <w:tcW w:w="537" w:type="dxa"/>
            <w:shd w:val="clear" w:color="auto" w:fill="auto"/>
            <w:vAlign w:val="bottom"/>
          </w:tcPr>
          <w:p w:rsidR="00A65DD4" w:rsidRDefault="00A85FBB" w:rsidP="001C2EF2">
            <w:pPr>
              <w:spacing w:after="140"/>
              <w:ind w:right="28"/>
              <w:jc w:val="right"/>
              <w:rPr>
                <w:rFonts w:hint="eastAsia"/>
              </w:rPr>
            </w:pPr>
            <w:r>
              <w:rPr>
                <w:rFonts w:hint="eastAsia"/>
              </w:rPr>
              <w:t>15</w:t>
            </w:r>
          </w:p>
        </w:tc>
      </w:tr>
      <w:tr w:rsidR="00A65DD4" w:rsidTr="008479E5">
        <w:tblPrEx>
          <w:tblCellMar>
            <w:top w:w="0" w:type="dxa"/>
            <w:bottom w:w="0" w:type="dxa"/>
          </w:tblCellMar>
        </w:tblPrEx>
        <w:trPr>
          <w:cantSplit/>
        </w:trPr>
        <w:tc>
          <w:tcPr>
            <w:tcW w:w="9365" w:type="dxa"/>
            <w:gridSpan w:val="2"/>
          </w:tcPr>
          <w:p w:rsidR="00A65DD4" w:rsidRDefault="00A85FBB" w:rsidP="00885365">
            <w:pPr>
              <w:numPr>
                <w:ilvl w:val="6"/>
                <w:numId w:val="1"/>
              </w:numPr>
              <w:tabs>
                <w:tab w:val="right" w:pos="1080"/>
                <w:tab w:val="right" w:leader="dot" w:pos="9393"/>
              </w:tabs>
              <w:spacing w:after="140"/>
              <w:ind w:firstLine="756"/>
            </w:pPr>
            <w:r>
              <w:rPr>
                <w:rFonts w:hint="eastAsia"/>
              </w:rPr>
              <w:t>第</w:t>
            </w:r>
            <w:r w:rsidR="00885365">
              <w:rPr>
                <w:rFonts w:hint="eastAsia"/>
              </w:rPr>
              <w:t>6</w:t>
            </w:r>
            <w:r>
              <w:rPr>
                <w:rFonts w:hint="eastAsia"/>
              </w:rPr>
              <w:t>条：剥削妇女问题</w:t>
            </w:r>
            <w:r w:rsidR="00885365">
              <w:tab/>
            </w:r>
          </w:p>
        </w:tc>
        <w:tc>
          <w:tcPr>
            <w:tcW w:w="537" w:type="dxa"/>
            <w:shd w:val="clear" w:color="auto" w:fill="auto"/>
            <w:vAlign w:val="bottom"/>
          </w:tcPr>
          <w:p w:rsidR="00A65DD4" w:rsidRDefault="00A85FBB" w:rsidP="001C2EF2">
            <w:pPr>
              <w:spacing w:after="140"/>
              <w:ind w:right="28"/>
              <w:jc w:val="right"/>
              <w:rPr>
                <w:rFonts w:hint="eastAsia"/>
              </w:rPr>
            </w:pPr>
            <w:r>
              <w:rPr>
                <w:rFonts w:hint="eastAsia"/>
              </w:rPr>
              <w:t>17</w:t>
            </w:r>
          </w:p>
        </w:tc>
      </w:tr>
      <w:tr w:rsidR="00A65DD4" w:rsidTr="008479E5">
        <w:tblPrEx>
          <w:tblCellMar>
            <w:top w:w="0" w:type="dxa"/>
            <w:bottom w:w="0" w:type="dxa"/>
          </w:tblCellMar>
        </w:tblPrEx>
        <w:trPr>
          <w:cantSplit/>
        </w:trPr>
        <w:tc>
          <w:tcPr>
            <w:tcW w:w="9365" w:type="dxa"/>
            <w:gridSpan w:val="2"/>
          </w:tcPr>
          <w:p w:rsidR="00A65DD4" w:rsidRDefault="00A85FBB" w:rsidP="00885365">
            <w:pPr>
              <w:numPr>
                <w:ilvl w:val="6"/>
                <w:numId w:val="1"/>
              </w:numPr>
              <w:tabs>
                <w:tab w:val="right" w:pos="1080"/>
                <w:tab w:val="right" w:leader="dot" w:pos="9379"/>
              </w:tabs>
              <w:spacing w:after="140"/>
              <w:ind w:firstLine="756"/>
            </w:pPr>
            <w:r>
              <w:rPr>
                <w:rFonts w:hint="eastAsia"/>
              </w:rPr>
              <w:t>第</w:t>
            </w:r>
            <w:r w:rsidR="00885365">
              <w:rPr>
                <w:rFonts w:hint="eastAsia"/>
              </w:rPr>
              <w:t>7</w:t>
            </w:r>
            <w:r>
              <w:rPr>
                <w:rFonts w:hint="eastAsia"/>
              </w:rPr>
              <w:t>条：政治和公共生活</w:t>
            </w:r>
            <w:r w:rsidR="00885365">
              <w:tab/>
            </w:r>
          </w:p>
        </w:tc>
        <w:tc>
          <w:tcPr>
            <w:tcW w:w="537" w:type="dxa"/>
            <w:shd w:val="clear" w:color="auto" w:fill="auto"/>
            <w:vAlign w:val="bottom"/>
          </w:tcPr>
          <w:p w:rsidR="00A65DD4" w:rsidRDefault="00A85FBB" w:rsidP="001C2EF2">
            <w:pPr>
              <w:spacing w:after="140"/>
              <w:ind w:right="28"/>
              <w:jc w:val="right"/>
              <w:rPr>
                <w:rFonts w:hint="eastAsia"/>
              </w:rPr>
            </w:pPr>
            <w:r>
              <w:rPr>
                <w:rFonts w:hint="eastAsia"/>
              </w:rPr>
              <w:t>18</w:t>
            </w:r>
          </w:p>
        </w:tc>
      </w:tr>
      <w:tr w:rsidR="00A65DD4" w:rsidTr="008479E5">
        <w:tblPrEx>
          <w:tblCellMar>
            <w:top w:w="0" w:type="dxa"/>
            <w:bottom w:w="0" w:type="dxa"/>
          </w:tblCellMar>
        </w:tblPrEx>
        <w:trPr>
          <w:cantSplit/>
        </w:trPr>
        <w:tc>
          <w:tcPr>
            <w:tcW w:w="9365" w:type="dxa"/>
            <w:gridSpan w:val="2"/>
          </w:tcPr>
          <w:p w:rsidR="00A65DD4" w:rsidRDefault="00A85FBB" w:rsidP="00885365">
            <w:pPr>
              <w:numPr>
                <w:ilvl w:val="6"/>
                <w:numId w:val="1"/>
              </w:numPr>
              <w:tabs>
                <w:tab w:val="right" w:pos="1080"/>
                <w:tab w:val="right" w:leader="dot" w:pos="9379"/>
              </w:tabs>
              <w:spacing w:after="140"/>
              <w:ind w:firstLine="756"/>
            </w:pPr>
            <w:r>
              <w:rPr>
                <w:rFonts w:hint="eastAsia"/>
              </w:rPr>
              <w:t>第</w:t>
            </w:r>
            <w:r w:rsidR="00885365">
              <w:rPr>
                <w:rFonts w:hint="eastAsia"/>
              </w:rPr>
              <w:t>8</w:t>
            </w:r>
            <w:r>
              <w:rPr>
                <w:rFonts w:hint="eastAsia"/>
              </w:rPr>
              <w:t>条：在国际事务中担任代表和参与的情况</w:t>
            </w:r>
            <w:r w:rsidR="00885365">
              <w:tab/>
            </w:r>
          </w:p>
        </w:tc>
        <w:tc>
          <w:tcPr>
            <w:tcW w:w="537" w:type="dxa"/>
            <w:shd w:val="clear" w:color="auto" w:fill="auto"/>
            <w:vAlign w:val="bottom"/>
          </w:tcPr>
          <w:p w:rsidR="00A65DD4" w:rsidRDefault="00A85FBB" w:rsidP="001C2EF2">
            <w:pPr>
              <w:spacing w:after="140"/>
              <w:ind w:right="28"/>
              <w:jc w:val="right"/>
              <w:rPr>
                <w:rFonts w:hint="eastAsia"/>
              </w:rPr>
            </w:pPr>
            <w:r>
              <w:rPr>
                <w:rFonts w:hint="eastAsia"/>
              </w:rPr>
              <w:t>21</w:t>
            </w:r>
          </w:p>
        </w:tc>
      </w:tr>
      <w:tr w:rsidR="00A65DD4" w:rsidTr="008479E5">
        <w:tblPrEx>
          <w:tblCellMar>
            <w:top w:w="0" w:type="dxa"/>
            <w:bottom w:w="0" w:type="dxa"/>
          </w:tblCellMar>
        </w:tblPrEx>
        <w:trPr>
          <w:cantSplit/>
        </w:trPr>
        <w:tc>
          <w:tcPr>
            <w:tcW w:w="9365" w:type="dxa"/>
            <w:gridSpan w:val="2"/>
          </w:tcPr>
          <w:p w:rsidR="00A65DD4" w:rsidRDefault="00A85FBB" w:rsidP="00885365">
            <w:pPr>
              <w:numPr>
                <w:ilvl w:val="6"/>
                <w:numId w:val="1"/>
              </w:numPr>
              <w:tabs>
                <w:tab w:val="right" w:pos="1080"/>
                <w:tab w:val="right" w:leader="dot" w:pos="9379"/>
              </w:tabs>
              <w:spacing w:after="140"/>
              <w:ind w:firstLine="756"/>
            </w:pPr>
            <w:r>
              <w:rPr>
                <w:rFonts w:hint="eastAsia"/>
              </w:rPr>
              <w:t>第</w:t>
            </w:r>
            <w:r w:rsidR="00885365">
              <w:rPr>
                <w:rFonts w:hint="eastAsia"/>
              </w:rPr>
              <w:t>9</w:t>
            </w:r>
            <w:r>
              <w:rPr>
                <w:rFonts w:hint="eastAsia"/>
              </w:rPr>
              <w:t>条：妇女及其子女的国籍和公民身份</w:t>
            </w:r>
            <w:r w:rsidR="00885365">
              <w:tab/>
            </w:r>
          </w:p>
        </w:tc>
        <w:tc>
          <w:tcPr>
            <w:tcW w:w="537" w:type="dxa"/>
            <w:shd w:val="clear" w:color="auto" w:fill="auto"/>
            <w:vAlign w:val="bottom"/>
          </w:tcPr>
          <w:p w:rsidR="00A65DD4" w:rsidRDefault="00A85FBB" w:rsidP="001C2EF2">
            <w:pPr>
              <w:spacing w:after="140"/>
              <w:ind w:right="28"/>
              <w:jc w:val="right"/>
              <w:rPr>
                <w:rFonts w:hint="eastAsia"/>
              </w:rPr>
            </w:pPr>
            <w:r>
              <w:rPr>
                <w:rFonts w:hint="eastAsia"/>
              </w:rPr>
              <w:t>22</w:t>
            </w:r>
          </w:p>
        </w:tc>
      </w:tr>
      <w:tr w:rsidR="00A65DD4" w:rsidTr="008479E5">
        <w:tblPrEx>
          <w:tblCellMar>
            <w:top w:w="0" w:type="dxa"/>
            <w:bottom w:w="0" w:type="dxa"/>
          </w:tblCellMar>
        </w:tblPrEx>
        <w:trPr>
          <w:cantSplit/>
        </w:trPr>
        <w:tc>
          <w:tcPr>
            <w:tcW w:w="9365" w:type="dxa"/>
            <w:gridSpan w:val="2"/>
          </w:tcPr>
          <w:p w:rsidR="00A65DD4" w:rsidRDefault="00B064C7" w:rsidP="00885365">
            <w:pPr>
              <w:numPr>
                <w:ilvl w:val="6"/>
                <w:numId w:val="1"/>
              </w:numPr>
              <w:tabs>
                <w:tab w:val="right" w:pos="1080"/>
                <w:tab w:val="right" w:leader="dot" w:pos="9379"/>
              </w:tabs>
              <w:spacing w:after="140"/>
              <w:ind w:firstLine="756"/>
            </w:pPr>
            <w:r>
              <w:rPr>
                <w:rFonts w:hint="eastAsia"/>
              </w:rPr>
              <w:t>第</w:t>
            </w:r>
            <w:r w:rsidR="00885365">
              <w:rPr>
                <w:rFonts w:hint="eastAsia"/>
              </w:rPr>
              <w:t>10</w:t>
            </w:r>
            <w:r>
              <w:rPr>
                <w:rFonts w:hint="eastAsia"/>
              </w:rPr>
              <w:t>条：确保妇女接受教育的平等权利</w:t>
            </w:r>
            <w:r w:rsidR="00885365">
              <w:tab/>
            </w:r>
          </w:p>
        </w:tc>
        <w:tc>
          <w:tcPr>
            <w:tcW w:w="537" w:type="dxa"/>
            <w:shd w:val="clear" w:color="auto" w:fill="auto"/>
            <w:vAlign w:val="bottom"/>
          </w:tcPr>
          <w:p w:rsidR="00A65DD4" w:rsidRDefault="00A744FB" w:rsidP="001C2EF2">
            <w:pPr>
              <w:spacing w:after="140"/>
              <w:ind w:right="28"/>
              <w:jc w:val="right"/>
              <w:rPr>
                <w:rFonts w:hint="eastAsia"/>
              </w:rPr>
            </w:pPr>
            <w:r>
              <w:rPr>
                <w:rFonts w:hint="eastAsia"/>
              </w:rPr>
              <w:t>23</w:t>
            </w:r>
          </w:p>
        </w:tc>
      </w:tr>
      <w:tr w:rsidR="00A65DD4" w:rsidTr="008479E5">
        <w:tblPrEx>
          <w:tblCellMar>
            <w:top w:w="0" w:type="dxa"/>
            <w:bottom w:w="0" w:type="dxa"/>
          </w:tblCellMar>
        </w:tblPrEx>
        <w:trPr>
          <w:cantSplit/>
        </w:trPr>
        <w:tc>
          <w:tcPr>
            <w:tcW w:w="9365" w:type="dxa"/>
            <w:gridSpan w:val="2"/>
          </w:tcPr>
          <w:p w:rsidR="00A65DD4" w:rsidRDefault="00A85FBB" w:rsidP="00885365">
            <w:pPr>
              <w:numPr>
                <w:ilvl w:val="6"/>
                <w:numId w:val="1"/>
              </w:numPr>
              <w:tabs>
                <w:tab w:val="right" w:pos="1080"/>
                <w:tab w:val="right" w:leader="dot" w:pos="9379"/>
              </w:tabs>
              <w:spacing w:after="140"/>
              <w:ind w:firstLine="756"/>
            </w:pPr>
            <w:r>
              <w:rPr>
                <w:rFonts w:hint="eastAsia"/>
              </w:rPr>
              <w:t>第</w:t>
            </w:r>
            <w:r w:rsidR="00885365">
              <w:rPr>
                <w:rFonts w:hint="eastAsia"/>
              </w:rPr>
              <w:t>11</w:t>
            </w:r>
            <w:r>
              <w:rPr>
                <w:rFonts w:hint="eastAsia"/>
              </w:rPr>
              <w:t>条：就业</w:t>
            </w:r>
            <w:r w:rsidR="00885365">
              <w:tab/>
            </w:r>
          </w:p>
        </w:tc>
        <w:tc>
          <w:tcPr>
            <w:tcW w:w="537" w:type="dxa"/>
            <w:shd w:val="clear" w:color="auto" w:fill="auto"/>
            <w:vAlign w:val="bottom"/>
          </w:tcPr>
          <w:p w:rsidR="00A65DD4" w:rsidRDefault="00A85FBB" w:rsidP="001C2EF2">
            <w:pPr>
              <w:spacing w:after="140"/>
              <w:ind w:right="28"/>
              <w:jc w:val="right"/>
              <w:rPr>
                <w:rFonts w:hint="eastAsia"/>
              </w:rPr>
            </w:pPr>
            <w:r>
              <w:rPr>
                <w:rFonts w:hint="eastAsia"/>
              </w:rPr>
              <w:t>31</w:t>
            </w:r>
          </w:p>
        </w:tc>
      </w:tr>
      <w:tr w:rsidR="00A65DD4" w:rsidTr="008479E5">
        <w:tblPrEx>
          <w:tblCellMar>
            <w:top w:w="0" w:type="dxa"/>
            <w:bottom w:w="0" w:type="dxa"/>
          </w:tblCellMar>
        </w:tblPrEx>
        <w:trPr>
          <w:cantSplit/>
        </w:trPr>
        <w:tc>
          <w:tcPr>
            <w:tcW w:w="9365" w:type="dxa"/>
            <w:gridSpan w:val="2"/>
          </w:tcPr>
          <w:p w:rsidR="00A65DD4" w:rsidRDefault="00B064C7" w:rsidP="00885365">
            <w:pPr>
              <w:numPr>
                <w:ilvl w:val="6"/>
                <w:numId w:val="1"/>
              </w:numPr>
              <w:tabs>
                <w:tab w:val="right" w:pos="1080"/>
                <w:tab w:val="right" w:leader="dot" w:pos="9365"/>
              </w:tabs>
              <w:spacing w:after="140"/>
              <w:ind w:firstLine="756"/>
            </w:pPr>
            <w:r>
              <w:rPr>
                <w:rFonts w:hint="eastAsia"/>
              </w:rPr>
              <w:t>第</w:t>
            </w:r>
            <w:r w:rsidR="00885365">
              <w:rPr>
                <w:rFonts w:hint="eastAsia"/>
              </w:rPr>
              <w:t>12</w:t>
            </w:r>
            <w:r>
              <w:rPr>
                <w:rFonts w:hint="eastAsia"/>
              </w:rPr>
              <w:t>条：平等获得医疗保健</w:t>
            </w:r>
            <w:r w:rsidR="00885365">
              <w:tab/>
            </w:r>
          </w:p>
        </w:tc>
        <w:tc>
          <w:tcPr>
            <w:tcW w:w="537" w:type="dxa"/>
            <w:shd w:val="clear" w:color="auto" w:fill="auto"/>
            <w:vAlign w:val="bottom"/>
          </w:tcPr>
          <w:p w:rsidR="00A65DD4" w:rsidRDefault="00B064C7" w:rsidP="001C2EF2">
            <w:pPr>
              <w:spacing w:after="140"/>
              <w:ind w:right="28"/>
              <w:jc w:val="right"/>
              <w:rPr>
                <w:rFonts w:hint="eastAsia"/>
              </w:rPr>
            </w:pPr>
            <w:r>
              <w:rPr>
                <w:rFonts w:hint="eastAsia"/>
              </w:rPr>
              <w:t>32</w:t>
            </w:r>
          </w:p>
        </w:tc>
      </w:tr>
      <w:tr w:rsidR="00A65DD4" w:rsidTr="008479E5">
        <w:tblPrEx>
          <w:tblCellMar>
            <w:top w:w="0" w:type="dxa"/>
            <w:bottom w:w="0" w:type="dxa"/>
          </w:tblCellMar>
        </w:tblPrEx>
        <w:trPr>
          <w:cantSplit/>
        </w:trPr>
        <w:tc>
          <w:tcPr>
            <w:tcW w:w="9365" w:type="dxa"/>
            <w:gridSpan w:val="2"/>
          </w:tcPr>
          <w:p w:rsidR="00A65DD4" w:rsidRDefault="00B064C7" w:rsidP="00885365">
            <w:pPr>
              <w:numPr>
                <w:ilvl w:val="6"/>
                <w:numId w:val="1"/>
              </w:numPr>
              <w:tabs>
                <w:tab w:val="right" w:pos="1080"/>
                <w:tab w:val="right" w:leader="dot" w:pos="9379"/>
              </w:tabs>
              <w:spacing w:after="140"/>
              <w:ind w:firstLine="756"/>
            </w:pPr>
            <w:r>
              <w:rPr>
                <w:rFonts w:hint="eastAsia"/>
              </w:rPr>
              <w:t>第</w:t>
            </w:r>
            <w:r w:rsidR="00885365">
              <w:rPr>
                <w:rFonts w:hint="eastAsia"/>
              </w:rPr>
              <w:t>13</w:t>
            </w:r>
            <w:r>
              <w:rPr>
                <w:rFonts w:hint="eastAsia"/>
              </w:rPr>
              <w:t>条：确保妇女在巴哈马经济和社会生活中的平等地位</w:t>
            </w:r>
            <w:r w:rsidR="00885365">
              <w:tab/>
            </w:r>
          </w:p>
        </w:tc>
        <w:tc>
          <w:tcPr>
            <w:tcW w:w="537" w:type="dxa"/>
            <w:shd w:val="clear" w:color="auto" w:fill="auto"/>
            <w:vAlign w:val="bottom"/>
          </w:tcPr>
          <w:p w:rsidR="00A65DD4" w:rsidRDefault="00B064C7" w:rsidP="001C2EF2">
            <w:pPr>
              <w:spacing w:after="140"/>
              <w:ind w:right="28"/>
              <w:jc w:val="right"/>
              <w:rPr>
                <w:rFonts w:hint="eastAsia"/>
              </w:rPr>
            </w:pPr>
            <w:r>
              <w:rPr>
                <w:rFonts w:hint="eastAsia"/>
              </w:rPr>
              <w:t>40</w:t>
            </w:r>
          </w:p>
        </w:tc>
      </w:tr>
      <w:tr w:rsidR="00A65DD4" w:rsidTr="008479E5">
        <w:tblPrEx>
          <w:tblCellMar>
            <w:top w:w="0" w:type="dxa"/>
            <w:bottom w:w="0" w:type="dxa"/>
          </w:tblCellMar>
        </w:tblPrEx>
        <w:trPr>
          <w:cantSplit/>
        </w:trPr>
        <w:tc>
          <w:tcPr>
            <w:tcW w:w="9365" w:type="dxa"/>
            <w:gridSpan w:val="2"/>
          </w:tcPr>
          <w:p w:rsidR="00A65DD4" w:rsidRDefault="00B064C7" w:rsidP="00885365">
            <w:pPr>
              <w:numPr>
                <w:ilvl w:val="6"/>
                <w:numId w:val="1"/>
              </w:numPr>
              <w:tabs>
                <w:tab w:val="right" w:pos="1080"/>
                <w:tab w:val="right" w:leader="dot" w:pos="9379"/>
              </w:tabs>
              <w:spacing w:after="140"/>
              <w:ind w:firstLine="756"/>
            </w:pPr>
            <w:r>
              <w:rPr>
                <w:rFonts w:hint="eastAsia"/>
              </w:rPr>
              <w:t>第14条：农村妇女</w:t>
            </w:r>
            <w:r w:rsidR="00885365">
              <w:tab/>
            </w:r>
          </w:p>
        </w:tc>
        <w:tc>
          <w:tcPr>
            <w:tcW w:w="537" w:type="dxa"/>
            <w:shd w:val="clear" w:color="auto" w:fill="auto"/>
            <w:vAlign w:val="bottom"/>
          </w:tcPr>
          <w:p w:rsidR="00A65DD4" w:rsidRDefault="00B064C7" w:rsidP="001C2EF2">
            <w:pPr>
              <w:spacing w:after="140"/>
              <w:ind w:right="28"/>
              <w:jc w:val="right"/>
              <w:rPr>
                <w:rFonts w:hint="eastAsia"/>
              </w:rPr>
            </w:pPr>
            <w:r>
              <w:rPr>
                <w:rFonts w:hint="eastAsia"/>
              </w:rPr>
              <w:t>41</w:t>
            </w:r>
          </w:p>
        </w:tc>
      </w:tr>
      <w:tr w:rsidR="00A65DD4" w:rsidTr="008479E5">
        <w:tblPrEx>
          <w:tblCellMar>
            <w:top w:w="0" w:type="dxa"/>
            <w:bottom w:w="0" w:type="dxa"/>
          </w:tblCellMar>
        </w:tblPrEx>
        <w:trPr>
          <w:cantSplit/>
        </w:trPr>
        <w:tc>
          <w:tcPr>
            <w:tcW w:w="9365" w:type="dxa"/>
            <w:gridSpan w:val="2"/>
          </w:tcPr>
          <w:p w:rsidR="00A65DD4" w:rsidRDefault="00B064C7" w:rsidP="00885365">
            <w:pPr>
              <w:numPr>
                <w:ilvl w:val="6"/>
                <w:numId w:val="1"/>
              </w:numPr>
              <w:tabs>
                <w:tab w:val="right" w:pos="1080"/>
                <w:tab w:val="right" w:leader="dot" w:pos="9379"/>
              </w:tabs>
              <w:spacing w:after="140"/>
              <w:ind w:firstLine="756"/>
            </w:pPr>
            <w:r>
              <w:rPr>
                <w:rFonts w:hint="eastAsia"/>
              </w:rPr>
              <w:t>第15条：法律和民事事务面前人人平等</w:t>
            </w:r>
            <w:r w:rsidR="00885365">
              <w:tab/>
            </w:r>
          </w:p>
        </w:tc>
        <w:tc>
          <w:tcPr>
            <w:tcW w:w="537" w:type="dxa"/>
            <w:shd w:val="clear" w:color="auto" w:fill="auto"/>
            <w:vAlign w:val="bottom"/>
          </w:tcPr>
          <w:p w:rsidR="00A65DD4" w:rsidRDefault="00B064C7" w:rsidP="001C2EF2">
            <w:pPr>
              <w:spacing w:after="140"/>
              <w:ind w:right="28"/>
              <w:jc w:val="right"/>
              <w:rPr>
                <w:rFonts w:hint="eastAsia"/>
              </w:rPr>
            </w:pPr>
            <w:r>
              <w:rPr>
                <w:rFonts w:hint="eastAsia"/>
              </w:rPr>
              <w:t>42</w:t>
            </w:r>
          </w:p>
        </w:tc>
      </w:tr>
      <w:tr w:rsidR="00A65DD4" w:rsidTr="008479E5">
        <w:tblPrEx>
          <w:tblCellMar>
            <w:top w:w="0" w:type="dxa"/>
            <w:bottom w:w="0" w:type="dxa"/>
          </w:tblCellMar>
        </w:tblPrEx>
        <w:trPr>
          <w:cantSplit/>
        </w:trPr>
        <w:tc>
          <w:tcPr>
            <w:tcW w:w="9365" w:type="dxa"/>
            <w:gridSpan w:val="2"/>
          </w:tcPr>
          <w:p w:rsidR="00A65DD4" w:rsidRDefault="00B064C7" w:rsidP="00885365">
            <w:pPr>
              <w:numPr>
                <w:ilvl w:val="6"/>
                <w:numId w:val="1"/>
              </w:numPr>
              <w:tabs>
                <w:tab w:val="right" w:pos="1080"/>
                <w:tab w:val="right" w:leader="dot" w:pos="9365"/>
              </w:tabs>
              <w:spacing w:after="140"/>
              <w:ind w:firstLine="756"/>
            </w:pPr>
            <w:r>
              <w:rPr>
                <w:rFonts w:hint="eastAsia"/>
              </w:rPr>
              <w:t>第</w:t>
            </w:r>
            <w:r w:rsidR="00885365">
              <w:rPr>
                <w:rFonts w:hint="eastAsia"/>
              </w:rPr>
              <w:t>16</w:t>
            </w:r>
            <w:r>
              <w:rPr>
                <w:rFonts w:hint="eastAsia"/>
              </w:rPr>
              <w:t>条：确保妇女在婚姻和家庭生活中的平等</w:t>
            </w:r>
            <w:r w:rsidR="00885365">
              <w:tab/>
            </w:r>
          </w:p>
        </w:tc>
        <w:tc>
          <w:tcPr>
            <w:tcW w:w="537" w:type="dxa"/>
            <w:shd w:val="clear" w:color="auto" w:fill="auto"/>
            <w:vAlign w:val="bottom"/>
          </w:tcPr>
          <w:p w:rsidR="00A65DD4" w:rsidRDefault="00B064C7" w:rsidP="001C2EF2">
            <w:pPr>
              <w:spacing w:after="140"/>
              <w:ind w:right="28"/>
              <w:jc w:val="right"/>
              <w:rPr>
                <w:rFonts w:hint="eastAsia"/>
              </w:rPr>
            </w:pPr>
            <w:r>
              <w:rPr>
                <w:rFonts w:hint="eastAsia"/>
              </w:rPr>
              <w:t>44</w:t>
            </w:r>
          </w:p>
        </w:tc>
      </w:tr>
      <w:tr w:rsidR="00A65DD4" w:rsidTr="008479E5">
        <w:tblPrEx>
          <w:tblCellMar>
            <w:top w:w="0" w:type="dxa"/>
            <w:bottom w:w="0" w:type="dxa"/>
          </w:tblCellMar>
        </w:tblPrEx>
        <w:trPr>
          <w:cantSplit/>
        </w:trPr>
        <w:tc>
          <w:tcPr>
            <w:tcW w:w="9365" w:type="dxa"/>
            <w:gridSpan w:val="2"/>
          </w:tcPr>
          <w:p w:rsidR="00A65DD4" w:rsidRDefault="00A65DD4" w:rsidP="00A65DD4">
            <w:pPr>
              <w:numPr>
                <w:ilvl w:val="6"/>
                <w:numId w:val="1"/>
              </w:numPr>
              <w:tabs>
                <w:tab w:val="right" w:pos="1080"/>
                <w:tab w:val="right" w:leader="dot" w:pos="8381"/>
              </w:tabs>
              <w:spacing w:after="140"/>
            </w:pPr>
          </w:p>
        </w:tc>
        <w:tc>
          <w:tcPr>
            <w:tcW w:w="537" w:type="dxa"/>
            <w:shd w:val="clear" w:color="auto" w:fill="auto"/>
            <w:vAlign w:val="bottom"/>
          </w:tcPr>
          <w:p w:rsidR="00A65DD4" w:rsidRDefault="00A65DD4" w:rsidP="001C2EF2">
            <w:pPr>
              <w:spacing w:after="140"/>
              <w:ind w:right="28"/>
              <w:jc w:val="right"/>
              <w:rPr>
                <w:rFonts w:hint="eastAsia"/>
              </w:rPr>
            </w:pPr>
          </w:p>
        </w:tc>
      </w:tr>
    </w:tbl>
    <w:p w:rsidR="008479E5" w:rsidRDefault="008479E5" w:rsidP="008479E5"/>
    <w:p w:rsidR="008479E5" w:rsidRDefault="008479E5" w:rsidP="008479E5">
      <w:pPr>
        <w:pStyle w:val="SingleTxt"/>
        <w:rPr>
          <w:rFonts w:hint="eastAsia"/>
        </w:rPr>
      </w:pP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tab/>
      </w:r>
      <w:r>
        <w:tab/>
      </w:r>
      <w:r>
        <w:rPr>
          <w:rFonts w:hint="eastAsia"/>
        </w:rPr>
        <w:t>第一部分</w:t>
      </w:r>
      <w:r>
        <w:br/>
      </w:r>
      <w:r>
        <w:rPr>
          <w:rFonts w:hint="eastAsia"/>
        </w:rPr>
        <w:t>巴哈马国总体情况</w:t>
      </w:r>
    </w:p>
    <w:p w:rsidR="008479E5" w:rsidRPr="002B0E73"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Pr="002B0E73"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hint="eastAsia"/>
        </w:rPr>
        <w:t>一.</w:t>
      </w:r>
      <w:r>
        <w:rPr>
          <w:rFonts w:hint="eastAsia"/>
        </w:rPr>
        <w:tab/>
        <w:t>导言</w:t>
      </w:r>
    </w:p>
    <w:p w:rsidR="008479E5" w:rsidRPr="002B0E73" w:rsidRDefault="008479E5" w:rsidP="008479E5">
      <w:pPr>
        <w:pStyle w:val="SingleTxt"/>
        <w:spacing w:after="0" w:line="120" w:lineRule="exact"/>
        <w:rPr>
          <w:sz w:val="10"/>
        </w:rPr>
      </w:pPr>
    </w:p>
    <w:p w:rsidR="008479E5" w:rsidRPr="002B0E73" w:rsidRDefault="008479E5" w:rsidP="008479E5">
      <w:pPr>
        <w:pStyle w:val="SingleTxt"/>
        <w:spacing w:after="0" w:line="120" w:lineRule="exact"/>
        <w:rPr>
          <w:sz w:val="10"/>
        </w:rPr>
      </w:pPr>
    </w:p>
    <w:p w:rsidR="008479E5" w:rsidRDefault="008479E5" w:rsidP="008479E5">
      <w:pPr>
        <w:pStyle w:val="SingleTxt"/>
        <w:rPr>
          <w:rFonts w:hint="eastAsia"/>
        </w:rPr>
      </w:pPr>
      <w:r>
        <w:rPr>
          <w:rFonts w:hint="eastAsia"/>
        </w:rPr>
        <w:t>1.</w:t>
      </w:r>
      <w:r>
        <w:rPr>
          <w:rFonts w:hint="eastAsia"/>
        </w:rPr>
        <w:tab/>
        <w:t>巴哈马国政府维护和促进巴哈马国各地每一个人的基本人权，这是其民主制度的一个组成部分。</w:t>
      </w:r>
    </w:p>
    <w:p w:rsidR="008479E5" w:rsidRDefault="008479E5" w:rsidP="008479E5">
      <w:pPr>
        <w:pStyle w:val="SingleTxt"/>
        <w:rPr>
          <w:rFonts w:hint="eastAsia"/>
        </w:rPr>
      </w:pPr>
      <w:r>
        <w:rPr>
          <w:rFonts w:hint="eastAsia"/>
        </w:rPr>
        <w:t>2.</w:t>
      </w:r>
      <w:r>
        <w:rPr>
          <w:rFonts w:hint="eastAsia"/>
        </w:rPr>
        <w:tab/>
        <w:t>巴哈马政府已作出努力，确保巴哈马法律和政府政策符合国际人权文书规定的原则。执行这些文书对于巴哈马各地政治、司法、经济和社会发展的方方面面至关重要，而这些都已成为巴哈马社会政治环境中的基本特征。</w:t>
      </w:r>
    </w:p>
    <w:p w:rsidR="008479E5" w:rsidRPr="002B0E73"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hint="eastAsia"/>
        </w:rPr>
        <w:t>二.</w:t>
      </w:r>
      <w:r>
        <w:rPr>
          <w:rFonts w:hint="eastAsia"/>
        </w:rPr>
        <w:tab/>
        <w:t>地理</w:t>
      </w:r>
    </w:p>
    <w:p w:rsidR="008479E5" w:rsidRPr="002B0E73" w:rsidRDefault="008479E5" w:rsidP="008479E5">
      <w:pPr>
        <w:pStyle w:val="SingleTxt"/>
        <w:spacing w:after="0" w:line="120" w:lineRule="exact"/>
        <w:rPr>
          <w:rFonts w:hint="eastAsia"/>
          <w:sz w:val="10"/>
        </w:rPr>
      </w:pPr>
    </w:p>
    <w:p w:rsidR="008479E5" w:rsidRPr="002B0E73"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3.</w:t>
      </w:r>
      <w:r>
        <w:rPr>
          <w:rFonts w:hint="eastAsia"/>
        </w:rPr>
        <w:tab/>
        <w:t>巴哈马群岛(面积：5</w:t>
      </w:r>
      <w:r>
        <w:t xml:space="preserve"> </w:t>
      </w:r>
      <w:r>
        <w:rPr>
          <w:rFonts w:hint="eastAsia"/>
        </w:rPr>
        <w:t>358平方英里/13</w:t>
      </w:r>
      <w:r>
        <w:t xml:space="preserve"> </w:t>
      </w:r>
      <w:r>
        <w:rPr>
          <w:rFonts w:hint="eastAsia"/>
        </w:rPr>
        <w:t>878平方公里)位于加勒比群岛最北部，位于北纬20°-27°，西经72°-79°。巴哈马群岛的地形基本上平坦，由珊瑚礁组成。不过，大西洋中最东部的岛屿为丘陵地形。最高点位于Cat岛的Alervia山，海拔高度为206英尺。</w:t>
      </w:r>
    </w:p>
    <w:p w:rsidR="008479E5" w:rsidRPr="00C102F1"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hint="eastAsia"/>
        </w:rPr>
        <w:t>三.</w:t>
      </w:r>
      <w:r>
        <w:rPr>
          <w:rFonts w:hint="eastAsia"/>
        </w:rPr>
        <w:tab/>
        <w:t>历史</w:t>
      </w:r>
    </w:p>
    <w:p w:rsidR="008479E5" w:rsidRPr="00C102F1" w:rsidRDefault="008479E5" w:rsidP="008479E5">
      <w:pPr>
        <w:pStyle w:val="SingleTxt"/>
        <w:spacing w:after="0" w:line="120" w:lineRule="exact"/>
        <w:rPr>
          <w:rFonts w:hint="eastAsia"/>
          <w:sz w:val="10"/>
        </w:rPr>
      </w:pPr>
    </w:p>
    <w:p w:rsidR="008479E5" w:rsidRPr="00C102F1"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4.</w:t>
      </w:r>
      <w:r>
        <w:rPr>
          <w:rFonts w:hint="eastAsia"/>
        </w:rPr>
        <w:tab/>
        <w:t>卢卡扬人被称为巴哈马群岛最早的居民，因为他们是克里斯托弗·哥伦布在1492年抵达巴哈马，使巴哈马成为新世界中的第一登陆地时遇到的人。</w:t>
      </w:r>
    </w:p>
    <w:p w:rsidR="008479E5" w:rsidRPr="00C102F1"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hint="eastAsia"/>
        </w:rPr>
        <w:t>四.</w:t>
      </w:r>
      <w:r>
        <w:rPr>
          <w:rFonts w:hint="eastAsia"/>
        </w:rPr>
        <w:tab/>
        <w:t>人口</w:t>
      </w:r>
    </w:p>
    <w:p w:rsidR="008479E5" w:rsidRPr="00C102F1" w:rsidRDefault="008479E5" w:rsidP="008479E5">
      <w:pPr>
        <w:pStyle w:val="SingleTxt"/>
        <w:spacing w:after="0" w:line="120" w:lineRule="exact"/>
        <w:rPr>
          <w:rFonts w:hint="eastAsia"/>
          <w:sz w:val="10"/>
        </w:rPr>
      </w:pPr>
    </w:p>
    <w:p w:rsidR="008479E5" w:rsidRPr="00C102F1"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5.</w:t>
      </w:r>
      <w:r>
        <w:rPr>
          <w:rFonts w:hint="eastAsia"/>
        </w:rPr>
        <w:tab/>
        <w:t>根据最近进行的2010年人口普查，巴哈马国的人口初步统计数字为353 658人，其中男性170 926人，女性182 732人。到2030年，巴哈马的人口预计将比2010年人口普查数增加20.5%，增加到426 300人。</w:t>
      </w:r>
    </w:p>
    <w:p w:rsidR="008479E5" w:rsidRDefault="008479E5" w:rsidP="008479E5">
      <w:pPr>
        <w:pStyle w:val="SingleTxt"/>
        <w:rPr>
          <w:rFonts w:hint="eastAsia"/>
        </w:rPr>
      </w:pPr>
      <w:r>
        <w:rPr>
          <w:rFonts w:hint="eastAsia"/>
        </w:rPr>
        <w:t>6.</w:t>
      </w:r>
      <w:r>
        <w:rPr>
          <w:rFonts w:hint="eastAsia"/>
        </w:rPr>
        <w:tab/>
        <w:t>2010年，巴哈马国的人口仍然相对年轻，其中大约四分之一(25%)未满15岁，这一比例同2000年的29.3%相比有显著下降。65岁及以上年龄组所占比例从2000年的5.2%增加到2010年的6.1%。</w:t>
      </w:r>
    </w:p>
    <w:p w:rsidR="008479E5" w:rsidRDefault="008479E5" w:rsidP="008479E5">
      <w:pPr>
        <w:pStyle w:val="SingleTxt"/>
        <w:rPr>
          <w:rFonts w:hint="eastAsia"/>
        </w:rPr>
      </w:pPr>
      <w:r>
        <w:rPr>
          <w:rFonts w:hint="eastAsia"/>
        </w:rPr>
        <w:t>7.</w:t>
      </w:r>
      <w:r>
        <w:rPr>
          <w:rFonts w:hint="eastAsia"/>
        </w:rPr>
        <w:tab/>
        <w:t>根据2010年人口普查，巴哈马群岛的人口增长情况列于本报告表1(按岛屿分列的人口分布百分比——2000年人口普查和2010年人口普查)。在2000年人口普查和2010年人口普查期间，12个岛屿的人口有所增加，7个岛屿有所下降。巴哈马的人口模式集中，即整个巴哈马群岛的人口分散广泛但不均匀。从本报告表2可以看出，巴哈马群岛的人口密集分布在新普罗维登，分布百分比为70.39%，大巴哈马的分布百分比为14.63%。由于巴哈马群岛很分散，分布不均现象看起来更加严重，因为人们分布于众多的岛屿和珊瑚礁。</w:t>
      </w:r>
    </w:p>
    <w:p w:rsidR="008479E5" w:rsidRPr="008479E5" w:rsidRDefault="008479E5" w:rsidP="008479E5">
      <w:pPr>
        <w:pStyle w:val="SingleTxt"/>
        <w:spacing w:after="0" w:line="120" w:lineRule="exact"/>
        <w:rPr>
          <w:rFonts w:hint="eastAsia"/>
          <w:sz w:val="10"/>
        </w:rPr>
      </w:pPr>
    </w:p>
    <w:p w:rsidR="008479E5" w:rsidRPr="000773EA" w:rsidRDefault="008479E5" w:rsidP="008479E5">
      <w:pPr>
        <w:pStyle w:val="SingleTxt"/>
        <w:rPr>
          <w:rFonts w:ascii="SimHei" w:eastAsia="SimHei"/>
        </w:rPr>
      </w:pPr>
      <w:r>
        <w:rPr>
          <w:rFonts w:hint="eastAsia"/>
        </w:rPr>
        <w:t>表1</w:t>
      </w:r>
      <w:r>
        <w:br/>
      </w:r>
      <w:r w:rsidRPr="00C102F1">
        <w:rPr>
          <w:rFonts w:ascii="SimHei" w:eastAsia="SimHei" w:hint="eastAsia"/>
        </w:rPr>
        <w:t>按岛屿分列的人口分布百分比</w:t>
      </w:r>
      <w:r w:rsidRPr="000773EA">
        <w:rPr>
          <w:rFonts w:ascii="SimHei" w:eastAsia="SimHei" w:hint="eastAsia"/>
        </w:rPr>
        <w:t>2000年人口普查和2010年人口普查</w:t>
      </w: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23"/>
        <w:gridCol w:w="1341"/>
        <w:gridCol w:w="1464"/>
      </w:tblGrid>
      <w:tr w:rsidR="008479E5" w:rsidRPr="000773EA" w:rsidTr="001C2EF2">
        <w:tblPrEx>
          <w:tblCellMar>
            <w:top w:w="0" w:type="dxa"/>
            <w:bottom w:w="0" w:type="dxa"/>
          </w:tblCellMar>
        </w:tblPrEx>
        <w:trPr>
          <w:tblHeader/>
        </w:trPr>
        <w:tc>
          <w:tcPr>
            <w:tcW w:w="1464" w:type="dxa"/>
            <w:vMerge w:val="restart"/>
            <w:tcBorders>
              <w:top w:val="single" w:sz="4" w:space="0" w:color="auto"/>
            </w:tcBorders>
            <w:shd w:val="clear" w:color="auto" w:fill="auto"/>
            <w:vAlign w:val="bottom"/>
          </w:tcPr>
          <w:p w:rsidR="008479E5" w:rsidRPr="000773EA" w:rsidRDefault="008479E5" w:rsidP="001C2EF2">
            <w:pPr>
              <w:tabs>
                <w:tab w:val="left" w:pos="360"/>
                <w:tab w:val="left" w:pos="720"/>
                <w:tab w:val="left" w:pos="1080"/>
                <w:tab w:val="left" w:pos="1440"/>
              </w:tabs>
              <w:suppressAutoHyphens/>
              <w:spacing w:before="60" w:after="60" w:line="200" w:lineRule="exact"/>
              <w:ind w:right="57"/>
              <w:rPr>
                <w:rFonts w:ascii="KaiTi_GB2312" w:eastAsia="KaiTi_GB2312"/>
                <w:sz w:val="15"/>
              </w:rPr>
            </w:pPr>
            <w:r w:rsidRPr="000773EA">
              <w:rPr>
                <w:rFonts w:ascii="KaiTi_GB2312" w:eastAsia="KaiTi_GB2312"/>
                <w:sz w:val="15"/>
                <w:szCs w:val="21"/>
              </w:rPr>
              <w:t>岛屿</w:t>
            </w:r>
          </w:p>
        </w:tc>
        <w:tc>
          <w:tcPr>
            <w:tcW w:w="2928" w:type="dxa"/>
            <w:gridSpan w:val="2"/>
            <w:tcBorders>
              <w:top w:val="single" w:sz="4" w:space="0" w:color="auto"/>
              <w:bottom w:val="single" w:sz="4" w:space="0" w:color="auto"/>
            </w:tcBorders>
            <w:shd w:val="clear" w:color="auto" w:fill="auto"/>
            <w:vAlign w:val="bottom"/>
          </w:tcPr>
          <w:p w:rsidR="008479E5" w:rsidRPr="000773EA" w:rsidRDefault="008479E5" w:rsidP="001C2EF2">
            <w:pPr>
              <w:suppressAutoHyphens/>
              <w:spacing w:before="60" w:after="60" w:line="200" w:lineRule="exact"/>
              <w:ind w:right="57"/>
              <w:jc w:val="center"/>
              <w:rPr>
                <w:rFonts w:ascii="KaiTi_GB2312" w:eastAsia="KaiTi_GB2312" w:hAnsi="SimSun"/>
                <w:sz w:val="15"/>
                <w:szCs w:val="17"/>
              </w:rPr>
            </w:pPr>
            <w:r w:rsidRPr="000773EA">
              <w:rPr>
                <w:rFonts w:ascii="KaiTi_GB2312" w:eastAsia="KaiTi_GB2312" w:hAnsi="SimSun"/>
                <w:sz w:val="15"/>
                <w:szCs w:val="17"/>
              </w:rPr>
              <w:t>2000年人口普查</w:t>
            </w:r>
          </w:p>
        </w:tc>
        <w:tc>
          <w:tcPr>
            <w:tcW w:w="123" w:type="dxa"/>
            <w:tcBorders>
              <w:top w:val="single" w:sz="4" w:space="0" w:color="auto"/>
            </w:tcBorders>
            <w:shd w:val="clear" w:color="auto" w:fill="auto"/>
            <w:vAlign w:val="bottom"/>
          </w:tcPr>
          <w:p w:rsidR="008479E5" w:rsidRPr="000773EA" w:rsidRDefault="008479E5" w:rsidP="001C2EF2">
            <w:pPr>
              <w:tabs>
                <w:tab w:val="left" w:pos="360"/>
                <w:tab w:val="left" w:pos="720"/>
                <w:tab w:val="left" w:pos="1080"/>
                <w:tab w:val="left" w:pos="1440"/>
              </w:tabs>
              <w:suppressAutoHyphens/>
              <w:spacing w:before="60" w:after="60" w:line="200" w:lineRule="exact"/>
              <w:ind w:right="57"/>
              <w:jc w:val="center"/>
              <w:rPr>
                <w:rFonts w:ascii="KaiTi_GB2312" w:eastAsia="KaiTi_GB2312"/>
                <w:sz w:val="15"/>
              </w:rPr>
            </w:pPr>
          </w:p>
        </w:tc>
        <w:tc>
          <w:tcPr>
            <w:tcW w:w="2805" w:type="dxa"/>
            <w:gridSpan w:val="2"/>
            <w:tcBorders>
              <w:top w:val="single" w:sz="4" w:space="0" w:color="auto"/>
              <w:bottom w:val="single" w:sz="4" w:space="0" w:color="auto"/>
            </w:tcBorders>
            <w:shd w:val="clear" w:color="auto" w:fill="auto"/>
            <w:vAlign w:val="bottom"/>
          </w:tcPr>
          <w:p w:rsidR="008479E5" w:rsidRPr="000773EA" w:rsidRDefault="008479E5" w:rsidP="001C2EF2">
            <w:pPr>
              <w:tabs>
                <w:tab w:val="left" w:pos="360"/>
                <w:tab w:val="left" w:pos="720"/>
                <w:tab w:val="left" w:pos="1080"/>
                <w:tab w:val="left" w:pos="1440"/>
              </w:tabs>
              <w:suppressAutoHyphens/>
              <w:spacing w:before="60" w:after="60" w:line="200" w:lineRule="exact"/>
              <w:ind w:right="57"/>
              <w:jc w:val="center"/>
              <w:rPr>
                <w:rFonts w:ascii="KaiTi_GB2312" w:eastAsia="KaiTi_GB2312"/>
                <w:sz w:val="15"/>
              </w:rPr>
            </w:pPr>
            <w:r w:rsidRPr="000773EA">
              <w:rPr>
                <w:rFonts w:ascii="KaiTi_GB2312" w:eastAsia="KaiTi_GB2312" w:hAnsi="SimSun"/>
                <w:sz w:val="15"/>
                <w:szCs w:val="17"/>
              </w:rPr>
              <w:t>2010年人口普查</w:t>
            </w:r>
          </w:p>
        </w:tc>
      </w:tr>
      <w:tr w:rsidR="008479E5" w:rsidRPr="000773EA" w:rsidTr="001C2EF2">
        <w:tblPrEx>
          <w:tblCellMar>
            <w:top w:w="0" w:type="dxa"/>
            <w:bottom w:w="0" w:type="dxa"/>
          </w:tblCellMar>
        </w:tblPrEx>
        <w:trPr>
          <w:tblHeader/>
        </w:trPr>
        <w:tc>
          <w:tcPr>
            <w:tcW w:w="1464" w:type="dxa"/>
            <w:vMerge/>
            <w:tcBorders>
              <w:bottom w:val="single" w:sz="12" w:space="0" w:color="auto"/>
            </w:tcBorders>
            <w:shd w:val="clear" w:color="auto" w:fill="auto"/>
            <w:vAlign w:val="bottom"/>
          </w:tcPr>
          <w:p w:rsidR="008479E5" w:rsidRPr="000773EA" w:rsidRDefault="008479E5" w:rsidP="001C2EF2">
            <w:pPr>
              <w:tabs>
                <w:tab w:val="left" w:pos="360"/>
                <w:tab w:val="left" w:pos="720"/>
                <w:tab w:val="left" w:pos="1080"/>
                <w:tab w:val="left" w:pos="1440"/>
              </w:tabs>
              <w:suppressAutoHyphens/>
              <w:spacing w:after="60" w:line="200" w:lineRule="exact"/>
              <w:ind w:right="57"/>
              <w:rPr>
                <w:rFonts w:ascii="KaiTi_GB2312" w:eastAsia="KaiTi_GB2312"/>
                <w:sz w:val="15"/>
              </w:rPr>
            </w:pPr>
          </w:p>
        </w:tc>
        <w:tc>
          <w:tcPr>
            <w:tcW w:w="1464" w:type="dxa"/>
            <w:tcBorders>
              <w:top w:val="single" w:sz="4" w:space="0" w:color="auto"/>
              <w:bottom w:val="single" w:sz="12" w:space="0" w:color="auto"/>
            </w:tcBorders>
            <w:shd w:val="clear" w:color="auto" w:fill="auto"/>
            <w:vAlign w:val="bottom"/>
          </w:tcPr>
          <w:p w:rsidR="008479E5" w:rsidRPr="000773EA" w:rsidRDefault="008479E5" w:rsidP="001C2EF2">
            <w:pPr>
              <w:suppressAutoHyphens/>
              <w:spacing w:before="120" w:after="60" w:line="200" w:lineRule="exact"/>
              <w:ind w:right="57"/>
              <w:jc w:val="right"/>
              <w:rPr>
                <w:rFonts w:ascii="KaiTi_GB2312" w:eastAsia="KaiTi_GB2312" w:hAnsi="SimSun"/>
                <w:sz w:val="15"/>
                <w:szCs w:val="17"/>
              </w:rPr>
            </w:pPr>
            <w:r w:rsidRPr="000773EA">
              <w:rPr>
                <w:rFonts w:ascii="KaiTi_GB2312" w:eastAsia="KaiTi_GB2312" w:hAnsi="SimSun"/>
                <w:sz w:val="15"/>
                <w:szCs w:val="17"/>
              </w:rPr>
              <w:t>人口</w:t>
            </w:r>
          </w:p>
        </w:tc>
        <w:tc>
          <w:tcPr>
            <w:tcW w:w="1464" w:type="dxa"/>
            <w:tcBorders>
              <w:top w:val="single" w:sz="4" w:space="0" w:color="auto"/>
              <w:bottom w:val="single" w:sz="12" w:space="0" w:color="auto"/>
            </w:tcBorders>
            <w:shd w:val="clear" w:color="auto" w:fill="auto"/>
            <w:vAlign w:val="bottom"/>
          </w:tcPr>
          <w:p w:rsidR="008479E5" w:rsidRPr="000773EA" w:rsidRDefault="008479E5" w:rsidP="001C2EF2">
            <w:pPr>
              <w:suppressAutoHyphens/>
              <w:spacing w:before="120" w:after="60" w:line="200" w:lineRule="exact"/>
              <w:ind w:right="57"/>
              <w:jc w:val="right"/>
              <w:rPr>
                <w:rFonts w:ascii="KaiTi_GB2312" w:eastAsia="KaiTi_GB2312" w:hAnsi="SimSun"/>
                <w:sz w:val="15"/>
                <w:szCs w:val="17"/>
              </w:rPr>
            </w:pPr>
            <w:r w:rsidRPr="000773EA">
              <w:rPr>
                <w:rFonts w:ascii="KaiTi_GB2312" w:eastAsia="KaiTi_GB2312" w:hAnsi="SimSun"/>
                <w:sz w:val="15"/>
                <w:szCs w:val="17"/>
              </w:rPr>
              <w:t>百分比</w:t>
            </w:r>
          </w:p>
        </w:tc>
        <w:tc>
          <w:tcPr>
            <w:tcW w:w="1464" w:type="dxa"/>
            <w:gridSpan w:val="2"/>
            <w:tcBorders>
              <w:bottom w:val="single" w:sz="12" w:space="0" w:color="auto"/>
            </w:tcBorders>
            <w:shd w:val="clear" w:color="auto" w:fill="auto"/>
            <w:vAlign w:val="bottom"/>
          </w:tcPr>
          <w:p w:rsidR="008479E5" w:rsidRPr="000773EA" w:rsidRDefault="008479E5" w:rsidP="001C2EF2">
            <w:pPr>
              <w:suppressAutoHyphens/>
              <w:spacing w:before="120" w:after="60" w:line="200" w:lineRule="exact"/>
              <w:ind w:right="57"/>
              <w:jc w:val="right"/>
              <w:rPr>
                <w:rFonts w:ascii="KaiTi_GB2312" w:eastAsia="KaiTi_GB2312" w:hAnsi="SimSun"/>
                <w:sz w:val="15"/>
                <w:szCs w:val="17"/>
              </w:rPr>
            </w:pPr>
            <w:r w:rsidRPr="000773EA">
              <w:rPr>
                <w:rFonts w:ascii="KaiTi_GB2312" w:eastAsia="KaiTi_GB2312" w:hAnsi="SimSun"/>
                <w:sz w:val="15"/>
                <w:szCs w:val="17"/>
              </w:rPr>
              <w:t>人口</w:t>
            </w:r>
          </w:p>
        </w:tc>
        <w:tc>
          <w:tcPr>
            <w:tcW w:w="1464" w:type="dxa"/>
            <w:tcBorders>
              <w:bottom w:val="single" w:sz="12" w:space="0" w:color="auto"/>
            </w:tcBorders>
            <w:shd w:val="clear" w:color="auto" w:fill="auto"/>
            <w:vAlign w:val="bottom"/>
          </w:tcPr>
          <w:p w:rsidR="008479E5" w:rsidRPr="000773EA" w:rsidRDefault="008479E5" w:rsidP="001C2EF2">
            <w:pPr>
              <w:suppressAutoHyphens/>
              <w:spacing w:before="120" w:after="60" w:line="200" w:lineRule="exact"/>
              <w:ind w:right="57"/>
              <w:jc w:val="right"/>
              <w:rPr>
                <w:rFonts w:ascii="KaiTi_GB2312" w:eastAsia="KaiTi_GB2312" w:hAnsi="SimSun"/>
                <w:sz w:val="15"/>
                <w:szCs w:val="17"/>
              </w:rPr>
            </w:pPr>
            <w:r w:rsidRPr="000773EA">
              <w:rPr>
                <w:rFonts w:ascii="KaiTi_GB2312" w:eastAsia="KaiTi_GB2312" w:hAnsi="SimSun"/>
                <w:sz w:val="15"/>
                <w:szCs w:val="17"/>
              </w:rPr>
              <w:t>分布百分比</w:t>
            </w:r>
          </w:p>
        </w:tc>
      </w:tr>
      <w:tr w:rsidR="008479E5" w:rsidRPr="000773EA" w:rsidTr="001C2EF2">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479E5" w:rsidRPr="000773EA" w:rsidRDefault="008479E5" w:rsidP="001C2EF2">
            <w:pPr>
              <w:suppressAutoHyphens/>
              <w:spacing w:after="60" w:line="280" w:lineRule="exact"/>
              <w:ind w:right="57"/>
              <w:rPr>
                <w:rFonts w:hAnsi="SimSun" w:hint="eastAsia"/>
                <w:sz w:val="17"/>
                <w:szCs w:val="17"/>
              </w:rPr>
            </w:pPr>
          </w:p>
        </w:tc>
        <w:tc>
          <w:tcPr>
            <w:tcW w:w="1464" w:type="dxa"/>
            <w:tcBorders>
              <w:top w:val="single" w:sz="12" w:space="0" w:color="auto"/>
            </w:tcBorders>
            <w:shd w:val="clear" w:color="auto" w:fill="auto"/>
            <w:vAlign w:val="bottom"/>
          </w:tcPr>
          <w:p w:rsidR="008479E5" w:rsidRPr="000773EA" w:rsidRDefault="008479E5" w:rsidP="001C2EF2">
            <w:pPr>
              <w:suppressAutoHyphens/>
              <w:spacing w:after="60" w:line="280" w:lineRule="exact"/>
              <w:ind w:right="57"/>
              <w:jc w:val="right"/>
              <w:rPr>
                <w:rFonts w:hAnsi="SimSun"/>
                <w:sz w:val="17"/>
                <w:szCs w:val="17"/>
              </w:rPr>
            </w:pPr>
          </w:p>
        </w:tc>
        <w:tc>
          <w:tcPr>
            <w:tcW w:w="1464" w:type="dxa"/>
            <w:tcBorders>
              <w:top w:val="single" w:sz="12" w:space="0" w:color="auto"/>
            </w:tcBorders>
            <w:shd w:val="clear" w:color="auto" w:fill="auto"/>
            <w:vAlign w:val="bottom"/>
          </w:tcPr>
          <w:p w:rsidR="008479E5" w:rsidRPr="000773EA" w:rsidRDefault="008479E5" w:rsidP="001C2EF2">
            <w:pPr>
              <w:suppressAutoHyphens/>
              <w:spacing w:after="60" w:line="280" w:lineRule="exact"/>
              <w:ind w:right="57"/>
              <w:jc w:val="right"/>
              <w:rPr>
                <w:rFonts w:hAnsi="SimSun"/>
                <w:sz w:val="17"/>
                <w:szCs w:val="17"/>
              </w:rPr>
            </w:pPr>
          </w:p>
        </w:tc>
        <w:tc>
          <w:tcPr>
            <w:tcW w:w="1464" w:type="dxa"/>
            <w:gridSpan w:val="2"/>
            <w:tcBorders>
              <w:top w:val="single" w:sz="12" w:space="0" w:color="auto"/>
            </w:tcBorders>
            <w:shd w:val="clear" w:color="auto" w:fill="auto"/>
            <w:vAlign w:val="bottom"/>
          </w:tcPr>
          <w:p w:rsidR="008479E5" w:rsidRPr="000773EA" w:rsidRDefault="008479E5" w:rsidP="001C2EF2">
            <w:pPr>
              <w:suppressAutoHyphens/>
              <w:spacing w:after="60" w:line="280" w:lineRule="exact"/>
              <w:ind w:right="57"/>
              <w:jc w:val="right"/>
              <w:rPr>
                <w:rFonts w:hAnsi="SimSun"/>
                <w:sz w:val="17"/>
                <w:szCs w:val="17"/>
              </w:rPr>
            </w:pPr>
          </w:p>
        </w:tc>
        <w:tc>
          <w:tcPr>
            <w:tcW w:w="1464" w:type="dxa"/>
            <w:tcBorders>
              <w:top w:val="single" w:sz="12" w:space="0" w:color="auto"/>
            </w:tcBorders>
            <w:shd w:val="clear" w:color="auto" w:fill="auto"/>
            <w:vAlign w:val="bottom"/>
          </w:tcPr>
          <w:p w:rsidR="008479E5" w:rsidRPr="000773EA" w:rsidRDefault="008479E5" w:rsidP="001C2EF2">
            <w:pPr>
              <w:suppressAutoHyphens/>
              <w:spacing w:after="60" w:line="280" w:lineRule="exact"/>
              <w:ind w:right="57"/>
              <w:jc w:val="right"/>
              <w:rPr>
                <w:rFonts w:hAnsi="SimSun"/>
                <w:sz w:val="17"/>
                <w:szCs w:val="17"/>
              </w:rPr>
            </w:pP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hint="eastAsia"/>
                <w:sz w:val="17"/>
                <w:szCs w:val="17"/>
              </w:rPr>
              <w:t>全</w:t>
            </w:r>
            <w:r w:rsidRPr="000773EA">
              <w:rPr>
                <w:rFonts w:hAnsi="SimSun"/>
                <w:sz w:val="17"/>
                <w:szCs w:val="17"/>
              </w:rPr>
              <w:t>巴哈马</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303 611</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100</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352 658</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100</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新普罗维登斯</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210 832</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69.44</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248 948</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70.39</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大巴哈马</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46 994</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15.48</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51 756</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14.63</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阿巴科</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13 170</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4.34</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16 692</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4.72</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Acklins</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428</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0.14</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560</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0.16</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安德罗斯</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7 686</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2.53</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7 386</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2.09</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贝里群岛</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709</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0.23</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798</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0.23</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Bimini</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1 717</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0.57</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2 008</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0.57</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smartTag w:uri="urn:schemas-microsoft-com:office:smarttags" w:element="place">
              <w:smartTag w:uri="urn:schemas-microsoft-com:office:smarttags" w:element="PlaceName">
                <w:r w:rsidRPr="000773EA">
                  <w:rPr>
                    <w:rFonts w:hAnsi="SimSun"/>
                    <w:sz w:val="17"/>
                    <w:szCs w:val="17"/>
                  </w:rPr>
                  <w:t>Cat</w:t>
                </w:r>
              </w:smartTag>
              <w:r w:rsidRPr="000773EA">
                <w:rPr>
                  <w:rFonts w:hAnsi="SimSun"/>
                  <w:sz w:val="17"/>
                  <w:szCs w:val="17"/>
                </w:rPr>
                <w:t xml:space="preserve"> </w:t>
              </w:r>
              <w:smartTag w:uri="urn:schemas-microsoft-com:office:smarttags" w:element="PlaceType">
                <w:r w:rsidRPr="000773EA">
                  <w:rPr>
                    <w:rFonts w:hAnsi="SimSun"/>
                    <w:sz w:val="17"/>
                    <w:szCs w:val="17"/>
                  </w:rPr>
                  <w:t>Island</w:t>
                </w:r>
              </w:smartTag>
            </w:smartTag>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1 647</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0.54</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1 503</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0.42</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 xml:space="preserve">Crooked </w:t>
            </w:r>
            <w:smartTag w:uri="urn:schemas-microsoft-com:office:smarttags" w:element="place">
              <w:r w:rsidRPr="000773EA">
                <w:rPr>
                  <w:rFonts w:hAnsi="SimSun"/>
                  <w:sz w:val="17"/>
                  <w:szCs w:val="17"/>
                </w:rPr>
                <w:t>Island</w:t>
              </w:r>
            </w:smartTag>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350</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0.12</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323</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0.09</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伊柳塞拉</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7 999</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2.63</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7 826</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2.21</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埃克苏马和珊瑚礁</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3 571</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1.18</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7 314</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2.07</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海港岛</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1 639</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0.54</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1 702</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0.48</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伊纳瓜</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969</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0.32</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911</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0.26</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长岛</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2 992</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0.99</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3 024</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0.86</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Mayaguana</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259</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0.09</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271</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0.08</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 xml:space="preserve">Ragged </w:t>
            </w:r>
            <w:smartTag w:uri="urn:schemas-microsoft-com:office:smarttags" w:element="place">
              <w:r w:rsidRPr="000773EA">
                <w:rPr>
                  <w:rFonts w:hAnsi="SimSun"/>
                  <w:sz w:val="17"/>
                  <w:szCs w:val="17"/>
                </w:rPr>
                <w:t>Island</w:t>
              </w:r>
            </w:smartTag>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72</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0.02</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70</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0.02</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Rum Cay</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80</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0.03</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99</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0.03</w:t>
            </w:r>
          </w:p>
        </w:tc>
      </w:tr>
      <w:tr w:rsidR="008479E5" w:rsidRPr="000773EA" w:rsidTr="001C2EF2">
        <w:tblPrEx>
          <w:tblCellMar>
            <w:top w:w="0" w:type="dxa"/>
            <w:bottom w:w="0" w:type="dxa"/>
          </w:tblCellMar>
        </w:tblPrEx>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圣萨尔瓦多</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970</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0.32</w:t>
            </w:r>
          </w:p>
        </w:tc>
        <w:tc>
          <w:tcPr>
            <w:tcW w:w="1464" w:type="dxa"/>
            <w:gridSpan w:val="2"/>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930</w:t>
            </w:r>
          </w:p>
        </w:tc>
        <w:tc>
          <w:tcPr>
            <w:tcW w:w="1464" w:type="dxa"/>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0.26</w:t>
            </w:r>
          </w:p>
        </w:tc>
      </w:tr>
      <w:tr w:rsidR="008479E5" w:rsidRPr="000773EA" w:rsidTr="001C2EF2">
        <w:tblPrEx>
          <w:tblCellMar>
            <w:top w:w="0" w:type="dxa"/>
            <w:bottom w:w="0" w:type="dxa"/>
          </w:tblCellMar>
        </w:tblPrEx>
        <w:tc>
          <w:tcPr>
            <w:tcW w:w="1464" w:type="dxa"/>
            <w:tcBorders>
              <w:bottom w:val="single" w:sz="12" w:space="0" w:color="auto"/>
            </w:tcBorders>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0773EA">
              <w:rPr>
                <w:rFonts w:hAnsi="SimSun"/>
                <w:sz w:val="17"/>
                <w:szCs w:val="17"/>
              </w:rPr>
              <w:t>Spanish Wells</w:t>
            </w:r>
          </w:p>
        </w:tc>
        <w:tc>
          <w:tcPr>
            <w:tcW w:w="1464" w:type="dxa"/>
            <w:tcBorders>
              <w:bottom w:val="single" w:sz="12" w:space="0" w:color="auto"/>
            </w:tcBorders>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1 527</w:t>
            </w:r>
          </w:p>
        </w:tc>
        <w:tc>
          <w:tcPr>
            <w:tcW w:w="1464" w:type="dxa"/>
            <w:tcBorders>
              <w:bottom w:val="single" w:sz="12" w:space="0" w:color="auto"/>
            </w:tcBorders>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0.50</w:t>
            </w:r>
          </w:p>
        </w:tc>
        <w:tc>
          <w:tcPr>
            <w:tcW w:w="1464" w:type="dxa"/>
            <w:gridSpan w:val="2"/>
            <w:tcBorders>
              <w:bottom w:val="single" w:sz="12" w:space="0" w:color="auto"/>
            </w:tcBorders>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1 537</w:t>
            </w:r>
          </w:p>
        </w:tc>
        <w:tc>
          <w:tcPr>
            <w:tcW w:w="1464" w:type="dxa"/>
            <w:tcBorders>
              <w:bottom w:val="single" w:sz="12" w:space="0" w:color="auto"/>
            </w:tcBorders>
            <w:shd w:val="clear" w:color="auto" w:fill="auto"/>
            <w:vAlign w:val="bottom"/>
          </w:tcPr>
          <w:p w:rsidR="008479E5" w:rsidRPr="000773EA"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0773EA">
              <w:rPr>
                <w:rFonts w:hAnsi="SimSun"/>
                <w:sz w:val="17"/>
                <w:szCs w:val="17"/>
              </w:rPr>
              <w:t>0.43</w:t>
            </w:r>
          </w:p>
        </w:tc>
      </w:tr>
    </w:tbl>
    <w:p w:rsidR="008479E5" w:rsidRPr="000773EA" w:rsidRDefault="008479E5" w:rsidP="008479E5">
      <w:pPr>
        <w:spacing w:line="120" w:lineRule="exact"/>
        <w:rPr>
          <w:rFonts w:ascii="Times New Roman"/>
          <w:sz w:val="10"/>
          <w:szCs w:val="21"/>
        </w:rPr>
      </w:pPr>
    </w:p>
    <w:p w:rsidR="008479E5" w:rsidRDefault="008479E5" w:rsidP="008479E5">
      <w:pPr>
        <w:pStyle w:val="FootnoteText"/>
        <w:tabs>
          <w:tab w:val="clear" w:pos="418"/>
          <w:tab w:val="right" w:pos="1476"/>
          <w:tab w:val="left" w:pos="1548"/>
          <w:tab w:val="right" w:pos="1836"/>
          <w:tab w:val="left" w:pos="1908"/>
        </w:tabs>
        <w:ind w:left="1548" w:hanging="288"/>
      </w:pPr>
      <w:r w:rsidRPr="006F3750">
        <w:rPr>
          <w:rFonts w:ascii="KaiTi_GB2312" w:eastAsia="KaiTi_GB2312"/>
        </w:rPr>
        <w:t>资料来源</w:t>
      </w:r>
      <w:r>
        <w:t>：统计局数据</w:t>
      </w:r>
      <w:r>
        <w:rPr>
          <w:rFonts w:hint="eastAsia"/>
        </w:rPr>
        <w:t>。</w:t>
      </w:r>
    </w:p>
    <w:p w:rsidR="008479E5" w:rsidRPr="008479E5"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8.</w:t>
      </w:r>
      <w:r>
        <w:rPr>
          <w:rFonts w:hint="eastAsia"/>
        </w:rPr>
        <w:tab/>
        <w:t>巴哈马群岛最大岛屿安德罗斯岛占巴哈马群岛土地面积的近43%，但在2010年，只占总人口的2%。相比之下，巴哈马群岛首都新普罗维登仅占土地总面积的1.5%，但在2010年，占总人口的70%以上。新普罗维登斯和大巴哈马这两个主要岛屿大约占全国总人口的85%。</w:t>
      </w:r>
    </w:p>
    <w:p w:rsidR="008479E5" w:rsidRDefault="008479E5" w:rsidP="008479E5">
      <w:pPr>
        <w:pStyle w:val="SingleTxt"/>
        <w:rPr>
          <w:rFonts w:ascii="SimHei" w:eastAsia="SimHei" w:hint="eastAsia"/>
        </w:rPr>
      </w:pPr>
      <w:r>
        <w:br w:type="page"/>
      </w:r>
      <w:r>
        <w:rPr>
          <w:rFonts w:hint="eastAsia"/>
        </w:rPr>
        <w:t>表2</w:t>
      </w:r>
      <w:r>
        <w:br/>
      </w:r>
      <w:r w:rsidRPr="006F3750">
        <w:rPr>
          <w:rFonts w:ascii="SimHei" w:eastAsia="SimHei" w:hint="eastAsia"/>
        </w:rPr>
        <w:t>按岛屿分列的土地面积和人口密度——2010年人口普查</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590"/>
        <w:gridCol w:w="2070"/>
      </w:tblGrid>
      <w:tr w:rsidR="008479E5" w:rsidRPr="006F3750" w:rsidTr="001C2EF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479E5" w:rsidRPr="006F3750" w:rsidRDefault="008479E5" w:rsidP="001C2EF2">
            <w:pPr>
              <w:suppressAutoHyphens/>
              <w:spacing w:before="60" w:after="60" w:line="200" w:lineRule="exact"/>
              <w:ind w:right="57"/>
              <w:rPr>
                <w:rFonts w:ascii="KaiTi_GB2312" w:eastAsia="KaiTi_GB2312" w:hAnsi="SimSun"/>
                <w:sz w:val="15"/>
                <w:szCs w:val="17"/>
              </w:rPr>
            </w:pPr>
            <w:r w:rsidRPr="006F3750">
              <w:rPr>
                <w:rFonts w:ascii="KaiTi_GB2312" w:eastAsia="KaiTi_GB2312" w:hAnsi="SimSun"/>
                <w:sz w:val="15"/>
                <w:szCs w:val="17"/>
              </w:rPr>
              <w:t>岛屿</w:t>
            </w:r>
          </w:p>
        </w:tc>
        <w:tc>
          <w:tcPr>
            <w:tcW w:w="1830" w:type="dxa"/>
            <w:tcBorders>
              <w:top w:val="single" w:sz="4" w:space="0" w:color="auto"/>
              <w:bottom w:val="single" w:sz="12" w:space="0" w:color="auto"/>
            </w:tcBorders>
            <w:shd w:val="clear" w:color="auto" w:fill="auto"/>
            <w:vAlign w:val="bottom"/>
          </w:tcPr>
          <w:p w:rsidR="008479E5" w:rsidRPr="006F3750" w:rsidRDefault="008479E5" w:rsidP="001C2EF2">
            <w:pPr>
              <w:suppressAutoHyphens/>
              <w:spacing w:before="60" w:after="60" w:line="200" w:lineRule="exact"/>
              <w:ind w:right="57"/>
              <w:jc w:val="right"/>
              <w:rPr>
                <w:rFonts w:ascii="KaiTi_GB2312" w:eastAsia="KaiTi_GB2312" w:hAnsi="SimSun"/>
                <w:sz w:val="15"/>
                <w:szCs w:val="17"/>
              </w:rPr>
            </w:pPr>
            <w:r w:rsidRPr="006F3750">
              <w:rPr>
                <w:rFonts w:ascii="KaiTi_GB2312" w:eastAsia="KaiTi_GB2312" w:hAnsi="SimSun"/>
                <w:sz w:val="15"/>
                <w:szCs w:val="17"/>
              </w:rPr>
              <w:t>面积(平方英里)</w:t>
            </w:r>
          </w:p>
        </w:tc>
        <w:tc>
          <w:tcPr>
            <w:tcW w:w="1590" w:type="dxa"/>
            <w:tcBorders>
              <w:top w:val="single" w:sz="4" w:space="0" w:color="auto"/>
              <w:bottom w:val="single" w:sz="12" w:space="0" w:color="auto"/>
            </w:tcBorders>
            <w:shd w:val="clear" w:color="auto" w:fill="auto"/>
            <w:vAlign w:val="bottom"/>
          </w:tcPr>
          <w:p w:rsidR="008479E5" w:rsidRPr="006F3750" w:rsidRDefault="008479E5" w:rsidP="001C2EF2">
            <w:pPr>
              <w:suppressAutoHyphens/>
              <w:spacing w:before="60" w:after="60" w:line="200" w:lineRule="exact"/>
              <w:ind w:right="57"/>
              <w:jc w:val="right"/>
              <w:rPr>
                <w:rFonts w:ascii="KaiTi_GB2312" w:eastAsia="KaiTi_GB2312" w:hAnsi="SimSun"/>
                <w:sz w:val="15"/>
                <w:szCs w:val="17"/>
              </w:rPr>
            </w:pPr>
            <w:r w:rsidRPr="006F3750">
              <w:rPr>
                <w:rFonts w:ascii="KaiTi_GB2312" w:eastAsia="KaiTi_GB2312" w:hAnsi="SimSun"/>
                <w:sz w:val="15"/>
                <w:szCs w:val="17"/>
              </w:rPr>
              <w:t>人口</w:t>
            </w:r>
          </w:p>
        </w:tc>
        <w:tc>
          <w:tcPr>
            <w:tcW w:w="2070" w:type="dxa"/>
            <w:tcBorders>
              <w:top w:val="single" w:sz="4" w:space="0" w:color="auto"/>
              <w:bottom w:val="single" w:sz="12" w:space="0" w:color="auto"/>
            </w:tcBorders>
            <w:shd w:val="clear" w:color="auto" w:fill="auto"/>
            <w:vAlign w:val="bottom"/>
          </w:tcPr>
          <w:p w:rsidR="008479E5" w:rsidRPr="006F3750" w:rsidRDefault="008479E5" w:rsidP="001C2EF2">
            <w:pPr>
              <w:suppressAutoHyphens/>
              <w:spacing w:before="60" w:after="60" w:line="200" w:lineRule="exact"/>
              <w:ind w:right="57"/>
              <w:jc w:val="right"/>
              <w:rPr>
                <w:rFonts w:ascii="KaiTi_GB2312" w:eastAsia="KaiTi_GB2312" w:hAnsi="SimSun"/>
                <w:sz w:val="15"/>
                <w:szCs w:val="17"/>
              </w:rPr>
            </w:pPr>
            <w:r w:rsidRPr="006F3750">
              <w:rPr>
                <w:rFonts w:ascii="KaiTi_GB2312" w:eastAsia="KaiTi_GB2312" w:hAnsi="SimSun"/>
                <w:sz w:val="15"/>
                <w:szCs w:val="17"/>
              </w:rPr>
              <w:t>密度(每平方英里的人口数)</w:t>
            </w:r>
          </w:p>
        </w:tc>
      </w:tr>
      <w:tr w:rsidR="008479E5" w:rsidRPr="006F3750" w:rsidTr="001C2EF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479E5" w:rsidRPr="006F3750" w:rsidRDefault="008479E5" w:rsidP="001C2EF2">
            <w:pPr>
              <w:suppressAutoHyphens/>
              <w:spacing w:after="60" w:line="280" w:lineRule="exact"/>
              <w:ind w:right="57"/>
              <w:rPr>
                <w:rFonts w:hAnsi="SimSun" w:hint="eastAsia"/>
                <w:sz w:val="17"/>
                <w:szCs w:val="17"/>
              </w:rPr>
            </w:pPr>
          </w:p>
        </w:tc>
        <w:tc>
          <w:tcPr>
            <w:tcW w:w="1830" w:type="dxa"/>
            <w:tcBorders>
              <w:top w:val="single" w:sz="12" w:space="0" w:color="auto"/>
            </w:tcBorders>
            <w:shd w:val="clear" w:color="auto" w:fill="auto"/>
            <w:vAlign w:val="bottom"/>
          </w:tcPr>
          <w:p w:rsidR="008479E5" w:rsidRPr="006F3750" w:rsidRDefault="008479E5" w:rsidP="001C2EF2">
            <w:pPr>
              <w:suppressAutoHyphens/>
              <w:spacing w:after="60" w:line="280" w:lineRule="exact"/>
              <w:ind w:right="57"/>
              <w:jc w:val="right"/>
              <w:rPr>
                <w:rFonts w:hAnsi="SimSun"/>
                <w:sz w:val="17"/>
                <w:szCs w:val="17"/>
              </w:rPr>
            </w:pPr>
          </w:p>
        </w:tc>
        <w:tc>
          <w:tcPr>
            <w:tcW w:w="1590" w:type="dxa"/>
            <w:tcBorders>
              <w:top w:val="single" w:sz="12" w:space="0" w:color="auto"/>
            </w:tcBorders>
            <w:shd w:val="clear" w:color="auto" w:fill="auto"/>
            <w:vAlign w:val="bottom"/>
          </w:tcPr>
          <w:p w:rsidR="008479E5" w:rsidRPr="006F3750" w:rsidRDefault="008479E5" w:rsidP="001C2EF2">
            <w:pPr>
              <w:suppressAutoHyphens/>
              <w:spacing w:after="60" w:line="280" w:lineRule="exact"/>
              <w:ind w:right="57"/>
              <w:jc w:val="right"/>
              <w:rPr>
                <w:rFonts w:hAnsi="SimSun"/>
                <w:sz w:val="17"/>
                <w:szCs w:val="17"/>
              </w:rPr>
            </w:pPr>
          </w:p>
        </w:tc>
        <w:tc>
          <w:tcPr>
            <w:tcW w:w="2070" w:type="dxa"/>
            <w:tcBorders>
              <w:top w:val="single" w:sz="12" w:space="0" w:color="auto"/>
            </w:tcBorders>
            <w:shd w:val="clear" w:color="auto" w:fill="auto"/>
            <w:vAlign w:val="bottom"/>
          </w:tcPr>
          <w:p w:rsidR="008479E5" w:rsidRPr="006F3750" w:rsidRDefault="008479E5" w:rsidP="001C2EF2">
            <w:pPr>
              <w:suppressAutoHyphens/>
              <w:spacing w:after="60" w:line="280" w:lineRule="exact"/>
              <w:ind w:right="57"/>
              <w:jc w:val="right"/>
              <w:rPr>
                <w:rFonts w:hAnsi="SimSun"/>
                <w:sz w:val="17"/>
                <w:szCs w:val="17"/>
              </w:rPr>
            </w:pP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hint="eastAsia"/>
                <w:sz w:val="17"/>
                <w:szCs w:val="17"/>
              </w:rPr>
              <w:t>全</w:t>
            </w:r>
            <w:r w:rsidRPr="006F3750">
              <w:rPr>
                <w:rFonts w:hAnsi="SimSun"/>
                <w:sz w:val="17"/>
                <w:szCs w:val="17"/>
              </w:rPr>
              <w:t>巴哈马</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5 382</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352 658</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66</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新普罗维登斯</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80</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248 948</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3112</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大巴哈马</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530</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51 756</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98</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阿巴科</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649</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16 692</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26</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Acklins</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192</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560</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3</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安德罗斯</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2 300</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7 386</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3</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贝里群岛</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12</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798</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67</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Bimini</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9</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2 008</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223</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smartTag w:uri="urn:schemas-microsoft-com:office:smarttags" w:element="place">
              <w:smartTag w:uri="urn:schemas-microsoft-com:office:smarttags" w:element="PlaceName">
                <w:r w:rsidRPr="006F3750">
                  <w:rPr>
                    <w:rFonts w:hAnsi="SimSun"/>
                    <w:sz w:val="17"/>
                    <w:szCs w:val="17"/>
                  </w:rPr>
                  <w:t>Cat</w:t>
                </w:r>
              </w:smartTag>
              <w:r w:rsidRPr="006F3750">
                <w:rPr>
                  <w:rFonts w:hAnsi="SimSun"/>
                  <w:sz w:val="17"/>
                  <w:szCs w:val="17"/>
                </w:rPr>
                <w:t xml:space="preserve"> </w:t>
              </w:r>
              <w:smartTag w:uri="urn:schemas-microsoft-com:office:smarttags" w:element="PlaceType">
                <w:r w:rsidRPr="006F3750">
                  <w:rPr>
                    <w:rFonts w:hAnsi="SimSun"/>
                    <w:sz w:val="17"/>
                    <w:szCs w:val="17"/>
                  </w:rPr>
                  <w:t>Island</w:t>
                </w:r>
              </w:smartTag>
            </w:smartTag>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150</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1 503</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10</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 xml:space="preserve">Crooked </w:t>
            </w:r>
            <w:smartTag w:uri="urn:schemas-microsoft-com:office:smarttags" w:element="place">
              <w:r w:rsidRPr="006F3750">
                <w:rPr>
                  <w:rFonts w:hAnsi="SimSun"/>
                  <w:sz w:val="17"/>
                  <w:szCs w:val="17"/>
                </w:rPr>
                <w:t>Island</w:t>
              </w:r>
            </w:smartTag>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93</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323</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3</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伊柳塞拉</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187</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7 826</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42</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埃克苏马和珊瑚礁</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112</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7 314</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65</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海港岛</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13</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3 239</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249</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伊纳瓜</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599</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911</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2</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长岛</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230</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3 024</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13</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Mayaguana</w:t>
            </w:r>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110</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271</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2</w:t>
            </w:r>
          </w:p>
        </w:tc>
      </w:tr>
      <w:tr w:rsidR="008479E5" w:rsidRPr="006F3750" w:rsidTr="001C2EF2">
        <w:tblPrEx>
          <w:tblCellMar>
            <w:top w:w="0" w:type="dxa"/>
            <w:bottom w:w="0" w:type="dxa"/>
          </w:tblCellMar>
        </w:tblPrEx>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 xml:space="preserve">Ragged </w:t>
            </w:r>
            <w:smartTag w:uri="urn:schemas-microsoft-com:office:smarttags" w:element="place">
              <w:r w:rsidRPr="006F3750">
                <w:rPr>
                  <w:rFonts w:hAnsi="SimSun"/>
                  <w:sz w:val="17"/>
                  <w:szCs w:val="17"/>
                </w:rPr>
                <w:t>Island</w:t>
              </w:r>
            </w:smartTag>
          </w:p>
        </w:tc>
        <w:tc>
          <w:tcPr>
            <w:tcW w:w="183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14</w:t>
            </w:r>
          </w:p>
        </w:tc>
        <w:tc>
          <w:tcPr>
            <w:tcW w:w="159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70</w:t>
            </w:r>
          </w:p>
        </w:tc>
        <w:tc>
          <w:tcPr>
            <w:tcW w:w="2070" w:type="dxa"/>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5</w:t>
            </w:r>
          </w:p>
        </w:tc>
      </w:tr>
      <w:tr w:rsidR="008479E5" w:rsidRPr="006F3750" w:rsidTr="001C2EF2">
        <w:tblPrEx>
          <w:tblCellMar>
            <w:top w:w="0" w:type="dxa"/>
            <w:bottom w:w="0" w:type="dxa"/>
          </w:tblCellMar>
        </w:tblPrEx>
        <w:tc>
          <w:tcPr>
            <w:tcW w:w="1830" w:type="dxa"/>
            <w:tcBorders>
              <w:bottom w:val="single" w:sz="12" w:space="0" w:color="auto"/>
            </w:tcBorders>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6F3750">
              <w:rPr>
                <w:rFonts w:hAnsi="SimSun"/>
                <w:sz w:val="17"/>
                <w:szCs w:val="17"/>
              </w:rPr>
              <w:t>圣萨尔瓦多和Rum Cay</w:t>
            </w:r>
          </w:p>
        </w:tc>
        <w:tc>
          <w:tcPr>
            <w:tcW w:w="1830" w:type="dxa"/>
            <w:tcBorders>
              <w:bottom w:val="single" w:sz="12" w:space="0" w:color="auto"/>
            </w:tcBorders>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93</w:t>
            </w:r>
          </w:p>
        </w:tc>
        <w:tc>
          <w:tcPr>
            <w:tcW w:w="1590" w:type="dxa"/>
            <w:tcBorders>
              <w:bottom w:val="single" w:sz="12" w:space="0" w:color="auto"/>
            </w:tcBorders>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1 029</w:t>
            </w:r>
          </w:p>
        </w:tc>
        <w:tc>
          <w:tcPr>
            <w:tcW w:w="2070" w:type="dxa"/>
            <w:tcBorders>
              <w:bottom w:val="single" w:sz="12" w:space="0" w:color="auto"/>
            </w:tcBorders>
            <w:shd w:val="clear" w:color="auto" w:fill="auto"/>
            <w:vAlign w:val="bottom"/>
          </w:tcPr>
          <w:p w:rsidR="008479E5" w:rsidRPr="006F3750" w:rsidRDefault="008479E5" w:rsidP="008479E5">
            <w:pPr>
              <w:tabs>
                <w:tab w:val="left" w:pos="334"/>
                <w:tab w:val="left" w:pos="669"/>
                <w:tab w:val="left" w:pos="1003"/>
                <w:tab w:val="left" w:pos="1338"/>
              </w:tabs>
              <w:suppressAutoHyphens/>
              <w:spacing w:after="60" w:line="270" w:lineRule="exact"/>
              <w:ind w:right="57"/>
              <w:jc w:val="right"/>
              <w:rPr>
                <w:rFonts w:hAnsi="SimSun"/>
                <w:sz w:val="17"/>
                <w:szCs w:val="17"/>
              </w:rPr>
            </w:pPr>
            <w:r w:rsidRPr="006F3750">
              <w:rPr>
                <w:rFonts w:hAnsi="SimSun"/>
                <w:sz w:val="17"/>
                <w:szCs w:val="17"/>
              </w:rPr>
              <w:t>11</w:t>
            </w:r>
          </w:p>
        </w:tc>
      </w:tr>
    </w:tbl>
    <w:p w:rsidR="008479E5" w:rsidRPr="004E06EB" w:rsidRDefault="008479E5" w:rsidP="008479E5">
      <w:pPr>
        <w:pStyle w:val="SingleTxt"/>
        <w:spacing w:after="0" w:line="120" w:lineRule="exact"/>
        <w:rPr>
          <w:rFonts w:hint="eastAsia"/>
          <w:sz w:val="10"/>
        </w:rPr>
      </w:pPr>
    </w:p>
    <w:p w:rsidR="008479E5" w:rsidRDefault="008479E5" w:rsidP="008479E5">
      <w:pPr>
        <w:pStyle w:val="FootnoteText"/>
        <w:tabs>
          <w:tab w:val="clear" w:pos="418"/>
          <w:tab w:val="right" w:pos="1476"/>
          <w:tab w:val="left" w:pos="1548"/>
          <w:tab w:val="right" w:pos="1836"/>
          <w:tab w:val="left" w:pos="1908"/>
        </w:tabs>
        <w:ind w:left="1548" w:hanging="288"/>
        <w:rPr>
          <w:rFonts w:hint="eastAsia"/>
        </w:rPr>
      </w:pPr>
      <w:r w:rsidRPr="00D10D21">
        <w:rPr>
          <w:rFonts w:ascii="KaiTi_GB2312" w:eastAsia="KaiTi_GB2312" w:hint="eastAsia"/>
        </w:rPr>
        <w:t>资料来源</w:t>
      </w:r>
      <w:r>
        <w:rPr>
          <w:rFonts w:hint="eastAsia"/>
        </w:rPr>
        <w:t>：统计局数据。</w:t>
      </w:r>
    </w:p>
    <w:p w:rsidR="008479E5" w:rsidRDefault="008479E5" w:rsidP="008479E5">
      <w:pPr>
        <w:pStyle w:val="SingleTxt"/>
        <w:rPr>
          <w:rFonts w:hint="eastAsia"/>
        </w:rPr>
      </w:pPr>
      <w:r>
        <w:rPr>
          <w:rFonts w:hint="eastAsia"/>
        </w:rPr>
        <w:t>9.</w:t>
      </w:r>
      <w:r>
        <w:rPr>
          <w:rFonts w:hint="eastAsia"/>
        </w:rPr>
        <w:tab/>
        <w:t>新普罗维登斯岛的人口密度为每平方英里3</w:t>
      </w:r>
      <w:r>
        <w:t xml:space="preserve"> </w:t>
      </w:r>
      <w:r>
        <w:rPr>
          <w:rFonts w:hint="eastAsia"/>
        </w:rPr>
        <w:t>112人，因此，整个岛屿可视为一个城市中心。大巴哈马的自由港是巴哈马群岛内唯一另外的一个城市地区，人口密度为每平方英里98人。这两个城市地区占巴哈马土地面积的11.3%，占总人口的85%。</w:t>
      </w:r>
    </w:p>
    <w:p w:rsidR="008479E5" w:rsidRPr="004E06EB" w:rsidRDefault="008479E5" w:rsidP="008479E5">
      <w:pPr>
        <w:pStyle w:val="SingleTxt"/>
        <w:rPr>
          <w:rFonts w:ascii="SimHei" w:eastAsia="SimHei" w:hint="eastAsia"/>
        </w:rPr>
      </w:pPr>
      <w:r>
        <w:rPr>
          <w:rFonts w:hint="eastAsia"/>
        </w:rPr>
        <w:t>表3</w:t>
      </w:r>
      <w:r>
        <w:br/>
      </w:r>
      <w:r w:rsidRPr="004E06EB">
        <w:rPr>
          <w:rFonts w:ascii="SimHei" w:eastAsia="SimHei" w:hint="eastAsia"/>
        </w:rPr>
        <w:t>2000年和2010年人口比较人口普查和百分比变化</w:t>
      </w: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23"/>
        <w:gridCol w:w="1341"/>
        <w:gridCol w:w="1464"/>
      </w:tblGrid>
      <w:tr w:rsidR="008479E5" w:rsidRPr="00D10D21" w:rsidTr="001C2EF2">
        <w:tblPrEx>
          <w:tblCellMar>
            <w:top w:w="0" w:type="dxa"/>
            <w:bottom w:w="0" w:type="dxa"/>
          </w:tblCellMar>
        </w:tblPrEx>
        <w:trPr>
          <w:tblHeader/>
        </w:trPr>
        <w:tc>
          <w:tcPr>
            <w:tcW w:w="1464" w:type="dxa"/>
            <w:vMerge w:val="restart"/>
            <w:tcBorders>
              <w:top w:val="single" w:sz="4" w:space="0" w:color="auto"/>
            </w:tcBorders>
            <w:shd w:val="clear" w:color="auto" w:fill="auto"/>
            <w:vAlign w:val="bottom"/>
          </w:tcPr>
          <w:p w:rsidR="008479E5" w:rsidRPr="00D10D21" w:rsidRDefault="008479E5" w:rsidP="001C2EF2">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D10D21">
              <w:rPr>
                <w:rFonts w:ascii="KaiTi_GB2312" w:eastAsia="KaiTi_GB2312" w:hAnsi="SimSun"/>
                <w:sz w:val="15"/>
                <w:szCs w:val="17"/>
              </w:rPr>
              <w:t>岛屿</w:t>
            </w:r>
          </w:p>
        </w:tc>
        <w:tc>
          <w:tcPr>
            <w:tcW w:w="2928" w:type="dxa"/>
            <w:gridSpan w:val="2"/>
            <w:tcBorders>
              <w:top w:val="single" w:sz="4" w:space="0" w:color="auto"/>
              <w:bottom w:val="single" w:sz="4" w:space="0" w:color="auto"/>
            </w:tcBorders>
            <w:shd w:val="clear" w:color="auto" w:fill="auto"/>
            <w:vAlign w:val="bottom"/>
          </w:tcPr>
          <w:p w:rsidR="008479E5" w:rsidRPr="00D10D21" w:rsidRDefault="008479E5" w:rsidP="001C2EF2">
            <w:pPr>
              <w:suppressAutoHyphens/>
              <w:spacing w:before="60" w:after="60" w:line="200" w:lineRule="exact"/>
              <w:ind w:right="57"/>
              <w:jc w:val="center"/>
              <w:rPr>
                <w:rFonts w:ascii="KaiTi_GB2312" w:eastAsia="KaiTi_GB2312" w:hAnsi="SimSun"/>
                <w:sz w:val="15"/>
                <w:szCs w:val="17"/>
              </w:rPr>
            </w:pPr>
            <w:r w:rsidRPr="00D10D21">
              <w:rPr>
                <w:rFonts w:ascii="KaiTi_GB2312" w:eastAsia="KaiTi_GB2312" w:hAnsi="SimSun"/>
                <w:sz w:val="15"/>
                <w:szCs w:val="17"/>
              </w:rPr>
              <w:t>人口</w:t>
            </w:r>
          </w:p>
        </w:tc>
        <w:tc>
          <w:tcPr>
            <w:tcW w:w="123" w:type="dxa"/>
            <w:tcBorders>
              <w:top w:val="single" w:sz="4" w:space="0" w:color="auto"/>
            </w:tcBorders>
            <w:shd w:val="clear" w:color="auto" w:fill="auto"/>
            <w:vAlign w:val="bottom"/>
          </w:tcPr>
          <w:p w:rsidR="008479E5" w:rsidRPr="00D10D21" w:rsidRDefault="008479E5" w:rsidP="001C2EF2">
            <w:pPr>
              <w:suppressAutoHyphens/>
              <w:spacing w:before="60" w:after="60" w:line="200" w:lineRule="exact"/>
              <w:ind w:right="57"/>
              <w:jc w:val="right"/>
              <w:rPr>
                <w:rFonts w:ascii="KaiTi_GB2312" w:eastAsia="KaiTi_GB2312" w:hAnsi="SimSun"/>
                <w:sz w:val="15"/>
                <w:szCs w:val="17"/>
              </w:rPr>
            </w:pPr>
          </w:p>
        </w:tc>
        <w:tc>
          <w:tcPr>
            <w:tcW w:w="2805" w:type="dxa"/>
            <w:gridSpan w:val="2"/>
            <w:tcBorders>
              <w:top w:val="single" w:sz="4" w:space="0" w:color="auto"/>
              <w:bottom w:val="single" w:sz="4" w:space="0" w:color="auto"/>
            </w:tcBorders>
            <w:shd w:val="clear" w:color="auto" w:fill="auto"/>
            <w:vAlign w:val="bottom"/>
          </w:tcPr>
          <w:p w:rsidR="008479E5" w:rsidRPr="00D10D21" w:rsidRDefault="008479E5" w:rsidP="001C2EF2">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D10D21">
              <w:rPr>
                <w:rFonts w:ascii="KaiTi_GB2312" w:eastAsia="KaiTi_GB2312" w:hAnsi="SimSun"/>
                <w:sz w:val="15"/>
                <w:szCs w:val="17"/>
              </w:rPr>
              <w:t>变化</w:t>
            </w:r>
          </w:p>
        </w:tc>
      </w:tr>
      <w:tr w:rsidR="008479E5" w:rsidRPr="00D10D21" w:rsidTr="001C2EF2">
        <w:tblPrEx>
          <w:tblCellMar>
            <w:top w:w="0" w:type="dxa"/>
            <w:bottom w:w="0" w:type="dxa"/>
          </w:tblCellMar>
        </w:tblPrEx>
        <w:trPr>
          <w:tblHeader/>
        </w:trPr>
        <w:tc>
          <w:tcPr>
            <w:tcW w:w="1464" w:type="dxa"/>
            <w:vMerge/>
            <w:tcBorders>
              <w:bottom w:val="single" w:sz="12" w:space="0" w:color="auto"/>
            </w:tcBorders>
            <w:shd w:val="clear" w:color="auto" w:fill="auto"/>
            <w:vAlign w:val="bottom"/>
          </w:tcPr>
          <w:p w:rsidR="008479E5" w:rsidRPr="00D10D21" w:rsidRDefault="008479E5" w:rsidP="001C2EF2">
            <w:pPr>
              <w:tabs>
                <w:tab w:val="left" w:pos="360"/>
                <w:tab w:val="left" w:pos="720"/>
                <w:tab w:val="left" w:pos="1080"/>
                <w:tab w:val="left" w:pos="1440"/>
              </w:tabs>
              <w:suppressAutoHyphens/>
              <w:spacing w:after="60" w:line="200" w:lineRule="exact"/>
              <w:ind w:right="57"/>
              <w:rPr>
                <w:rFonts w:ascii="KaiTi_GB2312" w:eastAsia="KaiTi_GB2312" w:hint="eastAsia"/>
                <w:sz w:val="15"/>
              </w:rPr>
            </w:pPr>
          </w:p>
        </w:tc>
        <w:tc>
          <w:tcPr>
            <w:tcW w:w="1464" w:type="dxa"/>
            <w:tcBorders>
              <w:top w:val="single" w:sz="4" w:space="0" w:color="auto"/>
              <w:bottom w:val="single" w:sz="12" w:space="0" w:color="auto"/>
            </w:tcBorders>
            <w:shd w:val="clear" w:color="auto" w:fill="auto"/>
            <w:vAlign w:val="bottom"/>
          </w:tcPr>
          <w:p w:rsidR="008479E5" w:rsidRPr="00D10D21" w:rsidRDefault="008479E5" w:rsidP="001C2EF2">
            <w:pPr>
              <w:suppressAutoHyphens/>
              <w:spacing w:before="120" w:after="60" w:line="200" w:lineRule="exact"/>
              <w:ind w:right="57"/>
              <w:jc w:val="right"/>
              <w:rPr>
                <w:rFonts w:ascii="KaiTi_GB2312" w:eastAsia="KaiTi_GB2312" w:hAnsi="SimSun"/>
                <w:sz w:val="15"/>
                <w:szCs w:val="17"/>
              </w:rPr>
            </w:pPr>
            <w:r w:rsidRPr="00D10D21">
              <w:rPr>
                <w:rFonts w:ascii="KaiTi_GB2312" w:eastAsia="KaiTi_GB2312" w:hAnsi="SimSun"/>
                <w:sz w:val="15"/>
                <w:szCs w:val="17"/>
              </w:rPr>
              <w:t>2000年</w:t>
            </w:r>
          </w:p>
        </w:tc>
        <w:tc>
          <w:tcPr>
            <w:tcW w:w="1464" w:type="dxa"/>
            <w:tcBorders>
              <w:top w:val="single" w:sz="4" w:space="0" w:color="auto"/>
              <w:bottom w:val="single" w:sz="12" w:space="0" w:color="auto"/>
            </w:tcBorders>
            <w:shd w:val="clear" w:color="auto" w:fill="auto"/>
            <w:vAlign w:val="bottom"/>
          </w:tcPr>
          <w:p w:rsidR="008479E5" w:rsidRPr="00D10D21" w:rsidRDefault="008479E5" w:rsidP="001C2EF2">
            <w:pPr>
              <w:suppressAutoHyphens/>
              <w:spacing w:before="120" w:after="60" w:line="200" w:lineRule="exact"/>
              <w:ind w:right="57"/>
              <w:jc w:val="right"/>
              <w:rPr>
                <w:rFonts w:ascii="KaiTi_GB2312" w:eastAsia="KaiTi_GB2312" w:hAnsi="SimSun"/>
                <w:sz w:val="15"/>
                <w:szCs w:val="17"/>
              </w:rPr>
            </w:pPr>
            <w:r w:rsidRPr="00D10D21">
              <w:rPr>
                <w:rFonts w:ascii="KaiTi_GB2312" w:eastAsia="KaiTi_GB2312" w:hAnsi="SimSun"/>
                <w:sz w:val="15"/>
                <w:szCs w:val="17"/>
              </w:rPr>
              <w:t>2010年</w:t>
            </w:r>
          </w:p>
        </w:tc>
        <w:tc>
          <w:tcPr>
            <w:tcW w:w="1464" w:type="dxa"/>
            <w:gridSpan w:val="2"/>
            <w:tcBorders>
              <w:bottom w:val="single" w:sz="12" w:space="0" w:color="auto"/>
            </w:tcBorders>
            <w:shd w:val="clear" w:color="auto" w:fill="auto"/>
            <w:vAlign w:val="bottom"/>
          </w:tcPr>
          <w:p w:rsidR="008479E5" w:rsidRPr="00D10D21" w:rsidRDefault="008479E5" w:rsidP="001C2EF2">
            <w:pPr>
              <w:suppressAutoHyphens/>
              <w:spacing w:before="120" w:after="60" w:line="200" w:lineRule="exact"/>
              <w:ind w:right="57"/>
              <w:jc w:val="right"/>
              <w:rPr>
                <w:rFonts w:ascii="KaiTi_GB2312" w:eastAsia="KaiTi_GB2312" w:hAnsi="SimSun"/>
                <w:sz w:val="15"/>
                <w:szCs w:val="17"/>
              </w:rPr>
            </w:pPr>
            <w:r w:rsidRPr="00D10D21">
              <w:rPr>
                <w:rFonts w:ascii="KaiTi_GB2312" w:eastAsia="KaiTi_GB2312" w:hAnsi="SimSun"/>
                <w:sz w:val="15"/>
                <w:szCs w:val="17"/>
              </w:rPr>
              <w:t>实际人数</w:t>
            </w:r>
          </w:p>
        </w:tc>
        <w:tc>
          <w:tcPr>
            <w:tcW w:w="1464" w:type="dxa"/>
            <w:tcBorders>
              <w:bottom w:val="single" w:sz="12" w:space="0" w:color="auto"/>
            </w:tcBorders>
            <w:shd w:val="clear" w:color="auto" w:fill="auto"/>
            <w:vAlign w:val="bottom"/>
          </w:tcPr>
          <w:p w:rsidR="008479E5" w:rsidRPr="00D10D21" w:rsidRDefault="008479E5" w:rsidP="001C2EF2">
            <w:pPr>
              <w:suppressAutoHyphens/>
              <w:spacing w:before="120" w:after="60" w:line="200" w:lineRule="exact"/>
              <w:ind w:right="57"/>
              <w:jc w:val="right"/>
              <w:rPr>
                <w:rFonts w:ascii="KaiTi_GB2312" w:eastAsia="KaiTi_GB2312" w:hAnsi="SimSun"/>
                <w:sz w:val="15"/>
                <w:szCs w:val="17"/>
              </w:rPr>
            </w:pPr>
            <w:r w:rsidRPr="00D10D21">
              <w:rPr>
                <w:rFonts w:ascii="KaiTi_GB2312" w:eastAsia="KaiTi_GB2312" w:hAnsi="SimSun"/>
                <w:sz w:val="15"/>
                <w:szCs w:val="17"/>
              </w:rPr>
              <w:t>百分比</w:t>
            </w:r>
          </w:p>
        </w:tc>
      </w:tr>
      <w:tr w:rsidR="008479E5" w:rsidRPr="00D10D21" w:rsidTr="001C2EF2">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479E5" w:rsidRPr="00D10D21" w:rsidRDefault="008479E5" w:rsidP="001C2EF2">
            <w:pPr>
              <w:suppressAutoHyphens/>
              <w:spacing w:after="60" w:line="280" w:lineRule="exact"/>
              <w:ind w:right="57"/>
              <w:rPr>
                <w:rFonts w:hAnsi="SimSun" w:hint="eastAsia"/>
                <w:sz w:val="17"/>
                <w:szCs w:val="17"/>
              </w:rPr>
            </w:pPr>
          </w:p>
        </w:tc>
        <w:tc>
          <w:tcPr>
            <w:tcW w:w="1464" w:type="dxa"/>
            <w:tcBorders>
              <w:top w:val="single" w:sz="12" w:space="0" w:color="auto"/>
            </w:tcBorders>
            <w:shd w:val="clear" w:color="auto" w:fill="auto"/>
            <w:vAlign w:val="bottom"/>
          </w:tcPr>
          <w:p w:rsidR="008479E5" w:rsidRPr="00D10D21" w:rsidRDefault="008479E5" w:rsidP="001C2EF2">
            <w:pPr>
              <w:suppressAutoHyphens/>
              <w:spacing w:after="60" w:line="280" w:lineRule="exact"/>
              <w:ind w:right="57"/>
              <w:jc w:val="right"/>
              <w:rPr>
                <w:sz w:val="17"/>
              </w:rPr>
            </w:pPr>
          </w:p>
        </w:tc>
        <w:tc>
          <w:tcPr>
            <w:tcW w:w="1464" w:type="dxa"/>
            <w:tcBorders>
              <w:top w:val="single" w:sz="12" w:space="0" w:color="auto"/>
            </w:tcBorders>
            <w:shd w:val="clear" w:color="auto" w:fill="auto"/>
            <w:vAlign w:val="bottom"/>
          </w:tcPr>
          <w:p w:rsidR="008479E5" w:rsidRPr="00D10D21" w:rsidRDefault="008479E5" w:rsidP="001C2EF2">
            <w:pPr>
              <w:suppressAutoHyphens/>
              <w:spacing w:after="60" w:line="280" w:lineRule="exact"/>
              <w:ind w:right="57"/>
              <w:jc w:val="right"/>
              <w:rPr>
                <w:sz w:val="17"/>
              </w:rPr>
            </w:pPr>
          </w:p>
        </w:tc>
        <w:tc>
          <w:tcPr>
            <w:tcW w:w="1464" w:type="dxa"/>
            <w:gridSpan w:val="2"/>
            <w:tcBorders>
              <w:top w:val="single" w:sz="12" w:space="0" w:color="auto"/>
            </w:tcBorders>
            <w:shd w:val="clear" w:color="auto" w:fill="auto"/>
            <w:vAlign w:val="bottom"/>
          </w:tcPr>
          <w:p w:rsidR="008479E5" w:rsidRPr="00D10D21" w:rsidRDefault="008479E5" w:rsidP="001C2EF2">
            <w:pPr>
              <w:suppressAutoHyphens/>
              <w:spacing w:after="60" w:line="280" w:lineRule="exact"/>
              <w:ind w:right="57"/>
              <w:jc w:val="right"/>
              <w:rPr>
                <w:sz w:val="17"/>
              </w:rPr>
            </w:pPr>
          </w:p>
        </w:tc>
        <w:tc>
          <w:tcPr>
            <w:tcW w:w="1464" w:type="dxa"/>
            <w:tcBorders>
              <w:top w:val="single" w:sz="12" w:space="0" w:color="auto"/>
            </w:tcBorders>
            <w:shd w:val="clear" w:color="auto" w:fill="auto"/>
            <w:vAlign w:val="bottom"/>
          </w:tcPr>
          <w:p w:rsidR="008479E5" w:rsidRPr="00D10D21" w:rsidRDefault="008479E5" w:rsidP="001C2EF2">
            <w:pPr>
              <w:suppressAutoHyphens/>
              <w:spacing w:after="60" w:line="280" w:lineRule="exact"/>
              <w:ind w:right="57"/>
              <w:jc w:val="right"/>
              <w:rPr>
                <w:sz w:val="17"/>
              </w:rPr>
            </w:pP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10D21">
              <w:rPr>
                <w:rFonts w:hAnsi="SimSun" w:hint="eastAsia"/>
                <w:sz w:val="17"/>
                <w:szCs w:val="17"/>
              </w:rPr>
              <w:t>全</w:t>
            </w:r>
            <w:r w:rsidRPr="00D10D21">
              <w:rPr>
                <w:rFonts w:hAnsi="SimSun"/>
                <w:sz w:val="17"/>
                <w:szCs w:val="17"/>
              </w:rPr>
              <w:t>巴哈马</w:t>
            </w:r>
          </w:p>
        </w:tc>
        <w:tc>
          <w:tcPr>
            <w:tcW w:w="1464"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sz w:val="17"/>
              </w:rPr>
            </w:pPr>
            <w:r w:rsidRPr="00D10D21">
              <w:rPr>
                <w:sz w:val="17"/>
              </w:rPr>
              <w:t>303 611</w:t>
            </w:r>
          </w:p>
        </w:tc>
        <w:tc>
          <w:tcPr>
            <w:tcW w:w="1464"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sz w:val="17"/>
              </w:rPr>
            </w:pPr>
            <w:r w:rsidRPr="00D10D21">
              <w:rPr>
                <w:sz w:val="17"/>
              </w:rPr>
              <w:t>352 658</w:t>
            </w:r>
          </w:p>
        </w:tc>
        <w:tc>
          <w:tcPr>
            <w:tcW w:w="1464" w:type="dxa"/>
            <w:gridSpan w:val="2"/>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sz w:val="17"/>
              </w:rPr>
            </w:pPr>
            <w:r w:rsidRPr="00D10D21">
              <w:rPr>
                <w:sz w:val="17"/>
              </w:rPr>
              <w:t>50 047</w:t>
            </w:r>
          </w:p>
        </w:tc>
        <w:tc>
          <w:tcPr>
            <w:tcW w:w="1464"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sz w:val="17"/>
              </w:rPr>
            </w:pPr>
            <w:r w:rsidRPr="00D10D21">
              <w:rPr>
                <w:sz w:val="17"/>
              </w:rPr>
              <w:t>16.48</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10D21">
              <w:rPr>
                <w:rFonts w:hAnsi="SimSun"/>
                <w:sz w:val="17"/>
                <w:szCs w:val="17"/>
              </w:rPr>
              <w:t>新普罗维登斯</w:t>
            </w:r>
          </w:p>
        </w:tc>
        <w:tc>
          <w:tcPr>
            <w:tcW w:w="1464"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sz w:val="17"/>
              </w:rPr>
            </w:pPr>
            <w:r w:rsidRPr="00D10D21">
              <w:rPr>
                <w:sz w:val="17"/>
              </w:rPr>
              <w:t>210 832</w:t>
            </w:r>
          </w:p>
        </w:tc>
        <w:tc>
          <w:tcPr>
            <w:tcW w:w="1464"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sz w:val="17"/>
              </w:rPr>
            </w:pPr>
            <w:r w:rsidRPr="00D10D21">
              <w:rPr>
                <w:sz w:val="17"/>
              </w:rPr>
              <w:t>248 948</w:t>
            </w:r>
          </w:p>
        </w:tc>
        <w:tc>
          <w:tcPr>
            <w:tcW w:w="1464" w:type="dxa"/>
            <w:gridSpan w:val="2"/>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sz w:val="17"/>
              </w:rPr>
            </w:pPr>
            <w:r w:rsidRPr="00D10D21">
              <w:rPr>
                <w:sz w:val="17"/>
              </w:rPr>
              <w:t>38 116</w:t>
            </w:r>
          </w:p>
        </w:tc>
        <w:tc>
          <w:tcPr>
            <w:tcW w:w="1464"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sz w:val="17"/>
              </w:rPr>
            </w:pPr>
            <w:r w:rsidRPr="00D10D21">
              <w:rPr>
                <w:sz w:val="17"/>
              </w:rPr>
              <w:t>18.08</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10D21">
              <w:rPr>
                <w:rFonts w:hAnsi="SimSun"/>
                <w:sz w:val="17"/>
                <w:szCs w:val="17"/>
              </w:rPr>
              <w:t>大巴哈马</w:t>
            </w:r>
          </w:p>
        </w:tc>
        <w:tc>
          <w:tcPr>
            <w:tcW w:w="1464"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sz w:val="17"/>
              </w:rPr>
            </w:pPr>
            <w:r w:rsidRPr="00D10D21">
              <w:rPr>
                <w:sz w:val="17"/>
              </w:rPr>
              <w:t>46 994</w:t>
            </w:r>
          </w:p>
        </w:tc>
        <w:tc>
          <w:tcPr>
            <w:tcW w:w="1464"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sz w:val="17"/>
              </w:rPr>
            </w:pPr>
            <w:r w:rsidRPr="00D10D21">
              <w:rPr>
                <w:sz w:val="17"/>
              </w:rPr>
              <w:t>51 756</w:t>
            </w:r>
          </w:p>
        </w:tc>
        <w:tc>
          <w:tcPr>
            <w:tcW w:w="1464" w:type="dxa"/>
            <w:gridSpan w:val="2"/>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sz w:val="17"/>
              </w:rPr>
            </w:pPr>
            <w:r w:rsidRPr="00D10D21">
              <w:rPr>
                <w:sz w:val="17"/>
              </w:rPr>
              <w:t>4 762</w:t>
            </w:r>
          </w:p>
        </w:tc>
        <w:tc>
          <w:tcPr>
            <w:tcW w:w="1464"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sz w:val="17"/>
              </w:rPr>
            </w:pPr>
            <w:r w:rsidRPr="00D10D21">
              <w:rPr>
                <w:sz w:val="17"/>
              </w:rPr>
              <w:t>10</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80" w:lineRule="exact"/>
              <w:ind w:right="57"/>
              <w:rPr>
                <w:rFonts w:hAnsi="SimSun"/>
                <w:sz w:val="17"/>
                <w:szCs w:val="17"/>
              </w:rPr>
            </w:pPr>
            <w:r w:rsidRPr="00D10D21">
              <w:rPr>
                <w:rFonts w:hAnsi="SimSun"/>
                <w:sz w:val="17"/>
                <w:szCs w:val="17"/>
              </w:rPr>
              <w:t>阿巴科</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80" w:lineRule="exact"/>
              <w:ind w:right="57"/>
              <w:jc w:val="right"/>
              <w:rPr>
                <w:sz w:val="17"/>
              </w:rPr>
            </w:pPr>
            <w:r w:rsidRPr="00D10D21">
              <w:rPr>
                <w:sz w:val="17"/>
              </w:rPr>
              <w:t>13 170</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80" w:lineRule="exact"/>
              <w:ind w:right="57"/>
              <w:jc w:val="right"/>
              <w:rPr>
                <w:sz w:val="17"/>
              </w:rPr>
            </w:pPr>
            <w:r w:rsidRPr="00D10D21">
              <w:rPr>
                <w:sz w:val="17"/>
              </w:rPr>
              <w:t>16 692</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80" w:lineRule="exact"/>
              <w:ind w:right="57"/>
              <w:jc w:val="right"/>
              <w:rPr>
                <w:sz w:val="17"/>
              </w:rPr>
            </w:pPr>
            <w:r w:rsidRPr="00D10D21">
              <w:rPr>
                <w:sz w:val="17"/>
              </w:rPr>
              <w:t>3 522</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80" w:lineRule="exact"/>
              <w:ind w:right="57"/>
              <w:jc w:val="right"/>
              <w:rPr>
                <w:sz w:val="17"/>
              </w:rPr>
            </w:pPr>
            <w:r w:rsidRPr="00D10D21">
              <w:rPr>
                <w:sz w:val="17"/>
              </w:rPr>
              <w:t>27</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Acklins</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428</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560</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132</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31</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安德罗斯</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7 686</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7 386</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-300</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-4</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贝里群岛</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709</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798</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89</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13</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Bimini</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1 717</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2 008</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291</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17</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smartTag w:uri="urn:schemas-microsoft-com:office:smarttags" w:element="place">
              <w:smartTag w:uri="urn:schemas-microsoft-com:office:smarttags" w:element="PlaceName">
                <w:r w:rsidRPr="00D10D21">
                  <w:rPr>
                    <w:rFonts w:hAnsi="SimSun"/>
                    <w:sz w:val="17"/>
                    <w:szCs w:val="17"/>
                  </w:rPr>
                  <w:t>Cat</w:t>
                </w:r>
              </w:smartTag>
              <w:r w:rsidRPr="00D10D21">
                <w:rPr>
                  <w:rFonts w:hAnsi="SimSun"/>
                  <w:sz w:val="17"/>
                  <w:szCs w:val="17"/>
                </w:rPr>
                <w:t xml:space="preserve"> </w:t>
              </w:r>
              <w:smartTag w:uri="urn:schemas-microsoft-com:office:smarttags" w:element="PlaceType">
                <w:r w:rsidRPr="00D10D21">
                  <w:rPr>
                    <w:rFonts w:hAnsi="SimSun"/>
                    <w:sz w:val="17"/>
                    <w:szCs w:val="17"/>
                  </w:rPr>
                  <w:t>Island</w:t>
                </w:r>
              </w:smartTag>
            </w:smartTag>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1 647</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1 503</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-144</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-9</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 xml:space="preserve">Crooked </w:t>
            </w:r>
            <w:smartTag w:uri="urn:schemas-microsoft-com:office:smarttags" w:element="place">
              <w:r w:rsidRPr="00D10D21">
                <w:rPr>
                  <w:rFonts w:hAnsi="SimSun"/>
                  <w:sz w:val="17"/>
                  <w:szCs w:val="17"/>
                </w:rPr>
                <w:t>Island</w:t>
              </w:r>
            </w:smartTag>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350</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323</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-27</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-8</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伊柳塞拉</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7 999</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7 826</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-173</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-2</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埃克苏马和珊瑚礁</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3 571</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7 314</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3 743</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105</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海港岛</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1 639</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1 702</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63</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4</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伊纳瓜</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969</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911</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-58</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-6</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长岛</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2 992</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3 024</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32</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Mayaguana</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259</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271</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12</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5</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 xml:space="preserve">Ragged </w:t>
            </w:r>
            <w:smartTag w:uri="urn:schemas-microsoft-com:office:smarttags" w:element="place">
              <w:r w:rsidRPr="00D10D21">
                <w:rPr>
                  <w:rFonts w:hAnsi="SimSun"/>
                  <w:sz w:val="17"/>
                  <w:szCs w:val="17"/>
                </w:rPr>
                <w:t>Island</w:t>
              </w:r>
            </w:smartTag>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72</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70</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-2</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-3</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Rum Cay</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80</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99</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19</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24</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圣萨尔瓦多</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970</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930</w:t>
            </w:r>
          </w:p>
        </w:tc>
        <w:tc>
          <w:tcPr>
            <w:tcW w:w="1464" w:type="dxa"/>
            <w:gridSpan w:val="2"/>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-40</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-4</w:t>
            </w:r>
          </w:p>
        </w:tc>
      </w:tr>
      <w:tr w:rsidR="008479E5" w:rsidRPr="00D10D21" w:rsidTr="001C2EF2">
        <w:tblPrEx>
          <w:tblCellMar>
            <w:top w:w="0" w:type="dxa"/>
            <w:bottom w:w="0" w:type="dxa"/>
          </w:tblCellMar>
        </w:tblPrEx>
        <w:tc>
          <w:tcPr>
            <w:tcW w:w="1464" w:type="dxa"/>
            <w:tcBorders>
              <w:bottom w:val="single" w:sz="12" w:space="0" w:color="auto"/>
            </w:tcBorders>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hAnsi="SimSun"/>
                <w:sz w:val="17"/>
                <w:szCs w:val="17"/>
              </w:rPr>
            </w:pPr>
            <w:r w:rsidRPr="00D10D21">
              <w:rPr>
                <w:rFonts w:hAnsi="SimSun"/>
                <w:sz w:val="17"/>
                <w:szCs w:val="17"/>
              </w:rPr>
              <w:t>Spanish Wells</w:t>
            </w:r>
          </w:p>
        </w:tc>
        <w:tc>
          <w:tcPr>
            <w:tcW w:w="1464" w:type="dxa"/>
            <w:tcBorders>
              <w:bottom w:val="single" w:sz="12" w:space="0" w:color="auto"/>
            </w:tcBorders>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1 527</w:t>
            </w:r>
          </w:p>
        </w:tc>
        <w:tc>
          <w:tcPr>
            <w:tcW w:w="1464" w:type="dxa"/>
            <w:tcBorders>
              <w:bottom w:val="single" w:sz="12" w:space="0" w:color="auto"/>
            </w:tcBorders>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1 537</w:t>
            </w:r>
          </w:p>
        </w:tc>
        <w:tc>
          <w:tcPr>
            <w:tcW w:w="1464" w:type="dxa"/>
            <w:gridSpan w:val="2"/>
            <w:tcBorders>
              <w:bottom w:val="single" w:sz="12" w:space="0" w:color="auto"/>
            </w:tcBorders>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10</w:t>
            </w:r>
          </w:p>
        </w:tc>
        <w:tc>
          <w:tcPr>
            <w:tcW w:w="1464" w:type="dxa"/>
            <w:tcBorders>
              <w:bottom w:val="single" w:sz="12" w:space="0" w:color="auto"/>
            </w:tcBorders>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rPr>
            </w:pPr>
            <w:r w:rsidRPr="00D10D21">
              <w:rPr>
                <w:sz w:val="17"/>
              </w:rPr>
              <w:t>1</w:t>
            </w:r>
          </w:p>
        </w:tc>
      </w:tr>
    </w:tbl>
    <w:p w:rsidR="008479E5" w:rsidRPr="00D10D21" w:rsidRDefault="008479E5" w:rsidP="008479E5">
      <w:pPr>
        <w:pStyle w:val="SingleTxt"/>
        <w:spacing w:after="0" w:line="120" w:lineRule="exact"/>
        <w:rPr>
          <w:rFonts w:hint="eastAsia"/>
          <w:sz w:val="10"/>
        </w:rPr>
      </w:pPr>
    </w:p>
    <w:p w:rsidR="008479E5" w:rsidRDefault="008479E5" w:rsidP="001C2EF2">
      <w:pPr>
        <w:pStyle w:val="FootnoteText"/>
        <w:tabs>
          <w:tab w:val="clear" w:pos="418"/>
          <w:tab w:val="right" w:pos="1476"/>
          <w:tab w:val="left" w:pos="1548"/>
          <w:tab w:val="right" w:pos="1836"/>
          <w:tab w:val="left" w:pos="1908"/>
        </w:tabs>
        <w:spacing w:after="60"/>
        <w:ind w:left="1548" w:hanging="289"/>
        <w:rPr>
          <w:rFonts w:hint="eastAsia"/>
        </w:rPr>
      </w:pPr>
      <w:r w:rsidRPr="00D10D21">
        <w:rPr>
          <w:rFonts w:ascii="KaiTi_GB2312" w:eastAsia="KaiTi_GB2312" w:hint="eastAsia"/>
        </w:rPr>
        <w:t>资料来源</w:t>
      </w:r>
      <w:r>
        <w:rPr>
          <w:rFonts w:hint="eastAsia"/>
        </w:rPr>
        <w:t>：统计局数据。</w:t>
      </w:r>
    </w:p>
    <w:p w:rsidR="008479E5" w:rsidRPr="00D10D21"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hint="eastAsia"/>
        </w:rPr>
        <w:t>五.</w:t>
      </w:r>
      <w:r>
        <w:rPr>
          <w:rFonts w:hint="eastAsia"/>
        </w:rPr>
        <w:tab/>
        <w:t>户主的构成</w:t>
      </w:r>
    </w:p>
    <w:p w:rsidR="008479E5" w:rsidRPr="00D10D21" w:rsidRDefault="008479E5" w:rsidP="008479E5">
      <w:pPr>
        <w:pStyle w:val="SingleTxt"/>
        <w:spacing w:after="0" w:line="120" w:lineRule="exact"/>
        <w:rPr>
          <w:rFonts w:hint="eastAsia"/>
          <w:sz w:val="10"/>
        </w:rPr>
      </w:pPr>
    </w:p>
    <w:p w:rsidR="008479E5" w:rsidRPr="00D10D21" w:rsidRDefault="008479E5" w:rsidP="008479E5">
      <w:pPr>
        <w:pStyle w:val="SingleTxt"/>
        <w:spacing w:after="0" w:line="120" w:lineRule="exact"/>
        <w:rPr>
          <w:rFonts w:hint="eastAsia"/>
          <w:sz w:val="10"/>
        </w:rPr>
      </w:pPr>
    </w:p>
    <w:p w:rsidR="008479E5" w:rsidRDefault="008479E5" w:rsidP="001C2EF2">
      <w:pPr>
        <w:pStyle w:val="SingleTxt"/>
        <w:spacing w:line="314" w:lineRule="exact"/>
        <w:rPr>
          <w:rFonts w:hint="eastAsia"/>
        </w:rPr>
      </w:pPr>
      <w:r>
        <w:rPr>
          <w:rFonts w:hint="eastAsia"/>
        </w:rPr>
        <w:t>10.</w:t>
      </w:r>
      <w:r>
        <w:rPr>
          <w:rFonts w:hint="eastAsia"/>
        </w:rPr>
        <w:tab/>
      </w:r>
      <w:r w:rsidRPr="00D10D21">
        <w:rPr>
          <w:rFonts w:hint="eastAsia"/>
          <w:spacing w:val="2"/>
        </w:rPr>
        <w:t>2000年的人口普查显示，整个巴哈马有88 107户家庭，2009年据估计有109 270户</w:t>
      </w:r>
      <w:r>
        <w:rPr>
          <w:rFonts w:hint="eastAsia"/>
        </w:rPr>
        <w:t>，增加了大约24%。在这些家庭中，106 340户提供的资料表明，61 610户(58%)属于以男性为户主的家庭。另一方面，43 730户提供的资料显示女性被视为家庭户主，这大约占总户数的42%。新普罗维登斯岛共有72 855户家庭，其中58%的户主是男性，42%的户主是女性。统计资料进一步显示，女性户主家庭的数目增长速度快于男性户主家庭。</w:t>
      </w:r>
    </w:p>
    <w:p w:rsidR="008479E5" w:rsidRDefault="008479E5" w:rsidP="008479E5">
      <w:pPr>
        <w:pStyle w:val="SingleTxt"/>
        <w:rPr>
          <w:rFonts w:hint="eastAsia"/>
        </w:rPr>
      </w:pPr>
      <w:r>
        <w:rPr>
          <w:rFonts w:hint="eastAsia"/>
        </w:rPr>
        <w:t>表4</w:t>
      </w:r>
      <w:r>
        <w:br/>
      </w:r>
      <w:r w:rsidRPr="00D10D21">
        <w:rPr>
          <w:rFonts w:ascii="SimHei" w:eastAsia="SimHei" w:hint="eastAsia"/>
        </w:rPr>
        <w:t>家庭和家庭收入：所有巴哈马群岛、新普罗维登斯岛和大巴哈马：2009年</w:t>
      </w: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8479E5" w:rsidRPr="00D10D21" w:rsidTr="001C2EF2">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8479E5" w:rsidRPr="00D10D21" w:rsidRDefault="008479E5" w:rsidP="001C2EF2">
            <w:pPr>
              <w:suppressAutoHyphens/>
              <w:spacing w:before="60" w:after="60" w:line="200" w:lineRule="exact"/>
              <w:ind w:right="57"/>
              <w:rPr>
                <w:rFonts w:ascii="KaiTi_GB2312" w:eastAsia="KaiTi_GB2312" w:hAnsi="SimSun"/>
                <w:sz w:val="15"/>
                <w:szCs w:val="17"/>
              </w:rPr>
            </w:pPr>
            <w:r w:rsidRPr="00D10D21">
              <w:rPr>
                <w:rFonts w:ascii="KaiTi_GB2312" w:eastAsia="KaiTi_GB2312" w:hAnsi="SimSun"/>
                <w:sz w:val="15"/>
                <w:szCs w:val="17"/>
              </w:rPr>
              <w:t>岛屿</w:t>
            </w:r>
          </w:p>
        </w:tc>
        <w:tc>
          <w:tcPr>
            <w:tcW w:w="1464" w:type="dxa"/>
            <w:tcBorders>
              <w:top w:val="single" w:sz="4" w:space="0" w:color="auto"/>
              <w:bottom w:val="single" w:sz="12" w:space="0" w:color="auto"/>
            </w:tcBorders>
            <w:shd w:val="clear" w:color="auto" w:fill="auto"/>
            <w:vAlign w:val="bottom"/>
          </w:tcPr>
          <w:p w:rsidR="008479E5" w:rsidRPr="00D10D21" w:rsidRDefault="008479E5" w:rsidP="001C2EF2">
            <w:pPr>
              <w:suppressAutoHyphens/>
              <w:spacing w:before="60" w:after="60" w:line="200" w:lineRule="exact"/>
              <w:ind w:right="57"/>
              <w:jc w:val="right"/>
              <w:rPr>
                <w:rFonts w:ascii="KaiTi_GB2312" w:eastAsia="KaiTi_GB2312" w:hAnsi="SimSun"/>
                <w:sz w:val="15"/>
                <w:szCs w:val="17"/>
              </w:rPr>
            </w:pPr>
            <w:r w:rsidRPr="00D10D21">
              <w:rPr>
                <w:rFonts w:ascii="KaiTi_GB2312" w:eastAsia="KaiTi_GB2312" w:hAnsi="SimSun"/>
                <w:sz w:val="15"/>
                <w:szCs w:val="17"/>
              </w:rPr>
              <w:t>家庭数</w:t>
            </w:r>
            <w:r w:rsidRPr="00D10D21">
              <w:rPr>
                <w:rFonts w:ascii="KaiTi_GB2312" w:eastAsia="KaiTi_GB2312" w:hAnsi="SimSun" w:hint="eastAsia"/>
                <w:sz w:val="15"/>
                <w:szCs w:val="17"/>
              </w:rPr>
              <w:t>目</w:t>
            </w:r>
          </w:p>
        </w:tc>
        <w:tc>
          <w:tcPr>
            <w:tcW w:w="1464" w:type="dxa"/>
            <w:tcBorders>
              <w:top w:val="single" w:sz="4" w:space="0" w:color="auto"/>
              <w:bottom w:val="single" w:sz="12" w:space="0" w:color="auto"/>
            </w:tcBorders>
            <w:shd w:val="clear" w:color="auto" w:fill="auto"/>
            <w:vAlign w:val="bottom"/>
          </w:tcPr>
          <w:p w:rsidR="008479E5" w:rsidRPr="00D10D21" w:rsidRDefault="008479E5" w:rsidP="001C2EF2">
            <w:pPr>
              <w:suppressAutoHyphens/>
              <w:spacing w:before="60" w:after="60" w:line="200" w:lineRule="exact"/>
              <w:ind w:right="57"/>
              <w:jc w:val="right"/>
              <w:rPr>
                <w:rFonts w:ascii="KaiTi_GB2312" w:eastAsia="KaiTi_GB2312" w:hAnsi="SimSun"/>
                <w:sz w:val="15"/>
                <w:szCs w:val="17"/>
              </w:rPr>
            </w:pPr>
            <w:r w:rsidRPr="00D10D21">
              <w:rPr>
                <w:rFonts w:ascii="KaiTi_GB2312" w:eastAsia="KaiTi_GB2312" w:hAnsi="SimSun"/>
                <w:sz w:val="15"/>
                <w:szCs w:val="17"/>
              </w:rPr>
              <w:t>家庭收入</w:t>
            </w:r>
            <w:r w:rsidRPr="00D10D21">
              <w:rPr>
                <w:rFonts w:ascii="KaiTi_GB2312" w:eastAsia="KaiTi_GB2312" w:hAnsi="SimSun" w:hint="eastAsia"/>
                <w:sz w:val="15"/>
                <w:szCs w:val="17"/>
              </w:rPr>
              <w:t>共</w:t>
            </w:r>
            <w:r w:rsidRPr="00D10D21">
              <w:rPr>
                <w:rFonts w:ascii="KaiTi_GB2312" w:eastAsia="KaiTi_GB2312" w:hAnsi="SimSun"/>
                <w:sz w:val="15"/>
                <w:szCs w:val="17"/>
              </w:rPr>
              <w:t>计</w:t>
            </w:r>
            <w:r>
              <w:rPr>
                <w:rFonts w:ascii="Times New Roman" w:eastAsia="KaiTi_GB2312"/>
                <w:sz w:val="15"/>
                <w:szCs w:val="17"/>
              </w:rPr>
              <w:br/>
            </w:r>
            <w:r w:rsidRPr="00D10D21">
              <w:rPr>
                <w:rFonts w:ascii="KaiTi_GB2312" w:eastAsia="KaiTi_GB2312" w:hAnsi="SimSun"/>
                <w:sz w:val="15"/>
                <w:szCs w:val="17"/>
              </w:rPr>
              <w:t>(巴哈马元)</w:t>
            </w:r>
          </w:p>
        </w:tc>
        <w:tc>
          <w:tcPr>
            <w:tcW w:w="1464" w:type="dxa"/>
            <w:tcBorders>
              <w:top w:val="single" w:sz="4" w:space="0" w:color="auto"/>
              <w:bottom w:val="single" w:sz="12" w:space="0" w:color="auto"/>
            </w:tcBorders>
            <w:shd w:val="clear" w:color="auto" w:fill="auto"/>
            <w:vAlign w:val="bottom"/>
          </w:tcPr>
          <w:p w:rsidR="008479E5" w:rsidRPr="00D10D21" w:rsidRDefault="008479E5" w:rsidP="001C2EF2">
            <w:pPr>
              <w:suppressAutoHyphens/>
              <w:spacing w:before="60" w:after="60" w:line="200" w:lineRule="exact"/>
              <w:ind w:right="57"/>
              <w:jc w:val="right"/>
              <w:rPr>
                <w:rFonts w:ascii="KaiTi_GB2312" w:eastAsia="KaiTi_GB2312" w:hAnsi="SimSun"/>
                <w:sz w:val="15"/>
                <w:szCs w:val="17"/>
              </w:rPr>
            </w:pPr>
            <w:r w:rsidRPr="00D10D21">
              <w:rPr>
                <w:rFonts w:ascii="KaiTi_GB2312" w:eastAsia="KaiTi_GB2312" w:hAnsi="SimSun"/>
                <w:sz w:val="15"/>
                <w:szCs w:val="17"/>
              </w:rPr>
              <w:t>平均家庭收入</w:t>
            </w:r>
            <w:r>
              <w:rPr>
                <w:rFonts w:ascii="Times New Roman" w:eastAsia="KaiTi_GB2312"/>
                <w:sz w:val="15"/>
                <w:szCs w:val="17"/>
              </w:rPr>
              <w:br/>
            </w:r>
            <w:r w:rsidRPr="00D10D21">
              <w:rPr>
                <w:rFonts w:ascii="KaiTi_GB2312" w:eastAsia="KaiTi_GB2312" w:hAnsi="SimSun"/>
                <w:sz w:val="15"/>
                <w:szCs w:val="17"/>
              </w:rPr>
              <w:t>(巴哈马元)</w:t>
            </w:r>
          </w:p>
        </w:tc>
        <w:tc>
          <w:tcPr>
            <w:tcW w:w="1464" w:type="dxa"/>
            <w:tcBorders>
              <w:top w:val="single" w:sz="4" w:space="0" w:color="auto"/>
              <w:bottom w:val="single" w:sz="12" w:space="0" w:color="auto"/>
            </w:tcBorders>
            <w:shd w:val="clear" w:color="auto" w:fill="auto"/>
            <w:vAlign w:val="bottom"/>
          </w:tcPr>
          <w:p w:rsidR="008479E5" w:rsidRPr="00D10D21" w:rsidRDefault="008479E5" w:rsidP="001C2EF2">
            <w:pPr>
              <w:suppressAutoHyphens/>
              <w:spacing w:before="60" w:after="60" w:line="200" w:lineRule="exact"/>
              <w:ind w:right="57"/>
              <w:jc w:val="right"/>
              <w:rPr>
                <w:rFonts w:ascii="KaiTi_GB2312" w:eastAsia="KaiTi_GB2312" w:hAnsi="SimSun"/>
                <w:sz w:val="15"/>
                <w:szCs w:val="17"/>
              </w:rPr>
            </w:pPr>
            <w:r w:rsidRPr="00D10D21">
              <w:rPr>
                <w:rFonts w:ascii="KaiTi_GB2312" w:eastAsia="KaiTi_GB2312" w:hAnsi="SimSun"/>
                <w:sz w:val="15"/>
                <w:szCs w:val="17"/>
              </w:rPr>
              <w:t>中间家庭收入</w:t>
            </w:r>
            <w:r>
              <w:rPr>
                <w:rFonts w:ascii="Times New Roman" w:eastAsia="KaiTi_GB2312"/>
                <w:sz w:val="15"/>
                <w:szCs w:val="17"/>
              </w:rPr>
              <w:br/>
            </w:r>
            <w:r w:rsidRPr="00D10D21">
              <w:rPr>
                <w:rFonts w:ascii="KaiTi_GB2312" w:eastAsia="KaiTi_GB2312" w:hAnsi="SimSun"/>
                <w:sz w:val="15"/>
                <w:szCs w:val="17"/>
              </w:rPr>
              <w:t>(巴哈马元)</w:t>
            </w:r>
          </w:p>
        </w:tc>
      </w:tr>
      <w:tr w:rsidR="008479E5" w:rsidRPr="00D10D21" w:rsidTr="001C2EF2">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479E5" w:rsidRPr="00D10D21" w:rsidRDefault="008479E5" w:rsidP="001C2EF2">
            <w:pPr>
              <w:suppressAutoHyphens/>
              <w:spacing w:after="60" w:line="280" w:lineRule="exact"/>
              <w:ind w:right="57"/>
              <w:rPr>
                <w:rFonts w:ascii="Times New Roman" w:hint="eastAsia"/>
                <w:sz w:val="17"/>
                <w:szCs w:val="17"/>
              </w:rPr>
            </w:pPr>
          </w:p>
        </w:tc>
        <w:tc>
          <w:tcPr>
            <w:tcW w:w="1464" w:type="dxa"/>
            <w:tcBorders>
              <w:top w:val="single" w:sz="12" w:space="0" w:color="auto"/>
            </w:tcBorders>
            <w:shd w:val="clear" w:color="auto" w:fill="auto"/>
            <w:vAlign w:val="bottom"/>
          </w:tcPr>
          <w:p w:rsidR="008479E5" w:rsidRPr="00D10D21" w:rsidRDefault="008479E5" w:rsidP="001C2EF2">
            <w:pPr>
              <w:suppressAutoHyphens/>
              <w:spacing w:after="60" w:line="280" w:lineRule="exact"/>
              <w:ind w:right="57"/>
              <w:jc w:val="right"/>
              <w:rPr>
                <w:sz w:val="17"/>
                <w:szCs w:val="17"/>
              </w:rPr>
            </w:pPr>
          </w:p>
        </w:tc>
        <w:tc>
          <w:tcPr>
            <w:tcW w:w="1464" w:type="dxa"/>
            <w:tcBorders>
              <w:top w:val="single" w:sz="12" w:space="0" w:color="auto"/>
            </w:tcBorders>
            <w:shd w:val="clear" w:color="auto" w:fill="auto"/>
            <w:vAlign w:val="bottom"/>
          </w:tcPr>
          <w:p w:rsidR="008479E5" w:rsidRPr="00D10D21" w:rsidRDefault="008479E5" w:rsidP="001C2EF2">
            <w:pPr>
              <w:suppressAutoHyphens/>
              <w:spacing w:after="60" w:line="280" w:lineRule="exact"/>
              <w:ind w:right="57"/>
              <w:jc w:val="right"/>
              <w:rPr>
                <w:sz w:val="17"/>
                <w:szCs w:val="17"/>
              </w:rPr>
            </w:pPr>
          </w:p>
        </w:tc>
        <w:tc>
          <w:tcPr>
            <w:tcW w:w="1464" w:type="dxa"/>
            <w:tcBorders>
              <w:top w:val="single" w:sz="12" w:space="0" w:color="auto"/>
            </w:tcBorders>
            <w:shd w:val="clear" w:color="auto" w:fill="auto"/>
            <w:vAlign w:val="bottom"/>
          </w:tcPr>
          <w:p w:rsidR="008479E5" w:rsidRPr="00D10D21" w:rsidRDefault="008479E5" w:rsidP="001C2EF2">
            <w:pPr>
              <w:suppressAutoHyphens/>
              <w:spacing w:after="60" w:line="280" w:lineRule="exact"/>
              <w:ind w:right="57"/>
              <w:jc w:val="right"/>
              <w:rPr>
                <w:sz w:val="17"/>
                <w:szCs w:val="17"/>
              </w:rPr>
            </w:pPr>
          </w:p>
        </w:tc>
        <w:tc>
          <w:tcPr>
            <w:tcW w:w="1464" w:type="dxa"/>
            <w:tcBorders>
              <w:top w:val="single" w:sz="12" w:space="0" w:color="auto"/>
            </w:tcBorders>
            <w:shd w:val="clear" w:color="auto" w:fill="auto"/>
            <w:vAlign w:val="bottom"/>
          </w:tcPr>
          <w:p w:rsidR="008479E5" w:rsidRPr="00D10D21" w:rsidRDefault="008479E5" w:rsidP="001C2EF2">
            <w:pPr>
              <w:suppressAutoHyphens/>
              <w:spacing w:after="60" w:line="280" w:lineRule="exact"/>
              <w:ind w:right="57"/>
              <w:jc w:val="right"/>
              <w:rPr>
                <w:sz w:val="17"/>
                <w:szCs w:val="17"/>
              </w:rPr>
            </w:pP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ascii="Times New Roman"/>
                <w:sz w:val="17"/>
                <w:szCs w:val="17"/>
              </w:rPr>
            </w:pPr>
            <w:r w:rsidRPr="00D10D21">
              <w:rPr>
                <w:rFonts w:ascii="Times New Roman" w:hint="eastAsia"/>
                <w:sz w:val="17"/>
                <w:szCs w:val="17"/>
              </w:rPr>
              <w:t>全</w:t>
            </w:r>
            <w:r w:rsidRPr="00D10D21">
              <w:rPr>
                <w:rFonts w:ascii="Times New Roman"/>
                <w:sz w:val="17"/>
                <w:szCs w:val="17"/>
              </w:rPr>
              <w:t>巴哈马</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szCs w:val="17"/>
              </w:rPr>
            </w:pPr>
            <w:r w:rsidRPr="00D10D21">
              <w:rPr>
                <w:sz w:val="17"/>
                <w:szCs w:val="17"/>
              </w:rPr>
              <w:t>105 340</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szCs w:val="17"/>
              </w:rPr>
            </w:pPr>
            <w:r w:rsidRPr="00D10D21">
              <w:rPr>
                <w:sz w:val="17"/>
                <w:szCs w:val="17"/>
              </w:rPr>
              <w:t>4 036 000 000</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szCs w:val="17"/>
              </w:rPr>
            </w:pPr>
            <w:r w:rsidRPr="00D10D21">
              <w:rPr>
                <w:sz w:val="17"/>
                <w:szCs w:val="17"/>
              </w:rPr>
              <w:t>38 314</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szCs w:val="17"/>
              </w:rPr>
            </w:pPr>
            <w:r w:rsidRPr="00D10D21">
              <w:rPr>
                <w:sz w:val="17"/>
                <w:szCs w:val="17"/>
              </w:rPr>
              <w:t>30 318</w:t>
            </w:r>
          </w:p>
        </w:tc>
      </w:tr>
      <w:tr w:rsidR="008479E5" w:rsidRPr="00D10D21" w:rsidTr="001C2EF2">
        <w:tblPrEx>
          <w:tblCellMar>
            <w:top w:w="0" w:type="dxa"/>
            <w:bottom w:w="0" w:type="dxa"/>
          </w:tblCellMar>
        </w:tblPrEx>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ascii="Times New Roman"/>
                <w:sz w:val="17"/>
                <w:szCs w:val="17"/>
              </w:rPr>
            </w:pPr>
            <w:r w:rsidRPr="00D10D21">
              <w:rPr>
                <w:rFonts w:ascii="Times New Roman"/>
                <w:sz w:val="17"/>
                <w:szCs w:val="17"/>
              </w:rPr>
              <w:t>新普罗维登斯</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szCs w:val="17"/>
              </w:rPr>
            </w:pPr>
            <w:r w:rsidRPr="00D10D21">
              <w:rPr>
                <w:sz w:val="17"/>
                <w:szCs w:val="17"/>
              </w:rPr>
              <w:t>72 855</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szCs w:val="17"/>
              </w:rPr>
            </w:pPr>
            <w:r w:rsidRPr="00D10D21">
              <w:rPr>
                <w:sz w:val="17"/>
                <w:szCs w:val="17"/>
              </w:rPr>
              <w:t>2 952 700 000</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szCs w:val="17"/>
              </w:rPr>
            </w:pPr>
            <w:r w:rsidRPr="00D10D21">
              <w:rPr>
                <w:sz w:val="17"/>
                <w:szCs w:val="17"/>
              </w:rPr>
              <w:t>40 528</w:t>
            </w:r>
          </w:p>
        </w:tc>
        <w:tc>
          <w:tcPr>
            <w:tcW w:w="1464" w:type="dxa"/>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szCs w:val="17"/>
              </w:rPr>
            </w:pPr>
            <w:r w:rsidRPr="00D10D21">
              <w:rPr>
                <w:sz w:val="17"/>
                <w:szCs w:val="17"/>
              </w:rPr>
              <w:t>32 638</w:t>
            </w:r>
          </w:p>
        </w:tc>
      </w:tr>
      <w:tr w:rsidR="008479E5" w:rsidRPr="00D10D21" w:rsidTr="001C2EF2">
        <w:tblPrEx>
          <w:tblCellMar>
            <w:top w:w="0" w:type="dxa"/>
            <w:bottom w:w="0" w:type="dxa"/>
          </w:tblCellMar>
        </w:tblPrEx>
        <w:tc>
          <w:tcPr>
            <w:tcW w:w="1464" w:type="dxa"/>
            <w:tcBorders>
              <w:bottom w:val="single" w:sz="12" w:space="0" w:color="auto"/>
            </w:tcBorders>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rPr>
                <w:rFonts w:ascii="Times New Roman"/>
                <w:sz w:val="17"/>
                <w:szCs w:val="17"/>
              </w:rPr>
            </w:pPr>
            <w:r w:rsidRPr="00D10D21">
              <w:rPr>
                <w:rFonts w:ascii="Times New Roman"/>
                <w:sz w:val="17"/>
                <w:szCs w:val="17"/>
              </w:rPr>
              <w:t>大巴哈马</w:t>
            </w:r>
          </w:p>
        </w:tc>
        <w:tc>
          <w:tcPr>
            <w:tcW w:w="1464" w:type="dxa"/>
            <w:tcBorders>
              <w:bottom w:val="single" w:sz="12" w:space="0" w:color="auto"/>
            </w:tcBorders>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szCs w:val="17"/>
              </w:rPr>
            </w:pPr>
            <w:r w:rsidRPr="00D10D21">
              <w:rPr>
                <w:sz w:val="17"/>
                <w:szCs w:val="17"/>
              </w:rPr>
              <w:t>16 970</w:t>
            </w:r>
          </w:p>
        </w:tc>
        <w:tc>
          <w:tcPr>
            <w:tcW w:w="1464" w:type="dxa"/>
            <w:tcBorders>
              <w:bottom w:val="single" w:sz="12" w:space="0" w:color="auto"/>
            </w:tcBorders>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szCs w:val="17"/>
              </w:rPr>
            </w:pPr>
            <w:r w:rsidRPr="00D10D21">
              <w:rPr>
                <w:sz w:val="17"/>
                <w:szCs w:val="17"/>
              </w:rPr>
              <w:t>637 425 000</w:t>
            </w:r>
          </w:p>
        </w:tc>
        <w:tc>
          <w:tcPr>
            <w:tcW w:w="1464" w:type="dxa"/>
            <w:tcBorders>
              <w:bottom w:val="single" w:sz="12" w:space="0" w:color="auto"/>
            </w:tcBorders>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szCs w:val="17"/>
              </w:rPr>
            </w:pPr>
            <w:r w:rsidRPr="00D10D21">
              <w:rPr>
                <w:sz w:val="17"/>
                <w:szCs w:val="17"/>
              </w:rPr>
              <w:t>37 562</w:t>
            </w:r>
          </w:p>
        </w:tc>
        <w:tc>
          <w:tcPr>
            <w:tcW w:w="1464" w:type="dxa"/>
            <w:tcBorders>
              <w:bottom w:val="single" w:sz="12" w:space="0" w:color="auto"/>
            </w:tcBorders>
            <w:shd w:val="clear" w:color="auto" w:fill="auto"/>
            <w:vAlign w:val="bottom"/>
          </w:tcPr>
          <w:p w:rsidR="008479E5" w:rsidRPr="00D10D21" w:rsidRDefault="008479E5" w:rsidP="008479E5">
            <w:pPr>
              <w:tabs>
                <w:tab w:val="left" w:pos="334"/>
                <w:tab w:val="left" w:pos="669"/>
                <w:tab w:val="left" w:pos="1003"/>
                <w:tab w:val="left" w:pos="1338"/>
              </w:tabs>
              <w:suppressAutoHyphens/>
              <w:spacing w:after="60" w:line="270" w:lineRule="exact"/>
              <w:ind w:right="57"/>
              <w:jc w:val="right"/>
              <w:rPr>
                <w:sz w:val="17"/>
                <w:szCs w:val="17"/>
              </w:rPr>
            </w:pPr>
            <w:r w:rsidRPr="00D10D21">
              <w:rPr>
                <w:sz w:val="17"/>
                <w:szCs w:val="17"/>
              </w:rPr>
              <w:t>30 000</w:t>
            </w:r>
          </w:p>
        </w:tc>
      </w:tr>
    </w:tbl>
    <w:p w:rsidR="008479E5" w:rsidRPr="00D10D21" w:rsidRDefault="008479E5" w:rsidP="008479E5">
      <w:pPr>
        <w:pStyle w:val="SingleTxt"/>
        <w:spacing w:after="0" w:line="120" w:lineRule="exact"/>
        <w:rPr>
          <w:rFonts w:hint="eastAsia"/>
          <w:sz w:val="10"/>
        </w:rPr>
      </w:pPr>
    </w:p>
    <w:p w:rsidR="008479E5" w:rsidRDefault="008479E5" w:rsidP="001C2EF2">
      <w:pPr>
        <w:pStyle w:val="FootnoteText"/>
        <w:tabs>
          <w:tab w:val="clear" w:pos="418"/>
          <w:tab w:val="right" w:pos="1476"/>
          <w:tab w:val="left" w:pos="1548"/>
          <w:tab w:val="right" w:pos="1836"/>
          <w:tab w:val="left" w:pos="1908"/>
        </w:tabs>
        <w:spacing w:after="60"/>
        <w:ind w:left="1548" w:hanging="289"/>
        <w:rPr>
          <w:rFonts w:hint="eastAsia"/>
        </w:rPr>
      </w:pPr>
      <w:r w:rsidRPr="00D10D21">
        <w:rPr>
          <w:rFonts w:ascii="KaiTi_GB2312" w:eastAsia="KaiTi_GB2312" w:hint="eastAsia"/>
        </w:rPr>
        <w:t>资料来源</w:t>
      </w:r>
      <w:r>
        <w:rPr>
          <w:rFonts w:hint="eastAsia"/>
        </w:rPr>
        <w:t>：统计局数据。</w:t>
      </w: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hint="eastAsia"/>
        </w:rPr>
        <w:t>六.</w:t>
      </w:r>
      <w:r>
        <w:rPr>
          <w:rFonts w:hint="eastAsia"/>
        </w:rPr>
        <w:tab/>
        <w:t>经济特点</w:t>
      </w:r>
    </w:p>
    <w:p w:rsidR="008479E5" w:rsidRPr="00D10D21" w:rsidRDefault="008479E5" w:rsidP="008479E5">
      <w:pPr>
        <w:pStyle w:val="SingleTxt"/>
        <w:spacing w:after="0" w:line="120" w:lineRule="exact"/>
        <w:rPr>
          <w:rFonts w:hint="eastAsia"/>
          <w:sz w:val="10"/>
        </w:rPr>
      </w:pPr>
    </w:p>
    <w:p w:rsidR="008479E5" w:rsidRPr="00D10D21"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11.</w:t>
      </w:r>
      <w:r>
        <w:rPr>
          <w:rFonts w:hint="eastAsia"/>
        </w:rPr>
        <w:tab/>
        <w:t>2010年，巴哈马群岛的人均收入为21 773美元，是西半球人均收入最高的三个国家之一。2010年，巴哈马的国内生产总值为76亿美元，并且正在增长。</w:t>
      </w:r>
    </w:p>
    <w:p w:rsidR="008479E5" w:rsidRDefault="008479E5" w:rsidP="008479E5">
      <w:pPr>
        <w:pStyle w:val="SingleTxt"/>
        <w:rPr>
          <w:rFonts w:hint="eastAsia"/>
        </w:rPr>
      </w:pPr>
      <w:r>
        <w:rPr>
          <w:rFonts w:hint="eastAsia"/>
        </w:rPr>
        <w:t>12.</w:t>
      </w:r>
      <w:r>
        <w:rPr>
          <w:rFonts w:hint="eastAsia"/>
        </w:rPr>
        <w:tab/>
        <w:t>2006年至2010年期间，由于受金融危机和随后的全球经济衰退的影响，巴哈马经济按当时市场价格计算的国内生产总值略有下降。国内生产总值的年增长率估计数概要列于下文表5。</w:t>
      </w:r>
    </w:p>
    <w:p w:rsidR="008479E5" w:rsidRDefault="008479E5" w:rsidP="008479E5">
      <w:pPr>
        <w:pStyle w:val="SingleTxt"/>
        <w:rPr>
          <w:rFonts w:hint="eastAsia"/>
        </w:rPr>
      </w:pPr>
      <w:r>
        <w:rPr>
          <w:rFonts w:hint="eastAsia"/>
        </w:rPr>
        <w:t>表5</w:t>
      </w:r>
      <w:r>
        <w:br/>
      </w:r>
      <w:r w:rsidRPr="00D10D21">
        <w:rPr>
          <w:rFonts w:ascii="SimHei" w:eastAsia="SimHei" w:hint="eastAsia"/>
        </w:rPr>
        <w:t>2006年至2010年期间国内生产总值年增长率</w:t>
      </w: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8479E5" w:rsidRPr="00D10D21" w:rsidTr="001C2EF2">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8479E5" w:rsidRPr="00D10D21" w:rsidRDefault="008479E5" w:rsidP="001C2EF2">
            <w:pPr>
              <w:suppressAutoHyphens/>
              <w:spacing w:before="60" w:after="60" w:line="200" w:lineRule="exact"/>
              <w:ind w:right="57"/>
              <w:rPr>
                <w:rFonts w:ascii="KaiTi_GB2312" w:eastAsia="KaiTi_GB2312" w:hAnsi="SimSun"/>
                <w:sz w:val="15"/>
                <w:szCs w:val="17"/>
              </w:rPr>
            </w:pPr>
            <w:r w:rsidRPr="00D10D21">
              <w:rPr>
                <w:rFonts w:ascii="KaiTi_GB2312" w:eastAsia="KaiTi_GB2312" w:hAnsi="SimSun"/>
                <w:sz w:val="15"/>
                <w:szCs w:val="17"/>
              </w:rPr>
              <w:t>年份</w:t>
            </w:r>
          </w:p>
        </w:tc>
        <w:tc>
          <w:tcPr>
            <w:tcW w:w="3660" w:type="dxa"/>
            <w:tcBorders>
              <w:top w:val="single" w:sz="4" w:space="0" w:color="auto"/>
              <w:bottom w:val="single" w:sz="12" w:space="0" w:color="auto"/>
            </w:tcBorders>
            <w:shd w:val="clear" w:color="auto" w:fill="auto"/>
            <w:vAlign w:val="bottom"/>
          </w:tcPr>
          <w:p w:rsidR="008479E5" w:rsidRPr="00D10D21" w:rsidRDefault="008479E5" w:rsidP="001C2EF2">
            <w:pPr>
              <w:suppressAutoHyphens/>
              <w:spacing w:before="60" w:after="60" w:line="200" w:lineRule="exact"/>
              <w:ind w:right="57"/>
              <w:jc w:val="right"/>
              <w:rPr>
                <w:rFonts w:ascii="KaiTi_GB2312" w:eastAsia="KaiTi_GB2312" w:hAnsi="SimSun"/>
                <w:sz w:val="15"/>
                <w:szCs w:val="17"/>
              </w:rPr>
            </w:pPr>
            <w:r w:rsidRPr="00D10D21">
              <w:rPr>
                <w:rFonts w:ascii="KaiTi_GB2312" w:eastAsia="KaiTi_GB2312" w:hAnsi="SimSun"/>
                <w:sz w:val="15"/>
                <w:szCs w:val="17"/>
              </w:rPr>
              <w:t>国内生产总值增长率(%)</w:t>
            </w:r>
          </w:p>
        </w:tc>
      </w:tr>
      <w:tr w:rsidR="008479E5" w:rsidRPr="00D10D21" w:rsidTr="001C2EF2">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8479E5" w:rsidRPr="00D10D21" w:rsidRDefault="008479E5" w:rsidP="001C2EF2">
            <w:pPr>
              <w:suppressAutoHyphens/>
              <w:spacing w:after="60" w:line="280" w:lineRule="exact"/>
              <w:ind w:right="57"/>
              <w:rPr>
                <w:rFonts w:hAnsi="SimSun"/>
                <w:sz w:val="17"/>
                <w:szCs w:val="17"/>
              </w:rPr>
            </w:pPr>
          </w:p>
        </w:tc>
        <w:tc>
          <w:tcPr>
            <w:tcW w:w="3660" w:type="dxa"/>
            <w:tcBorders>
              <w:top w:val="single" w:sz="12" w:space="0" w:color="auto"/>
            </w:tcBorders>
            <w:shd w:val="clear" w:color="auto" w:fill="auto"/>
            <w:vAlign w:val="bottom"/>
          </w:tcPr>
          <w:p w:rsidR="008479E5" w:rsidRPr="00D10D21" w:rsidRDefault="008479E5" w:rsidP="001C2EF2">
            <w:pPr>
              <w:suppressAutoHyphens/>
              <w:spacing w:after="60" w:line="280" w:lineRule="exact"/>
              <w:ind w:right="57"/>
              <w:jc w:val="right"/>
              <w:rPr>
                <w:rFonts w:hAnsi="SimSun"/>
                <w:sz w:val="17"/>
                <w:szCs w:val="17"/>
              </w:rPr>
            </w:pPr>
          </w:p>
        </w:tc>
      </w:tr>
      <w:tr w:rsidR="008479E5" w:rsidRPr="00D10D21" w:rsidTr="001C2EF2">
        <w:tblPrEx>
          <w:tblCellMar>
            <w:top w:w="0" w:type="dxa"/>
            <w:bottom w:w="0" w:type="dxa"/>
          </w:tblCellMar>
        </w:tblPrEx>
        <w:tc>
          <w:tcPr>
            <w:tcW w:w="3660"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10D21">
              <w:rPr>
                <w:rFonts w:hAnsi="SimSun"/>
                <w:sz w:val="17"/>
                <w:szCs w:val="17"/>
              </w:rPr>
              <w:t>2006年</w:t>
            </w:r>
          </w:p>
        </w:tc>
        <w:tc>
          <w:tcPr>
            <w:tcW w:w="3660"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10D21">
              <w:rPr>
                <w:rFonts w:hAnsi="SimSun"/>
                <w:sz w:val="17"/>
                <w:szCs w:val="17"/>
              </w:rPr>
              <w:t>2.5</w:t>
            </w:r>
          </w:p>
        </w:tc>
      </w:tr>
      <w:tr w:rsidR="008479E5" w:rsidRPr="00D10D21" w:rsidTr="001C2EF2">
        <w:tblPrEx>
          <w:tblCellMar>
            <w:top w:w="0" w:type="dxa"/>
            <w:bottom w:w="0" w:type="dxa"/>
          </w:tblCellMar>
        </w:tblPrEx>
        <w:tc>
          <w:tcPr>
            <w:tcW w:w="3660"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10D21">
              <w:rPr>
                <w:rFonts w:hAnsi="SimSun"/>
                <w:sz w:val="17"/>
                <w:szCs w:val="17"/>
              </w:rPr>
              <w:t>2007年</w:t>
            </w:r>
          </w:p>
        </w:tc>
        <w:tc>
          <w:tcPr>
            <w:tcW w:w="3660"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10D21">
              <w:rPr>
                <w:rFonts w:hAnsi="SimSun"/>
                <w:sz w:val="17"/>
                <w:szCs w:val="17"/>
              </w:rPr>
              <w:t>1.4</w:t>
            </w:r>
          </w:p>
        </w:tc>
      </w:tr>
      <w:tr w:rsidR="008479E5" w:rsidRPr="00D10D21" w:rsidTr="001C2EF2">
        <w:tblPrEx>
          <w:tblCellMar>
            <w:top w:w="0" w:type="dxa"/>
            <w:bottom w:w="0" w:type="dxa"/>
          </w:tblCellMar>
        </w:tblPrEx>
        <w:tc>
          <w:tcPr>
            <w:tcW w:w="3660"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10D21">
              <w:rPr>
                <w:rFonts w:hAnsi="SimSun"/>
                <w:sz w:val="17"/>
                <w:szCs w:val="17"/>
              </w:rPr>
              <w:t>2008年</w:t>
            </w:r>
          </w:p>
        </w:tc>
        <w:tc>
          <w:tcPr>
            <w:tcW w:w="3660"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10D21">
              <w:rPr>
                <w:rFonts w:hAnsi="SimSun"/>
                <w:sz w:val="17"/>
                <w:szCs w:val="17"/>
              </w:rPr>
              <w:t>-1.3</w:t>
            </w:r>
          </w:p>
        </w:tc>
      </w:tr>
      <w:tr w:rsidR="008479E5" w:rsidRPr="00D10D21" w:rsidTr="001C2EF2">
        <w:tblPrEx>
          <w:tblCellMar>
            <w:top w:w="0" w:type="dxa"/>
            <w:bottom w:w="0" w:type="dxa"/>
          </w:tblCellMar>
        </w:tblPrEx>
        <w:tc>
          <w:tcPr>
            <w:tcW w:w="3660"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10D21">
              <w:rPr>
                <w:rFonts w:hAnsi="SimSun"/>
                <w:sz w:val="17"/>
                <w:szCs w:val="17"/>
              </w:rPr>
              <w:t>2009年</w:t>
            </w:r>
          </w:p>
        </w:tc>
        <w:tc>
          <w:tcPr>
            <w:tcW w:w="3660" w:type="dxa"/>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10D21">
              <w:rPr>
                <w:rFonts w:hAnsi="SimSun"/>
                <w:sz w:val="17"/>
                <w:szCs w:val="17"/>
              </w:rPr>
              <w:t>-5.4</w:t>
            </w:r>
          </w:p>
        </w:tc>
      </w:tr>
      <w:tr w:rsidR="008479E5" w:rsidRPr="00D10D21" w:rsidTr="001C2EF2">
        <w:tblPrEx>
          <w:tblCellMar>
            <w:top w:w="0" w:type="dxa"/>
            <w:bottom w:w="0" w:type="dxa"/>
          </w:tblCellMar>
        </w:tblPrEx>
        <w:tc>
          <w:tcPr>
            <w:tcW w:w="3660" w:type="dxa"/>
            <w:tcBorders>
              <w:bottom w:val="single" w:sz="12" w:space="0" w:color="auto"/>
            </w:tcBorders>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10D21">
              <w:rPr>
                <w:rFonts w:hAnsi="SimSun"/>
                <w:sz w:val="17"/>
                <w:szCs w:val="17"/>
              </w:rPr>
              <w:t>2010年</w:t>
            </w:r>
          </w:p>
        </w:tc>
        <w:tc>
          <w:tcPr>
            <w:tcW w:w="3660" w:type="dxa"/>
            <w:tcBorders>
              <w:bottom w:val="single" w:sz="12" w:space="0" w:color="auto"/>
            </w:tcBorders>
            <w:shd w:val="clear" w:color="auto" w:fill="auto"/>
            <w:vAlign w:val="bottom"/>
          </w:tcPr>
          <w:p w:rsidR="008479E5" w:rsidRPr="00D10D21"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10D21">
              <w:rPr>
                <w:rFonts w:hAnsi="SimSun"/>
                <w:sz w:val="17"/>
                <w:szCs w:val="17"/>
              </w:rPr>
              <w:t>0.96</w:t>
            </w:r>
          </w:p>
        </w:tc>
      </w:tr>
    </w:tbl>
    <w:p w:rsidR="008479E5" w:rsidRPr="00D10D21" w:rsidRDefault="008479E5" w:rsidP="008479E5">
      <w:pPr>
        <w:pStyle w:val="SingleTxt"/>
        <w:spacing w:after="0" w:line="120" w:lineRule="exact"/>
        <w:rPr>
          <w:rFonts w:hint="eastAsia"/>
          <w:sz w:val="10"/>
        </w:rPr>
      </w:pPr>
    </w:p>
    <w:p w:rsidR="008479E5" w:rsidRDefault="008479E5" w:rsidP="008479E5">
      <w:pPr>
        <w:pStyle w:val="FootnoteText"/>
        <w:tabs>
          <w:tab w:val="clear" w:pos="418"/>
          <w:tab w:val="right" w:pos="1476"/>
          <w:tab w:val="left" w:pos="1548"/>
          <w:tab w:val="right" w:pos="1836"/>
          <w:tab w:val="left" w:pos="1908"/>
        </w:tabs>
        <w:ind w:left="1548" w:hanging="288"/>
        <w:rPr>
          <w:rFonts w:hint="eastAsia"/>
        </w:rPr>
      </w:pPr>
      <w:r w:rsidRPr="00D10D21">
        <w:rPr>
          <w:rFonts w:ascii="KaiTi_GB2312" w:eastAsia="KaiTi_GB2312" w:hint="eastAsia"/>
        </w:rPr>
        <w:t>资料来源</w:t>
      </w:r>
      <w:r>
        <w:rPr>
          <w:rFonts w:hint="eastAsia"/>
        </w:rPr>
        <w:t>：经订正的统计局数据。</w:t>
      </w:r>
    </w:p>
    <w:p w:rsidR="008479E5" w:rsidRPr="00D10D21" w:rsidRDefault="008479E5" w:rsidP="008479E5">
      <w:pPr>
        <w:pStyle w:val="SingleTxt"/>
        <w:spacing w:after="0" w:line="120" w:lineRule="exact"/>
        <w:rPr>
          <w:rFonts w:hint="eastAsia"/>
          <w:sz w:val="10"/>
        </w:rPr>
      </w:pP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hint="eastAsia"/>
        </w:rPr>
        <w:t>七.</w:t>
      </w:r>
      <w:r>
        <w:rPr>
          <w:rFonts w:hint="eastAsia"/>
        </w:rPr>
        <w:tab/>
        <w:t>旅游</w:t>
      </w:r>
    </w:p>
    <w:p w:rsidR="008479E5" w:rsidRPr="00D10D21" w:rsidRDefault="008479E5" w:rsidP="008479E5">
      <w:pPr>
        <w:pStyle w:val="SingleTxt"/>
        <w:spacing w:after="0" w:line="120" w:lineRule="exact"/>
        <w:rPr>
          <w:rFonts w:hint="eastAsia"/>
          <w:sz w:val="10"/>
        </w:rPr>
      </w:pPr>
    </w:p>
    <w:p w:rsidR="008479E5" w:rsidRPr="00D10D21"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13.</w:t>
      </w:r>
      <w:r>
        <w:rPr>
          <w:rFonts w:hint="eastAsia"/>
        </w:rPr>
        <w:tab/>
        <w:t>巴哈马的经济以服务业为主导，其中旅游业占所有经济活动的三分之二，其次是金融服务。农业和工业部门的贡献较小。</w:t>
      </w:r>
    </w:p>
    <w:p w:rsidR="008479E5" w:rsidRDefault="008479E5" w:rsidP="008479E5">
      <w:pPr>
        <w:pStyle w:val="SingleTxt"/>
        <w:rPr>
          <w:rFonts w:hint="eastAsia"/>
        </w:rPr>
      </w:pPr>
      <w:r>
        <w:rPr>
          <w:rFonts w:hint="eastAsia"/>
        </w:rPr>
        <w:t>14.</w:t>
      </w:r>
      <w:r>
        <w:rPr>
          <w:rFonts w:hint="eastAsia"/>
        </w:rPr>
        <w:tab/>
        <w:t>巴哈马的一些水域据说属于世界上最清澈的水域之列。巴哈马的海滩和海洋环境甚至在旅游业成为巴哈马经济的一大产业之前就已经吸引游客到巴哈马群岛来。旅游业在过去五十多年里已经成为巴哈马经济必不可少的组成部分。1950年，来巴哈马的游客有40 000人，这个数字在2010年已增至520万人。多年来，巴哈马的旅游业实现了长足增长，今天在巴哈马国内生产总值中所占比例刚刚超过40%。无论旅游业还是金融服务业，其特点都是向所有人提供优质服务，而不论种族、民族、文化、性别和宗教差别。因此，随着大批巴哈马人参与这些行业，他们已经习惯与整个国际社会的不同群体进行互动。</w:t>
      </w:r>
    </w:p>
    <w:p w:rsidR="008479E5" w:rsidRDefault="008479E5" w:rsidP="008479E5">
      <w:pPr>
        <w:pStyle w:val="SingleTxt"/>
        <w:rPr>
          <w:rFonts w:hint="eastAsia"/>
        </w:rPr>
      </w:pPr>
      <w:r>
        <w:rPr>
          <w:rFonts w:hint="eastAsia"/>
        </w:rPr>
        <w:t>15.</w:t>
      </w:r>
      <w:r>
        <w:rPr>
          <w:rFonts w:hint="eastAsia"/>
        </w:rPr>
        <w:tab/>
        <w:t>虽然巴哈马的旅游业在过去十年取得了成功，但一些全球性因素已经开始对其产生显著影响。下列因素最近对巴哈马各地的旅游业产生了不利影响：⑴</w:t>
      </w:r>
      <w:r>
        <w:t xml:space="preserve"> </w:t>
      </w:r>
      <w:r>
        <w:rPr>
          <w:rFonts w:hint="eastAsia"/>
        </w:rPr>
        <w:t>由于消费者信心急剧下降到28年来的最低点，巴哈马群岛游客的主要来源国美国的全国经济增长放缓；⑵</w:t>
      </w:r>
      <w:r>
        <w:t xml:space="preserve"> </w:t>
      </w:r>
      <w:r>
        <w:rPr>
          <w:rFonts w:hint="eastAsia"/>
        </w:rPr>
        <w:t>美元与其他国际货币相比很疲弱；⑶</w:t>
      </w:r>
      <w:r>
        <w:t xml:space="preserve"> </w:t>
      </w:r>
      <w:r>
        <w:rPr>
          <w:rFonts w:hint="eastAsia"/>
        </w:rPr>
        <w:t>石油价格，即燃料费用和机票价格。</w:t>
      </w: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hint="eastAsia"/>
        </w:rPr>
        <w:t>八.</w:t>
      </w:r>
      <w:r>
        <w:rPr>
          <w:rFonts w:hint="eastAsia"/>
        </w:rPr>
        <w:tab/>
        <w:t>金融服务</w:t>
      </w:r>
    </w:p>
    <w:p w:rsidR="008479E5" w:rsidRPr="00D10D21" w:rsidRDefault="008479E5" w:rsidP="008479E5">
      <w:pPr>
        <w:pStyle w:val="SingleTxt"/>
        <w:spacing w:after="0" w:line="120" w:lineRule="exact"/>
        <w:rPr>
          <w:rFonts w:hint="eastAsia"/>
          <w:sz w:val="10"/>
        </w:rPr>
      </w:pPr>
    </w:p>
    <w:p w:rsidR="008479E5" w:rsidRPr="00D10D21"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16.</w:t>
      </w:r>
      <w:r>
        <w:rPr>
          <w:rFonts w:hint="eastAsia"/>
        </w:rPr>
        <w:tab/>
        <w:t>巴哈马群岛是全世界最好的离岸管辖区之一。巴哈马的金融服务业同加拿大、瑞士和美国的机构之间有广泛、长期的关系。尽管国际金融公司在巴哈马开展业务的原因很多，但主要原因是：⑴</w:t>
      </w:r>
      <w:r>
        <w:t xml:space="preserve"> </w:t>
      </w:r>
      <w:r>
        <w:rPr>
          <w:rFonts w:hint="eastAsia"/>
        </w:rPr>
        <w:t>巴哈马群岛靠近主要的北美和拉美金融中心；⑵</w:t>
      </w:r>
      <w:r>
        <w:t xml:space="preserve"> </w:t>
      </w:r>
      <w:r>
        <w:rPr>
          <w:rFonts w:hint="eastAsia"/>
        </w:rPr>
        <w:t>巴哈马群岛距离全世界最大的经济体不超过50英里；⑶</w:t>
      </w:r>
      <w:r>
        <w:t xml:space="preserve"> </w:t>
      </w:r>
      <w:r>
        <w:rPr>
          <w:rFonts w:hint="eastAsia"/>
        </w:rPr>
        <w:t>同纽约和多伦多在同一个时区(东部标准时区)；⑷</w:t>
      </w:r>
      <w:r>
        <w:t xml:space="preserve"> </w:t>
      </w:r>
      <w:r>
        <w:rPr>
          <w:rFonts w:hint="eastAsia"/>
        </w:rPr>
        <w:t>巴哈马作为一个独立国家，法规顺应需要，并采取协商式立法方式；⑸</w:t>
      </w:r>
      <w:r>
        <w:t xml:space="preserve"> </w:t>
      </w:r>
      <w:r>
        <w:rPr>
          <w:rFonts w:hint="eastAsia"/>
        </w:rPr>
        <w:t>对企业和个人收入、资本收益、继承或股息不征收地方税；⑹</w:t>
      </w:r>
      <w:r>
        <w:t xml:space="preserve"> </w:t>
      </w:r>
      <w:r>
        <w:rPr>
          <w:rFonts w:hint="eastAsia"/>
        </w:rPr>
        <w:t>训练有素的行业专业人员和讲英语的劳动力队伍；⑺</w:t>
      </w:r>
      <w:r>
        <w:t xml:space="preserve"> </w:t>
      </w:r>
      <w:r>
        <w:rPr>
          <w:rFonts w:hint="eastAsia"/>
        </w:rPr>
        <w:t>具备必不可少的公共服务和现代化基础设施。</w:t>
      </w:r>
    </w:p>
    <w:p w:rsidR="008479E5" w:rsidRPr="00D10D21"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sidR="001C2EF2">
        <w:rPr>
          <w:rFonts w:hint="eastAsia"/>
        </w:rPr>
        <w:t>九</w:t>
      </w:r>
      <w:r>
        <w:rPr>
          <w:rFonts w:hint="eastAsia"/>
        </w:rPr>
        <w:t>.</w:t>
      </w:r>
      <w:r>
        <w:rPr>
          <w:rFonts w:hint="eastAsia"/>
        </w:rPr>
        <w:tab/>
        <w:t>就业</w:t>
      </w:r>
    </w:p>
    <w:p w:rsidR="008479E5" w:rsidRPr="00D10D21" w:rsidRDefault="008479E5" w:rsidP="008479E5">
      <w:pPr>
        <w:pStyle w:val="SingleTxt"/>
        <w:spacing w:after="0" w:line="120" w:lineRule="exact"/>
        <w:rPr>
          <w:rFonts w:hint="eastAsia"/>
          <w:sz w:val="10"/>
        </w:rPr>
      </w:pPr>
    </w:p>
    <w:p w:rsidR="008479E5" w:rsidRPr="00D10D21"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17.</w:t>
      </w:r>
      <w:r>
        <w:rPr>
          <w:rFonts w:hint="eastAsia"/>
        </w:rPr>
        <w:tab/>
        <w:t>巴哈马2009年的失业率为14.2%，其中男性失业率为14.4%，女性失业率为14%。当年的劳动力参与率为73.4%，其中男性78.4%，女性69.1%。</w:t>
      </w:r>
    </w:p>
    <w:p w:rsidR="008479E5" w:rsidRDefault="008479E5" w:rsidP="008479E5">
      <w:pPr>
        <w:pStyle w:val="SingleTxt"/>
        <w:rPr>
          <w:rFonts w:hint="eastAsia"/>
        </w:rPr>
      </w:pPr>
      <w:r>
        <w:rPr>
          <w:rFonts w:hint="eastAsia"/>
        </w:rPr>
        <w:t>18.</w:t>
      </w:r>
      <w:r>
        <w:rPr>
          <w:rFonts w:hint="eastAsia"/>
        </w:rPr>
        <w:tab/>
        <w:t>2009年的劳动力数据显示，66%的就业人员从事私营部门活动，20%为公务员，其余14%自谋职业。</w:t>
      </w:r>
    </w:p>
    <w:p w:rsidR="008479E5" w:rsidRDefault="008479E5" w:rsidP="008479E5">
      <w:pPr>
        <w:pStyle w:val="SingleTxt"/>
        <w:rPr>
          <w:rFonts w:ascii="SimHei" w:eastAsia="SimHei" w:hint="eastAsia"/>
        </w:rPr>
      </w:pPr>
      <w:r>
        <w:rPr>
          <w:rFonts w:hint="eastAsia"/>
        </w:rPr>
        <w:t>表6</w:t>
      </w:r>
      <w:r>
        <w:br/>
      </w:r>
      <w:r w:rsidRPr="00D10D21">
        <w:rPr>
          <w:rFonts w:ascii="SimHei" w:eastAsia="SimHei" w:hint="eastAsia"/>
        </w:rPr>
        <w:t>主要劳动力统计数据，1999年及2001-2009年</w:t>
      </w:r>
    </w:p>
    <w:tbl>
      <w:tblPr>
        <w:tblW w:w="9854" w:type="dxa"/>
        <w:tblLayout w:type="fixed"/>
        <w:tblCellMar>
          <w:left w:w="0" w:type="dxa"/>
          <w:right w:w="0" w:type="dxa"/>
        </w:tblCellMar>
        <w:tblLook w:val="0000" w:firstRow="0" w:lastRow="0" w:firstColumn="0" w:lastColumn="0" w:noHBand="0" w:noVBand="0"/>
      </w:tblPr>
      <w:tblGrid>
        <w:gridCol w:w="2274"/>
        <w:gridCol w:w="758"/>
        <w:gridCol w:w="758"/>
        <w:gridCol w:w="758"/>
        <w:gridCol w:w="758"/>
        <w:gridCol w:w="758"/>
        <w:gridCol w:w="758"/>
        <w:gridCol w:w="758"/>
        <w:gridCol w:w="758"/>
        <w:gridCol w:w="758"/>
        <w:gridCol w:w="758"/>
      </w:tblGrid>
      <w:tr w:rsidR="008479E5" w:rsidRPr="00DB7523" w:rsidTr="001C2EF2">
        <w:tblPrEx>
          <w:tblCellMar>
            <w:top w:w="0" w:type="dxa"/>
            <w:bottom w:w="0" w:type="dxa"/>
          </w:tblCellMar>
        </w:tblPrEx>
        <w:trPr>
          <w:tblHeader/>
        </w:trPr>
        <w:tc>
          <w:tcPr>
            <w:tcW w:w="2274" w:type="dxa"/>
            <w:tcBorders>
              <w:top w:val="single" w:sz="4" w:space="0" w:color="auto"/>
              <w:bottom w:val="single" w:sz="12" w:space="0" w:color="auto"/>
            </w:tcBorders>
            <w:shd w:val="clear" w:color="auto" w:fill="auto"/>
            <w:vAlign w:val="bottom"/>
          </w:tcPr>
          <w:p w:rsidR="008479E5" w:rsidRPr="00DB7523" w:rsidRDefault="008479E5" w:rsidP="001C2EF2">
            <w:pPr>
              <w:suppressAutoHyphens/>
              <w:spacing w:before="60" w:after="60" w:line="200" w:lineRule="exact"/>
              <w:ind w:right="57"/>
              <w:rPr>
                <w:rFonts w:ascii="KaiTi_GB2312" w:eastAsia="KaiTi_GB2312" w:hint="eastAsia"/>
                <w:sz w:val="15"/>
              </w:rPr>
            </w:pPr>
          </w:p>
        </w:tc>
        <w:tc>
          <w:tcPr>
            <w:tcW w:w="758" w:type="dxa"/>
            <w:tcBorders>
              <w:top w:val="single" w:sz="4" w:space="0" w:color="auto"/>
              <w:bottom w:val="single" w:sz="12" w:space="0" w:color="auto"/>
            </w:tcBorders>
            <w:shd w:val="clear" w:color="auto" w:fill="auto"/>
            <w:vAlign w:val="bottom"/>
          </w:tcPr>
          <w:p w:rsidR="008479E5" w:rsidRPr="00D42158" w:rsidRDefault="008479E5" w:rsidP="001C2EF2">
            <w:pPr>
              <w:suppressAutoHyphens/>
              <w:spacing w:before="60" w:after="60" w:line="200" w:lineRule="exact"/>
              <w:ind w:right="57"/>
              <w:jc w:val="right"/>
              <w:rPr>
                <w:rFonts w:ascii="KaiTi_GB2312" w:eastAsia="KaiTi_GB2312" w:hAnsi="SimSun"/>
                <w:sz w:val="15"/>
                <w:szCs w:val="17"/>
              </w:rPr>
            </w:pPr>
            <w:r w:rsidRPr="00D42158">
              <w:rPr>
                <w:rFonts w:ascii="KaiTi_GB2312" w:eastAsia="KaiTi_GB2312" w:hAnsi="SimSun"/>
                <w:sz w:val="15"/>
                <w:szCs w:val="17"/>
              </w:rPr>
              <w:t>1999年</w:t>
            </w:r>
          </w:p>
        </w:tc>
        <w:tc>
          <w:tcPr>
            <w:tcW w:w="758" w:type="dxa"/>
            <w:tcBorders>
              <w:top w:val="single" w:sz="4" w:space="0" w:color="auto"/>
              <w:bottom w:val="single" w:sz="12" w:space="0" w:color="auto"/>
            </w:tcBorders>
            <w:shd w:val="clear" w:color="auto" w:fill="auto"/>
            <w:vAlign w:val="bottom"/>
          </w:tcPr>
          <w:p w:rsidR="008479E5" w:rsidRPr="00D42158" w:rsidRDefault="008479E5" w:rsidP="001C2EF2">
            <w:pPr>
              <w:suppressAutoHyphens/>
              <w:spacing w:before="60" w:after="60" w:line="200" w:lineRule="exact"/>
              <w:ind w:right="57"/>
              <w:jc w:val="right"/>
              <w:rPr>
                <w:rFonts w:ascii="KaiTi_GB2312" w:eastAsia="KaiTi_GB2312" w:hAnsi="SimSun"/>
                <w:sz w:val="15"/>
                <w:szCs w:val="17"/>
              </w:rPr>
            </w:pPr>
            <w:r w:rsidRPr="00D42158">
              <w:rPr>
                <w:rFonts w:ascii="KaiTi_GB2312" w:eastAsia="KaiTi_GB2312" w:hAnsi="SimSun"/>
                <w:sz w:val="15"/>
                <w:szCs w:val="17"/>
              </w:rPr>
              <w:t>2001年</w:t>
            </w:r>
          </w:p>
        </w:tc>
        <w:tc>
          <w:tcPr>
            <w:tcW w:w="758" w:type="dxa"/>
            <w:tcBorders>
              <w:top w:val="single" w:sz="4" w:space="0" w:color="auto"/>
              <w:bottom w:val="single" w:sz="12" w:space="0" w:color="auto"/>
            </w:tcBorders>
            <w:shd w:val="clear" w:color="auto" w:fill="auto"/>
            <w:vAlign w:val="bottom"/>
          </w:tcPr>
          <w:p w:rsidR="008479E5" w:rsidRPr="00D42158" w:rsidRDefault="008479E5" w:rsidP="001C2EF2">
            <w:pPr>
              <w:suppressAutoHyphens/>
              <w:spacing w:before="60" w:after="60" w:line="200" w:lineRule="exact"/>
              <w:ind w:right="57"/>
              <w:jc w:val="right"/>
              <w:rPr>
                <w:rFonts w:ascii="KaiTi_GB2312" w:eastAsia="KaiTi_GB2312" w:hAnsi="SimSun"/>
                <w:sz w:val="15"/>
                <w:szCs w:val="17"/>
              </w:rPr>
            </w:pPr>
            <w:r w:rsidRPr="00D42158">
              <w:rPr>
                <w:rFonts w:ascii="KaiTi_GB2312" w:eastAsia="KaiTi_GB2312" w:hAnsi="SimSun"/>
                <w:sz w:val="15"/>
                <w:szCs w:val="17"/>
              </w:rPr>
              <w:t>2002年</w:t>
            </w:r>
          </w:p>
        </w:tc>
        <w:tc>
          <w:tcPr>
            <w:tcW w:w="758" w:type="dxa"/>
            <w:tcBorders>
              <w:top w:val="single" w:sz="4" w:space="0" w:color="auto"/>
              <w:bottom w:val="single" w:sz="12" w:space="0" w:color="auto"/>
            </w:tcBorders>
            <w:shd w:val="clear" w:color="auto" w:fill="auto"/>
            <w:vAlign w:val="bottom"/>
          </w:tcPr>
          <w:p w:rsidR="008479E5" w:rsidRPr="00D42158" w:rsidRDefault="008479E5" w:rsidP="001C2EF2">
            <w:pPr>
              <w:suppressAutoHyphens/>
              <w:spacing w:before="60" w:after="60" w:line="200" w:lineRule="exact"/>
              <w:ind w:right="57"/>
              <w:jc w:val="right"/>
              <w:rPr>
                <w:rFonts w:ascii="KaiTi_GB2312" w:eastAsia="KaiTi_GB2312" w:hAnsi="SimSun"/>
                <w:sz w:val="15"/>
                <w:szCs w:val="17"/>
              </w:rPr>
            </w:pPr>
            <w:r w:rsidRPr="00D42158">
              <w:rPr>
                <w:rFonts w:ascii="KaiTi_GB2312" w:eastAsia="KaiTi_GB2312" w:hAnsi="SimSun"/>
                <w:sz w:val="15"/>
                <w:szCs w:val="17"/>
              </w:rPr>
              <w:t>2003年</w:t>
            </w:r>
          </w:p>
        </w:tc>
        <w:tc>
          <w:tcPr>
            <w:tcW w:w="758" w:type="dxa"/>
            <w:tcBorders>
              <w:top w:val="single" w:sz="4" w:space="0" w:color="auto"/>
              <w:bottom w:val="single" w:sz="12" w:space="0" w:color="auto"/>
            </w:tcBorders>
            <w:shd w:val="clear" w:color="auto" w:fill="auto"/>
            <w:vAlign w:val="bottom"/>
          </w:tcPr>
          <w:p w:rsidR="008479E5" w:rsidRPr="00D42158" w:rsidRDefault="008479E5" w:rsidP="001C2EF2">
            <w:pPr>
              <w:suppressAutoHyphens/>
              <w:spacing w:before="60" w:after="60" w:line="200" w:lineRule="exact"/>
              <w:ind w:right="57"/>
              <w:jc w:val="right"/>
              <w:rPr>
                <w:rFonts w:ascii="KaiTi_GB2312" w:eastAsia="KaiTi_GB2312" w:hAnsi="SimSun"/>
                <w:sz w:val="15"/>
                <w:szCs w:val="17"/>
              </w:rPr>
            </w:pPr>
            <w:r w:rsidRPr="00D42158">
              <w:rPr>
                <w:rFonts w:ascii="KaiTi_GB2312" w:eastAsia="KaiTi_GB2312" w:hAnsi="SimSun"/>
                <w:sz w:val="15"/>
                <w:szCs w:val="17"/>
              </w:rPr>
              <w:t>2004年</w:t>
            </w:r>
          </w:p>
        </w:tc>
        <w:tc>
          <w:tcPr>
            <w:tcW w:w="758" w:type="dxa"/>
            <w:tcBorders>
              <w:top w:val="single" w:sz="4" w:space="0" w:color="auto"/>
              <w:bottom w:val="single" w:sz="12" w:space="0" w:color="auto"/>
            </w:tcBorders>
            <w:shd w:val="clear" w:color="auto" w:fill="auto"/>
            <w:vAlign w:val="bottom"/>
          </w:tcPr>
          <w:p w:rsidR="008479E5" w:rsidRPr="00D42158" w:rsidRDefault="008479E5" w:rsidP="001C2EF2">
            <w:pPr>
              <w:suppressAutoHyphens/>
              <w:spacing w:before="60" w:after="60" w:line="200" w:lineRule="exact"/>
              <w:ind w:right="57"/>
              <w:jc w:val="right"/>
              <w:rPr>
                <w:rFonts w:ascii="KaiTi_GB2312" w:eastAsia="KaiTi_GB2312" w:hAnsi="SimSun"/>
                <w:sz w:val="15"/>
                <w:szCs w:val="17"/>
              </w:rPr>
            </w:pPr>
            <w:r w:rsidRPr="00D42158">
              <w:rPr>
                <w:rFonts w:ascii="KaiTi_GB2312" w:eastAsia="KaiTi_GB2312" w:hAnsi="SimSun"/>
                <w:sz w:val="15"/>
                <w:szCs w:val="17"/>
              </w:rPr>
              <w:t>2005年</w:t>
            </w:r>
          </w:p>
        </w:tc>
        <w:tc>
          <w:tcPr>
            <w:tcW w:w="758" w:type="dxa"/>
            <w:tcBorders>
              <w:top w:val="single" w:sz="4" w:space="0" w:color="auto"/>
              <w:bottom w:val="single" w:sz="12" w:space="0" w:color="auto"/>
            </w:tcBorders>
            <w:shd w:val="clear" w:color="auto" w:fill="auto"/>
            <w:vAlign w:val="bottom"/>
          </w:tcPr>
          <w:p w:rsidR="008479E5" w:rsidRPr="00D42158" w:rsidRDefault="008479E5" w:rsidP="001C2EF2">
            <w:pPr>
              <w:suppressAutoHyphens/>
              <w:spacing w:before="60" w:after="60" w:line="200" w:lineRule="exact"/>
              <w:ind w:right="57"/>
              <w:jc w:val="right"/>
              <w:rPr>
                <w:rFonts w:ascii="KaiTi_GB2312" w:eastAsia="KaiTi_GB2312" w:hAnsi="SimSun"/>
                <w:sz w:val="15"/>
                <w:szCs w:val="17"/>
              </w:rPr>
            </w:pPr>
            <w:r w:rsidRPr="00D42158">
              <w:rPr>
                <w:rFonts w:ascii="KaiTi_GB2312" w:eastAsia="KaiTi_GB2312" w:hAnsi="SimSun"/>
                <w:sz w:val="15"/>
                <w:szCs w:val="17"/>
              </w:rPr>
              <w:t>2006年</w:t>
            </w:r>
          </w:p>
        </w:tc>
        <w:tc>
          <w:tcPr>
            <w:tcW w:w="758" w:type="dxa"/>
            <w:tcBorders>
              <w:top w:val="single" w:sz="4" w:space="0" w:color="auto"/>
              <w:bottom w:val="single" w:sz="12" w:space="0" w:color="auto"/>
            </w:tcBorders>
            <w:shd w:val="clear" w:color="auto" w:fill="auto"/>
            <w:vAlign w:val="bottom"/>
          </w:tcPr>
          <w:p w:rsidR="008479E5" w:rsidRPr="00D42158" w:rsidRDefault="008479E5" w:rsidP="001C2EF2">
            <w:pPr>
              <w:suppressAutoHyphens/>
              <w:spacing w:before="60" w:after="60" w:line="200" w:lineRule="exact"/>
              <w:ind w:right="57"/>
              <w:jc w:val="right"/>
              <w:rPr>
                <w:rFonts w:ascii="KaiTi_GB2312" w:eastAsia="KaiTi_GB2312" w:hAnsi="SimSun"/>
                <w:sz w:val="15"/>
                <w:szCs w:val="17"/>
              </w:rPr>
            </w:pPr>
            <w:r w:rsidRPr="00D42158">
              <w:rPr>
                <w:rFonts w:ascii="KaiTi_GB2312" w:eastAsia="KaiTi_GB2312" w:hAnsi="SimSun"/>
                <w:sz w:val="15"/>
                <w:szCs w:val="17"/>
              </w:rPr>
              <w:t>2007年</w:t>
            </w:r>
          </w:p>
        </w:tc>
        <w:tc>
          <w:tcPr>
            <w:tcW w:w="758" w:type="dxa"/>
            <w:tcBorders>
              <w:top w:val="single" w:sz="4" w:space="0" w:color="auto"/>
              <w:bottom w:val="single" w:sz="12" w:space="0" w:color="auto"/>
            </w:tcBorders>
            <w:shd w:val="clear" w:color="auto" w:fill="auto"/>
            <w:vAlign w:val="bottom"/>
          </w:tcPr>
          <w:p w:rsidR="008479E5" w:rsidRPr="00D42158" w:rsidRDefault="008479E5" w:rsidP="001C2EF2">
            <w:pPr>
              <w:suppressAutoHyphens/>
              <w:spacing w:before="60" w:after="60" w:line="200" w:lineRule="exact"/>
              <w:ind w:right="57"/>
              <w:jc w:val="right"/>
              <w:rPr>
                <w:rFonts w:ascii="KaiTi_GB2312" w:eastAsia="KaiTi_GB2312" w:hAnsi="SimSun"/>
                <w:sz w:val="15"/>
                <w:szCs w:val="17"/>
              </w:rPr>
            </w:pPr>
            <w:r w:rsidRPr="00D42158">
              <w:rPr>
                <w:rFonts w:ascii="KaiTi_GB2312" w:eastAsia="KaiTi_GB2312" w:hAnsi="SimSun"/>
                <w:sz w:val="15"/>
                <w:szCs w:val="17"/>
              </w:rPr>
              <w:t>2008年</w:t>
            </w:r>
          </w:p>
        </w:tc>
        <w:tc>
          <w:tcPr>
            <w:tcW w:w="758" w:type="dxa"/>
            <w:tcBorders>
              <w:top w:val="single" w:sz="4" w:space="0" w:color="auto"/>
              <w:bottom w:val="single" w:sz="12" w:space="0" w:color="auto"/>
            </w:tcBorders>
            <w:shd w:val="clear" w:color="auto" w:fill="auto"/>
            <w:vAlign w:val="bottom"/>
          </w:tcPr>
          <w:p w:rsidR="008479E5" w:rsidRPr="00D42158" w:rsidRDefault="008479E5" w:rsidP="001C2EF2">
            <w:pPr>
              <w:suppressAutoHyphens/>
              <w:spacing w:before="60" w:after="60" w:line="200" w:lineRule="exact"/>
              <w:ind w:right="57"/>
              <w:jc w:val="right"/>
              <w:rPr>
                <w:rFonts w:ascii="KaiTi_GB2312" w:eastAsia="KaiTi_GB2312" w:hAnsi="SimSun"/>
                <w:sz w:val="15"/>
                <w:szCs w:val="17"/>
              </w:rPr>
            </w:pPr>
            <w:r w:rsidRPr="00D42158">
              <w:rPr>
                <w:rFonts w:ascii="KaiTi_GB2312" w:eastAsia="KaiTi_GB2312" w:hAnsi="SimSun"/>
                <w:sz w:val="15"/>
                <w:szCs w:val="17"/>
              </w:rPr>
              <w:t>2009年</w:t>
            </w:r>
          </w:p>
        </w:tc>
      </w:tr>
      <w:tr w:rsidR="008479E5" w:rsidRPr="00DB7523" w:rsidTr="001C2EF2">
        <w:tblPrEx>
          <w:tblCellMar>
            <w:top w:w="0" w:type="dxa"/>
            <w:bottom w:w="0" w:type="dxa"/>
          </w:tblCellMar>
        </w:tblPrEx>
        <w:trPr>
          <w:trHeight w:hRule="exact" w:val="115"/>
          <w:tblHeader/>
        </w:trPr>
        <w:tc>
          <w:tcPr>
            <w:tcW w:w="2274" w:type="dxa"/>
            <w:tcBorders>
              <w:top w:val="single" w:sz="12" w:space="0" w:color="auto"/>
            </w:tcBorders>
            <w:shd w:val="clear" w:color="auto" w:fill="auto"/>
            <w:vAlign w:val="bottom"/>
          </w:tcPr>
          <w:p w:rsidR="008479E5" w:rsidRPr="00DB7523" w:rsidRDefault="008479E5" w:rsidP="001C2EF2">
            <w:pPr>
              <w:suppressAutoHyphens/>
              <w:spacing w:after="60" w:line="280" w:lineRule="exact"/>
              <w:ind w:right="57"/>
              <w:rPr>
                <w:rFonts w:hint="eastAsia"/>
                <w:sz w:val="17"/>
              </w:rPr>
            </w:pPr>
          </w:p>
        </w:tc>
        <w:tc>
          <w:tcPr>
            <w:tcW w:w="758" w:type="dxa"/>
            <w:tcBorders>
              <w:top w:val="single" w:sz="12" w:space="0" w:color="auto"/>
            </w:tcBorders>
            <w:shd w:val="clear" w:color="auto" w:fill="auto"/>
            <w:vAlign w:val="bottom"/>
          </w:tcPr>
          <w:p w:rsidR="008479E5" w:rsidRPr="00DB7523" w:rsidRDefault="008479E5" w:rsidP="001C2EF2">
            <w:pPr>
              <w:suppressAutoHyphens/>
              <w:spacing w:after="60" w:line="280" w:lineRule="exact"/>
              <w:ind w:right="57"/>
              <w:jc w:val="right"/>
              <w:rPr>
                <w:rFonts w:hint="eastAsia"/>
                <w:sz w:val="17"/>
              </w:rPr>
            </w:pPr>
          </w:p>
        </w:tc>
        <w:tc>
          <w:tcPr>
            <w:tcW w:w="758" w:type="dxa"/>
            <w:tcBorders>
              <w:top w:val="single" w:sz="12" w:space="0" w:color="auto"/>
            </w:tcBorders>
            <w:shd w:val="clear" w:color="auto" w:fill="auto"/>
            <w:vAlign w:val="bottom"/>
          </w:tcPr>
          <w:p w:rsidR="008479E5" w:rsidRPr="00DB7523" w:rsidRDefault="008479E5" w:rsidP="001C2EF2">
            <w:pPr>
              <w:suppressAutoHyphens/>
              <w:spacing w:after="60" w:line="280" w:lineRule="exact"/>
              <w:ind w:right="57"/>
              <w:jc w:val="right"/>
              <w:rPr>
                <w:rFonts w:hint="eastAsia"/>
                <w:sz w:val="17"/>
              </w:rPr>
            </w:pPr>
          </w:p>
        </w:tc>
        <w:tc>
          <w:tcPr>
            <w:tcW w:w="758" w:type="dxa"/>
            <w:tcBorders>
              <w:top w:val="single" w:sz="12" w:space="0" w:color="auto"/>
            </w:tcBorders>
            <w:shd w:val="clear" w:color="auto" w:fill="auto"/>
            <w:vAlign w:val="bottom"/>
          </w:tcPr>
          <w:p w:rsidR="008479E5" w:rsidRPr="00DB7523" w:rsidRDefault="008479E5" w:rsidP="001C2EF2">
            <w:pPr>
              <w:suppressAutoHyphens/>
              <w:spacing w:after="60" w:line="280" w:lineRule="exact"/>
              <w:ind w:right="57"/>
              <w:jc w:val="right"/>
              <w:rPr>
                <w:rFonts w:hint="eastAsia"/>
                <w:sz w:val="17"/>
              </w:rPr>
            </w:pPr>
          </w:p>
        </w:tc>
        <w:tc>
          <w:tcPr>
            <w:tcW w:w="758" w:type="dxa"/>
            <w:tcBorders>
              <w:top w:val="single" w:sz="12" w:space="0" w:color="auto"/>
            </w:tcBorders>
            <w:shd w:val="clear" w:color="auto" w:fill="auto"/>
            <w:vAlign w:val="bottom"/>
          </w:tcPr>
          <w:p w:rsidR="008479E5" w:rsidRPr="00DB7523" w:rsidRDefault="008479E5" w:rsidP="001C2EF2">
            <w:pPr>
              <w:suppressAutoHyphens/>
              <w:spacing w:after="60" w:line="280" w:lineRule="exact"/>
              <w:ind w:right="57"/>
              <w:jc w:val="right"/>
              <w:rPr>
                <w:rFonts w:hint="eastAsia"/>
                <w:sz w:val="17"/>
              </w:rPr>
            </w:pPr>
          </w:p>
        </w:tc>
        <w:tc>
          <w:tcPr>
            <w:tcW w:w="758" w:type="dxa"/>
            <w:tcBorders>
              <w:top w:val="single" w:sz="12" w:space="0" w:color="auto"/>
            </w:tcBorders>
            <w:shd w:val="clear" w:color="auto" w:fill="auto"/>
            <w:vAlign w:val="bottom"/>
          </w:tcPr>
          <w:p w:rsidR="008479E5" w:rsidRPr="00DB7523" w:rsidRDefault="008479E5" w:rsidP="001C2EF2">
            <w:pPr>
              <w:suppressAutoHyphens/>
              <w:spacing w:after="60" w:line="280" w:lineRule="exact"/>
              <w:ind w:right="57"/>
              <w:jc w:val="right"/>
              <w:rPr>
                <w:rFonts w:hint="eastAsia"/>
                <w:sz w:val="17"/>
              </w:rPr>
            </w:pPr>
          </w:p>
        </w:tc>
        <w:tc>
          <w:tcPr>
            <w:tcW w:w="758" w:type="dxa"/>
            <w:tcBorders>
              <w:top w:val="single" w:sz="12" w:space="0" w:color="auto"/>
            </w:tcBorders>
            <w:shd w:val="clear" w:color="auto" w:fill="auto"/>
            <w:vAlign w:val="bottom"/>
          </w:tcPr>
          <w:p w:rsidR="008479E5" w:rsidRPr="00DB7523" w:rsidRDefault="008479E5" w:rsidP="001C2EF2">
            <w:pPr>
              <w:suppressAutoHyphens/>
              <w:spacing w:after="60" w:line="280" w:lineRule="exact"/>
              <w:ind w:right="57"/>
              <w:jc w:val="right"/>
              <w:rPr>
                <w:rFonts w:hint="eastAsia"/>
                <w:sz w:val="17"/>
              </w:rPr>
            </w:pPr>
          </w:p>
        </w:tc>
        <w:tc>
          <w:tcPr>
            <w:tcW w:w="758" w:type="dxa"/>
            <w:tcBorders>
              <w:top w:val="single" w:sz="12" w:space="0" w:color="auto"/>
            </w:tcBorders>
            <w:shd w:val="clear" w:color="auto" w:fill="auto"/>
            <w:vAlign w:val="bottom"/>
          </w:tcPr>
          <w:p w:rsidR="008479E5" w:rsidRPr="00DB7523" w:rsidRDefault="008479E5" w:rsidP="001C2EF2">
            <w:pPr>
              <w:suppressAutoHyphens/>
              <w:spacing w:after="60" w:line="280" w:lineRule="exact"/>
              <w:ind w:right="57"/>
              <w:jc w:val="right"/>
              <w:rPr>
                <w:rFonts w:hint="eastAsia"/>
                <w:sz w:val="17"/>
              </w:rPr>
            </w:pPr>
          </w:p>
        </w:tc>
        <w:tc>
          <w:tcPr>
            <w:tcW w:w="758" w:type="dxa"/>
            <w:tcBorders>
              <w:top w:val="single" w:sz="12" w:space="0" w:color="auto"/>
            </w:tcBorders>
            <w:shd w:val="clear" w:color="auto" w:fill="auto"/>
            <w:vAlign w:val="bottom"/>
          </w:tcPr>
          <w:p w:rsidR="008479E5" w:rsidRPr="00DB7523" w:rsidRDefault="008479E5" w:rsidP="001C2EF2">
            <w:pPr>
              <w:suppressAutoHyphens/>
              <w:spacing w:after="60" w:line="280" w:lineRule="exact"/>
              <w:ind w:right="57"/>
              <w:jc w:val="right"/>
              <w:rPr>
                <w:rFonts w:hint="eastAsia"/>
                <w:sz w:val="17"/>
              </w:rPr>
            </w:pPr>
          </w:p>
        </w:tc>
        <w:tc>
          <w:tcPr>
            <w:tcW w:w="758" w:type="dxa"/>
            <w:tcBorders>
              <w:top w:val="single" w:sz="12" w:space="0" w:color="auto"/>
            </w:tcBorders>
            <w:shd w:val="clear" w:color="auto" w:fill="auto"/>
            <w:vAlign w:val="bottom"/>
          </w:tcPr>
          <w:p w:rsidR="008479E5" w:rsidRPr="00DB7523" w:rsidRDefault="008479E5" w:rsidP="001C2EF2">
            <w:pPr>
              <w:suppressAutoHyphens/>
              <w:spacing w:after="60" w:line="280" w:lineRule="exact"/>
              <w:ind w:right="57"/>
              <w:jc w:val="right"/>
              <w:rPr>
                <w:rFonts w:hint="eastAsia"/>
                <w:sz w:val="17"/>
              </w:rPr>
            </w:pPr>
          </w:p>
        </w:tc>
        <w:tc>
          <w:tcPr>
            <w:tcW w:w="758" w:type="dxa"/>
            <w:tcBorders>
              <w:top w:val="single" w:sz="12" w:space="0" w:color="auto"/>
            </w:tcBorders>
            <w:shd w:val="clear" w:color="auto" w:fill="auto"/>
            <w:vAlign w:val="bottom"/>
          </w:tcPr>
          <w:p w:rsidR="008479E5" w:rsidRPr="00DB7523" w:rsidRDefault="008479E5" w:rsidP="001C2EF2">
            <w:pPr>
              <w:suppressAutoHyphens/>
              <w:spacing w:after="60" w:line="280" w:lineRule="exact"/>
              <w:ind w:right="57"/>
              <w:jc w:val="right"/>
              <w:rPr>
                <w:rFonts w:hint="eastAsia"/>
                <w:sz w:val="17"/>
              </w:rPr>
            </w:pPr>
          </w:p>
        </w:tc>
      </w:tr>
      <w:tr w:rsidR="008479E5" w:rsidRPr="00DB7523" w:rsidTr="001C2EF2">
        <w:tblPrEx>
          <w:tblCellMar>
            <w:top w:w="0" w:type="dxa"/>
            <w:bottom w:w="0" w:type="dxa"/>
          </w:tblCellMar>
        </w:tblPrEx>
        <w:tc>
          <w:tcPr>
            <w:tcW w:w="2274" w:type="dxa"/>
            <w:shd w:val="clear" w:color="auto" w:fill="auto"/>
            <w:vAlign w:val="bottom"/>
          </w:tcPr>
          <w:p w:rsidR="008479E5" w:rsidRPr="00DB7523" w:rsidRDefault="008479E5" w:rsidP="001C2EF2">
            <w:pPr>
              <w:tabs>
                <w:tab w:val="left" w:pos="334"/>
                <w:tab w:val="left" w:pos="669"/>
                <w:tab w:val="left" w:pos="1003"/>
                <w:tab w:val="left" w:pos="1338"/>
              </w:tabs>
              <w:suppressAutoHyphens/>
              <w:spacing w:after="60" w:line="280" w:lineRule="exact"/>
              <w:ind w:right="57"/>
              <w:rPr>
                <w:rFonts w:hint="eastAsia"/>
                <w:sz w:val="17"/>
              </w:rPr>
            </w:pPr>
            <w:r w:rsidRPr="00D42158">
              <w:rPr>
                <w:rFonts w:hAnsi="SimSun"/>
                <w:sz w:val="17"/>
                <w:szCs w:val="17"/>
              </w:rPr>
              <w:t>劳动力总人数</w:t>
            </w:r>
          </w:p>
        </w:tc>
        <w:tc>
          <w:tcPr>
            <w:tcW w:w="758" w:type="dxa"/>
            <w:shd w:val="clear" w:color="auto" w:fill="auto"/>
            <w:vAlign w:val="bottom"/>
          </w:tcPr>
          <w:p w:rsidR="008479E5" w:rsidRPr="00DB7523" w:rsidRDefault="008479E5" w:rsidP="001C2EF2">
            <w:pPr>
              <w:tabs>
                <w:tab w:val="left" w:pos="334"/>
                <w:tab w:val="left" w:pos="669"/>
                <w:tab w:val="left" w:pos="1003"/>
                <w:tab w:val="left" w:pos="1338"/>
              </w:tabs>
              <w:suppressAutoHyphens/>
              <w:spacing w:after="60" w:line="280" w:lineRule="exact"/>
              <w:ind w:right="57"/>
              <w:jc w:val="right"/>
              <w:rPr>
                <w:rFonts w:hint="eastAsia"/>
                <w:sz w:val="17"/>
              </w:rPr>
            </w:pPr>
          </w:p>
        </w:tc>
        <w:tc>
          <w:tcPr>
            <w:tcW w:w="758" w:type="dxa"/>
            <w:shd w:val="clear" w:color="auto" w:fill="auto"/>
            <w:vAlign w:val="bottom"/>
          </w:tcPr>
          <w:p w:rsidR="008479E5" w:rsidRPr="00DB7523" w:rsidRDefault="008479E5" w:rsidP="001C2EF2">
            <w:pPr>
              <w:tabs>
                <w:tab w:val="left" w:pos="334"/>
                <w:tab w:val="left" w:pos="669"/>
                <w:tab w:val="left" w:pos="1003"/>
                <w:tab w:val="left" w:pos="1338"/>
              </w:tabs>
              <w:suppressAutoHyphens/>
              <w:spacing w:after="60" w:line="280" w:lineRule="exact"/>
              <w:ind w:right="57"/>
              <w:jc w:val="right"/>
              <w:rPr>
                <w:rFonts w:hint="eastAsia"/>
                <w:sz w:val="17"/>
              </w:rPr>
            </w:pPr>
          </w:p>
        </w:tc>
        <w:tc>
          <w:tcPr>
            <w:tcW w:w="758" w:type="dxa"/>
            <w:shd w:val="clear" w:color="auto" w:fill="auto"/>
            <w:vAlign w:val="bottom"/>
          </w:tcPr>
          <w:p w:rsidR="008479E5" w:rsidRPr="00DB7523" w:rsidRDefault="008479E5" w:rsidP="001C2EF2">
            <w:pPr>
              <w:tabs>
                <w:tab w:val="left" w:pos="334"/>
                <w:tab w:val="left" w:pos="669"/>
                <w:tab w:val="left" w:pos="1003"/>
                <w:tab w:val="left" w:pos="1338"/>
              </w:tabs>
              <w:suppressAutoHyphens/>
              <w:spacing w:after="60" w:line="280" w:lineRule="exact"/>
              <w:ind w:right="57"/>
              <w:jc w:val="right"/>
              <w:rPr>
                <w:rFonts w:hint="eastAsia"/>
                <w:sz w:val="17"/>
              </w:rPr>
            </w:pPr>
          </w:p>
        </w:tc>
        <w:tc>
          <w:tcPr>
            <w:tcW w:w="758" w:type="dxa"/>
            <w:shd w:val="clear" w:color="auto" w:fill="auto"/>
            <w:vAlign w:val="bottom"/>
          </w:tcPr>
          <w:p w:rsidR="008479E5" w:rsidRPr="00DB7523" w:rsidRDefault="008479E5" w:rsidP="001C2EF2">
            <w:pPr>
              <w:tabs>
                <w:tab w:val="left" w:pos="334"/>
                <w:tab w:val="left" w:pos="669"/>
                <w:tab w:val="left" w:pos="1003"/>
                <w:tab w:val="left" w:pos="1338"/>
              </w:tabs>
              <w:suppressAutoHyphens/>
              <w:spacing w:after="60" w:line="280" w:lineRule="exact"/>
              <w:ind w:right="57"/>
              <w:jc w:val="right"/>
              <w:rPr>
                <w:rFonts w:hint="eastAsia"/>
                <w:sz w:val="17"/>
              </w:rPr>
            </w:pPr>
          </w:p>
        </w:tc>
        <w:tc>
          <w:tcPr>
            <w:tcW w:w="758" w:type="dxa"/>
            <w:shd w:val="clear" w:color="auto" w:fill="auto"/>
            <w:vAlign w:val="bottom"/>
          </w:tcPr>
          <w:p w:rsidR="008479E5" w:rsidRPr="00DB7523" w:rsidRDefault="008479E5" w:rsidP="001C2EF2">
            <w:pPr>
              <w:tabs>
                <w:tab w:val="left" w:pos="334"/>
                <w:tab w:val="left" w:pos="669"/>
                <w:tab w:val="left" w:pos="1003"/>
                <w:tab w:val="left" w:pos="1338"/>
              </w:tabs>
              <w:suppressAutoHyphens/>
              <w:spacing w:after="60" w:line="280" w:lineRule="exact"/>
              <w:ind w:right="57"/>
              <w:jc w:val="right"/>
              <w:rPr>
                <w:rFonts w:hint="eastAsia"/>
                <w:sz w:val="17"/>
              </w:rPr>
            </w:pPr>
          </w:p>
        </w:tc>
        <w:tc>
          <w:tcPr>
            <w:tcW w:w="758" w:type="dxa"/>
            <w:shd w:val="clear" w:color="auto" w:fill="auto"/>
            <w:vAlign w:val="bottom"/>
          </w:tcPr>
          <w:p w:rsidR="008479E5" w:rsidRPr="00DB7523" w:rsidRDefault="008479E5" w:rsidP="001C2EF2">
            <w:pPr>
              <w:tabs>
                <w:tab w:val="left" w:pos="334"/>
                <w:tab w:val="left" w:pos="669"/>
                <w:tab w:val="left" w:pos="1003"/>
                <w:tab w:val="left" w:pos="1338"/>
              </w:tabs>
              <w:suppressAutoHyphens/>
              <w:spacing w:after="60" w:line="280" w:lineRule="exact"/>
              <w:ind w:right="57"/>
              <w:jc w:val="right"/>
              <w:rPr>
                <w:rFonts w:hint="eastAsia"/>
                <w:sz w:val="17"/>
              </w:rPr>
            </w:pPr>
          </w:p>
        </w:tc>
        <w:tc>
          <w:tcPr>
            <w:tcW w:w="758" w:type="dxa"/>
            <w:shd w:val="clear" w:color="auto" w:fill="auto"/>
            <w:vAlign w:val="bottom"/>
          </w:tcPr>
          <w:p w:rsidR="008479E5" w:rsidRPr="00DB7523" w:rsidRDefault="008479E5" w:rsidP="001C2EF2">
            <w:pPr>
              <w:tabs>
                <w:tab w:val="left" w:pos="334"/>
                <w:tab w:val="left" w:pos="669"/>
                <w:tab w:val="left" w:pos="1003"/>
                <w:tab w:val="left" w:pos="1338"/>
              </w:tabs>
              <w:suppressAutoHyphens/>
              <w:spacing w:after="60" w:line="280" w:lineRule="exact"/>
              <w:ind w:right="57"/>
              <w:jc w:val="right"/>
              <w:rPr>
                <w:rFonts w:hint="eastAsia"/>
                <w:sz w:val="17"/>
              </w:rPr>
            </w:pPr>
          </w:p>
        </w:tc>
        <w:tc>
          <w:tcPr>
            <w:tcW w:w="758" w:type="dxa"/>
            <w:shd w:val="clear" w:color="auto" w:fill="auto"/>
            <w:vAlign w:val="bottom"/>
          </w:tcPr>
          <w:p w:rsidR="008479E5" w:rsidRPr="00DB7523" w:rsidRDefault="008479E5" w:rsidP="001C2EF2">
            <w:pPr>
              <w:tabs>
                <w:tab w:val="left" w:pos="334"/>
                <w:tab w:val="left" w:pos="669"/>
                <w:tab w:val="left" w:pos="1003"/>
                <w:tab w:val="left" w:pos="1338"/>
              </w:tabs>
              <w:suppressAutoHyphens/>
              <w:spacing w:after="60" w:line="280" w:lineRule="exact"/>
              <w:ind w:right="57"/>
              <w:jc w:val="right"/>
              <w:rPr>
                <w:rFonts w:hint="eastAsia"/>
                <w:sz w:val="17"/>
              </w:rPr>
            </w:pPr>
          </w:p>
        </w:tc>
        <w:tc>
          <w:tcPr>
            <w:tcW w:w="758" w:type="dxa"/>
            <w:shd w:val="clear" w:color="auto" w:fill="auto"/>
            <w:vAlign w:val="bottom"/>
          </w:tcPr>
          <w:p w:rsidR="008479E5" w:rsidRPr="00DB7523" w:rsidRDefault="008479E5" w:rsidP="001C2EF2">
            <w:pPr>
              <w:tabs>
                <w:tab w:val="left" w:pos="334"/>
                <w:tab w:val="left" w:pos="669"/>
                <w:tab w:val="left" w:pos="1003"/>
                <w:tab w:val="left" w:pos="1338"/>
              </w:tabs>
              <w:suppressAutoHyphens/>
              <w:spacing w:after="60" w:line="280" w:lineRule="exact"/>
              <w:ind w:right="57"/>
              <w:jc w:val="right"/>
              <w:rPr>
                <w:rFonts w:hint="eastAsia"/>
                <w:sz w:val="17"/>
              </w:rPr>
            </w:pPr>
          </w:p>
        </w:tc>
        <w:tc>
          <w:tcPr>
            <w:tcW w:w="758" w:type="dxa"/>
            <w:shd w:val="clear" w:color="auto" w:fill="auto"/>
            <w:vAlign w:val="bottom"/>
          </w:tcPr>
          <w:p w:rsidR="008479E5" w:rsidRPr="00DB7523" w:rsidRDefault="008479E5" w:rsidP="001C2EF2">
            <w:pPr>
              <w:tabs>
                <w:tab w:val="left" w:pos="334"/>
                <w:tab w:val="left" w:pos="669"/>
                <w:tab w:val="left" w:pos="1003"/>
                <w:tab w:val="left" w:pos="1338"/>
              </w:tabs>
              <w:suppressAutoHyphens/>
              <w:spacing w:after="60" w:line="280" w:lineRule="exact"/>
              <w:ind w:right="57"/>
              <w:jc w:val="right"/>
              <w:rPr>
                <w:rFonts w:hint="eastAsia"/>
                <w:sz w:val="17"/>
              </w:rPr>
            </w:pP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hint="eastAsia"/>
                <w:sz w:val="17"/>
                <w:szCs w:val="17"/>
              </w:rPr>
              <w:t>全</w:t>
            </w:r>
            <w:r w:rsidRPr="00D42158">
              <w:rPr>
                <w:rFonts w:hAnsi="SimSun"/>
                <w:sz w:val="17"/>
                <w:szCs w:val="17"/>
              </w:rPr>
              <w:t>巴哈马</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1 57 640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164 675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167 980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173 795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176 330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178 705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180 255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186 105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191 595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184 020</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sz w:val="17"/>
                <w:szCs w:val="17"/>
              </w:rPr>
              <w:t>新普罗维登斯</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113 240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117 900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119 700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123 380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125 385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128 630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127 090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131 105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135 735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131 245</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sz w:val="17"/>
                <w:szCs w:val="17"/>
              </w:rPr>
              <w:t>大巴哈马</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23 900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25 055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25 190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26 350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26 465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27 305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27 445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28 850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29 820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28 235</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hint="eastAsia"/>
                <w:sz w:val="17"/>
                <w:szCs w:val="17"/>
              </w:rPr>
              <w:t>就业</w:t>
            </w:r>
            <w:r w:rsidRPr="00D42158">
              <w:rPr>
                <w:rFonts w:hAnsi="SimSun"/>
                <w:sz w:val="17"/>
                <w:szCs w:val="17"/>
              </w:rPr>
              <w:t>劳动力人数</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hint="eastAsia"/>
                <w:sz w:val="17"/>
                <w:szCs w:val="17"/>
              </w:rPr>
              <w:t>全</w:t>
            </w:r>
            <w:r w:rsidRPr="00D42158">
              <w:rPr>
                <w:rFonts w:hAnsi="SimSun"/>
                <w:sz w:val="17"/>
                <w:szCs w:val="17"/>
              </w:rPr>
              <w:t>巴哈马</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145 350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153 310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152 690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154 965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158 340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160 530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166 505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171 490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174 920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157 805</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sz w:val="17"/>
                <w:szCs w:val="17"/>
              </w:rPr>
              <w:t>新普罗维登斯</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104 440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109 770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108 255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108 685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111 725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114 660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118 575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120 675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123 960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112 880</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sz w:val="17"/>
                <w:szCs w:val="17"/>
              </w:rPr>
              <w:t>大巴哈马</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 xml:space="preserve"> 21 625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23 345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23 580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24 050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24 000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24 305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 xml:space="preserve"> 25 155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 xml:space="preserve"> 26 310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 xml:space="preserve"> 27 125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 xml:space="preserve"> 23 310</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sz w:val="17"/>
                <w:szCs w:val="17"/>
              </w:rPr>
              <w:t>失业劳动力人数</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hint="eastAsia"/>
                <w:sz w:val="17"/>
                <w:szCs w:val="17"/>
              </w:rPr>
              <w:t>全</w:t>
            </w:r>
            <w:r w:rsidRPr="00D42158">
              <w:rPr>
                <w:rFonts w:hAnsi="SimSun"/>
                <w:sz w:val="17"/>
                <w:szCs w:val="17"/>
              </w:rPr>
              <w:t>巴哈马</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12 290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11 365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 xml:space="preserve"> 15 290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18 830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17 990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18 175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13 750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14 615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16 675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26 215</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sz w:val="17"/>
                <w:szCs w:val="17"/>
              </w:rPr>
              <w:t>新普罗维登斯</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 xml:space="preserve">  8 800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 xml:space="preserve"> 8 130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11 445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14 695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 xml:space="preserve"> 13 660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 xml:space="preserve"> 13 970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 xml:space="preserve"> 8 515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10 430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11 775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16 365</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sz w:val="17"/>
                <w:szCs w:val="17"/>
              </w:rPr>
              <w:t>大巴哈马</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 xml:space="preserve"> 2 275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 xml:space="preserve"> 1 710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 xml:space="preserve"> 1 610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 xml:space="preserve"> 2 300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 xml:space="preserve">  2 465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3 000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2 290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2 540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2 695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4 925</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sz w:val="17"/>
                <w:szCs w:val="17"/>
              </w:rPr>
              <w:t>劳动力参与率</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hint="eastAsia"/>
                <w:sz w:val="17"/>
                <w:szCs w:val="17"/>
              </w:rPr>
              <w:t>全</w:t>
            </w:r>
            <w:r w:rsidRPr="00D42158">
              <w:rPr>
                <w:rFonts w:hAnsi="SimSun"/>
                <w:sz w:val="17"/>
                <w:szCs w:val="17"/>
              </w:rPr>
              <w:t>巴哈马</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76.8%</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76.2%</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76.4%</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76.5%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75.7%</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76.3%</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75.1%</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76.2%</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76.3%</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73.4%</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sz w:val="17"/>
                <w:szCs w:val="17"/>
              </w:rPr>
              <w:t>新普罗维登斯</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77.7%</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78.1%</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77.6%</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78.0%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77.5%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77.5%</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79.7%</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77.1%</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77.3%</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74.0%</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sz w:val="17"/>
                <w:szCs w:val="17"/>
              </w:rPr>
              <w:t>大巴哈马</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75.3%</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75.2%</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74.4%</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Pr>
                <w:rFonts w:hAnsi="SimSun"/>
                <w:sz w:val="17"/>
                <w:szCs w:val="17"/>
              </w:rPr>
              <w:t>76.0%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Pr>
                <w:rFonts w:hAnsi="SimSun"/>
                <w:sz w:val="17"/>
                <w:szCs w:val="17"/>
              </w:rPr>
              <w:t>74.7%</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Pr>
                <w:rFonts w:hAnsi="SimSun"/>
                <w:sz w:val="17"/>
                <w:szCs w:val="17"/>
              </w:rPr>
              <w:t>74.7%</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Pr>
                <w:rFonts w:hAnsi="SimSun"/>
                <w:sz w:val="17"/>
                <w:szCs w:val="17"/>
              </w:rPr>
              <w:t>74.6%</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Pr>
                <w:rFonts w:hAnsi="SimSun"/>
                <w:sz w:val="17"/>
                <w:szCs w:val="17"/>
              </w:rPr>
              <w:t>76.8%</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Pr>
                <w:rFonts w:hAnsi="SimSun"/>
                <w:sz w:val="17"/>
                <w:szCs w:val="17"/>
              </w:rPr>
              <w:t>76.9%</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74.2%</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sz w:val="17"/>
                <w:szCs w:val="17"/>
              </w:rPr>
              <w:t>失业率</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hint="eastAsia"/>
                <w:sz w:val="17"/>
                <w:szCs w:val="17"/>
              </w:rPr>
              <w:t>全</w:t>
            </w:r>
            <w:r w:rsidRPr="00D42158">
              <w:rPr>
                <w:rFonts w:hAnsi="SimSun"/>
                <w:sz w:val="17"/>
                <w:szCs w:val="17"/>
              </w:rPr>
              <w:t>巴哈马</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7.8%</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6.9%</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9.1%</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10.8%</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10.2%</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10.2%</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7.6%</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7.9%</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8.7%</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14.2%</w:t>
            </w:r>
          </w:p>
        </w:tc>
      </w:tr>
      <w:tr w:rsidR="008479E5" w:rsidRPr="00DB7523" w:rsidTr="001C2EF2">
        <w:tblPrEx>
          <w:tblCellMar>
            <w:top w:w="0" w:type="dxa"/>
            <w:bottom w:w="0" w:type="dxa"/>
          </w:tblCellMar>
        </w:tblPrEx>
        <w:tc>
          <w:tcPr>
            <w:tcW w:w="2274"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sz w:val="17"/>
                <w:szCs w:val="17"/>
              </w:rPr>
              <w:t>新普罗维登斯</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7.8%</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6.9%</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9.6%</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11.9%</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10.9%</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10.2%</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6.7%</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8.0%</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8.7%</w:t>
            </w:r>
          </w:p>
        </w:tc>
        <w:tc>
          <w:tcPr>
            <w:tcW w:w="758" w:type="dxa"/>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14.0%</w:t>
            </w:r>
          </w:p>
        </w:tc>
      </w:tr>
      <w:tr w:rsidR="008479E5" w:rsidRPr="00DB7523" w:rsidTr="001C2EF2">
        <w:tblPrEx>
          <w:tblCellMar>
            <w:top w:w="0" w:type="dxa"/>
            <w:bottom w:w="0" w:type="dxa"/>
          </w:tblCellMar>
        </w:tblPrEx>
        <w:tc>
          <w:tcPr>
            <w:tcW w:w="2274" w:type="dxa"/>
            <w:tcBorders>
              <w:bottom w:val="single" w:sz="12" w:space="0" w:color="auto"/>
            </w:tcBorders>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rPr>
                <w:rFonts w:hAnsi="SimSun"/>
                <w:sz w:val="17"/>
                <w:szCs w:val="17"/>
              </w:rPr>
            </w:pPr>
            <w:r w:rsidRPr="00D42158">
              <w:rPr>
                <w:rFonts w:hAnsi="SimSun" w:hint="eastAsia"/>
                <w:sz w:val="17"/>
                <w:szCs w:val="17"/>
              </w:rPr>
              <w:t>大</w:t>
            </w:r>
            <w:r w:rsidRPr="00D42158">
              <w:rPr>
                <w:rFonts w:hAnsi="SimSun"/>
                <w:sz w:val="17"/>
                <w:szCs w:val="17"/>
              </w:rPr>
              <w:t>巴哈马</w:t>
            </w:r>
          </w:p>
        </w:tc>
        <w:tc>
          <w:tcPr>
            <w:tcW w:w="758" w:type="dxa"/>
            <w:tcBorders>
              <w:bottom w:val="single" w:sz="12" w:space="0" w:color="auto"/>
            </w:tcBorders>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9.5%</w:t>
            </w:r>
          </w:p>
        </w:tc>
        <w:tc>
          <w:tcPr>
            <w:tcW w:w="758" w:type="dxa"/>
            <w:tcBorders>
              <w:bottom w:val="single" w:sz="12" w:space="0" w:color="auto"/>
            </w:tcBorders>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Pr>
                <w:rFonts w:hAnsi="SimSun"/>
                <w:sz w:val="17"/>
                <w:szCs w:val="17"/>
              </w:rPr>
              <w:t>6.8%</w:t>
            </w:r>
          </w:p>
        </w:tc>
        <w:tc>
          <w:tcPr>
            <w:tcW w:w="758" w:type="dxa"/>
            <w:tcBorders>
              <w:bottom w:val="single" w:sz="12" w:space="0" w:color="auto"/>
            </w:tcBorders>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6.4%</w:t>
            </w:r>
          </w:p>
        </w:tc>
        <w:tc>
          <w:tcPr>
            <w:tcW w:w="758" w:type="dxa"/>
            <w:tcBorders>
              <w:bottom w:val="single" w:sz="12" w:space="0" w:color="auto"/>
            </w:tcBorders>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8.7%</w:t>
            </w:r>
          </w:p>
        </w:tc>
        <w:tc>
          <w:tcPr>
            <w:tcW w:w="758" w:type="dxa"/>
            <w:tcBorders>
              <w:bottom w:val="single" w:sz="12" w:space="0" w:color="auto"/>
            </w:tcBorders>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9.3%</w:t>
            </w:r>
          </w:p>
        </w:tc>
        <w:tc>
          <w:tcPr>
            <w:tcW w:w="758" w:type="dxa"/>
            <w:tcBorders>
              <w:bottom w:val="single" w:sz="12" w:space="0" w:color="auto"/>
            </w:tcBorders>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Pr>
                <w:rFonts w:hAnsi="SimSun"/>
                <w:sz w:val="17"/>
                <w:szCs w:val="17"/>
              </w:rPr>
              <w:t>11.0%</w:t>
            </w:r>
          </w:p>
        </w:tc>
        <w:tc>
          <w:tcPr>
            <w:tcW w:w="758" w:type="dxa"/>
            <w:tcBorders>
              <w:bottom w:val="single" w:sz="12" w:space="0" w:color="auto"/>
            </w:tcBorders>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8.3%</w:t>
            </w:r>
          </w:p>
        </w:tc>
        <w:tc>
          <w:tcPr>
            <w:tcW w:w="758" w:type="dxa"/>
            <w:tcBorders>
              <w:bottom w:val="single" w:sz="12" w:space="0" w:color="auto"/>
            </w:tcBorders>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8.8%</w:t>
            </w:r>
          </w:p>
        </w:tc>
        <w:tc>
          <w:tcPr>
            <w:tcW w:w="758" w:type="dxa"/>
            <w:tcBorders>
              <w:bottom w:val="single" w:sz="12" w:space="0" w:color="auto"/>
            </w:tcBorders>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D42158">
              <w:rPr>
                <w:rFonts w:hAnsi="SimSun"/>
                <w:sz w:val="17"/>
                <w:szCs w:val="17"/>
              </w:rPr>
              <w:t>9.0%</w:t>
            </w:r>
          </w:p>
        </w:tc>
        <w:tc>
          <w:tcPr>
            <w:tcW w:w="758" w:type="dxa"/>
            <w:tcBorders>
              <w:bottom w:val="single" w:sz="12" w:space="0" w:color="auto"/>
            </w:tcBorders>
            <w:shd w:val="clear" w:color="auto" w:fill="auto"/>
            <w:vAlign w:val="bottom"/>
          </w:tcPr>
          <w:p w:rsidR="008479E5" w:rsidRPr="00D42158" w:rsidRDefault="008479E5" w:rsidP="001C2EF2">
            <w:pPr>
              <w:tabs>
                <w:tab w:val="left" w:pos="334"/>
                <w:tab w:val="left" w:pos="669"/>
                <w:tab w:val="left" w:pos="1003"/>
                <w:tab w:val="left" w:pos="1338"/>
              </w:tabs>
              <w:suppressAutoHyphens/>
              <w:spacing w:after="60" w:line="280" w:lineRule="exact"/>
              <w:ind w:right="57"/>
              <w:jc w:val="right"/>
              <w:rPr>
                <w:rFonts w:hAnsi="SimSun"/>
                <w:sz w:val="17"/>
                <w:szCs w:val="17"/>
              </w:rPr>
            </w:pPr>
            <w:r w:rsidRPr="00D42158">
              <w:rPr>
                <w:rFonts w:hAnsi="SimSun"/>
                <w:sz w:val="17"/>
                <w:szCs w:val="17"/>
              </w:rPr>
              <w:t>17.4%</w:t>
            </w:r>
          </w:p>
        </w:tc>
      </w:tr>
    </w:tbl>
    <w:p w:rsidR="008479E5" w:rsidRPr="00D42158" w:rsidRDefault="008479E5" w:rsidP="008479E5">
      <w:pPr>
        <w:pStyle w:val="SingleTxt"/>
        <w:spacing w:after="0" w:line="120" w:lineRule="exact"/>
        <w:rPr>
          <w:rFonts w:hint="eastAsia"/>
          <w:sz w:val="10"/>
        </w:rPr>
      </w:pPr>
    </w:p>
    <w:p w:rsidR="008479E5" w:rsidRDefault="008479E5" w:rsidP="001C2EF2">
      <w:pPr>
        <w:pStyle w:val="FootnoteText"/>
        <w:tabs>
          <w:tab w:val="clear" w:pos="418"/>
          <w:tab w:val="right" w:pos="216"/>
          <w:tab w:val="left" w:pos="288"/>
          <w:tab w:val="right" w:pos="576"/>
          <w:tab w:val="left" w:pos="648"/>
        </w:tabs>
        <w:spacing w:after="60"/>
        <w:ind w:left="288" w:hanging="288"/>
        <w:rPr>
          <w:rFonts w:hint="eastAsia"/>
        </w:rPr>
      </w:pPr>
      <w:r w:rsidRPr="00D42158">
        <w:rPr>
          <w:rFonts w:ascii="KaiTi_GB2312" w:eastAsia="KaiTi_GB2312" w:hint="eastAsia"/>
        </w:rPr>
        <w:t>资料来源</w:t>
      </w:r>
      <w:r>
        <w:rPr>
          <w:rFonts w:hint="eastAsia"/>
        </w:rPr>
        <w:t>：统计局。</w:t>
      </w:r>
    </w:p>
    <w:p w:rsidR="008479E5" w:rsidRDefault="008479E5" w:rsidP="001C2EF2">
      <w:pPr>
        <w:pStyle w:val="FootnoteText"/>
        <w:tabs>
          <w:tab w:val="clear" w:pos="418"/>
          <w:tab w:val="right" w:pos="216"/>
          <w:tab w:val="left" w:pos="288"/>
          <w:tab w:val="right" w:pos="576"/>
          <w:tab w:val="left" w:pos="648"/>
        </w:tabs>
        <w:spacing w:after="60"/>
        <w:ind w:left="364" w:hanging="364"/>
        <w:rPr>
          <w:rFonts w:hint="eastAsia"/>
        </w:rPr>
      </w:pPr>
      <w:r w:rsidRPr="00D42158">
        <w:rPr>
          <w:rFonts w:ascii="KaiTi_GB2312" w:eastAsia="KaiTi_GB2312" w:hint="eastAsia"/>
        </w:rPr>
        <w:t>注</w:t>
      </w:r>
      <w:r>
        <w:rPr>
          <w:rFonts w:hint="eastAsia"/>
        </w:rPr>
        <w:t>：没有2000年的劳动力数据，因为这一年是人口普查年。人口普查是一项重大的国家项目，因此，统计局在这一年没有进行其他家庭调查。</w:t>
      </w:r>
    </w:p>
    <w:p w:rsidR="008479E5" w:rsidRPr="00F47B2B"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hint="eastAsia"/>
        </w:rPr>
        <w:t>十.</w:t>
      </w:r>
      <w:r>
        <w:rPr>
          <w:rFonts w:hint="eastAsia"/>
        </w:rPr>
        <w:tab/>
        <w:t>国际移民组织</w:t>
      </w:r>
    </w:p>
    <w:p w:rsidR="008479E5" w:rsidRPr="00F47B2B" w:rsidRDefault="008479E5" w:rsidP="008479E5">
      <w:pPr>
        <w:pStyle w:val="SingleTxt"/>
        <w:spacing w:after="0" w:line="120" w:lineRule="exact"/>
        <w:rPr>
          <w:rFonts w:hint="eastAsia"/>
          <w:sz w:val="10"/>
        </w:rPr>
      </w:pPr>
    </w:p>
    <w:p w:rsidR="008479E5" w:rsidRPr="00F47B2B"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19.</w:t>
      </w:r>
      <w:r>
        <w:tab/>
      </w:r>
      <w:r>
        <w:rPr>
          <w:rFonts w:hint="eastAsia"/>
        </w:rPr>
        <w:t>近年来，巴哈马群岛表明决心解决移民管理问题，特别是脆弱移民人口中的问题，并设法找到实用、持久的应对措施，通过积极参与一般由国际移民组织促成的各种方案，解决复杂的移民挑战。具体事例如下。</w:t>
      </w:r>
    </w:p>
    <w:p w:rsidR="008479E5" w:rsidRDefault="008479E5" w:rsidP="008479E5">
      <w:pPr>
        <w:pStyle w:val="SingleTxt"/>
        <w:rPr>
          <w:rFonts w:hint="eastAsia"/>
        </w:rPr>
      </w:pPr>
      <w:r>
        <w:rPr>
          <w:rFonts w:hint="eastAsia"/>
        </w:rPr>
        <w:t>20.</w:t>
      </w:r>
      <w:r>
        <w:rPr>
          <w:rFonts w:hint="eastAsia"/>
        </w:rPr>
        <w:tab/>
        <w:t>巴哈马参加了国际移民组织主办的下列活动：2008年11月16-20日在圣卢西亚举行的“第八届国际移民组织加勒比区域研讨会”；2009年3月25-29日在阿根廷布宜诺斯艾利斯举行的“第二届贩卖人口问题国家主管部门会议”；2009年11月12日在太子港举行的“第4次跨境问题研讨会：个性化护照制作系统：数据收集”；2009年12月7-9日在安提瓜和巴布达举行的“第八届加勒比区域移徙问题年度研讨会”；和2010年11月8-11日在墨西哥举行的“移徙与发展问题全球论坛第四届会议”。</w:t>
      </w:r>
    </w:p>
    <w:p w:rsidR="008479E5" w:rsidRDefault="008479E5" w:rsidP="008479E5">
      <w:pPr>
        <w:pStyle w:val="SingleTxt"/>
        <w:rPr>
          <w:rFonts w:hint="eastAsia"/>
        </w:rPr>
      </w:pPr>
      <w:r>
        <w:rPr>
          <w:rFonts w:hint="eastAsia"/>
        </w:rPr>
        <w:t>21.</w:t>
      </w:r>
      <w:r>
        <w:rPr>
          <w:rFonts w:hint="eastAsia"/>
        </w:rPr>
        <w:tab/>
        <w:t>2009年，作为其移民领域技术援助方案的一部分，国际移民组织提出帮助收集有关加勒比区域的儿童移徙所产生积极和消极影响的资料，同时促进讨论与合作，以便更好地理解和制定应对这一问题的政策。这导致召开两个工作组会议：2009年6月24-25日在巴巴多斯和2009年9月9-10日在圭亚那乔治敦召开的“加勒比区域的儿童移徙问题”会议；在这两次会议上，包括巴哈马群岛在内的加勒比共同体成员国就加勒比区域的儿童移徙问题交流实践经验，查找优势和不足，并拟订建议。</w:t>
      </w:r>
    </w:p>
    <w:p w:rsidR="008479E5" w:rsidRDefault="008479E5" w:rsidP="008479E5">
      <w:pPr>
        <w:pStyle w:val="SingleTxt"/>
        <w:rPr>
          <w:rFonts w:hint="eastAsia"/>
        </w:rPr>
      </w:pPr>
      <w:r>
        <w:rPr>
          <w:rFonts w:hint="eastAsia"/>
        </w:rPr>
        <w:t>22.</w:t>
      </w:r>
      <w:r>
        <w:rPr>
          <w:rFonts w:hint="eastAsia"/>
        </w:rPr>
        <w:tab/>
        <w:t>巴哈马预计，通过参与国际移民组织赞助的这些研讨会和会议等，将对巴哈马克服复杂的移徙挑战的努力做出持久贡献，总地来讲将加强为克服加勒比区域的移徙管理和边境安全挑战所进行的区域合作。</w:t>
      </w:r>
    </w:p>
    <w:p w:rsidR="008479E5" w:rsidRDefault="008479E5" w:rsidP="008479E5">
      <w:pPr>
        <w:pStyle w:val="SingleTxt"/>
        <w:rPr>
          <w:rFonts w:hint="eastAsia"/>
        </w:rPr>
      </w:pPr>
      <w:r>
        <w:rPr>
          <w:rFonts w:hint="eastAsia"/>
        </w:rPr>
        <w:t>23.</w:t>
      </w:r>
      <w:r>
        <w:rPr>
          <w:rFonts w:hint="eastAsia"/>
        </w:rPr>
        <w:tab/>
        <w:t>2009年3月，巴哈马同意参加一个为期一年的关于被递解出境的罪犯重新融入巴哈马社会的试点项目。这个由美国政府资助的国际移民组织项目的总体目标，是帮助从美国返回的人长期重新融入巴哈马社会。该项目需要得到机构间支持和协作，已通过提供抵达指导、到达后援助、小企业发展和企业管理培训等服务，帮助大约75名从美国返回的巴哈马国民重新融入巴哈马社会。</w:t>
      </w:r>
    </w:p>
    <w:p w:rsidR="00CA17C3" w:rsidRPr="00CA17C3" w:rsidRDefault="00CA17C3" w:rsidP="00CA17C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Pr="00F47B2B" w:rsidRDefault="00CA17C3" w:rsidP="00CA17C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十一.</w:t>
      </w:r>
      <w:r>
        <w:tab/>
      </w:r>
      <w:r w:rsidR="008479E5" w:rsidRPr="00F47B2B">
        <w:rPr>
          <w:rFonts w:hint="eastAsia"/>
        </w:rPr>
        <w:t>联合国人类发展指数</w:t>
      </w:r>
    </w:p>
    <w:p w:rsidR="00CA17C3" w:rsidRPr="00CA17C3" w:rsidRDefault="00CA17C3" w:rsidP="00CA17C3">
      <w:pPr>
        <w:pStyle w:val="SingleTxt"/>
        <w:spacing w:after="0" w:line="120" w:lineRule="exact"/>
        <w:rPr>
          <w:rFonts w:hint="eastAsia"/>
          <w:sz w:val="10"/>
        </w:rPr>
      </w:pPr>
    </w:p>
    <w:p w:rsidR="00CA17C3" w:rsidRPr="00CA17C3" w:rsidRDefault="00CA17C3" w:rsidP="00CA17C3">
      <w:pPr>
        <w:pStyle w:val="SingleTxt"/>
        <w:spacing w:after="0" w:line="120" w:lineRule="exact"/>
        <w:rPr>
          <w:rFonts w:hint="eastAsia"/>
          <w:sz w:val="10"/>
        </w:rPr>
      </w:pPr>
    </w:p>
    <w:p w:rsidR="008479E5" w:rsidRDefault="008479E5" w:rsidP="008479E5">
      <w:pPr>
        <w:pStyle w:val="SingleTxt"/>
      </w:pPr>
      <w:r>
        <w:rPr>
          <w:rFonts w:hint="eastAsia"/>
        </w:rPr>
        <w:t>24.</w:t>
      </w:r>
      <w:r>
        <w:rPr>
          <w:rFonts w:hint="eastAsia"/>
        </w:rPr>
        <w:tab/>
        <w:t>2010年，联合国披露巴哈马的人类发展指数值为0.784。人类发展指数值整体发展趋势显示，随着该指数的主要基本内容——即健康长寿、获取知识的情况和体面的生活标准——稳步改善，巴哈马的人类发展指数值一直在逐步改善。根据提供1980-2005年期间趋势数据的2007/2008年报告，在有数据可查的25年报告期间，巴哈马的人类发展指数增加速度高于全世界大多数小岛屿发展中国家。就美洲而言，2010年，巴哈马在该区域人类发展指数值最高的前10个国家中排名第4。2010年，巴哈马的人类发展指数值可同立陶宛和智利(0.783)以及巴巴多斯(0.788)相提并论。在包括政治自由和公民自由的“赋权”方面，巴哈马群岛在民主尺度上的得分是2(其中0＝不民主，2＝民主)。此外关于侵犯人权行为，巴哈马在5分中的得分是2(1＝侵犯人权行为最少，5＝侵权行为最多)。</w:t>
      </w:r>
    </w:p>
    <w:p w:rsidR="008479E5" w:rsidRPr="00F47B2B"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Default="008479E5" w:rsidP="008479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第二部分</w:t>
      </w:r>
    </w:p>
    <w:p w:rsidR="008479E5" w:rsidRPr="00F47B2B"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Pr="00F47B2B"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479E5"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w:t>
      </w:r>
      <w:r w:rsidR="00885365">
        <w:rPr>
          <w:rFonts w:hint="eastAsia"/>
        </w:rPr>
        <w:t>1</w:t>
      </w:r>
      <w:r>
        <w:rPr>
          <w:rFonts w:hint="eastAsia"/>
        </w:rPr>
        <w:t>条：界定对妇女的歧视</w:t>
      </w:r>
    </w:p>
    <w:p w:rsidR="008479E5" w:rsidRPr="00F47B2B" w:rsidRDefault="008479E5" w:rsidP="008479E5">
      <w:pPr>
        <w:pStyle w:val="SingleTxt"/>
        <w:spacing w:after="0" w:line="120" w:lineRule="exact"/>
        <w:rPr>
          <w:sz w:val="10"/>
        </w:rPr>
      </w:pPr>
    </w:p>
    <w:p w:rsidR="008479E5" w:rsidRDefault="008479E5" w:rsidP="008479E5">
      <w:pPr>
        <w:pStyle w:val="SingleTxt"/>
        <w:rPr>
          <w:rFonts w:hint="eastAsia"/>
        </w:rPr>
      </w:pPr>
      <w:r>
        <w:rPr>
          <w:rFonts w:hint="eastAsia"/>
        </w:rPr>
        <w:t>25.</w:t>
      </w:r>
      <w:r>
        <w:rPr>
          <w:rFonts w:hint="eastAsia"/>
        </w:rPr>
        <w:tab/>
        <w:t>《巴哈马宪法》制定了巴哈马国关于歧视妇女问题的法律。</w:t>
      </w:r>
    </w:p>
    <w:p w:rsidR="008479E5" w:rsidRDefault="008479E5" w:rsidP="008479E5">
      <w:pPr>
        <w:pStyle w:val="SingleTxt"/>
        <w:rPr>
          <w:rFonts w:hint="eastAsia"/>
        </w:rPr>
      </w:pPr>
      <w:r>
        <w:rPr>
          <w:rFonts w:hint="eastAsia"/>
        </w:rPr>
        <w:t>26.</w:t>
      </w:r>
      <w:r>
        <w:rPr>
          <w:rFonts w:hint="eastAsia"/>
        </w:rPr>
        <w:tab/>
        <w:t>为《消除对妇女一切形式歧视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8479E5" w:rsidRDefault="008479E5" w:rsidP="008479E5">
      <w:pPr>
        <w:pStyle w:val="SingleTxt"/>
        <w:rPr>
          <w:rFonts w:hint="eastAsia"/>
        </w:rPr>
      </w:pPr>
      <w:r>
        <w:rPr>
          <w:rFonts w:hint="eastAsia"/>
        </w:rPr>
        <w:t>27.</w:t>
      </w:r>
      <w:r>
        <w:rPr>
          <w:rFonts w:hint="eastAsia"/>
        </w:rPr>
        <w:tab/>
      </w:r>
      <w:r w:rsidR="005A1451">
        <w:rPr>
          <w:rFonts w:hint="eastAsia"/>
        </w:rPr>
        <w:t>《公约》定义的歧视行为包括：</w:t>
      </w:r>
      <w:r>
        <w:rPr>
          <w:rFonts w:hint="eastAsia"/>
        </w:rPr>
        <w:t>基于性别而作的任何区别、排斥或限制，其</w:t>
      </w:r>
      <w:r w:rsidR="005A1451">
        <w:rPr>
          <w:rFonts w:hint="eastAsia"/>
        </w:rPr>
        <w:t>目的或其影响均是阻挠或妨碍妇女不论已婚未婚享受和男性同等的人权</w:t>
      </w:r>
      <w:r>
        <w:rPr>
          <w:rFonts w:hint="eastAsia"/>
        </w:rPr>
        <w:t>(《1996年妇女地位评估：11》)。</w:t>
      </w:r>
    </w:p>
    <w:p w:rsidR="008479E5" w:rsidRDefault="008479E5" w:rsidP="008479E5">
      <w:pPr>
        <w:pStyle w:val="SingleTxt"/>
        <w:rPr>
          <w:rFonts w:hint="eastAsia"/>
        </w:rPr>
      </w:pPr>
      <w:r>
        <w:rPr>
          <w:rFonts w:hint="eastAsia"/>
        </w:rPr>
        <w:t>28.</w:t>
      </w:r>
      <w:r>
        <w:rPr>
          <w:rFonts w:hint="eastAsia"/>
        </w:rPr>
        <w:tab/>
        <w:t>《巴哈马宪法》第三章第15条规定，在巴哈马，不论种族、原籍地、政见、肤色、信仰或性别为何，人人享有某些基本权利和自由。“不论种族、原籍地、政见、肤色、信仰或性别为何”，人人都享有“下列每一项和所有各项权利，即：</w:t>
      </w:r>
    </w:p>
    <w:p w:rsidR="008479E5" w:rsidRDefault="008479E5" w:rsidP="008479E5">
      <w:pPr>
        <w:pStyle w:val="SingleTxt"/>
        <w:ind w:left="1695"/>
        <w:rPr>
          <w:rFonts w:hint="eastAsia"/>
        </w:rPr>
      </w:pPr>
      <w:r>
        <w:rPr>
          <w:rFonts w:hint="eastAsia"/>
        </w:rPr>
        <w:t>“(a)</w:t>
      </w:r>
      <w:r>
        <w:t xml:space="preserve">  </w:t>
      </w:r>
      <w:r>
        <w:rPr>
          <w:rFonts w:hint="eastAsia"/>
        </w:rPr>
        <w:t>生命、自由、人身保障和受法律保护；</w:t>
      </w:r>
    </w:p>
    <w:p w:rsidR="008479E5" w:rsidRDefault="008479E5" w:rsidP="008479E5">
      <w:pPr>
        <w:pStyle w:val="SingleTxt"/>
        <w:ind w:left="1695"/>
        <w:rPr>
          <w:rFonts w:hint="eastAsia"/>
        </w:rPr>
      </w:pPr>
      <w:r>
        <w:rPr>
          <w:rFonts w:hint="eastAsia"/>
        </w:rPr>
        <w:t>“(b)</w:t>
      </w:r>
      <w:r>
        <w:t xml:space="preserve">  </w:t>
      </w:r>
      <w:r>
        <w:rPr>
          <w:rFonts w:hint="eastAsia"/>
        </w:rPr>
        <w:t>良心自由、言论自由和集会自由……；</w:t>
      </w:r>
    </w:p>
    <w:p w:rsidR="008479E5" w:rsidRDefault="008479E5" w:rsidP="008479E5">
      <w:pPr>
        <w:pStyle w:val="SingleTxt"/>
        <w:ind w:left="1695"/>
        <w:rPr>
          <w:rFonts w:hint="eastAsia"/>
        </w:rPr>
      </w:pPr>
      <w:r>
        <w:rPr>
          <w:rFonts w:hint="eastAsia"/>
        </w:rPr>
        <w:t>“(c)</w:t>
      </w:r>
      <w:r>
        <w:t xml:space="preserve">  </w:t>
      </w:r>
      <w:r>
        <w:rPr>
          <w:rFonts w:hint="eastAsia"/>
        </w:rPr>
        <w:t>家庭隐私和其他财产受到保护……”。</w:t>
      </w:r>
    </w:p>
    <w:p w:rsidR="008479E5" w:rsidRDefault="008479E5" w:rsidP="008479E5">
      <w:pPr>
        <w:pStyle w:val="SingleTxt"/>
        <w:rPr>
          <w:rFonts w:hint="eastAsia"/>
        </w:rPr>
      </w:pPr>
      <w:r>
        <w:rPr>
          <w:rFonts w:hint="eastAsia"/>
        </w:rPr>
        <w:t>29.</w:t>
      </w:r>
      <w:r>
        <w:rPr>
          <w:rFonts w:hint="eastAsia"/>
        </w:rPr>
        <w:tab/>
        <w:t>《宪法》保证向每个人(不分男女)提供这些保护，第三章第15至27条较充分地阐述了这些保护。</w:t>
      </w:r>
    </w:p>
    <w:p w:rsidR="008479E5" w:rsidRDefault="008479E5" w:rsidP="008479E5">
      <w:pPr>
        <w:pStyle w:val="SingleTxt"/>
        <w:rPr>
          <w:rFonts w:hint="eastAsia"/>
        </w:rPr>
      </w:pPr>
      <w:r>
        <w:rPr>
          <w:rFonts w:hint="eastAsia"/>
        </w:rPr>
        <w:t>30.</w:t>
      </w:r>
      <w:r>
        <w:rPr>
          <w:rFonts w:hint="eastAsia"/>
        </w:rPr>
        <w:tab/>
        <w:t>第15条明确体现了我国宪法关于巴哈马男女一律平等，不因性别有所保留的原则。事实上，《宪法》规定，这一原则是每个巴哈马人的一项基本权利。第15条还具体规定，“……本章此后各项规定将保护上述权利和自由……”。因此，《宪法》不仅保护</w:t>
      </w:r>
      <w:r w:rsidRPr="00E35E4D">
        <w:t>⑴</w:t>
      </w:r>
      <w:r>
        <w:t xml:space="preserve"> </w:t>
      </w:r>
      <w:r>
        <w:rPr>
          <w:rFonts w:hint="eastAsia"/>
        </w:rPr>
        <w:t>生命权、</w:t>
      </w:r>
      <w:r w:rsidRPr="00E35E4D">
        <w:t>⑵</w:t>
      </w:r>
      <w:r>
        <w:t xml:space="preserve"> </w:t>
      </w:r>
      <w:r>
        <w:rPr>
          <w:rFonts w:hint="eastAsia"/>
        </w:rPr>
        <w:t>免遭不人道待遇权、</w:t>
      </w:r>
      <w:r w:rsidRPr="00E35E4D">
        <w:t>⑶</w:t>
      </w:r>
      <w:r>
        <w:t xml:space="preserve"> </w:t>
      </w:r>
      <w:r>
        <w:rPr>
          <w:rFonts w:hint="eastAsia"/>
        </w:rPr>
        <w:t>免遭奴役和免遭强迫劳动权、</w:t>
      </w:r>
      <w:r w:rsidRPr="00E35E4D">
        <w:t>⑷</w:t>
      </w:r>
      <w:r>
        <w:t xml:space="preserve"> </w:t>
      </w:r>
      <w:r>
        <w:rPr>
          <w:rFonts w:hint="eastAsia"/>
        </w:rPr>
        <w:t>免遭任意逮捕或拘留权、⑸</w:t>
      </w:r>
      <w:r>
        <w:t xml:space="preserve"> </w:t>
      </w:r>
      <w:r>
        <w:rPr>
          <w:rFonts w:hint="eastAsia"/>
        </w:rPr>
        <w:t>获得法律保护权、</w:t>
      </w:r>
      <w:r w:rsidRPr="00E35E4D">
        <w:t>⑹</w:t>
      </w:r>
      <w:r>
        <w:t xml:space="preserve"> </w:t>
      </w:r>
      <w:r>
        <w:rPr>
          <w:rFonts w:hint="eastAsia"/>
        </w:rPr>
        <w:t>家庭隐私和其他财产受保护权、</w:t>
      </w:r>
      <w:r w:rsidRPr="00E35E4D">
        <w:t>⑺</w:t>
      </w:r>
      <w:r>
        <w:t xml:space="preserve"> </w:t>
      </w:r>
      <w:r>
        <w:rPr>
          <w:rFonts w:hint="eastAsia"/>
        </w:rPr>
        <w:t>良心自由受保护权、</w:t>
      </w:r>
      <w:r w:rsidRPr="00E35E4D">
        <w:t>⑻</w:t>
      </w:r>
      <w:r>
        <w:t xml:space="preserve"> </w:t>
      </w:r>
      <w:r>
        <w:rPr>
          <w:rFonts w:hint="eastAsia"/>
        </w:rPr>
        <w:t>言论自由受保护权、</w:t>
      </w:r>
      <w:r w:rsidRPr="00E35E4D">
        <w:t>⑼</w:t>
      </w:r>
      <w:r>
        <w:t xml:space="preserve"> </w:t>
      </w:r>
      <w:r>
        <w:rPr>
          <w:rFonts w:hint="eastAsia"/>
        </w:rPr>
        <w:t>集会和结社自由受保护权、</w:t>
      </w:r>
      <w:r w:rsidRPr="00E35E4D">
        <w:t>⑽</w:t>
      </w:r>
      <w:r>
        <w:t xml:space="preserve"> </w:t>
      </w:r>
      <w:r>
        <w:rPr>
          <w:rFonts w:hint="eastAsia"/>
        </w:rPr>
        <w:t>行动自由受保护权，而且还保护⑾</w:t>
      </w:r>
      <w:r>
        <w:t xml:space="preserve"> </w:t>
      </w:r>
      <w:r>
        <w:rPr>
          <w:rFonts w:hint="eastAsia"/>
        </w:rPr>
        <w:t>不因种族、籍贯、政治见解、肤色或信仰而遭受歧视的权利。</w:t>
      </w:r>
    </w:p>
    <w:p w:rsidR="008479E5" w:rsidRDefault="008479E5" w:rsidP="008479E5">
      <w:pPr>
        <w:pStyle w:val="SingleTxt"/>
        <w:rPr>
          <w:rFonts w:hint="eastAsia"/>
        </w:rPr>
      </w:pPr>
      <w:r>
        <w:rPr>
          <w:rFonts w:hint="eastAsia"/>
        </w:rPr>
        <w:t>31.</w:t>
      </w:r>
      <w:r>
        <w:rPr>
          <w:rFonts w:hint="eastAsia"/>
        </w:rPr>
        <w:tab/>
        <w:t>因此，《宪法》看来明确保护巴哈马妇女和男子，让他们不因种族、原籍地、政见、肤色或信仰而遭受歧视。所以，认为男子或妇女不受上述保护，包括不受不因种族、原籍地、政见、肤色或信仰而遭受歧视的保护的说法是违反《宪法》所载男女平等原则的。不因种族、原籍地、政见、肤色或信仰而遭受歧视的保护规定与男女平等原则相关，因此不允许性别歧视。换言之，性别歧视有损每个人“不论种族、原籍地、政见、肤色、信仰或性别为何”，“不因种族、原籍地、政见、肤色或信仰而遭受歧视的权利。”</w:t>
      </w:r>
    </w:p>
    <w:p w:rsidR="008479E5" w:rsidRDefault="008479E5" w:rsidP="008479E5">
      <w:pPr>
        <w:pStyle w:val="SingleTxt"/>
        <w:rPr>
          <w:rFonts w:hint="eastAsia"/>
        </w:rPr>
      </w:pPr>
      <w:r>
        <w:rPr>
          <w:rFonts w:hint="eastAsia"/>
        </w:rPr>
        <w:t>32.</w:t>
      </w:r>
      <w:r>
        <w:rPr>
          <w:rFonts w:hint="eastAsia"/>
        </w:rPr>
        <w:tab/>
        <w:t>《巴哈马宪法》第26条第3款规定，“歧视”一词的定义是，“完全或主要基于种族、原籍地、政见、肤色或信仰，给予不同人不同的待遇，在这种情况下，具有上述某种属性的人被剥夺资格或受到限制，而具有上述另一种属性的人则不受这种待遇，或具有上述某种属性的人获得各种特权或利益，而具有上述另一种属性的人则不享受这些特权或利益。”这个定义并不减损已载入《宪法》的男女平等原则。</w:t>
      </w:r>
    </w:p>
    <w:p w:rsidR="008479E5" w:rsidRDefault="008479E5" w:rsidP="008479E5">
      <w:pPr>
        <w:pStyle w:val="SingleTxt"/>
        <w:rPr>
          <w:rFonts w:hint="eastAsia"/>
        </w:rPr>
      </w:pPr>
      <w:r>
        <w:rPr>
          <w:rFonts w:hint="eastAsia"/>
        </w:rPr>
        <w:t>33.</w:t>
      </w:r>
      <w:r>
        <w:rPr>
          <w:rFonts w:hint="eastAsia"/>
        </w:rPr>
        <w:tab/>
        <w:t>然而，第26条第1款规定，“……任何法律均不得作出任何本身具有歧视性或有歧视性效果的规定”。因此，第三章第28条规定，任何认为自己权利受到侵犯的巴哈马人都可寻求矫正。</w:t>
      </w:r>
    </w:p>
    <w:p w:rsidR="008479E5" w:rsidRDefault="008479E5" w:rsidP="008479E5">
      <w:pPr>
        <w:pStyle w:val="SingleTxt"/>
        <w:rPr>
          <w:rFonts w:hint="eastAsia"/>
        </w:rPr>
      </w:pPr>
      <w:r>
        <w:rPr>
          <w:rFonts w:hint="eastAsia"/>
        </w:rPr>
        <w:t>34.</w:t>
      </w:r>
      <w:r>
        <w:rPr>
          <w:rFonts w:hint="eastAsia"/>
        </w:rPr>
        <w:tab/>
        <w:t>此外，第15条还规定，这项基本权利超越第三章可能载有的任何限制规定，与其无关，并且规定，这项权利“须受(下文)规定所载限制这种保护的各项规定制约，因为这些限制规定的目的是确保任何人在享受上述权利和自由时，不损害他人的权利和自由或公共利益。”</w:t>
      </w:r>
    </w:p>
    <w:p w:rsidR="008479E5" w:rsidRDefault="008479E5" w:rsidP="008479E5">
      <w:pPr>
        <w:pStyle w:val="SingleTxt"/>
        <w:rPr>
          <w:rFonts w:hint="eastAsia"/>
        </w:rPr>
      </w:pPr>
      <w:r>
        <w:rPr>
          <w:rFonts w:hint="eastAsia"/>
        </w:rPr>
        <w:t>35.</w:t>
      </w:r>
      <w:r>
        <w:rPr>
          <w:rFonts w:hint="eastAsia"/>
        </w:rPr>
        <w:tab/>
        <w:t>如果是这样，那么，按照逻辑，有必要重申已载入《宪法》的平等原则，而不是修订歧视的定义，因为鉴于上述情况，《宪法》已规定，每个妇女享有上述每项条款的保护，包括享有不受歧视的权利，这是她们的基本人权。</w:t>
      </w:r>
    </w:p>
    <w:p w:rsidR="008479E5" w:rsidRDefault="008479E5" w:rsidP="008479E5">
      <w:pPr>
        <w:pStyle w:val="SingleTxt"/>
        <w:rPr>
          <w:rFonts w:hint="eastAsia"/>
        </w:rPr>
      </w:pPr>
      <w:r>
        <w:rPr>
          <w:rFonts w:hint="eastAsia"/>
        </w:rPr>
        <w:t>36.</w:t>
      </w:r>
      <w:r>
        <w:rPr>
          <w:rFonts w:hint="eastAsia"/>
        </w:rPr>
        <w:tab/>
        <w:t>《公约》关于歧视性做法的定义包括“基于性别而作的任何区别、……”，因此，《公约》对歧视性做法的解读与我们认为的《巴哈马国宪法》的定义略有不同。</w:t>
      </w:r>
    </w:p>
    <w:p w:rsidR="008479E5" w:rsidRPr="001E5D9E"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Pr="001E5D9E">
        <w:rPr>
          <w:rFonts w:hint="eastAsia"/>
        </w:rPr>
        <w:t>第</w:t>
      </w:r>
      <w:r w:rsidR="00885365">
        <w:rPr>
          <w:rFonts w:hint="eastAsia"/>
        </w:rPr>
        <w:t>2</w:t>
      </w:r>
      <w:r w:rsidRPr="001E5D9E">
        <w:rPr>
          <w:rFonts w:hint="eastAsia"/>
        </w:rPr>
        <w:t>条</w:t>
      </w:r>
      <w:r>
        <w:rPr>
          <w:rFonts w:ascii="Times New Roman"/>
        </w:rPr>
        <w:t>：</w:t>
      </w:r>
      <w:r w:rsidRPr="001E5D9E">
        <w:rPr>
          <w:rFonts w:hint="eastAsia"/>
        </w:rPr>
        <w:t>消除对妇女一切形式歧视的义务</w:t>
      </w:r>
    </w:p>
    <w:p w:rsidR="008479E5" w:rsidRPr="001E5D9E"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37.</w:t>
      </w:r>
      <w:r>
        <w:rPr>
          <w:rFonts w:hint="eastAsia"/>
        </w:rPr>
        <w:tab/>
        <w:t>巴哈马是《消除对妇女一切形式歧视公约》缔约国，有义务确保所有公民不分性别，都得到平等待遇和不受歧视。妇女事务局继续努力提高认识，使人民认识到必须执行《公约》规定，采取适当措施，禁止对妇女的一切歧视，妇女事务局并根据《北京行动纲要》第230(c)段的规定，继续推动修订和进一步审议/讨论巴哈马提出了保留的第二条(a)款和第九条第2款。</w:t>
      </w:r>
    </w:p>
    <w:p w:rsidR="008479E5" w:rsidRPr="001E5D9E" w:rsidRDefault="008479E5" w:rsidP="008479E5">
      <w:pPr>
        <w:pStyle w:val="SingleTxt"/>
        <w:rPr>
          <w:rFonts w:ascii="SimHei" w:eastAsia="SimHei" w:hint="eastAsia"/>
        </w:rPr>
      </w:pPr>
      <w:r w:rsidRPr="001E5D9E">
        <w:rPr>
          <w:rFonts w:ascii="SimHei" w:eastAsia="SimHei" w:hint="eastAsia"/>
        </w:rPr>
        <w:t>保留</w:t>
      </w:r>
    </w:p>
    <w:p w:rsidR="008479E5" w:rsidRDefault="008479E5" w:rsidP="008479E5">
      <w:pPr>
        <w:pStyle w:val="SingleTxt"/>
        <w:rPr>
          <w:rFonts w:hint="eastAsia"/>
        </w:rPr>
      </w:pPr>
      <w:r>
        <w:rPr>
          <w:rFonts w:hint="eastAsia"/>
        </w:rPr>
        <w:t>38.</w:t>
      </w:r>
      <w:r>
        <w:rPr>
          <w:rFonts w:hint="eastAsia"/>
        </w:rPr>
        <w:tab/>
        <w:t>巴哈马保留在我国《宪法》和国家法律规定的范围内实施第二条(a)款和第九条第2款的权利。《宪法》规定了处理违反第26条第1款所载权利情事的司法程序，该款规定，“……任何法律均不得作出任何本身具有歧视性或有歧视性效果的规定”，国家或个人都不得作出这种规定。巴哈马国接受《公约》，但这并不意味着接受超越《宪法》规定的义务。</w:t>
      </w:r>
    </w:p>
    <w:p w:rsidR="008479E5" w:rsidRDefault="008479E5" w:rsidP="008479E5">
      <w:pPr>
        <w:pStyle w:val="SingleTxt"/>
        <w:rPr>
          <w:rFonts w:hint="eastAsia"/>
        </w:rPr>
      </w:pPr>
      <w:r>
        <w:rPr>
          <w:rFonts w:hint="eastAsia"/>
        </w:rPr>
        <w:t>39.</w:t>
      </w:r>
      <w:r>
        <w:rPr>
          <w:rFonts w:hint="eastAsia"/>
        </w:rPr>
        <w:tab/>
        <w:t>在2002年之前，巴哈马政府曾努力推动变革，并在2002年2月全民投票后授权设立一个宪法改革委员会。宪法改革委员会于2003年提出了题为“巴哈马宪法：更改方案”的报告，以提高选民认识，深化大众对《宪法》本身的认识，促进大众对《宪法》问题的重视和辩论。事实上，我国已制定不歧视妇女的立法，尤其是：</w:t>
      </w:r>
    </w:p>
    <w:p w:rsidR="008479E5" w:rsidRDefault="008479E5" w:rsidP="008479E5">
      <w:pPr>
        <w:pStyle w:val="SingleTxt"/>
        <w:rPr>
          <w:rFonts w:hint="eastAsia"/>
        </w:rPr>
      </w:pPr>
      <w:r>
        <w:rPr>
          <w:rFonts w:hint="eastAsia"/>
        </w:rPr>
        <w:tab/>
        <w:t>㈠</w:t>
      </w:r>
      <w:r>
        <w:rPr>
          <w:rFonts w:hint="eastAsia"/>
        </w:rPr>
        <w:tab/>
        <w:t>《就业法》(2001年)第6条——“任何雇主或代表雇主行事的人都不得因种族、信仰、性别、婚姻状况、政见、年龄或艾滋病毒/艾滋病而歧视雇员或就业申请人……”；</w:t>
      </w:r>
    </w:p>
    <w:p w:rsidR="008479E5" w:rsidRDefault="008479E5" w:rsidP="008479E5">
      <w:pPr>
        <w:pStyle w:val="SingleTxt"/>
        <w:rPr>
          <w:rFonts w:hint="eastAsia"/>
        </w:rPr>
      </w:pPr>
      <w:r>
        <w:rPr>
          <w:rFonts w:hint="eastAsia"/>
        </w:rPr>
        <w:tab/>
        <w:t>㈡</w:t>
      </w:r>
      <w:r>
        <w:rPr>
          <w:rFonts w:hint="eastAsia"/>
        </w:rPr>
        <w:tab/>
        <w:t>《继承法》(2002年)规定，男女可平等决定继承问题(第4条)；</w:t>
      </w:r>
    </w:p>
    <w:p w:rsidR="008479E5" w:rsidRDefault="008479E5" w:rsidP="00BD7959">
      <w:pPr>
        <w:pStyle w:val="SingleTxt"/>
        <w:ind w:left="1680" w:hanging="416"/>
        <w:rPr>
          <w:rFonts w:hint="eastAsia"/>
        </w:rPr>
      </w:pPr>
      <w:r>
        <w:rPr>
          <w:rFonts w:hint="eastAsia"/>
        </w:rPr>
        <w:tab/>
        <w:t>㈢</w:t>
      </w:r>
      <w:r>
        <w:rPr>
          <w:rFonts w:hint="eastAsia"/>
        </w:rPr>
        <w:tab/>
        <w:t>《儿童保护法》(2007年)规定，每个儿童均受保护，不受歧视、暴力侵害、虐待和忽视(第5条第2款)；</w:t>
      </w:r>
    </w:p>
    <w:p w:rsidR="008479E5" w:rsidRDefault="008479E5" w:rsidP="00BD7959">
      <w:pPr>
        <w:pStyle w:val="SingleTxt"/>
        <w:ind w:left="1680" w:hanging="416"/>
        <w:rPr>
          <w:rFonts w:hint="eastAsia"/>
        </w:rPr>
      </w:pPr>
      <w:r>
        <w:rPr>
          <w:rFonts w:hint="eastAsia"/>
        </w:rPr>
        <w:tab/>
        <w:t>㈣</w:t>
      </w:r>
      <w:r>
        <w:rPr>
          <w:rFonts w:hint="eastAsia"/>
        </w:rPr>
        <w:tab/>
        <w:t>巴哈马所批准国际条约条款的地位并不高于国内法，不过，巴哈马已作出努力，将已加入公约的条款纳入国内法，从下述立法就可看出这些努力：</w:t>
      </w:r>
    </w:p>
    <w:p w:rsidR="008479E5" w:rsidRDefault="008479E5" w:rsidP="008479E5">
      <w:pPr>
        <w:pStyle w:val="SingleTxt"/>
        <w:ind w:left="2115"/>
        <w:rPr>
          <w:rFonts w:hint="eastAsia"/>
        </w:rPr>
      </w:pPr>
      <w:r>
        <w:rPr>
          <w:rFonts w:hint="eastAsia"/>
        </w:rPr>
        <w:t>㈠</w:t>
      </w:r>
      <w:r>
        <w:rPr>
          <w:rFonts w:hint="eastAsia"/>
        </w:rPr>
        <w:tab/>
        <w:t>关于拐骗儿童问题，关于拐骗儿童行为所涉民事问题的海牙公约已经纳入国内法；</w:t>
      </w:r>
    </w:p>
    <w:p w:rsidR="008479E5" w:rsidRDefault="008479E5" w:rsidP="008479E5">
      <w:pPr>
        <w:pStyle w:val="SingleTxt"/>
        <w:ind w:left="2115" w:hanging="851"/>
        <w:rPr>
          <w:rFonts w:hint="eastAsia"/>
        </w:rPr>
      </w:pPr>
      <w:r>
        <w:rPr>
          <w:rFonts w:hAnsi="SimSun"/>
        </w:rPr>
        <w:tab/>
      </w:r>
      <w:r>
        <w:rPr>
          <w:rFonts w:hAnsi="SimSun" w:hint="eastAsia"/>
        </w:rPr>
        <w:t>㈤</w:t>
      </w:r>
      <w:r>
        <w:rPr>
          <w:rFonts w:hAnsi="SimSun"/>
        </w:rPr>
        <w:tab/>
      </w:r>
      <w:r>
        <w:rPr>
          <w:rFonts w:hint="eastAsia"/>
        </w:rPr>
        <w:t>㈡</w:t>
      </w:r>
      <w:r>
        <w:rPr>
          <w:rFonts w:hint="eastAsia"/>
        </w:rPr>
        <w:tab/>
        <w:t>关于贩运人口问题，2008年《(预防和制止)贩运人口法》将贩运人口、非法扣缴证件、为卖淫目的运送人口等行为定为刑事罪行，并保护受害人安全，给予受害人起诉豁免；</w:t>
      </w:r>
    </w:p>
    <w:p w:rsidR="008479E5" w:rsidRDefault="008479E5" w:rsidP="008479E5">
      <w:pPr>
        <w:pStyle w:val="SingleTxt"/>
        <w:ind w:left="2115"/>
        <w:rPr>
          <w:rFonts w:hint="eastAsia"/>
        </w:rPr>
      </w:pPr>
      <w:r>
        <w:rPr>
          <w:rFonts w:hint="eastAsia"/>
        </w:rPr>
        <w:t>㈢</w:t>
      </w:r>
      <w:r>
        <w:rPr>
          <w:rFonts w:hint="eastAsia"/>
        </w:rPr>
        <w:tab/>
        <w:t>关于保护儿童问题，2007年《儿童保护法》第4条(c)款规定，除该法规定的所有权利外，儿童还有权行使联合国《儿童权利公约》所载所有权利。</w:t>
      </w:r>
    </w:p>
    <w:p w:rsidR="008479E5"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w:t>
      </w:r>
      <w:r w:rsidR="00885365">
        <w:rPr>
          <w:rFonts w:hint="eastAsia"/>
        </w:rPr>
        <w:t>3</w:t>
      </w:r>
      <w:r>
        <w:rPr>
          <w:rFonts w:hint="eastAsia"/>
        </w:rPr>
        <w:t>条：妇女发展和提高妇女地位</w:t>
      </w:r>
    </w:p>
    <w:p w:rsidR="008479E5" w:rsidRPr="001E5D9E"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40.</w:t>
      </w:r>
      <w:r>
        <w:rPr>
          <w:rFonts w:hint="eastAsia"/>
        </w:rPr>
        <w:tab/>
        <w:t>根据《消除对妇女一切形式歧视公约》第三条的规定，巴哈马政府通过其主要机构妇女事务局，努力确保妇女的充分发展，提高妇女地位。妇女事务局进行这种努力的途径是，每个月与来自社会各界的妇女举行会议、与其他非政府组织建立网络以及推动变革，以进一步促进妇女发展。</w:t>
      </w:r>
    </w:p>
    <w:p w:rsidR="008479E5" w:rsidRDefault="008479E5" w:rsidP="008479E5">
      <w:pPr>
        <w:pStyle w:val="SingleTxt"/>
        <w:rPr>
          <w:rFonts w:hint="eastAsia"/>
        </w:rPr>
      </w:pPr>
      <w:r>
        <w:rPr>
          <w:rFonts w:hint="eastAsia"/>
        </w:rPr>
        <w:t>41.</w:t>
      </w:r>
      <w:r>
        <w:rPr>
          <w:rFonts w:hint="eastAsia"/>
        </w:rPr>
        <w:tab/>
        <w:t>自上次提交定期报告以来，这方面的情况没有发生什么变化，但在今后两年里，妇女事务局将达到几个里程碑，这无疑将影响和加强妇女事务局的工作，进一步促进巴哈马妇女的发展。这些里程碑是：国际妇女节100周年(2011年3月8日)、妇女事务局30周年(2011年6月23日)、选举权运动50周年(2012年6月)、第一名妇女当选众议院议员30周年(2012年8月)和巴哈马危机处理中心成立30周年(2012年6月)。</w:t>
      </w:r>
    </w:p>
    <w:p w:rsidR="008479E5"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w:t>
      </w:r>
      <w:r w:rsidR="00885365">
        <w:rPr>
          <w:rFonts w:hint="eastAsia"/>
        </w:rPr>
        <w:t>4</w:t>
      </w:r>
      <w:r>
        <w:rPr>
          <w:rFonts w:hint="eastAsia"/>
        </w:rPr>
        <w:t>条：加速实现男女平等</w:t>
      </w:r>
    </w:p>
    <w:p w:rsidR="008479E5" w:rsidRPr="001E5D9E" w:rsidRDefault="008479E5" w:rsidP="008479E5">
      <w:pPr>
        <w:pStyle w:val="SingleTxt"/>
        <w:spacing w:after="0" w:line="120" w:lineRule="exact"/>
        <w:rPr>
          <w:sz w:val="10"/>
        </w:rPr>
      </w:pPr>
    </w:p>
    <w:p w:rsidR="008479E5" w:rsidRDefault="008479E5" w:rsidP="008479E5">
      <w:pPr>
        <w:pStyle w:val="SingleTxt"/>
        <w:rPr>
          <w:rFonts w:hint="eastAsia"/>
        </w:rPr>
      </w:pPr>
      <w:r>
        <w:rPr>
          <w:rFonts w:hint="eastAsia"/>
        </w:rPr>
        <w:t>42.</w:t>
      </w:r>
      <w:r>
        <w:rPr>
          <w:rFonts w:hint="eastAsia"/>
        </w:rPr>
        <w:tab/>
        <w:t>妇女事务局在上次报告中指出，该局正在制定巴哈马国家性别平等政策。这项工作是与区域和国际机构共同进行的。在这个过程中进行了一次全国需求评估调查，与巴哈马群岛各地利益攸关方进行了协商。需求评估已经完成，目前正在审查评估结果。妇女事务局希望，下一步将是核准该评估结果，以便开始草拟巴哈马国家性别平等政策。</w:t>
      </w:r>
    </w:p>
    <w:p w:rsidR="008479E5"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w:t>
      </w:r>
      <w:r w:rsidR="00885365">
        <w:rPr>
          <w:rFonts w:hint="eastAsia"/>
        </w:rPr>
        <w:t>5</w:t>
      </w:r>
      <w:r>
        <w:rPr>
          <w:rFonts w:hint="eastAsia"/>
        </w:rPr>
        <w:t>条：两性角色和定型观念</w:t>
      </w:r>
    </w:p>
    <w:p w:rsidR="008479E5" w:rsidRPr="001E5D9E" w:rsidRDefault="008479E5" w:rsidP="008479E5">
      <w:pPr>
        <w:pStyle w:val="SingleTxt"/>
        <w:spacing w:after="0" w:line="120" w:lineRule="exact"/>
        <w:rPr>
          <w:rFonts w:hint="eastAsia"/>
          <w:sz w:val="10"/>
        </w:rPr>
      </w:pPr>
    </w:p>
    <w:p w:rsidR="008479E5" w:rsidRDefault="008479E5" w:rsidP="008479E5">
      <w:pPr>
        <w:pStyle w:val="SingleTxt"/>
        <w:rPr>
          <w:rFonts w:hint="eastAsia"/>
        </w:rPr>
      </w:pPr>
      <w:r>
        <w:rPr>
          <w:rFonts w:hint="eastAsia"/>
        </w:rPr>
        <w:t>43.</w:t>
      </w:r>
      <w:r>
        <w:rPr>
          <w:rFonts w:hint="eastAsia"/>
        </w:rPr>
        <w:tab/>
        <w:t>巴哈马各电视台和无线电广播电台正在更公开地讨论男女的社会和文化行为模式，以消除性别尊卑观念或基于男女定型角色的偏见、习俗和一切其他作法。</w:t>
      </w:r>
    </w:p>
    <w:p w:rsidR="008479E5" w:rsidRDefault="008479E5" w:rsidP="008479E5">
      <w:pPr>
        <w:pStyle w:val="SingleTxt"/>
        <w:rPr>
          <w:rFonts w:hint="eastAsia"/>
        </w:rPr>
      </w:pPr>
      <w:r>
        <w:rPr>
          <w:rFonts w:hint="eastAsia"/>
        </w:rPr>
        <w:t>44.</w:t>
      </w:r>
      <w:r>
        <w:rPr>
          <w:rFonts w:hint="eastAsia"/>
        </w:rPr>
        <w:tab/>
        <w:t>在巴哈马社会，男性理应养家。然而，现在许多家庭的户主是女性，因此，男性的这种作用正在降低。妇女仍然被视为家庭的照顾者。然而，事实上，越来越多的妇女成为户主，使视妇女为家庭照顾者的思想日益减弱。尽管如此，在这方面仍需进一步努力，以确保两性不仅在法律上完全平等，而且在巴哈马人的思想和观念中也完全平等。</w:t>
      </w:r>
    </w:p>
    <w:p w:rsidR="008479E5" w:rsidRDefault="008479E5" w:rsidP="008479E5">
      <w:pPr>
        <w:pStyle w:val="SingleTxt"/>
        <w:rPr>
          <w:rFonts w:hint="eastAsia"/>
        </w:rPr>
      </w:pPr>
      <w:r>
        <w:rPr>
          <w:rFonts w:hint="eastAsia"/>
        </w:rPr>
        <w:t>45.</w:t>
      </w:r>
      <w:r>
        <w:rPr>
          <w:rFonts w:hint="eastAsia"/>
        </w:rPr>
        <w:tab/>
        <w:t>为此，妇女事务局每个月与妇女举行会议，使大众时刻关注这个问题，新普罗维登斯岛和家族群岛各界妇女参加这些会议。</w:t>
      </w:r>
    </w:p>
    <w:p w:rsidR="008479E5" w:rsidRDefault="008479E5" w:rsidP="008479E5">
      <w:pPr>
        <w:pStyle w:val="SingleTxt"/>
        <w:rPr>
          <w:rFonts w:hint="eastAsia"/>
        </w:rPr>
      </w:pPr>
      <w:r>
        <w:rPr>
          <w:rFonts w:hint="eastAsia"/>
        </w:rPr>
        <w:t>46.</w:t>
      </w:r>
      <w:r>
        <w:rPr>
          <w:rFonts w:hint="eastAsia"/>
        </w:rPr>
        <w:tab/>
        <w:t>在全国范围内，男女脱口秀主持人经常在媒体上讨论这个问题。这些讨论经常促使大众踊跃参加。</w:t>
      </w:r>
    </w:p>
    <w:p w:rsidR="008479E5" w:rsidRPr="001E5D9E" w:rsidRDefault="008479E5" w:rsidP="008479E5">
      <w:pPr>
        <w:pStyle w:val="SingleTxt"/>
        <w:rPr>
          <w:rFonts w:ascii="SimHei" w:eastAsia="SimHei" w:hint="eastAsia"/>
        </w:rPr>
      </w:pPr>
      <w:r w:rsidRPr="001E5D9E">
        <w:rPr>
          <w:rFonts w:ascii="SimHei" w:eastAsia="SimHei" w:hint="eastAsia"/>
        </w:rPr>
        <w:t>健康和家庭生活教育</w:t>
      </w:r>
    </w:p>
    <w:p w:rsidR="008479E5" w:rsidRDefault="008479E5" w:rsidP="008479E5">
      <w:pPr>
        <w:pStyle w:val="SingleTxt"/>
        <w:rPr>
          <w:rFonts w:hint="eastAsia"/>
        </w:rPr>
      </w:pPr>
      <w:r>
        <w:rPr>
          <w:rFonts w:hint="eastAsia"/>
        </w:rPr>
        <w:t>47.</w:t>
      </w:r>
      <w:r>
        <w:rPr>
          <w:rFonts w:hint="eastAsia"/>
        </w:rPr>
        <w:tab/>
        <w:t>健康和家庭生活教育是公立学校的必修课，课程已经修订，删除了性别定型观念。</w:t>
      </w:r>
    </w:p>
    <w:p w:rsidR="00BD7959" w:rsidRDefault="00BD7959" w:rsidP="008479E5">
      <w:pPr>
        <w:pStyle w:val="SingleTxt"/>
        <w:rPr>
          <w:rFonts w:ascii="SimHei" w:eastAsia="SimHei" w:hint="eastAsia"/>
        </w:rPr>
      </w:pPr>
    </w:p>
    <w:p w:rsidR="008479E5" w:rsidRPr="001E5D9E" w:rsidRDefault="008479E5" w:rsidP="008479E5">
      <w:pPr>
        <w:pStyle w:val="SingleTxt"/>
        <w:rPr>
          <w:rFonts w:ascii="SimHei" w:eastAsia="SimHei" w:hint="eastAsia"/>
        </w:rPr>
      </w:pPr>
      <w:r w:rsidRPr="001E5D9E">
        <w:rPr>
          <w:rFonts w:ascii="SimHei" w:eastAsia="SimHei" w:hint="eastAsia"/>
        </w:rPr>
        <w:t>配偶之间的暴力行为</w:t>
      </w:r>
    </w:p>
    <w:p w:rsidR="008479E5" w:rsidRDefault="008479E5" w:rsidP="008479E5">
      <w:pPr>
        <w:pStyle w:val="SingleTxt"/>
        <w:rPr>
          <w:rFonts w:hint="eastAsia"/>
        </w:rPr>
      </w:pPr>
      <w:r>
        <w:rPr>
          <w:rFonts w:hint="eastAsia"/>
        </w:rPr>
        <w:t>48.</w:t>
      </w:r>
      <w:r>
        <w:rPr>
          <w:rFonts w:hint="eastAsia"/>
        </w:rPr>
        <w:tab/>
        <w:t>妇女仍然是配偶之间暴力行为的主要受害者。但是，据巴哈马危机处理中心反映，越来越多的男子请求帮助处理两性关系。</w:t>
      </w:r>
    </w:p>
    <w:p w:rsidR="008479E5" w:rsidRDefault="008479E5" w:rsidP="008479E5">
      <w:pPr>
        <w:pStyle w:val="SingleTxt"/>
        <w:rPr>
          <w:rFonts w:hint="eastAsia"/>
        </w:rPr>
      </w:pPr>
      <w:r>
        <w:rPr>
          <w:rFonts w:hint="eastAsia"/>
        </w:rPr>
        <w:t>49.</w:t>
      </w:r>
      <w:r>
        <w:rPr>
          <w:rFonts w:hint="eastAsia"/>
        </w:rPr>
        <w:tab/>
        <w:t>打击暴力侵害妇女行为的举措</w:t>
      </w:r>
    </w:p>
    <w:p w:rsidR="008479E5" w:rsidRDefault="008479E5" w:rsidP="008479E5">
      <w:pPr>
        <w:pStyle w:val="SingleTxt"/>
        <w:ind w:left="2126" w:hanging="431"/>
        <w:rPr>
          <w:rFonts w:hint="eastAsia"/>
        </w:rPr>
      </w:pPr>
      <w:r>
        <w:rPr>
          <w:rFonts w:hint="eastAsia"/>
        </w:rPr>
        <w:sym w:font="Symbol" w:char="F0B7"/>
      </w:r>
      <w:r>
        <w:tab/>
      </w:r>
      <w:r>
        <w:rPr>
          <w:rFonts w:hint="eastAsia"/>
        </w:rPr>
        <w:t>2007年《家庭暴力(保护令)法》是一个立法里程碑，是我国关于亲密伴侣间暴力问题的革命性立法。该法全面界定了家庭暴力行为；将跟踪纠缠和骚扰定为犯罪行为，授权法院责成对施虐者采取干预措施。</w:t>
      </w:r>
    </w:p>
    <w:p w:rsidR="008479E5" w:rsidRDefault="008479E5" w:rsidP="008479E5">
      <w:pPr>
        <w:pStyle w:val="SingleTxt"/>
        <w:ind w:left="2126" w:hanging="431"/>
        <w:rPr>
          <w:rFonts w:hint="eastAsia"/>
        </w:rPr>
      </w:pPr>
      <w:r>
        <w:rPr>
          <w:rFonts w:hint="eastAsia"/>
        </w:rPr>
        <w:sym w:font="Symbol" w:char="F0B7"/>
      </w:r>
      <w:r>
        <w:tab/>
      </w:r>
      <w:r>
        <w:rPr>
          <w:rFonts w:hint="eastAsia"/>
        </w:rPr>
        <w:t>巴哈马危机处理中心提供24小时热线服务</w:t>
      </w:r>
    </w:p>
    <w:p w:rsidR="008479E5" w:rsidRDefault="008479E5" w:rsidP="008479E5">
      <w:pPr>
        <w:pStyle w:val="SingleTxt"/>
        <w:ind w:left="2126" w:hanging="431"/>
        <w:rPr>
          <w:rFonts w:hint="eastAsia"/>
        </w:rPr>
      </w:pPr>
      <w:r>
        <w:rPr>
          <w:rFonts w:hint="eastAsia"/>
        </w:rPr>
        <w:sym w:font="Symbol" w:char="F0B7"/>
      </w:r>
      <w:r>
        <w:tab/>
      </w:r>
      <w:r>
        <w:rPr>
          <w:rFonts w:hint="eastAsia"/>
        </w:rPr>
        <w:t>举办讲习班、研讨会和现身说法活动</w:t>
      </w:r>
    </w:p>
    <w:p w:rsidR="008479E5" w:rsidRDefault="008479E5" w:rsidP="008479E5">
      <w:pPr>
        <w:pStyle w:val="SingleTxt"/>
        <w:ind w:left="2126" w:hanging="431"/>
        <w:rPr>
          <w:rFonts w:hint="eastAsia"/>
        </w:rPr>
      </w:pPr>
      <w:r>
        <w:rPr>
          <w:rFonts w:hint="eastAsia"/>
        </w:rPr>
        <w:sym w:font="Symbol" w:char="F0B7"/>
      </w:r>
      <w:r>
        <w:tab/>
      </w:r>
      <w:r>
        <w:rPr>
          <w:rFonts w:hint="eastAsia"/>
        </w:rPr>
        <w:t>提供健康和家庭生活教育课程，教导如何解决冲突</w:t>
      </w:r>
    </w:p>
    <w:p w:rsidR="008479E5" w:rsidRDefault="008479E5" w:rsidP="008479E5">
      <w:pPr>
        <w:pStyle w:val="SingleTxt"/>
        <w:ind w:left="2126" w:hanging="431"/>
        <w:rPr>
          <w:rFonts w:hint="eastAsia"/>
        </w:rPr>
      </w:pPr>
      <w:r>
        <w:rPr>
          <w:rFonts w:hint="eastAsia"/>
        </w:rPr>
        <w:sym w:font="Symbol" w:char="F0B7"/>
      </w:r>
      <w:r>
        <w:tab/>
      </w:r>
      <w:r>
        <w:rPr>
          <w:rFonts w:hint="eastAsia"/>
        </w:rPr>
        <w:t>在警察部队中设立性犯罪股和家庭暴力股，并为这些警官提供培训</w:t>
      </w:r>
    </w:p>
    <w:p w:rsidR="008479E5" w:rsidRDefault="008479E5" w:rsidP="008479E5">
      <w:pPr>
        <w:pStyle w:val="SingleTxt"/>
        <w:ind w:left="2126" w:hanging="431"/>
        <w:rPr>
          <w:rFonts w:hint="eastAsia"/>
        </w:rPr>
      </w:pPr>
      <w:r>
        <w:rPr>
          <w:rFonts w:hint="eastAsia"/>
        </w:rPr>
        <w:sym w:font="Symbol" w:char="F0B7"/>
      </w:r>
      <w:r>
        <w:tab/>
      </w:r>
      <w:r>
        <w:rPr>
          <w:rFonts w:hint="eastAsia"/>
        </w:rPr>
        <w:t>妇女联谊团体赞助举办法律门诊，教育妇女认识自己的权利</w:t>
      </w:r>
    </w:p>
    <w:p w:rsidR="008479E5" w:rsidRDefault="008479E5" w:rsidP="008479E5">
      <w:pPr>
        <w:pStyle w:val="SingleTxt"/>
        <w:ind w:left="2126" w:hanging="431"/>
        <w:rPr>
          <w:rFonts w:hint="eastAsia"/>
        </w:rPr>
      </w:pPr>
      <w:r>
        <w:rPr>
          <w:rFonts w:hint="eastAsia"/>
        </w:rPr>
        <w:sym w:font="Symbol" w:char="F0B7"/>
      </w:r>
      <w:r>
        <w:tab/>
      </w:r>
      <w:r>
        <w:rPr>
          <w:rFonts w:hint="eastAsia"/>
        </w:rPr>
        <w:t>在电子和平面媒体进行热烈讨论和发表文章</w:t>
      </w:r>
    </w:p>
    <w:p w:rsidR="008479E5" w:rsidRDefault="008479E5" w:rsidP="008479E5">
      <w:pPr>
        <w:pStyle w:val="SingleTxt"/>
        <w:ind w:left="2126" w:hanging="431"/>
        <w:rPr>
          <w:rFonts w:hint="eastAsia"/>
        </w:rPr>
      </w:pPr>
      <w:r>
        <w:rPr>
          <w:rFonts w:hint="eastAsia"/>
        </w:rPr>
        <w:sym w:font="Symbol" w:char="F0B7"/>
      </w:r>
      <w:r>
        <w:tab/>
      </w:r>
      <w:r>
        <w:rPr>
          <w:rFonts w:hint="eastAsia"/>
        </w:rPr>
        <w:t>设立加勒比男子行动网巴哈马群岛分支机构，该行动网是一个由男子推动的非政府组织，他们与妇女组织合作，努力铲除性别暴力</w:t>
      </w:r>
    </w:p>
    <w:p w:rsidR="008479E5" w:rsidRPr="001E5D9E" w:rsidRDefault="008479E5" w:rsidP="008479E5">
      <w:pPr>
        <w:pStyle w:val="SingleTxt"/>
        <w:rPr>
          <w:rFonts w:ascii="SimHei" w:eastAsia="SimHei" w:hint="eastAsia"/>
        </w:rPr>
      </w:pPr>
      <w:r w:rsidRPr="001E5D9E">
        <w:rPr>
          <w:rFonts w:ascii="SimHei" w:eastAsia="SimHei" w:hint="eastAsia"/>
        </w:rPr>
        <w:t>对男子和妇女进行解决冲突教育</w:t>
      </w:r>
    </w:p>
    <w:p w:rsidR="008479E5" w:rsidRDefault="008479E5" w:rsidP="008479E5">
      <w:pPr>
        <w:pStyle w:val="SingleTxt"/>
        <w:rPr>
          <w:rFonts w:hint="eastAsia"/>
        </w:rPr>
      </w:pPr>
      <w:r>
        <w:rPr>
          <w:rFonts w:hint="eastAsia"/>
        </w:rPr>
        <w:t>50.</w:t>
      </w:r>
      <w:r>
        <w:rPr>
          <w:rFonts w:hint="eastAsia"/>
        </w:rPr>
        <w:tab/>
        <w:t>宗教团体和其他民间团体举办解决冲突教育方案，促进非暴力辅导。卫生部心理健康处通过社区辅导和评估中心提供为期六周的愤怒管理方案。罗马天主教会为对妇女施暴的男子开办辅导方案，巴哈马皇家警察部队也在社区和学校促进调解培训，巴哈马危机处理中心在公立和私立学校系统开展了“绿丝带/和睦宣传运动”。</w:t>
      </w:r>
    </w:p>
    <w:p w:rsidR="008479E5" w:rsidRPr="001E5D9E" w:rsidRDefault="008479E5" w:rsidP="008479E5">
      <w:pPr>
        <w:pStyle w:val="SingleTxt"/>
        <w:rPr>
          <w:rFonts w:ascii="Times New Roman" w:eastAsia="SimHei"/>
        </w:rPr>
      </w:pPr>
      <w:r w:rsidRPr="001E5D9E">
        <w:rPr>
          <w:rFonts w:ascii="SimHei" w:eastAsia="SimHei" w:hint="eastAsia"/>
        </w:rPr>
        <w:t>提高执法人员对家庭暴力的认识</w:t>
      </w:r>
    </w:p>
    <w:p w:rsidR="008479E5" w:rsidRDefault="008479E5" w:rsidP="008479E5">
      <w:pPr>
        <w:pStyle w:val="SingleTxt"/>
        <w:rPr>
          <w:rFonts w:hint="eastAsia"/>
        </w:rPr>
      </w:pPr>
      <w:r>
        <w:rPr>
          <w:rFonts w:hint="eastAsia"/>
        </w:rPr>
        <w:t>51.</w:t>
      </w:r>
      <w:r>
        <w:rPr>
          <w:rFonts w:hint="eastAsia"/>
        </w:rPr>
        <w:tab/>
        <w:t>2010年，巴哈马皇家警察学院开始对警官进行培训，以提高他们帮助家庭暴力受害者的技能，该学院每季度提供一次培训。巴哈马各地所有警察局都接收关于暴力侵害妇女行为的的投诉，而且必须提供书面报告。2007年《家庭暴力法(保护令)》第27条规定，所有警察局都必须对报告家庭暴力的人作出回应。</w:t>
      </w:r>
    </w:p>
    <w:p w:rsidR="008479E5" w:rsidRDefault="008479E5" w:rsidP="008479E5">
      <w:pPr>
        <w:pStyle w:val="SingleTxt"/>
        <w:rPr>
          <w:rFonts w:hint="eastAsia"/>
          <w:spacing w:val="2"/>
        </w:rPr>
      </w:pPr>
      <w:r>
        <w:rPr>
          <w:rFonts w:hint="eastAsia"/>
        </w:rPr>
        <w:t>52.</w:t>
      </w:r>
      <w:r>
        <w:rPr>
          <w:rFonts w:hint="eastAsia"/>
        </w:rPr>
        <w:tab/>
      </w:r>
      <w:r w:rsidRPr="00BD7959">
        <w:rPr>
          <w:rFonts w:hint="eastAsia"/>
          <w:spacing w:val="2"/>
        </w:rPr>
        <w:t>由于进行了关于家庭暴力问题的全面培训，在审查巴哈马皇家警察部队处理这些投诉的做法后，警方现在积极调查这些事项。警方现在采取的做法是，一旦有人被指控，那么，只有在投诉人到治安法庭撤诉后，才能撤销报告的事项。</w:t>
      </w:r>
    </w:p>
    <w:p w:rsidR="00BD7959" w:rsidRDefault="00BD7959" w:rsidP="008479E5">
      <w:pPr>
        <w:pStyle w:val="SingleTxt"/>
        <w:rPr>
          <w:rFonts w:hint="eastAsia"/>
        </w:rPr>
      </w:pPr>
    </w:p>
    <w:p w:rsidR="008479E5" w:rsidRPr="001E5D9E" w:rsidRDefault="008479E5" w:rsidP="008479E5">
      <w:pPr>
        <w:pStyle w:val="SingleTxt"/>
        <w:rPr>
          <w:rFonts w:ascii="SimHei" w:eastAsia="SimHei" w:hint="eastAsia"/>
        </w:rPr>
      </w:pPr>
      <w:r w:rsidRPr="001E5D9E">
        <w:rPr>
          <w:rFonts w:ascii="SimHei" w:eastAsia="SimHei" w:hint="eastAsia"/>
        </w:rPr>
        <w:t>家庭暴力避难所</w:t>
      </w:r>
    </w:p>
    <w:p w:rsidR="008479E5" w:rsidRDefault="008479E5" w:rsidP="008479E5">
      <w:pPr>
        <w:pStyle w:val="SingleTxt"/>
        <w:rPr>
          <w:rFonts w:hint="eastAsia"/>
        </w:rPr>
      </w:pPr>
      <w:r>
        <w:rPr>
          <w:rFonts w:hint="eastAsia"/>
        </w:rPr>
        <w:t>53.</w:t>
      </w:r>
      <w:r>
        <w:rPr>
          <w:rFonts w:hint="eastAsia"/>
        </w:rPr>
        <w:tab/>
        <w:t>有三个私营实体与社会服务部合作，提供避难所，协助受虐妇女，但需要在全国提供更多的避难所。危机处理中心还在新普罗维登斯岛和家族群岛设立24小时免费电话热线，为家庭暴力受害者服务。大巴哈马岛有一个危机处理中心，提供自己的24小时热线服务。</w:t>
      </w:r>
    </w:p>
    <w:p w:rsidR="008479E5" w:rsidRPr="001E5D9E" w:rsidRDefault="008479E5" w:rsidP="008479E5">
      <w:pPr>
        <w:pStyle w:val="SingleTxt"/>
        <w:rPr>
          <w:rFonts w:ascii="SimHei" w:eastAsia="SimHei" w:hint="eastAsia"/>
        </w:rPr>
      </w:pPr>
      <w:r w:rsidRPr="001E5D9E">
        <w:rPr>
          <w:rFonts w:ascii="SimHei" w:eastAsia="SimHei" w:hint="eastAsia"/>
        </w:rPr>
        <w:t>执法人员对待遭受性侵犯者的情况</w:t>
      </w:r>
    </w:p>
    <w:p w:rsidR="008479E5" w:rsidRDefault="008479E5" w:rsidP="008479E5">
      <w:pPr>
        <w:pStyle w:val="SingleTxt"/>
        <w:rPr>
          <w:rFonts w:hint="eastAsia"/>
        </w:rPr>
      </w:pPr>
      <w:r>
        <w:rPr>
          <w:rFonts w:hint="eastAsia"/>
        </w:rPr>
        <w:t>54.</w:t>
      </w:r>
      <w:r>
        <w:rPr>
          <w:rFonts w:hint="eastAsia"/>
        </w:rPr>
        <w:tab/>
        <w:t>在对待遭受性侵犯者方面，多年来，巴哈马皇家警察部队越来越重视该事项，特别是越来越重视如何对待成年和儿童受害者。我国在新普罗维登斯岛和大巴哈马岛设立了支持受害者股，为其配置了训练有素的警官，他们的工作重点是指导性侵犯行为受害者配合调查，并向他们介绍处理该事项的最新进展情况。此外，还向受害者提供出庭方面的支持。</w:t>
      </w:r>
    </w:p>
    <w:p w:rsidR="008479E5" w:rsidRDefault="008479E5" w:rsidP="008479E5">
      <w:pPr>
        <w:pStyle w:val="SingleTxt"/>
        <w:rPr>
          <w:rFonts w:hint="eastAsia"/>
        </w:rPr>
      </w:pPr>
      <w:r>
        <w:rPr>
          <w:rFonts w:hint="eastAsia"/>
        </w:rPr>
        <w:t>55.</w:t>
      </w:r>
      <w:r>
        <w:rPr>
          <w:rFonts w:hint="eastAsia"/>
        </w:rPr>
        <w:tab/>
        <w:t>此外，警方在其中央侦探股设立了一个强奸问题组和儿童友好组，两个小组已全面运作。此外，现在的侦探都已受过培训，有提供辅导和开展社会工作的技能，一名女侦探获得了临床咨询硕士学位。在调查期间，所有接受过这方面培训的警官都协助特殊受害者和证人(包括家庭事项涉及的人)。</w:t>
      </w:r>
    </w:p>
    <w:p w:rsidR="008479E5" w:rsidRPr="001E5D9E" w:rsidRDefault="008479E5" w:rsidP="008479E5">
      <w:pPr>
        <w:pStyle w:val="SingleTxt"/>
        <w:rPr>
          <w:rFonts w:ascii="SimHei" w:eastAsia="SimHei" w:hint="eastAsia"/>
        </w:rPr>
      </w:pPr>
      <w:r w:rsidRPr="001E5D9E">
        <w:rPr>
          <w:rFonts w:ascii="SimHei" w:eastAsia="SimHei" w:hint="eastAsia"/>
        </w:rPr>
        <w:t>巴哈马处理性虐待儿童问题的特别措施</w:t>
      </w:r>
    </w:p>
    <w:p w:rsidR="008479E5" w:rsidRDefault="008479E5" w:rsidP="008479E5">
      <w:pPr>
        <w:pStyle w:val="SingleTxt"/>
        <w:rPr>
          <w:rFonts w:hint="eastAsia"/>
        </w:rPr>
      </w:pPr>
      <w:r>
        <w:rPr>
          <w:rFonts w:hint="eastAsia"/>
        </w:rPr>
        <w:t>56.</w:t>
      </w:r>
      <w:r>
        <w:rPr>
          <w:rFonts w:hint="eastAsia"/>
        </w:rPr>
        <w:tab/>
        <w:t>从1991年起，法律将乱伦和性虐待儿童定为犯罪行为，并且规定必须报告这些行为。劳动和社会发展部设立的全国防止虐待儿童热线已运作十多年，该部任命了一个由政府机构和非政府机构组成的全国保护儿童委员会，处理预防虐待儿童问题，保护儿童，使其不受虐待。此外，卫生部建立了涉嫌虐待和忽视儿童问题小组，目的是辅导和治疗虐待儿童行为的12岁以下受害者。我国于2007年通过并于2009年开始实施《儿童保护法》。</w:t>
      </w:r>
    </w:p>
    <w:p w:rsidR="008479E5" w:rsidRDefault="008479E5" w:rsidP="008479E5">
      <w:pPr>
        <w:pStyle w:val="SingleTxt"/>
        <w:rPr>
          <w:rFonts w:hint="eastAsia"/>
        </w:rPr>
      </w:pPr>
      <w:r>
        <w:rPr>
          <w:rFonts w:hint="eastAsia"/>
        </w:rPr>
        <w:t>57.</w:t>
      </w:r>
      <w:r>
        <w:rPr>
          <w:rFonts w:hint="eastAsia"/>
        </w:rPr>
        <w:tab/>
        <w:t>自2009年提交上次关于《消除对妇女一切形式歧视公约》的报告以来，我国民众提高了对家庭暴力和虐待儿童行为的认识，因此，报告的案件增加了。不过，仍然需要增加资源，以便在巴哈马家族群岛各地向人民、尤其是向青年提供更多的培训。</w:t>
      </w:r>
    </w:p>
    <w:p w:rsidR="008479E5"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w:t>
      </w:r>
      <w:r w:rsidR="00885365">
        <w:rPr>
          <w:rFonts w:hint="eastAsia"/>
        </w:rPr>
        <w:t>6</w:t>
      </w:r>
      <w:r>
        <w:rPr>
          <w:rFonts w:hint="eastAsia"/>
        </w:rPr>
        <w:t>条：剥削妇女问题</w:t>
      </w:r>
    </w:p>
    <w:p w:rsidR="008479E5" w:rsidRPr="001E5D9E" w:rsidRDefault="008479E5" w:rsidP="008479E5">
      <w:pPr>
        <w:pStyle w:val="SingleTxt"/>
        <w:spacing w:after="0" w:line="120" w:lineRule="exact"/>
        <w:rPr>
          <w:sz w:val="10"/>
        </w:rPr>
      </w:pPr>
    </w:p>
    <w:p w:rsidR="008479E5" w:rsidRPr="001E5D9E" w:rsidRDefault="008479E5" w:rsidP="008479E5">
      <w:pPr>
        <w:pStyle w:val="SingleTxt"/>
        <w:rPr>
          <w:rFonts w:ascii="SimHei" w:eastAsia="SimHei" w:hint="eastAsia"/>
        </w:rPr>
      </w:pPr>
      <w:r w:rsidRPr="001E5D9E">
        <w:rPr>
          <w:rFonts w:ascii="SimHei" w:eastAsia="SimHei" w:hint="eastAsia"/>
        </w:rPr>
        <w:t>贩运人口问题</w:t>
      </w:r>
    </w:p>
    <w:p w:rsidR="008479E5" w:rsidRDefault="008479E5" w:rsidP="008479E5">
      <w:pPr>
        <w:pStyle w:val="SingleTxt"/>
        <w:rPr>
          <w:rFonts w:hint="eastAsia"/>
        </w:rPr>
      </w:pPr>
      <w:r>
        <w:rPr>
          <w:rFonts w:hint="eastAsia"/>
        </w:rPr>
        <w:t>58.</w:t>
      </w:r>
      <w:r>
        <w:rPr>
          <w:rFonts w:hint="eastAsia"/>
        </w:rPr>
        <w:tab/>
        <w:t>2009年底，为了对有关人员进行关于贩运人口问题的教育和培训，使其掌握识别和协助贩运活动受害者的技能，妇女事务局与国际移民组织合作，在新普罗维登斯、大巴哈马、阿巴科和伊柳塞拉等岛举办了若干次培训教员培训班。国际移民组织方案主任奇希·穆勒女士主持了所有培训班，在新普罗维登斯岛第一个培训班上接受过培训的巴哈马人向她提供了协助。</w:t>
      </w:r>
    </w:p>
    <w:p w:rsidR="008479E5" w:rsidRDefault="008479E5" w:rsidP="008479E5">
      <w:pPr>
        <w:pStyle w:val="SingleTxt"/>
        <w:rPr>
          <w:rFonts w:hint="eastAsia"/>
        </w:rPr>
      </w:pPr>
      <w:r>
        <w:rPr>
          <w:rFonts w:hint="eastAsia"/>
        </w:rPr>
        <w:t>59.</w:t>
      </w:r>
      <w:r>
        <w:rPr>
          <w:rFonts w:hint="eastAsia"/>
        </w:rPr>
        <w:tab/>
        <w:t>国际移民组织还赞助10月初上任的妇女事务局新局长参加2010年10月26日至28日在佛罗里达州迈阿密举行的加勒比打击贩运活动会议的费用。</w:t>
      </w:r>
    </w:p>
    <w:p w:rsidR="008479E5" w:rsidRDefault="008479E5" w:rsidP="008479E5">
      <w:pPr>
        <w:pStyle w:val="SingleTxt"/>
        <w:rPr>
          <w:rFonts w:hint="eastAsia"/>
        </w:rPr>
      </w:pPr>
      <w:r>
        <w:rPr>
          <w:rFonts w:hint="eastAsia"/>
        </w:rPr>
        <w:t>60.</w:t>
      </w:r>
      <w:r>
        <w:rPr>
          <w:rFonts w:hint="eastAsia"/>
        </w:rPr>
        <w:tab/>
        <w:t>妇女事务局还与一个制片商签约，制作关于贩运人口问题的电视公益告示。</w:t>
      </w:r>
    </w:p>
    <w:p w:rsidR="008479E5" w:rsidRPr="001E5D9E" w:rsidRDefault="008479E5" w:rsidP="008479E5">
      <w:pPr>
        <w:pStyle w:val="SingleTxt"/>
        <w:rPr>
          <w:rFonts w:ascii="SimHei" w:eastAsia="SimHei" w:hint="eastAsia"/>
        </w:rPr>
      </w:pPr>
      <w:r w:rsidRPr="001E5D9E">
        <w:rPr>
          <w:rFonts w:ascii="SimHei" w:eastAsia="SimHei" w:hint="eastAsia"/>
        </w:rPr>
        <w:t>暴力侵害妇女的行为</w:t>
      </w:r>
    </w:p>
    <w:p w:rsidR="008479E5" w:rsidRDefault="008479E5" w:rsidP="008479E5">
      <w:pPr>
        <w:pStyle w:val="SingleTxt"/>
        <w:rPr>
          <w:rFonts w:hint="eastAsia"/>
        </w:rPr>
      </w:pPr>
      <w:r>
        <w:rPr>
          <w:rFonts w:hint="eastAsia"/>
        </w:rPr>
        <w:t>61.</w:t>
      </w:r>
      <w:r>
        <w:rPr>
          <w:rFonts w:hint="eastAsia"/>
        </w:rPr>
        <w:tab/>
        <w:t>虽然法律没有明文界定暴力侵害妇女行为，但所有相关立法都将性别暴力视为犯罪和不可接受的行为。这些立法包括1991年《性犯罪法》(即：前《性犯罪和家庭暴力法》)、2008年《性犯罪法(修订稿)》、2007年《家庭暴力(保护令)法》、2007年《儿童保护法》和规范公共和私人领域行为的《刑法》(1924年)。</w:t>
      </w:r>
    </w:p>
    <w:p w:rsidR="008479E5" w:rsidRDefault="008479E5" w:rsidP="008479E5">
      <w:pPr>
        <w:pStyle w:val="SingleTxt"/>
        <w:rPr>
          <w:rFonts w:hint="eastAsia"/>
        </w:rPr>
      </w:pPr>
      <w:r>
        <w:rPr>
          <w:rFonts w:hint="eastAsia"/>
        </w:rPr>
        <w:t>62.</w:t>
      </w:r>
      <w:r>
        <w:rPr>
          <w:rFonts w:hint="eastAsia"/>
        </w:rPr>
        <w:tab/>
        <w:t>巴哈马不仅进行立法改革和公共意识教育，而且还特别重视培训专业人员，使他们有能力向暴力行为幸存者提供辅导和支持。</w:t>
      </w:r>
    </w:p>
    <w:p w:rsidR="008479E5" w:rsidRDefault="008479E5" w:rsidP="008479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w:t>
      </w:r>
      <w:r w:rsidR="00885365">
        <w:rPr>
          <w:rFonts w:hint="eastAsia"/>
        </w:rPr>
        <w:t>7</w:t>
      </w:r>
      <w:r>
        <w:rPr>
          <w:rFonts w:hint="eastAsia"/>
        </w:rPr>
        <w:t>条：政治和公共生活</w:t>
      </w:r>
    </w:p>
    <w:p w:rsidR="008479E5" w:rsidRPr="001E5D9E" w:rsidRDefault="008479E5" w:rsidP="008479E5">
      <w:pPr>
        <w:pStyle w:val="SingleTxt"/>
        <w:spacing w:after="0" w:line="120" w:lineRule="exact"/>
        <w:rPr>
          <w:sz w:val="10"/>
        </w:rPr>
      </w:pPr>
    </w:p>
    <w:p w:rsidR="008479E5" w:rsidRPr="001E5D9E" w:rsidRDefault="008479E5" w:rsidP="008479E5">
      <w:pPr>
        <w:pStyle w:val="SingleTxt"/>
        <w:rPr>
          <w:rFonts w:ascii="SimHei" w:eastAsia="SimHei" w:hint="eastAsia"/>
        </w:rPr>
      </w:pPr>
      <w:r w:rsidRPr="001E5D9E">
        <w:rPr>
          <w:rFonts w:ascii="SimHei" w:eastAsia="SimHei" w:hint="eastAsia"/>
        </w:rPr>
        <w:t>平等的投票权和参选权</w:t>
      </w:r>
    </w:p>
    <w:p w:rsidR="008479E5" w:rsidRDefault="008479E5" w:rsidP="008479E5">
      <w:pPr>
        <w:pStyle w:val="SingleTxt"/>
        <w:rPr>
          <w:rFonts w:hint="eastAsia"/>
        </w:rPr>
      </w:pPr>
      <w:r>
        <w:rPr>
          <w:rFonts w:hint="eastAsia"/>
        </w:rPr>
        <w:t>63.</w:t>
      </w:r>
      <w:r>
        <w:rPr>
          <w:rFonts w:hint="eastAsia"/>
        </w:rPr>
        <w:tab/>
        <w:t>在巴哈马，妇女有权在任何及所有选举中投票，并有权与男子平等地参加选举。妇女于1961年获得部分投票权，于1962年获得完整投票权。因此，妇女或男子的投票权不受任何法律限制，他们可以在所有选举和公民投票中投票，也可通过选举进入任何公众选举产生的机构。</w:t>
      </w:r>
    </w:p>
    <w:p w:rsidR="008479E5" w:rsidRPr="001E5D9E" w:rsidRDefault="008479E5" w:rsidP="008479E5">
      <w:pPr>
        <w:pStyle w:val="SingleTxt"/>
        <w:rPr>
          <w:rFonts w:ascii="SimHei" w:eastAsia="SimHei" w:hint="eastAsia"/>
        </w:rPr>
      </w:pPr>
      <w:r w:rsidRPr="001E5D9E">
        <w:rPr>
          <w:rFonts w:ascii="SimHei" w:eastAsia="SimHei" w:hint="eastAsia"/>
        </w:rPr>
        <w:t>参加选举的妇女百分比</w:t>
      </w:r>
    </w:p>
    <w:p w:rsidR="008479E5" w:rsidRDefault="008479E5" w:rsidP="008479E5">
      <w:pPr>
        <w:pStyle w:val="SingleTxt"/>
        <w:rPr>
          <w:rFonts w:hint="eastAsia"/>
        </w:rPr>
      </w:pPr>
      <w:r>
        <w:rPr>
          <w:rFonts w:hint="eastAsia"/>
        </w:rPr>
        <w:t>64.</w:t>
      </w:r>
      <w:r>
        <w:rPr>
          <w:rFonts w:hint="eastAsia"/>
        </w:rPr>
        <w:tab/>
        <w:t>自上次提交报告以来，还没有举行过选举。</w:t>
      </w:r>
    </w:p>
    <w:p w:rsidR="008479E5" w:rsidRPr="001E5D9E" w:rsidRDefault="008479E5" w:rsidP="008479E5">
      <w:pPr>
        <w:pStyle w:val="SingleTxt"/>
        <w:rPr>
          <w:rFonts w:ascii="SimHei" w:eastAsia="SimHei" w:hint="eastAsia"/>
        </w:rPr>
      </w:pPr>
      <w:r w:rsidRPr="001E5D9E">
        <w:rPr>
          <w:rFonts w:ascii="SimHei" w:eastAsia="SimHei" w:hint="eastAsia"/>
        </w:rPr>
        <w:t>妇女担任公职的人数</w:t>
      </w:r>
    </w:p>
    <w:p w:rsidR="008479E5" w:rsidRDefault="008479E5" w:rsidP="008479E5">
      <w:pPr>
        <w:pStyle w:val="SingleTxt"/>
        <w:rPr>
          <w:rFonts w:hint="eastAsia"/>
        </w:rPr>
      </w:pPr>
      <w:r>
        <w:rPr>
          <w:rFonts w:hint="eastAsia"/>
        </w:rPr>
        <w:t>65.</w:t>
      </w:r>
      <w:r>
        <w:rPr>
          <w:rFonts w:hint="eastAsia"/>
        </w:rPr>
        <w:tab/>
        <w:t>在巴哈马，妇女担任非常高级的职位，在这些职位上有能力影响政策，监督执行政策的情况，促进变化。截至编写本报告之时，除下表列出的职位外，妇女还担任以下职位：上诉法院院长、最高法院法官(4人)、中央银行行长、律师公会主席、首席医疗官和内阁秘书。</w:t>
      </w:r>
    </w:p>
    <w:p w:rsidR="008479E5" w:rsidRDefault="008479E5" w:rsidP="008479E5">
      <w:pPr>
        <w:pStyle w:val="SingleTxt"/>
        <w:rPr>
          <w:rFonts w:hint="eastAsia"/>
        </w:rPr>
      </w:pPr>
      <w:r>
        <w:rPr>
          <w:rFonts w:hint="eastAsia"/>
        </w:rPr>
        <w:t>表7</w:t>
      </w:r>
      <w:r>
        <w:br/>
      </w:r>
      <w:r w:rsidRPr="001E5D9E">
        <w:rPr>
          <w:rFonts w:ascii="SimHei" w:eastAsia="SimHei" w:hint="eastAsia"/>
        </w:rPr>
        <w:t>妇女担任高级公职和领导职位的情况</w:t>
      </w: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8479E5" w:rsidRPr="00DF1DAE" w:rsidTr="001C2EF2">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8479E5" w:rsidRPr="00DF1DAE" w:rsidRDefault="008479E5" w:rsidP="001C2EF2">
            <w:pPr>
              <w:suppressAutoHyphens/>
              <w:spacing w:before="60" w:after="60" w:line="200" w:lineRule="exact"/>
              <w:ind w:right="57"/>
              <w:rPr>
                <w:rFonts w:ascii="KaiTi_GB2312" w:eastAsia="KaiTi_GB2312"/>
                <w:bCs/>
                <w:sz w:val="15"/>
              </w:rPr>
            </w:pPr>
            <w:r w:rsidRPr="00DF1DAE">
              <w:rPr>
                <w:rFonts w:ascii="KaiTi_GB2312" w:eastAsia="KaiTi_GB2312"/>
                <w:bCs/>
                <w:sz w:val="15"/>
              </w:rPr>
              <w:t>2010</w:t>
            </w:r>
            <w:r w:rsidRPr="00DF1DAE">
              <w:rPr>
                <w:rFonts w:ascii="KaiTi_GB2312" w:eastAsia="KaiTi_GB2312" w:hAnsi="SimSun"/>
                <w:bCs/>
                <w:sz w:val="15"/>
              </w:rPr>
              <w:t>年</w:t>
            </w:r>
          </w:p>
        </w:tc>
        <w:tc>
          <w:tcPr>
            <w:tcW w:w="3660" w:type="dxa"/>
            <w:tcBorders>
              <w:top w:val="single" w:sz="4" w:space="0" w:color="auto"/>
              <w:bottom w:val="single" w:sz="12" w:space="0" w:color="auto"/>
            </w:tcBorders>
            <w:shd w:val="clear" w:color="auto" w:fill="auto"/>
            <w:vAlign w:val="bottom"/>
          </w:tcPr>
          <w:p w:rsidR="008479E5" w:rsidRPr="00DF1DAE" w:rsidRDefault="008479E5" w:rsidP="001C2EF2">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r>
      <w:tr w:rsidR="008479E5" w:rsidRPr="00DF1DAE" w:rsidTr="001C2EF2">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8479E5" w:rsidRPr="00DF1DAE" w:rsidRDefault="008479E5" w:rsidP="001C2EF2">
            <w:pPr>
              <w:suppressAutoHyphens/>
              <w:spacing w:after="60" w:line="280" w:lineRule="exact"/>
              <w:ind w:right="57"/>
              <w:rPr>
                <w:rFonts w:hAnsi="SimSun"/>
                <w:bCs/>
                <w:sz w:val="17"/>
              </w:rPr>
            </w:pPr>
          </w:p>
        </w:tc>
        <w:tc>
          <w:tcPr>
            <w:tcW w:w="3660" w:type="dxa"/>
            <w:tcBorders>
              <w:top w:val="single" w:sz="12" w:space="0" w:color="auto"/>
            </w:tcBorders>
            <w:shd w:val="clear" w:color="auto" w:fill="auto"/>
            <w:vAlign w:val="bottom"/>
          </w:tcPr>
          <w:p w:rsidR="008479E5" w:rsidRPr="00DF1DAE" w:rsidRDefault="008479E5" w:rsidP="001C2EF2">
            <w:pPr>
              <w:tabs>
                <w:tab w:val="left" w:pos="360"/>
                <w:tab w:val="left" w:pos="720"/>
                <w:tab w:val="left" w:pos="1080"/>
                <w:tab w:val="left" w:pos="1440"/>
              </w:tabs>
              <w:suppressAutoHyphens/>
              <w:spacing w:after="60" w:line="280" w:lineRule="exact"/>
              <w:ind w:right="57"/>
              <w:jc w:val="right"/>
              <w:rPr>
                <w:sz w:val="17"/>
              </w:rPr>
            </w:pPr>
          </w:p>
        </w:tc>
      </w:tr>
      <w:tr w:rsidR="008479E5" w:rsidRPr="00DF1DAE" w:rsidTr="001C2EF2">
        <w:tblPrEx>
          <w:tblCellMar>
            <w:top w:w="0" w:type="dxa"/>
            <w:bottom w:w="0" w:type="dxa"/>
          </w:tblCellMar>
        </w:tblPrEx>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rPr>
                <w:bCs/>
                <w:sz w:val="17"/>
              </w:rPr>
            </w:pPr>
            <w:r w:rsidRPr="00DF1DAE">
              <w:rPr>
                <w:rFonts w:hAnsi="SimSun"/>
                <w:bCs/>
                <w:sz w:val="17"/>
              </w:rPr>
              <w:t>常务秘书</w:t>
            </w:r>
          </w:p>
        </w:tc>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p>
        </w:tc>
      </w:tr>
      <w:tr w:rsidR="008479E5" w:rsidRPr="00DF1DAE" w:rsidTr="001C2EF2">
        <w:tblPrEx>
          <w:tblCellMar>
            <w:top w:w="0" w:type="dxa"/>
            <w:bottom w:w="0" w:type="dxa"/>
          </w:tblCellMar>
        </w:tblPrEx>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rPr>
                <w:sz w:val="17"/>
              </w:rPr>
            </w:pPr>
            <w:r w:rsidRPr="00DF1DAE">
              <w:rPr>
                <w:rFonts w:hAnsi="SimSun"/>
                <w:sz w:val="17"/>
              </w:rPr>
              <w:t>妇女</w:t>
            </w:r>
          </w:p>
        </w:tc>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11</w:t>
            </w:r>
          </w:p>
        </w:tc>
      </w:tr>
      <w:tr w:rsidR="008479E5" w:rsidRPr="00DF1DAE" w:rsidTr="001C2EF2">
        <w:tblPrEx>
          <w:tblCellMar>
            <w:top w:w="0" w:type="dxa"/>
            <w:bottom w:w="0" w:type="dxa"/>
          </w:tblCellMar>
        </w:tblPrEx>
        <w:tc>
          <w:tcPr>
            <w:tcW w:w="3660" w:type="dxa"/>
            <w:tcBorders>
              <w:bottom w:val="single" w:sz="4"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rPr>
                <w:sz w:val="17"/>
              </w:rPr>
            </w:pPr>
            <w:r w:rsidRPr="00DF1DAE">
              <w:rPr>
                <w:rFonts w:hAnsi="SimSun"/>
                <w:sz w:val="17"/>
              </w:rPr>
              <w:t>男子</w:t>
            </w:r>
          </w:p>
        </w:tc>
        <w:tc>
          <w:tcPr>
            <w:tcW w:w="3660" w:type="dxa"/>
            <w:tcBorders>
              <w:bottom w:val="single" w:sz="4"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7</w:t>
            </w:r>
          </w:p>
        </w:tc>
      </w:tr>
      <w:tr w:rsidR="008479E5" w:rsidRPr="00DF1DAE" w:rsidTr="001C2EF2">
        <w:tblPrEx>
          <w:tblCellMar>
            <w:top w:w="0" w:type="dxa"/>
            <w:bottom w:w="0" w:type="dxa"/>
          </w:tblCellMar>
        </w:tblPrEx>
        <w:tc>
          <w:tcPr>
            <w:tcW w:w="3660" w:type="dxa"/>
            <w:tcBorders>
              <w:top w:val="single" w:sz="4" w:space="0" w:color="auto"/>
              <w:bottom w:val="single" w:sz="12"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before="80" w:after="80" w:line="280" w:lineRule="exact"/>
              <w:ind w:right="57"/>
              <w:rPr>
                <w:rFonts w:ascii="SimHei" w:eastAsia="SimHei"/>
                <w:b/>
                <w:sz w:val="17"/>
              </w:rPr>
            </w:pPr>
            <w:r>
              <w:rPr>
                <w:rFonts w:ascii="Times New Roman" w:eastAsia="SimHei"/>
                <w:b/>
                <w:sz w:val="17"/>
              </w:rPr>
              <w:tab/>
            </w:r>
            <w:r w:rsidRPr="00DF1DAE">
              <w:rPr>
                <w:rFonts w:ascii="SimHei" w:eastAsia="SimHei" w:hAnsi="SimSun"/>
                <w:b/>
                <w:sz w:val="17"/>
              </w:rPr>
              <w:t>共计</w:t>
            </w:r>
          </w:p>
        </w:tc>
        <w:tc>
          <w:tcPr>
            <w:tcW w:w="3660" w:type="dxa"/>
            <w:tcBorders>
              <w:top w:val="single" w:sz="4" w:space="0" w:color="auto"/>
              <w:bottom w:val="single" w:sz="12"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DF1DAE">
              <w:rPr>
                <w:rFonts w:ascii="SimHei" w:eastAsia="SimHei"/>
                <w:b/>
                <w:sz w:val="17"/>
              </w:rPr>
              <w:t>18</w:t>
            </w:r>
          </w:p>
        </w:tc>
      </w:tr>
    </w:tbl>
    <w:p w:rsidR="008479E5" w:rsidRPr="00DF1DAE" w:rsidRDefault="008479E5" w:rsidP="008479E5">
      <w:pPr>
        <w:spacing w:line="120" w:lineRule="exact"/>
        <w:rPr>
          <w:sz w:val="10"/>
        </w:rPr>
      </w:pPr>
    </w:p>
    <w:p w:rsidR="008479E5" w:rsidRPr="00DF1DAE" w:rsidRDefault="008479E5" w:rsidP="008479E5">
      <w:pPr>
        <w:pStyle w:val="SingleTxt"/>
        <w:rPr>
          <w:rFonts w:ascii="SimHei" w:eastAsia="SimHei"/>
        </w:rPr>
      </w:pPr>
      <w:r w:rsidRPr="00DF1DAE">
        <w:rPr>
          <w:rFonts w:hint="eastAsia"/>
        </w:rPr>
        <w:t>表8</w:t>
      </w:r>
      <w:r>
        <w:br/>
      </w:r>
      <w:r w:rsidRPr="00DF1DAE">
        <w:rPr>
          <w:rFonts w:ascii="SimHei" w:eastAsia="SimHei" w:hint="eastAsia"/>
        </w:rPr>
        <w:t>妇女在某些公共秩序和安全领域任职情况，2010年</w:t>
      </w:r>
    </w:p>
    <w:p w:rsidR="008479E5" w:rsidRPr="00DF1DAE" w:rsidRDefault="008479E5" w:rsidP="008479E5">
      <w:pPr>
        <w:spacing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8479E5" w:rsidRPr="00DF1DAE" w:rsidTr="001C2EF2">
        <w:tblPrEx>
          <w:tblCellMar>
            <w:top w:w="0" w:type="dxa"/>
            <w:bottom w:w="0" w:type="dxa"/>
          </w:tblCellMar>
        </w:tblPrEx>
        <w:trPr>
          <w:tblHeader/>
        </w:trPr>
        <w:tc>
          <w:tcPr>
            <w:tcW w:w="3660" w:type="dxa"/>
            <w:tcBorders>
              <w:top w:val="single" w:sz="4" w:space="0" w:color="auto"/>
            </w:tcBorders>
            <w:shd w:val="clear" w:color="auto" w:fill="auto"/>
            <w:vAlign w:val="bottom"/>
          </w:tcPr>
          <w:p w:rsidR="008479E5" w:rsidRPr="00DF1DAE" w:rsidRDefault="008479E5" w:rsidP="001C2EF2">
            <w:pPr>
              <w:suppressAutoHyphens/>
              <w:spacing w:before="60" w:after="60" w:line="200" w:lineRule="exact"/>
              <w:ind w:right="57"/>
              <w:rPr>
                <w:rFonts w:ascii="KaiTi_GB2312" w:eastAsia="KaiTi_GB2312"/>
                <w:bCs/>
                <w:sz w:val="15"/>
              </w:rPr>
            </w:pPr>
            <w:r w:rsidRPr="00DF1DAE">
              <w:rPr>
                <w:rFonts w:ascii="KaiTi_GB2312" w:eastAsia="KaiTi_GB2312"/>
                <w:bCs/>
                <w:sz w:val="15"/>
              </w:rPr>
              <w:t>2010</w:t>
            </w:r>
            <w:r w:rsidRPr="00DF1DAE">
              <w:rPr>
                <w:rFonts w:ascii="KaiTi_GB2312" w:eastAsia="KaiTi_GB2312" w:hAnsi="SimSun"/>
                <w:bCs/>
                <w:sz w:val="15"/>
              </w:rPr>
              <w:t>年</w:t>
            </w:r>
          </w:p>
        </w:tc>
        <w:tc>
          <w:tcPr>
            <w:tcW w:w="3660" w:type="dxa"/>
            <w:tcBorders>
              <w:top w:val="single" w:sz="4" w:space="0" w:color="auto"/>
            </w:tcBorders>
            <w:shd w:val="clear" w:color="auto" w:fill="auto"/>
            <w:vAlign w:val="bottom"/>
          </w:tcPr>
          <w:p w:rsidR="008479E5" w:rsidRPr="00DF1DAE" w:rsidRDefault="008479E5" w:rsidP="001C2EF2">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r>
      <w:tr w:rsidR="008479E5" w:rsidRPr="00DF1DAE" w:rsidTr="001C2EF2">
        <w:tblPrEx>
          <w:tblCellMar>
            <w:top w:w="0" w:type="dxa"/>
            <w:bottom w:w="0" w:type="dxa"/>
          </w:tblCellMar>
        </w:tblPrEx>
        <w:trPr>
          <w:tblHeader/>
        </w:trPr>
        <w:tc>
          <w:tcPr>
            <w:tcW w:w="3660" w:type="dxa"/>
            <w:tcBorders>
              <w:bottom w:val="single" w:sz="12" w:space="0" w:color="auto"/>
            </w:tcBorders>
            <w:shd w:val="clear" w:color="auto" w:fill="auto"/>
            <w:vAlign w:val="bottom"/>
          </w:tcPr>
          <w:p w:rsidR="008479E5" w:rsidRPr="00DF1DAE" w:rsidRDefault="008479E5" w:rsidP="001C2EF2">
            <w:pPr>
              <w:suppressAutoHyphens/>
              <w:spacing w:after="60" w:line="200" w:lineRule="exact"/>
              <w:ind w:right="57"/>
              <w:rPr>
                <w:rFonts w:ascii="KaiTi_GB2312" w:eastAsia="KaiTi_GB2312"/>
                <w:bCs/>
                <w:sz w:val="15"/>
              </w:rPr>
            </w:pPr>
            <w:r w:rsidRPr="00DF1DAE">
              <w:rPr>
                <w:rFonts w:ascii="KaiTi_GB2312" w:eastAsia="KaiTi_GB2312" w:hAnsi="SimSun"/>
                <w:bCs/>
                <w:sz w:val="15"/>
              </w:rPr>
              <w:t>职位</w:t>
            </w:r>
          </w:p>
        </w:tc>
        <w:tc>
          <w:tcPr>
            <w:tcW w:w="3660" w:type="dxa"/>
            <w:tcBorders>
              <w:bottom w:val="single" w:sz="12" w:space="0" w:color="auto"/>
            </w:tcBorders>
            <w:shd w:val="clear" w:color="auto" w:fill="auto"/>
            <w:vAlign w:val="bottom"/>
          </w:tcPr>
          <w:p w:rsidR="008479E5" w:rsidRPr="00DF1DAE" w:rsidRDefault="008479E5" w:rsidP="001C2EF2">
            <w:pPr>
              <w:suppressAutoHyphens/>
              <w:spacing w:after="60" w:line="200" w:lineRule="exact"/>
              <w:ind w:right="57"/>
              <w:jc w:val="right"/>
              <w:rPr>
                <w:rFonts w:ascii="KaiTi_GB2312" w:eastAsia="KaiTi_GB2312"/>
                <w:bCs/>
                <w:sz w:val="15"/>
              </w:rPr>
            </w:pPr>
            <w:r w:rsidRPr="00DF1DAE">
              <w:rPr>
                <w:rFonts w:ascii="KaiTi_GB2312" w:eastAsia="KaiTi_GB2312" w:hAnsi="SimSun"/>
                <w:bCs/>
                <w:sz w:val="15"/>
              </w:rPr>
              <w:t>妇女</w:t>
            </w:r>
            <w:r w:rsidRPr="00DF1DAE">
              <w:rPr>
                <w:rFonts w:ascii="KaiTi_GB2312" w:eastAsia="KaiTi_GB2312" w:hAnsi="SimSun" w:hint="eastAsia"/>
                <w:bCs/>
                <w:sz w:val="15"/>
              </w:rPr>
              <w:t>人数</w:t>
            </w:r>
          </w:p>
        </w:tc>
      </w:tr>
      <w:tr w:rsidR="008479E5" w:rsidRPr="00DF1DAE" w:rsidTr="001C2EF2">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8479E5" w:rsidRPr="00DF1DAE" w:rsidRDefault="008479E5" w:rsidP="001C2EF2">
            <w:pPr>
              <w:suppressAutoHyphens/>
              <w:spacing w:after="60" w:line="280" w:lineRule="exact"/>
              <w:ind w:right="57"/>
              <w:rPr>
                <w:rFonts w:hAnsi="SimSun"/>
                <w:sz w:val="17"/>
              </w:rPr>
            </w:pPr>
          </w:p>
        </w:tc>
        <w:tc>
          <w:tcPr>
            <w:tcW w:w="3660" w:type="dxa"/>
            <w:tcBorders>
              <w:top w:val="single" w:sz="12" w:space="0" w:color="auto"/>
            </w:tcBorders>
            <w:shd w:val="clear" w:color="auto" w:fill="auto"/>
            <w:vAlign w:val="bottom"/>
          </w:tcPr>
          <w:p w:rsidR="008479E5" w:rsidRPr="00DF1DAE" w:rsidRDefault="008479E5" w:rsidP="001C2EF2">
            <w:pPr>
              <w:suppressAutoHyphens/>
              <w:spacing w:after="60" w:line="280" w:lineRule="exact"/>
              <w:ind w:right="57"/>
              <w:jc w:val="right"/>
              <w:rPr>
                <w:sz w:val="17"/>
              </w:rPr>
            </w:pPr>
          </w:p>
        </w:tc>
      </w:tr>
      <w:tr w:rsidR="008479E5" w:rsidRPr="00DF1DAE" w:rsidTr="001C2EF2">
        <w:tblPrEx>
          <w:tblCellMar>
            <w:top w:w="0" w:type="dxa"/>
            <w:bottom w:w="0" w:type="dxa"/>
          </w:tblCellMar>
        </w:tblPrEx>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rPr>
                <w:sz w:val="17"/>
              </w:rPr>
            </w:pPr>
            <w:r w:rsidRPr="00DF1DAE">
              <w:rPr>
                <w:rFonts w:hAnsi="SimSun"/>
                <w:sz w:val="17"/>
              </w:rPr>
              <w:t>法律事务主任</w:t>
            </w:r>
          </w:p>
        </w:tc>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1</w:t>
            </w:r>
          </w:p>
        </w:tc>
      </w:tr>
      <w:tr w:rsidR="008479E5" w:rsidRPr="00DF1DAE" w:rsidTr="001C2EF2">
        <w:tblPrEx>
          <w:tblCellMar>
            <w:top w:w="0" w:type="dxa"/>
            <w:bottom w:w="0" w:type="dxa"/>
          </w:tblCellMar>
        </w:tblPrEx>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rPr>
                <w:sz w:val="17"/>
              </w:rPr>
            </w:pPr>
            <w:r w:rsidRPr="00DF1DAE">
              <w:rPr>
                <w:rFonts w:hAnsi="SimSun"/>
                <w:sz w:val="17"/>
              </w:rPr>
              <w:t>公诉事务主任</w:t>
            </w:r>
          </w:p>
        </w:tc>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1</w:t>
            </w:r>
          </w:p>
        </w:tc>
      </w:tr>
      <w:tr w:rsidR="008479E5" w:rsidRPr="00DF1DAE" w:rsidTr="001C2EF2">
        <w:tblPrEx>
          <w:tblCellMar>
            <w:top w:w="0" w:type="dxa"/>
            <w:bottom w:w="0" w:type="dxa"/>
          </w:tblCellMar>
        </w:tblPrEx>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rPr>
                <w:sz w:val="17"/>
              </w:rPr>
            </w:pPr>
            <w:r w:rsidRPr="00DF1DAE">
              <w:rPr>
                <w:rFonts w:hAnsi="SimSun"/>
                <w:sz w:val="17"/>
              </w:rPr>
              <w:t>最高法院书记官长</w:t>
            </w:r>
          </w:p>
        </w:tc>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1</w:t>
            </w:r>
          </w:p>
        </w:tc>
      </w:tr>
      <w:tr w:rsidR="008479E5" w:rsidRPr="00DF1DAE" w:rsidTr="001C2EF2">
        <w:tblPrEx>
          <w:tblCellMar>
            <w:top w:w="0" w:type="dxa"/>
            <w:bottom w:w="0" w:type="dxa"/>
          </w:tblCellMar>
        </w:tblPrEx>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rPr>
                <w:sz w:val="17"/>
              </w:rPr>
            </w:pPr>
            <w:r w:rsidRPr="00DF1DAE">
              <w:rPr>
                <w:rFonts w:hAnsi="SimSun"/>
                <w:sz w:val="17"/>
              </w:rPr>
              <w:t>副书记官长</w:t>
            </w:r>
          </w:p>
        </w:tc>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1</w:t>
            </w:r>
          </w:p>
        </w:tc>
      </w:tr>
      <w:tr w:rsidR="008479E5" w:rsidRPr="00DF1DAE" w:rsidTr="001C2EF2">
        <w:tblPrEx>
          <w:tblCellMar>
            <w:top w:w="0" w:type="dxa"/>
            <w:bottom w:w="0" w:type="dxa"/>
          </w:tblCellMar>
        </w:tblPrEx>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rPr>
                <w:sz w:val="17"/>
              </w:rPr>
            </w:pPr>
            <w:r w:rsidRPr="00DF1DAE">
              <w:rPr>
                <w:rFonts w:hAnsi="SimSun"/>
                <w:sz w:val="17"/>
              </w:rPr>
              <w:t>领薪和巡回法官</w:t>
            </w:r>
            <w:r w:rsidRPr="00DF1DAE">
              <w:rPr>
                <w:sz w:val="17"/>
              </w:rPr>
              <w:t>:</w:t>
            </w:r>
          </w:p>
        </w:tc>
        <w:tc>
          <w:tcPr>
            <w:tcW w:w="366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p>
        </w:tc>
      </w:tr>
      <w:tr w:rsidR="008479E5" w:rsidRPr="00DF1DAE" w:rsidTr="001C2EF2">
        <w:tblPrEx>
          <w:tblCellMar>
            <w:top w:w="0" w:type="dxa"/>
            <w:bottom w:w="0" w:type="dxa"/>
          </w:tblCellMar>
        </w:tblPrEx>
        <w:tc>
          <w:tcPr>
            <w:tcW w:w="3660" w:type="dxa"/>
            <w:tcBorders>
              <w:bottom w:val="single" w:sz="4"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rPr>
                <w:sz w:val="17"/>
              </w:rPr>
            </w:pPr>
            <w:r w:rsidRPr="00DF1DAE">
              <w:rPr>
                <w:rFonts w:hAnsi="SimSun"/>
                <w:sz w:val="17"/>
              </w:rPr>
              <w:t>治安法官</w:t>
            </w:r>
          </w:p>
        </w:tc>
        <w:tc>
          <w:tcPr>
            <w:tcW w:w="3660" w:type="dxa"/>
            <w:tcBorders>
              <w:bottom w:val="single" w:sz="4"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11</w:t>
            </w:r>
          </w:p>
        </w:tc>
      </w:tr>
      <w:tr w:rsidR="008479E5" w:rsidRPr="00DF1DAE" w:rsidTr="001C2EF2">
        <w:tblPrEx>
          <w:tblCellMar>
            <w:top w:w="0" w:type="dxa"/>
            <w:bottom w:w="0" w:type="dxa"/>
          </w:tblCellMar>
        </w:tblPrEx>
        <w:tc>
          <w:tcPr>
            <w:tcW w:w="3660" w:type="dxa"/>
            <w:tcBorders>
              <w:top w:val="single" w:sz="4" w:space="0" w:color="auto"/>
              <w:bottom w:val="single" w:sz="12"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before="80" w:after="80" w:line="280" w:lineRule="exact"/>
              <w:ind w:right="57"/>
              <w:rPr>
                <w:rFonts w:ascii="SimHei" w:eastAsia="SimHei"/>
                <w:b/>
                <w:bCs/>
                <w:sz w:val="17"/>
              </w:rPr>
            </w:pPr>
            <w:r w:rsidRPr="00DF1DAE">
              <w:rPr>
                <w:rFonts w:ascii="SimHei" w:eastAsia="SimHei" w:hAnsi="SimSun"/>
                <w:b/>
                <w:bCs/>
                <w:sz w:val="17"/>
              </w:rPr>
              <w:tab/>
              <w:t>共计</w:t>
            </w:r>
          </w:p>
        </w:tc>
        <w:tc>
          <w:tcPr>
            <w:tcW w:w="3660" w:type="dxa"/>
            <w:tcBorders>
              <w:top w:val="single" w:sz="4" w:space="0" w:color="auto"/>
              <w:bottom w:val="single" w:sz="12"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DF1DAE">
              <w:rPr>
                <w:rFonts w:ascii="SimHei" w:eastAsia="SimHei"/>
                <w:b/>
                <w:sz w:val="17"/>
              </w:rPr>
              <w:t>15</w:t>
            </w:r>
          </w:p>
        </w:tc>
      </w:tr>
    </w:tbl>
    <w:p w:rsidR="008479E5" w:rsidRPr="00DF1DAE" w:rsidRDefault="008479E5" w:rsidP="008479E5">
      <w:pPr>
        <w:pStyle w:val="SingleTxt"/>
        <w:spacing w:after="0" w:line="120" w:lineRule="exact"/>
        <w:rPr>
          <w:sz w:val="10"/>
        </w:rPr>
      </w:pPr>
    </w:p>
    <w:p w:rsidR="008479E5" w:rsidRDefault="008479E5" w:rsidP="008479E5">
      <w:pPr>
        <w:pStyle w:val="SingleTxt"/>
        <w:rPr>
          <w:rFonts w:hint="eastAsia"/>
        </w:rPr>
      </w:pPr>
      <w:r>
        <w:rPr>
          <w:rFonts w:hint="eastAsia"/>
        </w:rPr>
        <w:t>66.</w:t>
      </w:r>
      <w:r>
        <w:rPr>
          <w:rFonts w:hint="eastAsia"/>
        </w:rPr>
        <w:tab/>
        <w:t>正如先前在上次定期报告中指出，在2007年5月选举后，5名妇女获选进入由41名成员组成的众议院(下院)(占12.2%)，8名妇女获得任命，担任由15名成员组成的参议院(上院)参议员(占53.3%)。只有一名妇女进入内阁。</w:t>
      </w:r>
    </w:p>
    <w:p w:rsidR="008479E5" w:rsidRPr="00DF1DAE" w:rsidRDefault="008479E5" w:rsidP="008479E5">
      <w:pPr>
        <w:pStyle w:val="SingleTxt"/>
        <w:rPr>
          <w:rFonts w:ascii="SimHei" w:eastAsia="SimHei" w:hint="eastAsia"/>
        </w:rPr>
      </w:pPr>
      <w:r>
        <w:rPr>
          <w:rFonts w:hint="eastAsia"/>
        </w:rPr>
        <w:t>表9</w:t>
      </w:r>
      <w:r>
        <w:br/>
      </w:r>
      <w:r w:rsidRPr="00DF1DAE">
        <w:rPr>
          <w:rFonts w:ascii="SimHei" w:eastAsia="SimHei" w:hint="eastAsia"/>
        </w:rPr>
        <w:t>妇女担任最高级政治职务情况，2010年</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479E5" w:rsidRPr="00DF1DAE" w:rsidTr="001C2EF2">
        <w:tblPrEx>
          <w:tblCellMar>
            <w:top w:w="0" w:type="dxa"/>
            <w:bottom w:w="0" w:type="dxa"/>
          </w:tblCellMar>
        </w:tblPrEx>
        <w:trPr>
          <w:tblHeader/>
        </w:trPr>
        <w:tc>
          <w:tcPr>
            <w:tcW w:w="1830" w:type="dxa"/>
            <w:tcBorders>
              <w:top w:val="single" w:sz="4" w:space="0" w:color="auto"/>
            </w:tcBorders>
            <w:shd w:val="clear" w:color="auto" w:fill="auto"/>
            <w:vAlign w:val="bottom"/>
          </w:tcPr>
          <w:p w:rsidR="008479E5" w:rsidRPr="00DF1DAE" w:rsidRDefault="008479E5" w:rsidP="001C2EF2">
            <w:pPr>
              <w:tabs>
                <w:tab w:val="left" w:pos="360"/>
                <w:tab w:val="left" w:pos="720"/>
                <w:tab w:val="left" w:pos="1080"/>
                <w:tab w:val="left" w:pos="1440"/>
              </w:tabs>
              <w:suppressAutoHyphens/>
              <w:spacing w:before="60" w:after="60" w:line="200" w:lineRule="exact"/>
              <w:ind w:right="57"/>
              <w:rPr>
                <w:rFonts w:ascii="KaiTi_GB2312" w:eastAsia="KaiTi_GB2312"/>
                <w:sz w:val="15"/>
              </w:rPr>
            </w:pPr>
            <w:r w:rsidRPr="00DF1DAE">
              <w:rPr>
                <w:rFonts w:ascii="KaiTi_GB2312" w:eastAsia="KaiTi_GB2312"/>
                <w:bCs/>
                <w:sz w:val="15"/>
              </w:rPr>
              <w:t>2010</w:t>
            </w:r>
            <w:r w:rsidRPr="00DF1DAE">
              <w:rPr>
                <w:rFonts w:ascii="KaiTi_GB2312" w:eastAsia="KaiTi_GB2312" w:hAnsi="SimSun"/>
                <w:bCs/>
                <w:sz w:val="15"/>
              </w:rPr>
              <w:t>年</w:t>
            </w:r>
          </w:p>
        </w:tc>
        <w:tc>
          <w:tcPr>
            <w:tcW w:w="1830" w:type="dxa"/>
            <w:tcBorders>
              <w:top w:val="single" w:sz="4" w:space="0" w:color="auto"/>
            </w:tcBorders>
            <w:shd w:val="clear" w:color="auto" w:fill="auto"/>
            <w:vAlign w:val="bottom"/>
          </w:tcPr>
          <w:p w:rsidR="008479E5" w:rsidRPr="00DF1DAE" w:rsidRDefault="008479E5" w:rsidP="001C2EF2">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c>
          <w:tcPr>
            <w:tcW w:w="1830" w:type="dxa"/>
            <w:tcBorders>
              <w:top w:val="single" w:sz="4" w:space="0" w:color="auto"/>
            </w:tcBorders>
            <w:shd w:val="clear" w:color="auto" w:fill="auto"/>
            <w:vAlign w:val="bottom"/>
          </w:tcPr>
          <w:p w:rsidR="008479E5" w:rsidRPr="00DF1DAE" w:rsidRDefault="008479E5" w:rsidP="001C2EF2">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c>
          <w:tcPr>
            <w:tcW w:w="1830" w:type="dxa"/>
            <w:tcBorders>
              <w:top w:val="single" w:sz="4" w:space="0" w:color="auto"/>
            </w:tcBorders>
            <w:shd w:val="clear" w:color="auto" w:fill="auto"/>
            <w:vAlign w:val="bottom"/>
          </w:tcPr>
          <w:p w:rsidR="008479E5" w:rsidRPr="00DF1DAE" w:rsidRDefault="008479E5" w:rsidP="001C2EF2">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r>
      <w:tr w:rsidR="008479E5" w:rsidRPr="00DF1DAE" w:rsidTr="001C2EF2">
        <w:tblPrEx>
          <w:tblCellMar>
            <w:top w:w="0" w:type="dxa"/>
            <w:bottom w:w="0" w:type="dxa"/>
          </w:tblCellMar>
        </w:tblPrEx>
        <w:trPr>
          <w:tblHeader/>
        </w:trPr>
        <w:tc>
          <w:tcPr>
            <w:tcW w:w="1830" w:type="dxa"/>
            <w:tcBorders>
              <w:bottom w:val="single" w:sz="12" w:space="0" w:color="auto"/>
            </w:tcBorders>
            <w:shd w:val="clear" w:color="auto" w:fill="auto"/>
            <w:vAlign w:val="bottom"/>
          </w:tcPr>
          <w:p w:rsidR="008479E5" w:rsidRPr="00DF1DAE" w:rsidRDefault="008479E5" w:rsidP="001C2EF2">
            <w:pPr>
              <w:suppressAutoHyphens/>
              <w:spacing w:after="60" w:line="200" w:lineRule="exact"/>
              <w:ind w:right="57"/>
              <w:rPr>
                <w:rFonts w:ascii="KaiTi_GB2312" w:eastAsia="KaiTi_GB2312"/>
                <w:bCs/>
                <w:sz w:val="15"/>
              </w:rPr>
            </w:pPr>
            <w:r w:rsidRPr="00DF1DAE">
              <w:rPr>
                <w:rFonts w:ascii="KaiTi_GB2312" w:eastAsia="KaiTi_GB2312" w:hAnsi="SimSun"/>
                <w:bCs/>
                <w:sz w:val="15"/>
              </w:rPr>
              <w:t>职务</w:t>
            </w:r>
          </w:p>
        </w:tc>
        <w:tc>
          <w:tcPr>
            <w:tcW w:w="1830" w:type="dxa"/>
            <w:tcBorders>
              <w:bottom w:val="single" w:sz="12" w:space="0" w:color="auto"/>
            </w:tcBorders>
            <w:shd w:val="clear" w:color="auto" w:fill="auto"/>
            <w:vAlign w:val="bottom"/>
          </w:tcPr>
          <w:p w:rsidR="008479E5" w:rsidRPr="00DF1DAE" w:rsidRDefault="008479E5" w:rsidP="001C2EF2">
            <w:pPr>
              <w:suppressAutoHyphens/>
              <w:spacing w:after="60" w:line="200" w:lineRule="exact"/>
              <w:ind w:right="57"/>
              <w:jc w:val="right"/>
              <w:rPr>
                <w:rFonts w:ascii="KaiTi_GB2312" w:eastAsia="KaiTi_GB2312"/>
                <w:bCs/>
                <w:sz w:val="15"/>
              </w:rPr>
            </w:pPr>
            <w:r w:rsidRPr="00DF1DAE">
              <w:rPr>
                <w:rFonts w:ascii="KaiTi_GB2312" w:eastAsia="KaiTi_GB2312" w:hAnsi="SimSun"/>
                <w:bCs/>
                <w:sz w:val="15"/>
              </w:rPr>
              <w:t>妇女</w:t>
            </w:r>
          </w:p>
        </w:tc>
        <w:tc>
          <w:tcPr>
            <w:tcW w:w="1830" w:type="dxa"/>
            <w:tcBorders>
              <w:bottom w:val="single" w:sz="12" w:space="0" w:color="auto"/>
            </w:tcBorders>
            <w:shd w:val="clear" w:color="auto" w:fill="auto"/>
            <w:vAlign w:val="bottom"/>
          </w:tcPr>
          <w:p w:rsidR="008479E5" w:rsidRPr="00DF1DAE" w:rsidRDefault="008479E5" w:rsidP="001C2EF2">
            <w:pPr>
              <w:suppressAutoHyphens/>
              <w:spacing w:after="60" w:line="200" w:lineRule="exact"/>
              <w:ind w:right="57"/>
              <w:jc w:val="right"/>
              <w:rPr>
                <w:rFonts w:ascii="KaiTi_GB2312" w:eastAsia="KaiTi_GB2312"/>
                <w:bCs/>
                <w:sz w:val="15"/>
              </w:rPr>
            </w:pPr>
            <w:r w:rsidRPr="00DF1DAE">
              <w:rPr>
                <w:rFonts w:ascii="KaiTi_GB2312" w:eastAsia="KaiTi_GB2312" w:hAnsi="SimSun"/>
                <w:bCs/>
                <w:sz w:val="15"/>
              </w:rPr>
              <w:t>男子</w:t>
            </w:r>
          </w:p>
        </w:tc>
        <w:tc>
          <w:tcPr>
            <w:tcW w:w="1830" w:type="dxa"/>
            <w:tcBorders>
              <w:bottom w:val="single" w:sz="12" w:space="0" w:color="auto"/>
            </w:tcBorders>
            <w:shd w:val="clear" w:color="auto" w:fill="auto"/>
            <w:vAlign w:val="bottom"/>
          </w:tcPr>
          <w:p w:rsidR="008479E5" w:rsidRPr="00DF1DAE" w:rsidRDefault="008479E5" w:rsidP="001C2EF2">
            <w:pPr>
              <w:suppressAutoHyphens/>
              <w:spacing w:after="60" w:line="200" w:lineRule="exact"/>
              <w:ind w:right="57"/>
              <w:jc w:val="right"/>
              <w:rPr>
                <w:rFonts w:ascii="KaiTi_GB2312" w:eastAsia="KaiTi_GB2312"/>
                <w:bCs/>
                <w:sz w:val="15"/>
              </w:rPr>
            </w:pPr>
            <w:r w:rsidRPr="00DF1DAE">
              <w:rPr>
                <w:rFonts w:ascii="KaiTi_GB2312" w:eastAsia="KaiTi_GB2312" w:hAnsi="SimSun"/>
                <w:bCs/>
                <w:sz w:val="15"/>
              </w:rPr>
              <w:t>共计</w:t>
            </w:r>
          </w:p>
        </w:tc>
      </w:tr>
      <w:tr w:rsidR="008479E5" w:rsidRPr="00DF1DAE" w:rsidTr="001C2EF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479E5" w:rsidRPr="00DF1DAE" w:rsidRDefault="008479E5" w:rsidP="001C2EF2">
            <w:pPr>
              <w:suppressAutoHyphens/>
              <w:spacing w:after="60" w:line="280" w:lineRule="exact"/>
              <w:ind w:right="57"/>
              <w:rPr>
                <w:rFonts w:hAnsi="SimSun"/>
                <w:sz w:val="17"/>
              </w:rPr>
            </w:pPr>
          </w:p>
        </w:tc>
        <w:tc>
          <w:tcPr>
            <w:tcW w:w="1830" w:type="dxa"/>
            <w:tcBorders>
              <w:top w:val="single" w:sz="12" w:space="0" w:color="auto"/>
            </w:tcBorders>
            <w:shd w:val="clear" w:color="auto" w:fill="auto"/>
            <w:vAlign w:val="bottom"/>
          </w:tcPr>
          <w:p w:rsidR="008479E5" w:rsidRPr="00DF1DAE" w:rsidRDefault="008479E5" w:rsidP="001C2EF2">
            <w:pPr>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8479E5" w:rsidRPr="00DF1DAE" w:rsidRDefault="008479E5" w:rsidP="001C2EF2">
            <w:pPr>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8479E5" w:rsidRPr="00DF1DAE" w:rsidRDefault="008479E5" w:rsidP="001C2EF2">
            <w:pPr>
              <w:suppressAutoHyphens/>
              <w:spacing w:after="60" w:line="280" w:lineRule="exact"/>
              <w:ind w:right="57"/>
              <w:jc w:val="right"/>
              <w:rPr>
                <w:sz w:val="17"/>
              </w:rPr>
            </w:pPr>
          </w:p>
        </w:tc>
      </w:tr>
      <w:tr w:rsidR="008479E5" w:rsidRPr="00DF1DAE" w:rsidTr="001C2EF2">
        <w:tblPrEx>
          <w:tblCellMar>
            <w:top w:w="0" w:type="dxa"/>
            <w:bottom w:w="0" w:type="dxa"/>
          </w:tblCellMar>
        </w:tblPrEx>
        <w:tc>
          <w:tcPr>
            <w:tcW w:w="183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rPr>
                <w:sz w:val="17"/>
              </w:rPr>
            </w:pPr>
            <w:r w:rsidRPr="00DF1DAE">
              <w:rPr>
                <w:rFonts w:hAnsi="SimSun"/>
                <w:sz w:val="17"/>
              </w:rPr>
              <w:t>参议院参议员</w:t>
            </w:r>
          </w:p>
        </w:tc>
        <w:tc>
          <w:tcPr>
            <w:tcW w:w="183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5</w:t>
            </w:r>
          </w:p>
        </w:tc>
        <w:tc>
          <w:tcPr>
            <w:tcW w:w="183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10</w:t>
            </w:r>
          </w:p>
        </w:tc>
        <w:tc>
          <w:tcPr>
            <w:tcW w:w="1830" w:type="dxa"/>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15</w:t>
            </w:r>
          </w:p>
        </w:tc>
      </w:tr>
      <w:tr w:rsidR="008479E5" w:rsidRPr="00DF1DAE" w:rsidTr="001C2EF2">
        <w:tblPrEx>
          <w:tblCellMar>
            <w:top w:w="0" w:type="dxa"/>
            <w:bottom w:w="0" w:type="dxa"/>
          </w:tblCellMar>
        </w:tblPrEx>
        <w:tc>
          <w:tcPr>
            <w:tcW w:w="1830" w:type="dxa"/>
            <w:tcBorders>
              <w:bottom w:val="single" w:sz="4"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rPr>
                <w:sz w:val="17"/>
              </w:rPr>
            </w:pPr>
            <w:r w:rsidRPr="00DF1DAE">
              <w:rPr>
                <w:rFonts w:hAnsi="SimSun"/>
                <w:sz w:val="17"/>
              </w:rPr>
              <w:t>众议院议员</w:t>
            </w:r>
          </w:p>
        </w:tc>
        <w:tc>
          <w:tcPr>
            <w:tcW w:w="1830" w:type="dxa"/>
            <w:tcBorders>
              <w:bottom w:val="single" w:sz="4"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5</w:t>
            </w:r>
          </w:p>
        </w:tc>
        <w:tc>
          <w:tcPr>
            <w:tcW w:w="1830" w:type="dxa"/>
            <w:tcBorders>
              <w:bottom w:val="single" w:sz="4"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36</w:t>
            </w:r>
          </w:p>
        </w:tc>
        <w:tc>
          <w:tcPr>
            <w:tcW w:w="1830" w:type="dxa"/>
            <w:tcBorders>
              <w:bottom w:val="single" w:sz="4"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41</w:t>
            </w:r>
          </w:p>
        </w:tc>
      </w:tr>
      <w:tr w:rsidR="008479E5" w:rsidRPr="00542819" w:rsidTr="001C2EF2">
        <w:tblPrEx>
          <w:tblCellMar>
            <w:top w:w="0" w:type="dxa"/>
            <w:bottom w:w="0" w:type="dxa"/>
          </w:tblCellMar>
        </w:tblPrEx>
        <w:tc>
          <w:tcPr>
            <w:tcW w:w="1830" w:type="dxa"/>
            <w:tcBorders>
              <w:top w:val="single" w:sz="4" w:space="0" w:color="auto"/>
              <w:bottom w:val="single" w:sz="4" w:space="0" w:color="auto"/>
            </w:tcBorders>
            <w:shd w:val="clear" w:color="auto" w:fill="auto"/>
            <w:vAlign w:val="bottom"/>
          </w:tcPr>
          <w:p w:rsidR="008479E5" w:rsidRPr="00542819" w:rsidRDefault="008479E5" w:rsidP="001C2EF2">
            <w:pPr>
              <w:tabs>
                <w:tab w:val="left" w:pos="334"/>
                <w:tab w:val="left" w:pos="669"/>
                <w:tab w:val="left" w:pos="1003"/>
                <w:tab w:val="left" w:pos="1338"/>
              </w:tabs>
              <w:suppressAutoHyphens/>
              <w:spacing w:before="80" w:after="80" w:line="280" w:lineRule="exact"/>
              <w:ind w:right="57"/>
              <w:rPr>
                <w:rFonts w:ascii="SimHei" w:eastAsia="SimHei"/>
                <w:b/>
                <w:sz w:val="17"/>
              </w:rPr>
            </w:pPr>
            <w:r w:rsidRPr="00542819">
              <w:rPr>
                <w:rFonts w:ascii="SimHei" w:eastAsia="SimHei" w:hAnsi="SimSun"/>
                <w:b/>
                <w:sz w:val="17"/>
              </w:rPr>
              <w:tab/>
              <w:t>共计</w:t>
            </w:r>
          </w:p>
        </w:tc>
        <w:tc>
          <w:tcPr>
            <w:tcW w:w="1830" w:type="dxa"/>
            <w:tcBorders>
              <w:top w:val="single" w:sz="4" w:space="0" w:color="auto"/>
              <w:bottom w:val="single" w:sz="4" w:space="0" w:color="auto"/>
            </w:tcBorders>
            <w:shd w:val="clear" w:color="auto" w:fill="auto"/>
            <w:vAlign w:val="bottom"/>
          </w:tcPr>
          <w:p w:rsidR="008479E5" w:rsidRPr="00542819" w:rsidRDefault="008479E5" w:rsidP="001C2EF2">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542819">
              <w:rPr>
                <w:rFonts w:ascii="SimHei" w:eastAsia="SimHei"/>
                <w:b/>
                <w:sz w:val="17"/>
              </w:rPr>
              <w:t>10</w:t>
            </w:r>
          </w:p>
        </w:tc>
        <w:tc>
          <w:tcPr>
            <w:tcW w:w="1830" w:type="dxa"/>
            <w:tcBorders>
              <w:top w:val="single" w:sz="4" w:space="0" w:color="auto"/>
              <w:bottom w:val="single" w:sz="4" w:space="0" w:color="auto"/>
            </w:tcBorders>
            <w:shd w:val="clear" w:color="auto" w:fill="auto"/>
            <w:vAlign w:val="bottom"/>
          </w:tcPr>
          <w:p w:rsidR="008479E5" w:rsidRPr="00542819" w:rsidRDefault="008479E5" w:rsidP="001C2EF2">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542819">
              <w:rPr>
                <w:rFonts w:ascii="SimHei" w:eastAsia="SimHei"/>
                <w:b/>
                <w:sz w:val="17"/>
              </w:rPr>
              <w:t>46</w:t>
            </w:r>
          </w:p>
        </w:tc>
        <w:tc>
          <w:tcPr>
            <w:tcW w:w="1830" w:type="dxa"/>
            <w:tcBorders>
              <w:top w:val="single" w:sz="4" w:space="0" w:color="auto"/>
              <w:bottom w:val="single" w:sz="4" w:space="0" w:color="auto"/>
            </w:tcBorders>
            <w:shd w:val="clear" w:color="auto" w:fill="auto"/>
            <w:vAlign w:val="bottom"/>
          </w:tcPr>
          <w:p w:rsidR="008479E5" w:rsidRPr="00542819" w:rsidRDefault="008479E5" w:rsidP="001C2EF2">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542819">
              <w:rPr>
                <w:rFonts w:ascii="SimHei" w:eastAsia="SimHei"/>
                <w:b/>
                <w:sz w:val="17"/>
              </w:rPr>
              <w:t>56</w:t>
            </w:r>
          </w:p>
        </w:tc>
      </w:tr>
      <w:tr w:rsidR="008479E5" w:rsidRPr="00DF1DAE" w:rsidTr="001C2EF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rPr>
                <w:sz w:val="17"/>
              </w:rPr>
            </w:pPr>
            <w:r w:rsidRPr="00DF1DAE">
              <w:rPr>
                <w:rFonts w:hAnsi="SimSun"/>
                <w:sz w:val="17"/>
              </w:rPr>
              <w:t>内阁成员</w:t>
            </w:r>
          </w:p>
        </w:tc>
        <w:tc>
          <w:tcPr>
            <w:tcW w:w="1830" w:type="dxa"/>
            <w:tcBorders>
              <w:top w:val="single" w:sz="4" w:space="0" w:color="auto"/>
              <w:bottom w:val="single" w:sz="12"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1</w:t>
            </w:r>
          </w:p>
        </w:tc>
        <w:tc>
          <w:tcPr>
            <w:tcW w:w="1830" w:type="dxa"/>
            <w:tcBorders>
              <w:top w:val="single" w:sz="4" w:space="0" w:color="auto"/>
              <w:bottom w:val="single" w:sz="12"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16</w:t>
            </w:r>
          </w:p>
        </w:tc>
        <w:tc>
          <w:tcPr>
            <w:tcW w:w="1830" w:type="dxa"/>
            <w:tcBorders>
              <w:top w:val="single" w:sz="4" w:space="0" w:color="auto"/>
              <w:bottom w:val="single" w:sz="12" w:space="0" w:color="auto"/>
            </w:tcBorders>
            <w:shd w:val="clear" w:color="auto" w:fill="auto"/>
            <w:vAlign w:val="bottom"/>
          </w:tcPr>
          <w:p w:rsidR="008479E5" w:rsidRPr="00DF1DAE" w:rsidRDefault="008479E5" w:rsidP="001C2EF2">
            <w:pPr>
              <w:tabs>
                <w:tab w:val="left" w:pos="334"/>
                <w:tab w:val="left" w:pos="669"/>
                <w:tab w:val="left" w:pos="1003"/>
                <w:tab w:val="left" w:pos="1338"/>
              </w:tabs>
              <w:suppressAutoHyphens/>
              <w:spacing w:after="60" w:line="280" w:lineRule="exact"/>
              <w:ind w:right="57"/>
              <w:jc w:val="right"/>
              <w:rPr>
                <w:sz w:val="17"/>
              </w:rPr>
            </w:pPr>
            <w:r w:rsidRPr="00DF1DAE">
              <w:rPr>
                <w:sz w:val="17"/>
              </w:rPr>
              <w:t>17</w:t>
            </w:r>
          </w:p>
        </w:tc>
      </w:tr>
    </w:tbl>
    <w:p w:rsidR="008479E5" w:rsidRPr="00E35E4D" w:rsidRDefault="008479E5" w:rsidP="008479E5">
      <w:pPr>
        <w:pStyle w:val="SingleTxt"/>
        <w:spacing w:after="0" w:line="120" w:lineRule="exact"/>
        <w:rPr>
          <w:rFonts w:hint="eastAsia"/>
          <w:sz w:val="10"/>
        </w:rPr>
      </w:pPr>
    </w:p>
    <w:p w:rsidR="008479E5" w:rsidRPr="00DF1DAE" w:rsidRDefault="008479E5" w:rsidP="008479E5">
      <w:pPr>
        <w:pStyle w:val="SingleTxt"/>
      </w:pPr>
      <w:r w:rsidRPr="00DF1DAE">
        <w:rPr>
          <w:rFonts w:hint="eastAsia"/>
        </w:rPr>
        <w:t>表10</w:t>
      </w:r>
      <w:r>
        <w:br/>
      </w:r>
      <w:r w:rsidRPr="00DF1DAE">
        <w:rPr>
          <w:rFonts w:ascii="SimHei" w:eastAsia="SimHei" w:hint="eastAsia"/>
        </w:rPr>
        <w:t>按职务排列的妇女担任众议院关键职务情况，2010年</w:t>
      </w:r>
    </w:p>
    <w:p w:rsidR="008479E5" w:rsidRPr="00DF1DAE" w:rsidRDefault="008479E5" w:rsidP="008479E5">
      <w:pPr>
        <w:spacing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479E5" w:rsidRPr="00542819" w:rsidTr="001C2EF2">
        <w:tblPrEx>
          <w:tblCellMar>
            <w:top w:w="0" w:type="dxa"/>
            <w:bottom w:w="0" w:type="dxa"/>
          </w:tblCellMar>
        </w:tblPrEx>
        <w:trPr>
          <w:tblHeader/>
        </w:trPr>
        <w:tc>
          <w:tcPr>
            <w:tcW w:w="1830" w:type="dxa"/>
            <w:tcBorders>
              <w:top w:val="single" w:sz="4" w:space="0" w:color="auto"/>
            </w:tcBorders>
            <w:shd w:val="clear" w:color="auto" w:fill="auto"/>
            <w:vAlign w:val="bottom"/>
          </w:tcPr>
          <w:p w:rsidR="008479E5" w:rsidRPr="00542819" w:rsidRDefault="008479E5" w:rsidP="001C2EF2">
            <w:pPr>
              <w:suppressAutoHyphens/>
              <w:spacing w:before="60" w:after="60" w:line="200" w:lineRule="exact"/>
              <w:ind w:right="57"/>
              <w:rPr>
                <w:rFonts w:ascii="KaiTi_GB2312" w:eastAsia="KaiTi_GB2312"/>
                <w:bCs/>
                <w:sz w:val="15"/>
              </w:rPr>
            </w:pPr>
          </w:p>
        </w:tc>
        <w:tc>
          <w:tcPr>
            <w:tcW w:w="1830" w:type="dxa"/>
            <w:tcBorders>
              <w:top w:val="single" w:sz="4" w:space="0" w:color="auto"/>
            </w:tcBorders>
            <w:shd w:val="clear" w:color="auto" w:fill="auto"/>
            <w:vAlign w:val="bottom"/>
          </w:tcPr>
          <w:p w:rsidR="008479E5" w:rsidRPr="00542819" w:rsidRDefault="008479E5" w:rsidP="001C2EF2">
            <w:pPr>
              <w:suppressAutoHyphens/>
              <w:spacing w:before="60" w:after="60" w:line="200" w:lineRule="exact"/>
              <w:ind w:right="57"/>
              <w:jc w:val="right"/>
              <w:rPr>
                <w:rFonts w:ascii="KaiTi_GB2312" w:eastAsia="KaiTi_GB2312"/>
                <w:bCs/>
                <w:sz w:val="15"/>
              </w:rPr>
            </w:pPr>
            <w:r w:rsidRPr="00542819">
              <w:rPr>
                <w:rFonts w:ascii="KaiTi_GB2312" w:eastAsia="KaiTi_GB2312"/>
                <w:bCs/>
                <w:sz w:val="15"/>
              </w:rPr>
              <w:t>2010</w:t>
            </w:r>
            <w:r w:rsidRPr="00542819">
              <w:rPr>
                <w:rFonts w:ascii="KaiTi_GB2312" w:eastAsia="KaiTi_GB2312" w:hAnsi="SimSun"/>
                <w:bCs/>
                <w:sz w:val="15"/>
              </w:rPr>
              <w:t>年</w:t>
            </w:r>
          </w:p>
        </w:tc>
        <w:tc>
          <w:tcPr>
            <w:tcW w:w="1830" w:type="dxa"/>
            <w:tcBorders>
              <w:top w:val="single" w:sz="4" w:space="0" w:color="auto"/>
            </w:tcBorders>
            <w:shd w:val="clear" w:color="auto" w:fill="auto"/>
            <w:vAlign w:val="bottom"/>
          </w:tcPr>
          <w:p w:rsidR="008479E5" w:rsidRPr="00542819" w:rsidRDefault="008479E5" w:rsidP="001C2EF2">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c>
          <w:tcPr>
            <w:tcW w:w="1830" w:type="dxa"/>
            <w:tcBorders>
              <w:top w:val="single" w:sz="4" w:space="0" w:color="auto"/>
            </w:tcBorders>
            <w:shd w:val="clear" w:color="auto" w:fill="auto"/>
            <w:vAlign w:val="bottom"/>
          </w:tcPr>
          <w:p w:rsidR="008479E5" w:rsidRPr="00542819" w:rsidRDefault="008479E5" w:rsidP="001C2EF2">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r>
      <w:tr w:rsidR="008479E5" w:rsidRPr="00542819" w:rsidTr="001C2EF2">
        <w:tblPrEx>
          <w:tblCellMar>
            <w:top w:w="0" w:type="dxa"/>
            <w:bottom w:w="0" w:type="dxa"/>
          </w:tblCellMar>
        </w:tblPrEx>
        <w:trPr>
          <w:tblHeader/>
        </w:trPr>
        <w:tc>
          <w:tcPr>
            <w:tcW w:w="1830" w:type="dxa"/>
            <w:tcBorders>
              <w:bottom w:val="single" w:sz="12" w:space="0" w:color="auto"/>
            </w:tcBorders>
            <w:shd w:val="clear" w:color="auto" w:fill="auto"/>
            <w:vAlign w:val="bottom"/>
          </w:tcPr>
          <w:p w:rsidR="008479E5" w:rsidRPr="00542819" w:rsidRDefault="00BD7959" w:rsidP="001C2EF2">
            <w:pPr>
              <w:tabs>
                <w:tab w:val="left" w:pos="360"/>
                <w:tab w:val="left" w:pos="720"/>
                <w:tab w:val="left" w:pos="1080"/>
                <w:tab w:val="left" w:pos="1440"/>
              </w:tabs>
              <w:suppressAutoHyphens/>
              <w:spacing w:after="60" w:line="200" w:lineRule="exact"/>
              <w:ind w:right="57"/>
              <w:rPr>
                <w:rFonts w:ascii="KaiTi_GB2312" w:eastAsia="KaiTi_GB2312"/>
                <w:sz w:val="15"/>
              </w:rPr>
            </w:pPr>
            <w:r w:rsidRPr="00542819">
              <w:rPr>
                <w:rFonts w:ascii="KaiTi_GB2312" w:eastAsia="KaiTi_GB2312" w:hAnsi="SimSun"/>
                <w:bCs/>
                <w:sz w:val="15"/>
              </w:rPr>
              <w:t>职务</w:t>
            </w:r>
          </w:p>
        </w:tc>
        <w:tc>
          <w:tcPr>
            <w:tcW w:w="1830" w:type="dxa"/>
            <w:tcBorders>
              <w:bottom w:val="single" w:sz="12" w:space="0" w:color="auto"/>
            </w:tcBorders>
            <w:shd w:val="clear" w:color="auto" w:fill="auto"/>
            <w:vAlign w:val="bottom"/>
          </w:tcPr>
          <w:p w:rsidR="008479E5" w:rsidRPr="00542819" w:rsidRDefault="008479E5" w:rsidP="001C2EF2">
            <w:pPr>
              <w:suppressAutoHyphens/>
              <w:spacing w:after="60" w:line="200" w:lineRule="exact"/>
              <w:ind w:right="57"/>
              <w:jc w:val="right"/>
              <w:rPr>
                <w:rFonts w:ascii="KaiTi_GB2312" w:eastAsia="KaiTi_GB2312"/>
                <w:bCs/>
                <w:sz w:val="15"/>
              </w:rPr>
            </w:pPr>
            <w:r w:rsidRPr="00542819">
              <w:rPr>
                <w:rFonts w:ascii="KaiTi_GB2312" w:eastAsia="KaiTi_GB2312" w:hAnsi="SimSun"/>
                <w:bCs/>
                <w:sz w:val="15"/>
              </w:rPr>
              <w:t>妇女</w:t>
            </w:r>
          </w:p>
        </w:tc>
        <w:tc>
          <w:tcPr>
            <w:tcW w:w="1830" w:type="dxa"/>
            <w:tcBorders>
              <w:bottom w:val="single" w:sz="12" w:space="0" w:color="auto"/>
            </w:tcBorders>
            <w:shd w:val="clear" w:color="auto" w:fill="auto"/>
            <w:vAlign w:val="bottom"/>
          </w:tcPr>
          <w:p w:rsidR="008479E5" w:rsidRPr="00542819" w:rsidRDefault="008479E5" w:rsidP="001C2EF2">
            <w:pPr>
              <w:suppressAutoHyphens/>
              <w:spacing w:after="60" w:line="200" w:lineRule="exact"/>
              <w:ind w:right="57"/>
              <w:jc w:val="right"/>
              <w:rPr>
                <w:rFonts w:ascii="KaiTi_GB2312" w:eastAsia="KaiTi_GB2312"/>
                <w:bCs/>
                <w:sz w:val="15"/>
              </w:rPr>
            </w:pPr>
            <w:r w:rsidRPr="00542819">
              <w:rPr>
                <w:rFonts w:ascii="KaiTi_GB2312" w:eastAsia="KaiTi_GB2312" w:hAnsi="SimSun"/>
                <w:bCs/>
                <w:sz w:val="15"/>
              </w:rPr>
              <w:t>男子</w:t>
            </w:r>
          </w:p>
        </w:tc>
        <w:tc>
          <w:tcPr>
            <w:tcW w:w="1830" w:type="dxa"/>
            <w:tcBorders>
              <w:bottom w:val="single" w:sz="12" w:space="0" w:color="auto"/>
            </w:tcBorders>
            <w:shd w:val="clear" w:color="auto" w:fill="auto"/>
            <w:vAlign w:val="bottom"/>
          </w:tcPr>
          <w:p w:rsidR="008479E5" w:rsidRPr="00542819" w:rsidRDefault="008479E5" w:rsidP="001C2EF2">
            <w:pPr>
              <w:suppressAutoHyphens/>
              <w:spacing w:after="60" w:line="200" w:lineRule="exact"/>
              <w:ind w:right="57"/>
              <w:jc w:val="right"/>
              <w:rPr>
                <w:rFonts w:ascii="KaiTi_GB2312" w:eastAsia="KaiTi_GB2312"/>
                <w:bCs/>
                <w:sz w:val="15"/>
              </w:rPr>
            </w:pPr>
            <w:r w:rsidRPr="00542819">
              <w:rPr>
                <w:rFonts w:ascii="KaiTi_GB2312" w:eastAsia="KaiTi_GB2312" w:hAnsi="SimSun"/>
                <w:bCs/>
                <w:sz w:val="15"/>
              </w:rPr>
              <w:t>共计</w:t>
            </w:r>
          </w:p>
        </w:tc>
      </w:tr>
      <w:tr w:rsidR="008479E5" w:rsidRPr="00542819" w:rsidTr="001C2EF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479E5" w:rsidRPr="00542819" w:rsidRDefault="008479E5" w:rsidP="001C2EF2">
            <w:pPr>
              <w:suppressAutoHyphens/>
              <w:spacing w:after="60" w:line="280" w:lineRule="exact"/>
              <w:ind w:right="57"/>
              <w:rPr>
                <w:bCs/>
                <w:sz w:val="17"/>
              </w:rPr>
            </w:pPr>
          </w:p>
        </w:tc>
        <w:tc>
          <w:tcPr>
            <w:tcW w:w="1830" w:type="dxa"/>
            <w:tcBorders>
              <w:top w:val="single" w:sz="12" w:space="0" w:color="auto"/>
            </w:tcBorders>
            <w:shd w:val="clear" w:color="auto" w:fill="auto"/>
            <w:vAlign w:val="bottom"/>
          </w:tcPr>
          <w:p w:rsidR="008479E5" w:rsidRPr="00542819" w:rsidRDefault="008479E5" w:rsidP="001C2EF2">
            <w:pPr>
              <w:suppressAutoHyphens/>
              <w:spacing w:after="60" w:line="280" w:lineRule="exact"/>
              <w:ind w:right="57"/>
              <w:jc w:val="right"/>
              <w:rPr>
                <w:bCs/>
                <w:sz w:val="17"/>
              </w:rPr>
            </w:pPr>
          </w:p>
        </w:tc>
        <w:tc>
          <w:tcPr>
            <w:tcW w:w="1830" w:type="dxa"/>
            <w:tcBorders>
              <w:top w:val="single" w:sz="12" w:space="0" w:color="auto"/>
            </w:tcBorders>
            <w:shd w:val="clear" w:color="auto" w:fill="auto"/>
            <w:vAlign w:val="bottom"/>
          </w:tcPr>
          <w:p w:rsidR="008479E5" w:rsidRPr="00542819" w:rsidRDefault="008479E5" w:rsidP="001C2EF2">
            <w:pPr>
              <w:tabs>
                <w:tab w:val="left" w:pos="360"/>
                <w:tab w:val="left" w:pos="720"/>
                <w:tab w:val="left" w:pos="1080"/>
                <w:tab w:val="left" w:pos="1440"/>
              </w:tabs>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8479E5" w:rsidRPr="00542819" w:rsidRDefault="008479E5" w:rsidP="001C2EF2">
            <w:pPr>
              <w:tabs>
                <w:tab w:val="left" w:pos="360"/>
                <w:tab w:val="left" w:pos="720"/>
                <w:tab w:val="left" w:pos="1080"/>
                <w:tab w:val="left" w:pos="1440"/>
              </w:tabs>
              <w:suppressAutoHyphens/>
              <w:spacing w:after="60" w:line="280" w:lineRule="exact"/>
              <w:ind w:right="57"/>
              <w:jc w:val="right"/>
              <w:rPr>
                <w:sz w:val="17"/>
              </w:rPr>
            </w:pPr>
          </w:p>
        </w:tc>
      </w:tr>
      <w:tr w:rsidR="008479E5" w:rsidRPr="00542819" w:rsidTr="001C2EF2">
        <w:tblPrEx>
          <w:tblCellMar>
            <w:top w:w="0" w:type="dxa"/>
            <w:bottom w:w="0" w:type="dxa"/>
          </w:tblCellMar>
        </w:tblPrEx>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rPr>
                <w:sz w:val="17"/>
              </w:rPr>
            </w:pPr>
            <w:r w:rsidRPr="00542819">
              <w:rPr>
                <w:rFonts w:hAnsi="SimSun"/>
                <w:sz w:val="17"/>
              </w:rPr>
              <w:t>总理</w:t>
            </w:r>
          </w:p>
        </w:tc>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0</w:t>
            </w:r>
          </w:p>
        </w:tc>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1</w:t>
            </w:r>
          </w:p>
        </w:tc>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1</w:t>
            </w:r>
          </w:p>
        </w:tc>
      </w:tr>
      <w:tr w:rsidR="008479E5" w:rsidRPr="00542819" w:rsidTr="001C2EF2">
        <w:tblPrEx>
          <w:tblCellMar>
            <w:top w:w="0" w:type="dxa"/>
            <w:bottom w:w="0" w:type="dxa"/>
          </w:tblCellMar>
        </w:tblPrEx>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rPr>
                <w:sz w:val="17"/>
              </w:rPr>
            </w:pPr>
            <w:r w:rsidRPr="00542819">
              <w:rPr>
                <w:rFonts w:hAnsi="SimSun"/>
                <w:sz w:val="17"/>
              </w:rPr>
              <w:t>司法部长</w:t>
            </w:r>
          </w:p>
        </w:tc>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0</w:t>
            </w:r>
          </w:p>
        </w:tc>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1</w:t>
            </w:r>
          </w:p>
        </w:tc>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1</w:t>
            </w:r>
          </w:p>
        </w:tc>
      </w:tr>
      <w:tr w:rsidR="008479E5" w:rsidRPr="00542819" w:rsidTr="001C2EF2">
        <w:tblPrEx>
          <w:tblCellMar>
            <w:top w:w="0" w:type="dxa"/>
            <w:bottom w:w="0" w:type="dxa"/>
          </w:tblCellMar>
        </w:tblPrEx>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rPr>
                <w:sz w:val="17"/>
              </w:rPr>
            </w:pPr>
            <w:r w:rsidRPr="00542819">
              <w:rPr>
                <w:rFonts w:hAnsi="SimSun"/>
                <w:sz w:val="17"/>
              </w:rPr>
              <w:t>其他部长</w:t>
            </w:r>
          </w:p>
        </w:tc>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1</w:t>
            </w:r>
          </w:p>
        </w:tc>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16</w:t>
            </w:r>
          </w:p>
        </w:tc>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17</w:t>
            </w:r>
          </w:p>
        </w:tc>
      </w:tr>
      <w:tr w:rsidR="008479E5" w:rsidRPr="00542819" w:rsidTr="001C2EF2">
        <w:tblPrEx>
          <w:tblCellMar>
            <w:top w:w="0" w:type="dxa"/>
            <w:bottom w:w="0" w:type="dxa"/>
          </w:tblCellMar>
        </w:tblPrEx>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rPr>
                <w:sz w:val="17"/>
              </w:rPr>
            </w:pPr>
            <w:r w:rsidRPr="00542819">
              <w:rPr>
                <w:rFonts w:hAnsi="SimSun"/>
                <w:sz w:val="17"/>
              </w:rPr>
              <w:t>反对派领袖</w:t>
            </w:r>
          </w:p>
        </w:tc>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0</w:t>
            </w:r>
          </w:p>
        </w:tc>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1</w:t>
            </w:r>
          </w:p>
        </w:tc>
        <w:tc>
          <w:tcPr>
            <w:tcW w:w="1830" w:type="dxa"/>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1</w:t>
            </w:r>
          </w:p>
        </w:tc>
      </w:tr>
      <w:tr w:rsidR="008479E5" w:rsidRPr="00542819" w:rsidTr="001C2EF2">
        <w:tblPrEx>
          <w:tblCellMar>
            <w:top w:w="0" w:type="dxa"/>
            <w:bottom w:w="0" w:type="dxa"/>
          </w:tblCellMar>
        </w:tblPrEx>
        <w:tc>
          <w:tcPr>
            <w:tcW w:w="1830" w:type="dxa"/>
            <w:tcBorders>
              <w:bottom w:val="single" w:sz="4" w:space="0" w:color="auto"/>
            </w:tcBorders>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rPr>
                <w:sz w:val="17"/>
              </w:rPr>
            </w:pPr>
            <w:r w:rsidRPr="00542819">
              <w:rPr>
                <w:rFonts w:hAnsi="SimSun"/>
                <w:sz w:val="17"/>
              </w:rPr>
              <w:t>众议院议长</w:t>
            </w:r>
          </w:p>
        </w:tc>
        <w:tc>
          <w:tcPr>
            <w:tcW w:w="1830" w:type="dxa"/>
            <w:tcBorders>
              <w:bottom w:val="single" w:sz="4" w:space="0" w:color="auto"/>
            </w:tcBorders>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0</w:t>
            </w:r>
          </w:p>
        </w:tc>
        <w:tc>
          <w:tcPr>
            <w:tcW w:w="1830" w:type="dxa"/>
            <w:tcBorders>
              <w:bottom w:val="single" w:sz="4" w:space="0" w:color="auto"/>
            </w:tcBorders>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1</w:t>
            </w:r>
          </w:p>
        </w:tc>
        <w:tc>
          <w:tcPr>
            <w:tcW w:w="1830" w:type="dxa"/>
            <w:tcBorders>
              <w:bottom w:val="single" w:sz="4" w:space="0" w:color="auto"/>
            </w:tcBorders>
            <w:shd w:val="clear" w:color="auto" w:fill="auto"/>
            <w:vAlign w:val="bottom"/>
          </w:tcPr>
          <w:p w:rsidR="008479E5" w:rsidRPr="00542819" w:rsidRDefault="008479E5" w:rsidP="00BD7959">
            <w:pPr>
              <w:tabs>
                <w:tab w:val="left" w:pos="334"/>
                <w:tab w:val="left" w:pos="669"/>
                <w:tab w:val="left" w:pos="1003"/>
                <w:tab w:val="left" w:pos="1338"/>
              </w:tabs>
              <w:suppressAutoHyphens/>
              <w:spacing w:after="60" w:line="270" w:lineRule="exact"/>
              <w:ind w:right="57"/>
              <w:jc w:val="right"/>
              <w:rPr>
                <w:sz w:val="17"/>
              </w:rPr>
            </w:pPr>
            <w:r w:rsidRPr="00542819">
              <w:rPr>
                <w:sz w:val="17"/>
              </w:rPr>
              <w:t>1</w:t>
            </w:r>
          </w:p>
        </w:tc>
      </w:tr>
      <w:tr w:rsidR="008479E5" w:rsidRPr="00542819" w:rsidTr="001C2EF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8479E5" w:rsidRPr="00542819" w:rsidRDefault="008479E5" w:rsidP="001C2EF2">
            <w:pPr>
              <w:tabs>
                <w:tab w:val="left" w:pos="334"/>
                <w:tab w:val="left" w:pos="669"/>
                <w:tab w:val="left" w:pos="1003"/>
                <w:tab w:val="left" w:pos="1338"/>
              </w:tabs>
              <w:suppressAutoHyphens/>
              <w:spacing w:before="80" w:after="80" w:line="280" w:lineRule="exact"/>
              <w:ind w:right="57"/>
              <w:rPr>
                <w:rFonts w:ascii="SimHei" w:eastAsia="SimHei"/>
                <w:b/>
                <w:bCs/>
                <w:sz w:val="17"/>
              </w:rPr>
            </w:pPr>
            <w:r w:rsidRPr="00542819">
              <w:rPr>
                <w:rFonts w:ascii="SimHei" w:eastAsia="SimHei" w:hAnsi="SimSun"/>
                <w:b/>
                <w:bCs/>
                <w:sz w:val="17"/>
              </w:rPr>
              <w:tab/>
              <w:t>共计</w:t>
            </w:r>
          </w:p>
        </w:tc>
        <w:tc>
          <w:tcPr>
            <w:tcW w:w="1830" w:type="dxa"/>
            <w:tcBorders>
              <w:top w:val="single" w:sz="4" w:space="0" w:color="auto"/>
              <w:bottom w:val="single" w:sz="12" w:space="0" w:color="auto"/>
            </w:tcBorders>
            <w:shd w:val="clear" w:color="auto" w:fill="auto"/>
            <w:vAlign w:val="bottom"/>
          </w:tcPr>
          <w:p w:rsidR="008479E5" w:rsidRPr="00542819" w:rsidRDefault="008479E5" w:rsidP="001C2EF2">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542819">
              <w:rPr>
                <w:rFonts w:ascii="SimHei" w:eastAsia="SimHei"/>
                <w:b/>
                <w:sz w:val="17"/>
              </w:rPr>
              <w:t>1</w:t>
            </w:r>
          </w:p>
        </w:tc>
        <w:tc>
          <w:tcPr>
            <w:tcW w:w="1830" w:type="dxa"/>
            <w:tcBorders>
              <w:top w:val="single" w:sz="4" w:space="0" w:color="auto"/>
              <w:bottom w:val="single" w:sz="12" w:space="0" w:color="auto"/>
            </w:tcBorders>
            <w:shd w:val="clear" w:color="auto" w:fill="auto"/>
            <w:vAlign w:val="bottom"/>
          </w:tcPr>
          <w:p w:rsidR="008479E5" w:rsidRPr="00542819" w:rsidRDefault="008479E5" w:rsidP="001C2EF2">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542819">
              <w:rPr>
                <w:rFonts w:ascii="SimHei" w:eastAsia="SimHei"/>
                <w:b/>
                <w:sz w:val="17"/>
              </w:rPr>
              <w:t>20</w:t>
            </w:r>
          </w:p>
        </w:tc>
        <w:tc>
          <w:tcPr>
            <w:tcW w:w="1830" w:type="dxa"/>
            <w:tcBorders>
              <w:top w:val="single" w:sz="4" w:space="0" w:color="auto"/>
              <w:bottom w:val="single" w:sz="12" w:space="0" w:color="auto"/>
            </w:tcBorders>
            <w:shd w:val="clear" w:color="auto" w:fill="auto"/>
            <w:vAlign w:val="bottom"/>
          </w:tcPr>
          <w:p w:rsidR="008479E5" w:rsidRPr="00542819" w:rsidRDefault="008479E5" w:rsidP="001C2EF2">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542819">
              <w:rPr>
                <w:rFonts w:ascii="SimHei" w:eastAsia="SimHei"/>
                <w:b/>
                <w:sz w:val="17"/>
              </w:rPr>
              <w:t>21</w:t>
            </w:r>
          </w:p>
        </w:tc>
      </w:tr>
    </w:tbl>
    <w:p w:rsidR="008479E5" w:rsidRDefault="008479E5" w:rsidP="008479E5">
      <w:pPr>
        <w:pStyle w:val="SingleTxt"/>
        <w:rPr>
          <w:rFonts w:hint="eastAsia"/>
        </w:rPr>
      </w:pPr>
      <w:r w:rsidRPr="00542819">
        <w:rPr>
          <w:rFonts w:ascii="SimHei" w:eastAsia="SimHei" w:hint="eastAsia"/>
        </w:rPr>
        <w:t>阻碍妇女参与政治的因素</w:t>
      </w:r>
    </w:p>
    <w:p w:rsidR="008479E5" w:rsidRDefault="008479E5" w:rsidP="008479E5">
      <w:pPr>
        <w:pStyle w:val="SingleTxt"/>
        <w:rPr>
          <w:rFonts w:hint="eastAsia"/>
        </w:rPr>
      </w:pPr>
      <w:r>
        <w:rPr>
          <w:rFonts w:hint="eastAsia"/>
        </w:rPr>
        <w:t>67.</w:t>
      </w:r>
      <w:r>
        <w:rPr>
          <w:rFonts w:hint="eastAsia"/>
        </w:rPr>
        <w:tab/>
        <w:t>没有任何法律障碍妇女参与政治进程，妇女积极参与政党，担任政党候选人。但与男子相比，妇女参政的人数较少，妇女非常清楚政治的“复杂性”，而愿意走在政治风口浪尖上的妇女较少。</w:t>
      </w:r>
    </w:p>
    <w:p w:rsidR="008479E5" w:rsidRPr="00542819" w:rsidRDefault="008479E5" w:rsidP="008479E5">
      <w:pPr>
        <w:pStyle w:val="SingleTxt"/>
        <w:rPr>
          <w:rFonts w:ascii="SimHei" w:eastAsia="SimHei" w:hint="eastAsia"/>
        </w:rPr>
      </w:pPr>
      <w:r w:rsidRPr="00542819">
        <w:rPr>
          <w:rFonts w:ascii="SimHei" w:eastAsia="SimHei" w:hint="eastAsia"/>
        </w:rPr>
        <w:t>妇女参与设计和执行各级发展规划的情况</w:t>
      </w:r>
    </w:p>
    <w:p w:rsidR="008479E5" w:rsidRDefault="008479E5" w:rsidP="008479E5">
      <w:pPr>
        <w:pStyle w:val="SingleTxt"/>
        <w:rPr>
          <w:rFonts w:hint="eastAsia"/>
        </w:rPr>
      </w:pPr>
      <w:r>
        <w:rPr>
          <w:rFonts w:hint="eastAsia"/>
        </w:rPr>
        <w:t>68.</w:t>
      </w:r>
      <w:r>
        <w:rPr>
          <w:rFonts w:hint="eastAsia"/>
        </w:rPr>
        <w:tab/>
        <w:t>在巴哈马，许多妇女担任高层职位，参与各级发展规划。在巴哈马，妇女在公务员队伍中的人数已超过男性。</w:t>
      </w:r>
    </w:p>
    <w:p w:rsidR="00C776D3" w:rsidRPr="00D01B9E" w:rsidRDefault="00C776D3" w:rsidP="00C776D3">
      <w:pPr>
        <w:pStyle w:val="SingleTxt"/>
        <w:rPr>
          <w:rFonts w:ascii="SimHei" w:eastAsia="SimHei" w:hint="eastAsia"/>
        </w:rPr>
      </w:pPr>
      <w:r w:rsidRPr="00D01B9E">
        <w:rPr>
          <w:rFonts w:ascii="SimHei" w:eastAsia="SimHei" w:hint="eastAsia"/>
        </w:rPr>
        <w:t>妇女参与工会的情况</w:t>
      </w:r>
    </w:p>
    <w:p w:rsidR="00C776D3" w:rsidRDefault="00C776D3" w:rsidP="00C776D3">
      <w:pPr>
        <w:pStyle w:val="SingleTxt"/>
        <w:rPr>
          <w:rFonts w:hint="eastAsia"/>
        </w:rPr>
      </w:pPr>
      <w:r>
        <w:rPr>
          <w:rFonts w:hint="eastAsia"/>
        </w:rPr>
        <w:t>69.</w:t>
      </w:r>
      <w:r>
        <w:rPr>
          <w:rFonts w:hint="eastAsia"/>
        </w:rPr>
        <w:tab/>
        <w:t>妇女确实参与工会，而且参与程度超过男性。事实上，记录显示妇女和男性的参与比例约为3</w:t>
      </w:r>
      <w:r>
        <w:t>:</w:t>
      </w:r>
      <w:r>
        <w:rPr>
          <w:rFonts w:hint="eastAsia"/>
        </w:rPr>
        <w:t>1；各工会的比例可能有差异，但在我国经济的某些领域，特别是经济的基本服务行业，工会的女性成员数大大超过男性成员。此外还应指出，妇女担任巴哈马两个最大工会的领导人，一个是巴哈马酒店餐饮业联合工人工会，另一个是巴哈马教师工会。一名妇女还担任一个联盟机构，即工会代表大会的领导人。</w:t>
      </w:r>
    </w:p>
    <w:p w:rsidR="00C776D3" w:rsidRDefault="00C776D3" w:rsidP="00C776D3">
      <w:pPr>
        <w:pStyle w:val="SingleTxt"/>
        <w:rPr>
          <w:rFonts w:hint="eastAsia"/>
        </w:rPr>
      </w:pPr>
      <w:r>
        <w:rPr>
          <w:rFonts w:hint="eastAsia"/>
        </w:rPr>
        <w:t>70.</w:t>
      </w:r>
      <w:r>
        <w:rPr>
          <w:rFonts w:hint="eastAsia"/>
        </w:rPr>
        <w:tab/>
        <w:t xml:space="preserve">巴哈马已批准32项劳工组织公约，但拒绝加入3项公约(2001年)(1919年工业最低年龄公约(第五号)、第七号公约和第一号公约)。这些劳工组织公约大多数使妇女受益，其他则为女工权利提供了具体的保护。因此，妇女能够获得所有工人享有的普遍权利。  </w:t>
      </w:r>
    </w:p>
    <w:p w:rsidR="00C776D3" w:rsidRDefault="00C776D3" w:rsidP="00C776D3">
      <w:pPr>
        <w:pStyle w:val="SingleTxt"/>
        <w:rPr>
          <w:rFonts w:hint="eastAsia"/>
        </w:rPr>
      </w:pPr>
      <w:r>
        <w:rPr>
          <w:rFonts w:hint="eastAsia"/>
        </w:rPr>
        <w:t>71.</w:t>
      </w:r>
      <w:r>
        <w:rPr>
          <w:rFonts w:hint="eastAsia"/>
        </w:rPr>
        <w:tab/>
        <w:t xml:space="preserve">劳工组织关于巴哈马工会的数据显示本国有57个活跃的工会。对主席和秘书长一级领导人员的分析显示，在所列57个工会的主席和秘书长中，女性分别占11.3%和37.7%。2009年，一名妇女当选为巴哈马最大的工会即巴哈马旅馆餐饮业联合工人工会的领导人。 </w:t>
      </w:r>
    </w:p>
    <w:p w:rsidR="00C776D3" w:rsidRDefault="00C776D3" w:rsidP="00C776D3">
      <w:pPr>
        <w:pStyle w:val="SingleTxt"/>
        <w:rPr>
          <w:rFonts w:hint="eastAsia"/>
        </w:rPr>
      </w:pPr>
      <w:r>
        <w:rPr>
          <w:rFonts w:hint="eastAsia"/>
        </w:rPr>
        <w:t>72.</w:t>
      </w:r>
      <w:r>
        <w:rPr>
          <w:rFonts w:hint="eastAsia"/>
        </w:rPr>
        <w:tab/>
        <w:t>如上所述，妇女在工会界有众多代表，其中许多人担任最高职务。以下是截至2010年担任工会领导人的部分妇女：巴哈马酒店餐饮业联合工人工会主席Nicole Martin女士；巴哈马教师工会主席Belinda Wilson、巴哈马公用事业联合工人工会主席Carmen Kemp女士、工会全国代表大会主席Jennifer Isaacs Dotson夫人、分别担任巴哈马公务员工会副主席及助理秘书长的Katrina Marche女士和Joy Tucker女士；巴哈马酒店雇主协会总干事Sonia Hamilton女士；东区码头工人工会副主席Adrian Pratt；分别担任巴哈马医生联合会主席、副主席和秘书长的Juana Roberts医生、Sally Taylor医生和Shakera Carroll医生，分别担任同一联合会秘书长和副主席的Essiemae McIntosh和Theresa Mortimer。Jennifer Dotson夫人还担任大专院校教师工会主席，Janet Donnelly女士担任该工会副主席。酒店服务人员联合工会的领导人为Michelle Dorsett。机电工联合工会主席为Leslie Lightbourne女士，Ann Hunt担任秘书长。Joyce Thomas女士担任大巴哈马公务司机工会秘书长职务。大巴哈马港务局工人工会副主席、秘书长和助理秘书长分别为Ashley Smith、Maxine Burrows和Lawanda Green。Lynn Wright女士担任公职人员工会秘书长职务。巴哈马护士工会的三个最高职位均由女性担任。她们是主席Cleola Hamilton女士、副主席Jannah Khalfani和秘书长Julia Knowles女士。巴哈马验光师协会主席为Charlene Wallace女士，Anita Brown医生担任秘书长职务。中央银行员工联合会副主席为Kandi Cash女士，Kaye Rolle女士担任秘书长。Jennifer Cartwright担任巴哈马工业制造商联合工人工会秘书长。巴哈马金融服务业工会主席为Theresa Mortimer，Sharon Lockhart担任助理秘书长职务；巴哈马金融服务管理工作人员工会主席；巴哈马教师管理工会副主席Linda Moultrie Missick女士；巴哈马海关和入境事务工作人员联合工会秘书长Ghea McPhee。</w:t>
      </w:r>
    </w:p>
    <w:p w:rsidR="00C776D3" w:rsidRDefault="00C776D3" w:rsidP="00C776D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w:t>
      </w:r>
      <w:r w:rsidR="00885365">
        <w:rPr>
          <w:rFonts w:hint="eastAsia"/>
        </w:rPr>
        <w:t>8</w:t>
      </w:r>
      <w:r>
        <w:rPr>
          <w:rFonts w:hint="eastAsia"/>
        </w:rPr>
        <w:t>条：在国际事务中担任代表和参与的情况</w:t>
      </w:r>
    </w:p>
    <w:p w:rsidR="00C776D3" w:rsidRPr="00D01B9E" w:rsidRDefault="00C776D3" w:rsidP="00C776D3">
      <w:pPr>
        <w:pStyle w:val="SingleTxt"/>
        <w:spacing w:after="0" w:line="120" w:lineRule="exact"/>
        <w:rPr>
          <w:rFonts w:hint="eastAsia"/>
          <w:sz w:val="10"/>
        </w:rPr>
      </w:pPr>
    </w:p>
    <w:p w:rsidR="00C776D3" w:rsidRPr="00D01B9E" w:rsidRDefault="00C776D3" w:rsidP="00C776D3">
      <w:pPr>
        <w:pStyle w:val="SingleTxt"/>
        <w:rPr>
          <w:rFonts w:ascii="SimHei" w:eastAsia="SimHei" w:hint="eastAsia"/>
        </w:rPr>
      </w:pPr>
      <w:r w:rsidRPr="00D01B9E">
        <w:rPr>
          <w:rFonts w:ascii="SimHei" w:eastAsia="SimHei" w:hint="eastAsia"/>
        </w:rPr>
        <w:t>妇女在国际一级担任代表的情况</w:t>
      </w:r>
    </w:p>
    <w:p w:rsidR="00C776D3" w:rsidRDefault="00C776D3" w:rsidP="00C776D3">
      <w:pPr>
        <w:pStyle w:val="SingleTxt"/>
        <w:rPr>
          <w:rFonts w:hint="eastAsia"/>
        </w:rPr>
      </w:pPr>
      <w:r>
        <w:rPr>
          <w:rFonts w:hint="eastAsia"/>
        </w:rPr>
        <w:t>73.</w:t>
      </w:r>
      <w:r>
        <w:rPr>
          <w:rFonts w:hint="eastAsia"/>
        </w:rPr>
        <w:tab/>
        <w:t>巴哈马不存在妨碍妇女在国际一级代表其政府并与男子平等参与国际组织工作的法律障碍。政府努力向有关机构/非政府组织传送已知的空缺信息，让感兴趣的合适候选人申请相关的空缺职位。此外，当某个组织具体说明女性优先时，则确定并鼓励具体的女性候选人申请该职位。为该组织提名任职者时，依据经验、资格和已证明能力方面的各种因素/标准，与相关国际组织共同选定。</w:t>
      </w:r>
    </w:p>
    <w:p w:rsidR="00C776D3" w:rsidRDefault="00C776D3" w:rsidP="00C776D3">
      <w:pPr>
        <w:pStyle w:val="SingleTxt"/>
        <w:rPr>
          <w:rFonts w:hint="eastAsia"/>
        </w:rPr>
      </w:pPr>
      <w:r>
        <w:rPr>
          <w:rFonts w:hint="eastAsia"/>
        </w:rPr>
        <w:t>74.</w:t>
      </w:r>
      <w:r>
        <w:rPr>
          <w:rFonts w:hint="eastAsia"/>
        </w:rPr>
        <w:tab/>
        <w:t>没有记录显示在国际组织工作的巴哈马妇女的确切人数。但政府知道几位巴哈马妇女受雇担任联合国高级职务。由于妇女在公务部门/外交部门占多数，妇女代表巴哈马出席关于各种问题的许多国际会议。所以，妇女并不因性别而被剥夺代表巴哈马参与国际组织工作的机会。</w:t>
      </w:r>
    </w:p>
    <w:p w:rsidR="00C776D3" w:rsidRPr="00D01B9E" w:rsidRDefault="00C776D3" w:rsidP="00C776D3">
      <w:pPr>
        <w:pStyle w:val="SingleTxt"/>
        <w:rPr>
          <w:rFonts w:ascii="SimHei" w:eastAsia="SimHei" w:hint="eastAsia"/>
        </w:rPr>
      </w:pPr>
      <w:r w:rsidRPr="00D01B9E">
        <w:rPr>
          <w:rFonts w:ascii="SimHei" w:eastAsia="SimHei" w:hint="eastAsia"/>
        </w:rPr>
        <w:t xml:space="preserve">妇女在外交部任职的情况 </w:t>
      </w:r>
    </w:p>
    <w:p w:rsidR="00C776D3" w:rsidRDefault="00C776D3" w:rsidP="00C776D3">
      <w:pPr>
        <w:pStyle w:val="SingleTxt"/>
        <w:rPr>
          <w:rFonts w:hint="eastAsia"/>
        </w:rPr>
      </w:pPr>
      <w:r>
        <w:rPr>
          <w:rFonts w:hint="eastAsia"/>
        </w:rPr>
        <w:t>75.</w:t>
      </w:r>
      <w:r>
        <w:rPr>
          <w:rFonts w:hint="eastAsia"/>
        </w:rPr>
        <w:tab/>
        <w:t>外交部的女性人数远远多于男性：女性雇员占该部全体雇员的80%，男性占19.6%。此外，现任常务秘书和67%的司长均为女性。这些统计数字清楚表明，巴哈马妇女、特别是在外交部工作的妇女在外交部和整个公务员队伍中取得了巨大成功。由于妇女在巴哈马外交部门、特别是在外交部占据主导地位，巴哈马没有必要使用临时特别措施帮助解决妇女在外交部门任职人数偏少的问题。</w:t>
      </w:r>
    </w:p>
    <w:p w:rsidR="00C776D3" w:rsidRDefault="00C776D3" w:rsidP="00C776D3">
      <w:pPr>
        <w:pStyle w:val="SingleTxt"/>
        <w:rPr>
          <w:rFonts w:hint="eastAsia"/>
        </w:rPr>
      </w:pPr>
      <w:r>
        <w:rPr>
          <w:rFonts w:hint="eastAsia"/>
        </w:rPr>
        <w:t>表11</w:t>
      </w:r>
      <w:r>
        <w:br/>
      </w:r>
      <w:r w:rsidRPr="00D01B9E">
        <w:rPr>
          <w:rFonts w:ascii="SimHei" w:eastAsia="SimHei" w:hint="eastAsia"/>
        </w:rPr>
        <w:t>外交部</w:t>
      </w:r>
    </w:p>
    <w:tbl>
      <w:tblPr>
        <w:tblW w:w="0" w:type="auto"/>
        <w:tblInd w:w="1260" w:type="dxa"/>
        <w:tblLayout w:type="fixed"/>
        <w:tblCellMar>
          <w:left w:w="0" w:type="dxa"/>
          <w:right w:w="0" w:type="dxa"/>
        </w:tblCellMar>
        <w:tblLook w:val="0000" w:firstRow="0" w:lastRow="0" w:firstColumn="0" w:lastColumn="0" w:noHBand="0" w:noVBand="0"/>
      </w:tblPr>
      <w:tblGrid>
        <w:gridCol w:w="5490"/>
        <w:gridCol w:w="1830"/>
      </w:tblGrid>
      <w:tr w:rsidR="00C776D3" w:rsidRPr="00D01B9E" w:rsidTr="000F6B0C">
        <w:tblPrEx>
          <w:tblCellMar>
            <w:top w:w="0" w:type="dxa"/>
            <w:bottom w:w="0" w:type="dxa"/>
          </w:tblCellMar>
        </w:tblPrEx>
        <w:trPr>
          <w:tblHeader/>
        </w:trPr>
        <w:tc>
          <w:tcPr>
            <w:tcW w:w="5490" w:type="dxa"/>
            <w:tcBorders>
              <w:top w:val="single" w:sz="4" w:space="0" w:color="auto"/>
              <w:bottom w:val="single" w:sz="12" w:space="0" w:color="auto"/>
            </w:tcBorders>
            <w:shd w:val="clear" w:color="auto" w:fill="auto"/>
            <w:vAlign w:val="bottom"/>
          </w:tcPr>
          <w:p w:rsidR="00C776D3" w:rsidRPr="00D01B9E" w:rsidRDefault="00C776D3" w:rsidP="000F6B0C">
            <w:pPr>
              <w:tabs>
                <w:tab w:val="left" w:pos="360"/>
                <w:tab w:val="left" w:pos="720"/>
                <w:tab w:val="left" w:pos="1080"/>
                <w:tab w:val="left" w:pos="1440"/>
              </w:tabs>
              <w:suppressAutoHyphens/>
              <w:spacing w:before="60" w:after="60" w:line="200" w:lineRule="exact"/>
              <w:ind w:right="57"/>
              <w:rPr>
                <w:rFonts w:ascii="KaiTi_GB2312" w:eastAsia="KaiTi_GB2312"/>
                <w:sz w:val="15"/>
              </w:rPr>
            </w:pPr>
            <w:r w:rsidRPr="00D01B9E">
              <w:rPr>
                <w:rFonts w:ascii="KaiTi_GB2312" w:eastAsia="KaiTi_GB2312" w:hint="eastAsia"/>
                <w:sz w:val="15"/>
              </w:rPr>
              <w:t>外交部雇员</w:t>
            </w:r>
          </w:p>
        </w:tc>
        <w:tc>
          <w:tcPr>
            <w:tcW w:w="1830" w:type="dxa"/>
            <w:tcBorders>
              <w:top w:val="single" w:sz="4" w:space="0" w:color="auto"/>
              <w:bottom w:val="single" w:sz="12" w:space="0" w:color="auto"/>
            </w:tcBorders>
            <w:shd w:val="clear" w:color="auto" w:fill="auto"/>
            <w:vAlign w:val="bottom"/>
          </w:tcPr>
          <w:p w:rsidR="00C776D3" w:rsidRPr="00D01B9E"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D01B9E">
              <w:rPr>
                <w:rFonts w:ascii="KaiTi_GB2312" w:eastAsia="KaiTi_GB2312" w:hint="eastAsia"/>
                <w:sz w:val="15"/>
              </w:rPr>
              <w:t>百分比</w:t>
            </w:r>
          </w:p>
        </w:tc>
      </w:tr>
      <w:tr w:rsidR="00C776D3" w:rsidRPr="00D01B9E" w:rsidTr="000F6B0C">
        <w:tblPrEx>
          <w:tblCellMar>
            <w:top w:w="0" w:type="dxa"/>
            <w:bottom w:w="0" w:type="dxa"/>
          </w:tblCellMar>
        </w:tblPrEx>
        <w:trPr>
          <w:trHeight w:hRule="exact" w:val="115"/>
          <w:tblHeader/>
        </w:trPr>
        <w:tc>
          <w:tcPr>
            <w:tcW w:w="5490" w:type="dxa"/>
            <w:tcBorders>
              <w:top w:val="single" w:sz="12" w:space="0" w:color="auto"/>
            </w:tcBorders>
            <w:shd w:val="clear" w:color="auto" w:fill="auto"/>
            <w:vAlign w:val="bottom"/>
          </w:tcPr>
          <w:p w:rsidR="00C776D3" w:rsidRPr="00D01B9E" w:rsidRDefault="00C776D3" w:rsidP="000F6B0C">
            <w:pPr>
              <w:tabs>
                <w:tab w:val="left" w:pos="360"/>
                <w:tab w:val="left" w:pos="720"/>
                <w:tab w:val="left" w:pos="1080"/>
                <w:tab w:val="left" w:pos="1440"/>
              </w:tabs>
              <w:suppressAutoHyphens/>
              <w:spacing w:after="60" w:line="280" w:lineRule="exact"/>
              <w:ind w:right="57"/>
              <w:rPr>
                <w:sz w:val="17"/>
              </w:rPr>
            </w:pPr>
          </w:p>
        </w:tc>
        <w:tc>
          <w:tcPr>
            <w:tcW w:w="1830" w:type="dxa"/>
            <w:tcBorders>
              <w:top w:val="single" w:sz="12" w:space="0" w:color="auto"/>
            </w:tcBorders>
            <w:shd w:val="clear" w:color="auto" w:fill="auto"/>
            <w:vAlign w:val="bottom"/>
          </w:tcPr>
          <w:p w:rsidR="00C776D3" w:rsidRPr="00D01B9E" w:rsidRDefault="00C776D3" w:rsidP="000F6B0C">
            <w:pPr>
              <w:tabs>
                <w:tab w:val="left" w:pos="360"/>
                <w:tab w:val="left" w:pos="720"/>
                <w:tab w:val="left" w:pos="1080"/>
                <w:tab w:val="left" w:pos="1440"/>
              </w:tabs>
              <w:suppressAutoHyphens/>
              <w:spacing w:after="60" w:line="280" w:lineRule="exact"/>
              <w:ind w:right="57"/>
              <w:jc w:val="right"/>
              <w:rPr>
                <w:sz w:val="17"/>
              </w:rPr>
            </w:pPr>
          </w:p>
        </w:tc>
      </w:tr>
      <w:tr w:rsidR="00C776D3" w:rsidRPr="00D01B9E" w:rsidTr="000F6B0C">
        <w:tblPrEx>
          <w:tblCellMar>
            <w:top w:w="0" w:type="dxa"/>
            <w:bottom w:w="0" w:type="dxa"/>
          </w:tblCellMar>
        </w:tblPrEx>
        <w:tc>
          <w:tcPr>
            <w:tcW w:w="5490" w:type="dxa"/>
            <w:shd w:val="clear" w:color="auto" w:fill="auto"/>
            <w:vAlign w:val="bottom"/>
          </w:tcPr>
          <w:p w:rsidR="00C776D3" w:rsidRPr="00D01B9E" w:rsidRDefault="00C776D3" w:rsidP="000F6B0C">
            <w:pPr>
              <w:tabs>
                <w:tab w:val="left" w:pos="334"/>
                <w:tab w:val="left" w:pos="669"/>
                <w:tab w:val="left" w:pos="1003"/>
                <w:tab w:val="left" w:pos="1338"/>
              </w:tabs>
              <w:suppressAutoHyphens/>
              <w:spacing w:after="60" w:line="280" w:lineRule="exact"/>
              <w:ind w:right="57"/>
              <w:rPr>
                <w:sz w:val="17"/>
              </w:rPr>
            </w:pPr>
            <w:r w:rsidRPr="00D01B9E">
              <w:rPr>
                <w:rFonts w:hint="eastAsia"/>
                <w:sz w:val="17"/>
              </w:rPr>
              <w:t>女性</w:t>
            </w:r>
          </w:p>
        </w:tc>
        <w:tc>
          <w:tcPr>
            <w:tcW w:w="1830" w:type="dxa"/>
            <w:shd w:val="clear" w:color="auto" w:fill="auto"/>
            <w:vAlign w:val="bottom"/>
          </w:tcPr>
          <w:p w:rsidR="00C776D3" w:rsidRPr="00D01B9E"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80.4</w:t>
            </w:r>
          </w:p>
        </w:tc>
      </w:tr>
      <w:tr w:rsidR="00C776D3" w:rsidRPr="00D01B9E" w:rsidTr="000F6B0C">
        <w:tblPrEx>
          <w:tblCellMar>
            <w:top w:w="0" w:type="dxa"/>
            <w:bottom w:w="0" w:type="dxa"/>
          </w:tblCellMar>
        </w:tblPrEx>
        <w:tc>
          <w:tcPr>
            <w:tcW w:w="5490" w:type="dxa"/>
            <w:tcBorders>
              <w:bottom w:val="single" w:sz="12" w:space="0" w:color="auto"/>
            </w:tcBorders>
            <w:shd w:val="clear" w:color="auto" w:fill="auto"/>
            <w:vAlign w:val="bottom"/>
          </w:tcPr>
          <w:p w:rsidR="00C776D3" w:rsidRPr="00D01B9E" w:rsidRDefault="00C776D3" w:rsidP="000F6B0C">
            <w:pPr>
              <w:tabs>
                <w:tab w:val="left" w:pos="334"/>
                <w:tab w:val="left" w:pos="669"/>
                <w:tab w:val="left" w:pos="1003"/>
                <w:tab w:val="left" w:pos="1338"/>
              </w:tabs>
              <w:suppressAutoHyphens/>
              <w:spacing w:after="60" w:line="280" w:lineRule="exact"/>
              <w:ind w:right="57"/>
              <w:rPr>
                <w:sz w:val="17"/>
              </w:rPr>
            </w:pPr>
            <w:r w:rsidRPr="00D01B9E">
              <w:rPr>
                <w:rFonts w:hint="eastAsia"/>
                <w:sz w:val="17"/>
              </w:rPr>
              <w:t>男性</w:t>
            </w:r>
          </w:p>
        </w:tc>
        <w:tc>
          <w:tcPr>
            <w:tcW w:w="1830" w:type="dxa"/>
            <w:tcBorders>
              <w:bottom w:val="single" w:sz="12" w:space="0" w:color="auto"/>
            </w:tcBorders>
            <w:shd w:val="clear" w:color="auto" w:fill="auto"/>
            <w:vAlign w:val="bottom"/>
          </w:tcPr>
          <w:p w:rsidR="00C776D3" w:rsidRPr="00D01B9E"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19.6</w:t>
            </w:r>
          </w:p>
        </w:tc>
      </w:tr>
    </w:tbl>
    <w:p w:rsidR="00C776D3" w:rsidRPr="00216A38" w:rsidRDefault="00C776D3" w:rsidP="00C776D3">
      <w:pPr>
        <w:pStyle w:val="SingleTxt"/>
        <w:spacing w:after="0" w:line="120" w:lineRule="exact"/>
        <w:rPr>
          <w:sz w:val="10"/>
        </w:rPr>
      </w:pPr>
    </w:p>
    <w:p w:rsidR="00C776D3" w:rsidRPr="00216A38" w:rsidRDefault="00C776D3" w:rsidP="00C776D3">
      <w:pPr>
        <w:pStyle w:val="SingleTxt"/>
        <w:rPr>
          <w:rFonts w:ascii="SimHei" w:eastAsia="SimHei" w:hint="eastAsia"/>
        </w:rPr>
      </w:pPr>
      <w:r w:rsidRPr="00216A38">
        <w:rPr>
          <w:rFonts w:ascii="SimHei" w:eastAsia="SimHei" w:hint="eastAsia"/>
        </w:rPr>
        <w:t>妇女从事外交工作的情况</w:t>
      </w:r>
    </w:p>
    <w:p w:rsidR="00C776D3" w:rsidRDefault="00C776D3" w:rsidP="00C776D3">
      <w:pPr>
        <w:pStyle w:val="SingleTxt"/>
        <w:rPr>
          <w:rFonts w:hint="eastAsia"/>
        </w:rPr>
      </w:pPr>
      <w:r>
        <w:rPr>
          <w:rFonts w:hint="eastAsia"/>
        </w:rPr>
        <w:t>76.</w:t>
      </w:r>
      <w:r>
        <w:rPr>
          <w:rFonts w:hint="eastAsia"/>
        </w:rPr>
        <w:tab/>
        <w:t>女性占外交部门任职人员的71.8%，其中有巴哈马驻中华人民共和国大使Elma Campbell阁下、巴哈马常驻联合国代表Paulette Bethel博士、巴哈马驻美国亚特兰大总领事Katherine Forbes Smith夫人、巴哈马驻纽约总领事Rhonda Chipman Johnson夫人、巴哈马驻美国迈阿密总领事Rhoda Jackson女士。</w:t>
      </w:r>
    </w:p>
    <w:p w:rsidR="00C776D3" w:rsidRDefault="00C776D3" w:rsidP="00C776D3">
      <w:pPr>
        <w:pStyle w:val="SingleTxt"/>
        <w:rPr>
          <w:rFonts w:hint="eastAsia"/>
        </w:rPr>
      </w:pPr>
      <w:r>
        <w:rPr>
          <w:rFonts w:hint="eastAsia"/>
        </w:rPr>
        <w:t>77.</w:t>
      </w:r>
      <w:r>
        <w:rPr>
          <w:rFonts w:hint="eastAsia"/>
        </w:rPr>
        <w:tab/>
        <w:t>女性和男性在外交及领事使团领导人中分别占41.7%和58.3%。女性约占非常驻大使人数的42.9%和名誉领事人数的30%。下表列出妇女在巴哈马外交部门任职的详细情况。</w:t>
      </w:r>
    </w:p>
    <w:p w:rsidR="00C776D3" w:rsidRDefault="00C776D3" w:rsidP="00C776D3">
      <w:pPr>
        <w:pStyle w:val="SingleTxt"/>
        <w:rPr>
          <w:rFonts w:hint="eastAsia"/>
        </w:rPr>
      </w:pPr>
      <w:r>
        <w:rPr>
          <w:rFonts w:hint="eastAsia"/>
        </w:rPr>
        <w:t>表12</w:t>
      </w:r>
      <w:r>
        <w:br/>
      </w:r>
      <w:r w:rsidRPr="00216A38">
        <w:rPr>
          <w:rFonts w:ascii="SimHei" w:eastAsia="SimHei" w:hint="eastAsia"/>
        </w:rPr>
        <w:t>截至2007年外交部门中女性和男性人数</w:t>
      </w:r>
    </w:p>
    <w:tbl>
      <w:tblPr>
        <w:tblW w:w="0" w:type="auto"/>
        <w:tblInd w:w="1260" w:type="dxa"/>
        <w:tblLayout w:type="fixed"/>
        <w:tblCellMar>
          <w:left w:w="0" w:type="dxa"/>
          <w:right w:w="0" w:type="dxa"/>
        </w:tblCellMar>
        <w:tblLook w:val="0000" w:firstRow="0" w:lastRow="0" w:firstColumn="0" w:lastColumn="0" w:noHBand="0" w:noVBand="0"/>
      </w:tblPr>
      <w:tblGrid>
        <w:gridCol w:w="4880"/>
        <w:gridCol w:w="1220"/>
        <w:gridCol w:w="1220"/>
      </w:tblGrid>
      <w:tr w:rsidR="00C776D3" w:rsidRPr="00216A38" w:rsidTr="000F6B0C">
        <w:tblPrEx>
          <w:tblCellMar>
            <w:top w:w="0" w:type="dxa"/>
            <w:bottom w:w="0" w:type="dxa"/>
          </w:tblCellMar>
        </w:tblPrEx>
        <w:trPr>
          <w:trHeight w:val="317"/>
          <w:tblHeader/>
        </w:trPr>
        <w:tc>
          <w:tcPr>
            <w:tcW w:w="4880" w:type="dxa"/>
            <w:tcBorders>
              <w:top w:val="single" w:sz="4" w:space="0" w:color="auto"/>
              <w:bottom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before="60" w:after="60" w:line="200" w:lineRule="exact"/>
              <w:ind w:right="57"/>
              <w:rPr>
                <w:rFonts w:ascii="KaiTi_GB2312" w:eastAsia="KaiTi_GB2312"/>
                <w:sz w:val="15"/>
              </w:rPr>
            </w:pPr>
            <w:r w:rsidRPr="00216A38">
              <w:rPr>
                <w:rFonts w:ascii="KaiTi_GB2312" w:eastAsia="KaiTi_GB2312" w:hint="eastAsia"/>
                <w:sz w:val="15"/>
              </w:rPr>
              <w:t>高级职务/职位</w:t>
            </w:r>
          </w:p>
        </w:tc>
        <w:tc>
          <w:tcPr>
            <w:tcW w:w="1220" w:type="dxa"/>
            <w:tcBorders>
              <w:top w:val="single" w:sz="4" w:space="0" w:color="auto"/>
              <w:bottom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6A38">
              <w:rPr>
                <w:rFonts w:ascii="KaiTi_GB2312" w:eastAsia="KaiTi_GB2312" w:hint="eastAsia"/>
                <w:sz w:val="15"/>
              </w:rPr>
              <w:t>女性百分比</w:t>
            </w:r>
          </w:p>
        </w:tc>
        <w:tc>
          <w:tcPr>
            <w:tcW w:w="1220" w:type="dxa"/>
            <w:tcBorders>
              <w:top w:val="single" w:sz="4" w:space="0" w:color="auto"/>
              <w:bottom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6A38">
              <w:rPr>
                <w:rFonts w:ascii="KaiTi_GB2312" w:eastAsia="KaiTi_GB2312" w:hint="eastAsia"/>
                <w:sz w:val="15"/>
              </w:rPr>
              <w:t>男性百分比</w:t>
            </w:r>
          </w:p>
        </w:tc>
      </w:tr>
      <w:tr w:rsidR="00C776D3" w:rsidRPr="00216A38" w:rsidTr="000F6B0C">
        <w:tblPrEx>
          <w:tblCellMar>
            <w:top w:w="0" w:type="dxa"/>
            <w:bottom w:w="0" w:type="dxa"/>
          </w:tblCellMar>
        </w:tblPrEx>
        <w:trPr>
          <w:trHeight w:hRule="exact" w:val="115"/>
          <w:tblHeader/>
        </w:trPr>
        <w:tc>
          <w:tcPr>
            <w:tcW w:w="4880" w:type="dxa"/>
            <w:tcBorders>
              <w:top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after="60" w:line="280" w:lineRule="exact"/>
              <w:ind w:right="57"/>
              <w:rPr>
                <w:sz w:val="17"/>
              </w:rPr>
            </w:pPr>
          </w:p>
        </w:tc>
        <w:tc>
          <w:tcPr>
            <w:tcW w:w="1220" w:type="dxa"/>
            <w:tcBorders>
              <w:top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after="60" w:line="280" w:lineRule="exact"/>
              <w:ind w:right="57"/>
              <w:jc w:val="right"/>
              <w:rPr>
                <w:sz w:val="17"/>
              </w:rPr>
            </w:pPr>
          </w:p>
        </w:tc>
        <w:tc>
          <w:tcPr>
            <w:tcW w:w="1220" w:type="dxa"/>
            <w:tcBorders>
              <w:top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after="60" w:line="280" w:lineRule="exact"/>
              <w:ind w:right="57"/>
              <w:jc w:val="right"/>
              <w:rPr>
                <w:sz w:val="17"/>
              </w:rPr>
            </w:pPr>
          </w:p>
        </w:tc>
      </w:tr>
      <w:tr w:rsidR="00C776D3" w:rsidRPr="00216A38" w:rsidTr="000F6B0C">
        <w:tblPrEx>
          <w:tblCellMar>
            <w:top w:w="0" w:type="dxa"/>
            <w:bottom w:w="0" w:type="dxa"/>
          </w:tblCellMar>
        </w:tblPrEx>
        <w:trPr>
          <w:trHeight w:val="317"/>
        </w:trPr>
        <w:tc>
          <w:tcPr>
            <w:tcW w:w="488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rPr>
                <w:sz w:val="17"/>
              </w:rPr>
            </w:pPr>
            <w:r w:rsidRPr="00216A38">
              <w:rPr>
                <w:rFonts w:hint="eastAsia"/>
                <w:sz w:val="17"/>
              </w:rPr>
              <w:t>外交和领事代表</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41.7</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58.3</w:t>
            </w:r>
          </w:p>
        </w:tc>
      </w:tr>
      <w:tr w:rsidR="00C776D3" w:rsidRPr="00216A38" w:rsidTr="000F6B0C">
        <w:tblPrEx>
          <w:tblCellMar>
            <w:top w:w="0" w:type="dxa"/>
            <w:bottom w:w="0" w:type="dxa"/>
          </w:tblCellMar>
        </w:tblPrEx>
        <w:trPr>
          <w:trHeight w:val="317"/>
        </w:trPr>
        <w:tc>
          <w:tcPr>
            <w:tcW w:w="488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rPr>
                <w:sz w:val="17"/>
              </w:rPr>
            </w:pPr>
            <w:r w:rsidRPr="00216A38">
              <w:rPr>
                <w:rFonts w:hint="eastAsia"/>
                <w:sz w:val="17"/>
              </w:rPr>
              <w:t>非常驻大使</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42.9</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57.1</w:t>
            </w:r>
          </w:p>
        </w:tc>
      </w:tr>
      <w:tr w:rsidR="00C776D3" w:rsidRPr="00216A38" w:rsidTr="000F6B0C">
        <w:tblPrEx>
          <w:tblCellMar>
            <w:top w:w="0" w:type="dxa"/>
            <w:bottom w:w="0" w:type="dxa"/>
          </w:tblCellMar>
        </w:tblPrEx>
        <w:trPr>
          <w:trHeight w:val="317"/>
        </w:trPr>
        <w:tc>
          <w:tcPr>
            <w:tcW w:w="4880" w:type="dxa"/>
            <w:tcBorders>
              <w:bottom w:val="single" w:sz="12" w:space="0" w:color="auto"/>
            </w:tcBorders>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rPr>
                <w:sz w:val="17"/>
              </w:rPr>
            </w:pPr>
            <w:r w:rsidRPr="00216A38">
              <w:rPr>
                <w:rFonts w:hint="eastAsia"/>
                <w:sz w:val="17"/>
              </w:rPr>
              <w:t>名誉领事</w:t>
            </w:r>
          </w:p>
        </w:tc>
        <w:tc>
          <w:tcPr>
            <w:tcW w:w="1220" w:type="dxa"/>
            <w:tcBorders>
              <w:bottom w:val="single" w:sz="12" w:space="0" w:color="auto"/>
            </w:tcBorders>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30.0</w:t>
            </w:r>
          </w:p>
        </w:tc>
        <w:tc>
          <w:tcPr>
            <w:tcW w:w="1220" w:type="dxa"/>
            <w:tcBorders>
              <w:bottom w:val="single" w:sz="12" w:space="0" w:color="auto"/>
            </w:tcBorders>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70.0</w:t>
            </w:r>
          </w:p>
        </w:tc>
      </w:tr>
    </w:tbl>
    <w:p w:rsidR="00C776D3" w:rsidRPr="00216A38" w:rsidRDefault="00C776D3" w:rsidP="00C776D3">
      <w:pPr>
        <w:pStyle w:val="SingleTxt"/>
        <w:spacing w:after="0" w:line="120" w:lineRule="exact"/>
        <w:rPr>
          <w:sz w:val="10"/>
        </w:rPr>
      </w:pPr>
    </w:p>
    <w:p w:rsidR="00C776D3" w:rsidRDefault="00C776D3" w:rsidP="00C776D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w:t>
      </w:r>
      <w:r w:rsidR="00885365">
        <w:rPr>
          <w:rFonts w:hint="eastAsia"/>
        </w:rPr>
        <w:t>9</w:t>
      </w:r>
      <w:r>
        <w:rPr>
          <w:rFonts w:hint="eastAsia"/>
        </w:rPr>
        <w:t>条：妇女及其子女的国籍和公民身份</w:t>
      </w:r>
    </w:p>
    <w:p w:rsidR="00C776D3" w:rsidRPr="00216A38" w:rsidRDefault="00C776D3" w:rsidP="00C776D3">
      <w:pPr>
        <w:pStyle w:val="SingleTxt"/>
        <w:spacing w:after="0" w:line="120" w:lineRule="exact"/>
        <w:rPr>
          <w:rFonts w:hint="eastAsia"/>
          <w:sz w:val="10"/>
        </w:rPr>
      </w:pPr>
    </w:p>
    <w:p w:rsidR="00C776D3" w:rsidRPr="00216A38" w:rsidRDefault="00C776D3" w:rsidP="00C776D3">
      <w:pPr>
        <w:pStyle w:val="SingleTxt"/>
        <w:rPr>
          <w:rFonts w:ascii="SimHei" w:eastAsia="SimHei" w:hint="eastAsia"/>
        </w:rPr>
      </w:pPr>
      <w:r w:rsidRPr="00216A38">
        <w:rPr>
          <w:rFonts w:ascii="SimHei" w:eastAsia="SimHei" w:hint="eastAsia"/>
        </w:rPr>
        <w:t>有关国籍的法定权利</w:t>
      </w:r>
    </w:p>
    <w:p w:rsidR="00C776D3" w:rsidRDefault="00C776D3" w:rsidP="00C776D3">
      <w:pPr>
        <w:pStyle w:val="SingleTxt"/>
        <w:rPr>
          <w:rFonts w:hint="eastAsia"/>
        </w:rPr>
      </w:pPr>
      <w:r>
        <w:rPr>
          <w:rFonts w:hint="eastAsia"/>
        </w:rPr>
        <w:t>78.</w:t>
      </w:r>
      <w:r>
        <w:rPr>
          <w:rFonts w:hint="eastAsia"/>
        </w:rPr>
        <w:tab/>
        <w:t>关于公民身份，《巴哈马宪法》确立了公民身份的定义，其第二章第6条规定，1973年7月9日以后在巴哈马出生的每个人，若在其出生之日父母一方是巴哈马公民，则其在出生当日即成为巴哈马公民。第8条和第9条分别规定如下：</w:t>
      </w:r>
    </w:p>
    <w:p w:rsidR="00C776D3" w:rsidRDefault="00C776D3" w:rsidP="00C776D3">
      <w:pPr>
        <w:pStyle w:val="SingleTxt"/>
        <w:ind w:left="1684"/>
        <w:rPr>
          <w:rFonts w:hint="eastAsia"/>
        </w:rPr>
      </w:pPr>
      <w:r>
        <w:rPr>
          <w:rFonts w:hint="eastAsia"/>
        </w:rPr>
        <w:t>“第8条.</w:t>
      </w:r>
      <w:r>
        <w:t xml:space="preserve">  </w:t>
      </w:r>
      <w:r>
        <w:rPr>
          <w:rFonts w:hint="eastAsia"/>
        </w:rPr>
        <w:t>1973年7月9日以后在巴哈马境外出生的人，若在出生之日，其父亲是巴哈马公民，则其在出生当日即成为巴哈马公民，条件是，其父亲并非由于本条或本《宪法》第3⑵条才成为公民。”</w:t>
      </w:r>
    </w:p>
    <w:p w:rsidR="00C776D3" w:rsidRDefault="00C776D3" w:rsidP="00C776D3">
      <w:pPr>
        <w:pStyle w:val="SingleTxt"/>
        <w:ind w:left="1684"/>
        <w:rPr>
          <w:rFonts w:hint="eastAsia"/>
        </w:rPr>
      </w:pPr>
      <w:r>
        <w:rPr>
          <w:rFonts w:hint="eastAsia"/>
        </w:rPr>
        <w:t>“第9⑴条.</w:t>
      </w:r>
      <w:r>
        <w:t xml:space="preserve">  </w:t>
      </w:r>
      <w:r>
        <w:rPr>
          <w:rFonts w:hint="eastAsia"/>
        </w:rPr>
        <w:t>尽管有本《宪法》第8条的规定，1973年7月9日以后在巴哈马境外合法出生的人，若其母亲是巴哈马公民，则在其年满18岁之时且在年满21岁之前按照规定方式提出申请后，有权登记为巴哈马公民；如果他是巴哈马以外国家的公民，他将无法按照本条的规定登记为巴哈马公民，除非他放弃另一国家的公民身份、宣誓效忠巴哈马，并按可能做出的规定，做出并登记有关居住地的意图声明”。</w:t>
      </w:r>
    </w:p>
    <w:p w:rsidR="00C776D3" w:rsidRPr="00216A38" w:rsidRDefault="00C776D3" w:rsidP="00C776D3">
      <w:pPr>
        <w:pStyle w:val="SingleTxt"/>
        <w:rPr>
          <w:rFonts w:ascii="SimHei" w:eastAsia="SimHei" w:hint="eastAsia"/>
        </w:rPr>
      </w:pPr>
      <w:r w:rsidRPr="00216A38">
        <w:rPr>
          <w:rFonts w:ascii="SimHei" w:eastAsia="SimHei" w:hint="eastAsia"/>
        </w:rPr>
        <w:t>涉外婚姻中的平等</w:t>
      </w:r>
    </w:p>
    <w:p w:rsidR="00C776D3" w:rsidRDefault="00C776D3" w:rsidP="00C776D3">
      <w:pPr>
        <w:pStyle w:val="SingleTxt"/>
        <w:rPr>
          <w:rFonts w:hint="eastAsia"/>
        </w:rPr>
      </w:pPr>
      <w:r>
        <w:rPr>
          <w:rFonts w:hint="eastAsia"/>
        </w:rPr>
        <w:t>79.</w:t>
      </w:r>
      <w:r>
        <w:rPr>
          <w:rFonts w:hint="eastAsia"/>
        </w:rPr>
        <w:tab/>
        <w:t>如本报告在第二条下的答复所述，这方面依然存在不平等情况。但是，巴哈马政府通过了国内立法，以减轻《宪法》的影响。</w:t>
      </w:r>
    </w:p>
    <w:p w:rsidR="00C776D3" w:rsidRDefault="00C776D3" w:rsidP="00C776D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w:t>
      </w:r>
      <w:r w:rsidR="00885365">
        <w:rPr>
          <w:rFonts w:hint="eastAsia"/>
        </w:rPr>
        <w:t>10</w:t>
      </w:r>
      <w:r>
        <w:rPr>
          <w:rFonts w:hint="eastAsia"/>
        </w:rPr>
        <w:t>条：确保妇女接受教育的平等权利</w:t>
      </w:r>
    </w:p>
    <w:p w:rsidR="00C776D3" w:rsidRPr="00216A38" w:rsidRDefault="00C776D3" w:rsidP="00C776D3">
      <w:pPr>
        <w:pStyle w:val="SingleTxt"/>
        <w:spacing w:after="0" w:line="120" w:lineRule="exact"/>
        <w:rPr>
          <w:rFonts w:hint="eastAsia"/>
          <w:sz w:val="10"/>
        </w:rPr>
      </w:pPr>
    </w:p>
    <w:p w:rsidR="00C776D3" w:rsidRPr="00216A38" w:rsidRDefault="00C776D3" w:rsidP="00C776D3">
      <w:pPr>
        <w:pStyle w:val="SingleTxt"/>
        <w:rPr>
          <w:rFonts w:ascii="SimHei" w:eastAsia="SimHei" w:hint="eastAsia"/>
        </w:rPr>
      </w:pPr>
      <w:r w:rsidRPr="00216A38">
        <w:rPr>
          <w:rFonts w:ascii="SimHei" w:eastAsia="SimHei" w:hint="eastAsia"/>
        </w:rPr>
        <w:t>接受教育的机会</w:t>
      </w:r>
    </w:p>
    <w:p w:rsidR="00C776D3" w:rsidRDefault="00C776D3" w:rsidP="00C776D3">
      <w:pPr>
        <w:pStyle w:val="SingleTxt"/>
        <w:rPr>
          <w:rFonts w:hint="eastAsia"/>
        </w:rPr>
      </w:pPr>
      <w:r>
        <w:rPr>
          <w:rFonts w:hint="eastAsia"/>
        </w:rPr>
        <w:t>80.</w:t>
      </w:r>
      <w:r>
        <w:rPr>
          <w:rFonts w:hint="eastAsia"/>
        </w:rPr>
        <w:tab/>
        <w:t>《教育法》(1996年)规定，巴哈马所有5至16岁儿童均享有受教育机会。男子和妇女可通过补助金、助学金、政府贷款和奖学金以及私人部门资助获得大专教育。</w:t>
      </w:r>
    </w:p>
    <w:p w:rsidR="00C776D3" w:rsidRDefault="00C776D3" w:rsidP="00C776D3">
      <w:pPr>
        <w:pStyle w:val="SingleTxt"/>
        <w:rPr>
          <w:rFonts w:hint="eastAsia"/>
        </w:rPr>
      </w:pPr>
      <w:r>
        <w:rPr>
          <w:rFonts w:hint="eastAsia"/>
        </w:rPr>
        <w:t>81.</w:t>
      </w:r>
      <w:r>
        <w:rPr>
          <w:rFonts w:hint="eastAsia"/>
        </w:rPr>
        <w:tab/>
        <w:t>巴哈马所有学校均实行男女同校，大、中、小学的女生和男生可攻读同样的科目。他们一般是通过就业指导顾问、职业博览会/招聘会和学校课程了解这些选项。</w:t>
      </w:r>
    </w:p>
    <w:p w:rsidR="00C776D3" w:rsidRDefault="00C776D3" w:rsidP="00C776D3">
      <w:pPr>
        <w:pStyle w:val="SingleTxt"/>
        <w:rPr>
          <w:rFonts w:hint="eastAsia"/>
        </w:rPr>
      </w:pPr>
      <w:r>
        <w:rPr>
          <w:rFonts w:hint="eastAsia"/>
        </w:rPr>
        <w:t>82.</w:t>
      </w:r>
      <w:r>
        <w:rPr>
          <w:rFonts w:hint="eastAsia"/>
        </w:rPr>
        <w:tab/>
        <w:t>所有学生只要达到入学要求，均可自由选择学习科目。为语文和数学方面缺乏必要能力和技能的学生编制了一个“过渡课程”，以便其参与学习。这些学生完成“过渡课程”后，不论性别，均可自由选择学习科目。</w:t>
      </w:r>
    </w:p>
    <w:p w:rsidR="00C776D3" w:rsidRDefault="00C776D3" w:rsidP="00C776D3">
      <w:pPr>
        <w:pStyle w:val="SingleTxt"/>
        <w:rPr>
          <w:rFonts w:hint="eastAsia"/>
        </w:rPr>
      </w:pPr>
      <w:r>
        <w:rPr>
          <w:rFonts w:hint="eastAsia"/>
        </w:rPr>
        <w:t>83.</w:t>
      </w:r>
      <w:r>
        <w:rPr>
          <w:rFonts w:hint="eastAsia"/>
        </w:rPr>
        <w:tab/>
        <w:t xml:space="preserve">截至本文件完成时，尚未获得显示大、中、小学女生百分比的数据。 </w:t>
      </w:r>
    </w:p>
    <w:p w:rsidR="00C776D3" w:rsidRPr="00216A38" w:rsidRDefault="00C776D3" w:rsidP="00C776D3">
      <w:pPr>
        <w:pStyle w:val="SingleTxt"/>
        <w:rPr>
          <w:rFonts w:ascii="SimHei" w:eastAsia="SimHei" w:hint="eastAsia"/>
        </w:rPr>
      </w:pPr>
      <w:r w:rsidRPr="00216A38">
        <w:rPr>
          <w:rFonts w:ascii="SimHei" w:eastAsia="SimHei" w:hint="eastAsia"/>
        </w:rPr>
        <w:t>识字率</w:t>
      </w:r>
    </w:p>
    <w:p w:rsidR="00C776D3" w:rsidRDefault="00C776D3" w:rsidP="00C776D3">
      <w:pPr>
        <w:pStyle w:val="SingleTxt"/>
        <w:rPr>
          <w:rFonts w:hint="eastAsia"/>
        </w:rPr>
      </w:pPr>
      <w:r>
        <w:rPr>
          <w:rFonts w:hint="eastAsia"/>
        </w:rPr>
        <w:t>84.</w:t>
      </w:r>
      <w:r>
        <w:rPr>
          <w:rFonts w:hint="eastAsia"/>
        </w:rPr>
        <w:tab/>
        <w:t>遗憾的是，巴哈马尚未进行识字率调查。但其他来源(《世界概况》)于2003年进行了一次识字率调查。对象组为15岁及以上的人，结论是95%的巴哈马人识字。在对象组中，男性识字率为97.7%，女性为96.5%。</w:t>
      </w:r>
    </w:p>
    <w:p w:rsidR="00C776D3" w:rsidRDefault="00C776D3" w:rsidP="00C776D3">
      <w:pPr>
        <w:pStyle w:val="SingleTxt"/>
        <w:rPr>
          <w:rFonts w:hint="eastAsia"/>
        </w:rPr>
      </w:pPr>
      <w:r>
        <w:rPr>
          <w:rFonts w:hint="eastAsia"/>
        </w:rPr>
        <w:t>85.</w:t>
      </w:r>
      <w:r>
        <w:rPr>
          <w:rFonts w:hint="eastAsia"/>
        </w:rPr>
        <w:tab/>
        <w:t xml:space="preserve">巴哈马妇女在生活的大多数领域继续取得重大进展。教育领域自20世纪末以来和本世纪第一个十年取得了尤其显著的进展。妇女占成人教育和识字班入学人数的51.7%。比较而言，参加识字课程的女性与男性比例为105:98。 </w:t>
      </w:r>
    </w:p>
    <w:p w:rsidR="00C776D3" w:rsidRDefault="00C776D3" w:rsidP="00C776D3">
      <w:pPr>
        <w:pStyle w:val="SingleTxt"/>
        <w:rPr>
          <w:rFonts w:hint="eastAsia"/>
        </w:rPr>
      </w:pPr>
      <w:r>
        <w:rPr>
          <w:rFonts w:hint="eastAsia"/>
        </w:rPr>
        <w:t>86.</w:t>
      </w:r>
      <w:r>
        <w:rPr>
          <w:rFonts w:hint="eastAsia"/>
        </w:rPr>
        <w:tab/>
        <w:t>妇女在受教育方面面临的一些挑战/障碍包括：</w:t>
      </w:r>
    </w:p>
    <w:p w:rsidR="00C776D3" w:rsidRDefault="00C776D3" w:rsidP="00C776D3">
      <w:pPr>
        <w:pStyle w:val="SingleTxt"/>
        <w:rPr>
          <w:rFonts w:hint="eastAsia"/>
        </w:rPr>
      </w:pPr>
      <w:r>
        <w:tab/>
      </w:r>
      <w:r>
        <w:rPr>
          <w:rFonts w:hint="eastAsia"/>
        </w:rPr>
        <w:t>(a)</w:t>
      </w:r>
      <w:r>
        <w:rPr>
          <w:rFonts w:hint="eastAsia"/>
        </w:rPr>
        <w:tab/>
        <w:t>文化模式：传统上要求妇女留在家中照顾家庭。此外，一些妇女处于另一个极端，不得不找工作养家糊口，使其没有时间通过正式途经增强识字能力。</w:t>
      </w:r>
    </w:p>
    <w:p w:rsidR="00C776D3" w:rsidRDefault="00C776D3" w:rsidP="00C776D3">
      <w:pPr>
        <w:pStyle w:val="SingleTxt"/>
        <w:rPr>
          <w:rFonts w:hint="eastAsia"/>
        </w:rPr>
      </w:pPr>
      <w:r>
        <w:tab/>
      </w:r>
      <w:r>
        <w:rPr>
          <w:rFonts w:hint="eastAsia"/>
        </w:rPr>
        <w:t>(b)</w:t>
      </w:r>
      <w:r>
        <w:rPr>
          <w:rFonts w:hint="eastAsia"/>
        </w:rPr>
        <w:tab/>
        <w:t>婚姻/关系不和：一些妇女的丈夫、男友和家属反对其增强识字能力。这种缺乏支持的情况对个人有不同的影响。当学生在识字班注册时，往往向老师反映这一情况，老师意识到学生遇到的障碍后，会给予一切必要的精神鼓励。</w:t>
      </w:r>
    </w:p>
    <w:p w:rsidR="00C776D3" w:rsidRDefault="00C776D3" w:rsidP="00C776D3">
      <w:pPr>
        <w:pStyle w:val="SingleTxt"/>
        <w:rPr>
          <w:rFonts w:hint="eastAsia"/>
        </w:rPr>
      </w:pPr>
      <w:r>
        <w:tab/>
      </w:r>
      <w:r>
        <w:rPr>
          <w:rFonts w:hint="eastAsia"/>
        </w:rPr>
        <w:t>(c)</w:t>
      </w:r>
      <w:r>
        <w:rPr>
          <w:rFonts w:hint="eastAsia"/>
        </w:rPr>
        <w:tab/>
        <w:t>职业上的限制因素：有些人特别是政府雇员比较幸运，可以请假去国家扫盲服务机构上课。这是国家扫盲服务机构准假方案的一部分。</w:t>
      </w:r>
    </w:p>
    <w:p w:rsidR="00C776D3" w:rsidRDefault="00C776D3" w:rsidP="00C776D3">
      <w:pPr>
        <w:pStyle w:val="SingleTxt"/>
        <w:rPr>
          <w:rFonts w:hint="eastAsia"/>
        </w:rPr>
      </w:pPr>
      <w:r>
        <w:tab/>
      </w:r>
      <w:r>
        <w:rPr>
          <w:rFonts w:hint="eastAsia"/>
        </w:rPr>
        <w:t>(d)</w:t>
      </w:r>
      <w:r>
        <w:rPr>
          <w:rFonts w:hint="eastAsia"/>
        </w:rPr>
        <w:tab/>
        <w:t>健康问题：一些妇女因怀孕并发症而退学。一些自身免疫性病症也会影响定期上课。</w:t>
      </w:r>
    </w:p>
    <w:p w:rsidR="00C776D3" w:rsidRDefault="00C776D3" w:rsidP="00C776D3">
      <w:pPr>
        <w:pStyle w:val="SingleTxt"/>
        <w:rPr>
          <w:rFonts w:hint="eastAsia"/>
        </w:rPr>
      </w:pPr>
      <w:r>
        <w:tab/>
      </w:r>
      <w:r>
        <w:rPr>
          <w:rFonts w:hint="eastAsia"/>
        </w:rPr>
        <w:t>(e)</w:t>
      </w:r>
      <w:r>
        <w:rPr>
          <w:rFonts w:hint="eastAsia"/>
        </w:rPr>
        <w:tab/>
        <w:t>自卑感：一些人不好意思向家人承认自己缺乏识字能力，因而妨碍其下决心增强识字能力。</w:t>
      </w:r>
    </w:p>
    <w:p w:rsidR="00C776D3" w:rsidRDefault="00C776D3" w:rsidP="00C776D3">
      <w:pPr>
        <w:pStyle w:val="SingleTxt"/>
        <w:rPr>
          <w:rFonts w:hint="eastAsia"/>
        </w:rPr>
      </w:pPr>
      <w:r>
        <w:tab/>
      </w:r>
      <w:r>
        <w:rPr>
          <w:rFonts w:hint="eastAsia"/>
        </w:rPr>
        <w:t>(f)</w:t>
      </w:r>
      <w:r>
        <w:rPr>
          <w:rFonts w:hint="eastAsia"/>
        </w:rPr>
        <w:tab/>
        <w:t>进入建筑物方面的障碍：身体有残疾者难以进入学习场所。</w:t>
      </w:r>
    </w:p>
    <w:p w:rsidR="00C776D3" w:rsidRDefault="00C776D3" w:rsidP="00C776D3">
      <w:pPr>
        <w:pStyle w:val="SingleTxt"/>
        <w:rPr>
          <w:rFonts w:hint="eastAsia"/>
        </w:rPr>
      </w:pPr>
      <w:r>
        <w:tab/>
      </w:r>
      <w:r>
        <w:rPr>
          <w:rFonts w:hint="eastAsia"/>
        </w:rPr>
        <w:t>(g)</w:t>
      </w:r>
      <w:r>
        <w:rPr>
          <w:rFonts w:hint="eastAsia"/>
        </w:rPr>
        <w:tab/>
        <w:t>居住地点：有兴趣入学而住在家族群岛的人无法参加这个位于新普罗维登斯岛的识字班。目前正在努力建立分校。</w:t>
      </w:r>
    </w:p>
    <w:p w:rsidR="00C776D3" w:rsidRDefault="00C776D3" w:rsidP="00C776D3">
      <w:pPr>
        <w:pStyle w:val="SingleTxt"/>
        <w:rPr>
          <w:rFonts w:hint="eastAsia"/>
        </w:rPr>
      </w:pPr>
      <w:r>
        <w:rPr>
          <w:rFonts w:hint="eastAsia"/>
        </w:rPr>
        <w:t>87.</w:t>
      </w:r>
      <w:r>
        <w:rPr>
          <w:rFonts w:hint="eastAsia"/>
        </w:rPr>
        <w:tab/>
        <w:t>移民妇女的情况特殊，需要加以考虑。有兴趣增强识字能力的移民妇女除识字问题外，往往还需要解决语言问题。英语可能并非其第一语言，因此理想的方法是将其视为有资格接受ESL(非母语英语)教育。这种教育的主要不同是应用文化学习方法，并注重鼓励学生扩大自己的心理舒适范围(采用情绪过滤综合征治疗法)。必须说明，这一点并不仅限于妇女，但仍值得提出。到国家扫盲服务机构上课的人须出示配偶同意书、工作单位许可信、居民证或巴哈马国籍证明。移民妇女可能不具备以上任何一项，因此可能被拒绝参加其非常需要的识字班。</w:t>
      </w:r>
    </w:p>
    <w:p w:rsidR="00C776D3" w:rsidRPr="00216A38" w:rsidRDefault="00C776D3" w:rsidP="00C776D3">
      <w:pPr>
        <w:pStyle w:val="SingleTxt"/>
        <w:rPr>
          <w:rFonts w:ascii="SimHei" w:eastAsia="SimHei" w:hint="eastAsia"/>
        </w:rPr>
      </w:pPr>
      <w:r w:rsidRPr="00216A38">
        <w:rPr>
          <w:rFonts w:ascii="SimHei" w:eastAsia="SimHei" w:hint="eastAsia"/>
        </w:rPr>
        <w:t>女孩和男孩成长机会平等</w:t>
      </w:r>
    </w:p>
    <w:p w:rsidR="00C776D3" w:rsidRDefault="00C776D3" w:rsidP="00C776D3">
      <w:pPr>
        <w:pStyle w:val="SingleTxt"/>
        <w:rPr>
          <w:rFonts w:hint="eastAsia"/>
        </w:rPr>
      </w:pPr>
      <w:r>
        <w:rPr>
          <w:rFonts w:hint="eastAsia"/>
        </w:rPr>
        <w:t>88.</w:t>
      </w:r>
      <w:r>
        <w:rPr>
          <w:rFonts w:hint="eastAsia"/>
        </w:rPr>
        <w:tab/>
        <w:t>2005年，巴哈马政府与美洲开发银行共同实施了一项教育和培训改革支助方案(SPTET)。最近，该方案已重新展开，改名为教育创新改革学生与课程投资项目(INSPIRE)。其目标是增强人力资本的积累，所实施的举措将产生以下效益：</w:t>
      </w:r>
    </w:p>
    <w:p w:rsidR="00C776D3" w:rsidRDefault="00C776D3" w:rsidP="00C776D3">
      <w:pPr>
        <w:pStyle w:val="SingleTxt"/>
        <w:ind w:left="2126" w:hanging="431"/>
        <w:rPr>
          <w:rFonts w:hint="eastAsia"/>
        </w:rPr>
      </w:pPr>
      <w:r>
        <w:rPr>
          <w:rFonts w:hint="eastAsia"/>
        </w:rPr>
        <w:sym w:font="Symbol" w:char="F0B7"/>
      </w:r>
      <w:r>
        <w:tab/>
      </w:r>
      <w:r>
        <w:rPr>
          <w:rFonts w:hint="eastAsia"/>
        </w:rPr>
        <w:t>建成立足于中学和大专教育的适当教育和培训体系；</w:t>
      </w:r>
    </w:p>
    <w:p w:rsidR="00C776D3" w:rsidRDefault="00C776D3" w:rsidP="00C776D3">
      <w:pPr>
        <w:pStyle w:val="SingleTxt"/>
        <w:ind w:left="2126" w:hanging="431"/>
        <w:rPr>
          <w:rFonts w:hint="eastAsia"/>
        </w:rPr>
      </w:pPr>
      <w:r>
        <w:rPr>
          <w:rFonts w:hint="eastAsia"/>
        </w:rPr>
        <w:sym w:font="Symbol" w:char="F0B7"/>
      </w:r>
      <w:r>
        <w:tab/>
      </w:r>
      <w:r>
        <w:rPr>
          <w:rFonts w:hint="eastAsia"/>
        </w:rPr>
        <w:t>巴哈马技术和职业学院获得改造和重新定位；</w:t>
      </w:r>
    </w:p>
    <w:p w:rsidR="00C776D3" w:rsidRDefault="00C776D3" w:rsidP="00C776D3">
      <w:pPr>
        <w:pStyle w:val="SingleTxt"/>
        <w:ind w:left="2126" w:hanging="431"/>
        <w:rPr>
          <w:rFonts w:hint="eastAsia"/>
        </w:rPr>
      </w:pPr>
      <w:r>
        <w:rPr>
          <w:rFonts w:hint="eastAsia"/>
        </w:rPr>
        <w:sym w:font="Symbol" w:char="F0B7"/>
      </w:r>
      <w:r>
        <w:tab/>
      </w:r>
      <w:r>
        <w:rPr>
          <w:rFonts w:hint="eastAsia"/>
        </w:rPr>
        <w:t>提高早期教育质量和入学率；</w:t>
      </w:r>
    </w:p>
    <w:p w:rsidR="00C776D3" w:rsidRDefault="00C776D3" w:rsidP="00C776D3">
      <w:pPr>
        <w:pStyle w:val="SingleTxt"/>
        <w:ind w:left="2126" w:hanging="431"/>
        <w:rPr>
          <w:rFonts w:hint="eastAsia"/>
        </w:rPr>
      </w:pPr>
      <w:r>
        <w:rPr>
          <w:rFonts w:hint="eastAsia"/>
        </w:rPr>
        <w:sym w:font="Symbol" w:char="F0B7"/>
      </w:r>
      <w:r>
        <w:tab/>
      </w:r>
      <w:r>
        <w:rPr>
          <w:rFonts w:hint="eastAsia"/>
        </w:rPr>
        <w:t>增强学校容纳有特殊需要学童的能力；</w:t>
      </w:r>
    </w:p>
    <w:p w:rsidR="00C776D3" w:rsidRDefault="00C776D3" w:rsidP="00C776D3">
      <w:pPr>
        <w:pStyle w:val="SingleTxt"/>
        <w:ind w:left="2126" w:hanging="431"/>
        <w:rPr>
          <w:rFonts w:hint="eastAsia"/>
        </w:rPr>
      </w:pPr>
      <w:r>
        <w:rPr>
          <w:rFonts w:hint="eastAsia"/>
        </w:rPr>
        <w:sym w:font="Symbol" w:char="F0B7"/>
      </w:r>
      <w:r>
        <w:tab/>
      </w:r>
      <w:r>
        <w:rPr>
          <w:rFonts w:hint="eastAsia"/>
        </w:rPr>
        <w:t>教育方面的公私伙伴关系；</w:t>
      </w:r>
    </w:p>
    <w:p w:rsidR="00C776D3" w:rsidRDefault="00C776D3" w:rsidP="00C776D3">
      <w:pPr>
        <w:pStyle w:val="SingleTxt"/>
        <w:ind w:left="2126" w:hanging="431"/>
        <w:rPr>
          <w:rFonts w:hint="eastAsia"/>
        </w:rPr>
      </w:pPr>
      <w:r>
        <w:rPr>
          <w:rFonts w:hint="eastAsia"/>
        </w:rPr>
        <w:sym w:font="Symbol" w:char="F0B7"/>
      </w:r>
      <w:r>
        <w:tab/>
      </w:r>
      <w:r>
        <w:rPr>
          <w:rFonts w:hint="eastAsia"/>
        </w:rPr>
        <w:t>加强教育系统的管理能力。</w:t>
      </w:r>
    </w:p>
    <w:p w:rsidR="00C776D3" w:rsidRDefault="00C776D3" w:rsidP="00C776D3">
      <w:pPr>
        <w:pStyle w:val="SingleTxt"/>
        <w:rPr>
          <w:rFonts w:hint="eastAsia"/>
        </w:rPr>
      </w:pPr>
      <w:r>
        <w:rPr>
          <w:rFonts w:hint="eastAsia"/>
        </w:rPr>
        <w:t>89.</w:t>
      </w:r>
      <w:r>
        <w:rPr>
          <w:rFonts w:hint="eastAsia"/>
        </w:rPr>
        <w:tab/>
        <w:t>正如以上各条、尤其是前两条所述，巴哈马正在大量投资以使学生能参加高质量的技术和职业学习课程。所规划的这些干预措施将有助于创建衔接紧密的环境，提供当前所需的教育和培训，不仅使个人能提高自己的生活质量，而且使巴哈马企业能在不断变化的世界上保持竞争力。预计这些方案将获得以下成效：</w:t>
      </w:r>
    </w:p>
    <w:p w:rsidR="00C776D3" w:rsidRDefault="00C776D3" w:rsidP="00C776D3">
      <w:pPr>
        <w:pStyle w:val="SingleTxt"/>
        <w:ind w:left="2126" w:hanging="431"/>
        <w:rPr>
          <w:rFonts w:hint="eastAsia"/>
        </w:rPr>
      </w:pPr>
      <w:r>
        <w:rPr>
          <w:rFonts w:hint="eastAsia"/>
        </w:rPr>
        <w:sym w:font="Symbol" w:char="F0B7"/>
      </w:r>
      <w:r>
        <w:tab/>
      </w:r>
      <w:r>
        <w:rPr>
          <w:rFonts w:hint="eastAsia"/>
        </w:rPr>
        <w:t>提供更多培训机会，尤其是在家族群岛；</w:t>
      </w:r>
    </w:p>
    <w:p w:rsidR="00C776D3" w:rsidRDefault="00C776D3" w:rsidP="00C776D3">
      <w:pPr>
        <w:pStyle w:val="SingleTxt"/>
        <w:ind w:left="2126" w:hanging="431"/>
        <w:rPr>
          <w:rFonts w:hint="eastAsia"/>
        </w:rPr>
      </w:pPr>
      <w:r>
        <w:rPr>
          <w:rFonts w:hint="eastAsia"/>
        </w:rPr>
        <w:sym w:font="Symbol" w:char="F0B7"/>
      </w:r>
      <w:r>
        <w:tab/>
      </w:r>
      <w:r>
        <w:rPr>
          <w:rFonts w:hint="eastAsia"/>
        </w:rPr>
        <w:t>提高中学和职业/技术教育的质量；</w:t>
      </w:r>
    </w:p>
    <w:p w:rsidR="00C776D3" w:rsidRDefault="00C776D3" w:rsidP="00C776D3">
      <w:pPr>
        <w:pStyle w:val="SingleTxt"/>
        <w:ind w:left="2126" w:hanging="431"/>
        <w:rPr>
          <w:rFonts w:hint="eastAsia"/>
        </w:rPr>
      </w:pPr>
      <w:r>
        <w:rPr>
          <w:rFonts w:hint="eastAsia"/>
        </w:rPr>
        <w:sym w:font="Symbol" w:char="F0B7"/>
      </w:r>
      <w:r>
        <w:tab/>
      </w:r>
      <w:r>
        <w:rPr>
          <w:rFonts w:hint="eastAsia"/>
        </w:rPr>
        <w:t>把电子工具使用能力作为所有中学生的核心学习内容；</w:t>
      </w:r>
    </w:p>
    <w:p w:rsidR="00C776D3" w:rsidRDefault="00C776D3" w:rsidP="00C776D3">
      <w:pPr>
        <w:pStyle w:val="SingleTxt"/>
        <w:rPr>
          <w:rFonts w:hint="eastAsia"/>
        </w:rPr>
      </w:pPr>
      <w:r>
        <w:rPr>
          <w:rFonts w:hint="eastAsia"/>
        </w:rPr>
        <w:t>90.</w:t>
      </w:r>
      <w:r>
        <w:rPr>
          <w:rFonts w:hint="eastAsia"/>
        </w:rPr>
        <w:tab/>
        <w:t>为实现这些及其他目标，此方案的一部分工作是致力于制定和执行一项全国技术与职业教育和培训框架。此项工作将有助于创建前后衔接的职业教育和培训系统，其特点是与生产部门保持永久关系，适应雇用行业的需求，并符合使毕业生成功加入劳动力市场所需的标准。主要行动方针包括：</w:t>
      </w:r>
    </w:p>
    <w:p w:rsidR="00C776D3" w:rsidRDefault="00C776D3" w:rsidP="00C776D3">
      <w:pPr>
        <w:pStyle w:val="SingleTxt"/>
        <w:ind w:left="2126" w:hanging="431"/>
        <w:rPr>
          <w:rFonts w:hint="eastAsia"/>
        </w:rPr>
      </w:pPr>
      <w:r>
        <w:rPr>
          <w:rFonts w:hint="eastAsia"/>
        </w:rPr>
        <w:sym w:font="Symbol" w:char="F0B7"/>
      </w:r>
      <w:r>
        <w:tab/>
      </w:r>
      <w:r>
        <w:rPr>
          <w:rFonts w:hint="eastAsia"/>
        </w:rPr>
        <w:t>建立国家劳动力开发理事会，负责监测职业教育和培训机构的工作质量；</w:t>
      </w:r>
    </w:p>
    <w:p w:rsidR="00C776D3" w:rsidRDefault="00C776D3" w:rsidP="00C776D3">
      <w:pPr>
        <w:pStyle w:val="SingleTxt"/>
        <w:ind w:left="2126" w:hanging="431"/>
        <w:rPr>
          <w:rFonts w:hint="eastAsia"/>
        </w:rPr>
      </w:pPr>
      <w:r>
        <w:rPr>
          <w:rFonts w:hint="eastAsia"/>
        </w:rPr>
        <w:sym w:font="Symbol" w:char="F0B7"/>
      </w:r>
      <w:r>
        <w:tab/>
      </w:r>
      <w:r>
        <w:rPr>
          <w:rFonts w:hint="eastAsia"/>
        </w:rPr>
        <w:t>建立国家资格认证框架，用以协调人力规划和明确能力认证工作。</w:t>
      </w:r>
    </w:p>
    <w:p w:rsidR="00C776D3" w:rsidRDefault="00C776D3" w:rsidP="00C776D3">
      <w:pPr>
        <w:pStyle w:val="SingleTxt"/>
        <w:ind w:left="2126" w:hanging="431"/>
        <w:rPr>
          <w:rFonts w:hint="eastAsia"/>
        </w:rPr>
      </w:pPr>
      <w:r>
        <w:rPr>
          <w:rFonts w:hint="eastAsia"/>
        </w:rPr>
        <w:sym w:font="Symbol" w:char="F0B7"/>
      </w:r>
      <w:r>
        <w:tab/>
      </w:r>
      <w:r>
        <w:rPr>
          <w:rFonts w:hint="eastAsia"/>
        </w:rPr>
        <w:t>执行经更新的高中学业及职业教育和培训标准</w:t>
      </w:r>
    </w:p>
    <w:p w:rsidR="00C776D3" w:rsidRPr="00216A38" w:rsidRDefault="00C776D3" w:rsidP="00C776D3">
      <w:pPr>
        <w:pStyle w:val="SingleTxt"/>
        <w:ind w:left="2126" w:hanging="431"/>
        <w:rPr>
          <w:rFonts w:ascii="SimHei" w:eastAsia="SimHei" w:hint="eastAsia"/>
        </w:rPr>
      </w:pPr>
      <w:r>
        <w:rPr>
          <w:rFonts w:hint="eastAsia"/>
        </w:rPr>
        <w:sym w:font="Symbol" w:char="F0B7"/>
      </w:r>
      <w:r>
        <w:tab/>
      </w:r>
      <w:r>
        <w:rPr>
          <w:rFonts w:hint="eastAsia"/>
        </w:rPr>
        <w:t>增强巴哈马技术和职业学院的能力，以建立模块化、基于能力、符合市场需要</w:t>
      </w:r>
      <w:r w:rsidRPr="00216A38">
        <w:rPr>
          <w:rFonts w:hint="eastAsia"/>
        </w:rPr>
        <w:t>、与国际标准看齐的培训课程。</w:t>
      </w:r>
    </w:p>
    <w:p w:rsidR="00C776D3" w:rsidRPr="00216A38" w:rsidRDefault="00C776D3" w:rsidP="00C776D3">
      <w:pPr>
        <w:pStyle w:val="SingleTxt"/>
        <w:rPr>
          <w:rFonts w:ascii="SimHei" w:eastAsia="SimHei" w:hint="eastAsia"/>
        </w:rPr>
      </w:pPr>
      <w:r w:rsidRPr="00216A38">
        <w:rPr>
          <w:rFonts w:ascii="SimHei" w:eastAsia="SimHei" w:hint="eastAsia"/>
        </w:rPr>
        <w:t>助学金和奖学金</w:t>
      </w:r>
    </w:p>
    <w:p w:rsidR="00C776D3" w:rsidRDefault="00C776D3" w:rsidP="00C776D3">
      <w:pPr>
        <w:pStyle w:val="SingleTxt"/>
        <w:rPr>
          <w:rFonts w:hint="eastAsia"/>
        </w:rPr>
      </w:pPr>
      <w:r>
        <w:rPr>
          <w:rFonts w:hint="eastAsia"/>
        </w:rPr>
        <w:t>91.</w:t>
      </w:r>
      <w:r>
        <w:rPr>
          <w:rFonts w:hint="eastAsia"/>
        </w:rPr>
        <w:tab/>
        <w:t>教育部大专教育质量保证科负责管理巴哈马学院发放的奖学金。教育部贷款和奖学金司负责管理向在巴哈马境外和境内经认可的大专院校(除巴哈马学院)就读的学生提供的奖学金和贷款。</w:t>
      </w:r>
    </w:p>
    <w:p w:rsidR="00C776D3" w:rsidRDefault="00C776D3" w:rsidP="00C776D3">
      <w:pPr>
        <w:pStyle w:val="SingleTxt"/>
        <w:rPr>
          <w:rFonts w:hint="eastAsia"/>
        </w:rPr>
      </w:pPr>
      <w:r>
        <w:rPr>
          <w:rFonts w:hint="eastAsia"/>
        </w:rPr>
        <w:t>92.</w:t>
      </w:r>
      <w:r>
        <w:rPr>
          <w:rFonts w:hint="eastAsia"/>
        </w:rPr>
        <w:tab/>
        <w:t>质量保证司管理两个奖学金，即国家补助奖学金(NBS)和师资教育助学金(TEG)。国家补助金颁发给以“C”或以上成绩通过五⑸个或更多巴哈马中等教育普通证书课程包括数学和英语的巴哈马公民。该补助金的颁发范围包括除教育学外的所有学科。</w:t>
      </w:r>
    </w:p>
    <w:p w:rsidR="00C776D3" w:rsidRDefault="00C776D3" w:rsidP="00C776D3">
      <w:pPr>
        <w:pStyle w:val="SingleTxt"/>
        <w:rPr>
          <w:rFonts w:hint="eastAsia"/>
        </w:rPr>
      </w:pPr>
      <w:r>
        <w:rPr>
          <w:rFonts w:hint="eastAsia"/>
        </w:rPr>
        <w:t>93.</w:t>
      </w:r>
      <w:r>
        <w:rPr>
          <w:rFonts w:hint="eastAsia"/>
        </w:rPr>
        <w:tab/>
        <w:t>师资教育助学金颁发给致力于从事教师职业并符合国家补助金合格学业标准的人。2006-2010年期间，463名师范学生获得师资教育助学金。在463名助学金获得者中，四百一十四(414)人为女性，占89.42%，49人为男性，占10.58%。遴选助学金获得者的标准是学业成绩。</w:t>
      </w:r>
    </w:p>
    <w:p w:rsidR="00C776D3" w:rsidRDefault="00C776D3" w:rsidP="00C776D3">
      <w:pPr>
        <w:pStyle w:val="SingleTxt"/>
        <w:rPr>
          <w:rFonts w:hint="eastAsia"/>
        </w:rPr>
      </w:pPr>
      <w:r>
        <w:rPr>
          <w:rFonts w:hint="eastAsia"/>
        </w:rPr>
        <w:t>94.</w:t>
      </w:r>
      <w:r>
        <w:rPr>
          <w:rFonts w:hint="eastAsia"/>
        </w:rPr>
        <w:tab/>
        <w:t>2006-2010年期间，国家补助金总计划下总共颁发993项奖学金，其中679项颁发给女性，占68.38%，314项颁发给男性，占31.62%。此奖学金以成绩优秀为颁发标准。</w:t>
      </w:r>
    </w:p>
    <w:p w:rsidR="00C776D3" w:rsidRDefault="00C776D3" w:rsidP="00C776D3">
      <w:pPr>
        <w:pStyle w:val="SingleTxt"/>
      </w:pPr>
      <w:r>
        <w:rPr>
          <w:rFonts w:hint="eastAsia"/>
        </w:rPr>
        <w:t>表13</w:t>
      </w:r>
      <w:r>
        <w:br/>
      </w:r>
      <w:r w:rsidRPr="00216A38">
        <w:rPr>
          <w:rFonts w:ascii="SimHei" w:eastAsia="SimHei" w:hint="eastAsia"/>
        </w:rPr>
        <w:t>国家奖学金方案，2006</w:t>
      </w:r>
      <w:r w:rsidRPr="00216A38">
        <w:rPr>
          <w:rFonts w:ascii="SimHei" w:eastAsia="SimHei"/>
        </w:rPr>
        <w:t>-</w:t>
      </w:r>
      <w:r w:rsidRPr="00216A38">
        <w:rPr>
          <w:rFonts w:ascii="SimHei" w:eastAsia="SimHei" w:hint="eastAsia"/>
        </w:rPr>
        <w:t>2010年</w:t>
      </w:r>
    </w:p>
    <w:tbl>
      <w:tblPr>
        <w:tblW w:w="0" w:type="auto"/>
        <w:tblInd w:w="1260" w:type="dxa"/>
        <w:tblLayout w:type="fixed"/>
        <w:tblCellMar>
          <w:left w:w="0" w:type="dxa"/>
          <w:right w:w="0" w:type="dxa"/>
        </w:tblCellMar>
        <w:tblLook w:val="0000" w:firstRow="0" w:lastRow="0" w:firstColumn="0" w:lastColumn="0" w:noHBand="0" w:noVBand="0"/>
      </w:tblPr>
      <w:tblGrid>
        <w:gridCol w:w="1220"/>
        <w:gridCol w:w="2440"/>
        <w:gridCol w:w="1220"/>
        <w:gridCol w:w="1220"/>
        <w:gridCol w:w="1220"/>
      </w:tblGrid>
      <w:tr w:rsidR="00C776D3" w:rsidRPr="00216A38" w:rsidTr="000F6B0C">
        <w:tblPrEx>
          <w:tblCellMar>
            <w:top w:w="0" w:type="dxa"/>
            <w:bottom w:w="0" w:type="dxa"/>
          </w:tblCellMar>
        </w:tblPrEx>
        <w:trPr>
          <w:trHeight w:val="317"/>
          <w:tblHeader/>
        </w:trPr>
        <w:tc>
          <w:tcPr>
            <w:tcW w:w="1220" w:type="dxa"/>
            <w:tcBorders>
              <w:top w:val="single" w:sz="4" w:space="0" w:color="auto"/>
              <w:bottom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before="60" w:after="60" w:line="200" w:lineRule="exact"/>
              <w:ind w:right="57"/>
              <w:rPr>
                <w:rFonts w:ascii="KaiTi_GB2312" w:eastAsia="KaiTi_GB2312"/>
                <w:sz w:val="15"/>
              </w:rPr>
            </w:pPr>
            <w:r w:rsidRPr="004539B7">
              <w:rPr>
                <w:rFonts w:ascii="KaiTi_GB2312" w:eastAsia="KaiTi_GB2312" w:hint="eastAsia"/>
                <w:sz w:val="15"/>
              </w:rPr>
              <w:t>年度</w:t>
            </w:r>
          </w:p>
        </w:tc>
        <w:tc>
          <w:tcPr>
            <w:tcW w:w="2440" w:type="dxa"/>
            <w:tcBorders>
              <w:top w:val="single" w:sz="4" w:space="0" w:color="auto"/>
              <w:bottom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before="60" w:after="60" w:line="200" w:lineRule="exact"/>
              <w:ind w:right="57"/>
              <w:jc w:val="left"/>
              <w:rPr>
                <w:rFonts w:ascii="KaiTi_GB2312" w:eastAsia="KaiTi_GB2312"/>
                <w:sz w:val="15"/>
              </w:rPr>
            </w:pPr>
            <w:r w:rsidRPr="004539B7">
              <w:rPr>
                <w:rFonts w:ascii="KaiTi_GB2312" w:eastAsia="KaiTi_GB2312" w:hint="eastAsia"/>
                <w:sz w:val="15"/>
              </w:rPr>
              <w:t>奖励种类</w:t>
            </w:r>
          </w:p>
        </w:tc>
        <w:tc>
          <w:tcPr>
            <w:tcW w:w="1220" w:type="dxa"/>
            <w:tcBorders>
              <w:top w:val="single" w:sz="4" w:space="0" w:color="auto"/>
              <w:bottom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4539B7">
              <w:rPr>
                <w:rFonts w:ascii="KaiTi_GB2312" w:eastAsia="KaiTi_GB2312" w:hint="eastAsia"/>
                <w:sz w:val="15"/>
              </w:rPr>
              <w:t>男性</w:t>
            </w:r>
          </w:p>
        </w:tc>
        <w:tc>
          <w:tcPr>
            <w:tcW w:w="1220" w:type="dxa"/>
            <w:tcBorders>
              <w:top w:val="single" w:sz="4" w:space="0" w:color="auto"/>
              <w:bottom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4539B7">
              <w:rPr>
                <w:rFonts w:ascii="KaiTi_GB2312" w:eastAsia="KaiTi_GB2312" w:hint="eastAsia"/>
                <w:sz w:val="15"/>
              </w:rPr>
              <w:t>女性</w:t>
            </w:r>
          </w:p>
        </w:tc>
        <w:tc>
          <w:tcPr>
            <w:tcW w:w="1220" w:type="dxa"/>
            <w:tcBorders>
              <w:top w:val="single" w:sz="4" w:space="0" w:color="auto"/>
              <w:bottom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4539B7">
              <w:rPr>
                <w:rFonts w:ascii="KaiTi_GB2312" w:eastAsia="KaiTi_GB2312" w:hint="eastAsia"/>
                <w:sz w:val="15"/>
              </w:rPr>
              <w:t>共计</w:t>
            </w:r>
          </w:p>
        </w:tc>
      </w:tr>
      <w:tr w:rsidR="00C776D3" w:rsidRPr="00216A38" w:rsidTr="000F6B0C">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after="60" w:line="280" w:lineRule="exact"/>
              <w:ind w:right="57"/>
              <w:rPr>
                <w:sz w:val="17"/>
              </w:rPr>
            </w:pPr>
          </w:p>
        </w:tc>
        <w:tc>
          <w:tcPr>
            <w:tcW w:w="2440" w:type="dxa"/>
            <w:tcBorders>
              <w:top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after="60" w:line="280" w:lineRule="exact"/>
              <w:ind w:right="57"/>
              <w:jc w:val="left"/>
              <w:rPr>
                <w:sz w:val="17"/>
              </w:rPr>
            </w:pPr>
          </w:p>
        </w:tc>
        <w:tc>
          <w:tcPr>
            <w:tcW w:w="1220" w:type="dxa"/>
            <w:tcBorders>
              <w:top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after="60" w:line="280" w:lineRule="exact"/>
              <w:ind w:right="57"/>
              <w:jc w:val="right"/>
              <w:rPr>
                <w:sz w:val="17"/>
              </w:rPr>
            </w:pPr>
          </w:p>
        </w:tc>
        <w:tc>
          <w:tcPr>
            <w:tcW w:w="1220" w:type="dxa"/>
            <w:tcBorders>
              <w:top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after="60" w:line="280" w:lineRule="exact"/>
              <w:ind w:right="57"/>
              <w:jc w:val="right"/>
              <w:rPr>
                <w:sz w:val="17"/>
              </w:rPr>
            </w:pPr>
          </w:p>
        </w:tc>
        <w:tc>
          <w:tcPr>
            <w:tcW w:w="1220" w:type="dxa"/>
            <w:tcBorders>
              <w:top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after="60" w:line="280" w:lineRule="exact"/>
              <w:ind w:right="57"/>
              <w:jc w:val="right"/>
              <w:rPr>
                <w:sz w:val="17"/>
              </w:rPr>
            </w:pP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rPr>
                <w:sz w:val="17"/>
              </w:rPr>
            </w:pPr>
            <w:r w:rsidRPr="004539B7">
              <w:rPr>
                <w:rFonts w:hint="eastAsia"/>
                <w:sz w:val="17"/>
              </w:rPr>
              <w:t>2006</w:t>
            </w: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优秀成绩</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3</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4</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rPr>
                <w:sz w:val="17"/>
              </w:rPr>
            </w:pP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学业</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3</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8</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11</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rPr>
                <w:sz w:val="17"/>
              </w:rPr>
            </w:pP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技术</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4</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5</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rPr>
                <w:sz w:val="17"/>
              </w:rPr>
            </w:pPr>
            <w:r w:rsidRPr="004539B7">
              <w:rPr>
                <w:rFonts w:hint="eastAsia"/>
                <w:sz w:val="17"/>
              </w:rPr>
              <w:t>2007</w:t>
            </w: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优秀成绩</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2</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5</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7</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学业</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3</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11</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14</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技术</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5</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8</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13</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p>
        </w:tc>
        <w:tc>
          <w:tcPr>
            <w:tcW w:w="244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jc w:val="left"/>
              <w:rPr>
                <w:rFonts w:hint="eastAsia"/>
                <w:sz w:val="17"/>
              </w:rPr>
            </w:pPr>
            <w:r w:rsidRPr="004539B7">
              <w:rPr>
                <w:rFonts w:hint="eastAsia"/>
                <w:sz w:val="17"/>
              </w:rPr>
              <w:t>助学金</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47</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76</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123</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r w:rsidRPr="004539B7">
              <w:rPr>
                <w:rFonts w:hint="eastAsia"/>
                <w:sz w:val="17"/>
              </w:rPr>
              <w:t>2008</w:t>
            </w: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优秀成绩</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6</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5</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11</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学业</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6</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10</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16</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技术</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13</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3</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16</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p>
        </w:tc>
        <w:tc>
          <w:tcPr>
            <w:tcW w:w="244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jc w:val="left"/>
              <w:rPr>
                <w:rFonts w:hint="eastAsia"/>
                <w:sz w:val="17"/>
              </w:rPr>
            </w:pPr>
            <w:r w:rsidRPr="004539B7">
              <w:rPr>
                <w:rFonts w:hint="eastAsia"/>
                <w:sz w:val="17"/>
              </w:rPr>
              <w:t>助学金</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52</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84</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136</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r w:rsidRPr="004539B7">
              <w:rPr>
                <w:rFonts w:hint="eastAsia"/>
                <w:sz w:val="17"/>
              </w:rPr>
              <w:t>2009</w:t>
            </w: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优秀成绩</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3</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4</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学业</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5</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5</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10</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技术</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5</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5</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10</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p>
        </w:tc>
        <w:tc>
          <w:tcPr>
            <w:tcW w:w="244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jc w:val="left"/>
              <w:rPr>
                <w:rFonts w:hint="eastAsia"/>
                <w:sz w:val="17"/>
              </w:rPr>
            </w:pPr>
            <w:r w:rsidRPr="004539B7">
              <w:rPr>
                <w:rFonts w:hint="eastAsia"/>
                <w:sz w:val="17"/>
              </w:rPr>
              <w:t>助学金</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85</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159</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244</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r w:rsidRPr="004539B7">
              <w:rPr>
                <w:rFonts w:hint="eastAsia"/>
                <w:sz w:val="17"/>
              </w:rPr>
              <w:t>2010</w:t>
            </w: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优秀成绩</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3</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2</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5</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学业</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4</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10</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14</w:t>
            </w:r>
          </w:p>
        </w:tc>
      </w:tr>
      <w:tr w:rsidR="00C776D3" w:rsidRPr="00216A38" w:rsidTr="000F6B0C">
        <w:tblPrEx>
          <w:tblCellMar>
            <w:top w:w="0" w:type="dxa"/>
            <w:bottom w:w="0" w:type="dxa"/>
          </w:tblCellMar>
        </w:tblPrEx>
        <w:trPr>
          <w:trHeight w:val="317"/>
        </w:trPr>
        <w:tc>
          <w:tcPr>
            <w:tcW w:w="1220" w:type="dxa"/>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p>
        </w:tc>
        <w:tc>
          <w:tcPr>
            <w:tcW w:w="244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left"/>
              <w:rPr>
                <w:sz w:val="17"/>
              </w:rPr>
            </w:pPr>
            <w:r w:rsidRPr="004539B7">
              <w:rPr>
                <w:rFonts w:hint="eastAsia"/>
                <w:sz w:val="17"/>
              </w:rPr>
              <w:t>技术</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11</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w:t>
            </w:r>
          </w:p>
        </w:tc>
        <w:tc>
          <w:tcPr>
            <w:tcW w:w="122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12</w:t>
            </w:r>
          </w:p>
        </w:tc>
      </w:tr>
      <w:tr w:rsidR="00C776D3" w:rsidRPr="00216A38" w:rsidTr="000F6B0C">
        <w:tblPrEx>
          <w:tblCellMar>
            <w:top w:w="0" w:type="dxa"/>
            <w:bottom w:w="0" w:type="dxa"/>
          </w:tblCellMar>
        </w:tblPrEx>
        <w:trPr>
          <w:trHeight w:val="317"/>
        </w:trPr>
        <w:tc>
          <w:tcPr>
            <w:tcW w:w="1220" w:type="dxa"/>
            <w:tcBorders>
              <w:bottom w:val="single" w:sz="12" w:space="0" w:color="auto"/>
            </w:tcBorders>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rPr>
                <w:rFonts w:hint="eastAsia"/>
                <w:sz w:val="17"/>
              </w:rPr>
            </w:pPr>
          </w:p>
        </w:tc>
        <w:tc>
          <w:tcPr>
            <w:tcW w:w="2440" w:type="dxa"/>
            <w:tcBorders>
              <w:bottom w:val="single" w:sz="12" w:space="0" w:color="auto"/>
            </w:tcBorders>
            <w:shd w:val="clear" w:color="auto" w:fill="auto"/>
            <w:vAlign w:val="bottom"/>
          </w:tcPr>
          <w:p w:rsidR="00C776D3" w:rsidRPr="004539B7" w:rsidRDefault="00C776D3" w:rsidP="000F6B0C">
            <w:pPr>
              <w:tabs>
                <w:tab w:val="left" w:pos="334"/>
                <w:tab w:val="left" w:pos="669"/>
                <w:tab w:val="left" w:pos="1003"/>
                <w:tab w:val="left" w:pos="1338"/>
              </w:tabs>
              <w:suppressAutoHyphens/>
              <w:spacing w:after="60" w:line="280" w:lineRule="exact"/>
              <w:ind w:right="57"/>
              <w:jc w:val="left"/>
              <w:rPr>
                <w:rFonts w:hint="eastAsia"/>
                <w:sz w:val="17"/>
              </w:rPr>
            </w:pPr>
            <w:r w:rsidRPr="004539B7">
              <w:rPr>
                <w:rFonts w:hint="eastAsia"/>
                <w:sz w:val="17"/>
              </w:rPr>
              <w:t>助学金</w:t>
            </w:r>
          </w:p>
        </w:tc>
        <w:tc>
          <w:tcPr>
            <w:tcW w:w="1220" w:type="dxa"/>
            <w:tcBorders>
              <w:bottom w:val="single" w:sz="12" w:space="0" w:color="auto"/>
            </w:tcBorders>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79</w:t>
            </w:r>
          </w:p>
        </w:tc>
        <w:tc>
          <w:tcPr>
            <w:tcW w:w="1220" w:type="dxa"/>
            <w:tcBorders>
              <w:bottom w:val="single" w:sz="12" w:space="0" w:color="auto"/>
            </w:tcBorders>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163</w:t>
            </w:r>
          </w:p>
        </w:tc>
        <w:tc>
          <w:tcPr>
            <w:tcW w:w="1220" w:type="dxa"/>
            <w:tcBorders>
              <w:bottom w:val="single" w:sz="12" w:space="0" w:color="auto"/>
            </w:tcBorders>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jc w:val="right"/>
              <w:rPr>
                <w:sz w:val="17"/>
              </w:rPr>
            </w:pPr>
            <w:r>
              <w:rPr>
                <w:sz w:val="17"/>
              </w:rPr>
              <w:t>242</w:t>
            </w:r>
          </w:p>
        </w:tc>
      </w:tr>
    </w:tbl>
    <w:p w:rsidR="00C776D3" w:rsidRPr="004539B7" w:rsidRDefault="00C776D3" w:rsidP="00C776D3">
      <w:pPr>
        <w:pStyle w:val="SingleTxt"/>
        <w:spacing w:after="0" w:line="120" w:lineRule="exact"/>
        <w:rPr>
          <w:rFonts w:hint="eastAsia"/>
          <w:sz w:val="10"/>
        </w:rPr>
      </w:pPr>
    </w:p>
    <w:p w:rsidR="00C776D3" w:rsidRPr="004539B7" w:rsidRDefault="00C776D3" w:rsidP="00C776D3">
      <w:pPr>
        <w:pStyle w:val="SingleTxt"/>
        <w:rPr>
          <w:rFonts w:ascii="SimHei" w:eastAsia="SimHei" w:hint="eastAsia"/>
        </w:rPr>
      </w:pPr>
      <w:r w:rsidRPr="004539B7">
        <w:rPr>
          <w:rFonts w:ascii="SimHei" w:eastAsia="SimHei" w:hint="eastAsia"/>
        </w:rPr>
        <w:t>促使女孩坚持就学的法律和政策</w:t>
      </w:r>
    </w:p>
    <w:p w:rsidR="00C776D3" w:rsidRDefault="00C776D3" w:rsidP="00C776D3">
      <w:pPr>
        <w:pStyle w:val="SingleTxt"/>
        <w:rPr>
          <w:rFonts w:hint="eastAsia"/>
        </w:rPr>
      </w:pPr>
      <w:r>
        <w:rPr>
          <w:rFonts w:hint="eastAsia"/>
        </w:rPr>
        <w:t>95.</w:t>
      </w:r>
      <w:r>
        <w:rPr>
          <w:rFonts w:hint="eastAsia"/>
        </w:rPr>
        <w:tab/>
        <w:t>《教育法》(1996年)规定16岁以下儿童必须接受教育。其他机构，包括辛普森·宾男孩教育中心、威利梅·布拉特女孩教育中心、提供继续接受教育机会方案(PACE)和成功最终使所有人恢复信心方案(SURE)，向学习传统学校课程有困难的学生提供教学。</w:t>
      </w:r>
    </w:p>
    <w:p w:rsidR="00C776D3" w:rsidRDefault="00C776D3" w:rsidP="00C776D3">
      <w:pPr>
        <w:pStyle w:val="SingleTxt"/>
        <w:rPr>
          <w:rFonts w:hint="eastAsia"/>
        </w:rPr>
      </w:pPr>
      <w:r>
        <w:rPr>
          <w:rFonts w:hint="eastAsia"/>
        </w:rPr>
        <w:t>96.</w:t>
      </w:r>
      <w:r>
        <w:rPr>
          <w:rFonts w:hint="eastAsia"/>
        </w:rPr>
        <w:tab/>
        <w:t>PACE方案向怀孕少女提供教育，SURE方案则向有行为问题而难以学习传统学校课程的男孩提供教育。</w:t>
      </w:r>
    </w:p>
    <w:p w:rsidR="00C776D3" w:rsidRPr="003A4A48" w:rsidRDefault="00C776D3" w:rsidP="00C776D3">
      <w:pPr>
        <w:pStyle w:val="SingleTxt"/>
        <w:rPr>
          <w:rFonts w:ascii="SimHei" w:eastAsia="SimHei" w:hint="eastAsia"/>
        </w:rPr>
      </w:pPr>
      <w:r w:rsidRPr="003A4A48">
        <w:rPr>
          <w:rFonts w:ascii="SimHei" w:eastAsia="SimHei" w:hint="eastAsia"/>
        </w:rPr>
        <w:t>小学和中学的女教师</w:t>
      </w:r>
    </w:p>
    <w:p w:rsidR="00C776D3" w:rsidRDefault="00C776D3" w:rsidP="00C776D3">
      <w:pPr>
        <w:pStyle w:val="SingleTxt"/>
        <w:rPr>
          <w:rFonts w:hint="eastAsia"/>
        </w:rPr>
      </w:pPr>
      <w:r>
        <w:rPr>
          <w:rFonts w:hint="eastAsia"/>
        </w:rPr>
        <w:t>97.</w:t>
      </w:r>
      <w:r>
        <w:rPr>
          <w:rFonts w:hint="eastAsia"/>
        </w:rPr>
        <w:tab/>
        <w:t>巴哈马共有5 296名中小学教师，其中4 149名为女性，占教师队伍总人数的78.3%。以下的表和图显示全系统女教师的详细分布情况。</w:t>
      </w:r>
    </w:p>
    <w:p w:rsidR="00C776D3" w:rsidRDefault="00C776D3" w:rsidP="00C776D3">
      <w:pPr>
        <w:pStyle w:val="SingleTxt"/>
        <w:rPr>
          <w:rFonts w:hint="eastAsia"/>
        </w:rPr>
      </w:pPr>
      <w:r>
        <w:rPr>
          <w:rFonts w:hint="eastAsia"/>
        </w:rPr>
        <w:t>表14</w:t>
      </w:r>
      <w:r>
        <w:br/>
      </w:r>
      <w:r w:rsidRPr="003A4A48">
        <w:rPr>
          <w:rFonts w:ascii="SimHei" w:eastAsia="SimHei" w:hint="eastAsia"/>
        </w:rPr>
        <w:t>巴哈马女教师在各类学校中所占百分比</w:t>
      </w:r>
    </w:p>
    <w:tbl>
      <w:tblPr>
        <w:tblW w:w="0" w:type="auto"/>
        <w:tblInd w:w="1260" w:type="dxa"/>
        <w:tblLayout w:type="fixed"/>
        <w:tblCellMar>
          <w:left w:w="0" w:type="dxa"/>
          <w:right w:w="0" w:type="dxa"/>
        </w:tblCellMar>
        <w:tblLook w:val="0000" w:firstRow="0" w:lastRow="0" w:firstColumn="0" w:lastColumn="0" w:noHBand="0" w:noVBand="0"/>
      </w:tblPr>
      <w:tblGrid>
        <w:gridCol w:w="4880"/>
        <w:gridCol w:w="1220"/>
        <w:gridCol w:w="1220"/>
      </w:tblGrid>
      <w:tr w:rsidR="00C776D3" w:rsidRPr="00216A38" w:rsidTr="000F6B0C">
        <w:tblPrEx>
          <w:tblCellMar>
            <w:top w:w="0" w:type="dxa"/>
            <w:bottom w:w="0" w:type="dxa"/>
          </w:tblCellMar>
        </w:tblPrEx>
        <w:trPr>
          <w:trHeight w:val="317"/>
          <w:tblHeader/>
        </w:trPr>
        <w:tc>
          <w:tcPr>
            <w:tcW w:w="4880" w:type="dxa"/>
            <w:tcBorders>
              <w:top w:val="single" w:sz="4" w:space="0" w:color="auto"/>
              <w:bottom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before="60" w:after="60" w:line="200" w:lineRule="exact"/>
              <w:ind w:right="57"/>
              <w:rPr>
                <w:rFonts w:ascii="KaiTi_GB2312" w:eastAsia="KaiTi_GB2312"/>
                <w:sz w:val="15"/>
              </w:rPr>
            </w:pPr>
            <w:r w:rsidRPr="003A4A48">
              <w:rPr>
                <w:rFonts w:ascii="KaiTi_GB2312" w:eastAsia="KaiTi_GB2312" w:hint="eastAsia"/>
                <w:sz w:val="15"/>
              </w:rPr>
              <w:t>学校类别</w:t>
            </w:r>
          </w:p>
        </w:tc>
        <w:tc>
          <w:tcPr>
            <w:tcW w:w="1220" w:type="dxa"/>
            <w:tcBorders>
              <w:top w:val="single" w:sz="4" w:space="0" w:color="auto"/>
              <w:bottom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3A4A48">
              <w:rPr>
                <w:rFonts w:ascii="KaiTi_GB2312" w:eastAsia="KaiTi_GB2312" w:hint="eastAsia"/>
                <w:sz w:val="15"/>
              </w:rPr>
              <w:t>总数</w:t>
            </w:r>
          </w:p>
        </w:tc>
        <w:tc>
          <w:tcPr>
            <w:tcW w:w="1220" w:type="dxa"/>
            <w:tcBorders>
              <w:top w:val="single" w:sz="4" w:space="0" w:color="auto"/>
              <w:bottom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3A4A48">
              <w:rPr>
                <w:rFonts w:ascii="KaiTi_GB2312" w:eastAsia="KaiTi_GB2312" w:hint="eastAsia"/>
                <w:sz w:val="15"/>
              </w:rPr>
              <w:t>百分比</w:t>
            </w:r>
          </w:p>
        </w:tc>
      </w:tr>
      <w:tr w:rsidR="00C776D3" w:rsidRPr="00216A38" w:rsidTr="000F6B0C">
        <w:tblPrEx>
          <w:tblCellMar>
            <w:top w:w="0" w:type="dxa"/>
            <w:bottom w:w="0" w:type="dxa"/>
          </w:tblCellMar>
        </w:tblPrEx>
        <w:trPr>
          <w:trHeight w:hRule="exact" w:val="115"/>
          <w:tblHeader/>
        </w:trPr>
        <w:tc>
          <w:tcPr>
            <w:tcW w:w="4880" w:type="dxa"/>
            <w:tcBorders>
              <w:top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after="60" w:line="280" w:lineRule="exact"/>
              <w:ind w:right="57"/>
              <w:rPr>
                <w:sz w:val="17"/>
              </w:rPr>
            </w:pPr>
          </w:p>
        </w:tc>
        <w:tc>
          <w:tcPr>
            <w:tcW w:w="1220" w:type="dxa"/>
            <w:tcBorders>
              <w:top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after="60" w:line="280" w:lineRule="exact"/>
              <w:ind w:right="57"/>
              <w:jc w:val="right"/>
              <w:rPr>
                <w:sz w:val="17"/>
              </w:rPr>
            </w:pPr>
          </w:p>
        </w:tc>
        <w:tc>
          <w:tcPr>
            <w:tcW w:w="1220" w:type="dxa"/>
            <w:tcBorders>
              <w:top w:val="single" w:sz="12" w:space="0" w:color="auto"/>
            </w:tcBorders>
            <w:shd w:val="clear" w:color="auto" w:fill="auto"/>
            <w:vAlign w:val="bottom"/>
          </w:tcPr>
          <w:p w:rsidR="00C776D3" w:rsidRPr="00216A38" w:rsidRDefault="00C776D3" w:rsidP="000F6B0C">
            <w:pPr>
              <w:tabs>
                <w:tab w:val="left" w:pos="360"/>
                <w:tab w:val="left" w:pos="720"/>
                <w:tab w:val="left" w:pos="1080"/>
                <w:tab w:val="left" w:pos="1440"/>
              </w:tabs>
              <w:suppressAutoHyphens/>
              <w:spacing w:after="60" w:line="280" w:lineRule="exact"/>
              <w:ind w:right="57"/>
              <w:jc w:val="right"/>
              <w:rPr>
                <w:sz w:val="17"/>
              </w:rPr>
            </w:pPr>
          </w:p>
        </w:tc>
      </w:tr>
      <w:tr w:rsidR="00C776D3" w:rsidRPr="00216A38" w:rsidTr="000F6B0C">
        <w:tblPrEx>
          <w:tblCellMar>
            <w:top w:w="0" w:type="dxa"/>
            <w:bottom w:w="0" w:type="dxa"/>
          </w:tblCellMar>
        </w:tblPrEx>
        <w:trPr>
          <w:trHeight w:val="317"/>
        </w:trPr>
        <w:tc>
          <w:tcPr>
            <w:tcW w:w="488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rPr>
                <w:sz w:val="17"/>
              </w:rPr>
            </w:pPr>
            <w:r w:rsidRPr="003A4A48">
              <w:rPr>
                <w:rFonts w:hint="eastAsia"/>
                <w:sz w:val="17"/>
              </w:rPr>
              <w:t>学前班</w:t>
            </w:r>
          </w:p>
        </w:tc>
        <w:tc>
          <w:tcPr>
            <w:tcW w:w="1220" w:type="dxa"/>
            <w:shd w:val="clear" w:color="auto" w:fill="auto"/>
            <w:vAlign w:val="bottom"/>
          </w:tcPr>
          <w:p w:rsidR="00C776D3" w:rsidRPr="003A4A48" w:rsidRDefault="00C776D3" w:rsidP="000F6B0C">
            <w:pPr>
              <w:spacing w:after="60" w:line="280" w:lineRule="exact"/>
              <w:ind w:left="113" w:right="57"/>
              <w:jc w:val="right"/>
              <w:rPr>
                <w:sz w:val="17"/>
              </w:rPr>
            </w:pPr>
            <w:r w:rsidRPr="003A4A48">
              <w:rPr>
                <w:sz w:val="17"/>
              </w:rPr>
              <w:t>15</w:t>
            </w:r>
          </w:p>
        </w:tc>
        <w:tc>
          <w:tcPr>
            <w:tcW w:w="1220" w:type="dxa"/>
            <w:shd w:val="clear" w:color="auto" w:fill="auto"/>
            <w:vAlign w:val="bottom"/>
          </w:tcPr>
          <w:p w:rsidR="00C776D3" w:rsidRPr="003A4A48" w:rsidRDefault="00C776D3" w:rsidP="000F6B0C">
            <w:pPr>
              <w:spacing w:after="60" w:line="280" w:lineRule="exact"/>
              <w:ind w:left="113" w:right="57"/>
              <w:jc w:val="right"/>
              <w:rPr>
                <w:sz w:val="17"/>
              </w:rPr>
            </w:pPr>
            <w:r w:rsidRPr="003A4A48">
              <w:rPr>
                <w:sz w:val="17"/>
              </w:rPr>
              <w:t>0.3</w:t>
            </w:r>
          </w:p>
        </w:tc>
      </w:tr>
      <w:tr w:rsidR="00C776D3" w:rsidRPr="00216A38" w:rsidTr="000F6B0C">
        <w:tblPrEx>
          <w:tblCellMar>
            <w:top w:w="0" w:type="dxa"/>
            <w:bottom w:w="0" w:type="dxa"/>
          </w:tblCellMar>
        </w:tblPrEx>
        <w:trPr>
          <w:trHeight w:val="317"/>
        </w:trPr>
        <w:tc>
          <w:tcPr>
            <w:tcW w:w="488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rPr>
                <w:sz w:val="17"/>
              </w:rPr>
            </w:pPr>
            <w:r w:rsidRPr="003A4A48">
              <w:rPr>
                <w:rFonts w:hint="eastAsia"/>
                <w:sz w:val="17"/>
              </w:rPr>
              <w:t>小学</w:t>
            </w:r>
          </w:p>
        </w:tc>
        <w:tc>
          <w:tcPr>
            <w:tcW w:w="1220" w:type="dxa"/>
            <w:shd w:val="clear" w:color="auto" w:fill="auto"/>
            <w:vAlign w:val="bottom"/>
          </w:tcPr>
          <w:p w:rsidR="00C776D3" w:rsidRPr="003A4A48" w:rsidRDefault="00C776D3" w:rsidP="000F6B0C">
            <w:pPr>
              <w:spacing w:after="60" w:line="280" w:lineRule="exact"/>
              <w:ind w:left="113" w:right="57"/>
              <w:jc w:val="right"/>
              <w:rPr>
                <w:sz w:val="17"/>
              </w:rPr>
            </w:pPr>
            <w:r w:rsidRPr="003A4A48">
              <w:rPr>
                <w:sz w:val="17"/>
              </w:rPr>
              <w:t>2</w:t>
            </w:r>
            <w:r>
              <w:rPr>
                <w:sz w:val="17"/>
              </w:rPr>
              <w:t xml:space="preserve"> </w:t>
            </w:r>
            <w:r w:rsidRPr="003A4A48">
              <w:rPr>
                <w:sz w:val="17"/>
              </w:rPr>
              <w:t>174</w:t>
            </w:r>
          </w:p>
        </w:tc>
        <w:tc>
          <w:tcPr>
            <w:tcW w:w="1220" w:type="dxa"/>
            <w:shd w:val="clear" w:color="auto" w:fill="auto"/>
            <w:vAlign w:val="bottom"/>
          </w:tcPr>
          <w:p w:rsidR="00C776D3" w:rsidRPr="003A4A48" w:rsidRDefault="00C776D3" w:rsidP="000F6B0C">
            <w:pPr>
              <w:spacing w:after="60" w:line="280" w:lineRule="exact"/>
              <w:ind w:left="113" w:right="57"/>
              <w:jc w:val="right"/>
              <w:rPr>
                <w:sz w:val="17"/>
              </w:rPr>
            </w:pPr>
            <w:r w:rsidRPr="003A4A48">
              <w:rPr>
                <w:sz w:val="17"/>
              </w:rPr>
              <w:t>41.0</w:t>
            </w:r>
          </w:p>
        </w:tc>
      </w:tr>
      <w:tr w:rsidR="00C776D3" w:rsidRPr="00216A38" w:rsidTr="000F6B0C">
        <w:tblPrEx>
          <w:tblCellMar>
            <w:top w:w="0" w:type="dxa"/>
            <w:bottom w:w="0" w:type="dxa"/>
          </w:tblCellMar>
        </w:tblPrEx>
        <w:trPr>
          <w:trHeight w:val="317"/>
        </w:trPr>
        <w:tc>
          <w:tcPr>
            <w:tcW w:w="4880" w:type="dxa"/>
            <w:shd w:val="clear" w:color="auto" w:fill="auto"/>
            <w:vAlign w:val="bottom"/>
          </w:tcPr>
          <w:p w:rsidR="00C776D3" w:rsidRPr="00216A38" w:rsidRDefault="00C776D3" w:rsidP="000F6B0C">
            <w:pPr>
              <w:tabs>
                <w:tab w:val="left" w:pos="334"/>
                <w:tab w:val="left" w:pos="669"/>
                <w:tab w:val="left" w:pos="1003"/>
                <w:tab w:val="left" w:pos="1338"/>
              </w:tabs>
              <w:suppressAutoHyphens/>
              <w:spacing w:after="60" w:line="280" w:lineRule="exact"/>
              <w:ind w:right="57"/>
              <w:rPr>
                <w:sz w:val="17"/>
              </w:rPr>
            </w:pPr>
            <w:r w:rsidRPr="003A4A48">
              <w:rPr>
                <w:rFonts w:hint="eastAsia"/>
                <w:sz w:val="17"/>
              </w:rPr>
              <w:t>初中</w:t>
            </w:r>
          </w:p>
        </w:tc>
        <w:tc>
          <w:tcPr>
            <w:tcW w:w="1220" w:type="dxa"/>
            <w:shd w:val="clear" w:color="auto" w:fill="auto"/>
            <w:vAlign w:val="bottom"/>
          </w:tcPr>
          <w:p w:rsidR="00C776D3" w:rsidRPr="003A4A48" w:rsidRDefault="00C776D3" w:rsidP="000F6B0C">
            <w:pPr>
              <w:tabs>
                <w:tab w:val="left" w:pos="334"/>
                <w:tab w:val="left" w:pos="669"/>
                <w:tab w:val="left" w:pos="1003"/>
                <w:tab w:val="left" w:pos="1338"/>
              </w:tabs>
              <w:spacing w:after="60" w:line="280" w:lineRule="exact"/>
              <w:ind w:left="113" w:right="57"/>
              <w:jc w:val="right"/>
              <w:rPr>
                <w:sz w:val="17"/>
              </w:rPr>
            </w:pPr>
            <w:r w:rsidRPr="003A4A48">
              <w:rPr>
                <w:sz w:val="17"/>
              </w:rPr>
              <w:t>218</w:t>
            </w:r>
          </w:p>
        </w:tc>
        <w:tc>
          <w:tcPr>
            <w:tcW w:w="1220" w:type="dxa"/>
            <w:shd w:val="clear" w:color="auto" w:fill="auto"/>
            <w:vAlign w:val="bottom"/>
          </w:tcPr>
          <w:p w:rsidR="00C776D3" w:rsidRPr="003A4A48" w:rsidRDefault="00C776D3" w:rsidP="000F6B0C">
            <w:pPr>
              <w:tabs>
                <w:tab w:val="left" w:pos="334"/>
                <w:tab w:val="left" w:pos="669"/>
                <w:tab w:val="left" w:pos="1003"/>
                <w:tab w:val="left" w:pos="1338"/>
              </w:tabs>
              <w:spacing w:after="60" w:line="280" w:lineRule="exact"/>
              <w:ind w:left="113" w:right="57"/>
              <w:jc w:val="right"/>
              <w:rPr>
                <w:sz w:val="17"/>
              </w:rPr>
            </w:pPr>
            <w:r w:rsidRPr="003A4A48">
              <w:rPr>
                <w:sz w:val="17"/>
              </w:rPr>
              <w:t>4.1</w:t>
            </w:r>
          </w:p>
        </w:tc>
      </w:tr>
      <w:tr w:rsidR="00C776D3" w:rsidRPr="00216A38" w:rsidTr="000F6B0C">
        <w:tblPrEx>
          <w:tblCellMar>
            <w:top w:w="0" w:type="dxa"/>
            <w:bottom w:w="0" w:type="dxa"/>
          </w:tblCellMar>
        </w:tblPrEx>
        <w:trPr>
          <w:trHeight w:val="317"/>
        </w:trPr>
        <w:tc>
          <w:tcPr>
            <w:tcW w:w="4880" w:type="dxa"/>
            <w:shd w:val="clear" w:color="auto" w:fill="auto"/>
            <w:vAlign w:val="bottom"/>
          </w:tcPr>
          <w:p w:rsidR="00C776D3" w:rsidRPr="003A4A48" w:rsidRDefault="00C776D3" w:rsidP="000F6B0C">
            <w:pPr>
              <w:tabs>
                <w:tab w:val="left" w:pos="334"/>
                <w:tab w:val="left" w:pos="669"/>
                <w:tab w:val="left" w:pos="1003"/>
                <w:tab w:val="left" w:pos="1338"/>
              </w:tabs>
              <w:suppressAutoHyphens/>
              <w:spacing w:after="60" w:line="280" w:lineRule="exact"/>
              <w:ind w:right="57"/>
              <w:rPr>
                <w:rFonts w:hint="eastAsia"/>
                <w:sz w:val="17"/>
              </w:rPr>
            </w:pPr>
            <w:r w:rsidRPr="003A4A48">
              <w:rPr>
                <w:rFonts w:hint="eastAsia"/>
                <w:sz w:val="17"/>
              </w:rPr>
              <w:t>高中</w:t>
            </w:r>
          </w:p>
        </w:tc>
        <w:tc>
          <w:tcPr>
            <w:tcW w:w="1220" w:type="dxa"/>
            <w:shd w:val="clear" w:color="auto" w:fill="auto"/>
            <w:vAlign w:val="bottom"/>
          </w:tcPr>
          <w:p w:rsidR="00C776D3" w:rsidRPr="003A4A48" w:rsidRDefault="00C776D3" w:rsidP="000F6B0C">
            <w:pPr>
              <w:tabs>
                <w:tab w:val="left" w:pos="334"/>
                <w:tab w:val="left" w:pos="669"/>
                <w:tab w:val="left" w:pos="1003"/>
                <w:tab w:val="left" w:pos="1338"/>
              </w:tabs>
              <w:spacing w:after="60" w:line="280" w:lineRule="exact"/>
              <w:ind w:left="113" w:right="57"/>
              <w:jc w:val="right"/>
              <w:rPr>
                <w:sz w:val="17"/>
              </w:rPr>
            </w:pPr>
            <w:r w:rsidRPr="003A4A48">
              <w:rPr>
                <w:sz w:val="17"/>
              </w:rPr>
              <w:t>669</w:t>
            </w:r>
          </w:p>
        </w:tc>
        <w:tc>
          <w:tcPr>
            <w:tcW w:w="1220" w:type="dxa"/>
            <w:shd w:val="clear" w:color="auto" w:fill="auto"/>
            <w:vAlign w:val="bottom"/>
          </w:tcPr>
          <w:p w:rsidR="00C776D3" w:rsidRPr="003A4A48" w:rsidRDefault="00C776D3" w:rsidP="000F6B0C">
            <w:pPr>
              <w:tabs>
                <w:tab w:val="left" w:pos="334"/>
                <w:tab w:val="left" w:pos="669"/>
                <w:tab w:val="left" w:pos="1003"/>
                <w:tab w:val="left" w:pos="1338"/>
              </w:tabs>
              <w:spacing w:after="60" w:line="280" w:lineRule="exact"/>
              <w:ind w:left="113" w:right="57"/>
              <w:jc w:val="right"/>
              <w:rPr>
                <w:sz w:val="17"/>
              </w:rPr>
            </w:pPr>
            <w:r w:rsidRPr="003A4A48">
              <w:rPr>
                <w:sz w:val="17"/>
              </w:rPr>
              <w:t>12.6</w:t>
            </w:r>
          </w:p>
        </w:tc>
      </w:tr>
      <w:tr w:rsidR="00C776D3" w:rsidRPr="00216A38" w:rsidTr="000F6B0C">
        <w:tblPrEx>
          <w:tblCellMar>
            <w:top w:w="0" w:type="dxa"/>
            <w:bottom w:w="0" w:type="dxa"/>
          </w:tblCellMar>
        </w:tblPrEx>
        <w:trPr>
          <w:trHeight w:val="317"/>
        </w:trPr>
        <w:tc>
          <w:tcPr>
            <w:tcW w:w="4880" w:type="dxa"/>
            <w:shd w:val="clear" w:color="auto" w:fill="auto"/>
            <w:vAlign w:val="bottom"/>
          </w:tcPr>
          <w:p w:rsidR="00C776D3" w:rsidRPr="003A4A48" w:rsidRDefault="00C776D3" w:rsidP="000F6B0C">
            <w:pPr>
              <w:tabs>
                <w:tab w:val="left" w:pos="334"/>
                <w:tab w:val="left" w:pos="669"/>
                <w:tab w:val="left" w:pos="1003"/>
                <w:tab w:val="left" w:pos="1338"/>
              </w:tabs>
              <w:suppressAutoHyphens/>
              <w:spacing w:after="60" w:line="280" w:lineRule="exact"/>
              <w:ind w:right="57"/>
              <w:rPr>
                <w:rFonts w:hint="eastAsia"/>
                <w:sz w:val="17"/>
              </w:rPr>
            </w:pPr>
            <w:r w:rsidRPr="003A4A48">
              <w:rPr>
                <w:rFonts w:hint="eastAsia"/>
                <w:sz w:val="17"/>
              </w:rPr>
              <w:t>中学</w:t>
            </w:r>
          </w:p>
        </w:tc>
        <w:tc>
          <w:tcPr>
            <w:tcW w:w="1220" w:type="dxa"/>
            <w:shd w:val="clear" w:color="auto" w:fill="auto"/>
            <w:vAlign w:val="bottom"/>
          </w:tcPr>
          <w:p w:rsidR="00C776D3" w:rsidRPr="003A4A48" w:rsidRDefault="00C776D3" w:rsidP="000F6B0C">
            <w:pPr>
              <w:tabs>
                <w:tab w:val="left" w:pos="334"/>
                <w:tab w:val="left" w:pos="669"/>
                <w:tab w:val="left" w:pos="1003"/>
                <w:tab w:val="left" w:pos="1338"/>
              </w:tabs>
              <w:spacing w:after="60" w:line="280" w:lineRule="exact"/>
              <w:ind w:left="113" w:right="57"/>
              <w:jc w:val="right"/>
              <w:rPr>
                <w:sz w:val="17"/>
              </w:rPr>
            </w:pPr>
            <w:r w:rsidRPr="003A4A48">
              <w:rPr>
                <w:sz w:val="17"/>
              </w:rPr>
              <w:t>982</w:t>
            </w:r>
          </w:p>
        </w:tc>
        <w:tc>
          <w:tcPr>
            <w:tcW w:w="1220" w:type="dxa"/>
            <w:shd w:val="clear" w:color="auto" w:fill="auto"/>
            <w:vAlign w:val="bottom"/>
          </w:tcPr>
          <w:p w:rsidR="00C776D3" w:rsidRPr="003A4A48" w:rsidRDefault="00C776D3" w:rsidP="000F6B0C">
            <w:pPr>
              <w:tabs>
                <w:tab w:val="left" w:pos="334"/>
                <w:tab w:val="left" w:pos="669"/>
                <w:tab w:val="left" w:pos="1003"/>
                <w:tab w:val="left" w:pos="1338"/>
              </w:tabs>
              <w:spacing w:after="60" w:line="280" w:lineRule="exact"/>
              <w:ind w:left="113" w:right="57"/>
              <w:jc w:val="right"/>
              <w:rPr>
                <w:sz w:val="17"/>
              </w:rPr>
            </w:pPr>
            <w:r w:rsidRPr="003A4A48">
              <w:rPr>
                <w:sz w:val="17"/>
              </w:rPr>
              <w:t>18.5</w:t>
            </w:r>
          </w:p>
        </w:tc>
      </w:tr>
      <w:tr w:rsidR="00C776D3" w:rsidRPr="00216A38" w:rsidTr="000F6B0C">
        <w:tblPrEx>
          <w:tblCellMar>
            <w:top w:w="0" w:type="dxa"/>
            <w:bottom w:w="0" w:type="dxa"/>
          </w:tblCellMar>
        </w:tblPrEx>
        <w:trPr>
          <w:trHeight w:val="317"/>
        </w:trPr>
        <w:tc>
          <w:tcPr>
            <w:tcW w:w="4880" w:type="dxa"/>
            <w:tcBorders>
              <w:bottom w:val="single" w:sz="4" w:space="0" w:color="auto"/>
            </w:tcBorders>
            <w:shd w:val="clear" w:color="auto" w:fill="auto"/>
            <w:vAlign w:val="bottom"/>
          </w:tcPr>
          <w:p w:rsidR="00C776D3" w:rsidRPr="003A4A48" w:rsidRDefault="00C776D3" w:rsidP="000F6B0C">
            <w:pPr>
              <w:tabs>
                <w:tab w:val="left" w:pos="334"/>
                <w:tab w:val="left" w:pos="669"/>
                <w:tab w:val="left" w:pos="1003"/>
                <w:tab w:val="left" w:pos="1338"/>
              </w:tabs>
              <w:suppressAutoHyphens/>
              <w:spacing w:after="60" w:line="280" w:lineRule="exact"/>
              <w:ind w:right="57"/>
              <w:rPr>
                <w:rFonts w:hint="eastAsia"/>
                <w:sz w:val="17"/>
              </w:rPr>
            </w:pPr>
            <w:r w:rsidRPr="003A4A48">
              <w:rPr>
                <w:rFonts w:hint="eastAsia"/>
                <w:sz w:val="17"/>
              </w:rPr>
              <w:t>特殊学校</w:t>
            </w:r>
          </w:p>
        </w:tc>
        <w:tc>
          <w:tcPr>
            <w:tcW w:w="1220" w:type="dxa"/>
            <w:tcBorders>
              <w:bottom w:val="single" w:sz="4" w:space="0" w:color="auto"/>
            </w:tcBorders>
            <w:shd w:val="clear" w:color="auto" w:fill="auto"/>
            <w:vAlign w:val="bottom"/>
          </w:tcPr>
          <w:p w:rsidR="00C776D3" w:rsidRPr="003A4A48" w:rsidRDefault="00C776D3" w:rsidP="000F6B0C">
            <w:pPr>
              <w:tabs>
                <w:tab w:val="left" w:pos="334"/>
                <w:tab w:val="left" w:pos="669"/>
                <w:tab w:val="left" w:pos="1003"/>
                <w:tab w:val="left" w:pos="1338"/>
              </w:tabs>
              <w:spacing w:after="60" w:line="280" w:lineRule="exact"/>
              <w:ind w:left="113" w:right="57"/>
              <w:jc w:val="right"/>
              <w:rPr>
                <w:sz w:val="17"/>
              </w:rPr>
            </w:pPr>
            <w:r w:rsidRPr="003A4A48">
              <w:rPr>
                <w:sz w:val="17"/>
              </w:rPr>
              <w:t>91</w:t>
            </w:r>
          </w:p>
        </w:tc>
        <w:tc>
          <w:tcPr>
            <w:tcW w:w="1220" w:type="dxa"/>
            <w:tcBorders>
              <w:bottom w:val="single" w:sz="4" w:space="0" w:color="auto"/>
            </w:tcBorders>
            <w:shd w:val="clear" w:color="auto" w:fill="auto"/>
            <w:vAlign w:val="bottom"/>
          </w:tcPr>
          <w:p w:rsidR="00C776D3" w:rsidRPr="003A4A48" w:rsidRDefault="00C776D3" w:rsidP="000F6B0C">
            <w:pPr>
              <w:tabs>
                <w:tab w:val="left" w:pos="334"/>
                <w:tab w:val="left" w:pos="669"/>
                <w:tab w:val="left" w:pos="1003"/>
                <w:tab w:val="left" w:pos="1338"/>
              </w:tabs>
              <w:spacing w:after="60" w:line="280" w:lineRule="exact"/>
              <w:ind w:left="113" w:right="57"/>
              <w:jc w:val="right"/>
              <w:rPr>
                <w:sz w:val="17"/>
              </w:rPr>
            </w:pPr>
            <w:r w:rsidRPr="003A4A48">
              <w:rPr>
                <w:sz w:val="17"/>
              </w:rPr>
              <w:t>1.7</w:t>
            </w:r>
          </w:p>
        </w:tc>
      </w:tr>
      <w:tr w:rsidR="00C776D3" w:rsidRPr="003A4A48" w:rsidTr="000F6B0C">
        <w:tblPrEx>
          <w:tblCellMar>
            <w:top w:w="0" w:type="dxa"/>
            <w:bottom w:w="0" w:type="dxa"/>
          </w:tblCellMar>
        </w:tblPrEx>
        <w:trPr>
          <w:trHeight w:val="317"/>
        </w:trPr>
        <w:tc>
          <w:tcPr>
            <w:tcW w:w="4880" w:type="dxa"/>
            <w:tcBorders>
              <w:top w:val="single" w:sz="4" w:space="0" w:color="auto"/>
              <w:bottom w:val="single" w:sz="12" w:space="0" w:color="auto"/>
            </w:tcBorders>
            <w:shd w:val="clear" w:color="auto" w:fill="auto"/>
            <w:vAlign w:val="bottom"/>
          </w:tcPr>
          <w:p w:rsidR="00C776D3" w:rsidRPr="003A4A48" w:rsidRDefault="00C776D3" w:rsidP="000F6B0C">
            <w:pPr>
              <w:tabs>
                <w:tab w:val="left" w:pos="334"/>
                <w:tab w:val="left" w:pos="669"/>
                <w:tab w:val="left" w:pos="1003"/>
                <w:tab w:val="left" w:pos="1338"/>
              </w:tabs>
              <w:suppressAutoHyphens/>
              <w:spacing w:before="80" w:after="80" w:line="280" w:lineRule="exact"/>
              <w:ind w:right="57"/>
              <w:rPr>
                <w:rFonts w:ascii="SimHei" w:eastAsia="SimHei" w:hint="eastAsia"/>
                <w:b/>
                <w:sz w:val="17"/>
              </w:rPr>
            </w:pPr>
            <w:r w:rsidRPr="003A4A48">
              <w:rPr>
                <w:rFonts w:ascii="SimHei" w:eastAsia="SimHei"/>
                <w:b/>
                <w:sz w:val="17"/>
              </w:rPr>
              <w:tab/>
            </w:r>
            <w:r w:rsidRPr="003A4A48">
              <w:rPr>
                <w:rFonts w:ascii="SimHei" w:eastAsia="SimHei" w:hint="eastAsia"/>
                <w:b/>
                <w:sz w:val="17"/>
              </w:rPr>
              <w:t>共计</w:t>
            </w:r>
          </w:p>
        </w:tc>
        <w:tc>
          <w:tcPr>
            <w:tcW w:w="1220" w:type="dxa"/>
            <w:tcBorders>
              <w:top w:val="single" w:sz="4" w:space="0" w:color="auto"/>
              <w:bottom w:val="single" w:sz="12" w:space="0" w:color="auto"/>
            </w:tcBorders>
            <w:shd w:val="clear" w:color="auto" w:fill="auto"/>
            <w:vAlign w:val="bottom"/>
          </w:tcPr>
          <w:p w:rsidR="00C776D3" w:rsidRPr="003A4A48" w:rsidRDefault="00C776D3" w:rsidP="000F6B0C">
            <w:pPr>
              <w:tabs>
                <w:tab w:val="left" w:pos="334"/>
                <w:tab w:val="left" w:pos="669"/>
                <w:tab w:val="left" w:pos="1003"/>
                <w:tab w:val="left" w:pos="1338"/>
              </w:tabs>
              <w:spacing w:before="80" w:after="80" w:line="280" w:lineRule="exact"/>
              <w:ind w:left="113" w:right="57"/>
              <w:jc w:val="right"/>
              <w:rPr>
                <w:rFonts w:ascii="SimHei" w:eastAsia="SimHei"/>
                <w:b/>
                <w:sz w:val="17"/>
              </w:rPr>
            </w:pPr>
            <w:r w:rsidRPr="003A4A48">
              <w:rPr>
                <w:rFonts w:ascii="SimHei" w:eastAsia="SimHei"/>
                <w:b/>
                <w:sz w:val="17"/>
              </w:rPr>
              <w:t>4</w:t>
            </w:r>
            <w:r>
              <w:rPr>
                <w:rFonts w:ascii="SimHei" w:eastAsia="SimHei"/>
                <w:b/>
                <w:sz w:val="17"/>
              </w:rPr>
              <w:t xml:space="preserve"> </w:t>
            </w:r>
            <w:r w:rsidRPr="003A4A48">
              <w:rPr>
                <w:rFonts w:ascii="SimHei" w:eastAsia="SimHei"/>
                <w:b/>
                <w:sz w:val="17"/>
              </w:rPr>
              <w:t>149</w:t>
            </w:r>
          </w:p>
        </w:tc>
        <w:tc>
          <w:tcPr>
            <w:tcW w:w="1220" w:type="dxa"/>
            <w:tcBorders>
              <w:top w:val="single" w:sz="4" w:space="0" w:color="auto"/>
              <w:bottom w:val="single" w:sz="12" w:space="0" w:color="auto"/>
            </w:tcBorders>
            <w:shd w:val="clear" w:color="auto" w:fill="auto"/>
            <w:vAlign w:val="bottom"/>
          </w:tcPr>
          <w:p w:rsidR="00C776D3" w:rsidRPr="003A4A48" w:rsidRDefault="00C776D3" w:rsidP="000F6B0C">
            <w:pPr>
              <w:tabs>
                <w:tab w:val="left" w:pos="334"/>
                <w:tab w:val="left" w:pos="669"/>
                <w:tab w:val="left" w:pos="1003"/>
                <w:tab w:val="left" w:pos="1338"/>
              </w:tabs>
              <w:spacing w:before="80" w:after="80" w:line="280" w:lineRule="exact"/>
              <w:ind w:left="113" w:right="57"/>
              <w:jc w:val="right"/>
              <w:rPr>
                <w:rFonts w:ascii="SimHei" w:eastAsia="SimHei"/>
                <w:b/>
                <w:sz w:val="17"/>
              </w:rPr>
            </w:pPr>
            <w:r w:rsidRPr="003A4A48">
              <w:rPr>
                <w:rFonts w:ascii="SimHei" w:eastAsia="SimHei"/>
                <w:b/>
                <w:sz w:val="17"/>
              </w:rPr>
              <w:t>78.2</w:t>
            </w:r>
          </w:p>
        </w:tc>
      </w:tr>
    </w:tbl>
    <w:p w:rsidR="00C776D3" w:rsidRPr="003A4A48" w:rsidRDefault="00C776D3" w:rsidP="00C776D3">
      <w:pPr>
        <w:pStyle w:val="SingleTxt"/>
        <w:spacing w:after="0" w:line="120" w:lineRule="exact"/>
        <w:rPr>
          <w:rFonts w:hint="eastAsia"/>
          <w:sz w:val="10"/>
        </w:rPr>
      </w:pPr>
    </w:p>
    <w:p w:rsidR="00C776D3" w:rsidRPr="003A4A48" w:rsidRDefault="00C776D3" w:rsidP="00C776D3">
      <w:pPr>
        <w:pStyle w:val="SingleTxt"/>
        <w:rPr>
          <w:rFonts w:ascii="SimHei" w:eastAsia="SimHei" w:hint="eastAsia"/>
        </w:rPr>
      </w:pPr>
      <w:r>
        <w:rPr>
          <w:rFonts w:ascii="SimHei" w:eastAsia="SimHei"/>
        </w:rPr>
        <w:br w:type="page"/>
      </w:r>
      <w:r w:rsidRPr="003A4A48">
        <w:rPr>
          <w:rFonts w:ascii="SimHei" w:eastAsia="SimHei" w:hint="eastAsia"/>
        </w:rPr>
        <w:t>巴哈马各类学校女教师分布情况</w:t>
      </w:r>
    </w:p>
    <w:p w:rsidR="00C776D3" w:rsidRPr="003A4A48" w:rsidRDefault="00C776D3" w:rsidP="00C776D3">
      <w:pPr>
        <w:pStyle w:val="SingleTxt"/>
        <w:rPr>
          <w:rFonts w:ascii="SimHei" w:eastAsia="SimHei" w:hint="eastAsia"/>
        </w:rPr>
      </w:pPr>
      <w:r w:rsidRPr="003A4A48">
        <w:rPr>
          <w:rFonts w:ascii="SimHei" w:eastAsia="SimHei" w:hint="eastAsia"/>
        </w:rPr>
        <w:t>条型图1</w:t>
      </w:r>
    </w:p>
    <w:p w:rsidR="00C776D3" w:rsidRDefault="00C776D3" w:rsidP="00C776D3">
      <w:pPr>
        <w:pStyle w:val="SingleTxt"/>
        <w:spacing w:line="240" w:lineRule="auto"/>
      </w:pPr>
      <w:r>
        <w:object w:dxaOrig="6826" w:dyaOrig="35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1.25pt;height:178.5pt" o:ole="">
            <v:imagedata r:id="rId14" o:title=""/>
          </v:shape>
          <o:OLEObject Type="Embed" ProgID="MSGraph.Chart.8" ShapeID="_x0000_i1025" DrawAspect="Content" ObjectID="_1396349038" r:id="rId15">
            <o:FieldCodes>\s</o:FieldCodes>
          </o:OLEObject>
        </w:object>
      </w:r>
    </w:p>
    <w:p w:rsidR="00C776D3" w:rsidRPr="00C776D3" w:rsidRDefault="00C776D3" w:rsidP="00C776D3">
      <w:pPr>
        <w:pStyle w:val="SingleTxt"/>
        <w:spacing w:after="0" w:line="120" w:lineRule="exact"/>
        <w:rPr>
          <w:rFonts w:hint="eastAsia"/>
          <w:sz w:val="10"/>
        </w:rPr>
      </w:pPr>
    </w:p>
    <w:p w:rsidR="00C776D3" w:rsidRPr="00C776D3" w:rsidRDefault="00C776D3" w:rsidP="00C776D3">
      <w:pPr>
        <w:pStyle w:val="SingleTxt"/>
        <w:spacing w:after="0" w:line="120" w:lineRule="exact"/>
        <w:rPr>
          <w:rFonts w:hint="eastAsia"/>
          <w:sz w:val="10"/>
        </w:rPr>
      </w:pPr>
    </w:p>
    <w:p w:rsidR="00C776D3" w:rsidRDefault="00C776D3" w:rsidP="00C776D3">
      <w:pPr>
        <w:pStyle w:val="SingleTxt"/>
        <w:rPr>
          <w:rFonts w:hint="eastAsia"/>
        </w:rPr>
      </w:pPr>
      <w:r>
        <w:rPr>
          <w:rFonts w:hint="eastAsia"/>
        </w:rPr>
        <w:t>饼图1</w:t>
      </w:r>
      <w:r>
        <w:br/>
      </w:r>
      <w:r w:rsidRPr="00E852AC">
        <w:rPr>
          <w:rFonts w:ascii="SimHei" w:eastAsia="SimHei" w:hint="eastAsia"/>
        </w:rPr>
        <w:t>女教师所占百分比</w:t>
      </w:r>
    </w:p>
    <w:p w:rsidR="00C776D3" w:rsidRDefault="00C776D3" w:rsidP="00C776D3">
      <w:pPr>
        <w:pStyle w:val="SingleTxt"/>
        <w:spacing w:line="240" w:lineRule="auto"/>
      </w:pPr>
      <w:r>
        <w:object w:dxaOrig="7176" w:dyaOrig="3652">
          <v:shape id="_x0000_i1026" type="#_x0000_t75" style="width:358.5pt;height:182.25pt" o:ole="">
            <v:imagedata r:id="rId16" o:title=""/>
          </v:shape>
          <o:OLEObject Type="Embed" ProgID="MSGraph.Chart.8" ShapeID="_x0000_i1026" DrawAspect="Content" ObjectID="_1396349039" r:id="rId17">
            <o:FieldCodes>\s</o:FieldCodes>
          </o:OLEObject>
        </w:object>
      </w:r>
    </w:p>
    <w:p w:rsidR="00C776D3" w:rsidRPr="00E522C1" w:rsidRDefault="00C776D3" w:rsidP="00C776D3">
      <w:pPr>
        <w:pStyle w:val="SingleTxt"/>
        <w:rPr>
          <w:rFonts w:ascii="SimHei" w:eastAsia="SimHei" w:hint="eastAsia"/>
        </w:rPr>
      </w:pPr>
      <w:r w:rsidRPr="00E522C1">
        <w:rPr>
          <w:rFonts w:ascii="SimHei" w:eastAsia="SimHei" w:hint="eastAsia"/>
        </w:rPr>
        <w:t>妇女担任学校校长和教研室主任</w:t>
      </w:r>
    </w:p>
    <w:p w:rsidR="00C776D3" w:rsidRDefault="00C776D3" w:rsidP="00C776D3">
      <w:pPr>
        <w:pStyle w:val="SingleTxt"/>
        <w:rPr>
          <w:rFonts w:hint="eastAsia"/>
        </w:rPr>
      </w:pPr>
      <w:r>
        <w:rPr>
          <w:rFonts w:hint="eastAsia"/>
        </w:rPr>
        <w:t>98.</w:t>
      </w:r>
      <w:r>
        <w:rPr>
          <w:rFonts w:hint="eastAsia"/>
        </w:rPr>
        <w:tab/>
        <w:t>巴哈马共有605名中小学行政主管。巴哈马中小学的行政主管包括正副校长。在这部分人中，383人为女性，占学校行政主管总人数的63.3%。以下的图显示女性行政主管的详细分布情况。</w:t>
      </w:r>
    </w:p>
    <w:p w:rsidR="00C776D3" w:rsidRPr="00E852AC" w:rsidRDefault="00C776D3" w:rsidP="00C776D3">
      <w:pPr>
        <w:pStyle w:val="SingleTxt"/>
        <w:rPr>
          <w:rFonts w:ascii="SimHei" w:eastAsia="SimHei" w:hint="eastAsia"/>
        </w:rPr>
      </w:pPr>
      <w:r>
        <w:rPr>
          <w:rFonts w:ascii="SimHei" w:eastAsia="SimHei"/>
        </w:rPr>
        <w:br w:type="page"/>
      </w:r>
      <w:r w:rsidRPr="00E852AC">
        <w:rPr>
          <w:rFonts w:ascii="SimHei" w:eastAsia="SimHei" w:hint="eastAsia"/>
        </w:rPr>
        <w:t>巴哈马各类学校女性行政主管分布情况</w:t>
      </w:r>
    </w:p>
    <w:p w:rsidR="00C776D3" w:rsidRDefault="00C776D3" w:rsidP="00C776D3">
      <w:pPr>
        <w:pStyle w:val="SingleTxt"/>
        <w:rPr>
          <w:rFonts w:hint="eastAsia"/>
        </w:rPr>
      </w:pPr>
      <w:r>
        <w:rPr>
          <w:rFonts w:hint="eastAsia"/>
        </w:rPr>
        <w:t>条型图2</w:t>
      </w:r>
    </w:p>
    <w:p w:rsidR="00C776D3" w:rsidRDefault="00C776D3" w:rsidP="00C776D3">
      <w:pPr>
        <w:pStyle w:val="SingleTxt"/>
        <w:spacing w:line="240" w:lineRule="auto"/>
        <w:rPr>
          <w:rFonts w:hint="eastAsia"/>
        </w:rPr>
      </w:pPr>
      <w:r>
        <w:pict>
          <v:shape id="_x0000_i1027" type="#_x0000_t75" style="width:343.5pt;height:179.25pt">
            <v:imagedata r:id="rId18" o:title=""/>
          </v:shape>
        </w:pict>
      </w:r>
    </w:p>
    <w:p w:rsidR="00C776D3" w:rsidRPr="00E852AC" w:rsidRDefault="00C776D3" w:rsidP="00C776D3">
      <w:pPr>
        <w:pStyle w:val="SingleTxt"/>
        <w:rPr>
          <w:rFonts w:ascii="SimHei" w:eastAsia="SimHei" w:hint="eastAsia"/>
        </w:rPr>
      </w:pPr>
      <w:r w:rsidRPr="00E852AC">
        <w:rPr>
          <w:rFonts w:ascii="SimHei" w:eastAsia="SimHei" w:hint="eastAsia"/>
        </w:rPr>
        <w:t>学校女性校长/行政主管所占百分比</w:t>
      </w:r>
    </w:p>
    <w:p w:rsidR="00C776D3" w:rsidRDefault="00C776D3" w:rsidP="00C776D3">
      <w:pPr>
        <w:pStyle w:val="SingleTxt"/>
        <w:rPr>
          <w:rFonts w:hint="eastAsia"/>
        </w:rPr>
      </w:pPr>
      <w:r>
        <w:rPr>
          <w:rFonts w:hint="eastAsia"/>
        </w:rPr>
        <w:t>饼图2</w:t>
      </w:r>
    </w:p>
    <w:p w:rsidR="00C776D3" w:rsidRDefault="00C776D3" w:rsidP="00C776D3">
      <w:pPr>
        <w:pStyle w:val="SingleTxt"/>
        <w:spacing w:line="240" w:lineRule="auto"/>
      </w:pPr>
      <w:r>
        <w:object w:dxaOrig="7209" w:dyaOrig="3641">
          <v:shape id="_x0000_i1028" type="#_x0000_t75" style="width:360.75pt;height:182.25pt" o:ole="">
            <v:imagedata r:id="rId19" o:title=""/>
          </v:shape>
          <o:OLEObject Type="Embed" ProgID="MSGraph.Chart.8" ShapeID="_x0000_i1028" DrawAspect="Content" ObjectID="_1396349040" r:id="rId20">
            <o:FieldCodes>\s</o:FieldCodes>
          </o:OLEObject>
        </w:object>
      </w:r>
    </w:p>
    <w:p w:rsidR="00C776D3" w:rsidRPr="00704A0B" w:rsidRDefault="00C776D3" w:rsidP="00C776D3">
      <w:pPr>
        <w:pStyle w:val="SingleTxt"/>
        <w:rPr>
          <w:rFonts w:ascii="SimHei" w:eastAsia="SimHei" w:hint="eastAsia"/>
        </w:rPr>
      </w:pPr>
      <w:r w:rsidRPr="00704A0B">
        <w:rPr>
          <w:rFonts w:ascii="SimHei" w:eastAsia="SimHei" w:hint="eastAsia"/>
        </w:rPr>
        <w:t>健康和家庭生活权益的性别平等</w:t>
      </w:r>
    </w:p>
    <w:p w:rsidR="00C776D3" w:rsidRDefault="00C776D3" w:rsidP="00C776D3">
      <w:pPr>
        <w:pStyle w:val="SingleTxt"/>
        <w:rPr>
          <w:rFonts w:hint="eastAsia"/>
        </w:rPr>
      </w:pPr>
      <w:r>
        <w:rPr>
          <w:rFonts w:hint="eastAsia"/>
        </w:rPr>
        <w:t>99</w:t>
      </w:r>
      <w:r>
        <w:t>.</w:t>
      </w:r>
      <w:r>
        <w:tab/>
      </w:r>
      <w:r>
        <w:rPr>
          <w:rFonts w:hint="eastAsia"/>
        </w:rPr>
        <w:t>健康和家庭生活教育的首要重点是使儿童和青少年有能力作出改善生活的选择，并帮助抵制不利于他们健康和福祉的负面影响。因此，巴哈马在学校对男生和女生都进行健康和家庭生活教育。健康和家庭生活教育课的重点在于使学生获取全面发展和积极参与社会所需要的生活技能、价值观和态度。虽然小学阶段不单独开设计划生育专题课，但会传授与学生的发育有关的概念，包括人类生命周期、青春期和生殖的内容。</w:t>
      </w:r>
    </w:p>
    <w:p w:rsidR="00C776D3" w:rsidRDefault="00C776D3" w:rsidP="00C776D3">
      <w:pPr>
        <w:pStyle w:val="SingleTxt"/>
        <w:rPr>
          <w:rFonts w:hint="eastAsia"/>
        </w:rPr>
      </w:pPr>
      <w:r>
        <w:rPr>
          <w:rFonts w:hint="eastAsia"/>
        </w:rPr>
        <w:t>100</w:t>
      </w:r>
      <w:r>
        <w:t xml:space="preserve">.  </w:t>
      </w:r>
      <w:r>
        <w:rPr>
          <w:rFonts w:hint="eastAsia"/>
        </w:rPr>
        <w:t>健康和家庭生活教育基本教学大纲依据的是加共体健康和家庭生活教育区域框架，分为四个主题：自我和人际关系、性行为和性健康、营养和身体活动以及环境管理。</w:t>
      </w:r>
    </w:p>
    <w:p w:rsidR="00C776D3" w:rsidRDefault="00C776D3" w:rsidP="00C776D3">
      <w:pPr>
        <w:pStyle w:val="SingleTxt"/>
        <w:rPr>
          <w:rFonts w:hint="eastAsia"/>
        </w:rPr>
      </w:pPr>
      <w:r>
        <w:rPr>
          <w:rFonts w:hint="eastAsia"/>
        </w:rPr>
        <w:t>101</w:t>
      </w:r>
      <w:r>
        <w:t xml:space="preserve">.  </w:t>
      </w:r>
      <w:r>
        <w:rPr>
          <w:rFonts w:hint="eastAsia"/>
        </w:rPr>
        <w:t>学生通过获取全面发展和积极参与社会所需要的知识、生活技能、积极的价值观和服务，将增强作出改善生活选择的能力。在完成这些专题后，学生们将能够：</w:t>
      </w:r>
    </w:p>
    <w:p w:rsidR="00C776D3" w:rsidRDefault="00C776D3" w:rsidP="00C776D3">
      <w:pPr>
        <w:pStyle w:val="SingleTxt"/>
        <w:ind w:left="2126" w:hanging="431"/>
        <w:rPr>
          <w:rFonts w:hint="eastAsia"/>
        </w:rPr>
      </w:pPr>
      <w:r>
        <w:rPr>
          <w:rFonts w:hint="eastAsia"/>
        </w:rPr>
        <w:sym w:font="Symbol" w:char="F0B7"/>
      </w:r>
      <w:r>
        <w:tab/>
      </w:r>
      <w:r>
        <w:rPr>
          <w:rFonts w:hint="eastAsia"/>
        </w:rPr>
        <w:t>审视个人、家庭、学校和社区的特点，以建立牢固健康的关系并改进生活方式的选择；</w:t>
      </w:r>
    </w:p>
    <w:p w:rsidR="00C776D3" w:rsidRDefault="00C776D3" w:rsidP="00C776D3">
      <w:pPr>
        <w:pStyle w:val="SingleTxt"/>
        <w:ind w:left="2126" w:hanging="431"/>
        <w:rPr>
          <w:rFonts w:hint="eastAsia"/>
        </w:rPr>
      </w:pPr>
      <w:r>
        <w:rPr>
          <w:rFonts w:hint="eastAsia"/>
        </w:rPr>
        <w:sym w:font="Symbol" w:char="F0B7"/>
      </w:r>
      <w:r>
        <w:tab/>
      </w:r>
      <w:r>
        <w:rPr>
          <w:rFonts w:hint="eastAsia"/>
        </w:rPr>
        <w:t>发展行动能力，以减少面对危险行为的脆弱性，这些危险包括性传播感染疾病、艾滋病毒和艾滋病(改编自2005年加共体健康和家庭生活教育区域标准4)；</w:t>
      </w:r>
    </w:p>
    <w:p w:rsidR="00C776D3" w:rsidRDefault="00C776D3" w:rsidP="00C776D3">
      <w:pPr>
        <w:pStyle w:val="SingleTxt"/>
        <w:ind w:left="2126" w:hanging="431"/>
        <w:rPr>
          <w:rFonts w:hint="eastAsia"/>
        </w:rPr>
      </w:pPr>
      <w:r>
        <w:rPr>
          <w:rFonts w:hint="eastAsia"/>
        </w:rPr>
        <w:sym w:font="Symbol" w:char="F0B7"/>
      </w:r>
      <w:r>
        <w:tab/>
      </w:r>
      <w:r>
        <w:rPr>
          <w:rFonts w:hint="eastAsia"/>
        </w:rPr>
        <w:t>展示健康的食物选择，并有规律地参加体力活动；</w:t>
      </w:r>
    </w:p>
    <w:p w:rsidR="00C776D3" w:rsidRDefault="00C776D3" w:rsidP="00C776D3">
      <w:pPr>
        <w:pStyle w:val="SingleTxt"/>
        <w:ind w:left="2126" w:hanging="431"/>
        <w:rPr>
          <w:rFonts w:hint="eastAsia"/>
        </w:rPr>
      </w:pPr>
      <w:r>
        <w:rPr>
          <w:rFonts w:hint="eastAsia"/>
        </w:rPr>
        <w:sym w:font="Symbol" w:char="F0B7"/>
      </w:r>
      <w:r>
        <w:tab/>
      </w:r>
      <w:r>
        <w:rPr>
          <w:rFonts w:hint="eastAsia"/>
        </w:rPr>
        <w:t>展示与环境和谐的生活方式选择。</w:t>
      </w:r>
    </w:p>
    <w:p w:rsidR="00C776D3" w:rsidRDefault="00C776D3" w:rsidP="00C776D3">
      <w:pPr>
        <w:pStyle w:val="SingleTxt"/>
        <w:rPr>
          <w:rFonts w:hint="eastAsia"/>
        </w:rPr>
      </w:pPr>
      <w:r>
        <w:rPr>
          <w:rFonts w:hint="eastAsia"/>
        </w:rPr>
        <w:t>102</w:t>
      </w:r>
      <w:r>
        <w:t xml:space="preserve">.  </w:t>
      </w:r>
      <w:r>
        <w:rPr>
          <w:rFonts w:hint="eastAsia"/>
        </w:rPr>
        <w:t>在这四个主题下处理的问题和内容包括：少女怀孕、性病、艾滋病毒、艾滋病、虐待/猥亵儿童、不安全/无保护性行为、两性互动、身体部位、男性和女性生殖、性别平等(男/女之异同)、慢性病(如糖尿病、肥胖症)、滥用药物和贩毒、犯罪和暴力、消极的次文化和不断变化的价值观。</w:t>
      </w:r>
    </w:p>
    <w:p w:rsidR="00C776D3" w:rsidRDefault="00C776D3" w:rsidP="00C776D3">
      <w:pPr>
        <w:pStyle w:val="SingleTxt"/>
        <w:rPr>
          <w:rFonts w:hint="eastAsia"/>
        </w:rPr>
      </w:pPr>
      <w:r>
        <w:rPr>
          <w:rFonts w:hint="eastAsia"/>
        </w:rPr>
        <w:t>103.</w:t>
      </w:r>
      <w:r>
        <w:t xml:space="preserve">  </w:t>
      </w:r>
      <w:r>
        <w:rPr>
          <w:rFonts w:hint="eastAsia"/>
        </w:rPr>
        <w:t>课程还被设计为有助于更多地采取以儿童为中心的教学方法，其中纳入了个人品质塑造和跨学科办法。</w:t>
      </w:r>
    </w:p>
    <w:p w:rsidR="00C776D3" w:rsidRPr="00CE0901" w:rsidRDefault="00C776D3" w:rsidP="00C776D3">
      <w:pPr>
        <w:pStyle w:val="SingleTxt"/>
        <w:rPr>
          <w:rFonts w:ascii="SimHei" w:eastAsia="SimHei" w:hint="eastAsia"/>
        </w:rPr>
      </w:pPr>
      <w:r w:rsidRPr="00CE0901">
        <w:rPr>
          <w:rFonts w:ascii="SimHei" w:eastAsia="SimHei" w:hint="eastAsia"/>
        </w:rPr>
        <w:t>体育和体育课中的女童</w:t>
      </w:r>
    </w:p>
    <w:p w:rsidR="00C776D3" w:rsidRDefault="00C776D3" w:rsidP="00C776D3">
      <w:pPr>
        <w:pStyle w:val="SingleTxt"/>
        <w:rPr>
          <w:rFonts w:hint="eastAsia"/>
        </w:rPr>
      </w:pPr>
      <w:r>
        <w:rPr>
          <w:rFonts w:hint="eastAsia"/>
        </w:rPr>
        <w:t>104</w:t>
      </w:r>
      <w:r>
        <w:t xml:space="preserve">.  </w:t>
      </w:r>
      <w:r>
        <w:rPr>
          <w:rFonts w:hint="eastAsia"/>
        </w:rPr>
        <w:t>女童和男童在学校有同样的机会参加体育活动和上体育课。不过，在小学阶段，女生打垒球，而男生则打棒球。没有任何法规禁止妇女和女童参加体育活动和上体育课。</w:t>
      </w:r>
    </w:p>
    <w:p w:rsidR="00C776D3" w:rsidRDefault="00C776D3" w:rsidP="00C776D3">
      <w:pPr>
        <w:pStyle w:val="SingleTxt"/>
        <w:rPr>
          <w:rFonts w:hint="eastAsia"/>
        </w:rPr>
      </w:pPr>
      <w:r>
        <w:rPr>
          <w:rFonts w:hint="eastAsia"/>
        </w:rPr>
        <w:t>105</w:t>
      </w:r>
      <w:r>
        <w:t xml:space="preserve">.  </w:t>
      </w:r>
      <w:r>
        <w:rPr>
          <w:rFonts w:hint="eastAsia"/>
        </w:rPr>
        <w:t>有些学生根据自己的宗教信仰着装。在高中阶段，拉斯特法里教派信奉者上体育课时可穿较长的短裤或长裤。</w:t>
      </w:r>
    </w:p>
    <w:p w:rsidR="00C776D3" w:rsidRDefault="00C776D3" w:rsidP="00C776D3">
      <w:pPr>
        <w:pStyle w:val="SingleTxt"/>
        <w:rPr>
          <w:rFonts w:hint="eastAsia"/>
        </w:rPr>
      </w:pPr>
      <w:r>
        <w:rPr>
          <w:rFonts w:hint="eastAsia"/>
        </w:rPr>
        <w:t>106</w:t>
      </w:r>
      <w:r>
        <w:t xml:space="preserve">.  </w:t>
      </w:r>
      <w:r>
        <w:rPr>
          <w:rFonts w:hint="eastAsia"/>
        </w:rPr>
        <w:t>各地所有的体育设施都向男女开放，有些岛屿的设施多于其他岛屿。</w:t>
      </w:r>
    </w:p>
    <w:p w:rsidR="00C776D3" w:rsidRDefault="00C776D3" w:rsidP="00C776D3">
      <w:pPr>
        <w:pStyle w:val="SingleTxt"/>
        <w:rPr>
          <w:rFonts w:hint="eastAsia"/>
        </w:rPr>
      </w:pPr>
      <w:r>
        <w:rPr>
          <w:rFonts w:hint="eastAsia"/>
        </w:rPr>
        <w:t>107</w:t>
      </w:r>
      <w:r>
        <w:t xml:space="preserve">.  </w:t>
      </w:r>
      <w:r>
        <w:rPr>
          <w:rFonts w:hint="eastAsia"/>
        </w:rPr>
        <w:t>巴哈马文化不反对妇女参加体育活动。体育设施包括：</w:t>
      </w:r>
    </w:p>
    <w:p w:rsidR="00C776D3" w:rsidRDefault="00C776D3" w:rsidP="00C776D3">
      <w:pPr>
        <w:pStyle w:val="SingleTxt"/>
        <w:ind w:left="2126" w:hanging="431"/>
        <w:rPr>
          <w:rFonts w:hint="eastAsia"/>
        </w:rPr>
      </w:pPr>
      <w:r>
        <w:rPr>
          <w:rFonts w:hint="eastAsia"/>
        </w:rPr>
        <w:sym w:font="Symbol" w:char="F0B7"/>
      </w:r>
      <w:r>
        <w:tab/>
      </w:r>
      <w:r>
        <w:rPr>
          <w:rFonts w:hint="eastAsia"/>
        </w:rPr>
        <w:t>垒球和棒球场</w:t>
      </w:r>
    </w:p>
    <w:p w:rsidR="00C776D3" w:rsidRDefault="00C776D3" w:rsidP="00C776D3">
      <w:pPr>
        <w:pStyle w:val="SingleTxt"/>
        <w:ind w:left="2126" w:hanging="431"/>
        <w:rPr>
          <w:rFonts w:hint="eastAsia"/>
        </w:rPr>
      </w:pPr>
      <w:r>
        <w:rPr>
          <w:rFonts w:hint="eastAsia"/>
        </w:rPr>
        <w:sym w:font="Symbol" w:char="F0B7"/>
      </w:r>
      <w:r>
        <w:tab/>
      </w:r>
      <w:r>
        <w:rPr>
          <w:rFonts w:hint="eastAsia"/>
        </w:rPr>
        <w:t>田径场</w:t>
      </w:r>
    </w:p>
    <w:p w:rsidR="00C776D3" w:rsidRDefault="00C776D3" w:rsidP="00C776D3">
      <w:pPr>
        <w:pStyle w:val="SingleTxt"/>
        <w:ind w:left="2126" w:hanging="431"/>
        <w:rPr>
          <w:rFonts w:hint="eastAsia"/>
        </w:rPr>
      </w:pPr>
      <w:r>
        <w:rPr>
          <w:rFonts w:hint="eastAsia"/>
        </w:rPr>
        <w:sym w:font="Symbol" w:char="F0B7"/>
      </w:r>
      <w:r>
        <w:tab/>
      </w:r>
      <w:r>
        <w:rPr>
          <w:rFonts w:hint="eastAsia"/>
        </w:rPr>
        <w:t>篮球馆</w:t>
      </w:r>
    </w:p>
    <w:p w:rsidR="00C776D3" w:rsidRDefault="00C776D3" w:rsidP="00C776D3">
      <w:pPr>
        <w:pStyle w:val="SingleTxt"/>
        <w:ind w:left="2126" w:hanging="431"/>
        <w:rPr>
          <w:rFonts w:hint="eastAsia"/>
        </w:rPr>
      </w:pPr>
      <w:r>
        <w:rPr>
          <w:rFonts w:hint="eastAsia"/>
        </w:rPr>
        <w:sym w:font="Symbol" w:char="F0B7"/>
      </w:r>
      <w:r>
        <w:tab/>
      </w:r>
      <w:r>
        <w:rPr>
          <w:rFonts w:hint="eastAsia"/>
        </w:rPr>
        <w:t>社区中心</w:t>
      </w:r>
    </w:p>
    <w:p w:rsidR="00C776D3" w:rsidRDefault="00C776D3" w:rsidP="00C776D3">
      <w:pPr>
        <w:pStyle w:val="SingleTxt"/>
        <w:ind w:left="2126" w:hanging="431"/>
        <w:rPr>
          <w:rFonts w:hint="eastAsia"/>
        </w:rPr>
      </w:pPr>
      <w:r>
        <w:rPr>
          <w:rFonts w:hint="eastAsia"/>
        </w:rPr>
        <w:sym w:font="Symbol" w:char="F0B7"/>
      </w:r>
      <w:r>
        <w:tab/>
      </w:r>
      <w:r>
        <w:rPr>
          <w:rFonts w:hint="eastAsia"/>
        </w:rPr>
        <w:t>足球场</w:t>
      </w:r>
    </w:p>
    <w:p w:rsidR="00C776D3" w:rsidRDefault="00C776D3" w:rsidP="00C776D3">
      <w:pPr>
        <w:pStyle w:val="SingleTxt"/>
        <w:ind w:left="2126" w:hanging="431"/>
        <w:rPr>
          <w:rFonts w:hint="eastAsia"/>
        </w:rPr>
      </w:pPr>
      <w:r>
        <w:rPr>
          <w:rFonts w:hint="eastAsia"/>
        </w:rPr>
        <w:sym w:font="Symbol" w:char="F0B7"/>
      </w:r>
      <w:r>
        <w:tab/>
      </w:r>
      <w:r>
        <w:rPr>
          <w:rFonts w:hint="eastAsia"/>
        </w:rPr>
        <w:t>综合游泳馆</w:t>
      </w:r>
    </w:p>
    <w:p w:rsidR="00C776D3" w:rsidRDefault="00C776D3" w:rsidP="00C776D3">
      <w:pPr>
        <w:pStyle w:val="SingleTxt"/>
        <w:rPr>
          <w:rFonts w:hint="eastAsia"/>
        </w:rPr>
      </w:pPr>
      <w:r>
        <w:tab/>
      </w:r>
      <w:r>
        <w:rPr>
          <w:rFonts w:hint="eastAsia"/>
        </w:rPr>
        <w:t>由于有奖学金，男生爱打棒球。</w:t>
      </w:r>
    </w:p>
    <w:p w:rsidR="00C776D3" w:rsidRPr="00CE0901" w:rsidRDefault="00C776D3" w:rsidP="00C776D3">
      <w:pPr>
        <w:pStyle w:val="SingleTxt"/>
        <w:rPr>
          <w:rFonts w:ascii="SimHei" w:eastAsia="SimHei" w:hint="eastAsia"/>
        </w:rPr>
      </w:pPr>
      <w:r w:rsidRPr="00CE0901">
        <w:rPr>
          <w:rFonts w:ascii="SimHei" w:eastAsia="SimHei" w:hint="eastAsia"/>
        </w:rPr>
        <w:t>关于妇女的性别定型观念</w:t>
      </w:r>
    </w:p>
    <w:p w:rsidR="00C776D3" w:rsidRDefault="00C776D3" w:rsidP="00C776D3">
      <w:pPr>
        <w:pStyle w:val="SingleTxt"/>
        <w:rPr>
          <w:rFonts w:hint="eastAsia"/>
        </w:rPr>
      </w:pPr>
      <w:r>
        <w:rPr>
          <w:rFonts w:hint="eastAsia"/>
        </w:rPr>
        <w:t>108</w:t>
      </w:r>
      <w:r>
        <w:t xml:space="preserve">.  </w:t>
      </w:r>
      <w:r>
        <w:rPr>
          <w:rFonts w:hint="eastAsia"/>
        </w:rPr>
        <w:t>由于大多数(历史)教科书往往贬低妇女在许多重大历史事件中的作用，社会研究股已责成教师们进一步开展研究，以确定妇女在这些事件中所发挥的作用。</w:t>
      </w:r>
    </w:p>
    <w:p w:rsidR="00C776D3" w:rsidRPr="00CE0901" w:rsidRDefault="00C776D3" w:rsidP="00C776D3">
      <w:pPr>
        <w:pStyle w:val="SingleTxt"/>
        <w:rPr>
          <w:rFonts w:ascii="SimHei" w:eastAsia="SimHei" w:hint="eastAsia"/>
        </w:rPr>
      </w:pPr>
      <w:r w:rsidRPr="00CE0901">
        <w:rPr>
          <w:rFonts w:ascii="SimHei" w:eastAsia="SimHei" w:hint="eastAsia"/>
        </w:rPr>
        <w:t>妇女的职业和职业指导</w:t>
      </w:r>
    </w:p>
    <w:p w:rsidR="00C776D3" w:rsidRDefault="00C776D3" w:rsidP="00C776D3">
      <w:pPr>
        <w:pStyle w:val="SingleTxt"/>
        <w:rPr>
          <w:rFonts w:hint="eastAsia"/>
        </w:rPr>
      </w:pPr>
      <w:r>
        <w:rPr>
          <w:rFonts w:hint="eastAsia"/>
        </w:rPr>
        <w:t>109.</w:t>
      </w:r>
      <w:r>
        <w:t xml:space="preserve">  </w:t>
      </w:r>
      <w:r>
        <w:rPr>
          <w:rFonts w:hint="eastAsia"/>
        </w:rPr>
        <w:t>职业教育是学校系统从学前班到十二年级所有学生辅导课的重要组成部分。让学生接触到职业信息的办法如下：</w:t>
      </w:r>
    </w:p>
    <w:p w:rsidR="00C776D3" w:rsidRDefault="00C776D3" w:rsidP="00C776D3">
      <w:pPr>
        <w:pStyle w:val="SingleTxt"/>
        <w:rPr>
          <w:rFonts w:hint="eastAsia"/>
        </w:rPr>
      </w:pPr>
      <w:r>
        <w:tab/>
      </w:r>
      <w:r>
        <w:rPr>
          <w:rFonts w:hint="eastAsia"/>
        </w:rPr>
        <w:t>1</w:t>
      </w:r>
      <w:r>
        <w:t>.</w:t>
      </w:r>
      <w:r>
        <w:tab/>
      </w:r>
      <w:r>
        <w:rPr>
          <w:rFonts w:hint="eastAsia"/>
        </w:rPr>
        <w:t>课堂辅导</w:t>
      </w:r>
    </w:p>
    <w:p w:rsidR="00C776D3" w:rsidRDefault="00C776D3" w:rsidP="00C776D3">
      <w:pPr>
        <w:pStyle w:val="SingleTxt"/>
        <w:rPr>
          <w:rFonts w:hint="eastAsia"/>
        </w:rPr>
      </w:pPr>
      <w:r>
        <w:tab/>
      </w:r>
      <w:r>
        <w:rPr>
          <w:rFonts w:hint="eastAsia"/>
        </w:rPr>
        <w:t>2</w:t>
      </w:r>
      <w:r>
        <w:t>.</w:t>
      </w:r>
      <w:r>
        <w:tab/>
      </w:r>
      <w:r>
        <w:rPr>
          <w:rFonts w:hint="eastAsia"/>
        </w:rPr>
        <w:t>职业博览会</w:t>
      </w:r>
    </w:p>
    <w:p w:rsidR="00C776D3" w:rsidRDefault="00C776D3" w:rsidP="00C776D3">
      <w:pPr>
        <w:pStyle w:val="SingleTxt"/>
        <w:rPr>
          <w:rFonts w:hint="eastAsia"/>
        </w:rPr>
      </w:pPr>
      <w:r>
        <w:tab/>
      </w:r>
      <w:r>
        <w:rPr>
          <w:rFonts w:hint="eastAsia"/>
        </w:rPr>
        <w:t>3</w:t>
      </w:r>
      <w:r>
        <w:t>.</w:t>
      </w:r>
      <w:r>
        <w:tab/>
      </w:r>
      <w:r>
        <w:rPr>
          <w:rFonts w:hint="eastAsia"/>
        </w:rPr>
        <w:t>学员方案</w:t>
      </w:r>
    </w:p>
    <w:p w:rsidR="00C776D3" w:rsidRDefault="00C776D3" w:rsidP="00C776D3">
      <w:pPr>
        <w:pStyle w:val="SingleTxt"/>
        <w:rPr>
          <w:rFonts w:hint="eastAsia"/>
        </w:rPr>
      </w:pPr>
      <w:r>
        <w:tab/>
      </w:r>
      <w:r>
        <w:rPr>
          <w:rFonts w:hint="eastAsia"/>
        </w:rPr>
        <w:t>4</w:t>
      </w:r>
      <w:r>
        <w:t>.</w:t>
      </w:r>
      <w:r>
        <w:tab/>
      </w:r>
      <w:r>
        <w:rPr>
          <w:rFonts w:hint="eastAsia"/>
        </w:rPr>
        <w:t>工作经验方案</w:t>
      </w:r>
    </w:p>
    <w:p w:rsidR="00C776D3" w:rsidRDefault="00C776D3" w:rsidP="00C776D3">
      <w:pPr>
        <w:pStyle w:val="SingleTxt"/>
        <w:rPr>
          <w:rFonts w:hint="eastAsia"/>
        </w:rPr>
      </w:pPr>
      <w:r>
        <w:tab/>
      </w:r>
      <w:r>
        <w:rPr>
          <w:rFonts w:hint="eastAsia"/>
        </w:rPr>
        <w:t>5</w:t>
      </w:r>
      <w:r>
        <w:t>.</w:t>
      </w:r>
      <w:r>
        <w:tab/>
      </w:r>
      <w:r>
        <w:rPr>
          <w:rFonts w:hint="eastAsia"/>
        </w:rPr>
        <w:t>社区服务</w:t>
      </w:r>
    </w:p>
    <w:p w:rsidR="00C776D3" w:rsidRDefault="00C776D3" w:rsidP="00C776D3">
      <w:pPr>
        <w:pStyle w:val="SingleTxt"/>
        <w:rPr>
          <w:rFonts w:hint="eastAsia"/>
        </w:rPr>
      </w:pPr>
      <w:r>
        <w:tab/>
      </w:r>
      <w:r>
        <w:rPr>
          <w:rFonts w:hint="eastAsia"/>
        </w:rPr>
        <w:t>6</w:t>
      </w:r>
      <w:r>
        <w:t>.</w:t>
      </w:r>
      <w:r>
        <w:tab/>
      </w:r>
      <w:r>
        <w:rPr>
          <w:rFonts w:hint="eastAsia"/>
        </w:rPr>
        <w:t>各行业演讲嘉宾和大学代表</w:t>
      </w:r>
    </w:p>
    <w:p w:rsidR="00C776D3" w:rsidRDefault="00C776D3" w:rsidP="00C776D3">
      <w:pPr>
        <w:pStyle w:val="SingleTxt"/>
        <w:rPr>
          <w:rFonts w:hint="eastAsia"/>
        </w:rPr>
      </w:pPr>
      <w:r>
        <w:tab/>
      </w:r>
      <w:r>
        <w:rPr>
          <w:rFonts w:hint="eastAsia"/>
        </w:rPr>
        <w:t>7</w:t>
      </w:r>
      <w:r>
        <w:t>.</w:t>
      </w:r>
      <w:r>
        <w:tab/>
      </w:r>
      <w:r>
        <w:rPr>
          <w:rFonts w:hint="eastAsia"/>
        </w:rPr>
        <w:t>通过互联网进行研究</w:t>
      </w:r>
    </w:p>
    <w:p w:rsidR="00C776D3" w:rsidRDefault="00C776D3" w:rsidP="00C776D3">
      <w:pPr>
        <w:pStyle w:val="SingleTxt"/>
        <w:rPr>
          <w:rFonts w:hint="eastAsia"/>
        </w:rPr>
      </w:pPr>
      <w:r>
        <w:tab/>
      </w:r>
      <w:r>
        <w:rPr>
          <w:rFonts w:hint="eastAsia"/>
        </w:rPr>
        <w:t>8</w:t>
      </w:r>
      <w:r>
        <w:t>.</w:t>
      </w:r>
      <w:r>
        <w:tab/>
      </w:r>
      <w:r>
        <w:rPr>
          <w:rFonts w:hint="eastAsia"/>
        </w:rPr>
        <w:t>职场观察</w:t>
      </w:r>
    </w:p>
    <w:p w:rsidR="00C776D3" w:rsidRDefault="00C776D3" w:rsidP="00C776D3">
      <w:pPr>
        <w:pStyle w:val="SingleTxt"/>
        <w:rPr>
          <w:rFonts w:hint="eastAsia"/>
        </w:rPr>
      </w:pPr>
      <w:r>
        <w:tab/>
      </w:r>
      <w:r>
        <w:rPr>
          <w:rFonts w:hint="eastAsia"/>
        </w:rPr>
        <w:t>9</w:t>
      </w:r>
      <w:r>
        <w:t>.</w:t>
      </w:r>
      <w:r>
        <w:tab/>
      </w:r>
      <w:r>
        <w:rPr>
          <w:rFonts w:hint="eastAsia"/>
        </w:rPr>
        <w:t>大学博览会</w:t>
      </w:r>
    </w:p>
    <w:p w:rsidR="00C776D3" w:rsidRDefault="00C776D3" w:rsidP="00C776D3">
      <w:pPr>
        <w:pStyle w:val="SingleTxt"/>
        <w:rPr>
          <w:rFonts w:hint="eastAsia"/>
        </w:rPr>
      </w:pPr>
      <w:r>
        <w:tab/>
      </w:r>
      <w:r>
        <w:rPr>
          <w:rFonts w:hint="eastAsia"/>
        </w:rPr>
        <w:t>10</w:t>
      </w:r>
      <w:r>
        <w:t>.</w:t>
      </w:r>
      <w:r>
        <w:tab/>
      </w:r>
      <w:r>
        <w:rPr>
          <w:rFonts w:hint="eastAsia"/>
        </w:rPr>
        <w:t>奖学金讨论会</w:t>
      </w:r>
    </w:p>
    <w:p w:rsidR="00C776D3" w:rsidRPr="00CE0901" w:rsidRDefault="00C776D3" w:rsidP="00C776D3">
      <w:pPr>
        <w:pStyle w:val="SingleTxt"/>
        <w:rPr>
          <w:rFonts w:ascii="SimHei" w:eastAsia="SimHei" w:hint="eastAsia"/>
        </w:rPr>
      </w:pPr>
      <w:r w:rsidRPr="00CE0901">
        <w:rPr>
          <w:rFonts w:ascii="SimHei" w:eastAsia="SimHei" w:hint="eastAsia"/>
        </w:rPr>
        <w:t>需要予以的特别鼓励</w:t>
      </w:r>
    </w:p>
    <w:p w:rsidR="00C776D3" w:rsidRDefault="00C776D3" w:rsidP="00C776D3">
      <w:pPr>
        <w:pStyle w:val="SingleTxt"/>
        <w:rPr>
          <w:rFonts w:hint="eastAsia"/>
        </w:rPr>
      </w:pPr>
      <w:r>
        <w:rPr>
          <w:rFonts w:hint="eastAsia"/>
        </w:rPr>
        <w:t>110</w:t>
      </w:r>
      <w:r>
        <w:t xml:space="preserve">.  </w:t>
      </w:r>
      <w:r>
        <w:rPr>
          <w:rFonts w:hint="eastAsia"/>
        </w:rPr>
        <w:t>巴哈马现在鼓励女孩(以及男孩)利用给予她们的所有职业机会。</w:t>
      </w:r>
    </w:p>
    <w:p w:rsidR="00C776D3" w:rsidRDefault="00C776D3" w:rsidP="00C776D3">
      <w:pPr>
        <w:pStyle w:val="SingleTxt"/>
        <w:rPr>
          <w:rFonts w:hint="eastAsia"/>
        </w:rPr>
      </w:pPr>
      <w:r>
        <w:rPr>
          <w:rFonts w:hint="eastAsia"/>
        </w:rPr>
        <w:t>111</w:t>
      </w:r>
      <w:r>
        <w:t xml:space="preserve">.  </w:t>
      </w:r>
      <w:r>
        <w:rPr>
          <w:rFonts w:hint="eastAsia"/>
        </w:rPr>
        <w:t>鼓励类型包括：</w:t>
      </w:r>
    </w:p>
    <w:p w:rsidR="00C776D3" w:rsidRDefault="00C776D3" w:rsidP="00C776D3">
      <w:pPr>
        <w:pStyle w:val="SingleTxt"/>
        <w:rPr>
          <w:rFonts w:hint="eastAsia"/>
        </w:rPr>
      </w:pPr>
      <w:r>
        <w:tab/>
      </w:r>
      <w:r>
        <w:rPr>
          <w:rFonts w:hint="eastAsia"/>
        </w:rPr>
        <w:t>1</w:t>
      </w:r>
      <w:r>
        <w:t>.</w:t>
      </w:r>
      <w:r>
        <w:tab/>
      </w:r>
      <w:r>
        <w:rPr>
          <w:rFonts w:hint="eastAsia"/>
        </w:rPr>
        <w:t>鼓励学生广泛探索传统和非传统职业</w:t>
      </w:r>
    </w:p>
    <w:p w:rsidR="00C776D3" w:rsidRDefault="00C776D3" w:rsidP="00C776D3">
      <w:pPr>
        <w:pStyle w:val="SingleTxt"/>
        <w:rPr>
          <w:rFonts w:hint="eastAsia"/>
        </w:rPr>
      </w:pPr>
      <w:r>
        <w:tab/>
      </w:r>
      <w:r>
        <w:rPr>
          <w:rFonts w:hint="eastAsia"/>
        </w:rPr>
        <w:t>2</w:t>
      </w:r>
      <w:r>
        <w:t>.</w:t>
      </w:r>
      <w:r>
        <w:tab/>
      </w:r>
      <w:r>
        <w:rPr>
          <w:rFonts w:hint="eastAsia"/>
        </w:rPr>
        <w:t>完成职业兴趣评估测试</w:t>
      </w:r>
    </w:p>
    <w:p w:rsidR="00C776D3" w:rsidRDefault="00C776D3" w:rsidP="00C776D3">
      <w:pPr>
        <w:pStyle w:val="SingleTxt"/>
        <w:rPr>
          <w:rFonts w:hint="eastAsia"/>
        </w:rPr>
      </w:pPr>
      <w:r>
        <w:tab/>
      </w:r>
      <w:r>
        <w:rPr>
          <w:rFonts w:hint="eastAsia"/>
        </w:rPr>
        <w:t>3</w:t>
      </w:r>
      <w:r>
        <w:t>.</w:t>
      </w:r>
      <w:r>
        <w:tab/>
      </w:r>
      <w:r>
        <w:rPr>
          <w:rFonts w:hint="eastAsia"/>
        </w:rPr>
        <w:t>发掘和培养自己的才能</w:t>
      </w:r>
    </w:p>
    <w:p w:rsidR="00C776D3" w:rsidRDefault="00C776D3" w:rsidP="00C776D3">
      <w:pPr>
        <w:pStyle w:val="SingleTxt"/>
        <w:rPr>
          <w:rFonts w:hint="eastAsia"/>
        </w:rPr>
      </w:pPr>
      <w:r>
        <w:tab/>
      </w:r>
      <w:r>
        <w:rPr>
          <w:rFonts w:hint="eastAsia"/>
        </w:rPr>
        <w:t>4</w:t>
      </w:r>
      <w:r>
        <w:t>.</w:t>
      </w:r>
      <w:r>
        <w:tab/>
      </w:r>
      <w:r>
        <w:rPr>
          <w:rFonts w:hint="eastAsia"/>
        </w:rPr>
        <w:t>分配到相关工作地点获得社区服务时间和工作经验。</w:t>
      </w:r>
    </w:p>
    <w:p w:rsidR="00C776D3" w:rsidRDefault="00C776D3" w:rsidP="00C776D3">
      <w:pPr>
        <w:pStyle w:val="SingleTxt"/>
        <w:rPr>
          <w:rFonts w:hint="eastAsia"/>
        </w:rPr>
      </w:pPr>
      <w:r>
        <w:rPr>
          <w:rFonts w:hint="eastAsia"/>
        </w:rPr>
        <w:t>112</w:t>
      </w:r>
      <w:r>
        <w:t xml:space="preserve">.  </w:t>
      </w:r>
      <w:r>
        <w:rPr>
          <w:rFonts w:hint="eastAsia"/>
        </w:rPr>
        <w:t>障碍包括：</w:t>
      </w:r>
    </w:p>
    <w:p w:rsidR="00C776D3" w:rsidRDefault="00C776D3" w:rsidP="00C776D3">
      <w:pPr>
        <w:pStyle w:val="SingleTxt"/>
        <w:rPr>
          <w:rFonts w:hint="eastAsia"/>
        </w:rPr>
      </w:pPr>
      <w:r>
        <w:tab/>
      </w:r>
      <w:r>
        <w:rPr>
          <w:rFonts w:hint="eastAsia"/>
        </w:rPr>
        <w:t>1</w:t>
      </w:r>
      <w:r>
        <w:t>.</w:t>
      </w:r>
      <w:r>
        <w:tab/>
      </w:r>
      <w:r>
        <w:rPr>
          <w:rFonts w:hint="eastAsia"/>
        </w:rPr>
        <w:t>男女两性在追求其大学/学术方面职业兴趣时，资金可能都是一大障碍</w:t>
      </w:r>
    </w:p>
    <w:p w:rsidR="00C776D3" w:rsidRDefault="00C776D3" w:rsidP="00C776D3">
      <w:pPr>
        <w:pStyle w:val="SingleTxt"/>
        <w:rPr>
          <w:rFonts w:hint="eastAsia"/>
        </w:rPr>
      </w:pPr>
      <w:r>
        <w:tab/>
      </w:r>
      <w:r>
        <w:rPr>
          <w:rFonts w:hint="eastAsia"/>
        </w:rPr>
        <w:t>2</w:t>
      </w:r>
      <w:r>
        <w:t>.</w:t>
      </w:r>
      <w:r>
        <w:tab/>
      </w:r>
      <w:r>
        <w:rPr>
          <w:rFonts w:hint="eastAsia"/>
        </w:rPr>
        <w:t>学术准备和大学/就业准备。</w:t>
      </w:r>
    </w:p>
    <w:p w:rsidR="00C776D3" w:rsidRDefault="00C776D3" w:rsidP="00C776D3">
      <w:pPr>
        <w:pStyle w:val="SingleTxt"/>
        <w:rPr>
          <w:rFonts w:hint="eastAsia"/>
        </w:rPr>
      </w:pPr>
      <w:r>
        <w:rPr>
          <w:rFonts w:hint="eastAsia"/>
        </w:rPr>
        <w:t>113</w:t>
      </w:r>
      <w:r>
        <w:t xml:space="preserve">.  </w:t>
      </w:r>
      <w:r>
        <w:rPr>
          <w:rFonts w:hint="eastAsia"/>
        </w:rPr>
        <w:t>解决机会问题的措施包括：</w:t>
      </w:r>
    </w:p>
    <w:p w:rsidR="00C776D3" w:rsidRDefault="00C776D3" w:rsidP="00C776D3">
      <w:pPr>
        <w:pStyle w:val="SingleTxt"/>
        <w:rPr>
          <w:rFonts w:hint="eastAsia"/>
        </w:rPr>
      </w:pPr>
      <w:r>
        <w:tab/>
      </w:r>
      <w:r>
        <w:rPr>
          <w:rFonts w:hint="eastAsia"/>
        </w:rPr>
        <w:t>1</w:t>
      </w:r>
      <w:r>
        <w:t>.</w:t>
      </w:r>
      <w:r>
        <w:tab/>
      </w:r>
      <w:r>
        <w:rPr>
          <w:rFonts w:hint="eastAsia"/>
        </w:rPr>
        <w:t>为辅导员和教师提供职业发展方面的专业培养/再培训</w:t>
      </w:r>
    </w:p>
    <w:p w:rsidR="00C776D3" w:rsidRDefault="00C776D3" w:rsidP="00C776D3">
      <w:pPr>
        <w:pStyle w:val="SingleTxt"/>
        <w:rPr>
          <w:rFonts w:hint="eastAsia"/>
        </w:rPr>
      </w:pPr>
      <w:r>
        <w:tab/>
      </w:r>
      <w:r>
        <w:rPr>
          <w:rFonts w:hint="eastAsia"/>
        </w:rPr>
        <w:t>2</w:t>
      </w:r>
      <w:r>
        <w:t>.</w:t>
      </w:r>
      <w:r>
        <w:tab/>
      </w:r>
      <w:r>
        <w:rPr>
          <w:rFonts w:hint="eastAsia"/>
        </w:rPr>
        <w:t>子女教育讲习班</w:t>
      </w:r>
    </w:p>
    <w:p w:rsidR="00C776D3" w:rsidRDefault="00C776D3" w:rsidP="00C776D3">
      <w:pPr>
        <w:pStyle w:val="SingleTxt"/>
        <w:rPr>
          <w:rFonts w:hint="eastAsia"/>
        </w:rPr>
      </w:pPr>
      <w:r>
        <w:tab/>
      </w:r>
      <w:r>
        <w:rPr>
          <w:rFonts w:hint="eastAsia"/>
        </w:rPr>
        <w:t>3</w:t>
      </w:r>
      <w:r>
        <w:t>.</w:t>
      </w:r>
      <w:r>
        <w:tab/>
      </w:r>
      <w:r>
        <w:rPr>
          <w:rFonts w:hint="eastAsia"/>
        </w:rPr>
        <w:t>大学奖学金综合考虑学术成绩与体育或音乐能力。</w:t>
      </w:r>
    </w:p>
    <w:p w:rsidR="00C776D3" w:rsidRDefault="00C776D3" w:rsidP="00C776D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w:t>
      </w:r>
      <w:r w:rsidR="00885365">
        <w:rPr>
          <w:rFonts w:hint="eastAsia"/>
        </w:rPr>
        <w:t>11</w:t>
      </w:r>
      <w:r>
        <w:rPr>
          <w:rFonts w:hint="eastAsia"/>
        </w:rPr>
        <w:t>条：就业</w:t>
      </w:r>
    </w:p>
    <w:p w:rsidR="00C776D3" w:rsidRPr="00CE0901" w:rsidRDefault="00C776D3" w:rsidP="00C776D3">
      <w:pPr>
        <w:pStyle w:val="SingleTxt"/>
        <w:spacing w:after="0" w:line="120" w:lineRule="exact"/>
        <w:rPr>
          <w:rFonts w:hint="eastAsia"/>
          <w:sz w:val="10"/>
        </w:rPr>
      </w:pPr>
    </w:p>
    <w:p w:rsidR="00C776D3" w:rsidRDefault="00C776D3" w:rsidP="00C776D3">
      <w:pPr>
        <w:pStyle w:val="SingleTxt"/>
        <w:rPr>
          <w:rFonts w:hint="eastAsia"/>
        </w:rPr>
      </w:pPr>
      <w:r>
        <w:rPr>
          <w:rFonts w:hint="eastAsia"/>
        </w:rPr>
        <w:t>114.</w:t>
      </w:r>
      <w:r>
        <w:t xml:space="preserve">  </w:t>
      </w:r>
      <w:r>
        <w:rPr>
          <w:rFonts w:hint="eastAsia"/>
        </w:rPr>
        <w:t>就业和工会运作属于《劳资关系法》(《巴哈马成文法》经修订的第321章，1971年3月1日)的范畴。</w:t>
      </w:r>
    </w:p>
    <w:p w:rsidR="00C776D3" w:rsidRPr="00CE0901" w:rsidRDefault="00C776D3" w:rsidP="00C776D3">
      <w:pPr>
        <w:pStyle w:val="SingleTxt"/>
        <w:rPr>
          <w:rFonts w:ascii="SimHei" w:eastAsia="SimHei" w:hint="eastAsia"/>
        </w:rPr>
      </w:pPr>
      <w:r w:rsidRPr="00CE0901">
        <w:rPr>
          <w:rFonts w:ascii="SimHei" w:eastAsia="SimHei" w:hint="eastAsia"/>
        </w:rPr>
        <w:t>招聘和就业实践</w:t>
      </w:r>
    </w:p>
    <w:p w:rsidR="00C776D3" w:rsidRDefault="00C776D3" w:rsidP="00C776D3">
      <w:pPr>
        <w:pStyle w:val="SingleTxt"/>
        <w:rPr>
          <w:rFonts w:hint="eastAsia"/>
        </w:rPr>
      </w:pPr>
      <w:r>
        <w:rPr>
          <w:rFonts w:hint="eastAsia"/>
        </w:rPr>
        <w:t>115</w:t>
      </w:r>
      <w:r>
        <w:t xml:space="preserve">.  </w:t>
      </w:r>
      <w:r>
        <w:rPr>
          <w:rFonts w:hint="eastAsia"/>
        </w:rPr>
        <w:t>巴哈马在招聘和就业实践中不存在男女歧视。2001年《就业法》(修订稿)规定，任何雇主在招聘和就业做法中对男女的歧视行为均属非法。因此，男女有权获得相同的就业机会，包括在聘用事项中适用相同的甄选标准。</w:t>
      </w:r>
    </w:p>
    <w:p w:rsidR="00C776D3" w:rsidRPr="00CE0901" w:rsidRDefault="00C776D3" w:rsidP="00C776D3">
      <w:pPr>
        <w:pStyle w:val="SingleTxt"/>
        <w:rPr>
          <w:rFonts w:ascii="SimHei" w:eastAsia="SimHei" w:hint="eastAsia"/>
        </w:rPr>
      </w:pPr>
      <w:r w:rsidRPr="00CE0901">
        <w:rPr>
          <w:rFonts w:ascii="SimHei" w:eastAsia="SimHei" w:hint="eastAsia"/>
        </w:rPr>
        <w:t>消除就业和工资歧视的立法</w:t>
      </w:r>
    </w:p>
    <w:p w:rsidR="00C776D3" w:rsidRDefault="00C776D3" w:rsidP="00C776D3">
      <w:pPr>
        <w:pStyle w:val="SingleTxt"/>
      </w:pPr>
      <w:r>
        <w:rPr>
          <w:rFonts w:hint="eastAsia"/>
        </w:rPr>
        <w:t>116</w:t>
      </w:r>
      <w:r>
        <w:t xml:space="preserve">.  </w:t>
      </w:r>
      <w:r>
        <w:rPr>
          <w:rFonts w:hint="eastAsia"/>
        </w:rPr>
        <w:t>如前次报告所述，实际上已专门制定了不歧视妇女的立法。</w:t>
      </w:r>
    </w:p>
    <w:p w:rsidR="00C776D3" w:rsidRDefault="00C776D3" w:rsidP="00C776D3">
      <w:pPr>
        <w:pStyle w:val="SingleTxt"/>
        <w:ind w:left="1905"/>
        <w:rPr>
          <w:rFonts w:hint="eastAsia"/>
        </w:rPr>
      </w:pPr>
      <w:r>
        <w:rPr>
          <w:rFonts w:hAnsi="SimSun" w:hint="eastAsia"/>
        </w:rPr>
        <w:t>㈥</w:t>
      </w:r>
      <w:r>
        <w:rPr>
          <w:rFonts w:hAnsi="SimSun"/>
        </w:rPr>
        <w:tab/>
        <w:t xml:space="preserve">  </w:t>
      </w:r>
      <w:r>
        <w:rPr>
          <w:rFonts w:hint="eastAsia"/>
        </w:rPr>
        <w:t>2001年《就业法》第6条规定：“任何雇主或任何代表雇主行事的人，均不得以种族、信仰、性别、婚姻状况、政治观点、年龄或艾滋病毒/艾滋病状况为由歧视雇员或求职者”。</w:t>
      </w:r>
    </w:p>
    <w:p w:rsidR="00C776D3" w:rsidRDefault="00C776D3" w:rsidP="00C776D3">
      <w:pPr>
        <w:pStyle w:val="SingleTxt"/>
        <w:rPr>
          <w:rFonts w:hint="eastAsia"/>
        </w:rPr>
      </w:pPr>
      <w:r>
        <w:rPr>
          <w:rFonts w:hint="eastAsia"/>
        </w:rPr>
        <w:t>117</w:t>
      </w:r>
      <w:r>
        <w:t xml:space="preserve">.  </w:t>
      </w:r>
      <w:r>
        <w:rPr>
          <w:rFonts w:hint="eastAsia"/>
        </w:rPr>
        <w:t>根据该法，一名妇女不可在下列方面受到歧视：就业机会、晋升权利、获得培训的权利、工作保障、各种福利待遇和服务条件、社会保障权、同等报酬权、感染艾滋病毒/艾滋病者的工作保障权、怀孕妇女免做有害工作的保护权、孕产福利权和在退休、失业、生病和带薪假期方面的其他社会保障福利、不因怀孕或婚姻状况遭到不公平解职的权利。</w:t>
      </w:r>
    </w:p>
    <w:p w:rsidR="00C776D3" w:rsidRPr="00CE0901" w:rsidRDefault="00C776D3" w:rsidP="00C776D3">
      <w:pPr>
        <w:pStyle w:val="SingleTxt"/>
        <w:rPr>
          <w:rFonts w:ascii="SimHei" w:eastAsia="SimHei" w:hint="eastAsia"/>
        </w:rPr>
      </w:pPr>
      <w:r w:rsidRPr="00CE0901">
        <w:rPr>
          <w:rFonts w:ascii="SimHei" w:eastAsia="SimHei" w:hint="eastAsia"/>
        </w:rPr>
        <w:t>妇女在受薪劳动力总人数中所占百分比</w:t>
      </w:r>
    </w:p>
    <w:p w:rsidR="00C776D3" w:rsidRDefault="00C776D3" w:rsidP="00C776D3">
      <w:pPr>
        <w:pStyle w:val="SingleTxt"/>
        <w:rPr>
          <w:rFonts w:hint="eastAsia"/>
        </w:rPr>
      </w:pPr>
      <w:r>
        <w:rPr>
          <w:rFonts w:hint="eastAsia"/>
        </w:rPr>
        <w:t>118</w:t>
      </w:r>
      <w:r>
        <w:t xml:space="preserve">.  </w:t>
      </w:r>
      <w:r>
        <w:rPr>
          <w:rFonts w:hint="eastAsia"/>
        </w:rPr>
        <w:t>统计局的统计数据显示，2009年，妇女在劳动总人口中约占48.9%，而妇女在劳动队伍中的参加率约为69.1%。</w:t>
      </w:r>
    </w:p>
    <w:p w:rsidR="00C776D3" w:rsidRPr="00CE0901" w:rsidRDefault="00C776D3" w:rsidP="00C776D3">
      <w:pPr>
        <w:pStyle w:val="SingleTxt"/>
        <w:rPr>
          <w:rFonts w:ascii="SimHei" w:eastAsia="SimHei" w:hint="eastAsia"/>
        </w:rPr>
      </w:pPr>
      <w:r w:rsidRPr="00CE0901">
        <w:rPr>
          <w:rFonts w:ascii="SimHei" w:eastAsia="SimHei" w:hint="eastAsia"/>
        </w:rPr>
        <w:t>以妇女或男人为主的职业</w:t>
      </w:r>
    </w:p>
    <w:p w:rsidR="00C776D3" w:rsidRDefault="00C776D3" w:rsidP="00C776D3">
      <w:pPr>
        <w:pStyle w:val="SingleTxt"/>
        <w:rPr>
          <w:rFonts w:hint="eastAsia"/>
        </w:rPr>
      </w:pPr>
      <w:r>
        <w:rPr>
          <w:rFonts w:hint="eastAsia"/>
        </w:rPr>
        <w:t>119</w:t>
      </w:r>
      <w:r>
        <w:t xml:space="preserve">.  </w:t>
      </w:r>
      <w:r>
        <w:rPr>
          <w:rFonts w:hint="eastAsia"/>
        </w:rPr>
        <w:t>除了在前次给消除对妇女歧视委员会的报告中所述其他领域外，仍以妇女为主的两个职业是教育和护理。</w:t>
      </w:r>
    </w:p>
    <w:p w:rsidR="00C776D3" w:rsidRPr="00CE0901" w:rsidRDefault="00C776D3" w:rsidP="00C776D3">
      <w:pPr>
        <w:pStyle w:val="SingleTxt"/>
        <w:rPr>
          <w:rFonts w:ascii="SimHei" w:eastAsia="SimHei" w:hint="eastAsia"/>
        </w:rPr>
      </w:pPr>
      <w:r w:rsidRPr="00CE0901">
        <w:rPr>
          <w:rFonts w:ascii="SimHei" w:eastAsia="SimHei" w:hint="eastAsia"/>
        </w:rPr>
        <w:t>学徒</w:t>
      </w:r>
    </w:p>
    <w:p w:rsidR="00C776D3" w:rsidRDefault="00C776D3" w:rsidP="00C776D3">
      <w:pPr>
        <w:pStyle w:val="SingleTxt"/>
        <w:rPr>
          <w:rFonts w:hint="eastAsia"/>
        </w:rPr>
      </w:pPr>
      <w:r>
        <w:rPr>
          <w:rFonts w:hint="eastAsia"/>
        </w:rPr>
        <w:t>120</w:t>
      </w:r>
      <w:r>
        <w:t xml:space="preserve">.  </w:t>
      </w:r>
      <w:r>
        <w:rPr>
          <w:rFonts w:hint="eastAsia"/>
        </w:rPr>
        <w:t>妇女可以自由选择她们的职业。巴哈马技术和职业学院提供各技术领域的培训，而女生和男生一样有资格注册参加任何一种课程。在此过程中，有顾问可以帮助所有潜在的学生。</w:t>
      </w:r>
    </w:p>
    <w:p w:rsidR="00C776D3" w:rsidRPr="00CE0901" w:rsidRDefault="00C776D3" w:rsidP="00C776D3">
      <w:pPr>
        <w:pStyle w:val="SingleTxt"/>
        <w:rPr>
          <w:rFonts w:ascii="SimHei" w:eastAsia="SimHei" w:hint="eastAsia"/>
        </w:rPr>
      </w:pPr>
      <w:r w:rsidRPr="00CE0901">
        <w:rPr>
          <w:rFonts w:ascii="SimHei" w:eastAsia="SimHei" w:hint="eastAsia"/>
        </w:rPr>
        <w:t>同等报酬立法</w:t>
      </w:r>
    </w:p>
    <w:p w:rsidR="00C776D3" w:rsidRDefault="00C776D3" w:rsidP="00C776D3">
      <w:pPr>
        <w:pStyle w:val="SingleTxt"/>
        <w:rPr>
          <w:rFonts w:hint="eastAsia"/>
        </w:rPr>
      </w:pPr>
      <w:r>
        <w:rPr>
          <w:rFonts w:hint="eastAsia"/>
        </w:rPr>
        <w:t>121</w:t>
      </w:r>
      <w:r>
        <w:t xml:space="preserve">.  </w:t>
      </w:r>
      <w:r>
        <w:rPr>
          <w:rFonts w:hint="eastAsia"/>
        </w:rPr>
        <w:t>2001年《就业法》对此有规定。</w:t>
      </w:r>
    </w:p>
    <w:p w:rsidR="00C776D3" w:rsidRPr="00CE0901" w:rsidRDefault="00C776D3" w:rsidP="00C776D3">
      <w:pPr>
        <w:pStyle w:val="SingleTxt"/>
        <w:rPr>
          <w:rFonts w:ascii="SimHei" w:eastAsia="SimHei" w:hint="eastAsia"/>
        </w:rPr>
      </w:pPr>
      <w:r w:rsidRPr="00CE0901">
        <w:rPr>
          <w:rFonts w:ascii="SimHei" w:eastAsia="SimHei" w:hint="eastAsia"/>
        </w:rPr>
        <w:t>工作福利</w:t>
      </w:r>
    </w:p>
    <w:p w:rsidR="00C776D3" w:rsidRDefault="00C776D3" w:rsidP="00C776D3">
      <w:pPr>
        <w:pStyle w:val="SingleTxt"/>
        <w:rPr>
          <w:rFonts w:hint="eastAsia"/>
        </w:rPr>
      </w:pPr>
      <w:r>
        <w:rPr>
          <w:rFonts w:hint="eastAsia"/>
        </w:rPr>
        <w:t>122</w:t>
      </w:r>
      <w:r>
        <w:t xml:space="preserve">.  </w:t>
      </w:r>
      <w:r>
        <w:rPr>
          <w:rFonts w:hint="eastAsia"/>
        </w:rPr>
        <w:t>如前次报告所述，《国民保险法》规范了工作福利。</w:t>
      </w:r>
    </w:p>
    <w:p w:rsidR="00C776D3" w:rsidRPr="00CE0901" w:rsidRDefault="00C776D3" w:rsidP="00C776D3">
      <w:pPr>
        <w:pStyle w:val="SingleTxt"/>
        <w:rPr>
          <w:rFonts w:ascii="SimHei" w:eastAsia="SimHei" w:hint="eastAsia"/>
        </w:rPr>
      </w:pPr>
      <w:r w:rsidRPr="00CE0901">
        <w:rPr>
          <w:rFonts w:ascii="SimHei" w:eastAsia="SimHei" w:hint="eastAsia"/>
        </w:rPr>
        <w:t>产假及就业保障</w:t>
      </w:r>
    </w:p>
    <w:p w:rsidR="00C776D3" w:rsidRDefault="00C776D3" w:rsidP="00C776D3">
      <w:pPr>
        <w:pStyle w:val="SingleTxt"/>
        <w:rPr>
          <w:rFonts w:hint="eastAsia"/>
        </w:rPr>
      </w:pPr>
      <w:r>
        <w:rPr>
          <w:rFonts w:hint="eastAsia"/>
        </w:rPr>
        <w:t>123</w:t>
      </w:r>
      <w:r>
        <w:t xml:space="preserve">.  </w:t>
      </w:r>
      <w:r>
        <w:rPr>
          <w:rFonts w:hint="eastAsia"/>
        </w:rPr>
        <w:t>根据《产假法》的规定，就业保障不受怀孕的影响。</w:t>
      </w:r>
    </w:p>
    <w:p w:rsidR="00C776D3" w:rsidRPr="00CE0901" w:rsidRDefault="00C776D3" w:rsidP="00C776D3">
      <w:pPr>
        <w:pStyle w:val="SingleTxt"/>
        <w:rPr>
          <w:rFonts w:ascii="SimHei" w:eastAsia="SimHei" w:hint="eastAsia"/>
        </w:rPr>
      </w:pPr>
      <w:r w:rsidRPr="00CE0901">
        <w:rPr>
          <w:rFonts w:ascii="SimHei" w:eastAsia="SimHei" w:hint="eastAsia"/>
        </w:rPr>
        <w:t>产假规定</w:t>
      </w:r>
    </w:p>
    <w:p w:rsidR="00C776D3" w:rsidRDefault="00C776D3" w:rsidP="00C776D3">
      <w:pPr>
        <w:pStyle w:val="SingleTxt"/>
        <w:rPr>
          <w:rFonts w:hint="eastAsia"/>
        </w:rPr>
      </w:pPr>
      <w:r>
        <w:rPr>
          <w:rFonts w:hint="eastAsia"/>
        </w:rPr>
        <w:t>124</w:t>
      </w:r>
      <w:r>
        <w:t xml:space="preserve">.  </w:t>
      </w:r>
      <w:r>
        <w:rPr>
          <w:rFonts w:hint="eastAsia"/>
        </w:rPr>
        <w:t>自给消除对妇女歧视委员会的上次报告以来，与以下方面的相关资料没有变化：育儿假、以怀孕为由解雇妇女、带薪假、灵活工作方式规定、婚姻状况和工作保障、卫生和安全法、妇女就业限制、托儿设施、规范幼教设施运作的法律措施、雇主提供托儿服务的百分比、课后照看服务、工作场所哺乳政策。</w:t>
      </w:r>
    </w:p>
    <w:p w:rsidR="00C776D3" w:rsidRDefault="00C776D3" w:rsidP="00C776D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w:t>
      </w:r>
      <w:r w:rsidR="00885365">
        <w:rPr>
          <w:rFonts w:hint="eastAsia"/>
        </w:rPr>
        <w:t>12</w:t>
      </w:r>
      <w:r>
        <w:rPr>
          <w:rFonts w:hint="eastAsia"/>
        </w:rPr>
        <w:t>条：平等获得医疗保健</w:t>
      </w:r>
    </w:p>
    <w:p w:rsidR="00C776D3" w:rsidRPr="00CE0901" w:rsidRDefault="00C776D3" w:rsidP="00C776D3">
      <w:pPr>
        <w:pStyle w:val="SingleTxt"/>
        <w:spacing w:after="0" w:line="120" w:lineRule="exact"/>
        <w:rPr>
          <w:rFonts w:hint="eastAsia"/>
          <w:sz w:val="10"/>
        </w:rPr>
      </w:pPr>
    </w:p>
    <w:p w:rsidR="00C776D3" w:rsidRPr="00CE0901" w:rsidRDefault="00C776D3" w:rsidP="00C776D3">
      <w:pPr>
        <w:pStyle w:val="SingleTxt"/>
        <w:rPr>
          <w:rFonts w:ascii="SimHei" w:eastAsia="SimHei" w:hint="eastAsia"/>
        </w:rPr>
      </w:pPr>
      <w:r w:rsidRPr="00CE0901">
        <w:rPr>
          <w:rFonts w:ascii="SimHei" w:eastAsia="SimHei" w:hint="eastAsia"/>
        </w:rPr>
        <w:t>消除医疗保健方面歧视妇女的措施</w:t>
      </w:r>
    </w:p>
    <w:p w:rsidR="00C776D3" w:rsidRDefault="00C776D3" w:rsidP="00C776D3">
      <w:pPr>
        <w:pStyle w:val="SingleTxt"/>
        <w:rPr>
          <w:rFonts w:hint="eastAsia"/>
        </w:rPr>
      </w:pPr>
      <w:r>
        <w:rPr>
          <w:rFonts w:hint="eastAsia"/>
        </w:rPr>
        <w:t>125</w:t>
      </w:r>
      <w:r>
        <w:t xml:space="preserve">.  </w:t>
      </w:r>
      <w:r>
        <w:rPr>
          <w:rFonts w:hint="eastAsia"/>
        </w:rPr>
        <w:t>妇女的健康得到了特别关注，在相当全面的生殖健康服务领域中尤其如此。这包括关于生殖健康以及男性在这一进程中所起作用的信息。政府还把家庭生活和健康教育纳入了从一年级到十二年级的各级教学大纲。</w:t>
      </w:r>
    </w:p>
    <w:p w:rsidR="00C776D3" w:rsidRPr="00CE0901" w:rsidRDefault="00C776D3" w:rsidP="00C776D3">
      <w:pPr>
        <w:pStyle w:val="SingleTxt"/>
        <w:rPr>
          <w:rFonts w:ascii="SimHei" w:eastAsia="SimHei" w:hint="eastAsia"/>
        </w:rPr>
      </w:pPr>
      <w:r w:rsidRPr="00CE0901">
        <w:rPr>
          <w:rFonts w:ascii="SimHei" w:eastAsia="SimHei" w:hint="eastAsia"/>
        </w:rPr>
        <w:t>努力确保妇女有平等机会获得医疗保健服务</w:t>
      </w:r>
    </w:p>
    <w:p w:rsidR="00C776D3" w:rsidRDefault="00C776D3" w:rsidP="00C776D3">
      <w:pPr>
        <w:pStyle w:val="SingleTxt"/>
        <w:rPr>
          <w:rFonts w:hint="eastAsia"/>
        </w:rPr>
      </w:pPr>
      <w:r>
        <w:rPr>
          <w:rFonts w:hint="eastAsia"/>
        </w:rPr>
        <w:t>126</w:t>
      </w:r>
      <w:r>
        <w:t xml:space="preserve">.  </w:t>
      </w:r>
      <w:r>
        <w:rPr>
          <w:rFonts w:hint="eastAsia"/>
        </w:rPr>
        <w:t>在巴哈马，男女有平等机会获得医疗保健。男女平等获得疫苗、免疫接种和获得药品。不过，在获取紧急避孕药(如72小时避孕药)和流产期间及之后的产期照顾方面，妇女得不到充分服务。对绝经前和绝经期妇女的服务还不充分。</w:t>
      </w:r>
    </w:p>
    <w:p w:rsidR="00C776D3" w:rsidRDefault="00C776D3" w:rsidP="00C776D3">
      <w:pPr>
        <w:pStyle w:val="SingleTxt"/>
        <w:rPr>
          <w:rFonts w:hint="eastAsia"/>
        </w:rPr>
      </w:pPr>
      <w:r>
        <w:rPr>
          <w:rFonts w:hint="eastAsia"/>
        </w:rPr>
        <w:t>127</w:t>
      </w:r>
      <w:r>
        <w:t xml:space="preserve">.  </w:t>
      </w:r>
      <w:r>
        <w:rPr>
          <w:rFonts w:hint="eastAsia"/>
        </w:rPr>
        <w:t>在一些人口非常稀少的家族群岛社区，专科医疗保健服务有限。不过，家族群岛上每个公民/居民都可通过卫生诊所获得初级医疗保健。此外，2010年为家族群岛引进了远程医疗，增加了获得专科服务的机会。</w:t>
      </w:r>
    </w:p>
    <w:p w:rsidR="00C776D3" w:rsidRPr="00CE0901" w:rsidRDefault="00C776D3" w:rsidP="00C776D3">
      <w:pPr>
        <w:pStyle w:val="SingleTxt"/>
        <w:rPr>
          <w:rFonts w:ascii="SimHei" w:eastAsia="SimHei" w:hint="eastAsia"/>
        </w:rPr>
      </w:pPr>
      <w:r w:rsidRPr="00CE0901">
        <w:rPr>
          <w:rFonts w:ascii="SimHei" w:eastAsia="SimHei" w:hint="eastAsia"/>
        </w:rPr>
        <w:t>产前保健</w:t>
      </w:r>
    </w:p>
    <w:p w:rsidR="00C776D3" w:rsidRDefault="00C776D3" w:rsidP="00C776D3">
      <w:pPr>
        <w:pStyle w:val="SingleTxt"/>
        <w:rPr>
          <w:rFonts w:hint="eastAsia"/>
        </w:rPr>
      </w:pPr>
      <w:r>
        <w:rPr>
          <w:rFonts w:hint="eastAsia"/>
        </w:rPr>
        <w:t>128</w:t>
      </w:r>
      <w:r>
        <w:t xml:space="preserve">.  </w:t>
      </w:r>
      <w:r>
        <w:rPr>
          <w:rFonts w:hint="eastAsia"/>
        </w:rPr>
        <w:t>在本报告所述期间，由于免费服务的生殖健康政策和分布合理的医疗保健设施，接受产前保健的妇女百分比仍然很高。卫生部的统计数据显示，2010年，每个服务对象产前平均访问公共卫生诊所8.1次，而产前服务对象不迟于妊娠期第16周得到诊视的百分比为53.5%，分别比2009年的7.6次和44.7%有所增加。</w:t>
      </w:r>
    </w:p>
    <w:p w:rsidR="00C776D3" w:rsidRPr="00CE0901" w:rsidRDefault="00C776D3" w:rsidP="00C776D3">
      <w:pPr>
        <w:pStyle w:val="SingleTxt"/>
        <w:rPr>
          <w:rFonts w:ascii="SimHei" w:eastAsia="SimHei" w:hint="eastAsia"/>
        </w:rPr>
      </w:pPr>
      <w:r w:rsidRPr="00CE0901">
        <w:rPr>
          <w:rFonts w:ascii="SimHei" w:eastAsia="SimHei" w:hint="eastAsia"/>
        </w:rPr>
        <w:t>产前和产后生殖保健服务</w:t>
      </w:r>
    </w:p>
    <w:p w:rsidR="00C776D3" w:rsidRDefault="00C776D3" w:rsidP="00C776D3">
      <w:pPr>
        <w:pStyle w:val="SingleTxt"/>
        <w:rPr>
          <w:rFonts w:hint="eastAsia"/>
        </w:rPr>
      </w:pPr>
      <w:r>
        <w:rPr>
          <w:rFonts w:hint="eastAsia"/>
        </w:rPr>
        <w:t>129</w:t>
      </w:r>
      <w:r>
        <w:t xml:space="preserve">.  </w:t>
      </w:r>
      <w:r>
        <w:rPr>
          <w:rFonts w:hint="eastAsia"/>
        </w:rPr>
        <w:t>这些服务在所有政府诊所中都免费提供。除各种计划生育方法外，还提供身体检查，其中包括阴道抹涂片检查、性病筛查和乳房检查。还努力增加提供其他生殖保健服务。现有一名全职计划生育协调员，负责监督巴哈马所有政府诊所的计划生育工作。门诊时间已延长，以照顾那些需在晚上获得服务的人。卫生部孕产妇和儿童保健股推出了男性健康举措，以解决男子关切的问题。该方案还旨在鼓励男子对自己的生殖健康负起责任，并鼓励他们支持其伴侣，同时为他们子女的健康发挥积极作用。</w:t>
      </w:r>
    </w:p>
    <w:p w:rsidR="00C776D3" w:rsidRDefault="00C776D3" w:rsidP="00C776D3">
      <w:pPr>
        <w:pStyle w:val="SingleTxt"/>
        <w:rPr>
          <w:rFonts w:hint="eastAsia"/>
        </w:rPr>
      </w:pPr>
      <w:r>
        <w:rPr>
          <w:rFonts w:hint="eastAsia"/>
        </w:rPr>
        <w:t>130</w:t>
      </w:r>
      <w:r>
        <w:t xml:space="preserve">.  </w:t>
      </w:r>
      <w:r>
        <w:rPr>
          <w:rFonts w:hint="eastAsia"/>
        </w:rPr>
        <w:t>巴哈马计划生育协会与政府之间协作的重点是落实青少年生殖健康方案，以减少少女怀孕和青少年性病。采取的一些举措包括：对医疗保健工作者进行计划生育方面的培训、转介以接受辅导和从该协会购买避孕药品。</w:t>
      </w:r>
    </w:p>
    <w:p w:rsidR="00C776D3" w:rsidRPr="00CE0901" w:rsidRDefault="00C776D3" w:rsidP="00C776D3">
      <w:pPr>
        <w:pStyle w:val="SingleTxt"/>
        <w:rPr>
          <w:rFonts w:ascii="SimHei" w:eastAsia="SimHei" w:hint="eastAsia"/>
        </w:rPr>
      </w:pPr>
      <w:r w:rsidRPr="00CE0901">
        <w:rPr>
          <w:rFonts w:ascii="SimHei" w:eastAsia="SimHei" w:hint="eastAsia"/>
        </w:rPr>
        <w:t>对孕妇及哺乳妇女的营养支持</w:t>
      </w:r>
    </w:p>
    <w:p w:rsidR="00C776D3" w:rsidRDefault="00C776D3" w:rsidP="00C776D3">
      <w:pPr>
        <w:pStyle w:val="SingleTxt"/>
        <w:rPr>
          <w:rFonts w:hint="eastAsia"/>
        </w:rPr>
      </w:pPr>
      <w:r>
        <w:rPr>
          <w:rFonts w:hint="eastAsia"/>
        </w:rPr>
        <w:t>131</w:t>
      </w:r>
      <w:r>
        <w:t xml:space="preserve">.  </w:t>
      </w:r>
      <w:r>
        <w:rPr>
          <w:rFonts w:hint="eastAsia"/>
        </w:rPr>
        <w:t>妇女在怀孕期间可以获得全面的围产期服务，其中包括铁、叶酸和多种维生素常规补充剂。这项服务在巴哈马所有岛屿的公共卫生设施向服务对象免费提供。私人设施也可为有此愿望的人提供这些服务。出院时完全母乳喂养的母亲比例从38.0%增加到了83.8%。这一增加可归因于通过大众传媒、社区论坛和母乳喂养讲习班对向孕前和孕期妇女提供的母乳喂养举措的推广。根据《公共保健》每月报道的数据，在医疗专业人员诊视的一个月大婴儿中，四个星期完全由母乳喂养的为31%。目前正在继续努力推广出生后头六个月完全由母乳喂养。</w:t>
      </w:r>
    </w:p>
    <w:p w:rsidR="00C776D3" w:rsidRDefault="00C776D3" w:rsidP="00C776D3">
      <w:pPr>
        <w:pStyle w:val="SingleTxt"/>
        <w:rPr>
          <w:rFonts w:hint="eastAsia"/>
        </w:rPr>
      </w:pPr>
      <w:r>
        <w:rPr>
          <w:rFonts w:hint="eastAsia"/>
        </w:rPr>
        <w:t>132</w:t>
      </w:r>
      <w:r>
        <w:t xml:space="preserve">.  </w:t>
      </w:r>
      <w:r>
        <w:rPr>
          <w:rFonts w:hint="eastAsia"/>
        </w:rPr>
        <w:t>卫生部2005年慢性非传染病患病率和危险因素调查的数据显示，15至64岁年龄组中与营养有关的主要疾病是高血压(26%)和超重或肥胖症(70%)。</w:t>
      </w:r>
    </w:p>
    <w:p w:rsidR="00C776D3" w:rsidRPr="00F205E0" w:rsidRDefault="00C776D3" w:rsidP="00C776D3">
      <w:pPr>
        <w:pStyle w:val="SingleTxt"/>
        <w:rPr>
          <w:rFonts w:ascii="SimHei" w:eastAsia="SimHei" w:hint="eastAsia"/>
        </w:rPr>
      </w:pPr>
      <w:r w:rsidRPr="00F205E0">
        <w:rPr>
          <w:rFonts w:ascii="SimHei" w:eastAsia="SimHei" w:hint="eastAsia"/>
        </w:rPr>
        <w:t>基础设施：组织和设施</w:t>
      </w:r>
    </w:p>
    <w:p w:rsidR="00C776D3" w:rsidRDefault="00C776D3" w:rsidP="00C776D3">
      <w:pPr>
        <w:pStyle w:val="SingleTxt"/>
        <w:rPr>
          <w:rFonts w:hint="eastAsia"/>
        </w:rPr>
      </w:pPr>
      <w:r>
        <w:rPr>
          <w:rFonts w:hint="eastAsia"/>
        </w:rPr>
        <w:t>133</w:t>
      </w:r>
      <w:r>
        <w:t xml:space="preserve">.  </w:t>
      </w:r>
      <w:r>
        <w:rPr>
          <w:rFonts w:hint="eastAsia"/>
        </w:rPr>
        <w:t>巴哈马的群岛性质在基础设施方面构成了一些挑战，因为政府需要在众多岛屿上重复建设基础设施和提供服务。不过，已为应对这一挑战制订了政策并采取了措施。巴哈马历届政府不断执行有效的医疗管理政策，改善有形设施和社会经济设施，以确保所有岛屿上的公民/居民都能获得医疗保健服务，即使是那些人口最少的岛屿也不例外。</w:t>
      </w:r>
    </w:p>
    <w:p w:rsidR="00C776D3" w:rsidRDefault="00C776D3" w:rsidP="00C776D3">
      <w:pPr>
        <w:pStyle w:val="SingleTxt"/>
        <w:rPr>
          <w:rFonts w:hint="eastAsia"/>
        </w:rPr>
      </w:pPr>
      <w:r>
        <w:rPr>
          <w:rFonts w:hint="eastAsia"/>
        </w:rPr>
        <w:t>134</w:t>
      </w:r>
      <w:r>
        <w:t xml:space="preserve">.  </w:t>
      </w:r>
      <w:r>
        <w:rPr>
          <w:rFonts w:hint="eastAsia"/>
        </w:rPr>
        <w:t>在本报告所述期间，医疗卫生基础设施得到扩大。卫生部的统计资料显示，2010年有4家主要医院(3家公立和1家私立)，病床1 054张，与人口的比率为万分之30.4。还有61个多科诊所和主要诊所位于新普罗维登斯岛(10个)、大巴哈马岛(8个)和家族群岛(43个)。全巴哈马的卫星诊所总数为34个。有些卫星诊所已关闭，因为人口迁移使某些特定地区不再需要这些诊所。政府的医疗卫生预算百分比是14.37%(2009/2010年度)。医疗卫生开销的人均支出为620.48美元。</w:t>
      </w:r>
    </w:p>
    <w:p w:rsidR="00C776D3" w:rsidRDefault="00C776D3" w:rsidP="00C776D3">
      <w:pPr>
        <w:pStyle w:val="SingleTxt"/>
        <w:rPr>
          <w:rFonts w:hint="eastAsia"/>
        </w:rPr>
      </w:pPr>
      <w:r>
        <w:rPr>
          <w:rFonts w:hint="eastAsia"/>
        </w:rPr>
        <w:t>135</w:t>
      </w:r>
      <w:r>
        <w:t xml:space="preserve">.  </w:t>
      </w:r>
      <w:r>
        <w:rPr>
          <w:rFonts w:hint="eastAsia"/>
        </w:rPr>
        <w:t>多科诊所的数目以及其他卫生保健设施的建造、翻修、扩大都有所增加。这包括位于新普罗维登斯岛上的精神病医院和一家老人医院以及位于大巴哈马岛的总医院，该院具有全面的基本产科护理能力。由于多科诊所、孕产妇和儿童保健诊所的扩大和卫星诊所在所有岛屿的合理分布，获得医疗保健的方便程度已得到进一步改善。</w:t>
      </w:r>
    </w:p>
    <w:p w:rsidR="00C776D3" w:rsidRDefault="00C776D3" w:rsidP="00C776D3">
      <w:pPr>
        <w:pStyle w:val="SingleTxt"/>
        <w:rPr>
          <w:rFonts w:hint="eastAsia"/>
        </w:rPr>
      </w:pPr>
      <w:r>
        <w:rPr>
          <w:rFonts w:hint="eastAsia"/>
        </w:rPr>
        <w:t>136</w:t>
      </w:r>
      <w:r>
        <w:t xml:space="preserve">.  </w:t>
      </w:r>
      <w:r>
        <w:rPr>
          <w:rFonts w:hint="eastAsia"/>
        </w:rPr>
        <w:t>支持医疗卫生服务的医务人员包括医生和护士。公立和私营部门的医生有830名，对应于人口的比率为万分之24%。仅在公立部门就有964名注册护士(人口的万分之28)和451名经培训的临床护士(人口的万分之13)。</w:t>
      </w:r>
    </w:p>
    <w:p w:rsidR="00C776D3" w:rsidRDefault="00C776D3" w:rsidP="00C776D3">
      <w:pPr>
        <w:pStyle w:val="SingleTxt"/>
        <w:rPr>
          <w:rFonts w:hint="eastAsia"/>
        </w:rPr>
      </w:pPr>
      <w:r>
        <w:rPr>
          <w:rFonts w:hint="eastAsia"/>
        </w:rPr>
        <w:t>137</w:t>
      </w:r>
      <w:r>
        <w:t xml:space="preserve">.  </w:t>
      </w:r>
      <w:r>
        <w:rPr>
          <w:rFonts w:hint="eastAsia"/>
        </w:rPr>
        <w:t>一些公共卫生方案的重点是改善妇女、儿童和老人的健康，包括预防和例行医疗护理。主要举措是：</w:t>
      </w:r>
    </w:p>
    <w:p w:rsidR="00C776D3" w:rsidRDefault="00C776D3" w:rsidP="00C776D3">
      <w:pPr>
        <w:pStyle w:val="SingleTxt"/>
        <w:rPr>
          <w:rFonts w:hint="eastAsia"/>
        </w:rPr>
      </w:pPr>
      <w:r>
        <w:tab/>
      </w:r>
      <w:r>
        <w:rPr>
          <w:rFonts w:hint="eastAsia"/>
        </w:rPr>
        <w:t>(a)</w:t>
      </w:r>
      <w:r>
        <w:rPr>
          <w:rFonts w:hint="eastAsia"/>
        </w:rPr>
        <w:tab/>
        <w:t>孕产妇和儿童保健方案，其中包括：生殖健康、儿童健康、高风险婴儿方案、学校卫生、哺乳管理、青少年、虐待和忽视疑案以及营养方案。</w:t>
      </w:r>
    </w:p>
    <w:p w:rsidR="00C776D3" w:rsidRDefault="00C776D3" w:rsidP="00C776D3">
      <w:pPr>
        <w:pStyle w:val="SingleTxt"/>
        <w:rPr>
          <w:rFonts w:hint="eastAsia"/>
        </w:rPr>
      </w:pPr>
      <w:r>
        <w:tab/>
      </w:r>
      <w:r>
        <w:rPr>
          <w:rFonts w:hint="eastAsia"/>
        </w:rPr>
        <w:t>(b)</w:t>
      </w:r>
      <w:r>
        <w:rPr>
          <w:rFonts w:hint="eastAsia"/>
        </w:rPr>
        <w:tab/>
        <w:t>扩大的免疫方案(其中包括针对妇女的破伤风、风疹和乙肝免疫接种)；</w:t>
      </w:r>
    </w:p>
    <w:p w:rsidR="00C776D3" w:rsidRDefault="00C776D3" w:rsidP="00C776D3">
      <w:pPr>
        <w:pStyle w:val="SingleTxt"/>
        <w:rPr>
          <w:rFonts w:hint="eastAsia"/>
        </w:rPr>
      </w:pPr>
      <w:r>
        <w:tab/>
      </w:r>
      <w:r>
        <w:rPr>
          <w:rFonts w:hint="eastAsia"/>
        </w:rPr>
        <w:t>(c)</w:t>
      </w:r>
      <w:r>
        <w:rPr>
          <w:rFonts w:hint="eastAsia"/>
        </w:rPr>
        <w:tab/>
        <w:t>传染病方案和慢性非传染病方案。</w:t>
      </w:r>
    </w:p>
    <w:p w:rsidR="00C776D3" w:rsidRPr="00F205E0" w:rsidRDefault="00C776D3" w:rsidP="00C776D3">
      <w:pPr>
        <w:pStyle w:val="SingleTxt"/>
        <w:rPr>
          <w:rFonts w:ascii="SimHei" w:eastAsia="SimHei" w:hint="eastAsia"/>
        </w:rPr>
      </w:pPr>
      <w:r w:rsidRPr="00F205E0">
        <w:rPr>
          <w:rFonts w:ascii="SimHei" w:eastAsia="SimHei" w:hint="eastAsia"/>
        </w:rPr>
        <w:t>女性死亡率和发病率</w:t>
      </w:r>
    </w:p>
    <w:p w:rsidR="00C776D3" w:rsidRDefault="00C776D3" w:rsidP="00C776D3">
      <w:pPr>
        <w:pStyle w:val="SingleTxt"/>
        <w:rPr>
          <w:rFonts w:hint="eastAsia"/>
        </w:rPr>
      </w:pPr>
      <w:r>
        <w:rPr>
          <w:rFonts w:hint="eastAsia"/>
        </w:rPr>
        <w:t>138</w:t>
      </w:r>
      <w:r>
        <w:t xml:space="preserve">.  </w:t>
      </w:r>
      <w:r>
        <w:rPr>
          <w:rFonts w:hint="eastAsia"/>
        </w:rPr>
        <w:t>卫生部的数据(2008年)显示，按每10万人口计算，导致妇女死亡的五大主因为：缺血性心脏疾病(47.8人)、高血压病(47.3人)、脑血管疾病(40.3人)、糖尿病(29.4人)和乳腺癌(25.4人)。男性按每10万人口计算的主要死因是：缺血性心脏疾病(49.2人)、艾滋病毒疾病(艾滋病)(47.9人)、脑血管疾病(47.3人)、高血压病(46.1人)和攻击(他杀)(41.9人)。</w:t>
      </w:r>
    </w:p>
    <w:p w:rsidR="00C776D3" w:rsidRDefault="00C776D3" w:rsidP="00C776D3">
      <w:pPr>
        <w:pStyle w:val="SingleTxt"/>
        <w:rPr>
          <w:rFonts w:hint="eastAsia"/>
        </w:rPr>
      </w:pPr>
      <w:r>
        <w:rPr>
          <w:rFonts w:hint="eastAsia"/>
        </w:rPr>
        <w:t>139</w:t>
      </w:r>
      <w:r>
        <w:t xml:space="preserve">.  </w:t>
      </w:r>
      <w:r>
        <w:rPr>
          <w:rFonts w:hint="eastAsia"/>
        </w:rPr>
        <w:t>高血压和肥胖症是妇女发病的主要成因。鉴于心血管疾病是男女死亡率和发病率的最大疾病负担，政府出台了慢性非传染疾病方案，其中有四个功能单元，重点是对心血管疾病、糖尿病、癌症和哮喘的一级和二级预防、管理和监测。健康生活方式方案侧重于慢性非传染疾病的早期发现和风险因素。</w:t>
      </w:r>
    </w:p>
    <w:p w:rsidR="00C776D3" w:rsidRPr="00F205E0" w:rsidRDefault="00C776D3" w:rsidP="00C776D3">
      <w:pPr>
        <w:pStyle w:val="SingleTxt"/>
        <w:rPr>
          <w:rFonts w:ascii="SimHei" w:eastAsia="SimHei" w:hint="eastAsia"/>
        </w:rPr>
      </w:pPr>
      <w:r w:rsidRPr="00F205E0">
        <w:rPr>
          <w:rFonts w:ascii="SimHei" w:eastAsia="SimHei" w:hint="eastAsia"/>
        </w:rPr>
        <w:t>孕产妇死亡率</w:t>
      </w:r>
    </w:p>
    <w:p w:rsidR="00C776D3" w:rsidRDefault="00C776D3" w:rsidP="00C776D3">
      <w:pPr>
        <w:pStyle w:val="SingleTxt"/>
        <w:rPr>
          <w:rFonts w:hint="eastAsia"/>
        </w:rPr>
      </w:pPr>
      <w:r>
        <w:rPr>
          <w:rFonts w:hint="eastAsia"/>
        </w:rPr>
        <w:t>140</w:t>
      </w:r>
      <w:r>
        <w:t xml:space="preserve">.  </w:t>
      </w:r>
      <w:r>
        <w:rPr>
          <w:rFonts w:hint="eastAsia"/>
        </w:rPr>
        <w:t>2008年，调整后的孕产妇死亡率为每10万活胎55人(即有3人死亡)。巴哈马的孕产妇死亡人数通常为每年1至4个不等，但也有例外情况。世界卫生组织的报告(2006年)显示，孕产妇死亡病例一直在稳步下降，我国预计到2015年能够实现千年发展目标的指标。预防孕产妇死亡和保持已有成绩的努力重点是孕期保健、妊娠期慢性非传染疾病管理和对高危妊娠的早期干预。</w:t>
      </w:r>
    </w:p>
    <w:p w:rsidR="00C776D3" w:rsidRDefault="00C776D3" w:rsidP="00C776D3">
      <w:pPr>
        <w:pStyle w:val="SingleTxt"/>
        <w:rPr>
          <w:rFonts w:hint="eastAsia"/>
        </w:rPr>
      </w:pPr>
      <w:r>
        <w:rPr>
          <w:rFonts w:hint="eastAsia"/>
        </w:rPr>
        <w:t>表15</w:t>
      </w:r>
      <w:r>
        <w:br/>
      </w:r>
      <w:r w:rsidRPr="00F205E0">
        <w:rPr>
          <w:rFonts w:ascii="SimHei" w:eastAsia="SimHei" w:hint="eastAsia"/>
        </w:rPr>
        <w:t>巴哈马孕产妇死亡统计</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C776D3" w:rsidRPr="00063AF4" w:rsidTr="000F6B0C">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before="60" w:after="60" w:line="200" w:lineRule="exact"/>
              <w:ind w:right="57"/>
              <w:rPr>
                <w:rFonts w:ascii="KaiTi_GB2312" w:eastAsia="KaiTi_GB2312"/>
                <w:sz w:val="15"/>
              </w:rPr>
            </w:pPr>
            <w:r w:rsidRPr="00063AF4">
              <w:rPr>
                <w:rFonts w:ascii="KaiTi_GB2312" w:eastAsia="KaiTi_GB2312" w:hint="eastAsia"/>
                <w:sz w:val="15"/>
              </w:rPr>
              <w:t>年份</w:t>
            </w:r>
          </w:p>
        </w:tc>
        <w:tc>
          <w:tcPr>
            <w:tcW w:w="1830" w:type="dxa"/>
            <w:tcBorders>
              <w:top w:val="single" w:sz="4" w:space="0" w:color="auto"/>
              <w:bottom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063AF4">
              <w:rPr>
                <w:rFonts w:ascii="KaiTi_GB2312" w:eastAsia="KaiTi_GB2312" w:hint="eastAsia"/>
                <w:sz w:val="15"/>
              </w:rPr>
              <w:t>数目和每10万活胎比率</w:t>
            </w:r>
          </w:p>
        </w:tc>
        <w:tc>
          <w:tcPr>
            <w:tcW w:w="1830" w:type="dxa"/>
            <w:tcBorders>
              <w:top w:val="single" w:sz="4" w:space="0" w:color="auto"/>
              <w:bottom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063AF4">
              <w:rPr>
                <w:rFonts w:ascii="KaiTi_GB2312" w:eastAsia="KaiTi_GB2312" w:hint="eastAsia"/>
                <w:sz w:val="15"/>
              </w:rPr>
              <w:t>熟练保健人员接生率(%)</w:t>
            </w:r>
          </w:p>
        </w:tc>
        <w:tc>
          <w:tcPr>
            <w:tcW w:w="1830" w:type="dxa"/>
            <w:tcBorders>
              <w:top w:val="single" w:sz="4" w:space="0" w:color="auto"/>
              <w:bottom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063AF4">
              <w:rPr>
                <w:rFonts w:ascii="KaiTi_GB2312" w:eastAsia="KaiTi_GB2312" w:hint="eastAsia"/>
                <w:sz w:val="15"/>
              </w:rPr>
              <w:t>粗死亡率</w:t>
            </w:r>
          </w:p>
        </w:tc>
      </w:tr>
      <w:tr w:rsidR="00C776D3" w:rsidRPr="00063AF4" w:rsidTr="000F6B0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after="60" w:line="280" w:lineRule="exact"/>
              <w:ind w:right="57"/>
              <w:rPr>
                <w:sz w:val="17"/>
              </w:rPr>
            </w:pPr>
          </w:p>
        </w:tc>
        <w:tc>
          <w:tcPr>
            <w:tcW w:w="1830" w:type="dxa"/>
            <w:tcBorders>
              <w:top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after="60" w:line="280" w:lineRule="exact"/>
              <w:ind w:right="57"/>
              <w:jc w:val="right"/>
              <w:rPr>
                <w:sz w:val="17"/>
              </w:rPr>
            </w:pP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1990</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w:t>
            </w:r>
            <w:r>
              <w:rPr>
                <w:sz w:val="17"/>
              </w:rPr>
              <w:t>(</w:t>
            </w:r>
            <w:r w:rsidRPr="00430D26">
              <w:rPr>
                <w:sz w:val="17"/>
              </w:rPr>
              <w:t>16.3</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5.3</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1994</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w:t>
            </w:r>
            <w:r>
              <w:rPr>
                <w:sz w:val="17"/>
              </w:rPr>
              <w:t>(</w:t>
            </w:r>
            <w:r w:rsidRPr="00430D26">
              <w:rPr>
                <w:sz w:val="17"/>
              </w:rPr>
              <w:t>16</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5.6</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1995</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4</w:t>
            </w:r>
            <w:r>
              <w:rPr>
                <w:sz w:val="17"/>
              </w:rPr>
              <w:t>(</w:t>
            </w:r>
            <w:r w:rsidRPr="00430D26">
              <w:rPr>
                <w:sz w:val="17"/>
              </w:rPr>
              <w:t>64</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5.9</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1996</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0</w:t>
            </w:r>
            <w:r>
              <w:rPr>
                <w:sz w:val="17"/>
              </w:rPr>
              <w:t>(</w:t>
            </w:r>
            <w:r w:rsidRPr="00430D26">
              <w:rPr>
                <w:sz w:val="17"/>
              </w:rPr>
              <w:t>0</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5.4</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1997</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0</w:t>
            </w:r>
            <w:r>
              <w:rPr>
                <w:sz w:val="17"/>
              </w:rPr>
              <w:t>(</w:t>
            </w:r>
            <w:r w:rsidRPr="00430D26">
              <w:rPr>
                <w:sz w:val="17"/>
              </w:rPr>
              <w:t>0</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5.9</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1998</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w:t>
            </w:r>
            <w:r>
              <w:rPr>
                <w:sz w:val="17"/>
              </w:rPr>
              <w:t>(</w:t>
            </w:r>
            <w:r w:rsidRPr="00430D26">
              <w:rPr>
                <w:sz w:val="17"/>
              </w:rPr>
              <w:t>17</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6.1</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w:t>
            </w:r>
            <w:r>
              <w:rPr>
                <w:sz w:val="17"/>
              </w:rPr>
              <w:t>(</w:t>
            </w:r>
            <w:r w:rsidRPr="00430D26">
              <w:rPr>
                <w:sz w:val="17"/>
              </w:rPr>
              <w:t>19</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5.5</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2000</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2</w:t>
            </w:r>
            <w:r>
              <w:rPr>
                <w:sz w:val="17"/>
              </w:rPr>
              <w:t>(</w:t>
            </w:r>
            <w:r w:rsidRPr="00430D26">
              <w:rPr>
                <w:sz w:val="17"/>
              </w:rPr>
              <w:t>37.8</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5.4</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2001</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10</w:t>
            </w:r>
            <w:r>
              <w:rPr>
                <w:sz w:val="17"/>
              </w:rPr>
              <w:t>(</w:t>
            </w:r>
            <w:r w:rsidRPr="00430D26">
              <w:rPr>
                <w:sz w:val="17"/>
              </w:rPr>
              <w:t>18.7</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5.7</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2003</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2</w:t>
            </w:r>
            <w:r>
              <w:rPr>
                <w:sz w:val="17"/>
              </w:rPr>
              <w:t>(</w:t>
            </w:r>
            <w:r w:rsidRPr="00430D26">
              <w:rPr>
                <w:sz w:val="17"/>
              </w:rPr>
              <w:t>39.6</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5.3</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2004</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2</w:t>
            </w:r>
            <w:r>
              <w:rPr>
                <w:sz w:val="17"/>
              </w:rPr>
              <w:t>(</w:t>
            </w:r>
            <w:r w:rsidRPr="00430D26">
              <w:rPr>
                <w:sz w:val="17"/>
              </w:rPr>
              <w:t>39</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5.4</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2005</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w:t>
            </w:r>
            <w:r>
              <w:rPr>
                <w:sz w:val="17"/>
              </w:rPr>
              <w:t>(</w:t>
            </w:r>
            <w:r w:rsidRPr="00430D26">
              <w:rPr>
                <w:sz w:val="17"/>
              </w:rPr>
              <w:t>90</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5.6</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2006</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0</w:t>
            </w:r>
            <w:r>
              <w:rPr>
                <w:sz w:val="17"/>
              </w:rPr>
              <w:t>(</w:t>
            </w:r>
            <w:r w:rsidRPr="00430D26">
              <w:rPr>
                <w:sz w:val="17"/>
              </w:rPr>
              <w:t>0</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5.2</w:t>
            </w:r>
          </w:p>
        </w:tc>
      </w:tr>
      <w:tr w:rsidR="00C776D3" w:rsidRPr="00063AF4" w:rsidTr="000F6B0C">
        <w:tblPrEx>
          <w:tblCellMar>
            <w:top w:w="0" w:type="dxa"/>
            <w:bottom w:w="0" w:type="dxa"/>
          </w:tblCellMar>
        </w:tblPrEx>
        <w:tc>
          <w:tcPr>
            <w:tcW w:w="183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2007</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4</w:t>
            </w:r>
            <w:r>
              <w:rPr>
                <w:sz w:val="17"/>
              </w:rPr>
              <w:t>(</w:t>
            </w:r>
            <w:r w:rsidRPr="00430D26">
              <w:rPr>
                <w:sz w:val="17"/>
              </w:rPr>
              <w:t>68</w:t>
            </w:r>
            <w:r>
              <w:rPr>
                <w:sz w:val="17"/>
              </w:rPr>
              <w:t>)</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5.4</w:t>
            </w:r>
          </w:p>
        </w:tc>
      </w:tr>
      <w:tr w:rsidR="00C776D3" w:rsidRPr="00063AF4" w:rsidTr="000F6B0C">
        <w:tblPrEx>
          <w:tblCellMar>
            <w:top w:w="0" w:type="dxa"/>
            <w:bottom w:w="0" w:type="dxa"/>
          </w:tblCellMar>
        </w:tblPrEx>
        <w:tc>
          <w:tcPr>
            <w:tcW w:w="1830" w:type="dxa"/>
            <w:tcBorders>
              <w:bottom w:val="single" w:sz="12" w:space="0" w:color="auto"/>
            </w:tcBorders>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2008</w:t>
            </w:r>
          </w:p>
        </w:tc>
        <w:tc>
          <w:tcPr>
            <w:tcW w:w="1830" w:type="dxa"/>
            <w:tcBorders>
              <w:bottom w:val="single" w:sz="12" w:space="0" w:color="auto"/>
            </w:tcBorders>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3</w:t>
            </w:r>
            <w:r>
              <w:rPr>
                <w:sz w:val="17"/>
              </w:rPr>
              <w:t>(</w:t>
            </w:r>
            <w:r w:rsidRPr="00430D26">
              <w:rPr>
                <w:sz w:val="17"/>
              </w:rPr>
              <w:t>55</w:t>
            </w:r>
            <w:r>
              <w:rPr>
                <w:sz w:val="17"/>
              </w:rPr>
              <w:t>)</w:t>
            </w:r>
          </w:p>
        </w:tc>
        <w:tc>
          <w:tcPr>
            <w:tcW w:w="1830" w:type="dxa"/>
            <w:tcBorders>
              <w:bottom w:val="single" w:sz="12" w:space="0" w:color="auto"/>
            </w:tcBorders>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99</w:t>
            </w:r>
          </w:p>
        </w:tc>
        <w:tc>
          <w:tcPr>
            <w:tcW w:w="1830" w:type="dxa"/>
            <w:tcBorders>
              <w:bottom w:val="single" w:sz="12" w:space="0" w:color="auto"/>
            </w:tcBorders>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5.5</w:t>
            </w:r>
          </w:p>
        </w:tc>
      </w:tr>
    </w:tbl>
    <w:p w:rsidR="00C776D3" w:rsidRPr="00063AF4" w:rsidRDefault="00C776D3" w:rsidP="00C776D3">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C776D3" w:rsidRDefault="00C776D3" w:rsidP="00C776D3">
      <w:pPr>
        <w:pStyle w:val="FootnoteText"/>
        <w:tabs>
          <w:tab w:val="clear" w:pos="418"/>
          <w:tab w:val="right" w:pos="1476"/>
          <w:tab w:val="left" w:pos="1548"/>
          <w:tab w:val="right" w:pos="1836"/>
          <w:tab w:val="left" w:pos="1908"/>
        </w:tabs>
        <w:ind w:left="1548" w:right="1267" w:hanging="288"/>
        <w:rPr>
          <w:rFonts w:hint="eastAsia"/>
        </w:rPr>
      </w:pPr>
      <w:r w:rsidRPr="00063AF4">
        <w:rPr>
          <w:rFonts w:ascii="KaiTi_GB2312" w:eastAsia="KaiTi_GB2312" w:hint="eastAsia"/>
        </w:rPr>
        <w:t>来源</w:t>
      </w:r>
      <w:r>
        <w:rPr>
          <w:rFonts w:hint="eastAsia"/>
        </w:rPr>
        <w:t>：公共医院局围产期信息系统；</w:t>
      </w:r>
      <w:r w:rsidRPr="00063AF4">
        <w:rPr>
          <w:rFonts w:hint="eastAsia"/>
        </w:rPr>
        <w:t>统计局死亡登记</w:t>
      </w:r>
      <w:r>
        <w:rPr>
          <w:rFonts w:hint="eastAsia"/>
        </w:rPr>
        <w:t>。</w:t>
      </w:r>
    </w:p>
    <w:p w:rsidR="00C776D3" w:rsidRPr="00063AF4" w:rsidRDefault="00C776D3" w:rsidP="00C776D3">
      <w:pPr>
        <w:pStyle w:val="SingleTxt"/>
        <w:rPr>
          <w:rFonts w:ascii="SimHei" w:eastAsia="SimHei" w:hint="eastAsia"/>
        </w:rPr>
      </w:pPr>
      <w:r w:rsidRPr="00063AF4">
        <w:rPr>
          <w:rFonts w:ascii="SimHei" w:eastAsia="SimHei" w:hint="eastAsia"/>
        </w:rPr>
        <w:t>婴儿和儿童死亡率</w:t>
      </w:r>
    </w:p>
    <w:p w:rsidR="00C776D3" w:rsidRDefault="00C776D3" w:rsidP="00C776D3">
      <w:pPr>
        <w:pStyle w:val="SingleTxt"/>
        <w:rPr>
          <w:rFonts w:hint="eastAsia"/>
        </w:rPr>
      </w:pPr>
      <w:r>
        <w:rPr>
          <w:rFonts w:hint="eastAsia"/>
        </w:rPr>
        <w:t>141.</w:t>
      </w:r>
      <w:r>
        <w:t xml:space="preserve">  </w:t>
      </w:r>
      <w:r>
        <w:rPr>
          <w:rFonts w:hint="eastAsia"/>
        </w:rPr>
        <w:t xml:space="preserve">婴儿死亡是指一个孩子在其第一个生日之前死亡。2010年，巴哈马的婴儿死亡在活胎中所占比率是千分之20.0。卫生部正在加强努力，通过孕产妇和儿童健康技术咨询组减少婴儿死亡数。 </w:t>
      </w:r>
    </w:p>
    <w:p w:rsidR="00C776D3" w:rsidRDefault="00C776D3" w:rsidP="00C776D3">
      <w:pPr>
        <w:pStyle w:val="SingleTxt"/>
        <w:rPr>
          <w:rFonts w:hint="eastAsia"/>
        </w:rPr>
      </w:pPr>
      <w:r>
        <w:rPr>
          <w:rFonts w:hint="eastAsia"/>
        </w:rPr>
        <w:t>表16</w:t>
      </w:r>
      <w:r>
        <w:br/>
      </w:r>
      <w:r w:rsidRPr="00063AF4">
        <w:rPr>
          <w:rFonts w:ascii="SimHei" w:eastAsia="SimHei" w:hint="eastAsia"/>
        </w:rPr>
        <w:t>巴哈马婴儿死亡率统计</w:t>
      </w:r>
    </w:p>
    <w:tbl>
      <w:tblPr>
        <w:tblW w:w="0" w:type="auto"/>
        <w:tblInd w:w="1260" w:type="dxa"/>
        <w:tblLayout w:type="fixed"/>
        <w:tblCellMar>
          <w:left w:w="0" w:type="dxa"/>
          <w:right w:w="0" w:type="dxa"/>
        </w:tblCellMar>
        <w:tblLook w:val="0000" w:firstRow="0" w:lastRow="0" w:firstColumn="0" w:lastColumn="0" w:noHBand="0" w:noVBand="0"/>
      </w:tblPr>
      <w:tblGrid>
        <w:gridCol w:w="3660"/>
        <w:gridCol w:w="1830"/>
        <w:gridCol w:w="1830"/>
      </w:tblGrid>
      <w:tr w:rsidR="00C776D3" w:rsidRPr="00063AF4" w:rsidTr="000F6B0C">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063AF4">
              <w:rPr>
                <w:rFonts w:ascii="KaiTi_GB2312" w:eastAsia="KaiTi_GB2312" w:hint="eastAsia"/>
                <w:sz w:val="15"/>
              </w:rPr>
              <w:t>年份</w:t>
            </w:r>
          </w:p>
        </w:tc>
        <w:tc>
          <w:tcPr>
            <w:tcW w:w="1830" w:type="dxa"/>
            <w:tcBorders>
              <w:top w:val="single" w:sz="4" w:space="0" w:color="auto"/>
              <w:bottom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063AF4">
              <w:rPr>
                <w:rFonts w:ascii="KaiTi_GB2312" w:eastAsia="KaiTi_GB2312" w:hint="eastAsia"/>
                <w:sz w:val="15"/>
              </w:rPr>
              <w:t>婴儿死亡率</w:t>
            </w:r>
          </w:p>
        </w:tc>
        <w:tc>
          <w:tcPr>
            <w:tcW w:w="1830" w:type="dxa"/>
            <w:tcBorders>
              <w:top w:val="single" w:sz="4" w:space="0" w:color="auto"/>
              <w:bottom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063AF4">
              <w:rPr>
                <w:rFonts w:ascii="KaiTi_GB2312" w:eastAsia="KaiTi_GB2312" w:hint="eastAsia"/>
                <w:sz w:val="15"/>
              </w:rPr>
              <w:t>死亡率</w:t>
            </w:r>
          </w:p>
        </w:tc>
      </w:tr>
      <w:tr w:rsidR="00C776D3" w:rsidRPr="00063AF4" w:rsidTr="000F6B0C">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after="60" w:line="280" w:lineRule="exact"/>
              <w:ind w:right="57"/>
              <w:rPr>
                <w:rFonts w:hint="eastAsia"/>
                <w:sz w:val="17"/>
              </w:rPr>
            </w:pPr>
          </w:p>
        </w:tc>
        <w:tc>
          <w:tcPr>
            <w:tcW w:w="1830" w:type="dxa"/>
            <w:tcBorders>
              <w:top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after="60" w:line="280" w:lineRule="exact"/>
              <w:ind w:right="57"/>
              <w:jc w:val="right"/>
              <w:rPr>
                <w:rFonts w:hint="eastAsia"/>
                <w:sz w:val="17"/>
              </w:rPr>
            </w:pPr>
          </w:p>
        </w:tc>
        <w:tc>
          <w:tcPr>
            <w:tcW w:w="1830" w:type="dxa"/>
            <w:tcBorders>
              <w:top w:val="single" w:sz="12" w:space="0" w:color="auto"/>
            </w:tcBorders>
            <w:shd w:val="clear" w:color="auto" w:fill="auto"/>
            <w:vAlign w:val="bottom"/>
          </w:tcPr>
          <w:p w:rsidR="00C776D3" w:rsidRPr="00063AF4" w:rsidRDefault="00C776D3" w:rsidP="000F6B0C">
            <w:pPr>
              <w:tabs>
                <w:tab w:val="left" w:pos="360"/>
                <w:tab w:val="left" w:pos="720"/>
                <w:tab w:val="left" w:pos="1080"/>
                <w:tab w:val="left" w:pos="1440"/>
              </w:tabs>
              <w:suppressAutoHyphens/>
              <w:spacing w:after="60" w:line="280" w:lineRule="exact"/>
              <w:ind w:right="57"/>
              <w:jc w:val="right"/>
              <w:rPr>
                <w:rFonts w:hint="eastAsia"/>
                <w:sz w:val="17"/>
              </w:rPr>
            </w:pP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1990</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24.4</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5.3</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1994</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19.7</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5.6</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1995</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19.0</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5.9</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1996</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18.4</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5.4</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1997</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16.4</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5.9</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1998</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14.0</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6.1</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1999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15.8</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5.5</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2000</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14.8</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5.4</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2001</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12.7</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5.7</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2002</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16.7</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5.9</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2003</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17.2</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5.3</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2004</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17.3</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5.4</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2005</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19.6</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5.6</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2006</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18.1</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5.2</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2007</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17.6</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5.4</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2008</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17.9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5.5</w:t>
            </w:r>
          </w:p>
        </w:tc>
      </w:tr>
      <w:tr w:rsidR="00C776D3" w:rsidRPr="00063AF4" w:rsidTr="000F6B0C">
        <w:tblPrEx>
          <w:tblCellMar>
            <w:top w:w="0" w:type="dxa"/>
            <w:bottom w:w="0" w:type="dxa"/>
          </w:tblCellMar>
        </w:tblPrEx>
        <w:tc>
          <w:tcPr>
            <w:tcW w:w="3660" w:type="dxa"/>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2009</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21.1</w:t>
            </w:r>
          </w:p>
        </w:tc>
        <w:tc>
          <w:tcPr>
            <w:tcW w:w="1830" w:type="dxa"/>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r>
      <w:tr w:rsidR="00C776D3" w:rsidRPr="00063AF4" w:rsidTr="000F6B0C">
        <w:tblPrEx>
          <w:tblCellMar>
            <w:top w:w="0" w:type="dxa"/>
            <w:bottom w:w="0" w:type="dxa"/>
          </w:tblCellMar>
        </w:tblPrEx>
        <w:tc>
          <w:tcPr>
            <w:tcW w:w="3660" w:type="dxa"/>
            <w:tcBorders>
              <w:bottom w:val="single" w:sz="12" w:space="0" w:color="auto"/>
            </w:tcBorders>
            <w:shd w:val="clear" w:color="auto" w:fill="auto"/>
          </w:tcPr>
          <w:p w:rsidR="00C776D3" w:rsidRPr="00430D26" w:rsidRDefault="00C776D3" w:rsidP="000F6B0C">
            <w:pPr>
              <w:tabs>
                <w:tab w:val="left" w:pos="334"/>
                <w:tab w:val="left" w:pos="669"/>
                <w:tab w:val="left" w:pos="1003"/>
                <w:tab w:val="left" w:pos="1338"/>
              </w:tabs>
              <w:suppressAutoHyphens/>
              <w:spacing w:after="60" w:line="280" w:lineRule="exact"/>
              <w:ind w:right="57"/>
              <w:rPr>
                <w:sz w:val="17"/>
              </w:rPr>
            </w:pPr>
            <w:r w:rsidRPr="00430D26">
              <w:rPr>
                <w:sz w:val="17"/>
              </w:rPr>
              <w:t>2010</w:t>
            </w:r>
          </w:p>
        </w:tc>
        <w:tc>
          <w:tcPr>
            <w:tcW w:w="1830" w:type="dxa"/>
            <w:tcBorders>
              <w:bottom w:val="single" w:sz="12" w:space="0" w:color="auto"/>
            </w:tcBorders>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sz w:val="17"/>
              </w:rPr>
            </w:pPr>
            <w:r w:rsidRPr="00430D26">
              <w:rPr>
                <w:sz w:val="17"/>
              </w:rPr>
              <w:t>20.0</w:t>
            </w:r>
          </w:p>
        </w:tc>
        <w:tc>
          <w:tcPr>
            <w:tcW w:w="1830" w:type="dxa"/>
            <w:tcBorders>
              <w:bottom w:val="single" w:sz="12" w:space="0" w:color="auto"/>
            </w:tcBorders>
            <w:shd w:val="clear" w:color="auto" w:fill="auto"/>
            <w:vAlign w:val="bottom"/>
          </w:tcPr>
          <w:p w:rsidR="00C776D3" w:rsidRPr="00430D26" w:rsidRDefault="00C776D3" w:rsidP="000F6B0C">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r>
    </w:tbl>
    <w:p w:rsidR="00C776D3" w:rsidRPr="00063AF4" w:rsidRDefault="00C776D3" w:rsidP="00C776D3">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C776D3" w:rsidRDefault="00C776D3" w:rsidP="00C776D3">
      <w:pPr>
        <w:pStyle w:val="FootnoteText"/>
        <w:tabs>
          <w:tab w:val="clear" w:pos="418"/>
          <w:tab w:val="right" w:pos="1476"/>
          <w:tab w:val="left" w:pos="1548"/>
          <w:tab w:val="right" w:pos="1836"/>
          <w:tab w:val="left" w:pos="1908"/>
        </w:tabs>
        <w:ind w:left="1548" w:right="1267" w:hanging="288"/>
        <w:rPr>
          <w:rFonts w:hint="eastAsia"/>
        </w:rPr>
      </w:pPr>
      <w:r w:rsidRPr="00063AF4">
        <w:rPr>
          <w:rFonts w:ascii="KaiTi_GB2312" w:eastAsia="KaiTi_GB2312" w:hint="eastAsia"/>
        </w:rPr>
        <w:t>来源</w:t>
      </w:r>
      <w:r>
        <w:rPr>
          <w:rFonts w:hint="eastAsia"/>
        </w:rPr>
        <w:t>：卫生部卫生信息和研究股以及统计局</w:t>
      </w:r>
    </w:p>
    <w:p w:rsidR="00C776D3" w:rsidRDefault="00C776D3" w:rsidP="00C776D3">
      <w:pPr>
        <w:pStyle w:val="SingleTxt"/>
        <w:rPr>
          <w:rFonts w:hint="eastAsia"/>
        </w:rPr>
      </w:pPr>
      <w:r>
        <w:rPr>
          <w:rFonts w:hint="eastAsia"/>
        </w:rPr>
        <w:t>142.</w:t>
      </w:r>
      <w:r>
        <w:t xml:space="preserve">  </w:t>
      </w:r>
      <w:r>
        <w:rPr>
          <w:rFonts w:hint="eastAsia"/>
        </w:rPr>
        <w:t>儿童死亡率是指5岁以下(0至4岁)儿童的死亡，在女童中，这个比率低于男童。在能够获得资料的最近一个年份(2008年)，每1 000活胎的儿童死亡率是：女童12.4，男童26.3。</w:t>
      </w:r>
    </w:p>
    <w:p w:rsidR="00C776D3" w:rsidRPr="00063AF4" w:rsidRDefault="00C776D3" w:rsidP="00C776D3">
      <w:pPr>
        <w:pStyle w:val="SingleTxt"/>
        <w:rPr>
          <w:rFonts w:ascii="SimHei" w:eastAsia="SimHei" w:hint="eastAsia"/>
        </w:rPr>
      </w:pPr>
      <w:r w:rsidRPr="00063AF4">
        <w:rPr>
          <w:rFonts w:ascii="SimHei" w:eastAsia="SimHei" w:hint="eastAsia"/>
        </w:rPr>
        <w:t>妇女的预期寿命</w:t>
      </w:r>
    </w:p>
    <w:p w:rsidR="00C776D3" w:rsidRDefault="00C776D3" w:rsidP="00C776D3">
      <w:pPr>
        <w:pStyle w:val="SingleTxt"/>
        <w:rPr>
          <w:rFonts w:hint="eastAsia"/>
        </w:rPr>
      </w:pPr>
      <w:r>
        <w:rPr>
          <w:rFonts w:hint="eastAsia"/>
        </w:rPr>
        <w:t>143.</w:t>
      </w:r>
      <w:r>
        <w:t xml:space="preserve">  </w:t>
      </w:r>
      <w:r>
        <w:rPr>
          <w:rFonts w:hint="eastAsia"/>
        </w:rPr>
        <w:t>在巴哈马，妇女的寿命长于男性。2000-2005年期间出生者的预期寿命为69.5岁。在2005年，女性的预期寿命为74.5岁，男性为67.9岁。就2005-2010年期间而言，男女的差距为6.3年。在2000年，女性为77.3岁，男性70.7岁。</w:t>
      </w:r>
    </w:p>
    <w:p w:rsidR="00C776D3" w:rsidRPr="00063AF4" w:rsidRDefault="00C776D3" w:rsidP="00C776D3">
      <w:pPr>
        <w:pStyle w:val="SingleTxt"/>
        <w:rPr>
          <w:rFonts w:ascii="SimHei" w:eastAsia="SimHei" w:hint="eastAsia"/>
        </w:rPr>
      </w:pPr>
      <w:r w:rsidRPr="00063AF4">
        <w:rPr>
          <w:rFonts w:ascii="SimHei" w:eastAsia="SimHei" w:hint="eastAsia"/>
        </w:rPr>
        <w:t>男女的粗出生率和死亡率</w:t>
      </w:r>
    </w:p>
    <w:p w:rsidR="00C776D3" w:rsidRDefault="00C776D3" w:rsidP="00C776D3">
      <w:pPr>
        <w:pStyle w:val="SingleTxt"/>
        <w:rPr>
          <w:rFonts w:hint="eastAsia"/>
        </w:rPr>
      </w:pPr>
      <w:r>
        <w:rPr>
          <w:rFonts w:hint="eastAsia"/>
        </w:rPr>
        <w:t>144.</w:t>
      </w:r>
      <w:r>
        <w:t xml:space="preserve">  </w:t>
      </w:r>
      <w:r>
        <w:rPr>
          <w:rFonts w:hint="eastAsia"/>
        </w:rPr>
        <w:t>每千人口粗死亡率男性高于女性。2008年，女性为4.8人，男性为6.2人。在巴哈马，2002至 2008年的死亡率一直相对稳定，约每千人口5至6人。在2005年至 2007年期间，女性的粗死亡率分别为每千人口4.9人、4.7人和4.6人，而男性的相应比率则分别为6.4人、5.9人和6.2人。</w:t>
      </w:r>
    </w:p>
    <w:p w:rsidR="00C776D3" w:rsidRPr="00063AF4" w:rsidRDefault="00C776D3" w:rsidP="00C776D3">
      <w:pPr>
        <w:pStyle w:val="SingleTxt"/>
        <w:rPr>
          <w:rFonts w:ascii="SimHei" w:eastAsia="SimHei" w:hint="eastAsia"/>
        </w:rPr>
      </w:pPr>
      <w:r w:rsidRPr="00063AF4">
        <w:rPr>
          <w:rFonts w:ascii="SimHei" w:eastAsia="SimHei" w:hint="eastAsia"/>
        </w:rPr>
        <w:t>妇女人均活产婴儿的数目</w:t>
      </w:r>
    </w:p>
    <w:p w:rsidR="00C776D3" w:rsidRDefault="00C776D3" w:rsidP="00C776D3">
      <w:pPr>
        <w:pStyle w:val="SingleTxt"/>
        <w:rPr>
          <w:rFonts w:hint="eastAsia"/>
        </w:rPr>
      </w:pPr>
      <w:r>
        <w:rPr>
          <w:rFonts w:hint="eastAsia"/>
        </w:rPr>
        <w:t>145</w:t>
      </w:r>
      <w:r>
        <w:t xml:space="preserve">.  </w:t>
      </w:r>
      <w:r>
        <w:rPr>
          <w:rFonts w:hint="eastAsia"/>
        </w:rPr>
        <w:t>2007年的总生育率是2.3。</w:t>
      </w:r>
    </w:p>
    <w:p w:rsidR="00C776D3" w:rsidRPr="00063AF4" w:rsidRDefault="00C776D3" w:rsidP="00C776D3">
      <w:pPr>
        <w:pStyle w:val="SingleTxt"/>
        <w:rPr>
          <w:rFonts w:ascii="SimHei" w:eastAsia="SimHei" w:hint="eastAsia"/>
        </w:rPr>
      </w:pPr>
      <w:r w:rsidRPr="00063AF4">
        <w:rPr>
          <w:rFonts w:ascii="SimHei" w:eastAsia="SimHei" w:hint="eastAsia"/>
        </w:rPr>
        <w:t>避孕药具需求得不到满足</w:t>
      </w:r>
    </w:p>
    <w:p w:rsidR="00C776D3" w:rsidRDefault="00C776D3" w:rsidP="00C776D3">
      <w:pPr>
        <w:pStyle w:val="SingleTxt"/>
        <w:rPr>
          <w:rFonts w:hint="eastAsia"/>
        </w:rPr>
      </w:pPr>
      <w:r>
        <w:rPr>
          <w:rFonts w:hint="eastAsia"/>
        </w:rPr>
        <w:t>146</w:t>
      </w:r>
      <w:r>
        <w:t xml:space="preserve">.  </w:t>
      </w:r>
      <w:r>
        <w:rPr>
          <w:rFonts w:hint="eastAsia"/>
        </w:rPr>
        <w:t>当前数据暂缺。</w:t>
      </w:r>
    </w:p>
    <w:p w:rsidR="00C776D3" w:rsidRPr="00063AF4" w:rsidRDefault="00C776D3" w:rsidP="00C776D3">
      <w:pPr>
        <w:pStyle w:val="SingleTxt"/>
        <w:rPr>
          <w:rFonts w:ascii="SimHei" w:eastAsia="SimHei" w:hint="eastAsia"/>
        </w:rPr>
      </w:pPr>
      <w:r w:rsidRPr="00063AF4">
        <w:rPr>
          <w:rFonts w:ascii="SimHei" w:eastAsia="SimHei" w:hint="eastAsia"/>
        </w:rPr>
        <w:t>避孕普及率</w:t>
      </w:r>
    </w:p>
    <w:p w:rsidR="00C776D3" w:rsidRDefault="00C776D3" w:rsidP="00C776D3">
      <w:pPr>
        <w:pStyle w:val="SingleTxt"/>
        <w:rPr>
          <w:rFonts w:hint="eastAsia"/>
        </w:rPr>
      </w:pPr>
      <w:r>
        <w:rPr>
          <w:rFonts w:hint="eastAsia"/>
        </w:rPr>
        <w:t>147</w:t>
      </w:r>
      <w:r>
        <w:t xml:space="preserve">.  </w:t>
      </w:r>
      <w:r>
        <w:rPr>
          <w:rFonts w:hint="eastAsia"/>
        </w:rPr>
        <w:t>巴哈马生活状况调查(2001年)的结果显示，15至49岁女性的避孕普及率为44.6%。还需要进一步研究避孕普及率和避孕药具需求得不到满足的情况。</w:t>
      </w:r>
    </w:p>
    <w:p w:rsidR="00C776D3" w:rsidRPr="00063AF4" w:rsidRDefault="00C776D3" w:rsidP="00C776D3">
      <w:pPr>
        <w:pStyle w:val="SingleTxt"/>
        <w:rPr>
          <w:rFonts w:ascii="SimHei" w:eastAsia="SimHei" w:hint="eastAsia"/>
        </w:rPr>
      </w:pPr>
      <w:r w:rsidRPr="00063AF4">
        <w:rPr>
          <w:rFonts w:ascii="SimHei" w:eastAsia="SimHei" w:hint="eastAsia"/>
        </w:rPr>
        <w:t>生殖健康服务</w:t>
      </w:r>
    </w:p>
    <w:p w:rsidR="00C776D3" w:rsidRDefault="00C776D3" w:rsidP="00C776D3">
      <w:pPr>
        <w:pStyle w:val="SingleTxt"/>
        <w:rPr>
          <w:rFonts w:hint="eastAsia"/>
        </w:rPr>
      </w:pPr>
      <w:r>
        <w:rPr>
          <w:rFonts w:hint="eastAsia"/>
        </w:rPr>
        <w:t>148</w:t>
      </w:r>
      <w:r>
        <w:t xml:space="preserve">.  </w:t>
      </w:r>
      <w:r>
        <w:rPr>
          <w:rFonts w:hint="eastAsia"/>
        </w:rPr>
        <w:t>妇女在获得生殖健康服务方面没有任何法律或文化障碍。有一个全部由政府补贴的方案提供扩大的避孕选择：口服避孕药、避孕套、注射剂和宫内避孕器。向妇女提供了乳腺癌、子宫颈癌和性传播感染的筛查服务以及破伤风、风疹和乙肝的免疫接种。所有妇女无论婚姻状况均可获得计划生育服务，毋须寻求任何他人的批准。不过，在实践中，妻子在做输卵管结扎或绝育手术之前，会征得丈夫的首肯。分娩后会提供避孕药，毋须征求配偶的同意。</w:t>
      </w:r>
    </w:p>
    <w:p w:rsidR="00C776D3" w:rsidRPr="00063AF4" w:rsidRDefault="00C776D3" w:rsidP="00C776D3">
      <w:pPr>
        <w:pStyle w:val="SingleTxt"/>
        <w:rPr>
          <w:rFonts w:ascii="SimHei" w:eastAsia="SimHei" w:hint="eastAsia"/>
        </w:rPr>
      </w:pPr>
      <w:r w:rsidRPr="00063AF4">
        <w:rPr>
          <w:rFonts w:ascii="SimHei" w:eastAsia="SimHei" w:hint="eastAsia"/>
        </w:rPr>
        <w:t>围产期服务</w:t>
      </w:r>
    </w:p>
    <w:p w:rsidR="00C776D3" w:rsidRDefault="00C776D3" w:rsidP="00C776D3">
      <w:pPr>
        <w:pStyle w:val="SingleTxt"/>
        <w:rPr>
          <w:rFonts w:hint="eastAsia"/>
        </w:rPr>
      </w:pPr>
      <w:r>
        <w:rPr>
          <w:rFonts w:hint="eastAsia"/>
        </w:rPr>
        <w:t>149</w:t>
      </w:r>
      <w:r>
        <w:t xml:space="preserve">.  </w:t>
      </w:r>
      <w:r>
        <w:rPr>
          <w:rFonts w:hint="eastAsia"/>
        </w:rPr>
        <w:t>所有岛屿都通过公共卫生设施免费向服务对象提供全面产前服务，包括铁、叶酸和多种维生素常规补充剂，私营设施则收费提供这种服务。获得服务的所有妇女由受过训练的助产士、全科医生以及在必要时由产科医生检查。百分之九十九(99%)的分娩在第三级设施中进行。为产前和产后妇女以及她们的伴侣开设了全面育儿方案。可方便地提供先进的成像检查和血液筛查，并在必要时提供手术干预。</w:t>
      </w:r>
    </w:p>
    <w:p w:rsidR="00C776D3" w:rsidRPr="00063AF4" w:rsidRDefault="00C776D3" w:rsidP="00C776D3">
      <w:pPr>
        <w:pStyle w:val="SingleTxt"/>
        <w:rPr>
          <w:rFonts w:ascii="SimHei" w:eastAsia="SimHei" w:hint="eastAsia"/>
        </w:rPr>
      </w:pPr>
      <w:r w:rsidRPr="00063AF4">
        <w:rPr>
          <w:rFonts w:ascii="SimHei" w:eastAsia="SimHei" w:hint="eastAsia"/>
        </w:rPr>
        <w:t>哺乳管理方案</w:t>
      </w:r>
    </w:p>
    <w:p w:rsidR="00C776D3" w:rsidRDefault="00C776D3" w:rsidP="00C776D3">
      <w:pPr>
        <w:pStyle w:val="SingleTxt"/>
        <w:rPr>
          <w:rFonts w:hint="eastAsia"/>
        </w:rPr>
      </w:pPr>
      <w:r>
        <w:rPr>
          <w:rFonts w:hint="eastAsia"/>
        </w:rPr>
        <w:t>150</w:t>
      </w:r>
      <w:r>
        <w:t xml:space="preserve">.  </w:t>
      </w:r>
      <w:r>
        <w:rPr>
          <w:rFonts w:hint="eastAsia"/>
        </w:rPr>
        <w:t>这一方案鼓励在整个巴哈马创造有利于母乳喂养的良好环境。妇女被鼓励在孩子出生后至少头6个月完全用母乳喂养。2002年，立法增加了规定的产假，每三(3)年提供十二(12)周带薪产假，以便于妇女培养亲子关系。产后头10天还为妇女及其婴儿提供例行家访服务，并可向哺乳母亲提供母乳喂养顾问予以协助。</w:t>
      </w:r>
      <w:r>
        <w:rPr>
          <w:rFonts w:hint="eastAsia"/>
        </w:rPr>
        <w:tab/>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学校卫生服务</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151.　该方案面向所有公立学校，以改善儿童(从小学至高中) 的健康状况。为1年级、6年级和10年级的在校学生进行年度体检，并尽量使他们不因做年度体检和免疫接种而缺课。为防治非传染慢性疾病提供保健教育、宣传和维护以及后续治疗。必要时将治疗和咨询病例转给适当机构。</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青少年健康服务</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152.　青少年健康方案提供产前和生殖健康服务，鼓励男孩和女孩都参加，但参加者主要是女性。18岁以下的参加者需征得父母的同意才可得到避孕服务。但是，所有人都能很容易得到避孕套。为一些高危少女免费提供植入式避孕。公共卫生署与教育部、社区和宗教团体密切合作，以提供全面服务。</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针对强奸的服务</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153.　尽管男女两性都可得到这种服务，但绝大多数服务对象是女性。这项服务针对儿童和成年人，分为两级。成立了一个专门小组全面处理强奸问题。疑似虐待和忽视案例小组处理与儿童有关的问题，而急诊科和危机处理中心(非政府组织)负责向妇女提供咨询。在处理受害者问题方面考虑到了隐私问题，在一个私密的房间里与所有受害者进行交谈，并向其提供咨询、性病(包括艾滋病毒)检查及抗逆转录病毒治疗和紧急避孕。</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在卫生部门工作的女职工</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154.　卫生部门的大部分工作人员是妇女，她们大多是护士、技术人员和医生。没有按性别分列的卫生部门工作人员数据。此外，在巴哈马，二级和三级保健和康复服务不完全是由政府提供。很多私人医生(全科和专科医生)、牙医以及私立医院和诊所提供范围广泛的私人保健服务。</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传统保健工作人员</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155.　尚无数据。</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强制计划生育</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156.　没有任何法律和政策强制要求采取计划生育措施。但是，妇幼保健方案和巴哈马计划生育协会鼓励实行计划生育。</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堕胎</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157.　目前，堕胎在巴哈马属于非法。</w:t>
      </w:r>
    </w:p>
    <w:p w:rsidR="004C0D4A" w:rsidRDefault="004C0D4A" w:rsidP="004C0D4A">
      <w:pPr>
        <w:pStyle w:val="SingleTxt"/>
        <w:rPr>
          <w:rFonts w:hint="eastAsia"/>
        </w:rPr>
      </w:pPr>
      <w:r>
        <w:rPr>
          <w:rFonts w:hint="eastAsia"/>
        </w:rPr>
        <w:t>158.　巴哈马政府在处理一切涉及堕胎事项时，仍然使用1924年《刑法典》作为诉讼依据。该法典关于堕胎的规定限制严格，只在明确涉及维护妇女的身心健康以及拯救妇女生命的具体情况下，才允许进行合法堕胎。《刑法典》并不禁止在强奸、乱伦或其他特例情况下堕胎。</w:t>
      </w:r>
    </w:p>
    <w:p w:rsidR="004C0D4A" w:rsidRDefault="004C0D4A" w:rsidP="004C0D4A">
      <w:pPr>
        <w:pStyle w:val="SingleTxt"/>
      </w:pPr>
      <w:r>
        <w:rPr>
          <w:rFonts w:hint="eastAsia"/>
        </w:rPr>
        <w:t>159.　修订后的1924年《巴哈马刑法典》(第316、330和334条)规定，为了孕妇的医疗或手术治疗目的，秉持诚信和没有过失的任何行为均属理由正当，尽管这会造成或旨在造成堕胎、流产、早产或婴儿死亡。《刑法典》并未界定何为医疗或手术治疗，但在实际中，对该法律的解释十分宽泛。据报道，有人以胎儿畸形、强奸或乱伦以及健康为由进行堕胎。</w:t>
      </w:r>
    </w:p>
    <w:p w:rsidR="004C0D4A" w:rsidRDefault="004C0D4A" w:rsidP="004C0D4A">
      <w:pPr>
        <w:pStyle w:val="SingleTxt"/>
      </w:pPr>
      <w:r>
        <w:rPr>
          <w:rFonts w:hint="eastAsia"/>
        </w:rPr>
        <w:t>160.　堕胎通常是在怀孕前三个月进行的，但往往允许在妊娠达到20周时进行堕胎。堕胎必须由有执照的医生在医院进行。政府医院承担非付费病人的费用。对违法行为处以10年监禁。(《刑法典》第316条)。</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艾滋病毒/艾滋病和性传播疾病(性病)</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 xml:space="preserve">161.　艾滋病毒和艾滋病仍然是巴哈马的一个关切事项。2010年，病例数减少到242例，妇女占新发现病例的50.6%。2008年，艾滋病在巴哈马是妇女第四大死亡原因，男人第二大死亡原因。根据所报告的艾滋病毒感染者/艾滋病患者的数据，艾滋病毒/艾滋病的患病率为2.2%。艾滋病毒的发生率自1994年以来一直在下降，对于25-44岁的女性和男性特别如此。此外，在接受治疗的孕妇中，自2003年以来没有发生母亲把艾滋病毒传给婴儿的情况。这些是全国艾滋病方案和妇女的值得称赞的成果。 </w:t>
      </w:r>
    </w:p>
    <w:p w:rsidR="004C0D4A" w:rsidRDefault="004C0D4A" w:rsidP="004C0D4A">
      <w:pPr>
        <w:pStyle w:val="SingleTxt"/>
        <w:rPr>
          <w:rFonts w:hint="eastAsia"/>
        </w:rPr>
      </w:pPr>
      <w:r>
        <w:rPr>
          <w:rFonts w:hint="eastAsia"/>
        </w:rPr>
        <w:t>162.　艾滋病毒/艾滋病方案有为巴哈马所有居民提供护理的任务。它对群体或个人采取针对具体需求的方法。为妇女采取的干预措施包括侧重于产前艾滋病毒呈阳性的妇女和为这些客户提供治疗，以防止母婴感染和降低婴儿死亡率。在向孕妇提供的服务中包括在客户同意下进行艾滋病毒筛查。</w:t>
      </w:r>
    </w:p>
    <w:p w:rsidR="004C0D4A" w:rsidRDefault="004C0D4A" w:rsidP="004C0D4A">
      <w:pPr>
        <w:pStyle w:val="SingleTxt"/>
        <w:rPr>
          <w:rFonts w:hint="eastAsia"/>
        </w:rPr>
      </w:pPr>
      <w:r>
        <w:rPr>
          <w:rFonts w:hint="eastAsia"/>
        </w:rPr>
        <w:t>163.　在有服务提供者的每个社区保健机构都能获得生殖保健和计划生育服务。在这些机构免费提供计划生育和产前护理服务。社区保健服务的主要侧重点是妇女和儿童，并且这些服务的提供是多方面的。</w:t>
      </w:r>
    </w:p>
    <w:p w:rsidR="004C0D4A" w:rsidRDefault="004C0D4A" w:rsidP="004C0D4A">
      <w:pPr>
        <w:pStyle w:val="SingleTxt"/>
        <w:rPr>
          <w:rFonts w:hint="eastAsia"/>
        </w:rPr>
      </w:pPr>
      <w:r>
        <w:rPr>
          <w:rFonts w:hint="eastAsia"/>
        </w:rPr>
        <w:t xml:space="preserve">164.　</w:t>
      </w:r>
      <w:r w:rsidRPr="004C0D4A">
        <w:rPr>
          <w:rFonts w:hint="eastAsia"/>
          <w:spacing w:val="2"/>
        </w:rPr>
        <w:t>巴哈马艾滋病毒方案向巴哈马所有感染艾滋病毒者提供预防治疗、护理和支持，孕妇和幼童一直被认为是优先护理的群体。艾滋病毒呈阳性的孕妇和抚养幼童的妇女是2001年10月开始的抗逆转录病毒药物治疗的首批接受者。在1995年之前，艾滋病毒呈阳性的孕妇是首批得到口服和静脉注射AZT药物的人。</w:t>
      </w:r>
    </w:p>
    <w:p w:rsidR="004C0D4A" w:rsidRDefault="004C0D4A" w:rsidP="004C0D4A">
      <w:pPr>
        <w:pStyle w:val="SingleTxt"/>
        <w:rPr>
          <w:rFonts w:hint="eastAsia"/>
        </w:rPr>
      </w:pPr>
      <w:r>
        <w:rPr>
          <w:rFonts w:hint="eastAsia"/>
        </w:rPr>
        <w:t>165.　为向怀孕少女提供支持设立了“提供继续接受教育机会”(PACE)方案。该方案满足这一群体的保健需求，并通过青少年保健方案向艾滋病毒呈阳性的人提供咨询。艾滋病毒中心提供治疗和护理，所有其他特别设计的服务由PACE方案的青少年保健中心提供。</w:t>
      </w:r>
    </w:p>
    <w:p w:rsidR="004C0D4A" w:rsidRDefault="004C0D4A" w:rsidP="004C0D4A">
      <w:pPr>
        <w:pStyle w:val="SingleTxt"/>
        <w:rPr>
          <w:rFonts w:hint="eastAsia"/>
        </w:rPr>
      </w:pPr>
      <w:r>
        <w:rPr>
          <w:rFonts w:hint="eastAsia"/>
        </w:rPr>
        <w:t>166.　对艾滋病毒/艾滋病流行病的范围以及巴哈马妇女的今后预测表明，无法准确作出这种预测；未来的结果最终取决于监管机构和其他利益攸关方能否加强多部门对策。</w:t>
      </w:r>
    </w:p>
    <w:p w:rsidR="004C0D4A" w:rsidRDefault="004C0D4A" w:rsidP="004C0D4A">
      <w:pPr>
        <w:pStyle w:val="SingleTxt"/>
        <w:rPr>
          <w:rFonts w:hint="eastAsia"/>
        </w:rPr>
      </w:pPr>
      <w:r>
        <w:rPr>
          <w:rFonts w:hint="eastAsia"/>
        </w:rPr>
        <w:t>167.　为增强公众对艾滋病毒和艾滋病的认识所采取的措施包括：向艾滋病毒呈阳性的男子和妇女提供抗逆转录病毒疗法；预防母婴传播；向孕妇提供的产前治疗；对最高危群体采取提供信息、教育、宣传和预防政策；提高弱势群体获得服务的途径；提高艾滋病毒呈阳性妇女和男子接受抗逆转录病毒疗法的百分比以及预防方案所覆盖的最高危人群的百分比。目标人群是男性同性性行为者、性工作者和注射毒品者。</w:t>
      </w:r>
    </w:p>
    <w:p w:rsidR="004C0D4A" w:rsidRDefault="004C0D4A" w:rsidP="004C0D4A">
      <w:pPr>
        <w:pStyle w:val="SingleTxt"/>
        <w:rPr>
          <w:rFonts w:hint="eastAsia"/>
        </w:rPr>
      </w:pPr>
      <w:r>
        <w:rPr>
          <w:rFonts w:hint="eastAsia"/>
        </w:rPr>
        <w:t xml:space="preserve">168.　接受产前治疗的妇女获得艾滋病毒咨询和检测以及关于提高对受感染风险认识的资料。政府为感染艾滋病毒孕妇的AZT治疗提供全部费用，降低了艾滋病毒感染造成的婴儿死亡率。妇女还接受艾滋病毒问题专门培训，但还没有任何其他方案专门处理性别平等和艾滋病毒问题。法律规定，故意感染他人为刑事犯罪。 </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计划生育与男性参与</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pPr>
      <w:r>
        <w:rPr>
          <w:rFonts w:hint="eastAsia"/>
        </w:rPr>
        <w:t>169.　在拉丁美洲和加勒比区域，巴哈马的人均保健支出最高(自1998年以来保持在人均567美元以上)。自1997年以来，在所有政府和巴哈马计划生育协会开办的诊所提供计划生育服务。所提供的服务包括各种避孕方法以及咨询、教育、信息和体检。1997年，政府还开展一项改善产前和新生儿保健质量的方案。目前，性教育和家庭生活教育现已是学校的必修课程。政府最近修改了关于青少年怀孕的法规：女孩可以通过“提供继续接受教育机会”方案继续其正规教育，并且出台了一套使她们在产后重新进入高中或职业培训学校的程序。</w:t>
      </w:r>
    </w:p>
    <w:p w:rsidR="004C0D4A" w:rsidRDefault="004C0D4A" w:rsidP="004C0D4A">
      <w:pPr>
        <w:pStyle w:val="SingleTxt"/>
        <w:rPr>
          <w:rFonts w:hint="eastAsia"/>
        </w:rPr>
      </w:pPr>
      <w:r>
        <w:rPr>
          <w:rFonts w:hint="eastAsia"/>
        </w:rPr>
        <w:t xml:space="preserve">170.　巴哈马政府在计划生育方面与计划生育协会协作；现在为实现这一目的在公共诊所提供计划生育讲座。目前，在所有学校的课程中均有适合学生年龄的性教育方案。 </w:t>
      </w:r>
    </w:p>
    <w:p w:rsidR="004C0D4A" w:rsidRDefault="004C0D4A" w:rsidP="004C0D4A">
      <w:pPr>
        <w:pStyle w:val="SingleTxt"/>
        <w:rPr>
          <w:rFonts w:hint="eastAsia"/>
        </w:rPr>
      </w:pPr>
      <w:r>
        <w:rPr>
          <w:rFonts w:hint="eastAsia"/>
        </w:rPr>
        <w:t xml:space="preserve">171.　巴哈马政府还开展各种方案，推广健康的生活方式，其中包括通过设立基于社区的健康生活方式方案，推广良好营养和健康的生活方式。对巴哈马妇女的发病率和死亡率的成因进行了评估，正在审议各项建议。这些都是在促进妇女健康方面采取的进步举措。“12项健康要领俱乐部”是健康生活方式方案的一个组成部分，也是此种举措之一。该方案侧重于在亚群体(学校、工作地点、教堂等)成员中推广积极的生活方式变化，并格外重视增加体育活动以及提高个人在选择健康食品方面的技能。该方案得到了妇女的大力支持和推动。 </w:t>
      </w:r>
    </w:p>
    <w:p w:rsidR="004C0D4A" w:rsidRDefault="004C0D4A" w:rsidP="004C0D4A">
      <w:pPr>
        <w:pStyle w:val="SingleTxt"/>
        <w:rPr>
          <w:rFonts w:hint="eastAsia"/>
        </w:rPr>
      </w:pPr>
      <w:r>
        <w:rPr>
          <w:rFonts w:hint="eastAsia"/>
        </w:rPr>
        <w:t>172.　需要应对的其他保健部门挑战包括：男童和女童的营养差距；为妇女和男子提供的特别保健服务和需要增加这些服务；在妇女的生命周期中增加改善妇女健康的资源。老年妇女的健康需求没有得到充分解决，鉴于所有人、特别是妇女的寿命延长，这一需求具有迫切性。</w:t>
      </w:r>
    </w:p>
    <w:p w:rsidR="004C0D4A" w:rsidRDefault="004C0D4A" w:rsidP="004C0D4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第</w:t>
      </w:r>
      <w:r w:rsidR="00885365">
        <w:rPr>
          <w:rFonts w:hint="eastAsia"/>
        </w:rPr>
        <w:t>13</w:t>
      </w:r>
      <w:r>
        <w:rPr>
          <w:rFonts w:hint="eastAsia"/>
        </w:rPr>
        <w:t>条：确保妇女在巴哈马经济和社会生活中的平等地位</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173.　1972年《国民保险法》(第350章)规定，在特定意外情况下对符合资格的工人提供部分收入补偿，这包括妇女和男子(并在一些情况下工人遗属)。这些付款包括九(9)项福利和四(4)项援助。只有两项福利和一项援助特别提及性别：产假补助金和遗属抚恤金。产假补助金只支付给女性；至于遗属抚恤金和遗属援助，怀有已逝丈夫孩子的寡妇可能有资格获得每月付款。</w:t>
      </w:r>
    </w:p>
    <w:p w:rsidR="004C0D4A" w:rsidRDefault="004C0D4A" w:rsidP="004C0D4A">
      <w:pPr>
        <w:pStyle w:val="SingleTxt"/>
        <w:rPr>
          <w:rFonts w:hint="eastAsia"/>
        </w:rPr>
      </w:pPr>
      <w:r>
        <w:rPr>
          <w:rFonts w:hint="eastAsia"/>
        </w:rPr>
        <w:t xml:space="preserve">174.　除了上述措施以外，有关社会保障福利和援助的法律对男子和妇女是一致的。 </w:t>
      </w:r>
    </w:p>
    <w:p w:rsidR="004C0D4A" w:rsidRDefault="004C0D4A" w:rsidP="004C0D4A">
      <w:pPr>
        <w:pStyle w:val="SingleTxt"/>
        <w:rPr>
          <w:rFonts w:hint="eastAsia"/>
        </w:rPr>
      </w:pPr>
      <w:r>
        <w:rPr>
          <w:rFonts w:hint="eastAsia"/>
        </w:rPr>
        <w:t>175.　如上所述，有9项福利和4项援助。满足缴款和其他条件的妇女可能与男人一样有资格获得这些款项，并且款项金额相同。这9项福利是：残疾、丧葬、病残、人身伤害(以及免费医疗)、产妇福利和补助金、退休福利及补助金、疾病、遗属福利及补助金和失业救济金。</w:t>
      </w:r>
    </w:p>
    <w:p w:rsidR="004C0D4A" w:rsidRDefault="004C0D4A" w:rsidP="004C0D4A">
      <w:pPr>
        <w:pStyle w:val="SingleTxt"/>
        <w:rPr>
          <w:rFonts w:hint="eastAsia"/>
        </w:rPr>
      </w:pPr>
      <w:r>
        <w:rPr>
          <w:rFonts w:hint="eastAsia"/>
        </w:rPr>
        <w:t>176.　国家保险提供的四项援助福利是：病残、高龄非缴款养恤金、疾病和遗属援助。</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获得银行贷款、房屋抵押贷款和其他形式的金融信贷</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177.　在巴哈马，妇女获得金融信贷方面没有限制。法律保障措施确保所有人都能获得金融信贷。如有要求，获得信贷的条件是个人提供抵押品的财务能力以及一个人偿还贷款的能力。此外，妇女不需得到其配偶或男性监护人的授权即有资格获得信贷。</w:t>
      </w:r>
    </w:p>
    <w:p w:rsidR="004C0D4A" w:rsidRDefault="004C0D4A" w:rsidP="004C0D4A">
      <w:pPr>
        <w:pStyle w:val="SingleTxt"/>
        <w:rPr>
          <w:rFonts w:hint="eastAsia"/>
        </w:rPr>
      </w:pPr>
      <w:r>
        <w:rPr>
          <w:rFonts w:hint="eastAsia"/>
        </w:rPr>
        <w:t>178.　此外，由于更多的妇女目前在巴哈马政府任职，政府与国内各地金融机构一道，同意让在政府任职的个人通过扣除薪金来优先获得信贷，由个人在巴哈马公共部门的任职作为信贷的担保。</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参与娱乐活动、体育和文化生活的权利</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179.　巴哈马妇女在参加娱乐活动或参与文化生活方面没有任何法律或已知文化障碍。巴哈马妇女是世界级的运动员，特别是在田径方面，她们在多届奥运会上赢得了女子400×100米、女子200米、女子400米等项目的金、银和铜牌以及其他奖牌。</w:t>
      </w:r>
    </w:p>
    <w:p w:rsidR="004C0D4A" w:rsidRDefault="004C0D4A" w:rsidP="004C0D4A">
      <w:pPr>
        <w:pStyle w:val="SingleTxt"/>
        <w:rPr>
          <w:rFonts w:hint="eastAsia"/>
        </w:rPr>
      </w:pPr>
      <w:r>
        <w:rPr>
          <w:rFonts w:hint="eastAsia"/>
        </w:rPr>
        <w:t>180.　青年、体育和文化部的最高公务员职位——常务秘书是由妇女担任。此外，文化主任的职位也是由一名女性担任。在文化活动方面，妇女有权参加她们所选择的文化活动。此外，妇女也可以自由进入娱乐领域。涉入娱乐行业的女性比男性少。</w:t>
      </w:r>
    </w:p>
    <w:p w:rsidR="004C0D4A" w:rsidRDefault="004C0D4A" w:rsidP="004C0D4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第14条：农村妇女</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181.　如以前的报告指出的，巴哈马的农村人口较少。巴哈马的多数人口(353 658人)集中在新普罗维登斯岛(246 948人)和大巴哈马岛(51 756人)。根据巴哈马宪法，居住在农村地区的妇女与居住在城市地区的妇女有同等的权利；她们的地理位置可能不同，但她们的权利是相同的。</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农村妇女参与发展规划</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182.　尽管大多数家族岛屿上的人口很少，居民能够在地方政府一级、教堂一级、学校家长教师会、扶轮社和其他以社区为基础的组织参与制定和实施发展规划。虽然在家族岛屿上没有危机处理中心，但巴哈马危机中心多年来召开了多次家族岛屿会议，以培训警官、医生、教师、护士以及其他专家成为施援者，在帮助性暴力和家庭暴力受害者方面发挥关键作用。这是一个持续进行的方案。</w:t>
      </w:r>
    </w:p>
    <w:p w:rsidR="004C0D4A" w:rsidRPr="00CB6E91" w:rsidRDefault="004C0D4A" w:rsidP="004C0D4A">
      <w:pPr>
        <w:pStyle w:val="SingleTxt"/>
        <w:rPr>
          <w:rFonts w:ascii="SimHei" w:eastAsia="SimHei" w:hint="eastAsia"/>
        </w:rPr>
      </w:pPr>
      <w:r w:rsidRPr="00CB6E91">
        <w:rPr>
          <w:rFonts w:ascii="SimHei" w:eastAsia="SimHei" w:hint="eastAsia"/>
        </w:rPr>
        <w:t>农村妇女充分利用保健设施</w:t>
      </w:r>
    </w:p>
    <w:p w:rsidR="004C0D4A" w:rsidRDefault="004C0D4A" w:rsidP="004C0D4A">
      <w:pPr>
        <w:pStyle w:val="SingleTxt"/>
        <w:rPr>
          <w:rFonts w:hint="eastAsia"/>
        </w:rPr>
      </w:pPr>
      <w:r>
        <w:rPr>
          <w:rFonts w:hint="eastAsia"/>
        </w:rPr>
        <w:t>183.　巴哈马是一个群岛，这为我国带来一些挑战，因为政府需要在各岛屿重复建设基础设施。然而，尽管如此，政府设立了诊所，并为每个家族岛屿分配了医务人员，以确保每个巴哈马人和每个家族岛屿的居民都能获得充分的现代化医疗设施和训练有素的医生和护士的服务。在一般情况下，如果农村社区的居民需要专门照顾，有家族岛屿的医生将其病人转介到新普罗维登斯岛或大巴哈马岛的公立医院的措施，病人如果愿意，也可以被转介到私立医院。在人员受伤，需要紧急专门护理的情况下，可以提供医疗直升机服务，将患者送到大巴哈马岛、新普罗维登斯岛或(在某些情况下)佛罗里达州的迈阿密最近的创伤治疗设施。</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农村妇女获得教育和培训的能力</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184.　与获得卫生保健方面的情况一样，在校男、女学生都有受教育的机会，以确保所有学生，无论人数多寡，都能够与新普罗维登斯岛和大巴哈马岛学生学习相同的课程。但是，家族岛屿上的妇女在本地区参加并获得更高层次的教育方面面临一些挑战，因为大多数高等院校都位于新普罗维登斯岛和大巴哈马岛。巴哈马农业和工业公司为妇女提供培训，以帮助发展或加强这些地区的妇女在手工艺品或其他巴哈马产品方面的才能。</w:t>
      </w:r>
    </w:p>
    <w:p w:rsidR="004C0D4A" w:rsidRDefault="004C0D4A" w:rsidP="004C0D4A">
      <w:pPr>
        <w:pStyle w:val="SingleTxt"/>
        <w:rPr>
          <w:rFonts w:hint="eastAsia"/>
        </w:rPr>
      </w:pPr>
      <w:r>
        <w:rPr>
          <w:rFonts w:hint="eastAsia"/>
        </w:rPr>
        <w:t>185.　许多农村地区通过农业自给自足，种植供自己消费的粮食，并用船将农产品运输到新普罗维登斯岛和大巴哈马岛上的更大的市场。居民可以计划何时运送自己的产品，因为访问这些岛屿的船只遵循设定的时间表。居民能够制作手包和帽子等巴哈马秸秆产品或各种造型的木雕，并将这些产品运到新普罗维登斯岛或大巴哈马岛出售，对这些产品的需求现在有所增加。许多居民也参与捕鱼业，并在新普罗维登斯岛或大巴哈马岛出售其捕捞的鲜鱼。返回各自的出生岛屿的巴哈马人有所增加，因为他们认为，这些社区的生活质量远远超过了城市地区的生活。所有的巴哈马人和居民均有平等机会获得适当的生活条件；所有家族岛屿，无论多么偏远，都有电、经过净化的水、交通运输和现代通信。</w:t>
      </w:r>
    </w:p>
    <w:p w:rsidR="004C0D4A" w:rsidRDefault="004C0D4A" w:rsidP="004C0D4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第15条：法律和民事事务面前人人平等</w:t>
      </w:r>
    </w:p>
    <w:p w:rsidR="004C0D4A" w:rsidRPr="006D63C1"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平等待遇</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186.　《宪法》第15条规定，妇女同男子一样，享有签订合同和经管财产的同等法律能力，该条概述了个人的基本权利和自由，这些权利不论种族、原籍地、政见、肤色、信仰或性别，均得到保障。此外，《已婚妇女财产法》第129条规定，已婚妇女签订的合同对其有单独的约束力。该条规定：</w:t>
      </w:r>
    </w:p>
    <w:p w:rsidR="004C0D4A" w:rsidRDefault="004C0D4A" w:rsidP="004C0D4A">
      <w:pPr>
        <w:pStyle w:val="SingleTxt"/>
        <w:ind w:left="1695"/>
      </w:pPr>
      <w:r>
        <w:rPr>
          <w:rFonts w:hint="eastAsia"/>
        </w:rPr>
        <w:t>除作为代理外，已婚妇女此后订立的每项合同</w:t>
      </w:r>
      <w:r>
        <w:t>-</w:t>
      </w:r>
    </w:p>
    <w:p w:rsidR="004C0D4A" w:rsidRDefault="004C0D4A" w:rsidP="004C0D4A">
      <w:pPr>
        <w:pStyle w:val="SingleTxt"/>
        <w:ind w:left="1695"/>
        <w:rPr>
          <w:rFonts w:hint="eastAsia"/>
        </w:rPr>
      </w:pPr>
      <w:r>
        <w:rPr>
          <w:rFonts w:hint="eastAsia"/>
        </w:rPr>
        <w:t>(a)</w:t>
      </w:r>
      <w:r>
        <w:rPr>
          <w:rFonts w:hint="eastAsia"/>
        </w:rPr>
        <w:tab/>
        <w:t>应视为针对其单独财产订立的合同，对其具有约束力，而无论订立该合同时她是否事实上拥有或有权拥有任何单独的财产；</w:t>
      </w:r>
    </w:p>
    <w:p w:rsidR="004C0D4A" w:rsidRDefault="004C0D4A" w:rsidP="004C0D4A">
      <w:pPr>
        <w:pStyle w:val="SingleTxt"/>
        <w:ind w:left="1695"/>
      </w:pPr>
      <w:r>
        <w:rPr>
          <w:rFonts w:hint="eastAsia"/>
        </w:rPr>
        <w:t>(b)</w:t>
      </w:r>
      <w:r>
        <w:rPr>
          <w:rFonts w:hint="eastAsia"/>
        </w:rPr>
        <w:tab/>
        <w:t>对其在当时或其后可能拥有或有权拥有的所有单独财产具有约束力；</w:t>
      </w:r>
    </w:p>
    <w:p w:rsidR="004C0D4A" w:rsidRDefault="004C0D4A" w:rsidP="004C0D4A">
      <w:pPr>
        <w:pStyle w:val="SingleTxt"/>
        <w:ind w:left="1695"/>
      </w:pPr>
      <w:r>
        <w:rPr>
          <w:rFonts w:hint="eastAsia"/>
        </w:rPr>
        <w:t>(c)</w:t>
      </w:r>
      <w:r>
        <w:rPr>
          <w:rFonts w:hint="eastAsia"/>
        </w:rPr>
        <w:tab/>
        <w:t>应对其此后可能发现自己拥有或有权拥有的财产，依法执行：</w:t>
      </w:r>
    </w:p>
    <w:p w:rsidR="004C0D4A" w:rsidRDefault="004C0D4A" w:rsidP="004C0D4A">
      <w:pPr>
        <w:pStyle w:val="SingleTxt"/>
        <w:ind w:left="1695"/>
      </w:pPr>
      <w:r>
        <w:rPr>
          <w:rFonts w:hint="eastAsia"/>
        </w:rPr>
        <w:t>但本条没有作出任何规定，将妇女在当时或其后不应期待拥有的任何单独财产用于支付因此种合同产生的债务或履行因此种合同产生的义务。</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妇女财产管理</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pPr>
      <w:r>
        <w:rPr>
          <w:rFonts w:hint="eastAsia"/>
        </w:rPr>
        <w:t>187.　妇女与男子一样，在法律面前有同等的财产管理权。《释义及通则法》第2条第6⑴款规定，“阳性词语所指也包括阴性”。《遗产管理法》第108条规定了死者财产的管理办法，载有“管理人”和“个人代表”的定义，这两个词均属阳性。《宪法》第6⑴条规定，阳性词语所指也包括阴性。根据这条规定，这意味着妇女享有与男子相同的管理财产的权利，可担任遗嘱执行人或遗产管理人。《遗嘱执行人法》第119条为处置遗嘱人的遗留物品做出了规定。这项法律没有对妇女设置任何限制。</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妇女平等处理财产</w:t>
      </w:r>
    </w:p>
    <w:p w:rsidR="004C0D4A" w:rsidRPr="006D63C1" w:rsidRDefault="004C0D4A" w:rsidP="004C0D4A">
      <w:pPr>
        <w:pStyle w:val="SingleTxt"/>
        <w:spacing w:after="0" w:line="120" w:lineRule="exact"/>
        <w:rPr>
          <w:rFonts w:hint="eastAsia"/>
          <w:sz w:val="10"/>
        </w:rPr>
      </w:pPr>
    </w:p>
    <w:p w:rsidR="004C0D4A" w:rsidRDefault="004C0D4A" w:rsidP="004C0D4A">
      <w:pPr>
        <w:pStyle w:val="SingleTxt"/>
      </w:pPr>
      <w:r>
        <w:rPr>
          <w:rFonts w:hint="eastAsia"/>
        </w:rPr>
        <w:t>188.　根据《已婚妇女财产法》第129章，妇女有权经管财产，不受男子干涉或征求其同意，不论财产是婚姻期间获得还是婚前财产。</w:t>
      </w:r>
    </w:p>
    <w:p w:rsidR="004C0D4A" w:rsidRDefault="004C0D4A" w:rsidP="004C0D4A">
      <w:pPr>
        <w:pStyle w:val="SingleTxt"/>
        <w:rPr>
          <w:rFonts w:hint="eastAsia"/>
        </w:rPr>
      </w:pPr>
      <w:r>
        <w:rPr>
          <w:rFonts w:hint="eastAsia"/>
        </w:rPr>
        <w:t>189.　本法生效后，每个已婚妇女都有权作为其单独财产，拥有和持有并以上述方式处理所有在结婚时属于她、或结婚后由她获得或转给她的不动产和财产，包括她从事的或独立于丈夫经营的任何工作、行业或职业，或凭借任何文</w:t>
      </w:r>
      <w:r w:rsidR="005A1451">
        <w:rPr>
          <w:rFonts w:hint="eastAsia"/>
        </w:rPr>
        <w:t>学</w:t>
      </w:r>
      <w:r>
        <w:rPr>
          <w:rFonts w:hint="eastAsia"/>
        </w:rPr>
        <w:t>、艺术或科学技能所获得的任何工资、收入、货币和财产。</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妇女获得司法救助的机会</w:t>
      </w:r>
    </w:p>
    <w:p w:rsidR="004C0D4A" w:rsidRPr="004C0D4A"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 xml:space="preserve">190.　法律条款中有规定，所有妇女，包括农村妇女，均有机会获得司法救助。在农村地区，民事和刑事案件可由行政长官/治安法庭在各自管辖权内审理。 </w:t>
      </w:r>
    </w:p>
    <w:p w:rsidR="004C0D4A" w:rsidRDefault="004C0D4A" w:rsidP="004C0D4A">
      <w:pPr>
        <w:pStyle w:val="SingleTxt"/>
        <w:rPr>
          <w:rFonts w:hint="eastAsia"/>
        </w:rPr>
      </w:pPr>
      <w:r>
        <w:rPr>
          <w:rFonts w:hint="eastAsia"/>
        </w:rPr>
        <w:t>191.　根据《已婚妇女财产法》第129章第8条，妇女有能力按照巴哈马法律起诉他人，或受他人起诉</w:t>
      </w:r>
      <w:r>
        <w:t>：</w:t>
      </w:r>
    </w:p>
    <w:p w:rsidR="004C0D4A" w:rsidRDefault="004C0D4A" w:rsidP="004C0D4A">
      <w:pPr>
        <w:pStyle w:val="SingleTxt"/>
        <w:ind w:left="1695"/>
        <w:rPr>
          <w:rFonts w:hint="eastAsia"/>
        </w:rPr>
      </w:pPr>
      <w:r>
        <w:rPr>
          <w:rFonts w:hint="eastAsia"/>
        </w:rPr>
        <w:t>8.　不论在本法之前或之后结婚的妇女均可用自己名义而不是包括丈夫在内的任何人的名义获得同等民事补偿，以及通过刑事诉讼方式获得同等补偿和补救(对于其丈夫应依照《刑法》第95条中的规定处理)，以保护和保障自己的单独财产，如同上述财产属于独身妇女，但除上述者外，任何丈夫或妻子均无权起诉对方侵权。在任何信息记录或本条下其他法律程序中，这应足以主张这些财产是她的财产；在本条下任何法律程序中，丈夫或妻子均有资格提出针对对方的证据，无论任何法令或法律是否有另行规定。</w:t>
      </w:r>
    </w:p>
    <w:p w:rsidR="004C0D4A" w:rsidRDefault="004C0D4A" w:rsidP="004C0D4A">
      <w:pPr>
        <w:pStyle w:val="SingleTxt"/>
        <w:rPr>
          <w:rFonts w:hint="eastAsia"/>
        </w:rPr>
      </w:pPr>
      <w:r>
        <w:rPr>
          <w:rFonts w:hint="eastAsia"/>
        </w:rPr>
        <w:t>192.　根据《法律职业法》第64章，女律师有权代表当事人出庭。该章载有以下方面的规定：巴哈马人的法律执业；加入法律执业的方式；一般律师和主管律师注册；一般律师、主管律师和获许执业人员的行为和纪律；以上事项的附带或有关事项；规定妇女享受与男子同样的特权。</w:t>
      </w:r>
    </w:p>
    <w:p w:rsidR="004C0D4A" w:rsidRDefault="004C0D4A" w:rsidP="004C0D4A">
      <w:pPr>
        <w:pStyle w:val="SingleTxt"/>
        <w:rPr>
          <w:rFonts w:hint="eastAsia"/>
        </w:rPr>
      </w:pPr>
      <w:r>
        <w:rPr>
          <w:rFonts w:hint="eastAsia"/>
        </w:rPr>
        <w:t>193.　允许妇女担任巴哈马最高法院和上诉法院法官。目前，最高法院有5名女法官，上诉法院院长是女性。</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法律援助</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194.　根据《巴哈马宪法》第20条的如下规定，女性可获得同等自费或公费法律服务：</w:t>
      </w:r>
    </w:p>
    <w:p w:rsidR="004C0D4A" w:rsidRDefault="004C0D4A" w:rsidP="004C0D4A">
      <w:pPr>
        <w:pStyle w:val="SingleTxt"/>
        <w:ind w:left="1695"/>
      </w:pPr>
      <w:r>
        <w:rPr>
          <w:rFonts w:hint="eastAsia"/>
        </w:rPr>
        <w:t>(2)</w:t>
      </w:r>
      <w:r>
        <w:rPr>
          <w:rFonts w:hint="eastAsia"/>
        </w:rPr>
        <w:tab/>
        <w:t>任何受控犯有刑事罪行者</w:t>
      </w:r>
      <w:r>
        <w:t>-</w:t>
      </w:r>
    </w:p>
    <w:p w:rsidR="004C0D4A" w:rsidRDefault="004C0D4A" w:rsidP="004C0D4A">
      <w:pPr>
        <w:pStyle w:val="SingleTxt"/>
        <w:ind w:left="1695"/>
      </w:pPr>
      <w:r>
        <w:rPr>
          <w:rFonts w:hint="eastAsia"/>
        </w:rPr>
        <w:t>(d)</w:t>
      </w:r>
      <w:r>
        <w:rPr>
          <w:rFonts w:hint="eastAsia"/>
        </w:rPr>
        <w:tab/>
        <w:t>应获许亲自出庭为自己辩护，或自费自己选择法律代表，或根据巴哈马现行法律，获得公费聘请的法律代表为自己辩护。</w:t>
      </w:r>
    </w:p>
    <w:p w:rsidR="004C0D4A" w:rsidRDefault="004C0D4A" w:rsidP="004C0D4A">
      <w:pPr>
        <w:pStyle w:val="SingleTxt"/>
        <w:rPr>
          <w:rFonts w:hint="eastAsia"/>
        </w:rPr>
      </w:pPr>
      <w:r>
        <w:rPr>
          <w:rFonts w:hint="eastAsia"/>
        </w:rPr>
        <w:t>195.　此外，在法律服务方面，Eugene Dupuch法律援助诊所、巴哈马律师协会理事会、巴哈马个人疑难咨询中心均向暴力受害人提供免费法律服务。</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妇女的行动自由</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196.　妇女和男子拥有相同的行动自由和选择居所的法律权利，而且妇女有权选择所生活的地方。没有任何传统习俗限制妇女依据《宪法》第6条行使自己的权利，在巴哈马自由迁徙和选择居住地。</w:t>
      </w:r>
    </w:p>
    <w:p w:rsidR="004C0D4A" w:rsidRDefault="004C0D4A" w:rsidP="004C0D4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第</w:t>
      </w:r>
      <w:r w:rsidR="00885365">
        <w:rPr>
          <w:rFonts w:hint="eastAsia"/>
        </w:rPr>
        <w:t>16</w:t>
      </w:r>
      <w:r>
        <w:rPr>
          <w:rFonts w:hint="eastAsia"/>
        </w:rPr>
        <w:t>条：确保妇女在婚姻和家庭生活中的平等</w:t>
      </w:r>
    </w:p>
    <w:p w:rsidR="004C0D4A" w:rsidRPr="00812585" w:rsidRDefault="004C0D4A" w:rsidP="004C0D4A">
      <w:pPr>
        <w:pStyle w:val="SingleTxt"/>
        <w:spacing w:after="0" w:line="120" w:lineRule="exact"/>
        <w:rPr>
          <w:rFonts w:hint="eastAsia"/>
          <w:sz w:val="10"/>
        </w:rPr>
      </w:pP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妇女的婚姻权</w:t>
      </w:r>
    </w:p>
    <w:p w:rsidR="004C0D4A" w:rsidRPr="004C0D4A"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 xml:space="preserve">197.　根据《消除对妇女歧视公约》，巴哈马妇女与其男性对方拥有同等缔婚权利。妇女还拥有相同的自由选择配偶和非经本人自由表示、完全同意不缔结婚约的权利。  </w:t>
      </w:r>
    </w:p>
    <w:p w:rsidR="004C0D4A" w:rsidRDefault="004C0D4A" w:rsidP="004C0D4A">
      <w:pPr>
        <w:pStyle w:val="SingleTxt"/>
      </w:pPr>
      <w:r>
        <w:rPr>
          <w:rFonts w:hint="eastAsia"/>
        </w:rPr>
        <w:t>198.　家庭生活由成文法和习惯法规范。巴哈马妇女嫁给外国配偶时，《巴哈马宪法》没有规定男女平等，没有规定其丈夫有权立即获得公民身份，也没有规定其在巴哈马以外出生的子女的国籍。不过，巴哈马政府颁布了实质性的立法，缓解了宪法对于妇女的婚姻权利以及使配偶和子女获得公民权的权利的任何限制。</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非婚同居</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pPr>
      <w:r>
        <w:rPr>
          <w:rFonts w:hint="eastAsia"/>
        </w:rPr>
        <w:t>199.　巴哈马存在的家庭类型是合法婚姻和习惯结婚。婚姻得到国家承认。</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保护婚姻</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pPr>
      <w:r>
        <w:rPr>
          <w:rFonts w:hint="eastAsia"/>
        </w:rPr>
        <w:t>200.　根据2007年《家庭暴力(保护令)法》的规定，出现虐待时，生活在一起的丈夫和妻子的合法权利适用于获得保护令。</w:t>
      </w:r>
    </w:p>
    <w:p w:rsidR="004C0D4A" w:rsidRDefault="004C0D4A" w:rsidP="004C0D4A">
      <w:pPr>
        <w:pStyle w:val="SingleTxt"/>
        <w:rPr>
          <w:rFonts w:hint="eastAsia"/>
        </w:rPr>
      </w:pPr>
      <w:r>
        <w:rPr>
          <w:rFonts w:hint="eastAsia"/>
        </w:rPr>
        <w:t>201.　此外，根据《儿童地位法》第130章，非婚生的儿童享有与婚内出生的儿童平等的待遇。</w:t>
      </w:r>
    </w:p>
    <w:p w:rsidR="004C0D4A" w:rsidRDefault="004C0D4A" w:rsidP="004C0D4A">
      <w:pPr>
        <w:pStyle w:val="SingleTxt"/>
        <w:rPr>
          <w:rFonts w:hint="eastAsia"/>
        </w:rPr>
      </w:pP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婚姻期间妇女的权利和义务</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202.　男女在婚姻期间负有相同的义务。</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妇女选择职业的权利</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203.　男女有同样的权利选择职业，妇女确实行使权利，选择职业。这种权利不受婚姻影响。</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平等享有财产所有权</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204.　根据本报告上文在第十五条下所述，《已婚妇女财产法》第2条规定已婚妇女与丈夫在维护和处理财产上有平等的发言权。</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男女平等离婚</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205.　男女享有平等的解除婚姻的权利。离婚申请可提交给法院，丈夫或妻子可以同样理由提交：通奸、虐待、遗弃、申请前已经连续5年分居、同性恋、鸡奸或与动物发生性关系。妻子可以提出的特殊理由是：婚后丈夫被判犯有强奸罪。</w:t>
      </w:r>
    </w:p>
    <w:p w:rsidR="004C0D4A" w:rsidRDefault="004C0D4A" w:rsidP="004C0D4A">
      <w:pPr>
        <w:pStyle w:val="SingleTxt"/>
        <w:rPr>
          <w:rFonts w:hint="eastAsia"/>
        </w:rPr>
      </w:pPr>
      <w:r>
        <w:rPr>
          <w:rFonts w:hint="eastAsia"/>
        </w:rPr>
        <w:t>206.　巴哈马离婚记录存放在最高法院书记官处。</w:t>
      </w:r>
    </w:p>
    <w:p w:rsidR="004C0D4A" w:rsidRDefault="004C0D4A" w:rsidP="004C0D4A">
      <w:pPr>
        <w:pStyle w:val="SingleTxt"/>
        <w:rPr>
          <w:rFonts w:hint="eastAsia"/>
        </w:rPr>
      </w:pPr>
      <w:r>
        <w:rPr>
          <w:rFonts w:hint="eastAsia"/>
        </w:rPr>
        <w:t>207.　妇女有权利因离婚以及在审理离婚申请前获得抚养费，这是一项平等的权利。《婚姻诉讼法》第125章第26条规定：</w:t>
      </w:r>
    </w:p>
    <w:p w:rsidR="004C0D4A" w:rsidRDefault="004C0D4A" w:rsidP="004C0D4A">
      <w:pPr>
        <w:pStyle w:val="SingleTxt"/>
        <w:ind w:left="1695"/>
      </w:pPr>
      <w:r>
        <w:rPr>
          <w:rFonts w:hint="eastAsia"/>
        </w:rPr>
        <w:t>26.</w:t>
      </w:r>
      <w:r>
        <w:rPr>
          <w:rFonts w:hint="eastAsia"/>
        </w:rPr>
        <w:tab/>
        <w:t>对于离婚申请、婚姻无效或裁决分居，法院可在审理之前命令给予抚养费，也就是说，命令婚姻任何一方向对方支付法院视为合理的抚养费，支付时期不早于提交申请之日，到裁定日期为止。</w:t>
      </w:r>
    </w:p>
    <w:p w:rsidR="004C0D4A" w:rsidRDefault="004C0D4A" w:rsidP="004C0D4A">
      <w:pPr>
        <w:pStyle w:val="SingleTxt"/>
        <w:rPr>
          <w:rFonts w:hint="eastAsia"/>
        </w:rPr>
      </w:pPr>
      <w:r>
        <w:rPr>
          <w:rFonts w:hint="eastAsia"/>
        </w:rPr>
        <w:t>208.　此外，第27条规定，对于离婚申请、婚姻无效或裁决分居，法院可发布一项命令或多项命令。例如，除其他外，在指定时间内定期支付或一次性支付，付给婚姻另一方或用于家中某个子女。</w:t>
      </w:r>
    </w:p>
    <w:p w:rsidR="004C0D4A" w:rsidRDefault="004C0D4A" w:rsidP="004C0D4A">
      <w:pPr>
        <w:pStyle w:val="SingleTxt"/>
        <w:rPr>
          <w:rFonts w:hint="eastAsia"/>
        </w:rPr>
      </w:pPr>
      <w:r>
        <w:rPr>
          <w:rFonts w:hint="eastAsia"/>
        </w:rPr>
        <w:t>209.　法院可以发出调整财产令，即财产转让、财产归属或变通归属。在确定财务款项或调整财产时，法院《婚姻诉讼法》第125章第29(1)(g)条规定，有义务考虑若干事项，包括双方各自为家庭福利做出贡献，包括照料家庭或照顾家人这样的贡献。</w:t>
      </w:r>
    </w:p>
    <w:p w:rsidR="004C0D4A" w:rsidRDefault="004C0D4A" w:rsidP="004C0D4A">
      <w:pPr>
        <w:pStyle w:val="SingleTxt"/>
        <w:rPr>
          <w:rFonts w:hint="eastAsia"/>
        </w:rPr>
      </w:pPr>
      <w:r>
        <w:rPr>
          <w:rFonts w:hint="eastAsia"/>
        </w:rPr>
        <w:t>210.　法院承认未经合法婚姻一起生活的夫妻在共同生活期间和关系破裂时的财产权，但立法方面没有承认这种权利的规定。</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保护妇女免受家庭暴力的侵害 </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pPr>
      <w:r>
        <w:rPr>
          <w:rFonts w:hint="eastAsia"/>
        </w:rPr>
        <w:t>211.　关于虐待妇女的法律曾载于《性犯罪法》第99章。一部新法——2007年《家庭暴力(保护令)法》已经获得通过，撤消和取代了《性犯罪和家庭暴力法》中的有关条款。这些条款针对的是虐待问题，不仅是法律上的妻子，而且事实上的妻子也可以获得针对施暴者的保护令。</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子女监护问题</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pPr>
      <w:r>
        <w:rPr>
          <w:rFonts w:hint="eastAsia"/>
        </w:rPr>
        <w:t>212.　妇女和男子不论婚姻状况如何，对子女拥有平等的监护权。《儿童监护法》第132章第7条指出：</w:t>
      </w:r>
    </w:p>
    <w:p w:rsidR="004C0D4A" w:rsidRDefault="004C0D4A" w:rsidP="004C0D4A">
      <w:pPr>
        <w:pStyle w:val="SingleTxt"/>
        <w:ind w:left="1695"/>
      </w:pPr>
      <w:r>
        <w:rPr>
          <w:rFonts w:hint="eastAsia"/>
        </w:rPr>
        <w:t>7.(1)</w:t>
      </w:r>
      <w:r w:rsidR="00E155DB">
        <w:rPr>
          <w:rFonts w:hint="eastAsia"/>
        </w:rPr>
        <w:t xml:space="preserve">　</w:t>
      </w:r>
      <w:r>
        <w:rPr>
          <w:rFonts w:hint="eastAsia"/>
        </w:rPr>
        <w:t>法院可在收到父亲或母亲的申请后，就有关儿童的监护和其中一位家长探视权的问题作出法院认为合适的命令……</w:t>
      </w:r>
    </w:p>
    <w:p w:rsidR="004C0D4A" w:rsidRDefault="004C0D4A" w:rsidP="004C0D4A">
      <w:pPr>
        <w:pStyle w:val="SingleTxt"/>
        <w:rPr>
          <w:rFonts w:hint="eastAsia"/>
        </w:rPr>
      </w:pPr>
      <w:r>
        <w:rPr>
          <w:rFonts w:hint="eastAsia"/>
        </w:rPr>
        <w:t>213.　虽然如此，如果法院认定婚姻的某一方故意忽视婚生子女的抚养问题，那么该方对儿童的监护会受到影响。</w:t>
      </w:r>
    </w:p>
    <w:p w:rsidR="004C0D4A" w:rsidRDefault="004C0D4A" w:rsidP="004C0D4A">
      <w:pPr>
        <w:pStyle w:val="SingleTxt"/>
        <w:rPr>
          <w:rFonts w:hint="eastAsia"/>
        </w:rPr>
      </w:pPr>
      <w:r>
        <w:rPr>
          <w:rFonts w:hint="eastAsia"/>
        </w:rPr>
        <w:t>214.　根据《儿童监护法》第132章的规定，妇女拥有与男子相同的对子女的监护权。如果小孩的父亲死亡，则由未亡的母亲(须视《儿童监护法》的规定而定)单独或与父亲指定的监护人一起担任小孩的监护人。同样，如果小孩的母亲死亡，则由未亡的父亲(须视《儿童监护法》的规定而定)将单独或与母亲指定的监护人一起担任小孩的监护人。此外，《儿童监护法》第6条还规定，“在就影响儿童的任何问题向法院提出申请方面，儿童的母亲与父亲拥有相同的权力。”</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子女领养问题</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215.　男子和妇女在子女领养问题上拥有相似的权利，唯一的例外是，《儿童领养法》第131章第6(2)条规定：</w:t>
      </w:r>
    </w:p>
    <w:p w:rsidR="004C0D4A" w:rsidRDefault="004C0D4A" w:rsidP="004C0D4A">
      <w:pPr>
        <w:pStyle w:val="SingleTxt"/>
        <w:ind w:left="1695"/>
      </w:pPr>
      <w:r>
        <w:rPr>
          <w:rFonts w:hint="eastAsia"/>
        </w:rPr>
        <w:t>(2)</w:t>
      </w:r>
      <w:r>
        <w:rPr>
          <w:rFonts w:hint="eastAsia"/>
        </w:rPr>
        <w:tab/>
        <w:t>若单一申请人为男性，而被申请儿童为女性，则不会颁发领养令，除非法院有充足理由认为存在特殊情况，足以破例颁发领养令。</w:t>
      </w:r>
    </w:p>
    <w:p w:rsidR="004C0D4A" w:rsidRDefault="004C0D4A" w:rsidP="004C0D4A">
      <w:pPr>
        <w:pStyle w:val="SingleTxt"/>
        <w:rPr>
          <w:rFonts w:hint="eastAsia"/>
        </w:rPr>
      </w:pPr>
      <w:r>
        <w:rPr>
          <w:rFonts w:hint="eastAsia"/>
        </w:rPr>
        <w:t>216.　《婚姻诉讼法》第125章第74条规定，对于家庭中18岁以下子女的监护和教育问题，法院可以颁布法院认为合适的命令，但是实际上通常是女方获得儿童监护权。</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子女抚养问题</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pPr>
      <w:r>
        <w:rPr>
          <w:rFonts w:hint="eastAsia"/>
        </w:rPr>
        <w:t>217.　根据2007年《儿童保护法》第33条，男子有义务抚养子女。《婚姻诉讼法(简易程序管辖权)法》第126章第4条规定，法院可以作出包含以下内容的婚姻命令：</w:t>
      </w:r>
    </w:p>
    <w:p w:rsidR="004C0D4A" w:rsidRDefault="004C0D4A" w:rsidP="004C0D4A">
      <w:pPr>
        <w:pStyle w:val="SingleTxt"/>
        <w:ind w:left="1695"/>
      </w:pPr>
      <w:r>
        <w:rPr>
          <w:rFonts w:hint="eastAsia"/>
        </w:rPr>
        <w:t>(g)</w:t>
      </w:r>
      <w:r>
        <w:tab/>
      </w:r>
      <w:r>
        <w:rPr>
          <w:rFonts w:hint="eastAsia"/>
        </w:rPr>
        <w:t>关于被告或原告或原被告双方根据法院判定的每周款额和此类定期整笔支付款额支付子女抚养费和教育费的条款……</w:t>
      </w:r>
    </w:p>
    <w:p w:rsidR="004C0D4A" w:rsidRDefault="004C0D4A" w:rsidP="004C0D4A">
      <w:pPr>
        <w:pStyle w:val="SingleTxt"/>
        <w:rPr>
          <w:rFonts w:hint="eastAsia"/>
        </w:rPr>
      </w:pPr>
      <w:r>
        <w:rPr>
          <w:rFonts w:hint="eastAsia"/>
        </w:rPr>
        <w:t xml:space="preserve">218.　单身母亲有权依照《儿童保护法》的规定从认定的子女父亲处获得子女抚养费。按照该法的规定，母亲一方可以请求治安法庭颁布亲子确认令。第7条规定： </w:t>
      </w:r>
    </w:p>
    <w:p w:rsidR="004C0D4A" w:rsidRDefault="004C0D4A" w:rsidP="004C0D4A">
      <w:pPr>
        <w:pStyle w:val="SingleTxt"/>
        <w:ind w:left="1695"/>
        <w:rPr>
          <w:rFonts w:hint="eastAsia"/>
        </w:rPr>
      </w:pPr>
      <w:r>
        <w:rPr>
          <w:rFonts w:hint="eastAsia"/>
        </w:rPr>
        <w:t>(2)</w:t>
      </w:r>
      <w:r>
        <w:tab/>
      </w:r>
      <w:r>
        <w:rPr>
          <w:rFonts w:hint="eastAsia"/>
        </w:rPr>
        <w:t>若法院已判决被告为孩子的父亲，且认为在有关案件所涉全部情况中均为适当，可以针对该男子颁布命令(在这项法律中称为”亲子确认令”)，令其支付下列款项：</w:t>
      </w:r>
    </w:p>
    <w:p w:rsidR="004C0D4A" w:rsidRDefault="004C0D4A" w:rsidP="004C0D4A">
      <w:pPr>
        <w:pStyle w:val="SingleTxt"/>
        <w:ind w:left="1695"/>
      </w:pPr>
      <w:r>
        <w:rPr>
          <w:rFonts w:hint="eastAsia"/>
        </w:rPr>
        <w:t>(a)</w:t>
      </w:r>
      <w:r>
        <w:rPr>
          <w:rFonts w:hint="eastAsia"/>
        </w:rPr>
        <w:tab/>
        <w:t>每周支付一笔款项，如果法院认为合适，还可令其在法院认定的时间支付用于抚养和教育子女的一次性款项。</w:t>
      </w:r>
    </w:p>
    <w:p w:rsidR="004C0D4A" w:rsidRDefault="004C0D4A" w:rsidP="004C0D4A">
      <w:pPr>
        <w:pStyle w:val="SingleTxt"/>
        <w:rPr>
          <w:rFonts w:hint="eastAsia"/>
        </w:rPr>
      </w:pPr>
      <w:r>
        <w:rPr>
          <w:rFonts w:hint="eastAsia"/>
        </w:rPr>
        <w:t>219.　若出现赖账现象，母亲一方可向治安法庭提出申请，可对赖账者实行监禁。</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自主同意发生性行为的年龄</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220.　根据《性犯罪法》第99章的规定，男子和妇女自主同意发生性行为的最低法定年龄为16岁，因此，任何人与16岁以下者非法发生性行为即为犯罪。根据《婚姻法》第120章第20条的规定，自主结婚的最低年龄为18岁，但是，18岁以下者若打算结婚，须取得父母或监护者的同意，除非经最高法院认证，拟议的婚姻看来完全正当。</w:t>
      </w:r>
    </w:p>
    <w:p w:rsidR="004C0D4A" w:rsidRDefault="004C0D4A" w:rsidP="004C0D4A">
      <w:pPr>
        <w:pStyle w:val="SingleTxt"/>
        <w:rPr>
          <w:rFonts w:hint="eastAsia"/>
        </w:rPr>
      </w:pPr>
      <w:r>
        <w:rPr>
          <w:rFonts w:hint="eastAsia"/>
        </w:rPr>
        <w:t>221.　按照《记录登记法》第187章和《婚姻法》的规定，法律要求进行结婚登记。结婚登记手续是按照《婚姻法》进行的，具体规定如下：</w:t>
      </w:r>
    </w:p>
    <w:p w:rsidR="004C0D4A" w:rsidRDefault="004C0D4A" w:rsidP="004C0D4A">
      <w:pPr>
        <w:pStyle w:val="SingleTxt"/>
        <w:ind w:left="1695"/>
        <w:rPr>
          <w:rFonts w:hint="eastAsia"/>
        </w:rPr>
      </w:pPr>
      <w:r>
        <w:rPr>
          <w:rFonts w:hint="eastAsia"/>
        </w:rPr>
        <w:t>27.</w:t>
      </w:r>
      <w:r>
        <w:rPr>
          <w:rFonts w:hint="eastAsia"/>
        </w:rPr>
        <w:tab/>
        <w:t>在举行结婚仪式后，主持仪式的婚姻登记官须立即予以登记，一式两份，即首先在他保管的婚姻登记簿上登记，然后在另一张表格上进行登记，婚姻登记须在提供的表格上进行……须由双方当事人、两名证人和该婚姻登记官签字。</w:t>
      </w:r>
    </w:p>
    <w:p w:rsidR="004C0D4A" w:rsidRDefault="004C0D4A" w:rsidP="004C0D4A">
      <w:pPr>
        <w:pStyle w:val="SingleTxt"/>
        <w:ind w:left="1695"/>
        <w:rPr>
          <w:rFonts w:hint="eastAsia"/>
        </w:rPr>
      </w:pPr>
      <w:r>
        <w:rPr>
          <w:rFonts w:hint="eastAsia"/>
        </w:rPr>
        <w:t>28.</w:t>
      </w:r>
      <w:r>
        <w:rPr>
          <w:rFonts w:hint="eastAsia"/>
        </w:rPr>
        <w:tab/>
        <w:t>在进行上述婚姻登记后，婚姻登记官须将上述证书副本转给登记长，不需为此项服务支付任何费用；将经其证明为正式副本的婚姻登记证书原件交给当事人，每人一份。</w:t>
      </w:r>
    </w:p>
    <w:p w:rsidR="004C0D4A" w:rsidRDefault="004C0D4A" w:rsidP="004C0D4A">
      <w:pPr>
        <w:pStyle w:val="SingleTxt"/>
        <w:ind w:left="1695"/>
        <w:rPr>
          <w:rFonts w:hint="eastAsia"/>
        </w:rPr>
      </w:pPr>
      <w:r>
        <w:rPr>
          <w:rFonts w:hint="eastAsia"/>
        </w:rPr>
        <w:t>29.</w:t>
      </w:r>
      <w:r>
        <w:rPr>
          <w:rFonts w:hint="eastAsia"/>
        </w:rPr>
        <w:tab/>
        <w:t>婚姻登记官转给登记长的证书副本将由他存档，妥善保存在总登记办公室。</w:t>
      </w:r>
    </w:p>
    <w:p w:rsidR="004C0D4A" w:rsidRDefault="004C0D4A" w:rsidP="004C0D4A">
      <w:pPr>
        <w:pStyle w:val="SingleTxt"/>
        <w:rPr>
          <w:rFonts w:hint="eastAsia"/>
        </w:rPr>
      </w:pPr>
      <w:r>
        <w:rPr>
          <w:rFonts w:hint="eastAsia"/>
        </w:rPr>
        <w:t xml:space="preserve">222.　关于最低结婚年龄、自主同意结婚和婚姻登记的信息载于《婚姻法》第120章。 </w:t>
      </w:r>
    </w:p>
    <w:p w:rsidR="004C0D4A" w:rsidRDefault="004C0D4A" w:rsidP="004C0D4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继承 </w:t>
      </w:r>
    </w:p>
    <w:p w:rsidR="004C0D4A" w:rsidRPr="00812585" w:rsidRDefault="004C0D4A" w:rsidP="004C0D4A">
      <w:pPr>
        <w:pStyle w:val="SingleTxt"/>
        <w:spacing w:after="0" w:line="120" w:lineRule="exact"/>
        <w:rPr>
          <w:rFonts w:hint="eastAsia"/>
          <w:sz w:val="10"/>
        </w:rPr>
      </w:pPr>
    </w:p>
    <w:p w:rsidR="004C0D4A" w:rsidRDefault="004C0D4A" w:rsidP="004C0D4A">
      <w:pPr>
        <w:pStyle w:val="SingleTxt"/>
        <w:rPr>
          <w:rFonts w:hint="eastAsia"/>
        </w:rPr>
      </w:pPr>
      <w:r>
        <w:rPr>
          <w:rFonts w:hint="eastAsia"/>
        </w:rPr>
        <w:t xml:space="preserve">223.　巴哈马关于继承的法律是2002年《遗嘱法》第115章和2002年《继承法》第116章。《遗嘱法》规定的是根据遗嘱继承的事项，而《继承法》规定的是无遗嘱死者的财产继承事宜。《遗嘱法》规定了受益人按照遗嘱所拥有的继承权，而《继承法》规定了无遗嘱遗产的分配顺序。例如： </w:t>
      </w:r>
    </w:p>
    <w:p w:rsidR="004C0D4A" w:rsidRDefault="004C0D4A" w:rsidP="004C0D4A">
      <w:pPr>
        <w:pStyle w:val="SingleTxt"/>
        <w:ind w:left="1695"/>
        <w:rPr>
          <w:rFonts w:hint="eastAsia"/>
        </w:rPr>
      </w:pPr>
      <w:r>
        <w:rPr>
          <w:rFonts w:hint="eastAsia"/>
        </w:rPr>
        <w:t>4.</w:t>
      </w:r>
      <w:r>
        <w:rPr>
          <w:rFonts w:hint="eastAsia"/>
        </w:rPr>
        <w:tab/>
        <w:t>(1)</w:t>
      </w:r>
      <w:r>
        <w:rPr>
          <w:rFonts w:hint="eastAsia"/>
        </w:rPr>
        <w:tab/>
        <w:t>未留遗嘱死者的遗产须按照本条所述方式进行分配，即</w:t>
      </w:r>
    </w:p>
    <w:p w:rsidR="004C0D4A" w:rsidRDefault="004C0D4A" w:rsidP="004C0D4A">
      <w:pPr>
        <w:pStyle w:val="SingleTxt"/>
        <w:ind w:left="1695"/>
        <w:rPr>
          <w:rFonts w:hint="eastAsia"/>
        </w:rPr>
      </w:pPr>
      <w:r>
        <w:rPr>
          <w:rFonts w:hint="eastAsia"/>
        </w:rPr>
        <w:t>(a)</w:t>
      </w:r>
      <w:r>
        <w:rPr>
          <w:rFonts w:hint="eastAsia"/>
        </w:rPr>
        <w:tab/>
        <w:t>如果未留遗嘱死者遗留有丈夫或妻子，无子女，则由遗留的丈夫或妻子继承全部遗产；</w:t>
      </w:r>
    </w:p>
    <w:p w:rsidR="004C0D4A" w:rsidRDefault="004C0D4A" w:rsidP="004C0D4A">
      <w:pPr>
        <w:pStyle w:val="SingleTxt"/>
        <w:ind w:left="1695"/>
        <w:rPr>
          <w:rFonts w:hint="eastAsia"/>
        </w:rPr>
      </w:pPr>
      <w:r>
        <w:rPr>
          <w:rFonts w:hint="eastAsia"/>
        </w:rPr>
        <w:t>(b)</w:t>
      </w:r>
      <w:r>
        <w:rPr>
          <w:rFonts w:hint="eastAsia"/>
        </w:rPr>
        <w:tab/>
        <w:t xml:space="preserve">如果未留遗嘱死者 </w:t>
      </w:r>
    </w:p>
    <w:p w:rsidR="004C0D4A" w:rsidRDefault="004C0D4A" w:rsidP="004C0D4A">
      <w:pPr>
        <w:pStyle w:val="SingleTxt"/>
        <w:ind w:left="1695"/>
        <w:rPr>
          <w:rFonts w:hint="eastAsia"/>
        </w:rPr>
      </w:pPr>
      <w:r>
        <w:rPr>
          <w:rFonts w:hint="eastAsia"/>
        </w:rPr>
        <w:t>㈠</w:t>
      </w:r>
      <w:r>
        <w:rPr>
          <w:rFonts w:hint="eastAsia"/>
        </w:rPr>
        <w:tab/>
        <w:t xml:space="preserve">遗留有丈夫或妻子且 </w:t>
      </w:r>
    </w:p>
    <w:p w:rsidR="004C0D4A" w:rsidRDefault="004C0D4A" w:rsidP="004C0D4A">
      <w:pPr>
        <w:pStyle w:val="SingleTxt"/>
        <w:ind w:left="1695"/>
        <w:rPr>
          <w:rFonts w:hint="eastAsia"/>
        </w:rPr>
      </w:pPr>
      <w:r>
        <w:rPr>
          <w:rFonts w:hint="eastAsia"/>
        </w:rPr>
        <w:t>(A)</w:t>
      </w:r>
      <w:r>
        <w:rPr>
          <w:rFonts w:hint="eastAsia"/>
        </w:rPr>
        <w:tab/>
        <w:t>遗留有一个子女，则由遗留的丈夫或妻子继承一半遗产，其余遗产由子女继承；</w:t>
      </w:r>
    </w:p>
    <w:p w:rsidR="004C0D4A" w:rsidRDefault="004C0D4A" w:rsidP="004C0D4A">
      <w:pPr>
        <w:pStyle w:val="SingleTxt"/>
        <w:ind w:left="1695"/>
        <w:rPr>
          <w:rFonts w:hint="eastAsia"/>
        </w:rPr>
      </w:pPr>
      <w:r>
        <w:rPr>
          <w:rFonts w:hint="eastAsia"/>
        </w:rPr>
        <w:t>(B)</w:t>
      </w:r>
      <w:r>
        <w:rPr>
          <w:rFonts w:hint="eastAsia"/>
        </w:rPr>
        <w:tab/>
        <w:t>遗留有多个子女，则由遗留的丈夫或妻子继承一半遗产，其余遗产由子女平均分配；</w:t>
      </w:r>
    </w:p>
    <w:p w:rsidR="004C0D4A" w:rsidRDefault="004C0D4A" w:rsidP="00E155DB">
      <w:pPr>
        <w:pStyle w:val="SingleTxt"/>
        <w:ind w:left="1695"/>
        <w:rPr>
          <w:rFonts w:hint="eastAsia"/>
        </w:rPr>
      </w:pPr>
      <w:r>
        <w:rPr>
          <w:rFonts w:hint="eastAsia"/>
        </w:rPr>
        <w:t>㈡</w:t>
      </w:r>
      <w:r>
        <w:rPr>
          <w:rFonts w:hint="eastAsia"/>
        </w:rPr>
        <w:tab/>
        <w:t>遗留有多个子女但无丈夫或妻子，则由子女平均分配遗产，若仅遗留有一个子女，则由该子女继承全部遗产；……</w:t>
      </w:r>
    </w:p>
    <w:p w:rsidR="004C0D4A" w:rsidRDefault="004C0D4A" w:rsidP="004C0D4A">
      <w:pPr>
        <w:pStyle w:val="SingleTxt"/>
        <w:rPr>
          <w:rFonts w:hint="eastAsia"/>
        </w:rPr>
      </w:pPr>
      <w:r>
        <w:rPr>
          <w:rFonts w:hint="eastAsia"/>
        </w:rPr>
        <w:t>224.　此外，不论其配偶死亡时是否留有遗嘱，女方有权获得他们所居住的婚姻存在期间的住房。这一权利也适用于男子。</w:t>
      </w:r>
    </w:p>
    <w:p w:rsidR="004C0D4A" w:rsidRDefault="004C0D4A" w:rsidP="004C0D4A">
      <w:pPr>
        <w:pStyle w:val="SingleTxt"/>
        <w:rPr>
          <w:rFonts w:hint="eastAsia"/>
        </w:rPr>
      </w:pPr>
      <w:r>
        <w:rPr>
          <w:rFonts w:hint="eastAsia"/>
        </w:rPr>
        <w:t>225.　再者，配偶也有权以其已故配偶遗嘱所涉遗产的处置无法为其提供合理的经济来源为由，申请法院按照《继承法》第13条的规定颁布命令，向其提供合理的财务资源。</w:t>
      </w:r>
    </w:p>
    <w:p w:rsidR="004C0D4A" w:rsidRDefault="004C0D4A" w:rsidP="004C0D4A">
      <w:pPr>
        <w:pStyle w:val="SingleTxt"/>
        <w:rPr>
          <w:rFonts w:hint="eastAsia"/>
        </w:rPr>
      </w:pPr>
      <w:r>
        <w:rPr>
          <w:rFonts w:hint="eastAsia"/>
        </w:rPr>
        <w:t>226.　未亡妻子和丈夫分别按照《养老金法》第43章和《国家医疗保险法》第350章享有特殊权利并履行特殊义务。</w:t>
      </w:r>
    </w:p>
    <w:p w:rsidR="004C0D4A" w:rsidRDefault="004C0D4A" w:rsidP="004C0D4A">
      <w:pPr>
        <w:pStyle w:val="SingleTxt"/>
        <w:rPr>
          <w:rFonts w:hint="eastAsia"/>
        </w:rPr>
      </w:pPr>
      <w:r>
        <w:rPr>
          <w:rFonts w:hint="eastAsia"/>
        </w:rPr>
        <w:t>227.　未亡妻子和女儿可按照遗嘱接受财产，订立遗嘱者享有如何订立遗嘱的自由。</w:t>
      </w:r>
    </w:p>
    <w:p w:rsidR="004C0D4A" w:rsidRDefault="004C0D4A" w:rsidP="004C0D4A">
      <w:pPr>
        <w:pStyle w:val="SingleTxt"/>
        <w:rPr>
          <w:rFonts w:hint="eastAsia"/>
        </w:rPr>
      </w:pPr>
      <w:r>
        <w:rPr>
          <w:rFonts w:hint="eastAsia"/>
        </w:rPr>
        <w:t>228.　法律上或习惯上对于订立遗嘱者在未亡妻子和女儿之间与未亡妻子和儿子之间平等分配财产没有限制；订立遗嘱者享有如何订立遗嘱的自由。</w:t>
      </w:r>
    </w:p>
    <w:p w:rsidR="004C0D4A" w:rsidRDefault="004C0D4A" w:rsidP="004C0D4A">
      <w:pPr>
        <w:pStyle w:val="SingleTxt"/>
        <w:rPr>
          <w:rFonts w:hint="eastAsia"/>
        </w:rPr>
      </w:pPr>
      <w:r>
        <w:rPr>
          <w:rFonts w:hint="eastAsia"/>
        </w:rPr>
        <w:t>229.　法律上对于未亡妻子嫁给其亡夫的兄弟的行为没有作出规定。但是，《迎娶亡妻姐妹法》第122章规定，不论在该法通过前后，也不论在巴哈马或其他地方，如果男子迎娶其亡妻的姐妹，只要在所有其他方面都合乎法律，则该婚姻完全合法，也将一直被视为完全合法，除非婚姻任何一方随后于另一方在世期间，但是在本法通过前，与他人合法结婚。</w:t>
      </w:r>
    </w:p>
    <w:p w:rsidR="00E155DB" w:rsidRPr="00E155DB" w:rsidRDefault="00E155DB" w:rsidP="00E155DB">
      <w:pPr>
        <w:pStyle w:val="SingleTxt"/>
        <w:spacing w:after="0" w:line="240" w:lineRule="auto"/>
        <w:rPr>
          <w:rFonts w:hint="eastAsia"/>
          <w:sz w:val="20"/>
        </w:rPr>
      </w:pPr>
      <w:r>
        <w:rPr>
          <w:rFonts w:hint="eastAsia"/>
          <w:noProof/>
          <w:sz w:val="20"/>
        </w:rPr>
        <w:pict>
          <v:line id="_x0000_s1027" style="position:absolute;left:0;text-align:left;z-index:1;mso-position-horizontal:center" from="0,30pt" to="1in,30pt" strokeweight=".25pt"/>
        </w:pict>
      </w:r>
    </w:p>
    <w:p w:rsidR="004C0D4A" w:rsidRPr="00C1101F" w:rsidRDefault="004C0D4A" w:rsidP="004C0D4A">
      <w:pPr>
        <w:pStyle w:val="SingleTxt"/>
        <w:rPr>
          <w:rFonts w:hint="eastAsia"/>
        </w:rPr>
      </w:pPr>
    </w:p>
    <w:p w:rsidR="004C0D4A" w:rsidRPr="004C0D4A" w:rsidRDefault="004C0D4A" w:rsidP="00C776D3">
      <w:pPr>
        <w:pStyle w:val="SingleTxt"/>
      </w:pPr>
    </w:p>
    <w:sectPr w:rsidR="004C0D4A" w:rsidRPr="004C0D4A" w:rsidSect="00F91C77">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1-11T15:50:00Z" w:initials="Start">
    <w:p w:rsidR="00C15A3C" w:rsidRDefault="00C15A3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NO&gt;&gt;N1155350C&lt;&lt;ODS JOB NO&gt;&gt;</w:t>
      </w:r>
    </w:p>
    <w:p w:rsidR="00C15A3C" w:rsidRDefault="00C15A3C">
      <w:pPr>
        <w:pStyle w:val="CommentText"/>
      </w:pPr>
      <w:r>
        <w:t>&lt;&lt;ODS DOC SYMBOL1&gt;&gt;CEDAW/C/BHS/5&lt;&lt;ODS DOC SYMBOL1&gt;&gt;</w:t>
      </w:r>
    </w:p>
    <w:p w:rsidR="00C15A3C" w:rsidRDefault="00C15A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B46" w:rsidRDefault="002F2B46">
      <w:r>
        <w:separator/>
      </w:r>
    </w:p>
  </w:endnote>
  <w:endnote w:type="continuationSeparator" w:id="0">
    <w:p w:rsidR="002F2B46" w:rsidRDefault="002F2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5A3C" w:rsidTr="00F91C77">
      <w:tblPrEx>
        <w:tblCellMar>
          <w:top w:w="0" w:type="dxa"/>
          <w:bottom w:w="0" w:type="dxa"/>
        </w:tblCellMar>
      </w:tblPrEx>
      <w:tc>
        <w:tcPr>
          <w:tcW w:w="5033" w:type="dxa"/>
          <w:shd w:val="clear" w:color="auto" w:fill="auto"/>
        </w:tcPr>
        <w:p w:rsidR="00C15A3C" w:rsidRPr="00F91C77" w:rsidRDefault="00C15A3C" w:rsidP="00F91C7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11-55350 (C)</w:t>
          </w:r>
          <w:r>
            <w:rPr>
              <w:b w:val="0"/>
              <w:w w:val="103"/>
              <w:sz w:val="14"/>
            </w:rPr>
            <w:fldChar w:fldCharType="end"/>
          </w:r>
        </w:p>
      </w:tc>
      <w:tc>
        <w:tcPr>
          <w:tcW w:w="5033" w:type="dxa"/>
          <w:shd w:val="clear" w:color="auto" w:fill="auto"/>
        </w:tcPr>
        <w:p w:rsidR="00C15A3C" w:rsidRPr="00F91C77" w:rsidRDefault="00C15A3C" w:rsidP="00F91C77">
          <w:pPr>
            <w:pStyle w:val="Footer"/>
            <w:jc w:val="left"/>
            <w:rPr>
              <w:w w:val="103"/>
            </w:rPr>
          </w:pPr>
          <w:r>
            <w:rPr>
              <w:w w:val="103"/>
            </w:rPr>
            <w:fldChar w:fldCharType="begin"/>
          </w:r>
          <w:r>
            <w:rPr>
              <w:w w:val="103"/>
            </w:rPr>
            <w:instrText xml:space="preserve"> PAGE  \* MERGEFORMAT </w:instrText>
          </w:r>
          <w:r>
            <w:rPr>
              <w:w w:val="103"/>
            </w:rPr>
            <w:fldChar w:fldCharType="separate"/>
          </w:r>
          <w:r w:rsidR="00C60F38">
            <w:rPr>
              <w:w w:val="103"/>
            </w:rPr>
            <w:t>2</w:t>
          </w:r>
          <w:r>
            <w:rPr>
              <w:w w:val="103"/>
            </w:rPr>
            <w:fldChar w:fldCharType="end"/>
          </w:r>
        </w:p>
      </w:tc>
    </w:tr>
  </w:tbl>
  <w:p w:rsidR="00C15A3C" w:rsidRPr="00F91C77" w:rsidRDefault="00C15A3C" w:rsidP="00F91C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5A3C" w:rsidTr="00F91C77">
      <w:tblPrEx>
        <w:tblCellMar>
          <w:top w:w="0" w:type="dxa"/>
          <w:bottom w:w="0" w:type="dxa"/>
        </w:tblCellMar>
      </w:tblPrEx>
      <w:tc>
        <w:tcPr>
          <w:tcW w:w="5033" w:type="dxa"/>
          <w:shd w:val="clear" w:color="auto" w:fill="auto"/>
        </w:tcPr>
        <w:p w:rsidR="00C15A3C" w:rsidRPr="00F91C77" w:rsidRDefault="00C15A3C" w:rsidP="00F91C77">
          <w:pPr>
            <w:pStyle w:val="Footer"/>
            <w:jc w:val="right"/>
          </w:pPr>
          <w:r>
            <w:fldChar w:fldCharType="begin"/>
          </w:r>
          <w:r>
            <w:instrText xml:space="preserve"> PAGE  \* MERGEFORMAT </w:instrText>
          </w:r>
          <w:r>
            <w:fldChar w:fldCharType="separate"/>
          </w:r>
          <w:r w:rsidR="00C60F38">
            <w:t>3</w:t>
          </w:r>
          <w:r>
            <w:fldChar w:fldCharType="end"/>
          </w:r>
        </w:p>
      </w:tc>
      <w:tc>
        <w:tcPr>
          <w:tcW w:w="5033" w:type="dxa"/>
          <w:shd w:val="clear" w:color="auto" w:fill="auto"/>
        </w:tcPr>
        <w:p w:rsidR="00C15A3C" w:rsidRPr="00F91C77" w:rsidRDefault="00C15A3C" w:rsidP="00F91C77">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11-55350 (C)</w:t>
          </w:r>
          <w:r>
            <w:rPr>
              <w:b w:val="0"/>
              <w:w w:val="103"/>
              <w:sz w:val="14"/>
            </w:rPr>
            <w:fldChar w:fldCharType="end"/>
          </w:r>
        </w:p>
      </w:tc>
    </w:tr>
  </w:tbl>
  <w:p w:rsidR="00C15A3C" w:rsidRPr="00F91C77" w:rsidRDefault="00C15A3C" w:rsidP="00F91C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15A3C">
      <w:tblPrEx>
        <w:tblCellMar>
          <w:top w:w="0" w:type="dxa"/>
          <w:bottom w:w="0" w:type="dxa"/>
        </w:tblCellMar>
      </w:tblPrEx>
      <w:tc>
        <w:tcPr>
          <w:tcW w:w="5033" w:type="dxa"/>
        </w:tcPr>
        <w:p w:rsidR="00C15A3C" w:rsidRDefault="00C15A3C" w:rsidP="00F91C77">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11-55350 (C)</w:t>
          </w:r>
          <w:r>
            <w:rPr>
              <w:b w:val="0"/>
              <w:sz w:val="21"/>
            </w:rPr>
            <w:fldChar w:fldCharType="end"/>
          </w:r>
          <w:r>
            <w:rPr>
              <w:b w:val="0"/>
              <w:sz w:val="21"/>
            </w:rPr>
            <w:t xml:space="preserve">    </w:t>
          </w:r>
          <w:r>
            <w:rPr>
              <w:rFonts w:hint="eastAsia"/>
              <w:b w:val="0"/>
              <w:sz w:val="21"/>
            </w:rPr>
            <w:t>09</w:t>
          </w:r>
          <w:r>
            <w:rPr>
              <w:b w:val="0"/>
              <w:sz w:val="21"/>
            </w:rPr>
            <w:t>1111    1</w:t>
          </w:r>
          <w:r>
            <w:rPr>
              <w:rFonts w:hint="eastAsia"/>
              <w:b w:val="0"/>
              <w:sz w:val="21"/>
            </w:rPr>
            <w:t>8</w:t>
          </w:r>
          <w:r>
            <w:rPr>
              <w:b w:val="0"/>
              <w:sz w:val="21"/>
            </w:rPr>
            <w:t>1111</w:t>
          </w:r>
        </w:p>
        <w:p w:rsidR="00C15A3C" w:rsidRPr="00F91C77" w:rsidRDefault="00C15A3C" w:rsidP="00F91C77">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*1155350*</w:t>
          </w:r>
          <w:r>
            <w:rPr>
              <w:rFonts w:ascii="Barcode 3 of 9 by request" w:hAnsi="Barcode 3 of 9 by request" w:hint="eastAsia"/>
              <w:sz w:val="24"/>
            </w:rPr>
            <w:fldChar w:fldCharType="end"/>
          </w:r>
        </w:p>
      </w:tc>
      <w:tc>
        <w:tcPr>
          <w:tcW w:w="5033" w:type="dxa"/>
        </w:tcPr>
        <w:p w:rsidR="00C15A3C" w:rsidRDefault="00C15A3C" w:rsidP="00F91C77">
          <w:pPr>
            <w:pStyle w:val="Footer"/>
            <w:jc w:val="right"/>
            <w:rPr>
              <w:b w:val="0"/>
              <w:sz w:val="21"/>
            </w:rPr>
          </w:pPr>
          <w:r w:rsidRPr="00F91C77">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8.75pt;height:18pt">
                <v:imagedata r:id="rId1" o:title="recycle_Chinese"/>
              </v:shape>
            </w:pict>
          </w:r>
        </w:p>
      </w:tc>
    </w:tr>
  </w:tbl>
  <w:p w:rsidR="00C15A3C" w:rsidRPr="00F91C77" w:rsidRDefault="00C15A3C" w:rsidP="00F91C77">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B46" w:rsidRDefault="002F2B46">
      <w:r>
        <w:separator/>
      </w:r>
    </w:p>
  </w:footnote>
  <w:footnote w:type="continuationSeparator" w:id="0">
    <w:p w:rsidR="002F2B46" w:rsidRDefault="002F2B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5A3C" w:rsidTr="00F91C77">
      <w:tblPrEx>
        <w:tblCellMar>
          <w:top w:w="0" w:type="dxa"/>
          <w:bottom w:w="0" w:type="dxa"/>
        </w:tblCellMar>
      </w:tblPrEx>
      <w:trPr>
        <w:trHeight w:hRule="exact" w:val="864"/>
      </w:trPr>
      <w:tc>
        <w:tcPr>
          <w:tcW w:w="4838" w:type="dxa"/>
          <w:shd w:val="clear" w:color="auto" w:fill="auto"/>
          <w:vAlign w:val="bottom"/>
        </w:tcPr>
        <w:p w:rsidR="00C15A3C" w:rsidRPr="00F91C77" w:rsidRDefault="00C15A3C" w:rsidP="00F91C77">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CEDAW/C/BHS/5</w:t>
          </w:r>
          <w:r>
            <w:rPr>
              <w:b/>
              <w:sz w:val="17"/>
            </w:rPr>
            <w:fldChar w:fldCharType="end"/>
          </w:r>
        </w:p>
      </w:tc>
      <w:tc>
        <w:tcPr>
          <w:tcW w:w="5033" w:type="dxa"/>
          <w:shd w:val="clear" w:color="auto" w:fill="auto"/>
          <w:vAlign w:val="bottom"/>
        </w:tcPr>
        <w:p w:rsidR="00C15A3C" w:rsidRDefault="00C15A3C" w:rsidP="00F91C77">
          <w:pPr>
            <w:pStyle w:val="Header"/>
          </w:pPr>
        </w:p>
      </w:tc>
    </w:tr>
  </w:tbl>
  <w:p w:rsidR="00C15A3C" w:rsidRPr="00F91C77" w:rsidRDefault="00C15A3C" w:rsidP="00F91C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5A3C" w:rsidTr="00F91C77">
      <w:tblPrEx>
        <w:tblCellMar>
          <w:top w:w="0" w:type="dxa"/>
          <w:bottom w:w="0" w:type="dxa"/>
        </w:tblCellMar>
      </w:tblPrEx>
      <w:trPr>
        <w:trHeight w:hRule="exact" w:val="864"/>
      </w:trPr>
      <w:tc>
        <w:tcPr>
          <w:tcW w:w="4838" w:type="dxa"/>
          <w:shd w:val="clear" w:color="auto" w:fill="auto"/>
          <w:vAlign w:val="bottom"/>
        </w:tcPr>
        <w:p w:rsidR="00C15A3C" w:rsidRDefault="00C15A3C" w:rsidP="00F91C77">
          <w:pPr>
            <w:pStyle w:val="Header"/>
          </w:pPr>
        </w:p>
      </w:tc>
      <w:tc>
        <w:tcPr>
          <w:tcW w:w="5033" w:type="dxa"/>
          <w:shd w:val="clear" w:color="auto" w:fill="auto"/>
          <w:vAlign w:val="bottom"/>
        </w:tcPr>
        <w:p w:rsidR="00C15A3C" w:rsidRPr="00F91C77" w:rsidRDefault="00C15A3C" w:rsidP="00F91C7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CEDAW/C/BHS/5</w:t>
          </w:r>
          <w:r>
            <w:rPr>
              <w:b/>
              <w:sz w:val="17"/>
            </w:rPr>
            <w:fldChar w:fldCharType="end"/>
          </w:r>
        </w:p>
      </w:tc>
    </w:tr>
  </w:tbl>
  <w:p w:rsidR="00C15A3C" w:rsidRPr="00F91C77" w:rsidRDefault="00C15A3C" w:rsidP="00F91C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15A3C" w:rsidTr="00F91C7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15A3C" w:rsidRDefault="00C15A3C" w:rsidP="00F91C77">
          <w:pPr>
            <w:pStyle w:val="Header"/>
            <w:spacing w:after="120"/>
          </w:pPr>
        </w:p>
      </w:tc>
      <w:tc>
        <w:tcPr>
          <w:tcW w:w="1872" w:type="dxa"/>
          <w:tcBorders>
            <w:bottom w:val="single" w:sz="4" w:space="0" w:color="auto"/>
          </w:tcBorders>
          <w:shd w:val="clear" w:color="auto" w:fill="auto"/>
          <w:vAlign w:val="bottom"/>
        </w:tcPr>
        <w:p w:rsidR="00C15A3C" w:rsidRPr="00F91C77" w:rsidRDefault="00C15A3C" w:rsidP="00F91C7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15A3C" w:rsidRDefault="00C15A3C" w:rsidP="00F91C77">
          <w:pPr>
            <w:pStyle w:val="Header"/>
            <w:spacing w:after="120"/>
          </w:pPr>
        </w:p>
      </w:tc>
      <w:tc>
        <w:tcPr>
          <w:tcW w:w="6523" w:type="dxa"/>
          <w:gridSpan w:val="3"/>
          <w:tcBorders>
            <w:bottom w:val="single" w:sz="4" w:space="0" w:color="auto"/>
          </w:tcBorders>
          <w:shd w:val="clear" w:color="auto" w:fill="auto"/>
          <w:vAlign w:val="bottom"/>
        </w:tcPr>
        <w:p w:rsidR="00C15A3C" w:rsidRPr="00F91C77" w:rsidRDefault="00C15A3C" w:rsidP="00F91C77">
          <w:pPr>
            <w:spacing w:after="80" w:line="240" w:lineRule="auto"/>
            <w:jc w:val="right"/>
            <w:rPr>
              <w:rFonts w:ascii="Times New Roman"/>
              <w:position w:val="-4"/>
            </w:rPr>
          </w:pPr>
          <w:r>
            <w:rPr>
              <w:rFonts w:ascii="Times New Roman"/>
              <w:position w:val="-4"/>
              <w:sz w:val="40"/>
            </w:rPr>
            <w:t>CEDAW</w:t>
          </w:r>
          <w:r>
            <w:rPr>
              <w:rFonts w:ascii="Times New Roman"/>
              <w:position w:val="-4"/>
            </w:rPr>
            <w:t>/C/BHS/5</w:t>
          </w:r>
        </w:p>
      </w:tc>
    </w:tr>
    <w:tr w:rsidR="00C15A3C" w:rsidRPr="00F91C77" w:rsidTr="00F91C7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15A3C" w:rsidRDefault="00C15A3C" w:rsidP="00F91C7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7.25pt">
                <v:imagedata r:id="rId1" o:title="_unlogo"/>
              </v:shape>
            </w:pict>
          </w:r>
        </w:p>
        <w:p w:rsidR="00C15A3C" w:rsidRPr="00F91C77" w:rsidRDefault="00C15A3C" w:rsidP="00F91C77">
          <w:pPr>
            <w:pStyle w:val="Header"/>
            <w:spacing w:before="109"/>
            <w:ind w:left="-72"/>
          </w:pPr>
        </w:p>
      </w:tc>
      <w:tc>
        <w:tcPr>
          <w:tcW w:w="5227" w:type="dxa"/>
          <w:gridSpan w:val="3"/>
          <w:tcBorders>
            <w:top w:val="single" w:sz="4" w:space="0" w:color="auto"/>
            <w:bottom w:val="single" w:sz="12" w:space="0" w:color="auto"/>
          </w:tcBorders>
          <w:shd w:val="clear" w:color="auto" w:fill="auto"/>
        </w:tcPr>
        <w:p w:rsidR="00C15A3C" w:rsidRPr="00F91C77" w:rsidRDefault="00C15A3C" w:rsidP="00F91C7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15A3C" w:rsidRPr="00F91C77" w:rsidRDefault="00C15A3C" w:rsidP="00F91C77">
          <w:pPr>
            <w:pStyle w:val="Header"/>
            <w:spacing w:before="109"/>
          </w:pPr>
        </w:p>
      </w:tc>
      <w:tc>
        <w:tcPr>
          <w:tcW w:w="3180" w:type="dxa"/>
          <w:gridSpan w:val="2"/>
          <w:tcBorders>
            <w:top w:val="single" w:sz="4" w:space="0" w:color="auto"/>
            <w:bottom w:val="single" w:sz="12" w:space="0" w:color="auto"/>
          </w:tcBorders>
          <w:shd w:val="clear" w:color="auto" w:fill="auto"/>
        </w:tcPr>
        <w:p w:rsidR="00C15A3C" w:rsidRDefault="00C15A3C" w:rsidP="00F91C77">
          <w:pPr>
            <w:spacing w:before="240" w:line="240" w:lineRule="exact"/>
            <w:rPr>
              <w:rFonts w:ascii="Times New Roman"/>
            </w:rPr>
          </w:pPr>
          <w:r>
            <w:rPr>
              <w:rFonts w:ascii="Times New Roman"/>
            </w:rPr>
            <w:t>Distr.: General</w:t>
          </w:r>
        </w:p>
        <w:p w:rsidR="00C15A3C" w:rsidRDefault="00C15A3C" w:rsidP="00F91C77">
          <w:pPr>
            <w:spacing w:line="240" w:lineRule="exact"/>
            <w:rPr>
              <w:rFonts w:ascii="Times New Roman"/>
            </w:rPr>
          </w:pPr>
          <w:r>
            <w:rPr>
              <w:rFonts w:ascii="Times New Roman"/>
            </w:rPr>
            <w:t>18 October 2011</w:t>
          </w:r>
        </w:p>
        <w:p w:rsidR="00C15A3C" w:rsidRDefault="00C15A3C" w:rsidP="00F91C77">
          <w:pPr>
            <w:spacing w:line="240" w:lineRule="exact"/>
            <w:rPr>
              <w:rFonts w:ascii="Times New Roman"/>
            </w:rPr>
          </w:pPr>
          <w:r>
            <w:rPr>
              <w:rFonts w:ascii="Times New Roman"/>
            </w:rPr>
            <w:t>Chinese</w:t>
          </w:r>
        </w:p>
        <w:p w:rsidR="00C15A3C" w:rsidRPr="00F91C77" w:rsidRDefault="00C15A3C" w:rsidP="00F91C77">
          <w:pPr>
            <w:spacing w:line="240" w:lineRule="exact"/>
            <w:rPr>
              <w:rFonts w:ascii="Times New Roman"/>
            </w:rPr>
          </w:pPr>
          <w:r>
            <w:rPr>
              <w:rFonts w:ascii="Times New Roman"/>
            </w:rPr>
            <w:t>Original: English</w:t>
          </w:r>
        </w:p>
      </w:tc>
    </w:tr>
  </w:tbl>
  <w:p w:rsidR="00C15A3C" w:rsidRPr="00F91C77" w:rsidRDefault="00C15A3C" w:rsidP="00F91C7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55350*"/>
    <w:docVar w:name="CreationDt" w:val="11/11/2011 10:46:10"/>
    <w:docVar w:name="DocCategory" w:val="Doc"/>
    <w:docVar w:name="DocType" w:val="Final"/>
    <w:docVar w:name="FooterJN" w:val="11-55350 (C)"/>
    <w:docVar w:name="jobn" w:val="11-55350 (C)"/>
    <w:docVar w:name="jobnDT" w:val="11-55350 (C)   111111"/>
    <w:docVar w:name="jobnDTDT" w:val="11-55350 (C)   111111   111111"/>
    <w:docVar w:name="JobNo" w:val="1155350C"/>
    <w:docVar w:name="OandT" w:val="shi"/>
    <w:docVar w:name="sss1" w:val="CEDAW/C/BHS/5"/>
    <w:docVar w:name="sss2" w:val="-"/>
    <w:docVar w:name="Symbol1" w:val="CEDAW/C/BHS/5"/>
    <w:docVar w:name="Symbol2" w:val="-"/>
  </w:docVars>
  <w:rsids>
    <w:rsidRoot w:val="009843E8"/>
    <w:rsid w:val="0000347C"/>
    <w:rsid w:val="000125BC"/>
    <w:rsid w:val="00021A2B"/>
    <w:rsid w:val="00037B39"/>
    <w:rsid w:val="00044CA4"/>
    <w:rsid w:val="00045EFE"/>
    <w:rsid w:val="0007337D"/>
    <w:rsid w:val="000758DF"/>
    <w:rsid w:val="00076EB8"/>
    <w:rsid w:val="00095C67"/>
    <w:rsid w:val="000A31F9"/>
    <w:rsid w:val="000C1786"/>
    <w:rsid w:val="000C4DDE"/>
    <w:rsid w:val="000E240F"/>
    <w:rsid w:val="000E49A4"/>
    <w:rsid w:val="000F1058"/>
    <w:rsid w:val="000F6B0C"/>
    <w:rsid w:val="00101C4E"/>
    <w:rsid w:val="001113F8"/>
    <w:rsid w:val="001212F9"/>
    <w:rsid w:val="00121328"/>
    <w:rsid w:val="0012708E"/>
    <w:rsid w:val="001329F7"/>
    <w:rsid w:val="00132D26"/>
    <w:rsid w:val="00141322"/>
    <w:rsid w:val="0015066B"/>
    <w:rsid w:val="00150D3A"/>
    <w:rsid w:val="00153D29"/>
    <w:rsid w:val="00161E69"/>
    <w:rsid w:val="00161F54"/>
    <w:rsid w:val="00170FBE"/>
    <w:rsid w:val="0017506F"/>
    <w:rsid w:val="001B2814"/>
    <w:rsid w:val="001B4F95"/>
    <w:rsid w:val="001C2EF2"/>
    <w:rsid w:val="001C3F7F"/>
    <w:rsid w:val="001C5166"/>
    <w:rsid w:val="001D0354"/>
    <w:rsid w:val="001E20EC"/>
    <w:rsid w:val="001E4442"/>
    <w:rsid w:val="001E5A51"/>
    <w:rsid w:val="001F03A7"/>
    <w:rsid w:val="00207135"/>
    <w:rsid w:val="00231575"/>
    <w:rsid w:val="00233142"/>
    <w:rsid w:val="00247382"/>
    <w:rsid w:val="00252E35"/>
    <w:rsid w:val="00254858"/>
    <w:rsid w:val="00257053"/>
    <w:rsid w:val="00266257"/>
    <w:rsid w:val="00271BE6"/>
    <w:rsid w:val="0027454D"/>
    <w:rsid w:val="00277AAE"/>
    <w:rsid w:val="00280671"/>
    <w:rsid w:val="002814F9"/>
    <w:rsid w:val="00282D17"/>
    <w:rsid w:val="002846FC"/>
    <w:rsid w:val="002A4AEF"/>
    <w:rsid w:val="002B305F"/>
    <w:rsid w:val="002B564F"/>
    <w:rsid w:val="002B5F5D"/>
    <w:rsid w:val="002C2254"/>
    <w:rsid w:val="002C3BC9"/>
    <w:rsid w:val="002C54DB"/>
    <w:rsid w:val="002D039F"/>
    <w:rsid w:val="002D0694"/>
    <w:rsid w:val="002D0B62"/>
    <w:rsid w:val="002D4ACE"/>
    <w:rsid w:val="002D5503"/>
    <w:rsid w:val="002E66D5"/>
    <w:rsid w:val="002F2B46"/>
    <w:rsid w:val="002F41E2"/>
    <w:rsid w:val="00305256"/>
    <w:rsid w:val="00320C99"/>
    <w:rsid w:val="003274A9"/>
    <w:rsid w:val="00331221"/>
    <w:rsid w:val="003649EE"/>
    <w:rsid w:val="00371BC6"/>
    <w:rsid w:val="00373A15"/>
    <w:rsid w:val="00383ACA"/>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37EE"/>
    <w:rsid w:val="00487444"/>
    <w:rsid w:val="004A06D1"/>
    <w:rsid w:val="004A11FC"/>
    <w:rsid w:val="004B1335"/>
    <w:rsid w:val="004C0224"/>
    <w:rsid w:val="004C053E"/>
    <w:rsid w:val="004C0D4A"/>
    <w:rsid w:val="004C3255"/>
    <w:rsid w:val="004D07E1"/>
    <w:rsid w:val="004D1C19"/>
    <w:rsid w:val="004E739A"/>
    <w:rsid w:val="004F29B8"/>
    <w:rsid w:val="00501FCD"/>
    <w:rsid w:val="0050413E"/>
    <w:rsid w:val="00515657"/>
    <w:rsid w:val="00521275"/>
    <w:rsid w:val="0052216F"/>
    <w:rsid w:val="005232CA"/>
    <w:rsid w:val="00523636"/>
    <w:rsid w:val="005335B9"/>
    <w:rsid w:val="00536CCE"/>
    <w:rsid w:val="00552CE5"/>
    <w:rsid w:val="005541E4"/>
    <w:rsid w:val="00561743"/>
    <w:rsid w:val="00562FE7"/>
    <w:rsid w:val="0057094A"/>
    <w:rsid w:val="0057450D"/>
    <w:rsid w:val="0058302A"/>
    <w:rsid w:val="005A1451"/>
    <w:rsid w:val="005B7338"/>
    <w:rsid w:val="005C02AB"/>
    <w:rsid w:val="005C1549"/>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E2924"/>
    <w:rsid w:val="006E67BE"/>
    <w:rsid w:val="006E7A26"/>
    <w:rsid w:val="006F2B3D"/>
    <w:rsid w:val="007052CC"/>
    <w:rsid w:val="007319E0"/>
    <w:rsid w:val="007345AA"/>
    <w:rsid w:val="00737B00"/>
    <w:rsid w:val="0075040E"/>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151DB"/>
    <w:rsid w:val="008246FC"/>
    <w:rsid w:val="00824C19"/>
    <w:rsid w:val="00826250"/>
    <w:rsid w:val="008378D1"/>
    <w:rsid w:val="00846462"/>
    <w:rsid w:val="008479E5"/>
    <w:rsid w:val="0086691F"/>
    <w:rsid w:val="00883DB0"/>
    <w:rsid w:val="00884C8F"/>
    <w:rsid w:val="00885365"/>
    <w:rsid w:val="00896D38"/>
    <w:rsid w:val="008A0216"/>
    <w:rsid w:val="008C3296"/>
    <w:rsid w:val="008E2D03"/>
    <w:rsid w:val="008F2BB5"/>
    <w:rsid w:val="008F425D"/>
    <w:rsid w:val="008F5472"/>
    <w:rsid w:val="008F5D0F"/>
    <w:rsid w:val="009122E0"/>
    <w:rsid w:val="00913351"/>
    <w:rsid w:val="00914929"/>
    <w:rsid w:val="00953BD7"/>
    <w:rsid w:val="0096193C"/>
    <w:rsid w:val="009769E1"/>
    <w:rsid w:val="00977898"/>
    <w:rsid w:val="00977E0D"/>
    <w:rsid w:val="009843E8"/>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65DD4"/>
    <w:rsid w:val="00A72E47"/>
    <w:rsid w:val="00A744FB"/>
    <w:rsid w:val="00A85FBB"/>
    <w:rsid w:val="00A90956"/>
    <w:rsid w:val="00A95404"/>
    <w:rsid w:val="00A968C5"/>
    <w:rsid w:val="00AA3C28"/>
    <w:rsid w:val="00AA759D"/>
    <w:rsid w:val="00AB2786"/>
    <w:rsid w:val="00AD4308"/>
    <w:rsid w:val="00AF2A33"/>
    <w:rsid w:val="00B064C7"/>
    <w:rsid w:val="00B309DD"/>
    <w:rsid w:val="00B36621"/>
    <w:rsid w:val="00B36D64"/>
    <w:rsid w:val="00B41B48"/>
    <w:rsid w:val="00B504AE"/>
    <w:rsid w:val="00B56194"/>
    <w:rsid w:val="00B60F41"/>
    <w:rsid w:val="00B61A34"/>
    <w:rsid w:val="00B64E8E"/>
    <w:rsid w:val="00B65E8B"/>
    <w:rsid w:val="00B73DB5"/>
    <w:rsid w:val="00B8025A"/>
    <w:rsid w:val="00B827B1"/>
    <w:rsid w:val="00BB23A4"/>
    <w:rsid w:val="00BB2BCF"/>
    <w:rsid w:val="00BC2276"/>
    <w:rsid w:val="00BD2150"/>
    <w:rsid w:val="00BD7959"/>
    <w:rsid w:val="00BE1CC3"/>
    <w:rsid w:val="00BE365A"/>
    <w:rsid w:val="00BE47C4"/>
    <w:rsid w:val="00C052A2"/>
    <w:rsid w:val="00C06A4A"/>
    <w:rsid w:val="00C1086F"/>
    <w:rsid w:val="00C1391A"/>
    <w:rsid w:val="00C14CE6"/>
    <w:rsid w:val="00C15218"/>
    <w:rsid w:val="00C15A3C"/>
    <w:rsid w:val="00C2725D"/>
    <w:rsid w:val="00C370C0"/>
    <w:rsid w:val="00C42033"/>
    <w:rsid w:val="00C464DD"/>
    <w:rsid w:val="00C60F38"/>
    <w:rsid w:val="00C62EF9"/>
    <w:rsid w:val="00C76854"/>
    <w:rsid w:val="00C776D3"/>
    <w:rsid w:val="00C900C5"/>
    <w:rsid w:val="00C92AE0"/>
    <w:rsid w:val="00CA17C3"/>
    <w:rsid w:val="00CA450F"/>
    <w:rsid w:val="00CB2B1E"/>
    <w:rsid w:val="00CC3E8B"/>
    <w:rsid w:val="00CC4E84"/>
    <w:rsid w:val="00CD5641"/>
    <w:rsid w:val="00CE64AC"/>
    <w:rsid w:val="00CF6FBE"/>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155DB"/>
    <w:rsid w:val="00E25442"/>
    <w:rsid w:val="00E25A1F"/>
    <w:rsid w:val="00E37EEB"/>
    <w:rsid w:val="00E710FB"/>
    <w:rsid w:val="00E806D9"/>
    <w:rsid w:val="00E82CA2"/>
    <w:rsid w:val="00E94E5A"/>
    <w:rsid w:val="00E95594"/>
    <w:rsid w:val="00EA31C3"/>
    <w:rsid w:val="00EB33AC"/>
    <w:rsid w:val="00EC2BAE"/>
    <w:rsid w:val="00EC6F21"/>
    <w:rsid w:val="00ED6B42"/>
    <w:rsid w:val="00EE0913"/>
    <w:rsid w:val="00F01440"/>
    <w:rsid w:val="00F13305"/>
    <w:rsid w:val="00F15A10"/>
    <w:rsid w:val="00F315F2"/>
    <w:rsid w:val="00F40463"/>
    <w:rsid w:val="00F50336"/>
    <w:rsid w:val="00F55E5B"/>
    <w:rsid w:val="00F62E3F"/>
    <w:rsid w:val="00F67F90"/>
    <w:rsid w:val="00F77B3E"/>
    <w:rsid w:val="00F833CB"/>
    <w:rsid w:val="00F87754"/>
    <w:rsid w:val="00F90A4B"/>
    <w:rsid w:val="00F90C56"/>
    <w:rsid w:val="00F91C77"/>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 w:type="paragraph" w:customStyle="1" w:styleId="GB23126">
    <w:name w:val="样式 (中文) 楷体_GB2312 六号 蓝色 右 段后: 6 磅 行距: 单倍行距"/>
    <w:basedOn w:val="Normal"/>
    <w:rsid w:val="008479E5"/>
    <w:pPr>
      <w:spacing w:after="120" w:line="240" w:lineRule="auto"/>
      <w:jc w:val="right"/>
    </w:pPr>
    <w:rPr>
      <w:rFonts w:eastAsia="KaiTi_GB2312" w:cs="SimSun"/>
      <w:sz w:val="15"/>
    </w:rPr>
  </w:style>
  <w:style w:type="paragraph" w:customStyle="1" w:styleId="HCh6">
    <w:name w:val="样式 _ H _Ch + (中文) 宋体 段后: 6 磅"/>
    <w:basedOn w:val="HCh"/>
    <w:rsid w:val="008479E5"/>
    <w:pPr>
      <w:spacing w:after="120"/>
      <w:jc w:val="left"/>
    </w:pPr>
    <w:rPr>
      <w:rFonts w:eastAsia="SimSun" w:cs="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165</TotalTime>
  <Pages>1</Pages>
  <Words>5779</Words>
  <Characters>32943</Characters>
  <Application>Microsoft Office Word</Application>
  <DocSecurity>4</DocSecurity>
  <Lines>274</Lines>
  <Paragraphs>77</Paragraphs>
  <ScaleCrop>false</ScaleCrop>
  <Company>United Nations</Company>
  <LinksUpToDate>false</LinksUpToDate>
  <CharactersWithSpaces>38645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SPZ</dc:creator>
  <cp:keywords/>
  <dc:description/>
  <cp:lastModifiedBy>CTPU ZXS</cp:lastModifiedBy>
  <cp:revision>51</cp:revision>
  <cp:lastPrinted>2011-11-17T07:40:00Z</cp:lastPrinted>
  <dcterms:created xsi:type="dcterms:W3CDTF">2011-11-11T08:45:00Z</dcterms:created>
  <dcterms:modified xsi:type="dcterms:W3CDTF">2011-11-17T07:40:00Z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1155350</vt:lpwstr>
  </property>
  <property fmtid="{D5CDD505-2E9C-101B-9397-08002B2CF9AE}" pid="3" name="Symbol1">
    <vt:lpwstr>CEDAW/C/BHS/5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shi</vt:lpwstr>
  </property>
</Properties>
</file>