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4C47B1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E9CACC" w14:textId="77777777" w:rsidR="002D5AAC" w:rsidRDefault="002D5AAC" w:rsidP="002A4F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115EAF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0E3230D" w14:textId="2D95B2E7" w:rsidR="002D5AAC" w:rsidRDefault="002A4F63" w:rsidP="002A4F63">
            <w:pPr>
              <w:jc w:val="right"/>
            </w:pPr>
            <w:r w:rsidRPr="002A4F63">
              <w:rPr>
                <w:sz w:val="40"/>
              </w:rPr>
              <w:t>CCPR</w:t>
            </w:r>
            <w:r w:rsidRPr="002A4F63">
              <w:t>/C/FRA/CO/6</w:t>
            </w:r>
          </w:p>
        </w:tc>
      </w:tr>
      <w:tr w:rsidR="002D5AAC" w:rsidRPr="004F5E8B" w14:paraId="72B3969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B32B99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95CFAC" wp14:editId="454CC7A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49C6B4C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DE01F60" w14:textId="08047BDA" w:rsidR="002D5AAC" w:rsidRPr="002A4F63" w:rsidRDefault="002A4F63" w:rsidP="00BC3629">
            <w:pPr>
              <w:spacing w:before="240"/>
              <w:rPr>
                <w:lang w:val="en-US"/>
              </w:rPr>
            </w:pPr>
            <w:r w:rsidRPr="002A4F63">
              <w:rPr>
                <w:lang w:val="en-US"/>
              </w:rPr>
              <w:t>Distr.: General</w:t>
            </w:r>
          </w:p>
          <w:p w14:paraId="70372E87" w14:textId="7E0BD9E9" w:rsidR="002A4F63" w:rsidRPr="002A4F63" w:rsidRDefault="002A4F63" w:rsidP="002A4F63">
            <w:pPr>
              <w:spacing w:line="240" w:lineRule="exact"/>
              <w:rPr>
                <w:lang w:val="en-US"/>
              </w:rPr>
            </w:pPr>
            <w:r w:rsidRPr="002A4F63">
              <w:rPr>
                <w:lang w:val="en-US"/>
              </w:rPr>
              <w:t>3 December 2024</w:t>
            </w:r>
          </w:p>
          <w:p w14:paraId="2C3B0CB1" w14:textId="77777777" w:rsidR="002A4F63" w:rsidRPr="002A4F63" w:rsidRDefault="002A4F63" w:rsidP="002A4F63">
            <w:pPr>
              <w:spacing w:line="240" w:lineRule="exact"/>
              <w:rPr>
                <w:lang w:val="en-US"/>
              </w:rPr>
            </w:pPr>
            <w:r w:rsidRPr="002A4F63">
              <w:rPr>
                <w:lang w:val="en-US"/>
              </w:rPr>
              <w:t>Russian</w:t>
            </w:r>
          </w:p>
          <w:p w14:paraId="7FCCE67F" w14:textId="650C3E28" w:rsidR="002A4F63" w:rsidRPr="002A4F63" w:rsidRDefault="002A4F63" w:rsidP="002A4F63">
            <w:pPr>
              <w:spacing w:line="240" w:lineRule="exact"/>
              <w:rPr>
                <w:lang w:val="en-US"/>
              </w:rPr>
            </w:pPr>
            <w:r w:rsidRPr="002A4F63">
              <w:rPr>
                <w:lang w:val="en-US"/>
              </w:rPr>
              <w:t>Original: French</w:t>
            </w:r>
          </w:p>
        </w:tc>
      </w:tr>
    </w:tbl>
    <w:p w14:paraId="6B22E610" w14:textId="77777777" w:rsidR="002A4F63" w:rsidRPr="00D22AD5" w:rsidRDefault="002A4F63" w:rsidP="002A4F63">
      <w:pPr>
        <w:spacing w:before="120"/>
        <w:rPr>
          <w:b/>
          <w:bCs/>
          <w:sz w:val="24"/>
          <w:szCs w:val="24"/>
        </w:rPr>
      </w:pPr>
      <w:r w:rsidRPr="00D22AD5">
        <w:rPr>
          <w:b/>
          <w:bCs/>
          <w:sz w:val="24"/>
          <w:szCs w:val="24"/>
        </w:rPr>
        <w:t>Комитет по правам человека</w:t>
      </w:r>
    </w:p>
    <w:p w14:paraId="34E0D8BE" w14:textId="77777777" w:rsidR="002A4F63" w:rsidRPr="00D22AD5" w:rsidRDefault="002A4F63" w:rsidP="002A4F6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Франции</w:t>
      </w:r>
      <w:r w:rsidRPr="002A4F63">
        <w:rPr>
          <w:rStyle w:val="aa"/>
          <w:b w:val="0"/>
          <w:bCs/>
          <w:position w:val="6"/>
          <w:sz w:val="20"/>
          <w:szCs w:val="22"/>
          <w:vertAlign w:val="baseline"/>
        </w:rPr>
        <w:footnoteReference w:customMarkFollows="1" w:id="1"/>
        <w:t>*</w:t>
      </w:r>
    </w:p>
    <w:p w14:paraId="30E7BE47" w14:textId="5D812B98" w:rsidR="002A4F63" w:rsidRPr="00D22AD5" w:rsidRDefault="002A4F63" w:rsidP="002A4F63">
      <w:pPr>
        <w:pStyle w:val="SingleTxtG"/>
      </w:pPr>
      <w:r>
        <w:t>1.</w:t>
      </w:r>
      <w:r>
        <w:tab/>
        <w:t>Комитет по правам человека рассмотрел шестой периодический доклад Франции</w:t>
      </w:r>
      <w:r w:rsidRPr="00586EAE">
        <w:rPr>
          <w:rStyle w:val="aa"/>
        </w:rPr>
        <w:footnoteReference w:id="2"/>
      </w:r>
      <w:r>
        <w:t xml:space="preserve"> на своих 4160-м и 4161-м заседаниях</w:t>
      </w:r>
      <w:r w:rsidRPr="00586EAE">
        <w:rPr>
          <w:rStyle w:val="aa"/>
        </w:rPr>
        <w:footnoteReference w:id="3"/>
      </w:r>
      <w:r>
        <w:t>, состоявшихся 22 и 23 октября</w:t>
      </w:r>
      <w:r w:rsidRPr="002A4F63">
        <w:br/>
        <w:t>2</w:t>
      </w:r>
      <w:r>
        <w:t>024 года. На своем 4178-м заседании, состоявшемся 4 ноября 2024 года, он принял настоящие заключительные замечания.</w:t>
      </w:r>
    </w:p>
    <w:p w14:paraId="457B67AF" w14:textId="3F72617A" w:rsidR="002A4F63" w:rsidRPr="00D22AD5" w:rsidRDefault="002A4F63" w:rsidP="002A4F63">
      <w:pPr>
        <w:pStyle w:val="H1G"/>
      </w:pPr>
      <w:r w:rsidRPr="00EB31EE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2A457FC3" w14:textId="24100F0D" w:rsidR="002A4F63" w:rsidRPr="00D22AD5" w:rsidRDefault="002A4F63" w:rsidP="002A4F63">
      <w:pPr>
        <w:pStyle w:val="SingleTxtG"/>
      </w:pPr>
      <w:r>
        <w:t>2.</w:t>
      </w:r>
      <w:r>
        <w:tab/>
        <w:t>Комитет признателен государству-участнику за согласие следовать упрощенной процедуре представления докладов и за представление его шестого периодического доклада в ответ на перечень вопросов, направляемый до получения доклада, который был подготовлен в рамках этой процедуры</w:t>
      </w:r>
      <w:r w:rsidRPr="00586EAE">
        <w:rPr>
          <w:rStyle w:val="aa"/>
        </w:rPr>
        <w:footnoteReference w:id="4"/>
      </w:r>
      <w:r>
        <w:t>. Он выражает признательность за возможность возобновления конструктивного диалога</w:t>
      </w:r>
      <w:r w:rsidR="00FF00A6">
        <w:br/>
      </w:r>
      <w:r>
        <w:t>с делегацией высокого уровня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устные ответы членов делегации, а также за представленную ему в письменном виде дополнительную информацию.</w:t>
      </w:r>
    </w:p>
    <w:p w14:paraId="474337DA" w14:textId="22125772" w:rsidR="002A4F63" w:rsidRPr="00D22AD5" w:rsidRDefault="002A4F63" w:rsidP="002A4F63">
      <w:pPr>
        <w:pStyle w:val="H1G"/>
      </w:pPr>
      <w:r w:rsidRPr="00EB31EE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78C28221" w14:textId="77777777" w:rsidR="002A4F63" w:rsidRPr="00D22AD5" w:rsidRDefault="002A4F63" w:rsidP="002A4F63">
      <w:pPr>
        <w:pStyle w:val="SingleTxtG"/>
        <w:keepNext/>
      </w:pPr>
      <w:r>
        <w:t>3.</w:t>
      </w:r>
      <w:r>
        <w:tab/>
        <w:t>Комитет приветствует принятие государством-участником следующих законодательных и политических мер:</w:t>
      </w:r>
    </w:p>
    <w:p w14:paraId="59072752" w14:textId="5048AD7A" w:rsidR="002A4F63" w:rsidRPr="00D22AD5" w:rsidRDefault="002A4F63" w:rsidP="002A4F63">
      <w:pPr>
        <w:pStyle w:val="SingleTxtG"/>
        <w:ind w:firstLine="567"/>
      </w:pPr>
      <w:bookmarkStart w:id="0" w:name="_Hlk181115355"/>
      <w:r>
        <w:t>a)</w:t>
      </w:r>
      <w:r>
        <w:tab/>
        <w:t>Закон</w:t>
      </w:r>
      <w:r w:rsidR="00A54A6A">
        <w:t>а</w:t>
      </w:r>
      <w:r>
        <w:t xml:space="preserve"> № 2021-1774 от 24 декабря 2021 года, направленн</w:t>
      </w:r>
      <w:r w:rsidR="00A54A6A">
        <w:t>ого</w:t>
      </w:r>
      <w:r>
        <w:t xml:space="preserve"> на ускорение достижения экономического и профессионального равенства, содерж</w:t>
      </w:r>
      <w:r w:rsidR="00A54A6A">
        <w:t>ащего</w:t>
      </w:r>
      <w:r>
        <w:t xml:space="preserve"> положения, способствующие справедливому представительству женщин в экономике</w:t>
      </w:r>
      <w:r>
        <w:br/>
        <w:t>и профессиональной сфере, а также их финансовой самостоятельности;</w:t>
      </w:r>
    </w:p>
    <w:p w14:paraId="027C4E08" w14:textId="289F0A74" w:rsidR="002A4F63" w:rsidRPr="00D22AD5" w:rsidRDefault="002A4F63" w:rsidP="002A4F63">
      <w:pPr>
        <w:pStyle w:val="SingleTxtG"/>
        <w:ind w:firstLine="567"/>
      </w:pPr>
      <w:r>
        <w:t>b)</w:t>
      </w:r>
      <w:r>
        <w:tab/>
        <w:t>Закон</w:t>
      </w:r>
      <w:r w:rsidR="00A54A6A">
        <w:t>а</w:t>
      </w:r>
      <w:r>
        <w:t xml:space="preserve"> № 2020-766 от 24 июня 2020 года о борьбе с ненавистническим контентом в Интернете, предусматривающ</w:t>
      </w:r>
      <w:r w:rsidR="00A54A6A">
        <w:t>его</w:t>
      </w:r>
      <w:r>
        <w:t xml:space="preserve"> создание наблюдательного центра</w:t>
      </w:r>
      <w:r>
        <w:br/>
        <w:t xml:space="preserve">для борьбы с ненавистью в </w:t>
      </w:r>
      <w:r w:rsidR="00C86DDC">
        <w:t>И</w:t>
      </w:r>
      <w:r>
        <w:t>нтернете;</w:t>
      </w:r>
    </w:p>
    <w:p w14:paraId="75CA4931" w14:textId="5CE65C0C" w:rsidR="002A4F63" w:rsidRPr="00D22AD5" w:rsidRDefault="002A4F63" w:rsidP="002A4F63">
      <w:pPr>
        <w:pStyle w:val="SingleTxtG"/>
        <w:ind w:firstLine="567"/>
      </w:pPr>
      <w:r>
        <w:t>c)</w:t>
      </w:r>
      <w:r>
        <w:tab/>
        <w:t>Закон</w:t>
      </w:r>
      <w:r w:rsidR="00A54A6A">
        <w:t>а</w:t>
      </w:r>
      <w:r>
        <w:t xml:space="preserve"> № 2020-936 от 30 июля 2020 года, направленн</w:t>
      </w:r>
      <w:r w:rsidR="00A54A6A">
        <w:t>ого</w:t>
      </w:r>
      <w:r>
        <w:t xml:space="preserve"> на защиту жертв домашнего насилия;</w:t>
      </w:r>
    </w:p>
    <w:p w14:paraId="6C66D729" w14:textId="0C661918" w:rsidR="002A4F63" w:rsidRPr="00D22AD5" w:rsidRDefault="002A4F63" w:rsidP="002A4F63">
      <w:pPr>
        <w:pStyle w:val="SingleTxtG"/>
        <w:ind w:firstLine="567"/>
      </w:pPr>
      <w:r>
        <w:t>d)</w:t>
      </w:r>
      <w:r>
        <w:tab/>
        <w:t>Закон</w:t>
      </w:r>
      <w:r w:rsidR="00A54A6A">
        <w:t>а</w:t>
      </w:r>
      <w:r>
        <w:t xml:space="preserve"> № 2019-1480 от 28 декабря 2019 года о мерах борьбы с домашним насилием;</w:t>
      </w:r>
    </w:p>
    <w:p w14:paraId="40592220" w14:textId="43DD744D" w:rsidR="002A4F63" w:rsidRPr="00D22AD5" w:rsidRDefault="002A4F63" w:rsidP="002A4F63">
      <w:pPr>
        <w:pStyle w:val="SingleTxtG"/>
        <w:ind w:firstLine="567"/>
      </w:pPr>
      <w:r>
        <w:lastRenderedPageBreak/>
        <w:t>e)</w:t>
      </w:r>
      <w:r>
        <w:tab/>
        <w:t>Закон</w:t>
      </w:r>
      <w:r w:rsidR="00A54A6A">
        <w:t>а</w:t>
      </w:r>
      <w:r>
        <w:t xml:space="preserve"> № 2018-703 от 3 августа 2018 года об усилении борьбы</w:t>
      </w:r>
      <w:r>
        <w:br/>
        <w:t>с сексуальным и гендерным насилием, который квалифицирует домогательства как преступление и вводит уголовную ответственность за сексистское оскорбление;</w:t>
      </w:r>
    </w:p>
    <w:p w14:paraId="367F048F" w14:textId="65D94140" w:rsidR="002A4F63" w:rsidRPr="00D22AD5" w:rsidRDefault="002A4F63" w:rsidP="002A4F63">
      <w:pPr>
        <w:pStyle w:val="SingleTxtG"/>
        <w:ind w:firstLine="567"/>
      </w:pPr>
      <w:r>
        <w:t>f)</w:t>
      </w:r>
      <w:r>
        <w:tab/>
        <w:t>Закон</w:t>
      </w:r>
      <w:r w:rsidR="00A54A6A">
        <w:t>а</w:t>
      </w:r>
      <w:r>
        <w:t xml:space="preserve"> № 2017-399 от 27 марта 2017 года об обязанности</w:t>
      </w:r>
      <w:r w:rsidRPr="00D22AD5">
        <w:t xml:space="preserve"> </w:t>
      </w:r>
      <w:r>
        <w:t>материнских компаний и компаний-заказчиков проявлять бдительность, который устанавливает ответственность материнских компаний транснациональных корпораций</w:t>
      </w:r>
      <w:r>
        <w:br/>
        <w:t>с численностью сотрудников более 5000 человек в случае привлечения</w:t>
      </w:r>
      <w:r>
        <w:br/>
        <w:t>их к ответственности за нарушение прав человека;</w:t>
      </w:r>
    </w:p>
    <w:p w14:paraId="41DEC11C" w14:textId="44B4444B" w:rsidR="002A4F63" w:rsidRPr="00D22AD5" w:rsidRDefault="002A4F63" w:rsidP="002A4F63">
      <w:pPr>
        <w:pStyle w:val="SingleTxtG"/>
        <w:ind w:firstLine="567"/>
      </w:pPr>
      <w:r>
        <w:t>g)</w:t>
      </w:r>
      <w:r>
        <w:tab/>
        <w:t>Национальн</w:t>
      </w:r>
      <w:r w:rsidR="00A54A6A">
        <w:t>ого</w:t>
      </w:r>
      <w:r>
        <w:t xml:space="preserve"> план</w:t>
      </w:r>
      <w:r w:rsidR="00A54A6A">
        <w:t>а</w:t>
      </w:r>
      <w:r>
        <w:t xml:space="preserve"> борьбы с расизмом, антисемитизмом</w:t>
      </w:r>
      <w:r>
        <w:br/>
        <w:t>и дискриминацией по признаку происхождения на 2023–2026 годы;</w:t>
      </w:r>
    </w:p>
    <w:p w14:paraId="19A31CE0" w14:textId="52ACCE62" w:rsidR="002A4F63" w:rsidRPr="00D22AD5" w:rsidRDefault="002A4F63" w:rsidP="002A4F63">
      <w:pPr>
        <w:pStyle w:val="SingleTxtG"/>
        <w:ind w:firstLine="567"/>
      </w:pPr>
      <w:r>
        <w:t>h)</w:t>
      </w:r>
      <w:r>
        <w:tab/>
        <w:t>Национальн</w:t>
      </w:r>
      <w:r w:rsidR="00A54A6A">
        <w:t>ого</w:t>
      </w:r>
      <w:r>
        <w:t xml:space="preserve"> план</w:t>
      </w:r>
      <w:r w:rsidR="00A54A6A">
        <w:t>а</w:t>
      </w:r>
      <w:r>
        <w:t xml:space="preserve"> по обеспечению равенства, борьбе с анти-ЛГБТ+ ненавистью и дискриминацией на 2023–2026 годы;</w:t>
      </w:r>
    </w:p>
    <w:p w14:paraId="21977EB7" w14:textId="1610C0A6" w:rsidR="002A4F63" w:rsidRPr="00D22AD5" w:rsidRDefault="002A4F63" w:rsidP="002A4F63">
      <w:pPr>
        <w:pStyle w:val="SingleTxtG"/>
        <w:ind w:firstLine="567"/>
      </w:pPr>
      <w:r>
        <w:t>i)</w:t>
      </w:r>
      <w:r>
        <w:tab/>
        <w:t>Межведомственн</w:t>
      </w:r>
      <w:r w:rsidR="00A54A6A">
        <w:t>ого</w:t>
      </w:r>
      <w:r>
        <w:t xml:space="preserve"> план</w:t>
      </w:r>
      <w:r w:rsidR="00A54A6A">
        <w:t>а</w:t>
      </w:r>
      <w:r>
        <w:t xml:space="preserve"> по обеспечению равенства между женщинами и мужчинами на 2023–2027 годы, озаглавленн</w:t>
      </w:r>
      <w:r w:rsidR="00A54A6A">
        <w:t>ого</w:t>
      </w:r>
      <w:r>
        <w:t xml:space="preserve"> «Все женщины</w:t>
      </w:r>
      <w:r w:rsidR="00A54A6A">
        <w:br/>
      </w:r>
      <w:r>
        <w:t>и мужчины равны».</w:t>
      </w:r>
      <w:bookmarkEnd w:id="0"/>
    </w:p>
    <w:p w14:paraId="4BE4F4F1" w14:textId="5DF9025E" w:rsidR="002A4F63" w:rsidRPr="00D22AD5" w:rsidRDefault="002A4F63" w:rsidP="002A4F6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</w:t>
      </w:r>
      <w:r>
        <w:rPr>
          <w:bCs/>
        </w:rPr>
        <w:br/>
        <w:t>и рекомендации</w:t>
      </w:r>
      <w:bookmarkStart w:id="1" w:name="_Hlk171349142"/>
      <w:bookmarkEnd w:id="1"/>
    </w:p>
    <w:p w14:paraId="29959FD0" w14:textId="34DCAF75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Право на самоопределение</w:t>
      </w:r>
    </w:p>
    <w:p w14:paraId="6C20B55E" w14:textId="7B3A0397" w:rsidR="002A4F63" w:rsidRPr="00D22AD5" w:rsidRDefault="002A4F63" w:rsidP="002A4F63">
      <w:pPr>
        <w:pStyle w:val="SingleTxtG"/>
      </w:pPr>
      <w:r>
        <w:t>4.</w:t>
      </w:r>
      <w:r>
        <w:tab/>
        <w:t>Комитет принимает к сведению представленную государством-участником информацию о статусе несамоуправляющихся территорий Новая Каледония и Французская Полинезия в соответствии с главой XI Устава Организации Объединенных Наций. Комитет обеспокоен отсутствием прогресса в решении вопроса о самоопределении народа Французской Полинезии. Комитет отмечает усилия государства-участника по возобновлению диалога и продолжению осуществления Соглашения по Новой Каледонии (Нумейское соглашение), подписанного 5 мая</w:t>
      </w:r>
      <w:r>
        <w:br/>
        <w:t xml:space="preserve">1998 года, о самоопределении народа на территории Новой Каледонии. Тем не менее, Комитет с обеспокоенностью отмечает, что при организации третьего референдума в Новой Каледонии, который состоялся в период пандемии коронавирусного заболевания (COVID-19) и традиционного канакского траура и характеризовался высоким процентом воздержавшихся </w:t>
      </w:r>
      <w:r w:rsidRPr="00B76E19">
        <w:t>‒‒</w:t>
      </w:r>
      <w:r>
        <w:t xml:space="preserve"> 56,13 %, предположительно не было соблюдено право коренного канакского народа на проведение с ним консультаций с целью получения свободного, предварительного и осознанного согласия (статья 1).</w:t>
      </w:r>
    </w:p>
    <w:p w14:paraId="3DDAC9F0" w14:textId="7EAD89B8" w:rsidR="002A4F63" w:rsidRPr="00D22AD5" w:rsidRDefault="002A4F63" w:rsidP="002A4F63">
      <w:pPr>
        <w:pStyle w:val="SingleTxtG"/>
      </w:pPr>
      <w:r>
        <w:t>5.</w:t>
      </w:r>
      <w:r>
        <w:tab/>
      </w:r>
      <w:r>
        <w:rPr>
          <w:b/>
          <w:bCs/>
        </w:rPr>
        <w:t xml:space="preserve">С учетом замечания общего порядка № 12 (1984) Комитета о праве на самоопределение государству-участнику следует содействовать реализации и ускорить осуществление права народов, в частности коренных народов Новой Каледонии и Французской Полинезии, на самоопределение путем всестороннего сотрудничества со специальным комитетом по изучению ситуации на этих двух несамоуправляющихся территориях в соответствии с Уставом Организации Объединенных Наций и резолюцией </w:t>
      </w:r>
      <w:hyperlink r:id="rId8" w:history="1">
        <w:r w:rsidRPr="002A4F63">
          <w:rPr>
            <w:rStyle w:val="af1"/>
            <w:b/>
            <w:bCs/>
          </w:rPr>
          <w:t>1514 (XV)</w:t>
        </w:r>
      </w:hyperlink>
      <w:r>
        <w:rPr>
          <w:b/>
          <w:bCs/>
        </w:rPr>
        <w:t xml:space="preserve"> Генеральной Ассамблеи</w:t>
      </w:r>
      <w:r>
        <w:rPr>
          <w:b/>
          <w:bCs/>
        </w:rPr>
        <w:br/>
        <w:t>от 14 декабря 1960 года, содержащей Декларацию о предоставлении независимости колониальным странам и народам.</w:t>
      </w:r>
      <w:r>
        <w:t xml:space="preserve"> </w:t>
      </w:r>
      <w:r>
        <w:rPr>
          <w:b/>
          <w:bCs/>
        </w:rPr>
        <w:t>Государству-участнику следует проводить консультации с коренными народами Новой Каледонии и Французской Полинезии с целью получения их свободного, предварительного и осознанного согласия до принятия любых мер, касающихся процесса самоопределения.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соблюдать принцип конституционной необратимости, изложенный в пункте 5 Нумейского соглашения 1998 года, который гарантирует целостность процесса деколонизации.</w:t>
      </w:r>
      <w:r>
        <w:t xml:space="preserve"> </w:t>
      </w:r>
      <w:bookmarkStart w:id="2" w:name="_Hlk180573941"/>
      <w:bookmarkEnd w:id="2"/>
    </w:p>
    <w:p w14:paraId="0D81E085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Заявления о толковании и оговорки к Пакту</w:t>
      </w:r>
    </w:p>
    <w:p w14:paraId="4A8F0A1C" w14:textId="7A44C96A" w:rsidR="002A4F63" w:rsidRPr="00D22AD5" w:rsidRDefault="002A4F63" w:rsidP="002A4F63">
      <w:pPr>
        <w:pStyle w:val="SingleTxtG"/>
      </w:pPr>
      <w:r>
        <w:t>6.</w:t>
      </w:r>
      <w:r>
        <w:tab/>
        <w:t xml:space="preserve">Комитет сожалеет, что государство-участник не планирует снимать свои оговорки и заявления о толковании, число и объем которых существенно ограничивают сферу применения Пакта. В частности, он выражает сожаление по </w:t>
      </w:r>
      <w:r>
        <w:lastRenderedPageBreak/>
        <w:t>поводу ограничительного толкования государством-участником статьи 27 Пакта</w:t>
      </w:r>
      <w:r w:rsidR="00FF00A6">
        <w:br/>
      </w:r>
      <w:r>
        <w:t>в отношении принципов неделимости, равенства и единства Республики (статья 2).</w:t>
      </w:r>
    </w:p>
    <w:p w14:paraId="6C83AC0F" w14:textId="77777777" w:rsidR="002A4F63" w:rsidRPr="00D22AD5" w:rsidRDefault="002A4F63" w:rsidP="002A4F63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пересмотреть свои заявления о толковании и оговорки, в частности относящиеся к статье 27, с тем чтобы значительно сократить их число и сферу их охвата и обеспечить эффективное осуществление положений Пакта.</w:t>
      </w:r>
      <w:r>
        <w:t xml:space="preserve"> </w:t>
      </w:r>
    </w:p>
    <w:p w14:paraId="126CBE21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Выполнение соображений, принятых Комитетом согласно Факультативному протоколу</w:t>
      </w:r>
    </w:p>
    <w:p w14:paraId="70C6A312" w14:textId="736A61D9" w:rsidR="002A4F63" w:rsidRPr="00D22AD5" w:rsidRDefault="002A4F63" w:rsidP="002A4F63">
      <w:pPr>
        <w:pStyle w:val="SingleTxtG"/>
      </w:pPr>
      <w:r>
        <w:t>8.</w:t>
      </w:r>
      <w:r>
        <w:tab/>
        <w:t>Ссылаясь на свои предыдущие заключительные замечания</w:t>
      </w:r>
      <w:r w:rsidRPr="00586EAE">
        <w:rPr>
          <w:rStyle w:val="aa"/>
        </w:rPr>
        <w:footnoteReference w:id="5"/>
      </w:r>
      <w:r>
        <w:t>, Комитет</w:t>
      </w:r>
      <w:r>
        <w:br/>
        <w:t xml:space="preserve">по-прежнему обеспокоен тем, что государство-участник не выполняет свои обязательства по Пакту и первому Факультативному протоколу к нему в отношении предоставления эффективных средств правовой защиты жертвам нарушений прав, предусмотренных Пактом, в соответствии с Соображениями, принятыми Комитетом, например, по делам </w:t>
      </w:r>
      <w:r>
        <w:rPr>
          <w:i/>
          <w:iCs/>
        </w:rPr>
        <w:t>Хеббадж против Франции</w:t>
      </w:r>
      <w:r w:rsidRPr="00586EAE">
        <w:rPr>
          <w:rStyle w:val="aa"/>
        </w:rPr>
        <w:footnoteReference w:id="6"/>
      </w:r>
      <w:r>
        <w:rPr>
          <w:i/>
          <w:iCs/>
        </w:rPr>
        <w:t>, Якер против Франции</w:t>
      </w:r>
      <w:r w:rsidRPr="00586EAE">
        <w:rPr>
          <w:rStyle w:val="aa"/>
        </w:rPr>
        <w:footnoteReference w:id="7"/>
      </w:r>
      <w:r>
        <w:rPr>
          <w:i/>
          <w:iCs/>
        </w:rPr>
        <w:t>, Наима Мезуд против Франции</w:t>
      </w:r>
      <w:r w:rsidRPr="00586EAE">
        <w:rPr>
          <w:rStyle w:val="aa"/>
        </w:rPr>
        <w:footnoteReference w:id="8"/>
      </w:r>
      <w:r>
        <w:rPr>
          <w:i/>
          <w:iCs/>
        </w:rPr>
        <w:t xml:space="preserve"> </w:t>
      </w:r>
      <w:r>
        <w:t>и</w:t>
      </w:r>
      <w:r>
        <w:rPr>
          <w:i/>
          <w:iCs/>
        </w:rPr>
        <w:t xml:space="preserve"> Ф. А. против Франции</w:t>
      </w:r>
      <w:r w:rsidRPr="00586EAE">
        <w:rPr>
          <w:rStyle w:val="aa"/>
        </w:rPr>
        <w:footnoteReference w:id="9"/>
      </w:r>
      <w:r w:rsidRPr="002A4F63">
        <w:t>.</w:t>
      </w:r>
      <w:r>
        <w:t xml:space="preserve"> Комитет напоминает, что, присоединившись к первому Факультативному протоколу, государство-участник признало компетенцию Комитета получать и рассматривать сообщения от лиц, подпадающих под юрисдикцию государства-участника, и обязалось предоставлять эффективное и имеющее исковую силу средство правовой защиты в случае установления факта нарушения (статья 2).</w:t>
      </w:r>
    </w:p>
    <w:p w14:paraId="0F6AD464" w14:textId="44479BB4" w:rsidR="002A4F63" w:rsidRPr="00D22AD5" w:rsidRDefault="002A4F63" w:rsidP="002A4F63">
      <w:pPr>
        <w:pStyle w:val="SingleTxtG"/>
      </w:pPr>
      <w:r>
        <w:t>9.</w:t>
      </w:r>
      <w:r>
        <w:tab/>
      </w:r>
      <w:r>
        <w:rPr>
          <w:b/>
          <w:bCs/>
        </w:rPr>
        <w:t>Государству-участнику следует пересмотреть свою позицию в отношении Соображений, принятых Комитетом в соответствии с первым Факультативным протоколом, с тем чтобы обеспечить доступ к эффективным средствам правовой защиты в случае нарушений Пакта в соответствии с пунктом 3 статьи 2.</w:t>
      </w:r>
      <w:r>
        <w:br/>
      </w:r>
      <w:r>
        <w:rPr>
          <w:b/>
          <w:bCs/>
        </w:rPr>
        <w:t>Ему также следует широко распространять решения Комитета и повышать осведомленность об обязательствах государства-участника по Пакту.</w:t>
      </w:r>
    </w:p>
    <w:p w14:paraId="1062B4B5" w14:textId="0A2D32F1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Признание меньшинств и статистика</w:t>
      </w:r>
    </w:p>
    <w:p w14:paraId="35BB35F5" w14:textId="495D6DC7" w:rsidR="002A4F63" w:rsidRPr="00D22AD5" w:rsidRDefault="002A4F63" w:rsidP="002A4F63">
      <w:pPr>
        <w:pStyle w:val="SingleTxtG"/>
      </w:pPr>
      <w:r>
        <w:t>10.</w:t>
      </w:r>
      <w:r>
        <w:tab/>
        <w:t>Комитет сожалеет об отсутствии в шестом периодическом докладе статистической информации, позволяющей ему в полной мере оценить осуществление меньшинствами прав, закрепленных в Пакте, в том числе на заморских территориях. Он выражает сожаление по поводу того, что разработанные для сбора данных инструменты по-прежнему остаются ограниченными и не дают полного представления о расовой дискриминации, с которой сталкиваются различные этнические группы на всей территории государства-участника, в том числе на заморских территориях (статьи 2, 26 и 27).</w:t>
      </w:r>
    </w:p>
    <w:p w14:paraId="6A11C64D" w14:textId="7D683EA0" w:rsidR="002A4F63" w:rsidRPr="00D22AD5" w:rsidRDefault="002A4F63" w:rsidP="002A4F63">
      <w:pPr>
        <w:pStyle w:val="SingleTxtG"/>
      </w:pPr>
      <w:r>
        <w:t>11.</w:t>
      </w:r>
      <w:r>
        <w:tab/>
      </w:r>
      <w:r>
        <w:rPr>
          <w:b/>
          <w:bCs/>
        </w:rPr>
        <w:t>В свете предыдущих рекомендаций Комитета</w:t>
      </w:r>
      <w:r w:rsidRPr="00D63CB6">
        <w:rPr>
          <w:rStyle w:val="aa"/>
        </w:rPr>
        <w:footnoteReference w:id="10"/>
      </w:r>
      <w:r>
        <w:rPr>
          <w:b/>
          <w:bCs/>
        </w:rPr>
        <w:t xml:space="preserve"> и Комитета по ликвидации расовой дискриминации</w:t>
      </w:r>
      <w:r w:rsidRPr="00D63CB6">
        <w:rPr>
          <w:rStyle w:val="aa"/>
        </w:rPr>
        <w:footnoteReference w:id="11"/>
      </w:r>
      <w:r>
        <w:rPr>
          <w:b/>
          <w:bCs/>
        </w:rPr>
        <w:t xml:space="preserve"> государству-участнику следует продолжать</w:t>
      </w:r>
      <w:r>
        <w:rPr>
          <w:b/>
          <w:bCs/>
        </w:rPr>
        <w:br/>
        <w:t>и наращивать усилия по разработке инструментов, позволяющих ему оценивать эффективность осуществления меньшинствами всех прав, закрепленных</w:t>
      </w:r>
      <w:r>
        <w:rPr>
          <w:b/>
          <w:bCs/>
        </w:rPr>
        <w:br/>
        <w:t>в Пакте, в том числе на заморских территориях, в частности опираясь</w:t>
      </w:r>
      <w:r>
        <w:rPr>
          <w:b/>
          <w:bCs/>
        </w:rPr>
        <w:br/>
        <w:t>на принципы самоидентификации и анонимности.</w:t>
      </w:r>
      <w:r>
        <w:t xml:space="preserve"> </w:t>
      </w:r>
      <w:r>
        <w:rPr>
          <w:b/>
          <w:bCs/>
        </w:rPr>
        <w:t>Государству-участнику следует использовать собранные таким образом данные в качестве основы для разработки своей политики в области борьбы с расовой дискриминацией.</w:t>
      </w:r>
    </w:p>
    <w:p w14:paraId="46F1710F" w14:textId="77777777" w:rsidR="002A4F63" w:rsidRPr="00D22AD5" w:rsidRDefault="002A4F63" w:rsidP="002A4F63">
      <w:pPr>
        <w:pStyle w:val="H23G"/>
      </w:pPr>
      <w:r>
        <w:lastRenderedPageBreak/>
        <w:tab/>
      </w:r>
      <w:r>
        <w:tab/>
      </w:r>
      <w:r>
        <w:rPr>
          <w:bCs/>
        </w:rPr>
        <w:t>Расовое профилирование</w:t>
      </w:r>
    </w:p>
    <w:p w14:paraId="378B144E" w14:textId="29A82594" w:rsidR="002A4F63" w:rsidRPr="00D22AD5" w:rsidRDefault="002A4F63" w:rsidP="002A4F63">
      <w:pPr>
        <w:pStyle w:val="SingleTxtG"/>
      </w:pPr>
      <w:r>
        <w:t>12.</w:t>
      </w:r>
      <w:r>
        <w:tab/>
        <w:t>Комитет обеспокоен многочисленными утверждениями о том, что сотрудники правоохранительных органов непропорционально используют свои полномочия по задержанию с целью проверки документов и обыску лиц, принадлежащих к группам расовых или этнических меньшинств (расовое профилирование), и обеспокоен тем, что такие проверки не подвергаются систематическому судебному контролю или адекватному статистическому отслеживанию. Комитет также обеспокоен тем, что лица, принадлежащие к группам расовых или этнических меньшинств, непропорционально часто подвергаются штрафам с фиксированной суммой</w:t>
      </w:r>
      <w:r w:rsidR="00520F74">
        <w:br/>
      </w:r>
      <w:r>
        <w:t>за правонарушения без надлежащего судебного контроля (статьи 2, 9, 17 и 26).</w:t>
      </w:r>
    </w:p>
    <w:p w14:paraId="6D96D597" w14:textId="2262B25A" w:rsidR="002A4F63" w:rsidRPr="00D22AD5" w:rsidRDefault="002A4F63" w:rsidP="002A4F63">
      <w:pPr>
        <w:pStyle w:val="SingleTxtG"/>
      </w:pPr>
      <w:r>
        <w:t>13.</w:t>
      </w:r>
      <w:r>
        <w:tab/>
      </w:r>
      <w:r>
        <w:rPr>
          <w:b/>
          <w:bCs/>
        </w:rPr>
        <w:t>Ссылаясь на последние рекомендации Комитета по ликвидации расовой дискриминации</w:t>
      </w:r>
      <w:r w:rsidRPr="00D63CB6">
        <w:rPr>
          <w:rStyle w:val="aa"/>
        </w:rPr>
        <w:footnoteReference w:id="12"/>
      </w:r>
      <w:r>
        <w:rPr>
          <w:b/>
          <w:bCs/>
        </w:rPr>
        <w:t>, Комитет напоминает государству-участнику, что ему следует принять необходимые меры для предотвращения расового профилирования в контексте проверок документов для установления личности, проводимых сотрудниками правоохранительных органов;</w:t>
      </w:r>
      <w:r>
        <w:t xml:space="preserve"> </w:t>
      </w:r>
      <w:r>
        <w:rPr>
          <w:b/>
          <w:bCs/>
        </w:rPr>
        <w:t>систематически собирать данные для оценки результатов принятых мер и, при необходимости, корректировать эти меры;</w:t>
      </w:r>
      <w:r>
        <w:t xml:space="preserve"> </w:t>
      </w:r>
      <w:r>
        <w:rPr>
          <w:b/>
          <w:bCs/>
        </w:rPr>
        <w:t>обеспечить систематическое и тщательное расследование заявлений о расовом профилировании;</w:t>
      </w:r>
      <w:r>
        <w:t xml:space="preserve"> </w:t>
      </w:r>
      <w:r>
        <w:rPr>
          <w:b/>
          <w:bCs/>
        </w:rPr>
        <w:t>и обеспечить, чтобы подозреваемые</w:t>
      </w:r>
      <w:r>
        <w:rPr>
          <w:b/>
          <w:bCs/>
        </w:rPr>
        <w:br/>
        <w:t>в профилировании, если их признают виновными, понесли соответствующее наказание, а жертвы получили адекватную компенсацию.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наложение полицией штрафов с фиксированной суммой за правонарушения подлежало надлежащему судебному контролю во избежание какой-либо дискриминации.</w:t>
      </w:r>
    </w:p>
    <w:p w14:paraId="4E8CF937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Чрезвычайное положение</w:t>
      </w:r>
    </w:p>
    <w:p w14:paraId="11419A76" w14:textId="4B1A6DC0" w:rsidR="002A4F63" w:rsidRPr="00D22AD5" w:rsidRDefault="002A4F63" w:rsidP="002A4F63">
      <w:pPr>
        <w:pStyle w:val="SingleTxtG"/>
      </w:pPr>
      <w:r>
        <w:t>14.</w:t>
      </w:r>
      <w:r>
        <w:tab/>
        <w:t>Принимая к сведению уведомление о введении чрезвычайного положения, направленное Генеральному секретарю Организации Объединенных Наций после террористических атак в ноябре 2015 года, Комитет сожалеет, что не было направлено никакого уведомления о чрезвычайном положении в области здравоохранения, объявленном на основании Закона № 2020-290 от 23 марта 2020 года. Принимая к сведению представленное государством-участником разъяснение о том,</w:t>
      </w:r>
      <w:r>
        <w:br/>
        <w:t>что, поскольку меры, принятые в ответ на пандемию COVID-19, не являлись отступлением от положений Пакта, правительство не уведомило о каких-либо отступлениях, Комитет выражает озабоченность по поводу некоторых введенных ограничений, которые были настолько жесткими, что могли бы представлять собой отступления по смыслу пункта 1 статьи 4 Пакта, и, следовательно, о них надлежало бы уведомить Генерального секретаря в соответствии с пунктом 3 статьи 4. Среди прочих ограничений Комитет упоминает ограничения, касающиеся права на мирные собрания и свободу передвижения, а также приказ № 2020-303 от 25 марта 2020 года</w:t>
      </w:r>
      <w:r>
        <w:br/>
        <w:t>о продлении срока предварительного заключения без судебного пересмотра (статья 4).</w:t>
      </w:r>
    </w:p>
    <w:p w14:paraId="1CCF4E6D" w14:textId="77777777" w:rsidR="002A4F63" w:rsidRPr="00D22AD5" w:rsidRDefault="002A4F63" w:rsidP="002A4F63">
      <w:pPr>
        <w:pStyle w:val="SingleTxtG"/>
      </w:pPr>
      <w:r>
        <w:t>15.</w:t>
      </w:r>
      <w:r>
        <w:tab/>
      </w:r>
      <w:r>
        <w:rPr>
          <w:b/>
          <w:bCs/>
        </w:rPr>
        <w:t>С учетом замечания общего порядка № 29 (2001) Комитета об отступлениях от обязательств по Пакту во время чрезвычайного положения и в соответствии с положениями статьи 4 Пакта в случае отступлений, совершаемых в контексте официально объявленного чрезвычайного положения, государство-участник должно незамедлительно информировать другие государства-участники через Генерального секретаря о положениях, от которых оно отступило, и о причинах такого отступления.</w:t>
      </w:r>
      <w:r>
        <w:t xml:space="preserve"> </w:t>
      </w:r>
      <w:r>
        <w:rPr>
          <w:b/>
          <w:bCs/>
        </w:rPr>
        <w:t>Государству-участник должно гарантировать, что любые меры, введенные для защиты населения в контексте чрезвычайного положения, включая пандемию, были временными, соразмерными и строго необходимыми, и подлежали судебному контролю.</w:t>
      </w:r>
    </w:p>
    <w:p w14:paraId="58006FDB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23D0109B" w14:textId="0D372C02" w:rsidR="002A4F63" w:rsidRPr="00D22AD5" w:rsidRDefault="002A4F63" w:rsidP="002A4F63">
      <w:pPr>
        <w:pStyle w:val="SingleTxtG"/>
      </w:pPr>
      <w:r>
        <w:t>16.</w:t>
      </w:r>
      <w:r>
        <w:tab/>
        <w:t xml:space="preserve">Комитет высоко оценивает представленную государством-участником подробную информацию об использовании полицией мер административного </w:t>
      </w:r>
      <w:r>
        <w:lastRenderedPageBreak/>
        <w:t>принуждения для предотвращения актов терроризма, введенных в рамках чрезвычайного положения, объявленного в 2015 году, и впоследствии адаптированных и ставших постоянными в соответствии с Законом № 2017-1510 от 30 октября</w:t>
      </w:r>
      <w:r w:rsidR="00543BE1">
        <w:br/>
      </w:r>
      <w:r>
        <w:t>2017 года об укреплении внутренней безопасности и борьбе с терроризмом (</w:t>
      </w:r>
      <w:r w:rsidR="00543BE1">
        <w:t>«</w:t>
      </w:r>
      <w:r>
        <w:t>Закон</w:t>
      </w:r>
      <w:r w:rsidR="00543BE1">
        <w:br/>
      </w:r>
      <w:r>
        <w:t>о ВББТ</w:t>
      </w:r>
      <w:r w:rsidR="00543BE1">
        <w:t>»</w:t>
      </w:r>
      <w:r>
        <w:t xml:space="preserve">) и Законом № 2021-998 от 30 июля 2021 года о предотвращении актов терроризма и разведке. Комитет сожалеет, что государство-участник не собирает данные в разбивке по этнической или религиозной принадлежности о лицах, подвергшихся этим мерам, и с озабоченностью отмечает, что эти меры были непропорционально применены к лицам мусульманской веры или воспринимаемым как лица мусульманской веры или иностранного происхождения. Комитет также обеспокоен тем, что использование административного права и механизмов контроля не обеспечивает достаточных гарантий подозреваемым, включая право на справедливое судебное разбирательство, предусмотренное в статье 14 Пакта, особенно в связи с использованием </w:t>
      </w:r>
      <w:r w:rsidR="00543BE1">
        <w:t>«</w:t>
      </w:r>
      <w:r>
        <w:t>белых записок</w:t>
      </w:r>
      <w:r w:rsidR="00543BE1">
        <w:t>»</w:t>
      </w:r>
      <w:r>
        <w:t xml:space="preserve"> (информационных записок), анонимно предоставляемых спецслужбами административному суду для оценки (статьи 2, 9, 14, 17 и 26).</w:t>
      </w:r>
    </w:p>
    <w:p w14:paraId="0019E14E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7BE51C63" w14:textId="7BF9A596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пересмотреть использование полицией мер административного принуждения, основанных на секретной информации, для лишения лиц, подозреваемых в причастности к террористической деятельности, таких фундаментальных прав, как право на свободу передвижения и ассоциации</w:t>
      </w:r>
      <w:r w:rsidR="00FF00A6">
        <w:rPr>
          <w:b/>
          <w:bCs/>
        </w:rPr>
        <w:br/>
      </w:r>
      <w:r>
        <w:rPr>
          <w:b/>
          <w:bCs/>
        </w:rPr>
        <w:t>и право на неприкосновенность частной жизни;</w:t>
      </w:r>
    </w:p>
    <w:p w14:paraId="1F7F04DE" w14:textId="5B2E88AB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любое лицо, обоснованно подозреваемое</w:t>
      </w:r>
      <w:r w:rsidR="00D92525" w:rsidRPr="00D92525">
        <w:rPr>
          <w:b/>
          <w:bCs/>
        </w:rPr>
        <w:br/>
      </w:r>
      <w:r>
        <w:rPr>
          <w:b/>
          <w:bCs/>
        </w:rPr>
        <w:t>в причастности к преступлению, связанному с терроризмом, становилось объектом расследования, и, при наличии достаточных доказательств, обвинения и преследования в рамках обычного уголовного процесса в соответствии</w:t>
      </w:r>
      <w:r w:rsidR="00D92525" w:rsidRPr="00D92525">
        <w:rPr>
          <w:b/>
          <w:bCs/>
        </w:rPr>
        <w:br/>
      </w:r>
      <w:r>
        <w:rPr>
          <w:b/>
          <w:bCs/>
        </w:rPr>
        <w:t>с международными стандартами справедливого судебного разбирательства и,</w:t>
      </w:r>
      <w:r w:rsidR="00543BE1">
        <w:rPr>
          <w:b/>
          <w:bCs/>
        </w:rPr>
        <w:br/>
      </w:r>
      <w:r>
        <w:rPr>
          <w:b/>
          <w:bCs/>
        </w:rPr>
        <w:t>в случае осуждения, подвергалось наказаниям, соразмерным тяжести преступления;</w:t>
      </w:r>
    </w:p>
    <w:p w14:paraId="66EA8659" w14:textId="0310157F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гарантировать доступ к эффективным средствам правовой защиты, включая судебные, для лиц, утверждающих, что их права были нарушены</w:t>
      </w:r>
      <w:r w:rsidR="00543BE1">
        <w:rPr>
          <w:b/>
          <w:bCs/>
        </w:rPr>
        <w:br/>
      </w:r>
      <w:r>
        <w:rPr>
          <w:b/>
          <w:bCs/>
        </w:rPr>
        <w:t>в результате применения мер административного принуждения, в частности</w:t>
      </w:r>
      <w:r w:rsidR="00543BE1">
        <w:rPr>
          <w:b/>
          <w:bCs/>
        </w:rPr>
        <w:br/>
      </w:r>
      <w:r>
        <w:rPr>
          <w:b/>
          <w:bCs/>
        </w:rPr>
        <w:t>в отношении посещений на дому и связанных с ними изъятий данных</w:t>
      </w:r>
      <w:r w:rsidR="00543BE1">
        <w:rPr>
          <w:b/>
          <w:bCs/>
        </w:rPr>
        <w:br/>
      </w:r>
      <w:r>
        <w:rPr>
          <w:b/>
          <w:bCs/>
        </w:rPr>
        <w:t>и имущества, а также индивидуальных мер административного контроля</w:t>
      </w:r>
      <w:r w:rsidR="00543BE1">
        <w:rPr>
          <w:b/>
          <w:bCs/>
        </w:rPr>
        <w:br/>
      </w:r>
      <w:r>
        <w:rPr>
          <w:b/>
          <w:bCs/>
        </w:rPr>
        <w:t>и наблюдения;</w:t>
      </w:r>
    </w:p>
    <w:p w14:paraId="4E30EC08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собирать и предоставлять общественности данные о количестве примененных мер административного принуждения, поданных апелляций и их результатах в разбивке по видам процедур и решений, а также о количестве расследований и уголовных преследований, возбужденных в результате этих мер.</w:t>
      </w:r>
    </w:p>
    <w:p w14:paraId="45DBD7BB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Чрезмерное применение силы правоохранительными органами</w:t>
      </w:r>
      <w:r>
        <w:t xml:space="preserve"> </w:t>
      </w:r>
    </w:p>
    <w:p w14:paraId="1DEFFF32" w14:textId="4960EDE5" w:rsidR="002A4F63" w:rsidRPr="00D22AD5" w:rsidRDefault="002A4F63" w:rsidP="002A4F63">
      <w:pPr>
        <w:pStyle w:val="SingleTxtG"/>
      </w:pPr>
      <w:r>
        <w:t>18.</w:t>
      </w:r>
      <w:r>
        <w:tab/>
        <w:t>Ссылаясь на свои предыдущие заключительные замечания</w:t>
      </w:r>
      <w:r>
        <w:rPr>
          <w:rStyle w:val="aa"/>
        </w:rPr>
        <w:footnoteReference w:id="13"/>
      </w:r>
      <w:r>
        <w:t>, Комитет</w:t>
      </w:r>
      <w:r w:rsidR="00543BE1">
        <w:br/>
      </w:r>
      <w:r>
        <w:t>по-прежнему обеспокоен количеством сообщений о случаях чрезмерного применения силы сотрудниками правоохранительных органов, особенно во время проверок на дорогах, задержаний для проверки документов, принудительной эвакуации и демонстраций. Ссылаясь также на последние заключительные замечания, принятые Комитетом по ликвидации расовой дискриминации</w:t>
      </w:r>
      <w:r w:rsidRPr="006A44C0">
        <w:rPr>
          <w:rStyle w:val="aa"/>
        </w:rPr>
        <w:footnoteReference w:id="14"/>
      </w:r>
      <w:r>
        <w:t xml:space="preserve">, Комитет обеспокоен тем, что эти случаи в непропорционально большей степени затрагивают представителей некоторых групп меньшинств, в частности лиц африканского происхождения или арабского происхождения, коренных народов и мигрантов. Комитет серьезно обеспокоен количеством смертей в результате применения огнестрельного оружия сотрудниками правоохранительных органов во время проверок на дорогах. Комитет также обеспокоен очевидным отсутствием надлежащих санкций и случаями явной </w:t>
      </w:r>
      <w:r>
        <w:lastRenderedPageBreak/>
        <w:t>безнаказанности: например, в деле о смерти Адамы Траоре, молодого человека африканского происхождения, который умер в 2016 году после того, как жандармы задержали его, применив удержание в положении лежа на животе/сгиба в области живота, никто не был привлечен к ответственности за его смерть. Комитет глубоко сожалеет об отсутствии информации об уголовных делах, возбужденных</w:t>
      </w:r>
      <w:r w:rsidR="00543BE1">
        <w:br/>
      </w:r>
      <w:r>
        <w:t>против предполагаемых подозреваемых в чрезмерном применении силы,</w:t>
      </w:r>
      <w:r w:rsidR="00543BE1">
        <w:br/>
      </w:r>
      <w:r>
        <w:t>и о возмещении ущерба, предоставленном жертвам и, в соответствующих случаях,</w:t>
      </w:r>
      <w:r w:rsidR="00543BE1">
        <w:br/>
      </w:r>
      <w:r>
        <w:t>их семьям (статьи 2, 6, 7 и 26).</w:t>
      </w:r>
    </w:p>
    <w:p w14:paraId="1B1DE7F9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19.</w:t>
      </w:r>
      <w:r>
        <w:tab/>
      </w:r>
      <w:r>
        <w:rPr>
          <w:b/>
          <w:bCs/>
        </w:rPr>
        <w:t>Принимая во внимание принцип равенства всех перед законом и принцип недискриминации, государству-участнику следует:</w:t>
      </w:r>
    </w:p>
    <w:p w14:paraId="655907E2" w14:textId="26933486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проанализировать и, при необходимости, пересмотреть правовую базу, доктрины и оперативные процедуры, регулирующие применение силы сотрудниками правоохранительных органов, для обеспечения соответствия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деятельности;</w:t>
      </w:r>
    </w:p>
    <w:p w14:paraId="23904D6F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все сотрудники правоохранительных органов проходили адекватную и специальную подготовку по вопросам применения силы и огнестрельного оружия в соответствии с вышеупомянутыми международными стандартами, и чтобы эта подготовка регулярно обновлялась;</w:t>
      </w:r>
    </w:p>
    <w:p w14:paraId="71F7571D" w14:textId="6FC781EA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проведение оперативного, тщательного и объективного расследования сообщений о чрезмерном применении силы, уголовное преследование подозреваемых и, в случае признания их виновными,</w:t>
      </w:r>
      <w:r w:rsidR="006E5E4B">
        <w:rPr>
          <w:b/>
          <w:bCs/>
        </w:rPr>
        <w:br/>
      </w:r>
      <w:r>
        <w:rPr>
          <w:b/>
          <w:bCs/>
        </w:rPr>
        <w:t>их соответствующее наказание, а также предоставление потерпевшим или их семьям возмещения вреда;</w:t>
      </w:r>
    </w:p>
    <w:p w14:paraId="38D5F1CA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систематический сбор подробных данных о случаях чрезмерного или смертоносного применения силы и их обнародование.</w:t>
      </w:r>
    </w:p>
    <w:p w14:paraId="02A9AEC6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Французские граждане в зонах конфликтов</w:t>
      </w:r>
    </w:p>
    <w:p w14:paraId="42A293FB" w14:textId="688B9FB8" w:rsidR="002A4F63" w:rsidRPr="00D22AD5" w:rsidRDefault="002A4F63" w:rsidP="002A4F63">
      <w:pPr>
        <w:pStyle w:val="SingleTxtG"/>
      </w:pPr>
      <w:r>
        <w:t>20.</w:t>
      </w:r>
      <w:r>
        <w:tab/>
        <w:t>Отмечая усилия государства-участника по обеспечению репатриации</w:t>
      </w:r>
      <w:r w:rsidR="00543BE1">
        <w:br/>
      </w:r>
      <w:r>
        <w:t>с 2019 года примерно 70 детей и 16 женщин, содержащихся под стражей на северо-востоке Сирийской Арабской Республики, а также намерение государства-участника продолжать свои усилия и впредь систематически отвечать на любые просьбы граждан о репатриации, Комитет обеспокоен тем, что большое число французских граждан</w:t>
      </w:r>
      <w:r w:rsidR="00543BE1">
        <w:br/>
      </w:r>
      <w:r>
        <w:t>по-прежнему содержатся под стражей и находятся в крайне тяжелых условиях</w:t>
      </w:r>
      <w:r w:rsidR="00543BE1">
        <w:br/>
      </w:r>
      <w:r>
        <w:t>в Сирийской Арабской Республике, в частности в лагере «Эр-Родж», а также</w:t>
      </w:r>
      <w:r w:rsidR="00543BE1">
        <w:br/>
      </w:r>
      <w:r>
        <w:t>в реабилитационных центрах для несовершеннолетних в «Хури» и «Оркеш»</w:t>
      </w:r>
      <w:r w:rsidR="00FF00A6">
        <w:br/>
      </w:r>
      <w:r>
        <w:t>и в тюрьме «Алайя», где их физическая и психологическая неприкосновенность</w:t>
      </w:r>
      <w:r w:rsidR="00FF00A6">
        <w:br/>
      </w:r>
      <w:r>
        <w:t>не гарантирована. Комитет сожалеет об отсутствии информации о мерах по обеспечению соблюдения права на справедливое судебное разбирательство, достойных условий содержания под стражей и защиты от жестокого обращения в отношении граждан, обвиняемых в причастности к террористическим актам, включая граждан Франции, приговоренных иракскими судами к смертной казни (статьи 2, 6, 7, 9, 12 и 14).</w:t>
      </w:r>
    </w:p>
    <w:p w14:paraId="7213EAE9" w14:textId="77777777" w:rsidR="002A4F63" w:rsidRPr="00D22AD5" w:rsidRDefault="002A4F63" w:rsidP="002A4F63">
      <w:pPr>
        <w:pStyle w:val="SingleTxtG"/>
      </w:pPr>
      <w:r>
        <w:t>21.</w:t>
      </w:r>
      <w:r>
        <w:tab/>
      </w:r>
      <w:r>
        <w:rPr>
          <w:b/>
          <w:bCs/>
        </w:rPr>
        <w:t>Государству-участнику следует активизировать усилия по репатриации своих граждан, содержащихся под стражей в зонах конфликтов, особенно в Сирийской Арабской Республике, и обеспечить, чтобы любые просьбы о репатриации, подаваемые его гражданами, рассматривались систематически и на индивидуальной основе в соответствии с его международными обязательствами.</w:t>
      </w:r>
      <w:r>
        <w:t xml:space="preserve"> </w:t>
      </w:r>
      <w:r>
        <w:rPr>
          <w:b/>
          <w:bCs/>
        </w:rPr>
        <w:t>Государству-участнику следует также активизировать свои усилия по обеспечению соблюдения права на справедливое судебное разбирательство, права на защиту от жестокого обращения и права на достойные условия содержания под стражей своих граждан, обвиняемых в причастности к террористическим актам, включая французских граждан, приговоренных иракскими судами к смертной казни.</w:t>
      </w:r>
    </w:p>
    <w:p w14:paraId="0127DE9D" w14:textId="77777777" w:rsidR="002A4F63" w:rsidRPr="00D22AD5" w:rsidRDefault="002A4F63" w:rsidP="002A4F63">
      <w:pPr>
        <w:pStyle w:val="H23G"/>
      </w:pPr>
      <w:r>
        <w:lastRenderedPageBreak/>
        <w:tab/>
      </w:r>
      <w:r>
        <w:tab/>
      </w:r>
      <w:r>
        <w:rPr>
          <w:bCs/>
        </w:rPr>
        <w:t>Торговля людьми</w:t>
      </w:r>
    </w:p>
    <w:p w14:paraId="7193EB26" w14:textId="6C22621B" w:rsidR="002A4F63" w:rsidRPr="00D22AD5" w:rsidRDefault="002A4F63" w:rsidP="002A4F63">
      <w:pPr>
        <w:pStyle w:val="SingleTxtG"/>
      </w:pPr>
      <w:r>
        <w:t>22.</w:t>
      </w:r>
      <w:r>
        <w:tab/>
        <w:t>Признавая важные меры, предпринятые в целях борьбы с торговлей людьми, и недавнее принятие Национального плана по борьбе с эксплуатацией и торговлей людьми на 2024</w:t>
      </w:r>
      <w:r w:rsidR="00543BE1" w:rsidRPr="00B76E19">
        <w:t>‒</w:t>
      </w:r>
      <w:r>
        <w:t>2027 годы, Комитет тем не менее обеспокоен необходимостью принятия дополнительных мер для улучшения идентификации жертв, в том числе из числа нелегальных мигрантов, высылаемых из Майотты. Комитет также сожалеет об отсутствии представленной государством-участником информации о доступе жертв к компенсации и о гарантиях, позволяющих защитить жертв от уголовной ответственности за противоправные деяния, совершенные непосредственно</w:t>
      </w:r>
      <w:r w:rsidR="00543BE1">
        <w:br/>
      </w:r>
      <w:r>
        <w:t>в результате торговли людьми (статьи 2, 7 и 8).</w:t>
      </w:r>
    </w:p>
    <w:p w14:paraId="52B100E6" w14:textId="77777777" w:rsidR="002A4F63" w:rsidRPr="00D22AD5" w:rsidRDefault="002A4F63" w:rsidP="002A4F63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удвоить свои усилия по активному выявлению жертв торговли людьми путем поиска признаков торговли людьми среди уязвимых групп населения, включая нелегальных мигрантов на Майотте.</w:t>
      </w:r>
      <w:r>
        <w:t xml:space="preserve"> </w:t>
      </w:r>
      <w:r>
        <w:rPr>
          <w:b/>
          <w:bCs/>
        </w:rPr>
        <w:t>Государству-участнику следует также гарантировать жертвам торговли людьми эффективный доступ к компенсации и обеспечить защиту жертв от уголовной ответственности за противоправные деяния, совершенные непосредственно в результате торговли людьми.</w:t>
      </w:r>
    </w:p>
    <w:p w14:paraId="6B7C52BD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Личная свобода</w:t>
      </w:r>
    </w:p>
    <w:p w14:paraId="1B7F1F0A" w14:textId="4B36EBE4" w:rsidR="002A4F63" w:rsidRPr="00D22AD5" w:rsidRDefault="002A4F63" w:rsidP="002A4F63">
      <w:pPr>
        <w:pStyle w:val="SingleTxtG"/>
      </w:pPr>
      <w:r>
        <w:t>24.</w:t>
      </w:r>
      <w:r>
        <w:tab/>
        <w:t>Комитет обеспокоен переводом в метрополию нескольких защитников прав коренных народов, принадлежащих к движению за независимость Новой Каледонии, и их продолжающимся предварительным заключением после демонстраций</w:t>
      </w:r>
      <w:r w:rsidR="00543BE1">
        <w:br/>
      </w:r>
      <w:r>
        <w:t>и инцидентов, произошедших в Новой Каледонии в мае 2024 года (статьи 9, 10 и 17).</w:t>
      </w:r>
    </w:p>
    <w:p w14:paraId="76D67834" w14:textId="66F72BB1" w:rsidR="002A4F63" w:rsidRPr="00D22AD5" w:rsidRDefault="002A4F63" w:rsidP="002A4F63">
      <w:pPr>
        <w:pStyle w:val="SingleTxtG"/>
      </w:pPr>
      <w:r>
        <w:t>25.</w:t>
      </w:r>
      <w:r>
        <w:tab/>
      </w:r>
      <w:r>
        <w:rPr>
          <w:b/>
          <w:bCs/>
        </w:rPr>
        <w:t>Государству-участнику следует пересмотреть свою практику применения досудебного содержания под стражей в метрополии Франции в отношении жителей заморских территорий, в том числе отдавая предпочтение мерам,</w:t>
      </w:r>
      <w:r w:rsidR="00543BE1">
        <w:rPr>
          <w:b/>
          <w:bCs/>
        </w:rPr>
        <w:br/>
      </w:r>
      <w:r>
        <w:rPr>
          <w:b/>
          <w:bCs/>
        </w:rPr>
        <w:t>не связанным с лишением свободы, в качестве альтернативы досудебному содержанию под стражей.</w:t>
      </w:r>
    </w:p>
    <w:p w14:paraId="1CCE5E3A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</w:t>
      </w:r>
    </w:p>
    <w:p w14:paraId="340189F3" w14:textId="56B89C43" w:rsidR="002A4F63" w:rsidRPr="00D22AD5" w:rsidRDefault="002A4F63" w:rsidP="002A4F63">
      <w:pPr>
        <w:pStyle w:val="SingleTxtG"/>
      </w:pPr>
      <w:r>
        <w:t>26.</w:t>
      </w:r>
      <w:r>
        <w:tab/>
        <w:t>Приветствуя меры, принятые для предотвращения проникновения</w:t>
      </w:r>
      <w:r w:rsidR="00543BE1">
        <w:br/>
      </w:r>
      <w:r>
        <w:t>и распространения вируса в тюрьмах во время пандемии COVID-19, и введение</w:t>
      </w:r>
      <w:r w:rsidR="00543BE1">
        <w:br/>
      </w:r>
      <w:r>
        <w:t>в 2021 году средства правовой защиты для рассмотрения жалоб на условия содержания под стражей, Комитет по-прежнему обеспокоен сохраняющейся переполненностью тюрем и плохими материальными условиями во многих местах лишения свободы, особенно на заморских территориях, включая центры административного содержания под стражей. Комитет также обеспокоен чрезмерной представленностью коренных народов в тюрьмах Новой Каледонии (статья 10).</w:t>
      </w:r>
    </w:p>
    <w:p w14:paraId="3A15EF91" w14:textId="77777777" w:rsidR="002A4F63" w:rsidRPr="00D22AD5" w:rsidRDefault="002A4F63" w:rsidP="002A4F63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 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(Правила Нельсона Манделы), в том числе путем выделения дополнительных ресурсов на усилия по снижению уровня переполненности, уделяя особое внимание заморским территориям.</w:t>
      </w:r>
      <w:r>
        <w:t xml:space="preserve"> </w:t>
      </w:r>
      <w:r>
        <w:rPr>
          <w:b/>
          <w:bCs/>
        </w:rPr>
        <w:t>Государству-участнику следует, в частности:</w:t>
      </w:r>
    </w:p>
    <w:p w14:paraId="769461AB" w14:textId="1F551B22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модернизировать существующие пенитенциарные учреждения</w:t>
      </w:r>
      <w:r w:rsidR="00543BE1">
        <w:rPr>
          <w:b/>
          <w:bCs/>
        </w:rPr>
        <w:br/>
      </w:r>
      <w:r>
        <w:rPr>
          <w:b/>
          <w:bCs/>
        </w:rPr>
        <w:t>в соответствии с современными международными стандартами;</w:t>
      </w:r>
    </w:p>
    <w:p w14:paraId="3573CEB7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более активно использовать смягчение наказания и альтернативы тюремному заключению;</w:t>
      </w:r>
    </w:p>
    <w:p w14:paraId="36CE040B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внедрить и широко применять принцип использования индивидуальных камер;</w:t>
      </w:r>
    </w:p>
    <w:p w14:paraId="187DF15D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разъяснение процедур, позволяющих заключенным оспорить условия содержания под стражей и получить возмещение;</w:t>
      </w:r>
    </w:p>
    <w:p w14:paraId="32A14EAF" w14:textId="131F671F" w:rsidR="002A4F63" w:rsidRPr="00D22AD5" w:rsidRDefault="002A4F63" w:rsidP="002A4F63">
      <w:pPr>
        <w:pStyle w:val="SingleTxtG"/>
        <w:ind w:firstLine="567"/>
      </w:pPr>
      <w:r>
        <w:rPr>
          <w:b/>
          <w:bCs/>
        </w:rPr>
        <w:lastRenderedPageBreak/>
        <w:t>e)</w:t>
      </w:r>
      <w:r>
        <w:tab/>
      </w:r>
      <w:r>
        <w:rPr>
          <w:b/>
          <w:bCs/>
        </w:rPr>
        <w:t>принять конкретные меры для исправления ситуации с чрезмерной представленностью коренных народов среди заключенных в Новой Каледонии и для удовлетворения их особых потребностей, включая использование альтернативных мер, позволяющих осужденным из числа коренных народов отбывать наказание в своих общинах.</w:t>
      </w:r>
    </w:p>
    <w:p w14:paraId="71545781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Обращение с иностранными гражданами</w:t>
      </w:r>
    </w:p>
    <w:p w14:paraId="4BADD817" w14:textId="7889CB9B" w:rsidR="002A4F63" w:rsidRPr="00D22AD5" w:rsidRDefault="002A4F63" w:rsidP="002A4F63">
      <w:pPr>
        <w:pStyle w:val="SingleTxtG"/>
      </w:pPr>
      <w:r>
        <w:t>28.</w:t>
      </w:r>
      <w:r>
        <w:tab/>
        <w:t>Комитет обеспокоен последствиями систематической эвакуации, иногда с применением чрезмерной силы, временных убежищ мигрантов на границе Соединенного Королевства и Франции и в трущобах на Майотте, что только ухудшает плачевные условия жизни этих людей. Комитет также обеспокоен различными аспектами Закона № 2024-42 от 26 января 2024 года о контроле иммиграци</w:t>
      </w:r>
      <w:r w:rsidR="0027625B">
        <w:t>и</w:t>
      </w:r>
      <w:r w:rsidR="0027625B">
        <w:br/>
      </w:r>
      <w:r>
        <w:t xml:space="preserve">и улучшении интеграции, который беспрецедентным образом ограничивает гарантии, предоставляемые иностранным гражданам во Франции. В частности, Комитет обеспокоен тем, что этот закон расширяет административные полномочия по административному содержанию под стражей и высылке иностранных граждан, в том числе легально проживающих в стране, которые считаются </w:t>
      </w:r>
      <w:r w:rsidR="0027625B">
        <w:t>«</w:t>
      </w:r>
      <w:r>
        <w:t>угрозой общественному порядку</w:t>
      </w:r>
      <w:r w:rsidR="0027625B">
        <w:t>»</w:t>
      </w:r>
      <w:r>
        <w:t xml:space="preserve">, и увеличивает возможность запрета нахождения на территории Франции за мелкие правонарушения. Комитет также обеспокоен тем, что этот закон позволяет продлевать срок содержания под стражей сверх установленного законом 30-суточного периода в случае угрозы общественному порядку на основании административной оценки угрозы и без надлежащего судебного контроля. Приветствуя запрет вышеупомянутым законом административного содержания под стражей детей-мигрантов, включая сопровождаемых детей, Комитет обеспокоен тем, что ввод в действие этого запрета отложен до января 2027 года для Майотты, где большое число детей, включая несопровождаемых детей, как утверждается, помещены в центры административного содержания под стражей без надлежащих гарантий (статьи 2, 7, 9, 10, 13, 24 и 26). </w:t>
      </w:r>
      <w:bookmarkStart w:id="3" w:name="_Hlk181858863"/>
      <w:bookmarkStart w:id="4" w:name="_Hlk181099659"/>
      <w:bookmarkEnd w:id="3"/>
      <w:bookmarkEnd w:id="4"/>
    </w:p>
    <w:p w14:paraId="6747B74E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29.</w:t>
      </w:r>
      <w:r>
        <w:tab/>
      </w:r>
      <w:r>
        <w:rPr>
          <w:b/>
          <w:bCs/>
        </w:rPr>
        <w:t>Принимая во внимание предыдущие заключительные замечания Комитета</w:t>
      </w:r>
      <w:r w:rsidRPr="00411D8E">
        <w:rPr>
          <w:rStyle w:val="aa"/>
        </w:rPr>
        <w:footnoteReference w:id="15"/>
      </w:r>
      <w:r>
        <w:rPr>
          <w:b/>
          <w:bCs/>
        </w:rPr>
        <w:t xml:space="preserve"> и последние замечания Комитета по ликвидации расовой дискриминации</w:t>
      </w:r>
      <w:r w:rsidRPr="00411D8E">
        <w:rPr>
          <w:rStyle w:val="aa"/>
        </w:rPr>
        <w:footnoteReference w:id="16"/>
      </w:r>
      <w:r>
        <w:rPr>
          <w:b/>
          <w:bCs/>
        </w:rPr>
        <w:t xml:space="preserve">, государству-участнику </w:t>
      </w:r>
      <w:r w:rsidRPr="00C86DDC">
        <w:rPr>
          <w:b/>
          <w:bCs/>
        </w:rPr>
        <w:t>следует:</w:t>
      </w:r>
    </w:p>
    <w:p w14:paraId="45501A14" w14:textId="2831F396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обеспечению доступа к адекватному жилью в достойных условиях и положить конец жестокому обращению</w:t>
      </w:r>
      <w:r w:rsidR="0027625B">
        <w:rPr>
          <w:b/>
          <w:bCs/>
        </w:rPr>
        <w:br/>
      </w:r>
      <w:r>
        <w:rPr>
          <w:b/>
          <w:bCs/>
        </w:rPr>
        <w:t>с просителями убежища и нелегальными мигрантами в приграничных районах, в частности на границе Соединенного Королевства и Франции и на Майотте;</w:t>
      </w:r>
    </w:p>
    <w:p w14:paraId="2D055CF0" w14:textId="77777777" w:rsidR="002A4F63" w:rsidRPr="00D22AD5" w:rsidRDefault="002A4F63" w:rsidP="002A4F63">
      <w:pPr>
        <w:pStyle w:val="SingleTxtG"/>
        <w:keepLines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предусмотреть меры, альтернативные административному содержанию под стражей, обеспечить, чтобы содержание под стражей использовалось в качестве крайней меры, на максимально короткий срок и только в том случае, если были должным образом рассмотрены существующие альтернативные меры, и обеспечить мигрантам возможность эффективно обжаловать в суде решение о законности их содержания под стражей;</w:t>
      </w:r>
    </w:p>
    <w:p w14:paraId="41CB3DB3" w14:textId="2E6F491A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пересмотреть законодательные положения, разрешающие административное содержание под стражей и высылку иностранных граждан, в том числе легально проживающих в стране, которые считаются </w:t>
      </w:r>
      <w:r w:rsidR="009A46B7">
        <w:rPr>
          <w:b/>
          <w:bCs/>
        </w:rPr>
        <w:t>«</w:t>
      </w:r>
      <w:r>
        <w:rPr>
          <w:b/>
          <w:bCs/>
        </w:rPr>
        <w:t>угрозой общественному порядку</w:t>
      </w:r>
      <w:r w:rsidR="009A46B7">
        <w:rPr>
          <w:b/>
          <w:bCs/>
        </w:rPr>
        <w:t>»</w:t>
      </w:r>
      <w:r>
        <w:rPr>
          <w:b/>
          <w:bCs/>
        </w:rPr>
        <w:t>, и увеличивающие возможность депортации за мелкие правонарушения;</w:t>
      </w:r>
    </w:p>
    <w:p w14:paraId="2D0AE60D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пересмотреть позволяющие отступления от норм режимы в области иммиграции, действующие на заморских территориях, и принять необходимые меры для ускорения распространения запрета на административное содержание плод стражей несовершеннолетних на Майотте.</w:t>
      </w:r>
    </w:p>
    <w:p w14:paraId="16285B64" w14:textId="77777777" w:rsidR="002A4F63" w:rsidRPr="00D22AD5" w:rsidRDefault="002A4F63" w:rsidP="002A4F63">
      <w:pPr>
        <w:pStyle w:val="H23G"/>
      </w:pPr>
      <w:r>
        <w:lastRenderedPageBreak/>
        <w:tab/>
      </w:r>
      <w:r>
        <w:tab/>
      </w:r>
      <w:r>
        <w:rPr>
          <w:bCs/>
        </w:rPr>
        <w:t>Невыдворение</w:t>
      </w:r>
    </w:p>
    <w:p w14:paraId="2546B690" w14:textId="0F31C829" w:rsidR="002A4F63" w:rsidRPr="00D22AD5" w:rsidRDefault="002A4F63" w:rsidP="002A4F63">
      <w:pPr>
        <w:pStyle w:val="SingleTxtG"/>
      </w:pPr>
      <w:r>
        <w:t>30.</w:t>
      </w:r>
      <w:r>
        <w:tab/>
        <w:t>Комитет обеспокоен сообщениями о том, что иностранные граждане регулярно принудительно возвращаются на франко-итальянскую границу в ускоренном порядке, не имея доступа к надлежащей процедуре рассмотрения ходатайств о предоставлении убежища, включая информацию об их правах, или права оспорить наложенные на них меры. Ссылаясь на свои предыдущие рекомендации</w:t>
      </w:r>
      <w:r w:rsidR="0027625B">
        <w:rPr>
          <w:rStyle w:val="aa"/>
        </w:rPr>
        <w:footnoteReference w:id="17"/>
      </w:r>
      <w:r>
        <w:t>, Комитет по-прежнему обеспокоен положением на Майотте, где государство-участник продолжает применять отступления от обычного режима предоставления убежища с меньшими процессуальными гарантиями, включая обжалование без приостановления действия. В результате многие иностранные граждане, включая несопровождаемых детей, как утверждается подвергаются депортации, не имея эффективного доступа к праву на убежище. Комитет также выражает свою обеспокоенность изменениями, внесенными в режим предоставления убежища Законом от 26 января 2024 года о контроле иммиграции и улучшении интеграции, поскольку он сокращает процедурные гарантии для просителей убежища и уменьшает с трех до одного число судей, необходимых для рассмотрения дел о предоставлении убежища в Национальном суде по вопросам права на убежище, за исключением особо сложных дел (статьи 2, 7, 9, 10, 13 и 24).</w:t>
      </w:r>
      <w:bookmarkStart w:id="5" w:name="_Hlk181103018"/>
      <w:bookmarkEnd w:id="5"/>
    </w:p>
    <w:p w14:paraId="24D684BC" w14:textId="21DEA3EA" w:rsidR="002A4F63" w:rsidRPr="00D22AD5" w:rsidRDefault="002A4F63" w:rsidP="002A4F63">
      <w:pPr>
        <w:pStyle w:val="SingleTxtG"/>
      </w:pPr>
      <w:r>
        <w:t>31.</w:t>
      </w:r>
      <w:r>
        <w:tab/>
      </w:r>
      <w:r>
        <w:rPr>
          <w:b/>
          <w:bCs/>
        </w:rPr>
        <w:t>Государству-участнику следует обеспечить соблюдение на практике принципа недопустимости неправомерной высылки и предоставлять всем лицам, обращающимся за международной защитой, доступ к независимому судебному апелляционному механизму с приостанавливающим действием исполнения отрицательных решений в отношении процедур депортации, высылки и выдачи.</w:t>
      </w:r>
      <w:r>
        <w:t xml:space="preserve"> </w:t>
      </w:r>
      <w:r>
        <w:rPr>
          <w:b/>
          <w:bCs/>
        </w:rPr>
        <w:t>Государству-участнику следует обеспечить, чтобы на франко-итальянской границе иностранные граждане пользовались процедурой рассмотрения ходатайств о предоставлении убежища в соответствии с его международными обязательствами, включая информацию об их правах;</w:t>
      </w:r>
      <w:r>
        <w:t xml:space="preserve"> </w:t>
      </w:r>
      <w:r>
        <w:rPr>
          <w:b/>
          <w:bCs/>
        </w:rPr>
        <w:t>ему также следует положить конец применению отступлений от обычного режима предоставления убежища на заморских территориях, в частности на Майотте.</w:t>
      </w:r>
    </w:p>
    <w:p w14:paraId="54AEF2A4" w14:textId="77777777" w:rsidR="002A4F63" w:rsidRPr="00102592" w:rsidRDefault="002A4F63" w:rsidP="002A4F63">
      <w:pPr>
        <w:pStyle w:val="H23G"/>
      </w:pPr>
      <w:r>
        <w:tab/>
      </w:r>
      <w:r>
        <w:tab/>
      </w:r>
      <w:r>
        <w:rPr>
          <w:bCs/>
        </w:rPr>
        <w:t>Независимость судебной власти</w:t>
      </w:r>
    </w:p>
    <w:p w14:paraId="569F6F51" w14:textId="7542FCD4" w:rsidR="002A4F63" w:rsidRPr="00D22AD5" w:rsidRDefault="002A4F63" w:rsidP="002A4F63">
      <w:pPr>
        <w:pStyle w:val="SingleTxtG"/>
      </w:pPr>
      <w:r>
        <w:t>32.</w:t>
      </w:r>
      <w:r>
        <w:tab/>
        <w:t>Приветствуя недавние реформы, направленные на укрепление системы отправления правосудия, Комитет тем не менее разделяет обеспокоенность Совета Европы и Европейского союза по поводу необходимости обеспечения полной независимости судебной власти и прокуратуры от необоснованного вмешательства исполнительной власти, в частности, в вопросах назначения, продвижения по службе, дисциплинарных мер и увольнения судей и прокуроров. В этой связи Комитет с обеспокоенностью отмечает, что прокуратура по-прежнему находится в прямом иерархическом подчинении министра юстиции. Комитет также обеспокоен ограниченными полномочиями Высшего судебного совета как органа, согласно конституции, ответственного за обеспечение этой независимости; он отмечает, что, в отличие от министра юстиции, Высший судебный совет не может инициировать дисциплинарное производство в отношении судьи и выполняет исключительно консультативную роль в отношении дисциплинарных санкций в отношении прокуроров.</w:t>
      </w:r>
    </w:p>
    <w:p w14:paraId="3D7E6C4A" w14:textId="298DFF44" w:rsidR="002A4F63" w:rsidRPr="00D22AD5" w:rsidRDefault="002A4F63" w:rsidP="002A4F63">
      <w:pPr>
        <w:pStyle w:val="SingleTxtG"/>
        <w:keepLines/>
      </w:pPr>
      <w:r>
        <w:t>33.</w:t>
      </w:r>
      <w:r>
        <w:tab/>
      </w:r>
      <w:r>
        <w:rPr>
          <w:b/>
          <w:bCs/>
        </w:rPr>
        <w:t>Государству-участнику следует принять все необходимые меры для обеспечения полной независимости судебной власти и прокуратуры</w:t>
      </w:r>
      <w:r w:rsidR="0027625B">
        <w:rPr>
          <w:b/>
          <w:bCs/>
        </w:rPr>
        <w:br/>
      </w:r>
      <w:r>
        <w:rPr>
          <w:b/>
          <w:bCs/>
        </w:rPr>
        <w:t>от исполнительной власти.</w:t>
      </w:r>
      <w:r>
        <w:t xml:space="preserve"> </w:t>
      </w:r>
      <w:r>
        <w:rPr>
          <w:b/>
          <w:bCs/>
        </w:rPr>
        <w:t>Для этого ему следует пересмотреть состав Высшего судебного совета и расширить его полномочия в отношении назначения, продвижения по службе, дисциплинарных мер и увольнения судей и прокуроров.</w:t>
      </w:r>
      <w:r>
        <w:t xml:space="preserve"> </w:t>
      </w:r>
      <w:r>
        <w:rPr>
          <w:b/>
          <w:bCs/>
        </w:rPr>
        <w:t>Ему также следует провести конституционную реформу, чтобы сделать прокуратуру независимой от исполнительной власти.</w:t>
      </w:r>
    </w:p>
    <w:p w14:paraId="360D2202" w14:textId="77777777" w:rsidR="002A4F63" w:rsidRPr="00D22AD5" w:rsidRDefault="002A4F63" w:rsidP="002A4F63">
      <w:pPr>
        <w:pStyle w:val="H23G"/>
      </w:pPr>
      <w:r>
        <w:lastRenderedPageBreak/>
        <w:tab/>
      </w:r>
      <w:r>
        <w:tab/>
      </w:r>
      <w:r>
        <w:rPr>
          <w:bCs/>
        </w:rPr>
        <w:t>Неприкосновенность частной жизни</w:t>
      </w:r>
    </w:p>
    <w:p w14:paraId="30DE7960" w14:textId="44F511D5" w:rsidR="002A4F63" w:rsidRPr="00D22AD5" w:rsidRDefault="002A4F63" w:rsidP="002A4F63">
      <w:pPr>
        <w:pStyle w:val="SingleTxtG"/>
      </w:pPr>
      <w:r>
        <w:t>34.</w:t>
      </w:r>
      <w:r>
        <w:tab/>
        <w:t>Комитет обеспокоен последствиями для права на неприкосновенность частной жизни и гражданских свобод, вытекающих из некоторых мер, разрешенных</w:t>
      </w:r>
      <w:r w:rsidR="0027625B">
        <w:br/>
      </w:r>
      <w:r>
        <w:t>Закона № 2021-646 от 25 мая 2021 года о всесторонней безопасности при сохранении свобод, в частности его статьи 22, таких как использование по решению префекта оснащенных камерами беспилотников силами правопорядка с очень широкой сферой применения, в том числе во время демонстраций. Комитет также обеспокоен тем, что Закон 2023-380 от 19 мая 2023 года об Олимпийских и Паралимпийских играх</w:t>
      </w:r>
      <w:r w:rsidR="0027625B">
        <w:br/>
      </w:r>
      <w:r>
        <w:t>2024 года разрешает экспериментальное использование до марта 2025 года системы видеонаблюдения с искусственным интеллектом для обеспечения безопасности на мероприятиях с высоким уровнем риска, которая была развернута в рамках организации Олимпийских игр в Париже в 2024 году. Принимая к сведению представленную государством-участником информацию о надзорной роли, возложенной на Национальную комиссию по информатике и свободам (НКИС) при осуществлении мер наблюдения, Комитет выражает обеспокоенность по поводу соразмерности этих мер и использования искусственного интеллекта в данном контексте. Он также обеспокоен решением Национальной консультативной комиссии по правам человека от 20 июня 2024 года, согласно которому НКИС не располагает достаточными ресурсами для эффективного контроля систем видеонаблюдения</w:t>
      </w:r>
      <w:r w:rsidR="00FF00A6">
        <w:br/>
      </w:r>
      <w:r>
        <w:t>в общественных местах (статья 17).</w:t>
      </w:r>
    </w:p>
    <w:p w14:paraId="61E318C3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6039D637" w14:textId="05243B33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пересмотреть Закон № 2021-646 от 25 мая 2021 года о всесторонней безопасности при сохранении свобод, в частности его статью 22, чтобы убедиться, что любые действия по наблюдению, разрешенные этим законом, отвечают принципам законности, соразмерности и необходимости и полностью соответствуют Пакту, в частности его статье 17;</w:t>
      </w:r>
    </w:p>
    <w:p w14:paraId="25DBF2F8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тщательно оценить экспериментальное использование системы видеонаблюдения на основе искусственного интеллекта для обеспечения безопасности на мероприятиях с повышенным риском, чтобы гарантировать ее полную совместимость с правами, защищаемыми Пактом, и обеспечить, чтобы эта технология не использовалась без ведома или согласия людей;</w:t>
      </w:r>
    </w:p>
    <w:p w14:paraId="0204D8A8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деятельность по наблюдению являлась объектом эффективных механизмов надзора, в том числе судебного, и обеспечить доступ к эффективным средствам правовой защиты в случаях злоупотреблений.</w:t>
      </w:r>
    </w:p>
    <w:p w14:paraId="0EF8603A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Свобода совести и религиозных убеждений</w:t>
      </w:r>
    </w:p>
    <w:p w14:paraId="69905794" w14:textId="71468B0E" w:rsidR="002A4F63" w:rsidRPr="00D22AD5" w:rsidRDefault="002A4F63" w:rsidP="002A4F63">
      <w:pPr>
        <w:pStyle w:val="SingleTxtG"/>
      </w:pPr>
      <w:r>
        <w:t>36.</w:t>
      </w:r>
      <w:r>
        <w:tab/>
        <w:t>Ссылаясь на свои предыдущие рекомендации</w:t>
      </w:r>
      <w:r>
        <w:rPr>
          <w:rStyle w:val="aa"/>
        </w:rPr>
        <w:footnoteReference w:id="18"/>
      </w:r>
      <w:r>
        <w:t>, Комитет сожалеет, что государство-участник не пересмотрело свой подход к регулированию ношения религиозной символики и одежды в общественных местах. Комитет</w:t>
      </w:r>
      <w:r w:rsidR="0027625B">
        <w:br/>
      </w:r>
      <w:r>
        <w:t>с обеспокоенностью отмечает распространение таких ограничений, как запреты в сфере спорта, которые, как представляется, несовместимы с принципами необходимости и соразмерности и которые на практике будут иметь дискриминационные последствия для представителей религиозных меньшинств,</w:t>
      </w:r>
      <w:r w:rsidR="00643D96">
        <w:br/>
      </w:r>
      <w:r>
        <w:t>в частности женщин и девочек мусульманского вероисповедания (статьи 18, 26 и 27).</w:t>
      </w:r>
    </w:p>
    <w:p w14:paraId="617CB6AF" w14:textId="0755AEA6" w:rsidR="002A4F63" w:rsidRPr="00D22AD5" w:rsidRDefault="002A4F63" w:rsidP="002A4F63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пересмотреть свое законодательство, вводящее ограничения на ношение религиозной символики и одежды, в свете своих обязательств по Пакту, в частности статьи 18 о свободе совести и религии, и принципа равенства, закрепленного в статье 26.</w:t>
      </w:r>
      <w:r>
        <w:t xml:space="preserve"> </w:t>
      </w:r>
      <w:r>
        <w:rPr>
          <w:b/>
          <w:bCs/>
        </w:rPr>
        <w:t>Государству-участнику следует пересмотреть необходимость и соразмерность этих мер, особенно в отношении школ, и воздержаться от расширения сферы действия этих ограничений, в том числе на любительский и профессиональный спорт.</w:t>
      </w:r>
      <w:r>
        <w:t xml:space="preserve"> </w:t>
      </w:r>
      <w:r>
        <w:rPr>
          <w:b/>
          <w:bCs/>
        </w:rPr>
        <w:t xml:space="preserve">Государству-участнику следует оценить дискриминационный эффект на </w:t>
      </w:r>
      <w:r>
        <w:rPr>
          <w:b/>
          <w:bCs/>
        </w:rPr>
        <w:lastRenderedPageBreak/>
        <w:t>практике и воздействие этих мер на представителей религиозных меньшинств,</w:t>
      </w:r>
      <w:r w:rsidR="0027625B">
        <w:rPr>
          <w:b/>
          <w:bCs/>
        </w:rPr>
        <w:br/>
      </w:r>
      <w:r>
        <w:rPr>
          <w:b/>
          <w:bCs/>
        </w:rPr>
        <w:t>в частности женщин и девочек мусульманского вероисповедания.</w:t>
      </w:r>
    </w:p>
    <w:p w14:paraId="08794353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2F188246" w14:textId="7ECF3E1A" w:rsidR="002A4F63" w:rsidRPr="00D22AD5" w:rsidRDefault="002A4F63" w:rsidP="002A4F63">
      <w:pPr>
        <w:pStyle w:val="SingleTxtG"/>
      </w:pPr>
      <w:r>
        <w:t>38.</w:t>
      </w:r>
      <w:r>
        <w:tab/>
        <w:t xml:space="preserve">Комитет обеспокоен тем, что после терактов, совершенных ХАМАС 7 октября 2023 года, ряд политических деятелей, лидеров профсоюзов и ассоциаций были привлечены к ответственности за апологию терроризма </w:t>
      </w:r>
      <w:r w:rsidR="00BE42B4" w:rsidRPr="00B76E19">
        <w:t>‒‒</w:t>
      </w:r>
      <w:r>
        <w:t xml:space="preserve"> преступление, предусмотренное статьей 421-2-5 Уголовного кодекса, которая квалифицирует как уголовное преступление прямое подстрекательство к актам терроризма или публичную апологию таких актов, даже если, согласно полученной информации, эти люди просто напомнили о контексте, в котором были совершены теракты. Кроме того, Комитет с обеспокоенностью отмечает значительное увеличение числа неправомерных исков о диффамации, известных как </w:t>
      </w:r>
      <w:r w:rsidR="00BE42B4">
        <w:t>«</w:t>
      </w:r>
      <w:r>
        <w:t>процессы затыкания рта</w:t>
      </w:r>
      <w:r w:rsidR="00BE42B4">
        <w:t>»</w:t>
      </w:r>
      <w:r>
        <w:t>, направленных на запугивание, принуждение к молчанию и финансовое истощение журналистов, правозащитников и профсоюзных деятелей. Комитет также обеспокоен недавним временным отключением одной из крупных социальных сетей в связи с беспорядками в Новой Каледонии в мае 2024 года, после того как на этой территории было объявлено чрезвычайное положение. Признавая усовершенствования, внесенные в пересмотренный в декабре 2021 года национальный план поддержания правопорядка в части учета присутствия журналистов для освещения демонстраций, Комитет обеспокоен тем, что в таких ситуациях журналисты по-прежнему подвергаются произвольным задержаниям и чрезмерному применению силы со стороны сил правопорядка (статья 19).</w:t>
      </w:r>
    </w:p>
    <w:p w14:paraId="5A4A76F8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39.</w:t>
      </w:r>
      <w:r>
        <w:tab/>
      </w:r>
      <w:r>
        <w:rPr>
          <w:b/>
          <w:bCs/>
        </w:rPr>
        <w:t>Государству-участнику следует:</w:t>
      </w:r>
    </w:p>
    <w:p w14:paraId="75C2E321" w14:textId="13AD43B6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пересмотреть статью 421-2-5 Уголовного кодекса, которая квалифицирует оправдание террористических актов как преступление,</w:t>
      </w:r>
      <w:r w:rsidR="00BE42B4">
        <w:rPr>
          <w:b/>
          <w:bCs/>
        </w:rPr>
        <w:br/>
      </w:r>
      <w:r>
        <w:rPr>
          <w:b/>
          <w:bCs/>
        </w:rPr>
        <w:t>с тем чтобы исключить возможность злоупотребления ею для необоснованного ограничения свободы выражения мнений;</w:t>
      </w:r>
    </w:p>
    <w:p w14:paraId="50905D6D" w14:textId="50DF5B8E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изучить целесообразность принятия законодательного акта, обязывающего сторону, подавшую иск, не имеющий законных оснований, нести все расходы, связанные с </w:t>
      </w:r>
      <w:r w:rsidR="00BE42B4">
        <w:rPr>
          <w:b/>
          <w:bCs/>
        </w:rPr>
        <w:t>«</w:t>
      </w:r>
      <w:r>
        <w:rPr>
          <w:b/>
          <w:bCs/>
        </w:rPr>
        <w:t>процессом затыкания рта</w:t>
      </w:r>
      <w:r w:rsidR="00BE42B4">
        <w:rPr>
          <w:b/>
          <w:bCs/>
        </w:rPr>
        <w:t>»</w:t>
      </w:r>
      <w:r>
        <w:rPr>
          <w:b/>
          <w:bCs/>
        </w:rPr>
        <w:t>, и разрешить судьям отклонять явно необоснованные иски на ранней стадии;</w:t>
      </w:r>
    </w:p>
    <w:p w14:paraId="4D5D02ED" w14:textId="0B384F3E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любые ограничения на деятельность прессы</w:t>
      </w:r>
      <w:r w:rsidR="00BE42B4">
        <w:rPr>
          <w:b/>
          <w:bCs/>
        </w:rPr>
        <w:br/>
      </w:r>
      <w:r>
        <w:rPr>
          <w:b/>
          <w:bCs/>
        </w:rPr>
        <w:t>и СМИ и на доступ к Интернету строго соответствовали положениям Пакта</w:t>
      </w:r>
      <w:r w:rsidR="00BE42B4">
        <w:rPr>
          <w:b/>
          <w:bCs/>
        </w:rPr>
        <w:br/>
      </w:r>
      <w:r>
        <w:rPr>
          <w:b/>
          <w:bCs/>
        </w:rPr>
        <w:t>и принципу соразмерности, и воздерживаться от введения общих запретов;</w:t>
      </w:r>
    </w:p>
    <w:p w14:paraId="04462042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журналистам возможность освещать демонстрации без излишних ограничений или риска для их личной безопасности, в частности, путем обеспечения эффективного выполнения соответствующих положений национального плана по поддержанию общественного порядка с поправками, внесенными в декабре 2021 года.</w:t>
      </w:r>
    </w:p>
    <w:p w14:paraId="11503582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и преступления на почве ненависти</w:t>
      </w:r>
      <w:r>
        <w:t xml:space="preserve"> </w:t>
      </w:r>
    </w:p>
    <w:p w14:paraId="4D21722D" w14:textId="77777777" w:rsidR="002A4F63" w:rsidRPr="00D22AD5" w:rsidRDefault="002A4F63" w:rsidP="002A4F63">
      <w:pPr>
        <w:pStyle w:val="SingleTxtG"/>
      </w:pPr>
      <w:r>
        <w:t>40.</w:t>
      </w:r>
      <w:r>
        <w:tab/>
        <w:t>Признавая масштабы мер, принятых государством-участником для борьбы с ненавистническими высказываниями, в частности создание в 2020 году Национального центра по борьбе с ненавистническими высказываниями в Интернете при прокуратуре Парижа, Комитет с обеспокоенностью отмечает, что такие высказывания по-прежнему широко распространены, особенно в отношении этнорелигиозных меньшинств, мигрантов и лесбиянок, геев, бисексуалов, трансгендеров и интерсексов (ЛГБТИ), как онлайн, так и офлайн, и что они также используются общественными деятелями. Приветствуя меры, принятые для усиления реакции уголовного правосудия на подобные высказывания, Комитет также с обеспокоенностью отмечает, что многие случаи расистских, исламофобских, антисемитских, ксенофобских или гомофобских высказываний и преступлений на почве ненависти, как сообщается, остаются незарегистрированными из-за плохого приема, оказываемого жертвам в полицейских участках, и недоверия к сотрудникам правоохранительных органов (статьи 2, 20 и 26).</w:t>
      </w:r>
    </w:p>
    <w:p w14:paraId="1725F9CC" w14:textId="3C75FC80" w:rsidR="002A4F63" w:rsidRPr="00D22AD5" w:rsidRDefault="002A4F63" w:rsidP="002A4F63">
      <w:pPr>
        <w:pStyle w:val="SingleTxtG"/>
        <w:keepNext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Государству-участнику следует активизировать усилия по борьбе</w:t>
      </w:r>
      <w:r w:rsidR="00BE42B4">
        <w:rPr>
          <w:b/>
          <w:bCs/>
        </w:rPr>
        <w:br/>
      </w:r>
      <w:r>
        <w:rPr>
          <w:b/>
          <w:bCs/>
        </w:rPr>
        <w:t>с преступлениями на почве ненависти и ненавистническими высказываниями</w:t>
      </w:r>
      <w:r w:rsidR="00BE42B4">
        <w:rPr>
          <w:b/>
          <w:bCs/>
        </w:rPr>
        <w:t>,</w:t>
      </w:r>
      <w:r w:rsidR="00BE42B4">
        <w:rPr>
          <w:b/>
          <w:bCs/>
        </w:rPr>
        <w:br/>
      </w:r>
      <w:r>
        <w:rPr>
          <w:b/>
          <w:bCs/>
        </w:rPr>
        <w:t>и</w:t>
      </w:r>
      <w:r w:rsidR="00BE42B4">
        <w:rPr>
          <w:b/>
          <w:bCs/>
        </w:rPr>
        <w:t xml:space="preserve"> </w:t>
      </w:r>
      <w:r>
        <w:rPr>
          <w:b/>
          <w:bCs/>
        </w:rPr>
        <w:t>в частности:</w:t>
      </w:r>
    </w:p>
    <w:p w14:paraId="26ECCB98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эффективные меры по предотвращению и публичному осуждению ненавистнических высказываний, в частности ненавистнических высказываний со стороны общественными деятелей;</w:t>
      </w:r>
    </w:p>
    <w:p w14:paraId="654B60CE" w14:textId="648EC02F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активизировать действия по борьбе с распространением ненавистнических высказываний онлайн в тесном сотрудничестве</w:t>
      </w:r>
      <w:r w:rsidR="00643D96">
        <w:rPr>
          <w:b/>
          <w:bCs/>
        </w:rPr>
        <w:br/>
      </w:r>
      <w:r>
        <w:rPr>
          <w:b/>
          <w:bCs/>
        </w:rPr>
        <w:t>с поставщиками интернет-услуг, платформами социальных сетей и группами, наиболее пострадавшими от ненавистнических высказываний;</w:t>
      </w:r>
    </w:p>
    <w:p w14:paraId="17CDAFD5" w14:textId="117F510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усилить информационно-просветительские кампании</w:t>
      </w:r>
      <w:r w:rsidR="00BE42B4">
        <w:rPr>
          <w:b/>
          <w:bCs/>
        </w:rPr>
        <w:t xml:space="preserve"> </w:t>
      </w:r>
      <w:r>
        <w:rPr>
          <w:b/>
          <w:bCs/>
        </w:rPr>
        <w:t>для госслужащих и широкой общественности в целях содействия уважению к правам человека и многообразию;</w:t>
      </w:r>
    </w:p>
    <w:p w14:paraId="48DF2E8F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эффективно обеспечивать реализацию и соблюдение существующих правовых и политических основ для борьбы с преступлениями на почве ненависти и обеспечивать эффективную подготовку сотрудников правоохранительных органов, судей и прокуроров по вопросам расследования и преследования преступлений на почве ненависти;</w:t>
      </w:r>
    </w:p>
    <w:p w14:paraId="3509F5EC" w14:textId="5EB0F57B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улучшить сбор данных о ненавистнических высказываниях</w:t>
      </w:r>
      <w:r w:rsidR="00FF00A6">
        <w:rPr>
          <w:b/>
          <w:bCs/>
        </w:rPr>
        <w:br/>
      </w:r>
      <w:r>
        <w:rPr>
          <w:b/>
          <w:bCs/>
        </w:rPr>
        <w:t>и преступлениях на почве ненависти;</w:t>
      </w:r>
    </w:p>
    <w:p w14:paraId="5A2C2DA2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тщательно расследовать преступления на почве ненависти, обеспечить привлечение к ответственности виновных и, в случае осуждения, назначение им соответствующих наказаний, а также предоставить жертвам и их семьям доступ к полному возмещению ущерба.</w:t>
      </w:r>
    </w:p>
    <w:p w14:paraId="6BDF83F4" w14:textId="77777777" w:rsidR="002A4F63" w:rsidRPr="00102592" w:rsidRDefault="002A4F63" w:rsidP="002A4F63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78D61B40" w14:textId="6691D891" w:rsidR="002A4F63" w:rsidRPr="00D22AD5" w:rsidRDefault="002A4F63" w:rsidP="002A4F63">
      <w:pPr>
        <w:pStyle w:val="SingleTxtG"/>
      </w:pPr>
      <w:r>
        <w:t>42.</w:t>
      </w:r>
      <w:r>
        <w:tab/>
        <w:t xml:space="preserve">Комитет с обеспокоенностью отмечает, что Закон № 2021-1109 от 24 августа 2021 года об обеспечении более строгого соблюдения принципов Республики (известный как закон о сепаратизме), как сообщается, используется для необоснованного роспуска организаций гражданского общества, в том числе тех, которые выступают за свободу веры и недискриминацию. Комитет также обеспокоен тем, что, согласно закону о сепаратизме, ассоциация может быть распущена, если один из ее членов подозревается в подстрекательстве к нанесению ущерба имуществу, даже если ассоциация и ущерб не имеют отношения к терроризму или сепаратизму. В этой связи Комитет глубоко обеспокоен попыткой распустить в марте 2023 года крупное экологическое движение Soulèvements de la Terre, несмотря на то, что это решение было впоследствии отменено Государственным советом. Комитет также обеспокоен тем, что закон о сепаратизме вводит </w:t>
      </w:r>
      <w:r w:rsidR="00BE42B4">
        <w:t>«</w:t>
      </w:r>
      <w:r>
        <w:t>обязательство соблюдать принципы Республики</w:t>
      </w:r>
      <w:r w:rsidR="00BE42B4">
        <w:t>»</w:t>
      </w:r>
      <w:r>
        <w:t xml:space="preserve"> в качестве условия для получения государственных средств, согласно которому ассоциации могут быть лишены государственных субсидий за несоблюдение юридически расплывчатого определения </w:t>
      </w:r>
      <w:r w:rsidR="00BE42B4">
        <w:t>«</w:t>
      </w:r>
      <w:r>
        <w:t>обязательство соблюдать принципы Республики</w:t>
      </w:r>
      <w:r w:rsidR="00BE42B4">
        <w:t>»</w:t>
      </w:r>
      <w:r>
        <w:t xml:space="preserve">, и что судебные апелляции могут быть поданы только после прекращения финансирования (статьи 2, 22 и 26). </w:t>
      </w:r>
    </w:p>
    <w:p w14:paraId="48E070F1" w14:textId="7F46FD75" w:rsidR="002A4F63" w:rsidRPr="00D22AD5" w:rsidRDefault="002A4F63" w:rsidP="002A4F63">
      <w:pPr>
        <w:pStyle w:val="SingleTxtG"/>
      </w:pPr>
      <w:r>
        <w:t>43.</w:t>
      </w:r>
      <w:r>
        <w:tab/>
      </w:r>
      <w:r>
        <w:rPr>
          <w:b/>
          <w:bCs/>
        </w:rPr>
        <w:t>Государству-участнику следует пересмотреть Закон от 24 августа</w:t>
      </w:r>
      <w:r w:rsidR="00BE42B4">
        <w:rPr>
          <w:b/>
          <w:bCs/>
        </w:rPr>
        <w:br/>
      </w:r>
      <w:r>
        <w:rPr>
          <w:b/>
          <w:bCs/>
        </w:rPr>
        <w:t>2021 года, об обеспечении более строгого соблюдения принципов Республики,</w:t>
      </w:r>
      <w:r w:rsidR="00643D96">
        <w:rPr>
          <w:b/>
          <w:bCs/>
        </w:rPr>
        <w:br/>
      </w:r>
      <w:r>
        <w:rPr>
          <w:b/>
          <w:bCs/>
        </w:rPr>
        <w:t>с тем чтобы исключить возможность его использования для необоснованного ограничения свободы ассоциации для организаций гражданского общества, включая организации, выступающие за свободу веры и недискриминацию.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этот закон</w:t>
      </w:r>
      <w:r w:rsidR="003E5D55">
        <w:rPr>
          <w:b/>
          <w:bCs/>
        </w:rPr>
        <w:br/>
      </w:r>
      <w:r>
        <w:rPr>
          <w:b/>
          <w:bCs/>
        </w:rPr>
        <w:t xml:space="preserve">не использовался не по назначению для подрыва свободы ассоциации ассоциаций, преследующих политические цели, включая экологические движения, и чтобы </w:t>
      </w:r>
      <w:r w:rsidR="00BE42B4">
        <w:rPr>
          <w:b/>
          <w:bCs/>
        </w:rPr>
        <w:t>«</w:t>
      </w:r>
      <w:r>
        <w:rPr>
          <w:b/>
          <w:bCs/>
        </w:rPr>
        <w:t>обязательство соблюдать принципы Республики</w:t>
      </w:r>
      <w:r w:rsidR="00BE42B4">
        <w:rPr>
          <w:b/>
          <w:bCs/>
        </w:rPr>
        <w:t>»</w:t>
      </w:r>
      <w:r>
        <w:rPr>
          <w:b/>
          <w:bCs/>
        </w:rPr>
        <w:t xml:space="preserve"> не могло произвольно применяться для лишения государственных субсидий ассоциаций, которые считаются не соответствующими </w:t>
      </w:r>
      <w:r w:rsidR="00BE42B4">
        <w:rPr>
          <w:b/>
          <w:bCs/>
        </w:rPr>
        <w:t>«</w:t>
      </w:r>
      <w:r>
        <w:rPr>
          <w:b/>
          <w:bCs/>
        </w:rPr>
        <w:t>обязательству соблюдать принципы Республики</w:t>
      </w:r>
      <w:r w:rsidR="00BE42B4">
        <w:rPr>
          <w:b/>
          <w:bCs/>
        </w:rPr>
        <w:t>»</w:t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Государству-участнику следует обеспечить доступ к эффективным </w:t>
      </w:r>
      <w:r>
        <w:rPr>
          <w:b/>
          <w:bCs/>
        </w:rPr>
        <w:lastRenderedPageBreak/>
        <w:t>средствам правовой защиты для организаций, в отношении которых могут быть введены такие меры.</w:t>
      </w:r>
    </w:p>
    <w:p w14:paraId="6559AFC8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Право на мирные собрания</w:t>
      </w:r>
    </w:p>
    <w:p w14:paraId="3CB96A84" w14:textId="673FEF4A" w:rsidR="002A4F63" w:rsidRPr="00D22AD5" w:rsidRDefault="002A4F63" w:rsidP="002A4F63">
      <w:pPr>
        <w:pStyle w:val="SingleTxtG"/>
      </w:pPr>
      <w:r>
        <w:t>44.</w:t>
      </w:r>
      <w:r>
        <w:tab/>
        <w:t>Комитет обеспокоен утверждениями о том, что осуществлению права на мирные собрания препятствует увеличение числа случаев произвольного контроля и задержания демонстрантов, в том числе в районах, расположенных вблизи мест проведения демонстраций, а также увеличение числа демонстраций, запрещенных властями по причине предполагаемой угрозы общественному порядку, включая недавние демонстрации в поддержку палестинского народа (статьи 9, 12 и 21).</w:t>
      </w:r>
    </w:p>
    <w:p w14:paraId="30382225" w14:textId="77777777" w:rsidR="002A4F63" w:rsidRPr="00D22AD5" w:rsidRDefault="002A4F63" w:rsidP="002A4F63">
      <w:pPr>
        <w:pStyle w:val="SingleTxtG"/>
      </w:pPr>
      <w:r>
        <w:t>45.</w:t>
      </w:r>
      <w:r>
        <w:tab/>
      </w:r>
      <w:r>
        <w:rPr>
          <w:b/>
          <w:bCs/>
        </w:rPr>
        <w:t>С учетом замечания общего порядка № 37 (2020) о праве на мирные собрания государству-участнику следует гарантировать и защищать право на мирные собрания без дискриминации и воздерживаться от введения ограничений, противоречащих статье 21 Пакта.</w:t>
      </w:r>
    </w:p>
    <w:p w14:paraId="7482B743" w14:textId="47AD801E" w:rsidR="002A4F63" w:rsidRPr="00D22AD5" w:rsidRDefault="002A4F63" w:rsidP="002A4F63">
      <w:pPr>
        <w:pStyle w:val="SingleTxtG"/>
      </w:pPr>
      <w:r>
        <w:t>46.</w:t>
      </w:r>
      <w:r>
        <w:tab/>
        <w:t>Приветствуя некоторые изменения, внесенные в национальный план поддержания правопорядка в декабре 2021 года, особенно в части учета особой роли журналистов на демонстрациях, Комитет по-прежнему обеспокоен многочисленными утверждениями о чрезмерном применении силы во время полицейских операций на демонстрациях как в континентальной Франции, так и в заморских территориях,</w:t>
      </w:r>
      <w:r w:rsidR="003E5D55">
        <w:br/>
      </w:r>
      <w:r>
        <w:t>в том числе после обновления национального плана поддержания правопорядка. Несмотря на внесенные в 2021 году изменения, касающиеся регулирования использования оружия несмертельного действия и допустимых моделей, Комитет серьезно обеспокоен применением этого оружия, зачастую вне нормативно-правовой базы, что регулярно приводит к серьезным травмам, как это произошло во время демонстраций против пенсионной реформы в 2023 году. Комитет с озабоченностью отмечает, что национальный план поддержания правопорядка по-прежнему допускает развертывание подразделений, не прошедших специальной подготовки по охране правопорядка (бригады БРАВ-М и по борьбе с преступностью), и что требование обязательного ношения идентификатора (идентификатор RIO) часто не соблюдается сотрудниками правоохранительных органов (статьи 2, 6, 7 и 21).</w:t>
      </w:r>
    </w:p>
    <w:p w14:paraId="55BD6CAA" w14:textId="77777777" w:rsidR="002A4F63" w:rsidRPr="00D22AD5" w:rsidRDefault="002A4F63" w:rsidP="002A4F63">
      <w:pPr>
        <w:pStyle w:val="SingleTxtG"/>
        <w:keepNext/>
        <w:rPr>
          <w:b/>
          <w:bCs/>
        </w:rPr>
      </w:pPr>
      <w:r>
        <w:t>47.</w:t>
      </w:r>
      <w:r>
        <w:tab/>
      </w:r>
      <w:r>
        <w:rPr>
          <w:b/>
          <w:bCs/>
        </w:rPr>
        <w:t>В свете замечания общего порядка № 37 (2020) о праве на мирные собрания государству-участнику следует:</w:t>
      </w:r>
    </w:p>
    <w:p w14:paraId="5EFEA22D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неукоснительное соблюдение принципов необходимости и соразмерности на практике при охране порядка во время демонстраций;</w:t>
      </w:r>
    </w:p>
    <w:p w14:paraId="69A0922E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применение оружия ограничивалось случаями законной самообороны и чтобы случаи любого такого применения оперативно, беспристрастно и эффективно расследовалось;</w:t>
      </w:r>
    </w:p>
    <w:p w14:paraId="5014D5E3" w14:textId="77777777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учитывая большое количество серьезных травм, полученных демонстрантами, пересмотреть целесообразность разрешения полиции использовать оружие несмертельного действия для поддержания порядка во время демонстраций, в частности шумовые гранаты и устройства для стрельбы шариками;</w:t>
      </w:r>
    </w:p>
    <w:p w14:paraId="4A5E43E0" w14:textId="65087C42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гарантировать, чтобы по всем сообщениям о нарушениях прав человека проводились оперативные, тщательные, независимые</w:t>
      </w:r>
      <w:r w:rsidR="003E5D55">
        <w:rPr>
          <w:b/>
          <w:bCs/>
        </w:rPr>
        <w:br/>
      </w:r>
      <w:r>
        <w:rPr>
          <w:b/>
          <w:bCs/>
        </w:rPr>
        <w:t>и беспристрастные расследования, и обеспечить, чтобы виновные привлекались к ответственности и, в случае осуждения, подвергались наказаниям, соразмерным тяжести совершенного преступления, а жертвы получали полное возмещение ущерба.</w:t>
      </w:r>
    </w:p>
    <w:p w14:paraId="1D5EBD1F" w14:textId="6FB1D193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систематическое обучение всех сотрудников правоохранительных органов международным стандартам, регулирующим применение силы и огнестрельного оружия при охране порядка в местах скопления людей, включая Основные принципы применения силы</w:t>
      </w:r>
      <w:r w:rsidR="003E5D55">
        <w:rPr>
          <w:b/>
          <w:bCs/>
        </w:rPr>
        <w:br/>
      </w:r>
      <w:r>
        <w:rPr>
          <w:b/>
          <w:bCs/>
        </w:rPr>
        <w:t xml:space="preserve">и огнестрельного оружия должностными лицами по поддержанию правопорядка и основанные на правах человека Руководство Организации Объединенных Наций по соблюдению прав человека при применении менее смертоносного </w:t>
      </w:r>
      <w:r>
        <w:rPr>
          <w:b/>
          <w:bCs/>
        </w:rPr>
        <w:lastRenderedPageBreak/>
        <w:t>оружия в правоохранительной деятельности, а также ненасильственные средства борьбы с толпой, такие как методы деэскалации;</w:t>
      </w:r>
    </w:p>
    <w:p w14:paraId="568A1272" w14:textId="120E38DA" w:rsidR="002A4F63" w:rsidRPr="00D22AD5" w:rsidRDefault="002A4F63" w:rsidP="002A4F63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>принять необходимые меры для обеспечения того, чтобы все сотрудники правоохранительных органов могли быть легко идентифицированы при исполнении своих обязанностей, в том числе путем систематического</w:t>
      </w:r>
      <w:r w:rsidR="003E5D55">
        <w:rPr>
          <w:b/>
          <w:bCs/>
        </w:rPr>
        <w:br/>
      </w:r>
      <w:r>
        <w:rPr>
          <w:b/>
          <w:bCs/>
        </w:rPr>
        <w:t>и заметного ношения идентификатора RIO.</w:t>
      </w:r>
    </w:p>
    <w:p w14:paraId="09F2847F" w14:textId="7EC2C472" w:rsidR="002A4F63" w:rsidRPr="00D22AD5" w:rsidRDefault="002A4F63" w:rsidP="002A4F63">
      <w:pPr>
        <w:pStyle w:val="SingleTxtG"/>
      </w:pPr>
      <w:r>
        <w:t>48.</w:t>
      </w:r>
      <w:r>
        <w:tab/>
        <w:t>Комитет серьезно обеспокоен заявлениями о чрезмерном применении силы силами правопорядка в Новой Каледонии с мая 2024 года во время демонстраций и инцидентов, вспыхнувших в ответ на проект конституционного закона о внесении изменений в общий список избирателей в Новой Каледонии. По сообщениям, некоторые события переросли в насилие, и несколько человек, включая дюжину канаков и двух жандармов, погибли, а сотни других получили ранения (статьи 2, 6,</w:t>
      </w:r>
      <w:r w:rsidR="00897F5D">
        <w:br/>
      </w:r>
      <w:r>
        <w:t>7 и 21).</w:t>
      </w:r>
    </w:p>
    <w:p w14:paraId="37D1B0E3" w14:textId="0EB81DE8" w:rsidR="002A4F63" w:rsidRPr="00D22AD5" w:rsidRDefault="002A4F63" w:rsidP="002A4F63">
      <w:pPr>
        <w:pStyle w:val="SingleTxtG"/>
      </w:pPr>
      <w:r>
        <w:t>49.</w:t>
      </w:r>
      <w:r>
        <w:tab/>
      </w:r>
      <w:r>
        <w:rPr>
          <w:b/>
          <w:bCs/>
        </w:rPr>
        <w:t>Государству-участнику следует обеспечить, чтобы все предполагаемые случаи чрезмерного применения силы правоохранительными органами и силами безопасности в контексте демонстраций и инцидентов, произошедших на территории Новой Каледонии с мая 2024 года, были оперативно, беспристрастно и эффективно расследованы, чтобы лица, совершившие преступления</w:t>
      </w:r>
      <w:r w:rsidR="00897F5D">
        <w:rPr>
          <w:b/>
          <w:bCs/>
        </w:rPr>
        <w:br/>
      </w:r>
      <w:r>
        <w:rPr>
          <w:b/>
          <w:bCs/>
        </w:rPr>
        <w:t>и правонарушения в контексте этих событий, были привлечены</w:t>
      </w:r>
      <w:r w:rsidR="00897F5D">
        <w:rPr>
          <w:b/>
          <w:bCs/>
        </w:rPr>
        <w:br/>
      </w:r>
      <w:r>
        <w:rPr>
          <w:b/>
          <w:bCs/>
        </w:rPr>
        <w:t>к ответственности и, в случае признания их виновными, приговорены</w:t>
      </w:r>
      <w:r w:rsidR="00897F5D">
        <w:rPr>
          <w:b/>
          <w:bCs/>
        </w:rPr>
        <w:br/>
      </w:r>
      <w:r>
        <w:rPr>
          <w:b/>
          <w:bCs/>
        </w:rPr>
        <w:t>к наказаниям, соразмерным тяжести их деяний, и чтобы жертвы получили полное возмещение ущерба.</w:t>
      </w:r>
    </w:p>
    <w:p w14:paraId="027BC983" w14:textId="77777777" w:rsidR="002A4F63" w:rsidRPr="00D22AD5" w:rsidRDefault="002A4F63" w:rsidP="002A4F63">
      <w:pPr>
        <w:pStyle w:val="H23G"/>
      </w:pPr>
      <w:r>
        <w:tab/>
      </w:r>
      <w:r>
        <w:tab/>
      </w:r>
      <w:r>
        <w:rPr>
          <w:bCs/>
        </w:rPr>
        <w:t>Участие в ведении государственных дел</w:t>
      </w:r>
    </w:p>
    <w:p w14:paraId="61EE6048" w14:textId="77777777" w:rsidR="002A4F63" w:rsidRPr="00D22AD5" w:rsidRDefault="002A4F63" w:rsidP="002A4F63">
      <w:pPr>
        <w:pStyle w:val="SingleTxtG"/>
      </w:pPr>
      <w:r>
        <w:t>50.</w:t>
      </w:r>
      <w:r>
        <w:tab/>
        <w:t xml:space="preserve">Приветствуя объявление об отказе от конституционного законопроекта о внесении изменений в общий список избирателей в Новой Каледонии, Комитет выражает обеспокоенность по поводу отсутствия эффективного политического участия и мер по проведению консультаций с коренным народом канаков с целью получения их свободного, предварительного и осознанного согласия на принятие законов или других мер, затрагивающих их права. Комитет особенно обеспокоен ограниченными полномочиями Сената коренного населения по принятию решений (статья 25). </w:t>
      </w:r>
    </w:p>
    <w:p w14:paraId="10F0A51E" w14:textId="77777777" w:rsidR="002A4F63" w:rsidRPr="00D22AD5" w:rsidRDefault="002A4F63" w:rsidP="002A4F63">
      <w:pPr>
        <w:pStyle w:val="SingleTxtG"/>
      </w:pPr>
      <w:r>
        <w:t>51.</w:t>
      </w:r>
      <w:r>
        <w:tab/>
      </w:r>
      <w:r>
        <w:rPr>
          <w:b/>
          <w:bCs/>
        </w:rPr>
        <w:t>Напоминая об обязательствах, взятых на себя государствами, подписавшими Декларацию Организации Объединенных Наций о правах коренных народов, Комитет предлагает государству-участнику обеспечить эффективное участие коренных народов в политической жизни своих заморских территорий и гарантировать соблюдение права коренных народов на проведение с ними консультации с целью получения их свободного, предварительного и осознанного согласия до принятия любой законодательной меры или любого проекта, которые могут повлиять на осуществление их прав.</w:t>
      </w:r>
      <w:r>
        <w:t xml:space="preserve"> </w:t>
      </w:r>
    </w:p>
    <w:p w14:paraId="7AFB3D25" w14:textId="486008B3" w:rsidR="002A4F63" w:rsidRPr="00D22AD5" w:rsidRDefault="00897F5D" w:rsidP="002A4F63">
      <w:pPr>
        <w:pStyle w:val="H1G"/>
      </w:pPr>
      <w:r>
        <w:rPr>
          <w:bCs/>
        </w:rPr>
        <w:tab/>
      </w:r>
      <w:r w:rsidR="002A4F63">
        <w:rPr>
          <w:bCs/>
        </w:rPr>
        <w:t>D.</w:t>
      </w:r>
      <w:r w:rsidR="002A4F63">
        <w:tab/>
      </w:r>
      <w:r w:rsidR="002A4F63">
        <w:tab/>
      </w:r>
      <w:r w:rsidR="002A4F63">
        <w:rPr>
          <w:bCs/>
        </w:rPr>
        <w:t>Распространение информации и последующая деятельность</w:t>
      </w:r>
    </w:p>
    <w:p w14:paraId="1365BF10" w14:textId="77777777" w:rsidR="002A4F63" w:rsidRPr="00D22AD5" w:rsidRDefault="002A4F63" w:rsidP="002A4F63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его шестого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</w:p>
    <w:p w14:paraId="415F7DC9" w14:textId="0DAA379C" w:rsidR="002A4F63" w:rsidRPr="00D22AD5" w:rsidRDefault="002A4F63" w:rsidP="002A4F63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8 ноября 2027 года информацию о выполнении рекомендаций, вынесенных Комитетом</w:t>
      </w:r>
      <w:r w:rsidR="00897F5D">
        <w:rPr>
          <w:b/>
          <w:bCs/>
        </w:rPr>
        <w:br/>
      </w:r>
      <w:r>
        <w:rPr>
          <w:b/>
          <w:bCs/>
        </w:rPr>
        <w:t>в пунктах 19 (чрезмерное применение силы сотрудниками правоохранительных органов), 39 (свобода выражения мнений) и 47 (право на мирные собрания).</w:t>
      </w:r>
    </w:p>
    <w:p w14:paraId="076971F9" w14:textId="72862D4D" w:rsidR="002A4F63" w:rsidRPr="00D22AD5" w:rsidRDefault="002A4F63" w:rsidP="002A4F63">
      <w:pPr>
        <w:pStyle w:val="SingleTxtG"/>
        <w:rPr>
          <w:b/>
          <w:bCs/>
        </w:rPr>
      </w:pPr>
      <w:r>
        <w:lastRenderedPageBreak/>
        <w:t>54.</w:t>
      </w:r>
      <w:r>
        <w:tab/>
      </w:r>
      <w:r>
        <w:rPr>
          <w:b/>
          <w:bCs/>
        </w:rPr>
        <w:t>В соответствии с прогнозируемым циклом рассмотрения докладов Комитетом государство-участник получит от Комитета перечень вопросов, на которые потребуется ответить перед подачей доклада и которые составят основу его седьмого периодического доклада, в 2030 году.</w:t>
      </w:r>
      <w:r>
        <w:t xml:space="preserve"> </w:t>
      </w:r>
      <w:r>
        <w:rPr>
          <w:b/>
          <w:bCs/>
        </w:rPr>
        <w:t>Кроме того, Комитет просит государство-участник в процессе подготовки доклада активно консультироваться с гражданским обществом и с неправительственными организациями, которые работают в стране.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9" w:history="1">
        <w:r w:rsidRPr="00897F5D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</w:t>
      </w:r>
      <w:r w:rsidR="00897F5D">
        <w:rPr>
          <w:b/>
          <w:bCs/>
        </w:rPr>
        <w:t> </w:t>
      </w:r>
      <w:r>
        <w:rPr>
          <w:b/>
          <w:bCs/>
        </w:rPr>
        <w:t>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</w:t>
      </w:r>
      <w:r w:rsidR="00897F5D">
        <w:rPr>
          <w:b/>
          <w:bCs/>
        </w:rPr>
        <w:br/>
      </w:r>
      <w:r>
        <w:rPr>
          <w:b/>
          <w:bCs/>
        </w:rPr>
        <w:t>в 2032 году в Женеве.</w:t>
      </w:r>
    </w:p>
    <w:p w14:paraId="73460AC9" w14:textId="77777777" w:rsidR="002A4F63" w:rsidRPr="00D22AD5" w:rsidRDefault="002A4F63" w:rsidP="002A4F63">
      <w:pPr>
        <w:pStyle w:val="SingleTxtG"/>
        <w:spacing w:before="240" w:after="0"/>
        <w:jc w:val="center"/>
        <w:rPr>
          <w:u w:val="single"/>
        </w:rPr>
      </w:pPr>
      <w:r w:rsidRPr="00D22AD5">
        <w:rPr>
          <w:u w:val="single"/>
        </w:rPr>
        <w:tab/>
      </w:r>
      <w:r w:rsidRPr="00D22AD5">
        <w:rPr>
          <w:u w:val="single"/>
        </w:rPr>
        <w:tab/>
      </w:r>
      <w:r w:rsidRPr="00D22AD5">
        <w:rPr>
          <w:u w:val="single"/>
        </w:rPr>
        <w:tab/>
      </w:r>
    </w:p>
    <w:sectPr w:rsidR="002A4F63" w:rsidRPr="00D22AD5" w:rsidSect="002A4F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5C772" w14:textId="77777777" w:rsidR="0096696C" w:rsidRPr="00A312BC" w:rsidRDefault="0096696C" w:rsidP="00A312BC"/>
  </w:endnote>
  <w:endnote w:type="continuationSeparator" w:id="0">
    <w:p w14:paraId="756C7FF3" w14:textId="77777777" w:rsidR="0096696C" w:rsidRPr="00A312BC" w:rsidRDefault="0096696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0298" w14:textId="1EAAB6C9" w:rsidR="002A4F63" w:rsidRPr="002A4F63" w:rsidRDefault="002A4F63">
    <w:pPr>
      <w:pStyle w:val="a8"/>
    </w:pPr>
    <w:r w:rsidRPr="002A4F63">
      <w:rPr>
        <w:b/>
        <w:sz w:val="18"/>
      </w:rPr>
      <w:fldChar w:fldCharType="begin"/>
    </w:r>
    <w:r w:rsidRPr="002A4F63">
      <w:rPr>
        <w:b/>
        <w:sz w:val="18"/>
      </w:rPr>
      <w:instrText xml:space="preserve"> PAGE  \* MERGEFORMAT </w:instrText>
    </w:r>
    <w:r w:rsidRPr="002A4F63">
      <w:rPr>
        <w:b/>
        <w:sz w:val="18"/>
      </w:rPr>
      <w:fldChar w:fldCharType="separate"/>
    </w:r>
    <w:r w:rsidRPr="002A4F63">
      <w:rPr>
        <w:b/>
        <w:noProof/>
        <w:sz w:val="18"/>
      </w:rPr>
      <w:t>2</w:t>
    </w:r>
    <w:r w:rsidRPr="002A4F63">
      <w:rPr>
        <w:b/>
        <w:sz w:val="18"/>
      </w:rPr>
      <w:fldChar w:fldCharType="end"/>
    </w:r>
    <w:r>
      <w:rPr>
        <w:b/>
        <w:sz w:val="18"/>
      </w:rPr>
      <w:tab/>
    </w:r>
    <w:r>
      <w:t>GE.24-21083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982AF" w14:textId="1FA49019" w:rsidR="002A4F63" w:rsidRPr="002A4F63" w:rsidRDefault="002A4F63" w:rsidP="002A4F63">
    <w:pPr>
      <w:pStyle w:val="a8"/>
      <w:tabs>
        <w:tab w:val="clear" w:pos="9639"/>
        <w:tab w:val="right" w:pos="9638"/>
      </w:tabs>
      <w:rPr>
        <w:b/>
        <w:sz w:val="18"/>
      </w:rPr>
    </w:pPr>
    <w:r>
      <w:t>GE.24-21083</w:t>
    </w:r>
    <w:r>
      <w:tab/>
    </w:r>
    <w:r w:rsidRPr="002A4F63">
      <w:rPr>
        <w:b/>
        <w:sz w:val="18"/>
      </w:rPr>
      <w:fldChar w:fldCharType="begin"/>
    </w:r>
    <w:r w:rsidRPr="002A4F63">
      <w:rPr>
        <w:b/>
        <w:sz w:val="18"/>
      </w:rPr>
      <w:instrText xml:space="preserve"> PAGE  \* MERGEFORMAT </w:instrText>
    </w:r>
    <w:r w:rsidRPr="002A4F63">
      <w:rPr>
        <w:b/>
        <w:sz w:val="18"/>
      </w:rPr>
      <w:fldChar w:fldCharType="separate"/>
    </w:r>
    <w:r w:rsidRPr="002A4F63">
      <w:rPr>
        <w:b/>
        <w:noProof/>
        <w:sz w:val="18"/>
      </w:rPr>
      <w:t>3</w:t>
    </w:r>
    <w:r w:rsidRPr="002A4F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3D285" w14:textId="70B92758" w:rsidR="00042B72" w:rsidRPr="002A4F63" w:rsidRDefault="002A4F63" w:rsidP="002A4F6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8267BB" wp14:editId="06DA91C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24-21083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24372FA" wp14:editId="09D2A45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061224  020125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7D00" w14:textId="77777777" w:rsidR="0096696C" w:rsidRPr="001075E9" w:rsidRDefault="0096696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4AE5497" w14:textId="77777777" w:rsidR="0096696C" w:rsidRDefault="0096696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18BD19" w14:textId="656B663C" w:rsidR="002A4F63" w:rsidRPr="00D22AD5" w:rsidRDefault="002A4F63" w:rsidP="002A4F63">
      <w:pPr>
        <w:pStyle w:val="ad"/>
      </w:pPr>
      <w:r>
        <w:tab/>
        <w:t>*</w:t>
      </w:r>
      <w:r>
        <w:tab/>
        <w:t xml:space="preserve">Приняты Комитетом на его сто сорок второй сессии (14 октября </w:t>
      </w:r>
      <w:r w:rsidRPr="00B76E19">
        <w:t>‒‒</w:t>
      </w:r>
      <w:r>
        <w:t xml:space="preserve"> 7 ноября 2024 года).</w:t>
      </w:r>
    </w:p>
  </w:footnote>
  <w:footnote w:id="2">
    <w:p w14:paraId="0D1B607F" w14:textId="27A62B71" w:rsidR="002A4F63" w:rsidRPr="00D22AD5" w:rsidRDefault="002A4F63" w:rsidP="002A4F63">
      <w:pPr>
        <w:pStyle w:val="ad"/>
      </w:pPr>
      <w:r w:rsidRPr="00586EAE">
        <w:tab/>
      </w:r>
      <w:r w:rsidRPr="007000E2">
        <w:rPr>
          <w:rStyle w:val="aa"/>
        </w:rPr>
        <w:footnoteRef/>
      </w:r>
      <w:r>
        <w:tab/>
      </w:r>
      <w:hyperlink r:id="rId1" w:history="1">
        <w:r w:rsidRPr="002A4F63">
          <w:rPr>
            <w:rStyle w:val="af1"/>
          </w:rPr>
          <w:t>CCPR/C/FRA/6</w:t>
        </w:r>
      </w:hyperlink>
      <w:r>
        <w:t>.</w:t>
      </w:r>
    </w:p>
  </w:footnote>
  <w:footnote w:id="3">
    <w:p w14:paraId="6E5197A4" w14:textId="1DB3B182" w:rsidR="002A4F63" w:rsidRPr="00D22AD5" w:rsidRDefault="002A4F63" w:rsidP="002A4F63">
      <w:pPr>
        <w:pStyle w:val="ad"/>
      </w:pPr>
      <w:r w:rsidRPr="00586EAE">
        <w:tab/>
      </w:r>
      <w:r w:rsidRPr="007000E2">
        <w:rPr>
          <w:rStyle w:val="aa"/>
        </w:rPr>
        <w:footnoteRef/>
      </w:r>
      <w:r>
        <w:tab/>
      </w:r>
      <w:hyperlink r:id="rId2" w:history="1">
        <w:r w:rsidRPr="002A4F63">
          <w:rPr>
            <w:rStyle w:val="af1"/>
          </w:rPr>
          <w:t>CCPR/C/SR.4160</w:t>
        </w:r>
      </w:hyperlink>
      <w:r>
        <w:t xml:space="preserve"> и </w:t>
      </w:r>
      <w:hyperlink r:id="rId3" w:history="1">
        <w:r w:rsidRPr="002A4F63">
          <w:rPr>
            <w:rStyle w:val="af1"/>
          </w:rPr>
          <w:t>CCPR/C/SR.4161</w:t>
        </w:r>
      </w:hyperlink>
      <w:r>
        <w:t>.</w:t>
      </w:r>
    </w:p>
  </w:footnote>
  <w:footnote w:id="4">
    <w:p w14:paraId="4B334E90" w14:textId="7F6A51C4" w:rsidR="002A4F63" w:rsidRPr="00102592" w:rsidRDefault="002A4F63" w:rsidP="002A4F63">
      <w:pPr>
        <w:pStyle w:val="ad"/>
        <w:spacing w:after="240"/>
        <w:rPr>
          <w:lang w:val="fr-CH"/>
        </w:rPr>
      </w:pPr>
      <w:r w:rsidRPr="00586EAE">
        <w:tab/>
      </w:r>
      <w:r w:rsidRPr="007000E2">
        <w:rPr>
          <w:rStyle w:val="aa"/>
        </w:rPr>
        <w:footnoteRef/>
      </w:r>
      <w:r w:rsidRPr="00102592">
        <w:rPr>
          <w:lang w:val="fr-CH"/>
        </w:rPr>
        <w:tab/>
      </w:r>
      <w:hyperlink r:id="rId4" w:history="1">
        <w:r w:rsidRPr="002A4F63">
          <w:rPr>
            <w:rStyle w:val="af1"/>
            <w:lang w:val="fr-CH"/>
          </w:rPr>
          <w:t>CCPR/C/FRA/QPR/6</w:t>
        </w:r>
      </w:hyperlink>
      <w:r w:rsidRPr="00102592">
        <w:rPr>
          <w:lang w:val="fr-CH"/>
        </w:rPr>
        <w:t>.</w:t>
      </w:r>
    </w:p>
  </w:footnote>
  <w:footnote w:id="5">
    <w:p w14:paraId="0A59B804" w14:textId="7D338F8A" w:rsidR="002A4F63" w:rsidRPr="00102592" w:rsidRDefault="002A4F63" w:rsidP="002A4F63">
      <w:pPr>
        <w:pStyle w:val="ad"/>
        <w:rPr>
          <w:lang w:val="fr-CH"/>
        </w:rPr>
      </w:pPr>
      <w:r w:rsidRPr="00102592">
        <w:rPr>
          <w:lang w:val="fr-CH"/>
        </w:rPr>
        <w:tab/>
      </w:r>
      <w:r w:rsidRPr="007000E2">
        <w:rPr>
          <w:rStyle w:val="aa"/>
        </w:rPr>
        <w:footnoteRef/>
      </w:r>
      <w:r w:rsidRPr="00102592">
        <w:rPr>
          <w:lang w:val="fr-CH"/>
        </w:rPr>
        <w:tab/>
      </w:r>
      <w:hyperlink r:id="rId5" w:history="1">
        <w:r w:rsidRPr="002A4F63">
          <w:rPr>
            <w:rStyle w:val="af1"/>
            <w:lang w:val="fr-CH"/>
          </w:rPr>
          <w:t>CCPR/C/FRA/CO/5</w:t>
        </w:r>
      </w:hyperlink>
      <w:r w:rsidRPr="00102592">
        <w:rPr>
          <w:lang w:val="fr-CH"/>
        </w:rPr>
        <w:t xml:space="preserve">, </w:t>
      </w:r>
      <w:r>
        <w:t>п</w:t>
      </w:r>
      <w:r w:rsidRPr="00102592">
        <w:rPr>
          <w:lang w:val="fr-CH"/>
        </w:rPr>
        <w:t>. 7.</w:t>
      </w:r>
    </w:p>
  </w:footnote>
  <w:footnote w:id="6">
    <w:p w14:paraId="2EF532CB" w14:textId="3E16A861" w:rsidR="002A4F63" w:rsidRPr="002A4F63" w:rsidRDefault="002A4F63" w:rsidP="002A4F63">
      <w:pPr>
        <w:pStyle w:val="ad"/>
        <w:rPr>
          <w:lang w:val="fr-CH"/>
        </w:rPr>
      </w:pPr>
      <w:r w:rsidRPr="00102592">
        <w:rPr>
          <w:lang w:val="fr-CH"/>
        </w:rPr>
        <w:tab/>
      </w:r>
      <w:r w:rsidRPr="007000E2">
        <w:rPr>
          <w:rStyle w:val="aa"/>
        </w:rPr>
        <w:footnoteRef/>
      </w:r>
      <w:r w:rsidRPr="002A4F63">
        <w:rPr>
          <w:lang w:val="fr-CH"/>
        </w:rPr>
        <w:tab/>
      </w:r>
      <w:hyperlink r:id="rId6" w:history="1">
        <w:r w:rsidRPr="002A4F63">
          <w:rPr>
            <w:rStyle w:val="af1"/>
            <w:lang w:val="fr-CH"/>
          </w:rPr>
          <w:t>CCPR/C/123/D/2807/2016</w:t>
        </w:r>
      </w:hyperlink>
      <w:r w:rsidRPr="002A4F63">
        <w:rPr>
          <w:lang w:val="fr-CH"/>
        </w:rPr>
        <w:t>.</w:t>
      </w:r>
    </w:p>
  </w:footnote>
  <w:footnote w:id="7">
    <w:p w14:paraId="0FAA5836" w14:textId="064665D6" w:rsidR="002A4F63" w:rsidRPr="002A4F63" w:rsidRDefault="002A4F63" w:rsidP="002A4F63">
      <w:pPr>
        <w:pStyle w:val="ad"/>
        <w:rPr>
          <w:lang w:val="fr-CH"/>
        </w:rPr>
      </w:pPr>
      <w:r w:rsidRPr="002A4F63">
        <w:rPr>
          <w:lang w:val="fr-CH"/>
        </w:rPr>
        <w:tab/>
      </w:r>
      <w:r w:rsidRPr="007000E2">
        <w:rPr>
          <w:rStyle w:val="aa"/>
        </w:rPr>
        <w:footnoteRef/>
      </w:r>
      <w:r w:rsidRPr="002A4F63">
        <w:rPr>
          <w:lang w:val="fr-CH"/>
        </w:rPr>
        <w:tab/>
      </w:r>
      <w:hyperlink r:id="rId7" w:history="1">
        <w:r w:rsidRPr="002A4F63">
          <w:rPr>
            <w:rStyle w:val="af1"/>
            <w:lang w:val="fr-CH"/>
          </w:rPr>
          <w:t>CCPR/C/123/D/2747/2016</w:t>
        </w:r>
      </w:hyperlink>
      <w:r w:rsidRPr="002A4F63">
        <w:rPr>
          <w:lang w:val="fr-CH"/>
        </w:rPr>
        <w:t>.</w:t>
      </w:r>
    </w:p>
  </w:footnote>
  <w:footnote w:id="8">
    <w:p w14:paraId="1506C784" w14:textId="68B283A3" w:rsidR="002A4F63" w:rsidRPr="002A4F63" w:rsidRDefault="002A4F63" w:rsidP="002A4F63">
      <w:pPr>
        <w:pStyle w:val="ad"/>
        <w:rPr>
          <w:lang w:val="fr-CH"/>
        </w:rPr>
      </w:pPr>
      <w:r w:rsidRPr="002A4F63">
        <w:rPr>
          <w:lang w:val="fr-CH"/>
        </w:rPr>
        <w:tab/>
      </w:r>
      <w:r w:rsidRPr="007000E2">
        <w:rPr>
          <w:rStyle w:val="aa"/>
        </w:rPr>
        <w:footnoteRef/>
      </w:r>
      <w:r w:rsidRPr="002A4F63">
        <w:rPr>
          <w:lang w:val="fr-CH"/>
        </w:rPr>
        <w:tab/>
      </w:r>
      <w:hyperlink r:id="rId8" w:history="1">
        <w:r w:rsidRPr="002A4F63">
          <w:rPr>
            <w:rStyle w:val="af1"/>
            <w:lang w:val="fr-CH"/>
          </w:rPr>
          <w:t>CCPR/C/134/D/2921/2016</w:t>
        </w:r>
      </w:hyperlink>
      <w:r w:rsidRPr="002A4F63">
        <w:rPr>
          <w:lang w:val="fr-CH"/>
        </w:rPr>
        <w:t>.</w:t>
      </w:r>
    </w:p>
  </w:footnote>
  <w:footnote w:id="9">
    <w:p w14:paraId="4020D9C3" w14:textId="55BD78FD" w:rsidR="002A4F63" w:rsidRPr="002A4F63" w:rsidRDefault="002A4F63" w:rsidP="002A4F63">
      <w:pPr>
        <w:pStyle w:val="ad"/>
        <w:rPr>
          <w:lang w:val="fr-CH"/>
        </w:rPr>
      </w:pPr>
      <w:r w:rsidRPr="002A4F63">
        <w:rPr>
          <w:lang w:val="fr-CH"/>
        </w:rPr>
        <w:tab/>
      </w:r>
      <w:r w:rsidRPr="007000E2">
        <w:rPr>
          <w:rStyle w:val="aa"/>
        </w:rPr>
        <w:footnoteRef/>
      </w:r>
      <w:r w:rsidRPr="002A4F63">
        <w:rPr>
          <w:lang w:val="fr-CH"/>
        </w:rPr>
        <w:tab/>
      </w:r>
      <w:hyperlink r:id="rId9" w:history="1">
        <w:r w:rsidRPr="002A4F63">
          <w:rPr>
            <w:rStyle w:val="af1"/>
            <w:lang w:val="fr-CH"/>
          </w:rPr>
          <w:t>CCPR/C/123/D/2662/2015</w:t>
        </w:r>
      </w:hyperlink>
      <w:r w:rsidRPr="002A4F63">
        <w:rPr>
          <w:lang w:val="fr-CH"/>
        </w:rPr>
        <w:t>.</w:t>
      </w:r>
    </w:p>
  </w:footnote>
  <w:footnote w:id="10">
    <w:p w14:paraId="474EDA44" w14:textId="667AFE8E" w:rsidR="002A4F63" w:rsidRPr="00D22AD5" w:rsidRDefault="002A4F63" w:rsidP="002A4F63">
      <w:pPr>
        <w:pStyle w:val="ad"/>
        <w:rPr>
          <w:lang w:val="en-US"/>
        </w:rPr>
      </w:pPr>
      <w:r w:rsidRPr="002A4F63">
        <w:rPr>
          <w:lang w:val="fr-CH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0" w:history="1">
        <w:r w:rsidRPr="002A4F63">
          <w:rPr>
            <w:rStyle w:val="af1"/>
            <w:lang w:val="en-US"/>
          </w:rPr>
          <w:t>CCPR/C/FRA/CO/5</w:t>
        </w:r>
      </w:hyperlink>
      <w:r w:rsidRPr="00D22AD5">
        <w:rPr>
          <w:lang w:val="en-US"/>
        </w:rPr>
        <w:t xml:space="preserve">, </w:t>
      </w:r>
      <w:r>
        <w:t>п</w:t>
      </w:r>
      <w:r w:rsidRPr="00D22AD5">
        <w:rPr>
          <w:lang w:val="en-US"/>
        </w:rPr>
        <w:t xml:space="preserve">. </w:t>
      </w:r>
      <w:proofErr w:type="gramStart"/>
      <w:r w:rsidRPr="00D22AD5">
        <w:rPr>
          <w:lang w:val="en-US"/>
        </w:rPr>
        <w:t>6</w:t>
      </w:r>
      <w:proofErr w:type="gramEnd"/>
      <w:r w:rsidRPr="00D22AD5">
        <w:rPr>
          <w:lang w:val="en-US"/>
        </w:rPr>
        <w:t>.</w:t>
      </w:r>
    </w:p>
  </w:footnote>
  <w:footnote w:id="11">
    <w:p w14:paraId="37184708" w14:textId="21CE7EB9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1" w:history="1">
        <w:r w:rsidR="00341048" w:rsidRPr="00324A44">
          <w:rPr>
            <w:rStyle w:val="af1"/>
            <w:lang w:val="pt-PT"/>
          </w:rPr>
          <w:t>CERD/C/FRA/CO/22-23</w:t>
        </w:r>
      </w:hyperlink>
      <w:r w:rsidRPr="00D22AD5">
        <w:rPr>
          <w:lang w:val="en-US"/>
        </w:rPr>
        <w:t xml:space="preserve">, </w:t>
      </w:r>
      <w:r>
        <w:t>пп</w:t>
      </w:r>
      <w:r w:rsidRPr="00D22AD5">
        <w:rPr>
          <w:lang w:val="en-US"/>
        </w:rPr>
        <w:t xml:space="preserve">. 5 </w:t>
      </w:r>
      <w:r>
        <w:t>и</w:t>
      </w:r>
      <w:r w:rsidRPr="00D22AD5">
        <w:rPr>
          <w:lang w:val="en-US"/>
        </w:rPr>
        <w:t xml:space="preserve"> 6.</w:t>
      </w:r>
    </w:p>
  </w:footnote>
  <w:footnote w:id="12">
    <w:p w14:paraId="3969E010" w14:textId="1017829D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2" w:history="1">
        <w:r w:rsidR="00341048" w:rsidRPr="00324A44">
          <w:rPr>
            <w:rStyle w:val="af1"/>
            <w:lang w:val="pt-PT"/>
          </w:rPr>
          <w:t>CERD/C/FRA/CO/22-23</w:t>
        </w:r>
      </w:hyperlink>
      <w:r w:rsidRPr="00D22AD5">
        <w:rPr>
          <w:lang w:val="en-US"/>
        </w:rPr>
        <w:t xml:space="preserve">, </w:t>
      </w:r>
      <w:r>
        <w:t>пп</w:t>
      </w:r>
      <w:r w:rsidRPr="00D22AD5">
        <w:rPr>
          <w:lang w:val="en-US"/>
        </w:rPr>
        <w:t xml:space="preserve">. 23 </w:t>
      </w:r>
      <w:r>
        <w:t>и</w:t>
      </w:r>
      <w:r w:rsidRPr="00D22AD5">
        <w:rPr>
          <w:lang w:val="en-US"/>
        </w:rPr>
        <w:t xml:space="preserve"> 24.</w:t>
      </w:r>
    </w:p>
  </w:footnote>
  <w:footnote w:id="13">
    <w:p w14:paraId="2DC59DB4" w14:textId="7D0DA591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3" w:history="1">
        <w:r w:rsidRPr="002A4F63">
          <w:rPr>
            <w:rStyle w:val="af1"/>
            <w:lang w:val="en-US"/>
          </w:rPr>
          <w:t>CCPR/C/FRA/CO/5</w:t>
        </w:r>
      </w:hyperlink>
      <w:r w:rsidRPr="00D22AD5">
        <w:rPr>
          <w:lang w:val="en-US"/>
        </w:rPr>
        <w:t xml:space="preserve">, </w:t>
      </w:r>
      <w:r>
        <w:t>п</w:t>
      </w:r>
      <w:r w:rsidRPr="00D22AD5">
        <w:rPr>
          <w:lang w:val="en-US"/>
        </w:rPr>
        <w:t xml:space="preserve">. </w:t>
      </w:r>
      <w:proofErr w:type="gramStart"/>
      <w:r w:rsidRPr="00D22AD5">
        <w:rPr>
          <w:lang w:val="en-US"/>
        </w:rPr>
        <w:t>15</w:t>
      </w:r>
      <w:proofErr w:type="gramEnd"/>
      <w:r w:rsidRPr="00D22AD5">
        <w:rPr>
          <w:lang w:val="en-US"/>
        </w:rPr>
        <w:t xml:space="preserve">. </w:t>
      </w:r>
    </w:p>
  </w:footnote>
  <w:footnote w:id="14">
    <w:p w14:paraId="113FDEB5" w14:textId="55D69463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4" w:history="1">
        <w:r w:rsidR="00B734C5" w:rsidRPr="00324A44">
          <w:rPr>
            <w:rStyle w:val="af1"/>
            <w:lang w:val="pt-PT"/>
          </w:rPr>
          <w:t>CERD/C/FRA/CO/22-23</w:t>
        </w:r>
      </w:hyperlink>
      <w:r w:rsidRPr="00D22AD5">
        <w:rPr>
          <w:lang w:val="en-US"/>
        </w:rPr>
        <w:t xml:space="preserve">, </w:t>
      </w:r>
      <w:r>
        <w:t>пп</w:t>
      </w:r>
      <w:r w:rsidRPr="00D22AD5">
        <w:rPr>
          <w:lang w:val="en-US"/>
        </w:rPr>
        <w:t xml:space="preserve">. 25 </w:t>
      </w:r>
      <w:r>
        <w:t>и</w:t>
      </w:r>
      <w:r w:rsidRPr="00D22AD5">
        <w:rPr>
          <w:lang w:val="en-US"/>
        </w:rPr>
        <w:t xml:space="preserve"> 26.</w:t>
      </w:r>
    </w:p>
  </w:footnote>
  <w:footnote w:id="15">
    <w:p w14:paraId="5A4F70D6" w14:textId="2D49DC3A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5" w:history="1">
        <w:r w:rsidRPr="002A4F63">
          <w:rPr>
            <w:rStyle w:val="af1"/>
            <w:lang w:val="en-US"/>
          </w:rPr>
          <w:t>CCPR/C/FRA/CO/5</w:t>
        </w:r>
      </w:hyperlink>
      <w:r w:rsidRPr="00D22AD5">
        <w:rPr>
          <w:lang w:val="en-US"/>
        </w:rPr>
        <w:t xml:space="preserve">, </w:t>
      </w:r>
      <w:r>
        <w:t>пп</w:t>
      </w:r>
      <w:r w:rsidRPr="00D22AD5">
        <w:rPr>
          <w:lang w:val="en-US"/>
        </w:rPr>
        <w:t xml:space="preserve">. 18 </w:t>
      </w:r>
      <w:r>
        <w:t>и</w:t>
      </w:r>
      <w:r w:rsidRPr="00D22AD5">
        <w:rPr>
          <w:lang w:val="en-US"/>
        </w:rPr>
        <w:t xml:space="preserve"> 19.</w:t>
      </w:r>
    </w:p>
  </w:footnote>
  <w:footnote w:id="16">
    <w:p w14:paraId="34A8AC97" w14:textId="2043CC47" w:rsidR="002A4F63" w:rsidRPr="00D22AD5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6" w:history="1">
        <w:r w:rsidR="00341048" w:rsidRPr="00324A44">
          <w:rPr>
            <w:rStyle w:val="af1"/>
            <w:lang w:val="pt-PT"/>
          </w:rPr>
          <w:t>CERD/C/FRA/CO/22-23</w:t>
        </w:r>
      </w:hyperlink>
      <w:r w:rsidRPr="00D22AD5">
        <w:rPr>
          <w:lang w:val="en-US"/>
        </w:rPr>
        <w:t xml:space="preserve">, </w:t>
      </w:r>
      <w:r>
        <w:t>пп</w:t>
      </w:r>
      <w:r w:rsidRPr="00D22AD5">
        <w:rPr>
          <w:lang w:val="en-US"/>
        </w:rPr>
        <w:t>. 19</w:t>
      </w:r>
      <w:r w:rsidR="00341048" w:rsidRPr="00341048">
        <w:rPr>
          <w:lang w:val="en-US"/>
        </w:rPr>
        <w:t>‒</w:t>
      </w:r>
      <w:r w:rsidRPr="00D22AD5">
        <w:rPr>
          <w:lang w:val="en-US"/>
        </w:rPr>
        <w:t>22.</w:t>
      </w:r>
    </w:p>
  </w:footnote>
  <w:footnote w:id="17">
    <w:p w14:paraId="03D873C9" w14:textId="6DDC033F" w:rsidR="0027625B" w:rsidRPr="0096229B" w:rsidRDefault="0027625B" w:rsidP="0027625B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7" w:history="1">
        <w:r w:rsidRPr="002A4F63">
          <w:rPr>
            <w:rStyle w:val="af1"/>
            <w:lang w:val="en-US"/>
          </w:rPr>
          <w:t>CCPR/C/FRA/CO/5</w:t>
        </w:r>
      </w:hyperlink>
      <w:r w:rsidRPr="00D22AD5">
        <w:rPr>
          <w:lang w:val="en-US"/>
        </w:rPr>
        <w:t xml:space="preserve">, </w:t>
      </w:r>
      <w:r>
        <w:t>п</w:t>
      </w:r>
      <w:r w:rsidRPr="00D22AD5">
        <w:rPr>
          <w:lang w:val="en-US"/>
        </w:rPr>
        <w:t xml:space="preserve">. </w:t>
      </w:r>
      <w:proofErr w:type="gramStart"/>
      <w:r w:rsidRPr="00D22AD5">
        <w:rPr>
          <w:lang w:val="en-US"/>
        </w:rPr>
        <w:t>19</w:t>
      </w:r>
      <w:proofErr w:type="gramEnd"/>
      <w:r w:rsidRPr="00D22AD5">
        <w:rPr>
          <w:lang w:val="en-US"/>
        </w:rPr>
        <w:t>.</w:t>
      </w:r>
    </w:p>
  </w:footnote>
  <w:footnote w:id="18">
    <w:p w14:paraId="6EAE9B0A" w14:textId="2C75810C" w:rsidR="002A4F63" w:rsidRPr="0096229B" w:rsidRDefault="002A4F63" w:rsidP="002A4F63">
      <w:pPr>
        <w:pStyle w:val="ad"/>
        <w:rPr>
          <w:lang w:val="en-US"/>
        </w:rPr>
      </w:pPr>
      <w:r w:rsidRPr="00D22AD5">
        <w:rPr>
          <w:lang w:val="en-US"/>
        </w:rPr>
        <w:tab/>
      </w:r>
      <w:r w:rsidRPr="007000E2">
        <w:rPr>
          <w:rStyle w:val="aa"/>
        </w:rPr>
        <w:footnoteRef/>
      </w:r>
      <w:r w:rsidRPr="00D22AD5">
        <w:rPr>
          <w:lang w:val="en-US"/>
        </w:rPr>
        <w:tab/>
      </w:r>
      <w:hyperlink r:id="rId18" w:history="1">
        <w:r w:rsidRPr="002A4F63">
          <w:rPr>
            <w:rStyle w:val="af1"/>
            <w:lang w:val="en-US"/>
          </w:rPr>
          <w:t>CCPR/C/FRA/CO/5</w:t>
        </w:r>
      </w:hyperlink>
      <w:r w:rsidRPr="00D22AD5">
        <w:rPr>
          <w:lang w:val="en-US"/>
        </w:rPr>
        <w:t xml:space="preserve">, </w:t>
      </w:r>
      <w:r>
        <w:t>п</w:t>
      </w:r>
      <w:r w:rsidRPr="00D22AD5">
        <w:rPr>
          <w:lang w:val="en-US"/>
        </w:rPr>
        <w:t xml:space="preserve">. </w:t>
      </w:r>
      <w:proofErr w:type="gramStart"/>
      <w:r w:rsidRPr="00D22AD5">
        <w:rPr>
          <w:lang w:val="en-US"/>
        </w:rPr>
        <w:t>22</w:t>
      </w:r>
      <w:proofErr w:type="gramEnd"/>
      <w:r w:rsidRPr="00D22AD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C20F9" w14:textId="223CB899" w:rsidR="002A4F63" w:rsidRPr="002A4F63" w:rsidRDefault="000A3F0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CCPR/C/FRA/CO/6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CBB2C" w14:textId="3FEF14AA" w:rsidR="002A4F63" w:rsidRPr="002A4F63" w:rsidRDefault="000A3F00" w:rsidP="002A4F6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CCPR/C/FRA/CO/6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96C"/>
    <w:rsid w:val="00033EE1"/>
    <w:rsid w:val="000358F2"/>
    <w:rsid w:val="00042B72"/>
    <w:rsid w:val="000558BD"/>
    <w:rsid w:val="000A3F00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01DC"/>
    <w:rsid w:val="00254812"/>
    <w:rsid w:val="0027625B"/>
    <w:rsid w:val="002A2EFC"/>
    <w:rsid w:val="002A4F63"/>
    <w:rsid w:val="002B38A8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41048"/>
    <w:rsid w:val="00375F01"/>
    <w:rsid w:val="00381C24"/>
    <w:rsid w:val="003958D0"/>
    <w:rsid w:val="003B00E5"/>
    <w:rsid w:val="003E5D55"/>
    <w:rsid w:val="00407B78"/>
    <w:rsid w:val="00424203"/>
    <w:rsid w:val="00452493"/>
    <w:rsid w:val="00454E07"/>
    <w:rsid w:val="00472C5C"/>
    <w:rsid w:val="004969B2"/>
    <w:rsid w:val="004B6722"/>
    <w:rsid w:val="004F5E8B"/>
    <w:rsid w:val="0050108D"/>
    <w:rsid w:val="00513081"/>
    <w:rsid w:val="00517901"/>
    <w:rsid w:val="00520F74"/>
    <w:rsid w:val="00522A4E"/>
    <w:rsid w:val="00526683"/>
    <w:rsid w:val="00543BE1"/>
    <w:rsid w:val="005513F3"/>
    <w:rsid w:val="005709E0"/>
    <w:rsid w:val="00572E19"/>
    <w:rsid w:val="005961C8"/>
    <w:rsid w:val="005D7914"/>
    <w:rsid w:val="005E2B41"/>
    <w:rsid w:val="005F0B42"/>
    <w:rsid w:val="00643D96"/>
    <w:rsid w:val="00666B97"/>
    <w:rsid w:val="00681A10"/>
    <w:rsid w:val="006A1ED8"/>
    <w:rsid w:val="006A7347"/>
    <w:rsid w:val="006B3942"/>
    <w:rsid w:val="006C2031"/>
    <w:rsid w:val="006D461A"/>
    <w:rsid w:val="006E5E4B"/>
    <w:rsid w:val="006F35EE"/>
    <w:rsid w:val="006F4F24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97F5D"/>
    <w:rsid w:val="008A08D7"/>
    <w:rsid w:val="008B6909"/>
    <w:rsid w:val="008D6A96"/>
    <w:rsid w:val="00906890"/>
    <w:rsid w:val="00911BE4"/>
    <w:rsid w:val="00931A71"/>
    <w:rsid w:val="00951972"/>
    <w:rsid w:val="009608F3"/>
    <w:rsid w:val="0096229B"/>
    <w:rsid w:val="0096696C"/>
    <w:rsid w:val="00973FC3"/>
    <w:rsid w:val="009918E2"/>
    <w:rsid w:val="009A24AC"/>
    <w:rsid w:val="009A46B7"/>
    <w:rsid w:val="009D10B7"/>
    <w:rsid w:val="009D21FD"/>
    <w:rsid w:val="00A14DA8"/>
    <w:rsid w:val="00A312BC"/>
    <w:rsid w:val="00A34D07"/>
    <w:rsid w:val="00A54A6A"/>
    <w:rsid w:val="00A84021"/>
    <w:rsid w:val="00A84D35"/>
    <w:rsid w:val="00A917B3"/>
    <w:rsid w:val="00AB4B51"/>
    <w:rsid w:val="00AD2539"/>
    <w:rsid w:val="00AD6F87"/>
    <w:rsid w:val="00AE5C45"/>
    <w:rsid w:val="00B10CC7"/>
    <w:rsid w:val="00B136DB"/>
    <w:rsid w:val="00B539E7"/>
    <w:rsid w:val="00B62458"/>
    <w:rsid w:val="00B734C5"/>
    <w:rsid w:val="00BC18B2"/>
    <w:rsid w:val="00BC3629"/>
    <w:rsid w:val="00BD33EE"/>
    <w:rsid w:val="00BE42B4"/>
    <w:rsid w:val="00BF1A04"/>
    <w:rsid w:val="00C0177C"/>
    <w:rsid w:val="00C106D6"/>
    <w:rsid w:val="00C46D5A"/>
    <w:rsid w:val="00C60F0C"/>
    <w:rsid w:val="00C805C9"/>
    <w:rsid w:val="00C86DDC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92525"/>
    <w:rsid w:val="00DD1D1E"/>
    <w:rsid w:val="00DD78D1"/>
    <w:rsid w:val="00DE32CD"/>
    <w:rsid w:val="00DF5221"/>
    <w:rsid w:val="00DF71B9"/>
    <w:rsid w:val="00E005F7"/>
    <w:rsid w:val="00E06BEE"/>
    <w:rsid w:val="00E46656"/>
    <w:rsid w:val="00E66DD8"/>
    <w:rsid w:val="00E73F76"/>
    <w:rsid w:val="00EA2C9F"/>
    <w:rsid w:val="00EA420E"/>
    <w:rsid w:val="00EB31EE"/>
    <w:rsid w:val="00ED0BDA"/>
    <w:rsid w:val="00EF1360"/>
    <w:rsid w:val="00EF3220"/>
    <w:rsid w:val="00F43903"/>
    <w:rsid w:val="00F53D17"/>
    <w:rsid w:val="00F94155"/>
    <w:rsid w:val="00F9783F"/>
    <w:rsid w:val="00FC6153"/>
    <w:rsid w:val="00FC636C"/>
    <w:rsid w:val="00FD2EF7"/>
    <w:rsid w:val="00FE447E"/>
    <w:rsid w:val="00FF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45270"/>
  <w15:docId w15:val="{435A96D2-E32A-4FFD-9734-CECD33FC7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2A4F63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2A4F63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2A4F63"/>
    <w:rPr>
      <w:b/>
      <w:lang w:val="ru-RU" w:eastAsia="ru-RU"/>
    </w:rPr>
  </w:style>
  <w:style w:type="character" w:customStyle="1" w:styleId="SingleTxtGChar">
    <w:name w:val="_ Single Txt_G Char"/>
    <w:link w:val="SingleTxtG"/>
    <w:rsid w:val="002A4F6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A4F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1514%20(XV)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68/268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134/D/2921/2016" TargetMode="External"/><Relationship Id="rId13" Type="http://schemas.openxmlformats.org/officeDocument/2006/relationships/hyperlink" Target="http://undocs.org/ru/CCPR/C/FRA/CO/5" TargetMode="External"/><Relationship Id="rId18" Type="http://schemas.openxmlformats.org/officeDocument/2006/relationships/hyperlink" Target="http://undocs.org/ru/CCPR/C/FRA/CO/5" TargetMode="External"/><Relationship Id="rId3" Type="http://schemas.openxmlformats.org/officeDocument/2006/relationships/hyperlink" Target="http://undocs.org/ru/CCPR/C/SR.4161" TargetMode="External"/><Relationship Id="rId7" Type="http://schemas.openxmlformats.org/officeDocument/2006/relationships/hyperlink" Target="http://undocs.org/ru/CCPR/C/123/D/2747/2016" TargetMode="External"/><Relationship Id="rId12" Type="http://schemas.openxmlformats.org/officeDocument/2006/relationships/hyperlink" Target="http://undocs.org/ru/CERD/C/FRA/CO/22-23" TargetMode="External"/><Relationship Id="rId17" Type="http://schemas.openxmlformats.org/officeDocument/2006/relationships/hyperlink" Target="http://undocs.org/ru/CCPR/C/FRA/CO/5" TargetMode="External"/><Relationship Id="rId2" Type="http://schemas.openxmlformats.org/officeDocument/2006/relationships/hyperlink" Target="http://undocs.org/ru/CCPR/C/SR.4160" TargetMode="External"/><Relationship Id="rId16" Type="http://schemas.openxmlformats.org/officeDocument/2006/relationships/hyperlink" Target="http://undocs.org/ru/CERD/C/FRA/CO/22-23" TargetMode="External"/><Relationship Id="rId1" Type="http://schemas.openxmlformats.org/officeDocument/2006/relationships/hyperlink" Target="http://undocs.org/fr/CCPR/C/FRA/6" TargetMode="External"/><Relationship Id="rId6" Type="http://schemas.openxmlformats.org/officeDocument/2006/relationships/hyperlink" Target="http://undocs.org/ru/CCPR/C/123/D/2807/2016" TargetMode="External"/><Relationship Id="rId11" Type="http://schemas.openxmlformats.org/officeDocument/2006/relationships/hyperlink" Target="http://undocs.org/ru/CERD/C/FRA/CO/22-23" TargetMode="External"/><Relationship Id="rId5" Type="http://schemas.openxmlformats.org/officeDocument/2006/relationships/hyperlink" Target="http://undocs.org/ru/CCPR/C/FRA/CO/5" TargetMode="External"/><Relationship Id="rId15" Type="http://schemas.openxmlformats.org/officeDocument/2006/relationships/hyperlink" Target="http://undocs.org/ru/CCPR/C/FRA/CO/5" TargetMode="External"/><Relationship Id="rId10" Type="http://schemas.openxmlformats.org/officeDocument/2006/relationships/hyperlink" Target="http://undocs.org/ru/CCPR/C/FRA/CO/5" TargetMode="External"/><Relationship Id="rId4" Type="http://schemas.openxmlformats.org/officeDocument/2006/relationships/hyperlink" Target="http://undocs.org/fr/CCPR/C/FRA/QPR/6" TargetMode="External"/><Relationship Id="rId9" Type="http://schemas.openxmlformats.org/officeDocument/2006/relationships/hyperlink" Target="http://undocs.org/ru/CCPR/C/123/D/2662/2015" TargetMode="External"/><Relationship Id="rId14" Type="http://schemas.openxmlformats.org/officeDocument/2006/relationships/hyperlink" Target="http://undocs.org/ru/CERD/C/FRA/CO/22-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15</Pages>
  <Words>5793</Words>
  <Characters>41302</Characters>
  <Application>Microsoft Office Word</Application>
  <DocSecurity>0</DocSecurity>
  <Lines>722</Lines>
  <Paragraphs>134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CCPR/C/FRA/CO/6</vt:lpstr>
      <vt:lpstr>A/</vt:lpstr>
      <vt:lpstr>A/</vt:lpstr>
    </vt:vector>
  </TitlesOfParts>
  <Company>DCM</Company>
  <LinksUpToDate>false</LinksUpToDate>
  <CharactersWithSpaces>47012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CCPR/C/FRA/CO/6</dc:title>
  <dc:subject/>
  <dc:creator>Anna KISSELEVA</dc:creator>
  <cp:keywords/>
  <cp:lastModifiedBy>Anna Kisseleva</cp:lastModifiedBy>
  <cp:revision>3</cp:revision>
  <cp:lastPrinted>2025-01-02T10:53:00Z</cp:lastPrinted>
  <dcterms:created xsi:type="dcterms:W3CDTF">2025-01-02T10:53:00Z</dcterms:created>
  <dcterms:modified xsi:type="dcterms:W3CDTF">2025-01-02T10:55:00Z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