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DBC" w:rsidRPr="00314FDC" w:rsidRDefault="00EC4DBC" w:rsidP="00EC4DBC">
      <w:pPr>
        <w:spacing w:line="240" w:lineRule="auto"/>
        <w:rPr>
          <w:sz w:val="6"/>
        </w:rPr>
        <w:sectPr w:rsidR="00EC4DBC" w:rsidRPr="00314FDC" w:rsidSect="000E0D3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14FDC">
        <w:rPr>
          <w:rStyle w:val="CommentReference"/>
          <w:szCs w:val="20"/>
        </w:rPr>
        <w:commentReference w:id="0"/>
      </w:r>
    </w:p>
    <w:p w:rsidR="00314FDC" w:rsidRDefault="00314FDC" w:rsidP="00314FDC">
      <w:pPr>
        <w:pStyle w:val="H1"/>
        <w:spacing w:after="120" w:line="280" w:lineRule="exact"/>
        <w:ind w:right="1260"/>
      </w:pPr>
      <w:r>
        <w:t>Comité para la Eliminación de la Discriminación</w:t>
      </w:r>
      <w:r>
        <w:br/>
        <w:t>contra la Mujer</w:t>
      </w:r>
    </w:p>
    <w:p w:rsidR="00314FDC" w:rsidRDefault="00314FDC" w:rsidP="00314FDC">
      <w:pPr>
        <w:suppressAutoHyphens w:val="0"/>
        <w:spacing w:line="240" w:lineRule="auto"/>
        <w:rPr>
          <w:b/>
        </w:rPr>
      </w:pPr>
      <w:r>
        <w:rPr>
          <w:b/>
        </w:rPr>
        <w:t>Grupo de trabajo anterior al período de sesiones</w:t>
      </w:r>
    </w:p>
    <w:p w:rsidR="00314FDC" w:rsidRDefault="00314FDC" w:rsidP="00314FDC">
      <w:pPr>
        <w:suppressAutoHyphens w:val="0"/>
        <w:spacing w:line="240" w:lineRule="auto"/>
        <w:rPr>
          <w:b/>
        </w:rPr>
      </w:pPr>
      <w:r>
        <w:rPr>
          <w:b/>
        </w:rPr>
        <w:t>59º período de sesiones</w:t>
      </w:r>
    </w:p>
    <w:p w:rsidR="00314FDC" w:rsidRDefault="00314FDC" w:rsidP="00314FDC">
      <w:pPr>
        <w:suppressAutoHyphens w:val="0"/>
        <w:spacing w:line="240" w:lineRule="auto"/>
      </w:pPr>
      <w:r>
        <w:t>3 a 7 de marzo de 2014</w:t>
      </w:r>
    </w:p>
    <w:p w:rsidR="00314FDC" w:rsidRPr="00314FDC" w:rsidRDefault="00314FDC" w:rsidP="00314FDC">
      <w:pPr>
        <w:pStyle w:val="SingleTxt"/>
        <w:spacing w:after="0" w:line="120" w:lineRule="exact"/>
        <w:rPr>
          <w:sz w:val="10"/>
        </w:rPr>
      </w:pPr>
    </w:p>
    <w:p w:rsidR="00314FDC" w:rsidRPr="00314FDC" w:rsidRDefault="00314FDC" w:rsidP="00314FDC">
      <w:pPr>
        <w:pStyle w:val="SingleTxt"/>
        <w:spacing w:after="0" w:line="120" w:lineRule="exact"/>
        <w:rPr>
          <w:sz w:val="10"/>
        </w:rPr>
      </w:pPr>
    </w:p>
    <w:p w:rsidR="00314FDC" w:rsidRPr="00314FDC" w:rsidRDefault="00314FDC" w:rsidP="00314FDC">
      <w:pPr>
        <w:pStyle w:val="SingleTxt"/>
        <w:spacing w:after="0" w:line="120" w:lineRule="exact"/>
        <w:rPr>
          <w:sz w:val="10"/>
        </w:rPr>
      </w:pPr>
    </w:p>
    <w:p w:rsidR="00314FDC" w:rsidRDefault="00314FDC" w:rsidP="00314F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314FDC" w:rsidRPr="00314FDC" w:rsidRDefault="00314FDC" w:rsidP="00314FDC">
      <w:pPr>
        <w:pStyle w:val="SingleTxt"/>
        <w:spacing w:after="0" w:line="120" w:lineRule="exact"/>
        <w:rPr>
          <w:sz w:val="10"/>
        </w:rPr>
      </w:pPr>
    </w:p>
    <w:p w:rsidR="00314FDC" w:rsidRPr="00314FDC" w:rsidRDefault="00314FDC" w:rsidP="00314FDC">
      <w:pPr>
        <w:pStyle w:val="SingleTxt"/>
        <w:spacing w:after="0" w:line="120" w:lineRule="exact"/>
        <w:rPr>
          <w:sz w:val="10"/>
        </w:rPr>
      </w:pPr>
    </w:p>
    <w:p w:rsidR="00314FDC" w:rsidRDefault="00314FDC" w:rsidP="00314F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del grupo de trabajo anterior al período de sesiones</w:t>
      </w:r>
    </w:p>
    <w:p w:rsidR="00314FDC" w:rsidRPr="00314FDC" w:rsidRDefault="00314FDC" w:rsidP="00314FDC">
      <w:pPr>
        <w:pStyle w:val="SingleTxt"/>
        <w:spacing w:after="0" w:line="120" w:lineRule="exact"/>
        <w:rPr>
          <w:sz w:val="10"/>
        </w:rPr>
      </w:pPr>
    </w:p>
    <w:p w:rsidR="00314FDC" w:rsidRPr="00314FDC" w:rsidRDefault="00314FDC" w:rsidP="00314FDC">
      <w:pPr>
        <w:pStyle w:val="SingleTxt"/>
        <w:spacing w:after="0" w:line="120" w:lineRule="exact"/>
        <w:rPr>
          <w:sz w:val="10"/>
        </w:rPr>
      </w:pPr>
    </w:p>
    <w:p w:rsidR="00314FDC" w:rsidRDefault="00314FDC" w:rsidP="00314FDC">
      <w:pPr>
        <w:pStyle w:val="SingleTxt"/>
        <w:numPr>
          <w:ilvl w:val="0"/>
          <w:numId w:val="5"/>
        </w:numPr>
        <w:tabs>
          <w:tab w:val="clear" w:pos="475"/>
          <w:tab w:val="num" w:pos="1742"/>
        </w:tabs>
        <w:ind w:left="1267"/>
      </w:pPr>
      <w:r>
        <w:t>Es 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p>
    <w:p w:rsidR="00314FDC" w:rsidRDefault="00314FDC" w:rsidP="00314FDC">
      <w:pPr>
        <w:pStyle w:val="SingleTxt"/>
        <w:numPr>
          <w:ilvl w:val="0"/>
          <w:numId w:val="5"/>
        </w:numPr>
        <w:tabs>
          <w:tab w:val="clear" w:pos="475"/>
          <w:tab w:val="num" w:pos="1742"/>
        </w:tabs>
        <w:ind w:left="1267"/>
      </w:pPr>
      <w:r>
        <w:t xml:space="preserve">El Comité decidió que el grupo de trabajo anterior al 59º período de sesiones se reuniera del 3 al 7 de marzo de 2014, inmediatamente después de su 57º período de sesiones, a fin de dar a los Estados partes tiempo suficiente para presentar respuestas por escrito a las listas de cuestiones y preguntas y asegurar que se tradujeran oportunamente. </w:t>
      </w:r>
    </w:p>
    <w:p w:rsidR="00314FDC" w:rsidRDefault="00314FDC" w:rsidP="00314FDC">
      <w:pPr>
        <w:pStyle w:val="SingleTxt"/>
        <w:numPr>
          <w:ilvl w:val="0"/>
          <w:numId w:val="5"/>
        </w:numPr>
        <w:tabs>
          <w:tab w:val="clear" w:pos="475"/>
          <w:tab w:val="num" w:pos="1742"/>
        </w:tabs>
        <w:ind w:left="1267"/>
      </w:pPr>
      <w:r>
        <w:t>Se nombró a las siguientes expertas para formar parte del grupo de trabajo anterior al período de sesiones:</w:t>
      </w:r>
    </w:p>
    <w:p w:rsidR="00314FDC" w:rsidRDefault="00314FDC" w:rsidP="00314FDC">
      <w:pPr>
        <w:pStyle w:val="SingleTxt"/>
      </w:pPr>
      <w:r>
        <w:tab/>
        <w:t>Sra. Feride Acar</w:t>
      </w:r>
    </w:p>
    <w:p w:rsidR="00314FDC" w:rsidRDefault="00314FDC" w:rsidP="00314FDC">
      <w:pPr>
        <w:pStyle w:val="SingleTxt"/>
      </w:pPr>
      <w:r>
        <w:tab/>
        <w:t>Sra. Barbara Bailey</w:t>
      </w:r>
    </w:p>
    <w:p w:rsidR="00314FDC" w:rsidRDefault="00314FDC" w:rsidP="00314FDC">
      <w:pPr>
        <w:pStyle w:val="SingleTxt"/>
      </w:pPr>
      <w:r>
        <w:tab/>
        <w:t>Sra. Ismat Jahan</w:t>
      </w:r>
    </w:p>
    <w:p w:rsidR="00314FDC" w:rsidRDefault="00314FDC" w:rsidP="00314FDC">
      <w:pPr>
        <w:pStyle w:val="SingleTxt"/>
      </w:pPr>
      <w:r>
        <w:tab/>
        <w:t>Sra. Dalia Leinarte</w:t>
      </w:r>
    </w:p>
    <w:p w:rsidR="00314FDC" w:rsidRDefault="00314FDC" w:rsidP="00314FDC">
      <w:pPr>
        <w:pStyle w:val="SingleTxt"/>
      </w:pPr>
      <w:r>
        <w:tab/>
        <w:t>Sra. Pramila Patten</w:t>
      </w:r>
    </w:p>
    <w:p w:rsidR="00314FDC" w:rsidRDefault="00314FDC" w:rsidP="00314FDC">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El grupo de trabajo anterior al período de sesiones eligió Presidenta a</w:t>
      </w:r>
      <w:r>
        <w:rPr>
          <w:color w:val="0000FF"/>
        </w:rPr>
        <w:t xml:space="preserve"> </w:t>
      </w:r>
      <w:r>
        <w:t>la Sra. Jahan.</w:t>
      </w:r>
    </w:p>
    <w:p w:rsidR="00314FDC" w:rsidRDefault="00314FDC" w:rsidP="00314FDC">
      <w:pPr>
        <w:pStyle w:val="SingleTxt"/>
        <w:numPr>
          <w:ilvl w:val="0"/>
          <w:numId w:val="6"/>
        </w:numPr>
        <w:tabs>
          <w:tab w:val="clear" w:pos="475"/>
          <w:tab w:val="num" w:pos="1742"/>
        </w:tabs>
        <w:ind w:left="1267"/>
      </w:pPr>
      <w:r>
        <w:t>El grupo de trabajo anterior al período de sesiones preparó listas de cuestiones y preguntas relativas a los informes de Bélgica, Brunei Darussalam, China, Ghana, Guinea, las Islas Salomón, Polonia y Venezuela (República Bolivariana de). A este respecto, el grupo de trabajo anterior al período de sesiones orientó su labor en función de la decisión 49/IX del Comité, en virtud de la cual el Comité decidió limitar las listas de cuestiones y preguntas a 20 preguntas. En la práctica y de manera excepcional, algunas listas de cuestiones y preguntas contienen un máximo de 21 preguntas</w:t>
      </w:r>
    </w:p>
    <w:p w:rsidR="00314FDC" w:rsidRDefault="00314FDC" w:rsidP="00314FDC">
      <w:pPr>
        <w:pStyle w:val="SingleTxt"/>
        <w:numPr>
          <w:ilvl w:val="0"/>
          <w:numId w:val="6"/>
        </w:numPr>
        <w:tabs>
          <w:tab w:val="clear" w:pos="475"/>
          <w:tab w:val="num" w:pos="1742"/>
        </w:tabs>
        <w:ind w:left="1267"/>
      </w:pPr>
      <w:r>
        <w:t xml:space="preserve">A fin de preparar las listas de cuestiones y preguntas, el grupo de trabajo anterior al período de sesiones tuvo ante sí los informes de los Estados partes mencionados, además de los documentos básicos presentados por la mayoría de esos Estados; las recomendaciones generales aprobadas por el Comité; información de antecedentes y los proyectos de listas de cuestiones y preguntas elaborados por la Secretaría; y demás información pertinente, incluidas las observaciones finales del Comité y de otros órganos creados en virtud de tratados. Al preparar las listas de cuestiones y preguntas para los informes periódicos, el grupo de trabajo anterior al período de sesiones prestó especial atención a la aplicación dada por los Estados partes a las observaciones finales formuladas por el Comité en sus informes anteriores, si los hubiere (no en los informes iniciales). </w:t>
      </w:r>
    </w:p>
    <w:p w:rsidR="00314FDC" w:rsidRDefault="00314FDC" w:rsidP="00314FDC">
      <w:pPr>
        <w:pStyle w:val="SingleTxt"/>
        <w:numPr>
          <w:ilvl w:val="0"/>
          <w:numId w:val="6"/>
        </w:numPr>
        <w:tabs>
          <w:tab w:val="clear" w:pos="475"/>
          <w:tab w:val="num" w:pos="1742"/>
        </w:tabs>
        <w:ind w:left="1267"/>
      </w:pPr>
      <w:r>
        <w:t>El grupo de trabajo anterior al período de sesiones utilizó también la información presentada oralmente y por escrito por entidades y organismos especializados del sistema de las Naciones Unidas, instituciones nacionales de derechos humanos y organizaciones no gubernamentales.</w:t>
      </w:r>
    </w:p>
    <w:p w:rsidR="00314FDC" w:rsidRDefault="00314FDC" w:rsidP="00314FDC">
      <w:pPr>
        <w:pStyle w:val="SingleTxt"/>
        <w:numPr>
          <w:ilvl w:val="0"/>
          <w:numId w:val="6"/>
        </w:numPr>
        <w:tabs>
          <w:tab w:val="clear" w:pos="475"/>
          <w:tab w:val="num" w:pos="1742"/>
        </w:tabs>
        <w:ind w:left="1267"/>
      </w:pPr>
      <w:r>
        <w:t xml:space="preserve">Las listas de cuestiones y preguntas aprobadas por el grupo de trabajo anterior al período de sesiones fueron transmitidas a los Estados partes correspondientes y figuran en los siguientes documentos: </w:t>
      </w:r>
    </w:p>
    <w:p w:rsidR="00314FDC" w:rsidRDefault="00314FDC" w:rsidP="00314FDC">
      <w:pPr>
        <w:pStyle w:val="SingleTxt"/>
      </w:pPr>
      <w:r>
        <w:tab/>
        <w:t>a)</w:t>
      </w:r>
      <w:r>
        <w:tab/>
        <w:t>Lista de cuestiones y preguntas relativas al séptimo informe periódico de Bélgica (</w:t>
      </w:r>
      <w:hyperlink r:id="rId14" w:history="1">
        <w:r w:rsidRPr="00314FDC">
          <w:rPr>
            <w:rStyle w:val="Hyperlink"/>
          </w:rPr>
          <w:t>CEDAW/C/BEL/Q/7</w:t>
        </w:r>
      </w:hyperlink>
      <w:r>
        <w:t>);</w:t>
      </w:r>
    </w:p>
    <w:p w:rsidR="00314FDC" w:rsidRDefault="00314FDC" w:rsidP="00314FDC">
      <w:pPr>
        <w:pStyle w:val="SingleTxt"/>
      </w:pPr>
      <w:r>
        <w:tab/>
        <w:t>b)</w:t>
      </w:r>
      <w:r>
        <w:tab/>
        <w:t>Lista de cuestiones y preguntas relativas al informe inicial y al segundo informe periódico combinados de Brunei Darussalam (</w:t>
      </w:r>
      <w:hyperlink r:id="rId15" w:history="1">
        <w:r w:rsidRPr="00314FDC">
          <w:rPr>
            <w:rStyle w:val="Hyperlink"/>
          </w:rPr>
          <w:t>CEDAW/C/BRN/Q/1-2</w:t>
        </w:r>
      </w:hyperlink>
      <w:r>
        <w:t>);</w:t>
      </w:r>
    </w:p>
    <w:p w:rsidR="00314FDC" w:rsidRDefault="00314FDC" w:rsidP="00314FDC">
      <w:pPr>
        <w:pStyle w:val="SingleTxt"/>
      </w:pPr>
      <w:r>
        <w:tab/>
        <w:t>c)</w:t>
      </w:r>
      <w:r>
        <w:tab/>
        <w:t>Lista de cuestiones y preguntas relativas a los informes periódicos séptimo y octavo combinados de China (</w:t>
      </w:r>
      <w:hyperlink r:id="rId16" w:history="1">
        <w:r w:rsidRPr="00314FDC">
          <w:rPr>
            <w:rStyle w:val="Hyperlink"/>
          </w:rPr>
          <w:t>CEDAW/C/CHN/Q/7-8</w:t>
        </w:r>
      </w:hyperlink>
      <w:r>
        <w:t>);</w:t>
      </w:r>
    </w:p>
    <w:p w:rsidR="00314FDC" w:rsidRDefault="00314FDC" w:rsidP="00314FDC">
      <w:pPr>
        <w:pStyle w:val="SingleTxt"/>
      </w:pPr>
      <w:r>
        <w:tab/>
        <w:t>d)</w:t>
      </w:r>
      <w:r>
        <w:tab/>
        <w:t>Lista de cuestiones y preguntas relativas a los informes periódicos sexto y séptimo combinados de Ghana (</w:t>
      </w:r>
      <w:hyperlink r:id="rId17" w:history="1">
        <w:r w:rsidRPr="00314FDC">
          <w:rPr>
            <w:rStyle w:val="Hyperlink"/>
          </w:rPr>
          <w:t>CEDAW/C/GHA/Q/6-7</w:t>
        </w:r>
      </w:hyperlink>
      <w:r>
        <w:t xml:space="preserve">); </w:t>
      </w:r>
    </w:p>
    <w:p w:rsidR="00314FDC" w:rsidRDefault="00314FDC" w:rsidP="00314FDC">
      <w:pPr>
        <w:pStyle w:val="SingleTxt"/>
      </w:pPr>
      <w:r>
        <w:tab/>
        <w:t>e)</w:t>
      </w:r>
      <w:r>
        <w:tab/>
        <w:t>Lista de cuestiones relativas a los informes periódicos séptimo y octavo combinados de Guinea (</w:t>
      </w:r>
      <w:hyperlink r:id="rId18" w:history="1">
        <w:r w:rsidRPr="00314FDC">
          <w:rPr>
            <w:rStyle w:val="Hyperlink"/>
          </w:rPr>
          <w:t>CEDAW/C/GIN/Q/7-8</w:t>
        </w:r>
      </w:hyperlink>
      <w:r>
        <w:t>);</w:t>
      </w:r>
    </w:p>
    <w:p w:rsidR="00314FDC" w:rsidRDefault="00314FDC" w:rsidP="00314FDC">
      <w:pPr>
        <w:pStyle w:val="SingleTxt"/>
      </w:pPr>
      <w:r>
        <w:tab/>
        <w:t>f)</w:t>
      </w:r>
      <w:r>
        <w:tab/>
        <w:t>Lista de cuestiones y preguntas relativas a los informes periódicos séptimo y octavo combinados de Polonia (</w:t>
      </w:r>
      <w:hyperlink r:id="rId19" w:history="1">
        <w:r w:rsidRPr="00314FDC">
          <w:rPr>
            <w:rStyle w:val="Hyperlink"/>
          </w:rPr>
          <w:t>CEDAW/C/POL/Q/7-8</w:t>
        </w:r>
      </w:hyperlink>
      <w:r>
        <w:t>);</w:t>
      </w:r>
    </w:p>
    <w:p w:rsidR="00314FDC" w:rsidRDefault="00314FDC" w:rsidP="00314FDC">
      <w:pPr>
        <w:pStyle w:val="SingleTxt"/>
      </w:pPr>
      <w:r>
        <w:tab/>
        <w:t>g)</w:t>
      </w:r>
      <w:r>
        <w:tab/>
        <w:t>Lista de cuestiones y preguntas relativas al informe inicial y los informes periódicos segundo y tercero combinados de las Islas Salomón (</w:t>
      </w:r>
      <w:hyperlink r:id="rId20" w:history="1">
        <w:r w:rsidRPr="00314FDC">
          <w:rPr>
            <w:rStyle w:val="Hyperlink"/>
          </w:rPr>
          <w:t>CEDAW/C/SLB/Q/1-3/Add.2</w:t>
        </w:r>
      </w:hyperlink>
      <w:r>
        <w:t>);</w:t>
      </w:r>
    </w:p>
    <w:p w:rsidR="00314FDC" w:rsidRDefault="00314FDC" w:rsidP="00314FDC">
      <w:pPr>
        <w:pStyle w:val="SingleTxt"/>
      </w:pPr>
      <w:r>
        <w:tab/>
        <w:t>h)</w:t>
      </w:r>
      <w:r>
        <w:tab/>
        <w:t>Lista de cuestiones relativas a los informes periódicos séptimo y octavo combinados de la República Bolivariana de Venezuela (</w:t>
      </w:r>
      <w:hyperlink r:id="rId21" w:history="1">
        <w:r w:rsidRPr="00314FDC">
          <w:rPr>
            <w:rStyle w:val="Hyperlink"/>
          </w:rPr>
          <w:t>CEDAW/C/VEN/Q/7-8</w:t>
        </w:r>
      </w:hyperlink>
      <w:r>
        <w:t>).</w:t>
      </w:r>
    </w:p>
    <w:p w:rsidR="00314FDC" w:rsidRDefault="00314FDC" w:rsidP="00314FDC">
      <w:pPr>
        <w:pStyle w:val="SingleTxt"/>
        <w:numPr>
          <w:ilvl w:val="0"/>
          <w:numId w:val="7"/>
        </w:numPr>
        <w:tabs>
          <w:tab w:val="clear" w:pos="475"/>
          <w:tab w:val="right" w:pos="1022"/>
        </w:tabs>
        <w:ind w:left="1267" w:right="1260"/>
      </w:pPr>
      <w:r>
        <w:t xml:space="preserve">De conformidad con las decisiones 22/V, 25/II y 31/III del Comité, las listas de cuestiones y preguntas se centraron en temas que se abordan en la Convención sobre la Eliminación de Todas las Formas de Discriminación contra la Mujer. Entre ellos cabe mencionar el marco constitucional y legislativo; la mujer, la paz y la seguridad, cuando corresponda;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educación y la capacitación; el empleo; la salud; las prestaciones sociales y económicas; las mujeres que viven en zonas rurales; las mujeres en situaciones vulnerables, como las mujeres de edad, las mujeres con discapacidad, las mujeres pertenecientes a minorías étnicas, las mujeres refugiadas y las mujeres migrantes; la igualdad ante la ley; y el matrimonio y las relaciones familiares. </w:t>
      </w:r>
    </w:p>
    <w:p w:rsidR="00314FDC" w:rsidRPr="00314FDC" w:rsidRDefault="00314FDC" w:rsidP="00314FDC">
      <w:pPr>
        <w:pStyle w:val="SingleTxt"/>
      </w:pPr>
      <w:r>
        <w:rPr>
          <w:noProof/>
          <w:w w:val="100"/>
          <w:lang w:eastAsia="es-ES"/>
        </w:rPr>
        <w:pict>
          <v:line id="_x0000_s1026" style="position:absolute;left:0;text-align:left;z-index:1" from="210.2pt,24pt" to="282.2pt,24pt" strokecolor="#010000" strokeweight=".25pt"/>
        </w:pict>
      </w:r>
    </w:p>
    <w:sectPr w:rsidR="00314FDC" w:rsidRPr="00314FDC" w:rsidSect="000E0D3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1T16:43:00Z" w:initials="Start">
    <w:p w:rsidR="00EC4DBC" w:rsidRPr="00314FDC" w:rsidRDefault="00EC4DBC">
      <w:pPr>
        <w:pStyle w:val="CommentText"/>
        <w:rPr>
          <w:lang w:val="en-US"/>
        </w:rPr>
      </w:pPr>
      <w:r>
        <w:fldChar w:fldCharType="begin"/>
      </w:r>
      <w:r w:rsidRPr="00314FDC">
        <w:rPr>
          <w:rStyle w:val="CommentReference"/>
          <w:lang w:val="en-US"/>
        </w:rPr>
        <w:instrText xml:space="preserve"> </w:instrText>
      </w:r>
      <w:r w:rsidRPr="00314FDC">
        <w:rPr>
          <w:lang w:val="en-US"/>
        </w:rPr>
        <w:instrText>PAGE \# "'Page: '#'</w:instrText>
      </w:r>
      <w:r w:rsidRPr="00314FDC">
        <w:rPr>
          <w:lang w:val="en-US"/>
        </w:rPr>
        <w:br/>
        <w:instrText>'"</w:instrText>
      </w:r>
      <w:r w:rsidRPr="00314FDC">
        <w:rPr>
          <w:rStyle w:val="CommentReference"/>
          <w:lang w:val="en-US"/>
        </w:rPr>
        <w:instrText xml:space="preserve"> </w:instrText>
      </w:r>
      <w:r>
        <w:fldChar w:fldCharType="end"/>
      </w:r>
      <w:r>
        <w:rPr>
          <w:rStyle w:val="CommentReference"/>
        </w:rPr>
        <w:annotationRef/>
      </w:r>
      <w:r w:rsidRPr="00314FDC">
        <w:rPr>
          <w:lang w:val="en-US"/>
        </w:rPr>
        <w:t>&lt;&lt;ODS JOB NO&gt;&gt;N1426250S&lt;&lt;ODS JOB NO&gt;&gt;</w:t>
      </w:r>
    </w:p>
    <w:p w:rsidR="00EC4DBC" w:rsidRPr="00314FDC" w:rsidRDefault="00EC4DBC">
      <w:pPr>
        <w:pStyle w:val="CommentText"/>
        <w:rPr>
          <w:lang w:val="en-US"/>
        </w:rPr>
      </w:pPr>
      <w:r w:rsidRPr="00314FDC">
        <w:rPr>
          <w:lang w:val="en-US"/>
        </w:rPr>
        <w:t>&lt;&lt;ODS DOC SYMBOL1&gt;&gt;CEDAW/C/PSWG/59/1&lt;&lt;ODS DOC SYMBOL1&gt;&gt;</w:t>
      </w:r>
    </w:p>
    <w:p w:rsidR="00EC4DBC" w:rsidRPr="00314FDC" w:rsidRDefault="00EC4DBC">
      <w:pPr>
        <w:pStyle w:val="CommentText"/>
        <w:rPr>
          <w:lang w:val="en-US"/>
        </w:rPr>
      </w:pPr>
      <w:r w:rsidRPr="00314FD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383" w:rsidRDefault="00EE5383" w:rsidP="008F1E8F">
      <w:pPr>
        <w:spacing w:line="240" w:lineRule="auto"/>
      </w:pPr>
      <w:r>
        <w:separator/>
      </w:r>
    </w:p>
  </w:endnote>
  <w:endnote w:type="continuationSeparator" w:id="0">
    <w:p w:rsidR="00EE5383" w:rsidRDefault="00EE538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C4DBC" w:rsidTr="00EC4DBC">
      <w:tblPrEx>
        <w:tblCellMar>
          <w:top w:w="0" w:type="dxa"/>
          <w:bottom w:w="0" w:type="dxa"/>
        </w:tblCellMar>
      </w:tblPrEx>
      <w:tc>
        <w:tcPr>
          <w:tcW w:w="4995" w:type="dxa"/>
          <w:shd w:val="clear" w:color="auto" w:fill="auto"/>
        </w:tcPr>
        <w:p w:rsidR="00EC4DBC" w:rsidRPr="00EC4DBC" w:rsidRDefault="00EC4DBC" w:rsidP="00EC4DBC">
          <w:pPr>
            <w:pStyle w:val="Footer"/>
            <w:jc w:val="right"/>
            <w:rPr>
              <w:b w:val="0"/>
              <w:w w:val="103"/>
              <w:sz w:val="14"/>
            </w:rPr>
          </w:pPr>
          <w:fldSimple w:instr=" DOCVARIABLE &quot;FooterJN&quot; \* MERGEFORMAT ">
            <w:r w:rsidR="00314FDC">
              <w:rPr>
                <w:b w:val="0"/>
                <w:w w:val="103"/>
                <w:sz w:val="14"/>
              </w:rPr>
              <w:t>14-26250</w:t>
            </w:r>
          </w:fldSimple>
        </w:p>
      </w:tc>
      <w:tc>
        <w:tcPr>
          <w:tcW w:w="4995" w:type="dxa"/>
          <w:shd w:val="clear" w:color="auto" w:fill="auto"/>
        </w:tcPr>
        <w:p w:rsidR="00EC4DBC" w:rsidRPr="00EC4DBC" w:rsidRDefault="00EC4DBC" w:rsidP="00EC4DBC">
          <w:pPr>
            <w:pStyle w:val="Footer"/>
            <w:rPr>
              <w:w w:val="103"/>
            </w:rPr>
          </w:pPr>
          <w:r>
            <w:rPr>
              <w:w w:val="103"/>
            </w:rPr>
            <w:fldChar w:fldCharType="begin"/>
          </w:r>
          <w:r>
            <w:rPr>
              <w:w w:val="103"/>
            </w:rPr>
            <w:instrText xml:space="preserve"> PAGE  \* Arabic  \* MERGEFORMAT </w:instrText>
          </w:r>
          <w:r>
            <w:rPr>
              <w:w w:val="103"/>
            </w:rPr>
            <w:fldChar w:fldCharType="separate"/>
          </w:r>
          <w:r w:rsidR="001134A0">
            <w:rPr>
              <w:w w:val="103"/>
            </w:rPr>
            <w:t>2</w:t>
          </w:r>
          <w:r>
            <w:rPr>
              <w:w w:val="103"/>
            </w:rPr>
            <w:fldChar w:fldCharType="end"/>
          </w:r>
          <w:r>
            <w:rPr>
              <w:w w:val="103"/>
            </w:rPr>
            <w:t>/</w:t>
          </w:r>
          <w:fldSimple w:instr=" NUMPAGES  \* Arabic  \* MERGEFORMAT ">
            <w:r w:rsidR="006D010C">
              <w:rPr>
                <w:w w:val="103"/>
              </w:rPr>
              <w:t>2</w:t>
            </w:r>
          </w:fldSimple>
        </w:p>
      </w:tc>
    </w:tr>
  </w:tbl>
  <w:p w:rsidR="00EC4DBC" w:rsidRPr="00EC4DBC" w:rsidRDefault="00EC4DBC" w:rsidP="00EC4DB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C4DBC" w:rsidTr="00EC4DBC">
      <w:tblPrEx>
        <w:tblCellMar>
          <w:top w:w="0" w:type="dxa"/>
          <w:bottom w:w="0" w:type="dxa"/>
        </w:tblCellMar>
      </w:tblPrEx>
      <w:tc>
        <w:tcPr>
          <w:tcW w:w="4995" w:type="dxa"/>
          <w:shd w:val="clear" w:color="auto" w:fill="auto"/>
        </w:tcPr>
        <w:p w:rsidR="00EC4DBC" w:rsidRPr="00EC4DBC" w:rsidRDefault="00EC4DBC" w:rsidP="00EC4DB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D010C">
            <w:rPr>
              <w:w w:val="103"/>
            </w:rPr>
            <w:t>3</w:t>
          </w:r>
          <w:r>
            <w:rPr>
              <w:w w:val="103"/>
            </w:rPr>
            <w:fldChar w:fldCharType="end"/>
          </w:r>
          <w:r>
            <w:rPr>
              <w:w w:val="103"/>
            </w:rPr>
            <w:t>/</w:t>
          </w:r>
          <w:fldSimple w:instr=" NUMPAGES  \* Arabic  \* MERGEFORMAT ">
            <w:r w:rsidR="006D010C">
              <w:rPr>
                <w:w w:val="103"/>
              </w:rPr>
              <w:t>3</w:t>
            </w:r>
          </w:fldSimple>
        </w:p>
      </w:tc>
      <w:tc>
        <w:tcPr>
          <w:tcW w:w="4995" w:type="dxa"/>
          <w:shd w:val="clear" w:color="auto" w:fill="auto"/>
        </w:tcPr>
        <w:p w:rsidR="00EC4DBC" w:rsidRPr="00EC4DBC" w:rsidRDefault="00EC4DBC" w:rsidP="00EC4DBC">
          <w:pPr>
            <w:pStyle w:val="Footer"/>
            <w:rPr>
              <w:b w:val="0"/>
              <w:w w:val="103"/>
              <w:sz w:val="14"/>
            </w:rPr>
          </w:pPr>
          <w:fldSimple w:instr=" DOCVARIABLE &quot;FooterJN&quot; \* MERGEFORMAT ">
            <w:r w:rsidR="00314FDC">
              <w:rPr>
                <w:b w:val="0"/>
                <w:w w:val="103"/>
                <w:sz w:val="14"/>
              </w:rPr>
              <w:t>14-26250</w:t>
            </w:r>
          </w:fldSimple>
        </w:p>
      </w:tc>
    </w:tr>
  </w:tbl>
  <w:p w:rsidR="00EC4DBC" w:rsidRPr="00EC4DBC" w:rsidRDefault="00EC4DBC" w:rsidP="00EC4DB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DBC" w:rsidRPr="00EC4DBC" w:rsidRDefault="00EC4DBC" w:rsidP="00EC4DB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1.9pt;margin-top:657.65pt;width:65.9pt;height:81.9pt;z-index:1;mso-position-horizontal-relative:page;mso-position-vertical-relative:page" o:preferrelative="f" filled="t">
          <v:imagedata r:id="rId1" o:title="1&amp;Size =1&amp;Lang = S"/>
          <w10:wrap anchorx="page" anchory="page"/>
        </v:shape>
      </w:pict>
    </w:r>
  </w:p>
  <w:tbl>
    <w:tblPr>
      <w:tblW w:w="0" w:type="auto"/>
      <w:tblLayout w:type="fixed"/>
      <w:tblCellMar>
        <w:left w:w="70" w:type="dxa"/>
        <w:right w:w="70" w:type="dxa"/>
      </w:tblCellMar>
      <w:tblLook w:val="0000"/>
    </w:tblPr>
    <w:tblGrid>
      <w:gridCol w:w="3686"/>
      <w:gridCol w:w="4995"/>
    </w:tblGrid>
    <w:tr w:rsidR="00EC4DBC" w:rsidTr="00EC4DBC">
      <w:tblPrEx>
        <w:tblCellMar>
          <w:top w:w="0" w:type="dxa"/>
          <w:bottom w:w="0" w:type="dxa"/>
        </w:tblCellMar>
      </w:tblPrEx>
      <w:tc>
        <w:tcPr>
          <w:tcW w:w="3686" w:type="dxa"/>
        </w:tcPr>
        <w:p w:rsidR="00EC4DBC" w:rsidRDefault="00EC4DBC" w:rsidP="00EC4DBC">
          <w:pPr>
            <w:pStyle w:val="ReleaseDate"/>
          </w:pPr>
          <w:r>
            <w:t>14-26250</w:t>
          </w:r>
          <w:r w:rsidR="00314FDC">
            <w:t>X</w:t>
          </w:r>
          <w:r>
            <w:t xml:space="preserve"> (S) </w:t>
          </w:r>
        </w:p>
        <w:p w:rsidR="00EC4DBC" w:rsidRPr="00EC4DBC" w:rsidRDefault="00EC4DBC" w:rsidP="00EC4DB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*1426250*</w:t>
          </w:r>
        </w:p>
      </w:tc>
      <w:tc>
        <w:tcPr>
          <w:tcW w:w="4995" w:type="dxa"/>
        </w:tcPr>
        <w:p w:rsidR="00EC4DBC" w:rsidRDefault="00EC4DBC" w:rsidP="00EC4DBC">
          <w:pPr>
            <w:pStyle w:val="Footer"/>
            <w:jc w:val="right"/>
            <w:rPr>
              <w:b w:val="0"/>
              <w:sz w:val="20"/>
            </w:rPr>
          </w:pPr>
          <w:r>
            <w:rPr>
              <w:b w:val="0"/>
              <w:sz w:val="20"/>
            </w:rPr>
            <w:pict>
              <v:shape id="_x0000_i1026" type="#_x0000_t75" style="width:85.5pt;height:18pt">
                <v:imagedata r:id="rId2" o:title="recycle_Spanish"/>
              </v:shape>
            </w:pict>
          </w:r>
        </w:p>
      </w:tc>
    </w:tr>
  </w:tbl>
  <w:p w:rsidR="00EC4DBC" w:rsidRPr="00EC4DBC" w:rsidRDefault="00EC4DBC" w:rsidP="00EC4DB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383" w:rsidRDefault="00EE5383" w:rsidP="008F1E8F">
      <w:pPr>
        <w:spacing w:line="240" w:lineRule="auto"/>
      </w:pPr>
      <w:r>
        <w:separator/>
      </w:r>
    </w:p>
  </w:footnote>
  <w:footnote w:type="continuationSeparator" w:id="0">
    <w:p w:rsidR="00EE5383" w:rsidRDefault="00EE5383"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EC4DBC" w:rsidTr="00EC4DBC">
      <w:tblPrEx>
        <w:tblCellMar>
          <w:top w:w="0" w:type="dxa"/>
          <w:bottom w:w="0" w:type="dxa"/>
        </w:tblCellMar>
      </w:tblPrEx>
      <w:trPr>
        <w:trHeight w:hRule="exact" w:val="864"/>
      </w:trPr>
      <w:tc>
        <w:tcPr>
          <w:tcW w:w="4838" w:type="dxa"/>
          <w:shd w:val="clear" w:color="auto" w:fill="auto"/>
          <w:vAlign w:val="bottom"/>
        </w:tcPr>
        <w:p w:rsidR="00EC4DBC" w:rsidRPr="00EC4DBC" w:rsidRDefault="00EC4DBC" w:rsidP="00EC4DBC">
          <w:pPr>
            <w:pStyle w:val="Header"/>
            <w:spacing w:after="80"/>
            <w:rPr>
              <w:b/>
            </w:rPr>
          </w:pPr>
          <w:fldSimple w:instr=" DOCVARIABLE &quot;sss1&quot; \* MERGEFORMAT ">
            <w:r w:rsidR="00314FDC">
              <w:rPr>
                <w:b/>
              </w:rPr>
              <w:t>CEDAW/C/PSWG/59/1</w:t>
            </w:r>
          </w:fldSimple>
        </w:p>
      </w:tc>
      <w:tc>
        <w:tcPr>
          <w:tcW w:w="4995" w:type="dxa"/>
          <w:shd w:val="clear" w:color="auto" w:fill="auto"/>
          <w:vAlign w:val="bottom"/>
        </w:tcPr>
        <w:p w:rsidR="00EC4DBC" w:rsidRDefault="00EC4DBC" w:rsidP="00EC4DBC">
          <w:pPr>
            <w:pStyle w:val="Header"/>
          </w:pPr>
        </w:p>
      </w:tc>
    </w:tr>
  </w:tbl>
  <w:p w:rsidR="00EC4DBC" w:rsidRPr="00EC4DBC" w:rsidRDefault="00EC4DBC" w:rsidP="00EC4DB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EC4DBC" w:rsidTr="00EC4DBC">
      <w:tblPrEx>
        <w:tblCellMar>
          <w:top w:w="0" w:type="dxa"/>
          <w:bottom w:w="0" w:type="dxa"/>
        </w:tblCellMar>
      </w:tblPrEx>
      <w:trPr>
        <w:trHeight w:hRule="exact" w:val="864"/>
      </w:trPr>
      <w:tc>
        <w:tcPr>
          <w:tcW w:w="4838" w:type="dxa"/>
          <w:shd w:val="clear" w:color="auto" w:fill="auto"/>
          <w:vAlign w:val="bottom"/>
        </w:tcPr>
        <w:p w:rsidR="00EC4DBC" w:rsidRDefault="00EC4DBC" w:rsidP="00EC4DBC">
          <w:pPr>
            <w:pStyle w:val="Header"/>
          </w:pPr>
        </w:p>
      </w:tc>
      <w:tc>
        <w:tcPr>
          <w:tcW w:w="4995" w:type="dxa"/>
          <w:shd w:val="clear" w:color="auto" w:fill="auto"/>
          <w:vAlign w:val="bottom"/>
        </w:tcPr>
        <w:p w:rsidR="00EC4DBC" w:rsidRPr="00EC4DBC" w:rsidRDefault="00EC4DBC" w:rsidP="00EC4DBC">
          <w:pPr>
            <w:pStyle w:val="Header"/>
            <w:spacing w:after="80"/>
            <w:jc w:val="right"/>
            <w:rPr>
              <w:b/>
            </w:rPr>
          </w:pPr>
          <w:fldSimple w:instr=" DOCVARIABLE &quot;sss1&quot; \* MERGEFORMAT ">
            <w:r w:rsidR="00314FDC">
              <w:rPr>
                <w:b/>
              </w:rPr>
              <w:t>CEDAW/C/PSWG/59/1</w:t>
            </w:r>
          </w:fldSimple>
        </w:p>
      </w:tc>
    </w:tr>
  </w:tbl>
  <w:p w:rsidR="00EC4DBC" w:rsidRPr="00EC4DBC" w:rsidRDefault="00EC4DBC" w:rsidP="00EC4DB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C4DBC" w:rsidTr="00EC4D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4DBC" w:rsidRDefault="00EC4DBC" w:rsidP="00EC4DBC">
          <w:pPr>
            <w:pStyle w:val="Header"/>
            <w:spacing w:after="120"/>
          </w:pPr>
        </w:p>
      </w:tc>
      <w:tc>
        <w:tcPr>
          <w:tcW w:w="2059" w:type="dxa"/>
          <w:tcBorders>
            <w:bottom w:val="single" w:sz="4" w:space="0" w:color="auto"/>
          </w:tcBorders>
          <w:shd w:val="clear" w:color="auto" w:fill="auto"/>
          <w:vAlign w:val="bottom"/>
        </w:tcPr>
        <w:p w:rsidR="00EC4DBC" w:rsidRPr="00EC4DBC" w:rsidRDefault="00EC4DBC" w:rsidP="00EC4DB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C4DBC" w:rsidRDefault="00EC4DBC" w:rsidP="00EC4DBC">
          <w:pPr>
            <w:pStyle w:val="Header"/>
            <w:spacing w:after="120"/>
          </w:pPr>
        </w:p>
      </w:tc>
      <w:tc>
        <w:tcPr>
          <w:tcW w:w="6523" w:type="dxa"/>
          <w:gridSpan w:val="3"/>
          <w:tcBorders>
            <w:bottom w:val="single" w:sz="4" w:space="0" w:color="auto"/>
          </w:tcBorders>
          <w:shd w:val="clear" w:color="auto" w:fill="auto"/>
          <w:vAlign w:val="bottom"/>
        </w:tcPr>
        <w:p w:rsidR="00EC4DBC" w:rsidRPr="00EC4DBC" w:rsidRDefault="00EC4DBC" w:rsidP="00EC4DBC">
          <w:pPr>
            <w:spacing w:after="80" w:line="240" w:lineRule="auto"/>
            <w:jc w:val="right"/>
            <w:rPr>
              <w:position w:val="-4"/>
            </w:rPr>
          </w:pPr>
          <w:r>
            <w:rPr>
              <w:position w:val="-4"/>
              <w:sz w:val="40"/>
            </w:rPr>
            <w:t>CEDAW</w:t>
          </w:r>
          <w:r>
            <w:rPr>
              <w:position w:val="-4"/>
            </w:rPr>
            <w:t>/C/PSWG/59/1</w:t>
          </w:r>
        </w:p>
      </w:tc>
    </w:tr>
    <w:tr w:rsidR="00EC4DBC" w:rsidRPr="00EC4DBC" w:rsidTr="00EC4D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4DBC" w:rsidRDefault="00EC4DBC" w:rsidP="00EC4DB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4DBC" w:rsidRPr="00EC4DBC" w:rsidRDefault="00EC4DBC" w:rsidP="00EC4DBC">
          <w:pPr>
            <w:pStyle w:val="Header"/>
            <w:spacing w:before="109"/>
          </w:pPr>
        </w:p>
      </w:tc>
      <w:tc>
        <w:tcPr>
          <w:tcW w:w="5227" w:type="dxa"/>
          <w:gridSpan w:val="3"/>
          <w:tcBorders>
            <w:top w:val="single" w:sz="4" w:space="0" w:color="auto"/>
            <w:bottom w:val="single" w:sz="12" w:space="0" w:color="auto"/>
          </w:tcBorders>
          <w:shd w:val="clear" w:color="auto" w:fill="auto"/>
        </w:tcPr>
        <w:p w:rsidR="00EC4DBC" w:rsidRPr="00EC4DBC" w:rsidRDefault="00EC4DBC" w:rsidP="00EC4DBC">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C4DBC" w:rsidRPr="00314FDC" w:rsidRDefault="00EC4DBC" w:rsidP="00EC4DB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C4DBC" w:rsidRDefault="00EC4DBC" w:rsidP="00EC4DBC">
          <w:pPr>
            <w:pStyle w:val="Distribution"/>
            <w:spacing w:before="240"/>
          </w:pPr>
          <w:r>
            <w:t>Distr. general</w:t>
          </w:r>
        </w:p>
        <w:p w:rsidR="00EC4DBC" w:rsidRDefault="00EC4DBC" w:rsidP="00EC4DBC">
          <w:pPr>
            <w:pStyle w:val="Publication"/>
          </w:pPr>
          <w:r>
            <w:t>12 de marzo de 2014</w:t>
          </w:r>
        </w:p>
        <w:p w:rsidR="00EC4DBC" w:rsidRDefault="00EC4DBC" w:rsidP="00EC4DBC">
          <w:r>
            <w:t>Español</w:t>
          </w:r>
        </w:p>
        <w:p w:rsidR="00EC4DBC" w:rsidRDefault="00EC4DBC" w:rsidP="00EC4DBC">
          <w:pPr>
            <w:pStyle w:val="Original"/>
          </w:pPr>
          <w:r>
            <w:t>Original: inglés</w:t>
          </w:r>
        </w:p>
        <w:p w:rsidR="00EC4DBC" w:rsidRPr="00EC4DBC" w:rsidRDefault="00EC4DBC" w:rsidP="00EC4DBC"/>
      </w:tc>
    </w:tr>
  </w:tbl>
  <w:p w:rsidR="00EC4DBC" w:rsidRPr="00EC4DBC" w:rsidRDefault="00EC4DBC" w:rsidP="00EC4DB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32E57C4"/>
    <w:multiLevelType w:val="singleLevel"/>
    <w:tmpl w:val="E63876DC"/>
    <w:lvl w:ilvl="0">
      <w:start w:val="4"/>
      <w:numFmt w:val="decimal"/>
      <w:lvlRestart w:val="0"/>
      <w:lvlText w:val="%1."/>
      <w:lvlJc w:val="left"/>
      <w:pPr>
        <w:tabs>
          <w:tab w:val="num" w:pos="475"/>
        </w:tabs>
        <w:ind w:left="0" w:firstLine="0"/>
      </w:pPr>
      <w:rPr>
        <w:spacing w:val="0"/>
        <w:w w:val="100"/>
      </w:rPr>
    </w:lvl>
  </w:abstractNum>
  <w:abstractNum w:abstractNumId="3">
    <w:nsid w:val="248D5F0D"/>
    <w:multiLevelType w:val="hybridMultilevel"/>
    <w:tmpl w:val="382EC54A"/>
    <w:lvl w:ilvl="0" w:tplc="F3B6103C">
      <w:start w:val="1"/>
      <w:numFmt w:val="decimal"/>
      <w:lvlText w:val="%1."/>
      <w:lvlJc w:val="left"/>
      <w:pPr>
        <w:ind w:left="1689" w:hanging="555"/>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4">
    <w:nsid w:val="3679772D"/>
    <w:multiLevelType w:val="singleLevel"/>
    <w:tmpl w:val="23640176"/>
    <w:lvl w:ilvl="0">
      <w:start w:val="9"/>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6437626"/>
    <w:multiLevelType w:val="singleLevel"/>
    <w:tmpl w:val="A830CDB2"/>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6250*"/>
    <w:docVar w:name="CreationDt" w:val="01/04/2014 4:43: PM"/>
    <w:docVar w:name="DocCategory" w:val="Doc"/>
    <w:docVar w:name="DocType" w:val="Final"/>
    <w:docVar w:name="FooterJN" w:val="14-26250"/>
    <w:docVar w:name="jobn" w:val="14-26250 (S)"/>
    <w:docVar w:name="jobnDT" w:val="14-26250 (S)   010414"/>
    <w:docVar w:name="jobnDTDT" w:val="14-26250 (S)   010414   010414"/>
    <w:docVar w:name="JobNo" w:val="1426250S"/>
    <w:docVar w:name="OandT" w:val="pl"/>
    <w:docVar w:name="sss1" w:val="CEDAW/C/PSWG/59/1"/>
    <w:docVar w:name="sss2" w:val="-"/>
    <w:docVar w:name="Symbol1" w:val="CEDAW/C/PSWG/59/1"/>
    <w:docVar w:name="Symbol2" w:val="-"/>
  </w:docVars>
  <w:rsids>
    <w:rsidRoot w:val="008F3201"/>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E0D3D"/>
    <w:rsid w:val="000E47A7"/>
    <w:rsid w:val="000E66F5"/>
    <w:rsid w:val="000E6FEB"/>
    <w:rsid w:val="000F7375"/>
    <w:rsid w:val="00102135"/>
    <w:rsid w:val="001023C5"/>
    <w:rsid w:val="00107739"/>
    <w:rsid w:val="001109AD"/>
    <w:rsid w:val="00111CCB"/>
    <w:rsid w:val="001134A0"/>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345B"/>
    <w:rsid w:val="002C3E79"/>
    <w:rsid w:val="002D3F35"/>
    <w:rsid w:val="002E1262"/>
    <w:rsid w:val="002E2A29"/>
    <w:rsid w:val="002F0A5D"/>
    <w:rsid w:val="002F4C08"/>
    <w:rsid w:val="00303A2A"/>
    <w:rsid w:val="00314FDC"/>
    <w:rsid w:val="00327A13"/>
    <w:rsid w:val="003359DE"/>
    <w:rsid w:val="003452B8"/>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E5AAE"/>
    <w:rsid w:val="003E60D2"/>
    <w:rsid w:val="003F3C3C"/>
    <w:rsid w:val="00400307"/>
    <w:rsid w:val="00404990"/>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7265"/>
    <w:rsid w:val="005130D6"/>
    <w:rsid w:val="00524C14"/>
    <w:rsid w:val="00534D37"/>
    <w:rsid w:val="00535721"/>
    <w:rsid w:val="00542A52"/>
    <w:rsid w:val="00543025"/>
    <w:rsid w:val="005434BC"/>
    <w:rsid w:val="0054783D"/>
    <w:rsid w:val="00550243"/>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010C"/>
    <w:rsid w:val="006D3321"/>
    <w:rsid w:val="006E0E95"/>
    <w:rsid w:val="006E0EF0"/>
    <w:rsid w:val="006E296C"/>
    <w:rsid w:val="006E39F5"/>
    <w:rsid w:val="006E689B"/>
    <w:rsid w:val="006F36E2"/>
    <w:rsid w:val="006F4381"/>
    <w:rsid w:val="0070602F"/>
    <w:rsid w:val="00716C1C"/>
    <w:rsid w:val="0072046A"/>
    <w:rsid w:val="00732348"/>
    <w:rsid w:val="0074000F"/>
    <w:rsid w:val="00776DCA"/>
    <w:rsid w:val="00777C17"/>
    <w:rsid w:val="00781DFE"/>
    <w:rsid w:val="00793FFF"/>
    <w:rsid w:val="007B04E8"/>
    <w:rsid w:val="007B2E44"/>
    <w:rsid w:val="007C51E9"/>
    <w:rsid w:val="007C566A"/>
    <w:rsid w:val="007C7D32"/>
    <w:rsid w:val="007D0893"/>
    <w:rsid w:val="007D59F4"/>
    <w:rsid w:val="007E282F"/>
    <w:rsid w:val="007E31CA"/>
    <w:rsid w:val="007E322D"/>
    <w:rsid w:val="007E671C"/>
    <w:rsid w:val="007F5AF9"/>
    <w:rsid w:val="00813690"/>
    <w:rsid w:val="00813C40"/>
    <w:rsid w:val="00815EA8"/>
    <w:rsid w:val="00821E34"/>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B30AC"/>
    <w:rsid w:val="008B59F9"/>
    <w:rsid w:val="008B5FC3"/>
    <w:rsid w:val="008C70A0"/>
    <w:rsid w:val="008D17EE"/>
    <w:rsid w:val="008D53A0"/>
    <w:rsid w:val="008E2B2E"/>
    <w:rsid w:val="008E41D0"/>
    <w:rsid w:val="008F1890"/>
    <w:rsid w:val="008F1E8F"/>
    <w:rsid w:val="008F2959"/>
    <w:rsid w:val="008F3201"/>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B1C06"/>
    <w:rsid w:val="009B26B8"/>
    <w:rsid w:val="009B6140"/>
    <w:rsid w:val="009C31A4"/>
    <w:rsid w:val="009C3306"/>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0150"/>
    <w:rsid w:val="00A5353F"/>
    <w:rsid w:val="00A607E7"/>
    <w:rsid w:val="00A627D6"/>
    <w:rsid w:val="00A65C9E"/>
    <w:rsid w:val="00A6761C"/>
    <w:rsid w:val="00A71D7C"/>
    <w:rsid w:val="00A84D3A"/>
    <w:rsid w:val="00A86FEA"/>
    <w:rsid w:val="00AB7836"/>
    <w:rsid w:val="00AC5CBF"/>
    <w:rsid w:val="00AD37F0"/>
    <w:rsid w:val="00AD5D6A"/>
    <w:rsid w:val="00B151F5"/>
    <w:rsid w:val="00B232EC"/>
    <w:rsid w:val="00B34BCE"/>
    <w:rsid w:val="00B426AB"/>
    <w:rsid w:val="00B47A82"/>
    <w:rsid w:val="00B77D31"/>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B5C47"/>
    <w:rsid w:val="00CC5750"/>
    <w:rsid w:val="00CD1545"/>
    <w:rsid w:val="00CD4760"/>
    <w:rsid w:val="00CD57FF"/>
    <w:rsid w:val="00CE0045"/>
    <w:rsid w:val="00CE1381"/>
    <w:rsid w:val="00D00E66"/>
    <w:rsid w:val="00D051A5"/>
    <w:rsid w:val="00D2412C"/>
    <w:rsid w:val="00D30E8B"/>
    <w:rsid w:val="00D42CA0"/>
    <w:rsid w:val="00D535F0"/>
    <w:rsid w:val="00D621E4"/>
    <w:rsid w:val="00D66326"/>
    <w:rsid w:val="00D75DCF"/>
    <w:rsid w:val="00D81FDD"/>
    <w:rsid w:val="00D84103"/>
    <w:rsid w:val="00D93984"/>
    <w:rsid w:val="00D95982"/>
    <w:rsid w:val="00DA0F47"/>
    <w:rsid w:val="00DA4419"/>
    <w:rsid w:val="00DA7DFA"/>
    <w:rsid w:val="00DB2EA7"/>
    <w:rsid w:val="00DC425C"/>
    <w:rsid w:val="00DD5908"/>
    <w:rsid w:val="00DD5DA8"/>
    <w:rsid w:val="00DD76B9"/>
    <w:rsid w:val="00DE6AD7"/>
    <w:rsid w:val="00DF00C0"/>
    <w:rsid w:val="00DF33AF"/>
    <w:rsid w:val="00DF74B2"/>
    <w:rsid w:val="00E054C0"/>
    <w:rsid w:val="00E05743"/>
    <w:rsid w:val="00E241A1"/>
    <w:rsid w:val="00E31D49"/>
    <w:rsid w:val="00E427B7"/>
    <w:rsid w:val="00E50390"/>
    <w:rsid w:val="00E51BC9"/>
    <w:rsid w:val="00E606CA"/>
    <w:rsid w:val="00E65BE8"/>
    <w:rsid w:val="00E73A8A"/>
    <w:rsid w:val="00E774C3"/>
    <w:rsid w:val="00E84B10"/>
    <w:rsid w:val="00E875CB"/>
    <w:rsid w:val="00E932A5"/>
    <w:rsid w:val="00EA2C66"/>
    <w:rsid w:val="00EA60AF"/>
    <w:rsid w:val="00EB3BF0"/>
    <w:rsid w:val="00EC3D06"/>
    <w:rsid w:val="00EC4DBC"/>
    <w:rsid w:val="00ED1F10"/>
    <w:rsid w:val="00ED3CA7"/>
    <w:rsid w:val="00ED4905"/>
    <w:rsid w:val="00EE1800"/>
    <w:rsid w:val="00EE5383"/>
    <w:rsid w:val="00EF68AA"/>
    <w:rsid w:val="00F061A0"/>
    <w:rsid w:val="00F06B9B"/>
    <w:rsid w:val="00F07B3F"/>
    <w:rsid w:val="00F14B66"/>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DB3"/>
    <w:rsid w:val="00FA5E33"/>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C4DBC"/>
    <w:rPr>
      <w:szCs w:val="20"/>
      <w:lang/>
    </w:rPr>
  </w:style>
  <w:style w:type="character" w:customStyle="1" w:styleId="CommentTextChar">
    <w:name w:val="Comment Text Char"/>
    <w:link w:val="CommentText"/>
    <w:rsid w:val="00EC4DBC"/>
    <w:rPr>
      <w:rFonts w:ascii="Times New Roman" w:hAnsi="Times New Roman"/>
      <w:spacing w:val="4"/>
      <w:w w:val="103"/>
      <w:lang w:eastAsia="en-US"/>
    </w:rPr>
  </w:style>
  <w:style w:type="paragraph" w:styleId="CommentSubject">
    <w:name w:val="annotation subject"/>
    <w:basedOn w:val="CommentText"/>
    <w:next w:val="CommentText"/>
    <w:link w:val="CommentSubjectChar"/>
    <w:rsid w:val="00EC4DBC"/>
    <w:rPr>
      <w:b/>
      <w:bCs/>
    </w:rPr>
  </w:style>
  <w:style w:type="character" w:customStyle="1" w:styleId="CommentSubjectChar">
    <w:name w:val="Comment Subject Char"/>
    <w:link w:val="CommentSubject"/>
    <w:rsid w:val="00EC4DBC"/>
    <w:rPr>
      <w:rFonts w:ascii="Times New Roman" w:hAnsi="Times New Roman"/>
      <w:b/>
      <w:bCs/>
      <w:spacing w:val="4"/>
      <w:w w:val="103"/>
      <w:lang w:eastAsia="en-US"/>
    </w:rPr>
  </w:style>
  <w:style w:type="paragraph" w:customStyle="1" w:styleId="HChG">
    <w:name w:val="_ H _Ch_G"/>
    <w:basedOn w:val="Normal"/>
    <w:next w:val="Normal"/>
    <w:rsid w:val="00314FDC"/>
    <w:pPr>
      <w:keepNext/>
      <w:keepLines/>
      <w:tabs>
        <w:tab w:val="right" w:pos="851"/>
      </w:tabs>
      <w:snapToGrid w:val="0"/>
      <w:spacing w:before="360" w:after="240" w:line="300" w:lineRule="exact"/>
      <w:ind w:left="1134" w:right="1134" w:hanging="1134"/>
    </w:pPr>
    <w:rPr>
      <w:rFonts w:eastAsia="Times New Roman"/>
      <w:b/>
      <w:bCs/>
      <w:spacing w:val="0"/>
      <w:w w:val="100"/>
      <w:sz w:val="28"/>
      <w:szCs w:val="28"/>
      <w:lang w:val="en-GB" w:eastAsia="es-ES"/>
    </w:rPr>
  </w:style>
  <w:style w:type="paragraph" w:customStyle="1" w:styleId="SingleTxtG">
    <w:name w:val="_ Single Txt_G"/>
    <w:basedOn w:val="Normal"/>
    <w:rsid w:val="00314FDC"/>
    <w:pPr>
      <w:snapToGrid w:val="0"/>
      <w:spacing w:after="120" w:line="240" w:lineRule="atLeast"/>
      <w:ind w:left="1134" w:right="1134"/>
      <w:jc w:val="both"/>
    </w:pPr>
    <w:rPr>
      <w:rFonts w:eastAsia="Times New Roman"/>
      <w:spacing w:val="0"/>
      <w:w w:val="100"/>
      <w:szCs w:val="20"/>
      <w:lang w:val="en-GB" w:eastAsia="es-ES"/>
    </w:rPr>
  </w:style>
  <w:style w:type="paragraph" w:customStyle="1" w:styleId="H1G">
    <w:name w:val="_ H_1_G"/>
    <w:basedOn w:val="Normal"/>
    <w:next w:val="Normal"/>
    <w:rsid w:val="00314FDC"/>
    <w:pPr>
      <w:keepNext/>
      <w:keepLines/>
      <w:tabs>
        <w:tab w:val="right" w:pos="851"/>
      </w:tabs>
      <w:snapToGrid w:val="0"/>
      <w:spacing w:before="360" w:after="240" w:line="270" w:lineRule="exact"/>
      <w:ind w:left="1134" w:right="1134" w:hanging="1134"/>
    </w:pPr>
    <w:rPr>
      <w:rFonts w:eastAsia="Times New Roman"/>
      <w:b/>
      <w:bCs/>
      <w:spacing w:val="0"/>
      <w:w w:val="100"/>
      <w:sz w:val="24"/>
      <w:szCs w:val="24"/>
      <w:lang w:val="en-GB" w:eastAsia="es-ES"/>
    </w:rPr>
  </w:style>
  <w:style w:type="character" w:styleId="Hyperlink">
    <w:name w:val="Hyperlink"/>
    <w:rsid w:val="00314FDC"/>
    <w:rPr>
      <w:color w:val="0000FF"/>
      <w:u w:val="none"/>
    </w:rPr>
  </w:style>
  <w:style w:type="character" w:styleId="FollowedHyperlink">
    <w:name w:val="FollowedHyperlink"/>
    <w:rsid w:val="00314FDC"/>
    <w:rPr>
      <w:color w:val="0000FF"/>
      <w:u w:val="none"/>
    </w:rPr>
  </w:style>
</w:styles>
</file>

<file path=word/webSettings.xml><?xml version="1.0" encoding="utf-8"?>
<w:webSettings xmlns:r="http://schemas.openxmlformats.org/officeDocument/2006/relationships" xmlns:w="http://schemas.openxmlformats.org/wordprocessingml/2006/main">
  <w:divs>
    <w:div w:id="161875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GIN/Q/7" TargetMode="External"/><Relationship Id="rId3" Type="http://schemas.openxmlformats.org/officeDocument/2006/relationships/settings" Target="settings.xml"/><Relationship Id="rId21" Type="http://schemas.openxmlformats.org/officeDocument/2006/relationships/hyperlink" Target="http://undocs.org/sp/CEDAW/C/VEN/Q/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GHA/Q/6" TargetMode="External"/><Relationship Id="rId2" Type="http://schemas.openxmlformats.org/officeDocument/2006/relationships/styles" Target="styles.xml"/><Relationship Id="rId16" Type="http://schemas.openxmlformats.org/officeDocument/2006/relationships/hyperlink" Target="http://undocs.org/sp/CEDAW/C/CHN/Q/7" TargetMode="External"/><Relationship Id="rId20" Type="http://schemas.openxmlformats.org/officeDocument/2006/relationships/hyperlink" Target="http://undocs.org/sp/CEDAW/C/SLB/Q/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BRN/Q/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EDAW/C/POL/Q/7"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BEL/Q/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3</Pages>
  <Words>876</Words>
  <Characters>4999</Characters>
  <Application>Microsoft Office Outlook</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5864</CharactersWithSpaces>
  <SharedDoc>false</SharedDoc>
  <HLinks>
    <vt:vector size="48" baseType="variant">
      <vt:variant>
        <vt:i4>1507406</vt:i4>
      </vt:variant>
      <vt:variant>
        <vt:i4>21</vt:i4>
      </vt:variant>
      <vt:variant>
        <vt:i4>0</vt:i4>
      </vt:variant>
      <vt:variant>
        <vt:i4>5</vt:i4>
      </vt:variant>
      <vt:variant>
        <vt:lpwstr>http://undocs.org/sp/CEDAW/C/VEN/Q/7</vt:lpwstr>
      </vt:variant>
      <vt:variant>
        <vt:lpwstr/>
      </vt:variant>
      <vt:variant>
        <vt:i4>1572935</vt:i4>
      </vt:variant>
      <vt:variant>
        <vt:i4>18</vt:i4>
      </vt:variant>
      <vt:variant>
        <vt:i4>0</vt:i4>
      </vt:variant>
      <vt:variant>
        <vt:i4>5</vt:i4>
      </vt:variant>
      <vt:variant>
        <vt:lpwstr>http://undocs.org/sp/CEDAW/C/SLB/Q/1</vt:lpwstr>
      </vt:variant>
      <vt:variant>
        <vt:lpwstr/>
      </vt:variant>
      <vt:variant>
        <vt:i4>1245252</vt:i4>
      </vt:variant>
      <vt:variant>
        <vt:i4>15</vt:i4>
      </vt:variant>
      <vt:variant>
        <vt:i4>0</vt:i4>
      </vt:variant>
      <vt:variant>
        <vt:i4>5</vt:i4>
      </vt:variant>
      <vt:variant>
        <vt:lpwstr>http://undocs.org/sp/CEDAW/C/POL/Q/7</vt:lpwstr>
      </vt:variant>
      <vt:variant>
        <vt:lpwstr/>
      </vt:variant>
      <vt:variant>
        <vt:i4>393282</vt:i4>
      </vt:variant>
      <vt:variant>
        <vt:i4>12</vt:i4>
      </vt:variant>
      <vt:variant>
        <vt:i4>0</vt:i4>
      </vt:variant>
      <vt:variant>
        <vt:i4>5</vt:i4>
      </vt:variant>
      <vt:variant>
        <vt:lpwstr>http://undocs.org/sp/CEDAW/C/GIN/Q/7</vt:lpwstr>
      </vt:variant>
      <vt:variant>
        <vt:lpwstr/>
      </vt:variant>
      <vt:variant>
        <vt:i4>524355</vt:i4>
      </vt:variant>
      <vt:variant>
        <vt:i4>9</vt:i4>
      </vt:variant>
      <vt:variant>
        <vt:i4>0</vt:i4>
      </vt:variant>
      <vt:variant>
        <vt:i4>5</vt:i4>
      </vt:variant>
      <vt:variant>
        <vt:lpwstr>http://undocs.org/sp/CEDAW/C/GHA/Q/6</vt:lpwstr>
      </vt:variant>
      <vt:variant>
        <vt:lpwstr/>
      </vt:variant>
      <vt:variant>
        <vt:i4>131139</vt:i4>
      </vt:variant>
      <vt:variant>
        <vt:i4>6</vt:i4>
      </vt:variant>
      <vt:variant>
        <vt:i4>0</vt:i4>
      </vt:variant>
      <vt:variant>
        <vt:i4>5</vt:i4>
      </vt:variant>
      <vt:variant>
        <vt:lpwstr>http://undocs.org/sp/CEDAW/C/CHN/Q/7</vt:lpwstr>
      </vt:variant>
      <vt:variant>
        <vt:lpwstr/>
      </vt:variant>
      <vt:variant>
        <vt:i4>327769</vt:i4>
      </vt:variant>
      <vt:variant>
        <vt:i4>3</vt:i4>
      </vt:variant>
      <vt:variant>
        <vt:i4>0</vt:i4>
      </vt:variant>
      <vt:variant>
        <vt:i4>5</vt:i4>
      </vt:variant>
      <vt:variant>
        <vt:lpwstr>http://undocs.org/sp/CEDAW/C/BRN/Q/1</vt:lpwstr>
      </vt:variant>
      <vt:variant>
        <vt:lpwstr/>
      </vt:variant>
      <vt:variant>
        <vt:i4>65614</vt:i4>
      </vt:variant>
      <vt:variant>
        <vt:i4>0</vt:i4>
      </vt:variant>
      <vt:variant>
        <vt:i4>0</vt:i4>
      </vt:variant>
      <vt:variant>
        <vt:i4>5</vt:i4>
      </vt:variant>
      <vt:variant>
        <vt:lpwstr>http://undocs.org/sp/CEDAW/C/BEL/Q/7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STPU.FrontDesk2</cp:lastModifiedBy>
  <cp:revision>6</cp:revision>
  <cp:lastPrinted>2014-04-01T14:47:00Z</cp:lastPrinted>
  <dcterms:created xsi:type="dcterms:W3CDTF">2014-04-01T14:42:00Z</dcterms:created>
  <dcterms:modified xsi:type="dcterms:W3CDTF">2014-04-01T15:33:00Z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1426250</vt:lpwstr>
  </property>
  <property fmtid="{D5CDD505-2E9C-101B-9397-08002B2CF9AE}" pid="3" name="Symbol1">
    <vt:lpwstr>CEDAW/C/PSWG/59/1</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12 de marzo de 2014</vt:lpwstr>
  </property>
  <property fmtid="{D5CDD505-2E9C-101B-9397-08002B2CF9AE}" pid="7" name="Original">
    <vt:lpwstr>inglés</vt:lpwstr>
  </property>
  <property fmtid="{D5CDD505-2E9C-101B-9397-08002B2CF9AE}" pid="8" name="Release Date">
    <vt:lpwstr>010414</vt:lpwstr>
  </property>
  <property fmtid="{D5CDD505-2E9C-101B-9397-08002B2CF9AE}" pid="9" name="Comment">
    <vt:lpwstr/>
  </property>
  <property fmtid="{D5CDD505-2E9C-101B-9397-08002B2CF9AE}" pid="10" name="DraftPages">
    <vt:lpwstr> </vt:lpwstr>
  </property>
  <property fmtid="{D5CDD505-2E9C-101B-9397-08002B2CF9AE}" pid="11" name="Operator">
    <vt:lpwstr>pl</vt:lpwstr>
  </property>
  <property fmtid="{D5CDD505-2E9C-101B-9397-08002B2CF9AE}" pid="12" name="Translator">
    <vt:lpwstr>pl</vt:lpwstr>
  </property>
</Properties>
</file>