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0620CC8" w14:textId="3C8476DB" w:rsidR="00611CFC" w:rsidRPr="001A047D" w:rsidRDefault="00371562" w:rsidP="005C221B">
      <w:pPr>
        <w:spacing w:after="360"/>
        <w:jc w:val="right"/>
        <w:outlineLvl w:val="0"/>
        <w:rPr>
          <w:b/>
          <w:lang w:val="en-CA"/>
        </w:rPr>
      </w:pPr>
      <w:r w:rsidRPr="001A047D">
        <w:rPr>
          <w:b/>
          <w:lang w:val="en-CA"/>
        </w:rPr>
        <w:fldChar w:fldCharType="begin"/>
      </w:r>
      <w:r w:rsidRPr="001A047D">
        <w:rPr>
          <w:b/>
          <w:lang w:val="en-CA"/>
        </w:rPr>
        <w:instrText xml:space="preserve"> HYPERLINK "https://undocs.org/en/A/75/56" </w:instrText>
      </w:r>
      <w:r w:rsidRPr="001A047D">
        <w:rPr>
          <w:b/>
          <w:lang w:val="en-CA"/>
        </w:rPr>
        <w:fldChar w:fldCharType="separate"/>
      </w:r>
      <w:r w:rsidR="00996692" w:rsidRPr="001A047D">
        <w:rPr>
          <w:rStyle w:val="Hyperlink"/>
          <w:b/>
          <w:lang w:val="en-CA"/>
        </w:rPr>
        <w:t>A/</w:t>
      </w:r>
      <w:r w:rsidR="00D75255" w:rsidRPr="001A047D">
        <w:rPr>
          <w:rStyle w:val="Hyperlink"/>
          <w:b/>
          <w:lang w:val="en-CA"/>
        </w:rPr>
        <w:t>7</w:t>
      </w:r>
      <w:r w:rsidR="00924562" w:rsidRPr="001A047D">
        <w:rPr>
          <w:rStyle w:val="Hyperlink"/>
          <w:b/>
          <w:lang w:val="en-CA"/>
        </w:rPr>
        <w:t>5/56</w:t>
      </w:r>
      <w:r w:rsidRPr="001A047D">
        <w:rPr>
          <w:b/>
          <w:lang w:val="en-CA"/>
        </w:rPr>
        <w:fldChar w:fldCharType="end"/>
      </w:r>
    </w:p>
    <w:p w14:paraId="1C90FC12" w14:textId="6FC46C48" w:rsidR="00611CFC" w:rsidRPr="001A047D" w:rsidRDefault="00527733" w:rsidP="00CC36EC">
      <w:pPr>
        <w:ind w:left="1134" w:right="1134"/>
        <w:rPr>
          <w:lang w:val="en-CA"/>
        </w:rPr>
      </w:pPr>
      <w:r w:rsidRPr="001A047D">
        <w:rPr>
          <w:noProof/>
          <w:lang w:eastAsia="en-GB"/>
        </w:rPr>
        <w:drawing>
          <wp:inline distT="0" distB="0" distL="0" distR="0" wp14:anchorId="047DA7C1" wp14:editId="639952B8">
            <wp:extent cx="1191260" cy="101727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14:paraId="012306D9" w14:textId="77777777" w:rsidR="00611CFC" w:rsidRPr="001A047D" w:rsidRDefault="00611CFC" w:rsidP="00CC36EC">
      <w:pPr>
        <w:pStyle w:val="SMG"/>
        <w:spacing w:before="0" w:after="1080"/>
        <w:rPr>
          <w:lang w:val="en-CA"/>
        </w:rPr>
      </w:pPr>
      <w:r w:rsidRPr="001A047D">
        <w:rPr>
          <w:lang w:val="en-CA"/>
        </w:rPr>
        <w:t>United Nations</w:t>
      </w:r>
    </w:p>
    <w:p w14:paraId="37CA712C" w14:textId="77777777" w:rsidR="00611CFC" w:rsidRPr="001A047D" w:rsidRDefault="00611CFC" w:rsidP="00CC36EC">
      <w:pPr>
        <w:pStyle w:val="SLG"/>
        <w:spacing w:before="0" w:after="960"/>
        <w:rPr>
          <w:sz w:val="57"/>
          <w:szCs w:val="57"/>
          <w:lang w:val="en-CA"/>
        </w:rPr>
      </w:pPr>
      <w:r w:rsidRPr="001A047D">
        <w:rPr>
          <w:sz w:val="57"/>
          <w:szCs w:val="57"/>
          <w:lang w:val="en-CA"/>
        </w:rPr>
        <w:t xml:space="preserve">Report of the </w:t>
      </w:r>
      <w:r w:rsidR="006F4F73" w:rsidRPr="001A047D">
        <w:rPr>
          <w:sz w:val="57"/>
          <w:szCs w:val="57"/>
          <w:lang w:val="en-CA"/>
        </w:rPr>
        <w:t>Committee on</w:t>
      </w:r>
      <w:r w:rsidR="006F4F73" w:rsidRPr="001A047D">
        <w:rPr>
          <w:sz w:val="57"/>
          <w:szCs w:val="57"/>
          <w:lang w:val="en-CA"/>
        </w:rPr>
        <w:br/>
      </w:r>
      <w:r w:rsidR="003E7794" w:rsidRPr="001A047D">
        <w:rPr>
          <w:sz w:val="57"/>
          <w:szCs w:val="57"/>
          <w:lang w:val="en-CA"/>
        </w:rPr>
        <w:t>Enforced</w:t>
      </w:r>
      <w:r w:rsidR="006F4F73" w:rsidRPr="001A047D">
        <w:rPr>
          <w:sz w:val="57"/>
          <w:szCs w:val="57"/>
          <w:lang w:val="en-CA"/>
        </w:rPr>
        <w:t xml:space="preserve"> Disa</w:t>
      </w:r>
      <w:r w:rsidR="003E7794" w:rsidRPr="001A047D">
        <w:rPr>
          <w:sz w:val="57"/>
          <w:szCs w:val="57"/>
          <w:lang w:val="en-CA"/>
        </w:rPr>
        <w:t>ppearances</w:t>
      </w:r>
    </w:p>
    <w:p w14:paraId="6C64839E" w14:textId="56F68FB6" w:rsidR="00611CFC" w:rsidRPr="001A047D" w:rsidRDefault="00D75255" w:rsidP="001B398B">
      <w:pPr>
        <w:spacing w:after="120"/>
        <w:ind w:left="1134"/>
        <w:rPr>
          <w:b/>
          <w:sz w:val="40"/>
          <w:szCs w:val="40"/>
          <w:lang w:val="en-CA"/>
        </w:rPr>
      </w:pPr>
      <w:r w:rsidRPr="001A047D">
        <w:rPr>
          <w:b/>
          <w:sz w:val="40"/>
          <w:szCs w:val="40"/>
          <w:lang w:val="en-CA"/>
        </w:rPr>
        <w:t xml:space="preserve">Seventeenth </w:t>
      </w:r>
      <w:r w:rsidR="00996692" w:rsidRPr="001A047D">
        <w:rPr>
          <w:b/>
          <w:sz w:val="40"/>
          <w:szCs w:val="40"/>
          <w:lang w:val="en-CA"/>
        </w:rPr>
        <w:t>session</w:t>
      </w:r>
      <w:r w:rsidR="00CC36EC" w:rsidRPr="001A047D">
        <w:rPr>
          <w:b/>
          <w:sz w:val="40"/>
          <w:szCs w:val="40"/>
          <w:lang w:val="en-CA"/>
        </w:rPr>
        <w:br/>
      </w:r>
      <w:r w:rsidR="00611CFC" w:rsidRPr="001A047D">
        <w:rPr>
          <w:b/>
          <w:sz w:val="40"/>
          <w:szCs w:val="40"/>
          <w:lang w:val="en-CA"/>
        </w:rPr>
        <w:t>(</w:t>
      </w:r>
      <w:r w:rsidRPr="001A047D">
        <w:rPr>
          <w:b/>
          <w:sz w:val="40"/>
          <w:szCs w:val="40"/>
          <w:lang w:val="en-CA"/>
        </w:rPr>
        <w:t>30 September–11 October 2019</w:t>
      </w:r>
      <w:r w:rsidR="003E7794" w:rsidRPr="001A047D">
        <w:rPr>
          <w:b/>
          <w:sz w:val="40"/>
          <w:szCs w:val="40"/>
          <w:lang w:val="en-CA"/>
        </w:rPr>
        <w:t>)</w:t>
      </w:r>
    </w:p>
    <w:p w14:paraId="671A3982" w14:textId="126D86F1" w:rsidR="00CC36EC" w:rsidRPr="001A047D" w:rsidRDefault="00D75255" w:rsidP="001B398B">
      <w:pPr>
        <w:spacing w:after="2400"/>
        <w:ind w:left="1134" w:right="1134"/>
        <w:rPr>
          <w:b/>
          <w:sz w:val="36"/>
          <w:szCs w:val="36"/>
          <w:lang w:val="en-CA"/>
        </w:rPr>
      </w:pPr>
      <w:r w:rsidRPr="001A047D">
        <w:rPr>
          <w:b/>
          <w:sz w:val="40"/>
          <w:szCs w:val="40"/>
          <w:lang w:val="en-CA"/>
        </w:rPr>
        <w:t xml:space="preserve">Eighteenth </w:t>
      </w:r>
      <w:r w:rsidR="00611CFC" w:rsidRPr="001A047D">
        <w:rPr>
          <w:b/>
          <w:sz w:val="40"/>
          <w:szCs w:val="40"/>
          <w:lang w:val="en-CA"/>
        </w:rPr>
        <w:t>session</w:t>
      </w:r>
      <w:r w:rsidR="00CC36EC" w:rsidRPr="001A047D">
        <w:rPr>
          <w:b/>
          <w:sz w:val="40"/>
          <w:szCs w:val="40"/>
          <w:lang w:val="en-CA"/>
        </w:rPr>
        <w:br/>
      </w:r>
      <w:r w:rsidR="00611CFC" w:rsidRPr="001A047D">
        <w:rPr>
          <w:b/>
          <w:sz w:val="40"/>
          <w:szCs w:val="40"/>
          <w:lang w:val="en-CA"/>
        </w:rPr>
        <w:t>(</w:t>
      </w:r>
      <w:r w:rsidR="00032FEB" w:rsidRPr="001A047D">
        <w:rPr>
          <w:b/>
          <w:sz w:val="40"/>
          <w:szCs w:val="40"/>
          <w:lang w:val="en-CA"/>
        </w:rPr>
        <w:t>4 May</w:t>
      </w:r>
      <w:r w:rsidR="00765497" w:rsidRPr="001A047D">
        <w:rPr>
          <w:b/>
          <w:sz w:val="40"/>
          <w:szCs w:val="40"/>
          <w:lang w:val="en-CA"/>
        </w:rPr>
        <w:t xml:space="preserve"> (online)</w:t>
      </w:r>
      <w:r w:rsidR="00F37679" w:rsidRPr="001A047D">
        <w:rPr>
          <w:b/>
          <w:sz w:val="40"/>
          <w:szCs w:val="40"/>
          <w:lang w:val="en-CA"/>
        </w:rPr>
        <w:t xml:space="preserve"> and 7 September</w:t>
      </w:r>
      <w:r w:rsidR="00A92992" w:rsidRPr="001A047D">
        <w:rPr>
          <w:b/>
          <w:sz w:val="40"/>
          <w:szCs w:val="40"/>
          <w:lang w:val="en-CA"/>
        </w:rPr>
        <w:t xml:space="preserve"> </w:t>
      </w:r>
      <w:r w:rsidR="00032FEB" w:rsidRPr="001A047D">
        <w:rPr>
          <w:b/>
          <w:sz w:val="40"/>
          <w:szCs w:val="40"/>
          <w:lang w:val="en-CA"/>
        </w:rPr>
        <w:t>2020</w:t>
      </w:r>
      <w:r w:rsidR="00996692" w:rsidRPr="001A047D">
        <w:rPr>
          <w:b/>
          <w:sz w:val="40"/>
          <w:szCs w:val="40"/>
          <w:lang w:val="en-CA"/>
        </w:rPr>
        <w:t>)</w:t>
      </w:r>
    </w:p>
    <w:p w14:paraId="741D2CD4" w14:textId="77777777" w:rsidR="00611CFC" w:rsidRPr="001A047D" w:rsidRDefault="00611CFC" w:rsidP="00CC36EC">
      <w:pPr>
        <w:pStyle w:val="SMG"/>
        <w:spacing w:before="0" w:after="0"/>
        <w:rPr>
          <w:lang w:val="en-CA"/>
        </w:rPr>
      </w:pPr>
      <w:r w:rsidRPr="001A047D">
        <w:rPr>
          <w:lang w:val="en-CA"/>
        </w:rPr>
        <w:t>General Assembly</w:t>
      </w:r>
    </w:p>
    <w:p w14:paraId="1E4DC3D8" w14:textId="77777777" w:rsidR="00611CFC" w:rsidRPr="001A047D" w:rsidRDefault="00611CFC">
      <w:pPr>
        <w:ind w:left="1134"/>
        <w:rPr>
          <w:b/>
          <w:sz w:val="28"/>
          <w:szCs w:val="28"/>
          <w:lang w:val="en-CA"/>
        </w:rPr>
      </w:pPr>
      <w:r w:rsidRPr="001A047D">
        <w:rPr>
          <w:b/>
          <w:sz w:val="28"/>
          <w:szCs w:val="28"/>
          <w:lang w:val="en-CA"/>
        </w:rPr>
        <w:t>Official Records</w:t>
      </w:r>
    </w:p>
    <w:p w14:paraId="285EEEA4" w14:textId="0EDE89D2" w:rsidR="00611CFC" w:rsidRPr="001A047D" w:rsidRDefault="00140FD4" w:rsidP="001F20B2">
      <w:pPr>
        <w:ind w:left="1134" w:right="1134"/>
        <w:rPr>
          <w:b/>
          <w:sz w:val="28"/>
          <w:szCs w:val="28"/>
          <w:lang w:val="en-CA"/>
        </w:rPr>
      </w:pPr>
      <w:r w:rsidRPr="001A047D">
        <w:rPr>
          <w:b/>
          <w:sz w:val="28"/>
          <w:szCs w:val="28"/>
          <w:lang w:val="en-CA"/>
        </w:rPr>
        <w:t>Seventy-</w:t>
      </w:r>
      <w:r w:rsidR="00D75255" w:rsidRPr="001A047D">
        <w:rPr>
          <w:b/>
          <w:sz w:val="28"/>
          <w:szCs w:val="28"/>
          <w:lang w:val="en-CA"/>
        </w:rPr>
        <w:t xml:space="preserve">fifth </w:t>
      </w:r>
      <w:r w:rsidR="00B11A27" w:rsidRPr="001A047D">
        <w:rPr>
          <w:b/>
          <w:sz w:val="28"/>
          <w:szCs w:val="28"/>
          <w:lang w:val="en-CA"/>
        </w:rPr>
        <w:t>Session</w:t>
      </w:r>
    </w:p>
    <w:p w14:paraId="5CF5D3C1" w14:textId="77777777" w:rsidR="00611CFC" w:rsidRPr="001A047D" w:rsidRDefault="00924562" w:rsidP="001F20B2">
      <w:pPr>
        <w:ind w:left="1134" w:right="1134"/>
        <w:rPr>
          <w:b/>
          <w:sz w:val="36"/>
          <w:szCs w:val="36"/>
          <w:lang w:val="en-CA"/>
        </w:rPr>
      </w:pPr>
      <w:r w:rsidRPr="001A047D">
        <w:rPr>
          <w:b/>
          <w:sz w:val="28"/>
          <w:szCs w:val="28"/>
          <w:lang w:val="en-CA"/>
        </w:rPr>
        <w:t>Supplement No. 56</w:t>
      </w:r>
    </w:p>
    <w:p w14:paraId="5DC98C92" w14:textId="77777777" w:rsidR="00611CFC" w:rsidRPr="001A047D" w:rsidRDefault="00611CFC">
      <w:pPr>
        <w:rPr>
          <w:lang w:val="en-CA"/>
        </w:rPr>
        <w:sectPr w:rsidR="00611CFC" w:rsidRPr="001A047D" w:rsidSect="00FC53A7">
          <w:headerReference w:type="default" r:id="rId9"/>
          <w:foot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paperSrc w:first="15" w:other="15"/>
          <w:cols w:space="720"/>
        </w:sectPr>
      </w:pPr>
    </w:p>
    <w:p w14:paraId="1822A7BD" w14:textId="5F70FB37" w:rsidR="00611CFC" w:rsidRPr="001A047D" w:rsidRDefault="00A842E6" w:rsidP="001F20B2">
      <w:pPr>
        <w:spacing w:after="1200"/>
        <w:jc w:val="right"/>
        <w:outlineLvl w:val="0"/>
        <w:rPr>
          <w:b/>
          <w:lang w:val="en-CA"/>
        </w:rPr>
      </w:pPr>
      <w:hyperlink r:id="rId13" w:history="1">
        <w:r w:rsidR="003E7794" w:rsidRPr="001A047D">
          <w:rPr>
            <w:rStyle w:val="Hyperlink"/>
            <w:b/>
            <w:lang w:val="en-CA"/>
          </w:rPr>
          <w:t>A/</w:t>
        </w:r>
        <w:r w:rsidR="00D75255" w:rsidRPr="001A047D">
          <w:rPr>
            <w:rStyle w:val="Hyperlink"/>
            <w:b/>
            <w:lang w:val="en-CA"/>
          </w:rPr>
          <w:t>75</w:t>
        </w:r>
        <w:r w:rsidR="00924562" w:rsidRPr="001A047D">
          <w:rPr>
            <w:rStyle w:val="Hyperlink"/>
            <w:b/>
            <w:lang w:val="en-CA"/>
          </w:rPr>
          <w:t>/56</w:t>
        </w:r>
      </w:hyperlink>
    </w:p>
    <w:p w14:paraId="0489CA51" w14:textId="538A6AED" w:rsidR="00611CFC" w:rsidRPr="001A047D" w:rsidRDefault="00611CFC">
      <w:pPr>
        <w:rPr>
          <w:b/>
          <w:sz w:val="24"/>
          <w:szCs w:val="24"/>
          <w:lang w:val="en-CA"/>
        </w:rPr>
      </w:pPr>
      <w:r w:rsidRPr="001A047D">
        <w:rPr>
          <w:b/>
          <w:sz w:val="24"/>
          <w:szCs w:val="24"/>
          <w:lang w:val="en-CA"/>
        </w:rPr>
        <w:t>General Assembly</w:t>
      </w:r>
    </w:p>
    <w:p w14:paraId="352331EF" w14:textId="77777777" w:rsidR="00611CFC" w:rsidRPr="001A047D" w:rsidRDefault="00611CFC">
      <w:pPr>
        <w:rPr>
          <w:sz w:val="24"/>
          <w:szCs w:val="24"/>
          <w:lang w:val="en-CA"/>
        </w:rPr>
      </w:pPr>
      <w:r w:rsidRPr="001A047D">
        <w:rPr>
          <w:sz w:val="24"/>
          <w:szCs w:val="24"/>
          <w:lang w:val="en-CA"/>
        </w:rPr>
        <w:t>Official Records</w:t>
      </w:r>
    </w:p>
    <w:p w14:paraId="223F739F" w14:textId="0FEEF98D" w:rsidR="00611CFC" w:rsidRPr="001A047D" w:rsidRDefault="00140FD4" w:rsidP="001F20B2">
      <w:pPr>
        <w:rPr>
          <w:sz w:val="24"/>
          <w:szCs w:val="24"/>
          <w:lang w:val="en-CA"/>
        </w:rPr>
      </w:pPr>
      <w:r w:rsidRPr="001A047D">
        <w:rPr>
          <w:sz w:val="24"/>
          <w:szCs w:val="24"/>
          <w:lang w:val="en-CA"/>
        </w:rPr>
        <w:t>Seventy-</w:t>
      </w:r>
      <w:r w:rsidR="00924562" w:rsidRPr="001A047D">
        <w:rPr>
          <w:sz w:val="24"/>
          <w:szCs w:val="24"/>
          <w:lang w:val="en-CA"/>
        </w:rPr>
        <w:t>fifth</w:t>
      </w:r>
      <w:r w:rsidR="00D75255" w:rsidRPr="001A047D">
        <w:rPr>
          <w:sz w:val="24"/>
          <w:szCs w:val="24"/>
          <w:lang w:val="en-CA"/>
        </w:rPr>
        <w:t xml:space="preserve"> </w:t>
      </w:r>
      <w:r w:rsidR="00B11A27" w:rsidRPr="001A047D">
        <w:rPr>
          <w:sz w:val="24"/>
          <w:szCs w:val="24"/>
          <w:lang w:val="en-CA"/>
        </w:rPr>
        <w:t>Session</w:t>
      </w:r>
    </w:p>
    <w:p w14:paraId="77434D69" w14:textId="77777777" w:rsidR="00611CFC" w:rsidRPr="001A047D" w:rsidRDefault="00611CFC" w:rsidP="00CC36EC">
      <w:pPr>
        <w:spacing w:after="1080"/>
        <w:rPr>
          <w:b/>
          <w:sz w:val="24"/>
          <w:szCs w:val="24"/>
          <w:lang w:val="en-CA"/>
        </w:rPr>
      </w:pPr>
      <w:r w:rsidRPr="001A047D">
        <w:rPr>
          <w:sz w:val="24"/>
          <w:szCs w:val="24"/>
          <w:lang w:val="en-CA"/>
        </w:rPr>
        <w:t xml:space="preserve">Supplement No. </w:t>
      </w:r>
      <w:r w:rsidR="00924562" w:rsidRPr="001A047D">
        <w:rPr>
          <w:sz w:val="24"/>
          <w:szCs w:val="24"/>
          <w:lang w:val="en-CA"/>
        </w:rPr>
        <w:t>56</w:t>
      </w:r>
      <w:r w:rsidR="00D75255" w:rsidRPr="001A047D">
        <w:rPr>
          <w:sz w:val="24"/>
          <w:szCs w:val="24"/>
          <w:lang w:val="en-CA"/>
        </w:rPr>
        <w:t xml:space="preserve"> </w:t>
      </w:r>
    </w:p>
    <w:p w14:paraId="6BFDAD41" w14:textId="77777777" w:rsidR="00611CFC" w:rsidRPr="001A047D" w:rsidRDefault="00611CFC" w:rsidP="006E158A">
      <w:pPr>
        <w:pStyle w:val="SMG"/>
        <w:spacing w:before="0" w:after="840"/>
        <w:ind w:right="0"/>
        <w:rPr>
          <w:szCs w:val="40"/>
          <w:lang w:val="en-CA"/>
        </w:rPr>
      </w:pPr>
      <w:r w:rsidRPr="001A047D">
        <w:rPr>
          <w:lang w:val="en-CA"/>
        </w:rPr>
        <w:t xml:space="preserve">Report of the </w:t>
      </w:r>
      <w:r w:rsidR="006F4F73" w:rsidRPr="001A047D">
        <w:rPr>
          <w:lang w:val="en-CA"/>
        </w:rPr>
        <w:t xml:space="preserve">Committee on </w:t>
      </w:r>
      <w:r w:rsidR="003E7794" w:rsidRPr="001A047D">
        <w:rPr>
          <w:lang w:val="en-CA"/>
        </w:rPr>
        <w:br/>
        <w:t>Enforced Disappearances</w:t>
      </w:r>
    </w:p>
    <w:p w14:paraId="7DEC770B" w14:textId="6FB2054E" w:rsidR="00611CFC" w:rsidRPr="001A047D" w:rsidRDefault="00D75255" w:rsidP="005D1D96">
      <w:pPr>
        <w:spacing w:after="120"/>
        <w:ind w:left="1134"/>
        <w:rPr>
          <w:b/>
          <w:sz w:val="28"/>
          <w:szCs w:val="28"/>
          <w:lang w:val="en-CA"/>
        </w:rPr>
      </w:pPr>
      <w:r w:rsidRPr="001A047D">
        <w:rPr>
          <w:b/>
          <w:sz w:val="28"/>
          <w:szCs w:val="28"/>
          <w:lang w:val="en-CA"/>
        </w:rPr>
        <w:t xml:space="preserve">Seventeenth </w:t>
      </w:r>
      <w:r w:rsidR="00611CFC" w:rsidRPr="001A047D">
        <w:rPr>
          <w:b/>
          <w:sz w:val="28"/>
          <w:szCs w:val="28"/>
          <w:lang w:val="en-CA"/>
        </w:rPr>
        <w:t>session</w:t>
      </w:r>
      <w:r w:rsidR="00CC36EC" w:rsidRPr="001A047D">
        <w:rPr>
          <w:b/>
          <w:sz w:val="28"/>
          <w:szCs w:val="28"/>
          <w:lang w:val="en-CA"/>
        </w:rPr>
        <w:br/>
      </w:r>
      <w:r w:rsidR="006F4F73" w:rsidRPr="001A047D">
        <w:rPr>
          <w:b/>
          <w:sz w:val="28"/>
          <w:szCs w:val="28"/>
          <w:lang w:val="en-CA"/>
        </w:rPr>
        <w:t>(</w:t>
      </w:r>
      <w:r w:rsidRPr="001A047D">
        <w:rPr>
          <w:b/>
          <w:sz w:val="28"/>
          <w:szCs w:val="28"/>
          <w:lang w:val="en-CA"/>
        </w:rPr>
        <w:t>30 September–11 October 2019</w:t>
      </w:r>
      <w:r w:rsidR="006F4F73" w:rsidRPr="001A047D">
        <w:rPr>
          <w:b/>
          <w:sz w:val="28"/>
          <w:szCs w:val="28"/>
          <w:lang w:val="en-CA"/>
        </w:rPr>
        <w:t>)</w:t>
      </w:r>
    </w:p>
    <w:p w14:paraId="739FD881" w14:textId="21388582" w:rsidR="00611CFC" w:rsidRPr="001A047D" w:rsidRDefault="00D75255" w:rsidP="005D1D96">
      <w:pPr>
        <w:spacing w:after="5280"/>
        <w:ind w:left="1134" w:right="1134"/>
        <w:rPr>
          <w:b/>
          <w:sz w:val="28"/>
          <w:szCs w:val="28"/>
          <w:lang w:val="en-CA"/>
        </w:rPr>
      </w:pPr>
      <w:r w:rsidRPr="001A047D">
        <w:rPr>
          <w:b/>
          <w:sz w:val="28"/>
          <w:szCs w:val="28"/>
          <w:lang w:val="en-CA"/>
        </w:rPr>
        <w:t xml:space="preserve">Eighteenth </w:t>
      </w:r>
      <w:r w:rsidR="006F4F73" w:rsidRPr="001A047D">
        <w:rPr>
          <w:b/>
          <w:sz w:val="28"/>
          <w:szCs w:val="28"/>
          <w:lang w:val="en-CA"/>
        </w:rPr>
        <w:t>session</w:t>
      </w:r>
      <w:r w:rsidR="00CC36EC" w:rsidRPr="001A047D">
        <w:rPr>
          <w:b/>
          <w:sz w:val="28"/>
          <w:szCs w:val="28"/>
          <w:lang w:val="en-CA"/>
        </w:rPr>
        <w:br/>
      </w:r>
      <w:r w:rsidR="006F4F73" w:rsidRPr="001A047D">
        <w:rPr>
          <w:b/>
          <w:sz w:val="28"/>
          <w:szCs w:val="28"/>
          <w:lang w:val="en-CA"/>
        </w:rPr>
        <w:t>(</w:t>
      </w:r>
      <w:r w:rsidR="00F37679" w:rsidRPr="001A047D">
        <w:rPr>
          <w:b/>
          <w:sz w:val="28"/>
          <w:szCs w:val="28"/>
          <w:lang w:val="en-CA"/>
        </w:rPr>
        <w:t>4 May</w:t>
      </w:r>
      <w:r w:rsidR="00765497" w:rsidRPr="001A047D">
        <w:rPr>
          <w:b/>
          <w:sz w:val="28"/>
          <w:szCs w:val="28"/>
          <w:lang w:val="en-CA"/>
        </w:rPr>
        <w:t xml:space="preserve"> (online)</w:t>
      </w:r>
      <w:r w:rsidR="00F37679" w:rsidRPr="001A047D">
        <w:rPr>
          <w:b/>
          <w:sz w:val="28"/>
          <w:szCs w:val="28"/>
          <w:lang w:val="en-CA"/>
        </w:rPr>
        <w:t xml:space="preserve"> and 7 September</w:t>
      </w:r>
      <w:r w:rsidRPr="001A047D">
        <w:rPr>
          <w:b/>
          <w:sz w:val="28"/>
          <w:szCs w:val="28"/>
          <w:lang w:val="en-CA"/>
        </w:rPr>
        <w:t xml:space="preserve"> 2020</w:t>
      </w:r>
      <w:r w:rsidR="00611CFC" w:rsidRPr="001A047D">
        <w:rPr>
          <w:b/>
          <w:sz w:val="28"/>
          <w:szCs w:val="28"/>
          <w:lang w:val="en-CA"/>
        </w:rPr>
        <w:t>)</w:t>
      </w:r>
    </w:p>
    <w:p w14:paraId="5641C246" w14:textId="77777777" w:rsidR="00611CFC" w:rsidRPr="001A047D" w:rsidRDefault="00611CFC" w:rsidP="00CC36EC">
      <w:pPr>
        <w:spacing w:after="120"/>
        <w:rPr>
          <w:lang w:val="en-CA"/>
        </w:rPr>
      </w:pPr>
    </w:p>
    <w:p w14:paraId="33C6E98C" w14:textId="387CBDE3" w:rsidR="00495205" w:rsidRPr="001A047D" w:rsidRDefault="00527733" w:rsidP="00975D47">
      <w:pPr>
        <w:ind w:left="1134"/>
        <w:outlineLvl w:val="0"/>
        <w:rPr>
          <w:bCs/>
          <w:lang w:val="en-CA"/>
        </w:rPr>
      </w:pPr>
      <w:r w:rsidRPr="001A047D">
        <w:rPr>
          <w:bCs/>
          <w:noProof/>
          <w:lang w:eastAsia="en-GB"/>
        </w:rPr>
        <w:drawing>
          <wp:anchor distT="0" distB="0" distL="114300" distR="114300" simplePos="0" relativeHeight="251657216" behindDoc="0" locked="1" layoutInCell="1" allowOverlap="0" wp14:anchorId="0C073680" wp14:editId="0BC2799C">
            <wp:simplePos x="0" y="0"/>
            <wp:positionH relativeFrom="column">
              <wp:posOffset>735965</wp:posOffset>
            </wp:positionH>
            <wp:positionV relativeFrom="paragraph">
              <wp:posOffset>-483235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pic:spPr>
                </pic:pic>
              </a:graphicData>
            </a:graphic>
            <wp14:sizeRelH relativeFrom="page">
              <wp14:pctWidth>0</wp14:pctWidth>
            </wp14:sizeRelH>
            <wp14:sizeRelV relativeFrom="page">
              <wp14:pctHeight>0</wp14:pctHeight>
            </wp14:sizeRelV>
          </wp:anchor>
        </w:drawing>
      </w:r>
      <w:r w:rsidR="00611CFC" w:rsidRPr="001A047D">
        <w:rPr>
          <w:bCs/>
          <w:sz w:val="28"/>
          <w:lang w:val="en-CA"/>
        </w:rPr>
        <w:t xml:space="preserve">United Nations • New York, </w:t>
      </w:r>
      <w:r w:rsidR="00D75255" w:rsidRPr="001A047D">
        <w:rPr>
          <w:bCs/>
          <w:sz w:val="28"/>
          <w:lang w:val="en-CA"/>
        </w:rPr>
        <w:t>2020</w:t>
      </w:r>
      <w:r w:rsidR="00611CFC" w:rsidRPr="001A047D">
        <w:rPr>
          <w:bCs/>
          <w:lang w:val="en-CA"/>
        </w:rPr>
        <w:br w:type="page"/>
      </w:r>
    </w:p>
    <w:p w14:paraId="70FA6BD6" w14:textId="77777777" w:rsidR="00DF33FE" w:rsidRPr="001A047D" w:rsidRDefault="00DF33FE" w:rsidP="00313DEA">
      <w:pPr>
        <w:spacing w:before="4800" w:after="120"/>
        <w:ind w:left="1134"/>
        <w:outlineLvl w:val="0"/>
        <w:rPr>
          <w:i/>
          <w:lang w:val="en-CA"/>
        </w:rPr>
      </w:pPr>
    </w:p>
    <w:p w14:paraId="5207D1A0" w14:textId="77777777" w:rsidR="00611CFC" w:rsidRPr="001A047D" w:rsidRDefault="00611CFC" w:rsidP="00313DEA">
      <w:pPr>
        <w:spacing w:before="4800" w:after="120"/>
        <w:ind w:left="1134"/>
        <w:outlineLvl w:val="0"/>
        <w:rPr>
          <w:i/>
          <w:lang w:val="en-CA"/>
        </w:rPr>
      </w:pPr>
      <w:r w:rsidRPr="001A047D">
        <w:rPr>
          <w:i/>
          <w:lang w:val="en-CA"/>
        </w:rPr>
        <w:t>Note</w:t>
      </w:r>
    </w:p>
    <w:p w14:paraId="1101BBB9" w14:textId="77777777" w:rsidR="00611CFC" w:rsidRPr="001A047D" w:rsidRDefault="00206256" w:rsidP="00AF1E4D">
      <w:pPr>
        <w:pStyle w:val="SingleTxtG"/>
        <w:rPr>
          <w:lang w:val="en-CA"/>
        </w:rPr>
      </w:pPr>
      <w:r w:rsidRPr="001A047D">
        <w:rPr>
          <w:lang w:val="en-CA"/>
        </w:rPr>
        <w:tab/>
      </w:r>
      <w:r w:rsidR="00611CFC" w:rsidRPr="001A047D">
        <w:rPr>
          <w:lang w:val="en-CA"/>
        </w:rPr>
        <w:tab/>
        <w:t>Symbols of United Nations documents are composed of letters combined with figures. Mention of such a symbol indicates a reference to a United Nations document.</w:t>
      </w:r>
    </w:p>
    <w:p w14:paraId="0A8B5E75" w14:textId="77777777" w:rsidR="00611CFC" w:rsidRPr="001A047D" w:rsidRDefault="00611CFC">
      <w:pPr>
        <w:rPr>
          <w:lang w:val="en-CA"/>
        </w:rPr>
      </w:pPr>
    </w:p>
    <w:p w14:paraId="1FB37577" w14:textId="77777777" w:rsidR="00611CFC" w:rsidRPr="001A047D" w:rsidRDefault="00611CFC">
      <w:pPr>
        <w:spacing w:after="120"/>
        <w:rPr>
          <w:lang w:val="en-CA"/>
        </w:rPr>
        <w:sectPr w:rsidR="00611CFC" w:rsidRPr="001A047D" w:rsidSect="00FC53A7">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1418" w:right="1134" w:bottom="1134" w:left="1134" w:header="851" w:footer="567" w:gutter="0"/>
          <w:paperSrc w:first="15" w:other="15"/>
          <w:cols w:space="720"/>
          <w:titlePg/>
        </w:sectPr>
      </w:pPr>
    </w:p>
    <w:p w14:paraId="42AE0A3B" w14:textId="77777777" w:rsidR="00501115" w:rsidRPr="001A047D" w:rsidRDefault="00501115" w:rsidP="00501115">
      <w:pPr>
        <w:suppressAutoHyphens/>
        <w:spacing w:after="120" w:line="240" w:lineRule="atLeast"/>
        <w:rPr>
          <w:sz w:val="28"/>
          <w:lang w:val="en-CA"/>
        </w:rPr>
      </w:pPr>
      <w:r w:rsidRPr="001A047D">
        <w:rPr>
          <w:sz w:val="28"/>
          <w:lang w:val="en-CA"/>
        </w:rPr>
        <w:lastRenderedPageBreak/>
        <w:t>Contents</w:t>
      </w:r>
    </w:p>
    <w:p w14:paraId="29CB5586" w14:textId="77777777" w:rsidR="00243B2A" w:rsidRPr="001A047D" w:rsidRDefault="00D70391" w:rsidP="00501115">
      <w:pPr>
        <w:tabs>
          <w:tab w:val="right" w:pos="9638"/>
        </w:tabs>
        <w:suppressAutoHyphens/>
        <w:spacing w:after="120" w:line="240" w:lineRule="atLeast"/>
        <w:ind w:left="283"/>
        <w:rPr>
          <w:sz w:val="18"/>
          <w:lang w:val="en-CA"/>
        </w:rPr>
      </w:pPr>
      <w:r w:rsidRPr="001A047D">
        <w:rPr>
          <w:i/>
          <w:sz w:val="14"/>
          <w:szCs w:val="14"/>
          <w:lang w:val="en-CA"/>
        </w:rPr>
        <w:t>Chapter</w:t>
      </w:r>
      <w:r w:rsidR="00243B2A" w:rsidRPr="001A047D">
        <w:rPr>
          <w:i/>
          <w:sz w:val="18"/>
          <w:lang w:val="en-CA"/>
        </w:rPr>
        <w:tab/>
      </w:r>
      <w:r w:rsidR="00243B2A" w:rsidRPr="001A047D">
        <w:rPr>
          <w:i/>
          <w:sz w:val="14"/>
          <w:szCs w:val="14"/>
          <w:lang w:val="en-CA"/>
        </w:rPr>
        <w:t>Page</w:t>
      </w:r>
    </w:p>
    <w:p w14:paraId="789CB238" w14:textId="77777777" w:rsidR="00ED2B5D" w:rsidRPr="001A047D" w:rsidRDefault="00ED2B5D" w:rsidP="00ED2B5D">
      <w:pPr>
        <w:tabs>
          <w:tab w:val="right" w:pos="850"/>
          <w:tab w:val="left" w:pos="1134"/>
          <w:tab w:val="left" w:pos="1559"/>
          <w:tab w:val="left" w:pos="1984"/>
          <w:tab w:val="left" w:leader="dot" w:pos="8787"/>
          <w:tab w:val="right" w:pos="9638"/>
        </w:tabs>
        <w:spacing w:after="120"/>
        <w:rPr>
          <w:lang w:val="en-CA"/>
        </w:rPr>
      </w:pPr>
      <w:r w:rsidRPr="001A047D">
        <w:rPr>
          <w:lang w:val="en-CA"/>
        </w:rPr>
        <w:tab/>
        <w:t>I.</w:t>
      </w:r>
      <w:r w:rsidRPr="001A047D">
        <w:rPr>
          <w:lang w:val="en-CA"/>
        </w:rPr>
        <w:tab/>
        <w:t>Organizational and other matters</w:t>
      </w:r>
      <w:r w:rsidRPr="001A047D">
        <w:rPr>
          <w:lang w:val="en-CA"/>
        </w:rPr>
        <w:tab/>
      </w:r>
      <w:r w:rsidRPr="001A047D">
        <w:rPr>
          <w:lang w:val="en-CA"/>
        </w:rPr>
        <w:tab/>
      </w:r>
      <w:r w:rsidR="00C11D4F" w:rsidRPr="001A047D">
        <w:rPr>
          <w:lang w:val="en-CA"/>
        </w:rPr>
        <w:t>1</w:t>
      </w:r>
    </w:p>
    <w:p w14:paraId="2E6E058E" w14:textId="77777777" w:rsidR="00ED2B5D" w:rsidRPr="001A047D" w:rsidRDefault="00ED2B5D" w:rsidP="00ED2B5D">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A.</w:t>
      </w:r>
      <w:r w:rsidRPr="001A047D">
        <w:rPr>
          <w:lang w:val="en-CA"/>
        </w:rPr>
        <w:tab/>
        <w:t>States parties to the Convention</w:t>
      </w:r>
      <w:r w:rsidRPr="001A047D">
        <w:rPr>
          <w:lang w:val="en-CA"/>
        </w:rPr>
        <w:tab/>
      </w:r>
      <w:r w:rsidRPr="001A047D">
        <w:rPr>
          <w:lang w:val="en-CA"/>
        </w:rPr>
        <w:tab/>
      </w:r>
      <w:r w:rsidR="00C11D4F" w:rsidRPr="001A047D">
        <w:rPr>
          <w:lang w:val="en-CA"/>
        </w:rPr>
        <w:t>1</w:t>
      </w:r>
    </w:p>
    <w:p w14:paraId="4DD7F220" w14:textId="77777777" w:rsidR="00ED2B5D" w:rsidRPr="001A047D" w:rsidRDefault="00ED2B5D" w:rsidP="00ED2B5D">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B.</w:t>
      </w:r>
      <w:r w:rsidRPr="001A047D">
        <w:rPr>
          <w:lang w:val="en-CA"/>
        </w:rPr>
        <w:tab/>
        <w:t>Meetings and sessions</w:t>
      </w:r>
      <w:r w:rsidRPr="001A047D">
        <w:rPr>
          <w:lang w:val="en-CA"/>
        </w:rPr>
        <w:tab/>
      </w:r>
      <w:r w:rsidRPr="001A047D">
        <w:rPr>
          <w:lang w:val="en-CA"/>
        </w:rPr>
        <w:tab/>
      </w:r>
      <w:r w:rsidR="00C11D4F" w:rsidRPr="001A047D">
        <w:rPr>
          <w:lang w:val="en-CA"/>
        </w:rPr>
        <w:t>1</w:t>
      </w:r>
    </w:p>
    <w:p w14:paraId="707091C9" w14:textId="77777777" w:rsidR="00ED2B5D" w:rsidRPr="001A047D" w:rsidRDefault="00ED2B5D" w:rsidP="00ED2B5D">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C.</w:t>
      </w:r>
      <w:r w:rsidRPr="001A047D">
        <w:rPr>
          <w:lang w:val="en-CA"/>
        </w:rPr>
        <w:tab/>
        <w:t>Membership and attendance</w:t>
      </w:r>
      <w:r w:rsidRPr="001A047D">
        <w:rPr>
          <w:lang w:val="en-CA"/>
        </w:rPr>
        <w:tab/>
      </w:r>
      <w:r w:rsidRPr="001A047D">
        <w:rPr>
          <w:lang w:val="en-CA"/>
        </w:rPr>
        <w:tab/>
      </w:r>
      <w:r w:rsidR="005707C1" w:rsidRPr="001A047D">
        <w:rPr>
          <w:lang w:val="en-CA"/>
        </w:rPr>
        <w:t>2</w:t>
      </w:r>
    </w:p>
    <w:p w14:paraId="2995B5E5" w14:textId="77777777" w:rsidR="00ED2B5D" w:rsidRPr="001A047D" w:rsidRDefault="00ED2B5D" w:rsidP="00ED2B5D">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D.</w:t>
      </w:r>
      <w:r w:rsidRPr="001A047D">
        <w:rPr>
          <w:lang w:val="en-CA"/>
        </w:rPr>
        <w:tab/>
        <w:t>Decisions of the Committee</w:t>
      </w:r>
      <w:r w:rsidRPr="001A047D">
        <w:rPr>
          <w:lang w:val="en-CA"/>
        </w:rPr>
        <w:tab/>
      </w:r>
      <w:r w:rsidRPr="001A047D">
        <w:rPr>
          <w:lang w:val="en-CA"/>
        </w:rPr>
        <w:tab/>
      </w:r>
      <w:r w:rsidR="005707C1" w:rsidRPr="001A047D">
        <w:rPr>
          <w:lang w:val="en-CA"/>
        </w:rPr>
        <w:t>2</w:t>
      </w:r>
    </w:p>
    <w:p w14:paraId="6F6FDEFE" w14:textId="77777777" w:rsidR="00ED2B5D" w:rsidRPr="001A047D" w:rsidRDefault="00ED2B5D" w:rsidP="007714AE">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E.</w:t>
      </w:r>
      <w:r w:rsidRPr="001A047D">
        <w:rPr>
          <w:lang w:val="en-CA"/>
        </w:rPr>
        <w:tab/>
        <w:t>Adoption of the annual report</w:t>
      </w:r>
      <w:r w:rsidRPr="001A047D">
        <w:rPr>
          <w:lang w:val="en-CA"/>
        </w:rPr>
        <w:tab/>
      </w:r>
      <w:r w:rsidRPr="001A047D">
        <w:rPr>
          <w:lang w:val="en-CA"/>
        </w:rPr>
        <w:tab/>
      </w:r>
      <w:r w:rsidR="005707C1" w:rsidRPr="001A047D">
        <w:rPr>
          <w:lang w:val="en-CA"/>
        </w:rPr>
        <w:t>3</w:t>
      </w:r>
    </w:p>
    <w:p w14:paraId="31CA9715" w14:textId="6EDFA3CE" w:rsidR="00ED2B5D" w:rsidRPr="001A047D" w:rsidRDefault="00ED2B5D" w:rsidP="007714AE">
      <w:pPr>
        <w:tabs>
          <w:tab w:val="right" w:pos="850"/>
          <w:tab w:val="left" w:pos="1134"/>
          <w:tab w:val="left" w:pos="1559"/>
          <w:tab w:val="left" w:pos="1984"/>
          <w:tab w:val="left" w:leader="dot" w:pos="8787"/>
          <w:tab w:val="right" w:pos="9638"/>
        </w:tabs>
        <w:spacing w:after="120"/>
        <w:rPr>
          <w:lang w:val="en-CA"/>
        </w:rPr>
      </w:pPr>
      <w:r w:rsidRPr="001A047D">
        <w:rPr>
          <w:lang w:val="en-CA"/>
        </w:rPr>
        <w:tab/>
        <w:t>II.</w:t>
      </w:r>
      <w:r w:rsidRPr="001A047D">
        <w:rPr>
          <w:lang w:val="en-CA"/>
        </w:rPr>
        <w:tab/>
        <w:t>Methods of work</w:t>
      </w:r>
      <w:r w:rsidRPr="001A047D">
        <w:rPr>
          <w:lang w:val="en-CA"/>
        </w:rPr>
        <w:tab/>
      </w:r>
      <w:r w:rsidRPr="001A047D">
        <w:rPr>
          <w:lang w:val="en-CA"/>
        </w:rPr>
        <w:tab/>
      </w:r>
      <w:r w:rsidR="000D7F0A" w:rsidRPr="001A047D">
        <w:rPr>
          <w:lang w:val="en-CA"/>
        </w:rPr>
        <w:t>5</w:t>
      </w:r>
    </w:p>
    <w:p w14:paraId="4412CE2E" w14:textId="43C13DFA" w:rsidR="00797A38" w:rsidRPr="001A047D" w:rsidRDefault="00797A38" w:rsidP="007714AE">
      <w:pPr>
        <w:tabs>
          <w:tab w:val="right" w:pos="850"/>
          <w:tab w:val="left" w:pos="1134"/>
          <w:tab w:val="left" w:pos="1559"/>
          <w:tab w:val="left" w:pos="1984"/>
          <w:tab w:val="left" w:leader="dot" w:pos="8787"/>
          <w:tab w:val="right" w:pos="9638"/>
        </w:tabs>
        <w:spacing w:after="120"/>
        <w:rPr>
          <w:lang w:val="en-CA"/>
        </w:rPr>
      </w:pPr>
      <w:r w:rsidRPr="001A047D">
        <w:rPr>
          <w:lang w:val="en-CA"/>
        </w:rPr>
        <w:tab/>
        <w:t>III.</w:t>
      </w:r>
      <w:r w:rsidRPr="001A047D">
        <w:rPr>
          <w:lang w:val="en-CA"/>
        </w:rPr>
        <w:tab/>
        <w:t>Relations with stakeholders</w:t>
      </w:r>
      <w:r w:rsidRPr="001A047D">
        <w:rPr>
          <w:lang w:val="en-CA"/>
        </w:rPr>
        <w:tab/>
      </w:r>
      <w:r w:rsidRPr="001A047D">
        <w:rPr>
          <w:lang w:val="en-CA"/>
        </w:rPr>
        <w:tab/>
      </w:r>
      <w:r w:rsidR="000D7F0A" w:rsidRPr="001A047D">
        <w:rPr>
          <w:lang w:val="en-CA"/>
        </w:rPr>
        <w:t>6</w:t>
      </w:r>
    </w:p>
    <w:p w14:paraId="207C947A" w14:textId="53C73D4C" w:rsidR="00797A38" w:rsidRPr="001A047D" w:rsidRDefault="00797A38" w:rsidP="007714AE">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A.</w:t>
      </w:r>
      <w:r w:rsidRPr="001A047D">
        <w:rPr>
          <w:lang w:val="en-CA"/>
        </w:rPr>
        <w:tab/>
        <w:t>Meetings with Member States</w:t>
      </w:r>
      <w:r w:rsidRPr="001A047D">
        <w:rPr>
          <w:lang w:val="en-CA"/>
        </w:rPr>
        <w:tab/>
      </w:r>
      <w:r w:rsidRPr="001A047D">
        <w:rPr>
          <w:lang w:val="en-CA"/>
        </w:rPr>
        <w:tab/>
      </w:r>
      <w:r w:rsidR="000D7F0A" w:rsidRPr="001A047D">
        <w:rPr>
          <w:lang w:val="en-CA"/>
        </w:rPr>
        <w:t>6</w:t>
      </w:r>
    </w:p>
    <w:p w14:paraId="6658D706" w14:textId="7251CED4" w:rsidR="00797A38" w:rsidRPr="001A047D" w:rsidRDefault="00797A38" w:rsidP="00797A38">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B.</w:t>
      </w:r>
      <w:r w:rsidRPr="001A047D">
        <w:rPr>
          <w:lang w:val="en-CA"/>
        </w:rPr>
        <w:tab/>
        <w:t xml:space="preserve">Meeting with </w:t>
      </w:r>
      <w:r w:rsidR="0097430E" w:rsidRPr="001A047D">
        <w:rPr>
          <w:lang w:val="en-CA"/>
        </w:rPr>
        <w:t>United Nations agencies</w:t>
      </w:r>
      <w:r w:rsidR="005707C1" w:rsidRPr="001A047D">
        <w:rPr>
          <w:lang w:val="en-CA"/>
        </w:rPr>
        <w:tab/>
      </w:r>
      <w:r w:rsidR="005707C1" w:rsidRPr="001A047D">
        <w:rPr>
          <w:lang w:val="en-CA"/>
        </w:rPr>
        <w:tab/>
      </w:r>
      <w:r w:rsidR="000D7F0A" w:rsidRPr="001A047D">
        <w:rPr>
          <w:lang w:val="en-CA"/>
        </w:rPr>
        <w:t>6</w:t>
      </w:r>
    </w:p>
    <w:p w14:paraId="793DDEB0" w14:textId="787D29F3" w:rsidR="00797A38" w:rsidRPr="001A047D" w:rsidRDefault="00797A38" w:rsidP="000E35C7">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C.</w:t>
      </w:r>
      <w:r w:rsidRPr="001A047D">
        <w:rPr>
          <w:lang w:val="en-CA"/>
        </w:rPr>
        <w:tab/>
        <w:t xml:space="preserve">Meetings with </w:t>
      </w:r>
      <w:r w:rsidR="00A70BA8" w:rsidRPr="001A047D">
        <w:rPr>
          <w:lang w:val="en-CA"/>
        </w:rPr>
        <w:t>non-governmental organizations and civil society</w:t>
      </w:r>
      <w:r w:rsidRPr="001A047D">
        <w:rPr>
          <w:lang w:val="en-CA"/>
        </w:rPr>
        <w:tab/>
      </w:r>
      <w:r w:rsidRPr="001A047D">
        <w:rPr>
          <w:lang w:val="en-CA"/>
        </w:rPr>
        <w:tab/>
      </w:r>
      <w:r w:rsidR="000D7F0A" w:rsidRPr="001A047D">
        <w:rPr>
          <w:lang w:val="en-CA"/>
        </w:rPr>
        <w:t>7</w:t>
      </w:r>
    </w:p>
    <w:p w14:paraId="5594FA26" w14:textId="6679401F" w:rsidR="00797A38" w:rsidRPr="001A047D" w:rsidRDefault="00797A38" w:rsidP="00797A38">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D.</w:t>
      </w:r>
      <w:r w:rsidRPr="001A047D">
        <w:rPr>
          <w:lang w:val="en-CA"/>
        </w:rPr>
        <w:tab/>
        <w:t xml:space="preserve">Meetings with </w:t>
      </w:r>
      <w:r w:rsidR="00A70BA8" w:rsidRPr="001A047D">
        <w:rPr>
          <w:lang w:val="en-CA"/>
        </w:rPr>
        <w:t>other stakeholders</w:t>
      </w:r>
      <w:r w:rsidR="005707C1" w:rsidRPr="001A047D">
        <w:rPr>
          <w:lang w:val="en-CA"/>
        </w:rPr>
        <w:tab/>
      </w:r>
      <w:r w:rsidR="005707C1" w:rsidRPr="001A047D">
        <w:rPr>
          <w:lang w:val="en-CA"/>
        </w:rPr>
        <w:tab/>
      </w:r>
      <w:r w:rsidR="000D7F0A" w:rsidRPr="001A047D">
        <w:rPr>
          <w:lang w:val="en-CA"/>
        </w:rPr>
        <w:t>7</w:t>
      </w:r>
    </w:p>
    <w:p w14:paraId="4F4D7984" w14:textId="451A7EB3" w:rsidR="00797A38" w:rsidRPr="001A047D" w:rsidRDefault="00797A38" w:rsidP="000E35C7">
      <w:pPr>
        <w:tabs>
          <w:tab w:val="right" w:pos="850"/>
          <w:tab w:val="left" w:pos="1134"/>
          <w:tab w:val="left" w:pos="1559"/>
          <w:tab w:val="left" w:pos="1984"/>
          <w:tab w:val="left" w:leader="dot" w:pos="8787"/>
          <w:tab w:val="right" w:pos="9638"/>
        </w:tabs>
        <w:spacing w:after="120"/>
        <w:rPr>
          <w:lang w:val="en-CA"/>
        </w:rPr>
      </w:pPr>
      <w:r w:rsidRPr="001A047D">
        <w:rPr>
          <w:lang w:val="en-CA"/>
        </w:rPr>
        <w:tab/>
        <w:t>IV.</w:t>
      </w:r>
      <w:r w:rsidRPr="001A047D">
        <w:rPr>
          <w:lang w:val="en-CA"/>
        </w:rPr>
        <w:tab/>
        <w:t>Consideration of reports submitted by States parties under article 29</w:t>
      </w:r>
      <w:r w:rsidR="00F36832" w:rsidRPr="001A047D">
        <w:rPr>
          <w:lang w:val="en-CA"/>
        </w:rPr>
        <w:t xml:space="preserve"> (1)</w:t>
      </w:r>
      <w:r w:rsidRPr="001A047D">
        <w:rPr>
          <w:lang w:val="en-CA"/>
        </w:rPr>
        <w:t xml:space="preserve"> of the Convention</w:t>
      </w:r>
      <w:r w:rsidRPr="001A047D">
        <w:rPr>
          <w:lang w:val="en-CA"/>
        </w:rPr>
        <w:tab/>
      </w:r>
      <w:r w:rsidRPr="001A047D">
        <w:rPr>
          <w:lang w:val="en-CA"/>
        </w:rPr>
        <w:tab/>
      </w:r>
      <w:r w:rsidR="000D7F0A" w:rsidRPr="001A047D">
        <w:rPr>
          <w:lang w:val="en-CA"/>
        </w:rPr>
        <w:t>8</w:t>
      </w:r>
    </w:p>
    <w:p w14:paraId="6A3BA480" w14:textId="302EB219" w:rsidR="00797A38" w:rsidRPr="001A047D" w:rsidRDefault="00797A38" w:rsidP="000E35C7">
      <w:pPr>
        <w:tabs>
          <w:tab w:val="right" w:pos="850"/>
          <w:tab w:val="left" w:pos="1134"/>
          <w:tab w:val="left" w:pos="1559"/>
          <w:tab w:val="left" w:pos="1984"/>
          <w:tab w:val="left" w:leader="dot" w:pos="8787"/>
          <w:tab w:val="right" w:pos="9638"/>
        </w:tabs>
        <w:spacing w:after="120"/>
        <w:rPr>
          <w:lang w:val="en-CA"/>
        </w:rPr>
      </w:pPr>
      <w:r w:rsidRPr="001A047D">
        <w:rPr>
          <w:lang w:val="en-CA"/>
        </w:rPr>
        <w:tab/>
        <w:t>V.</w:t>
      </w:r>
      <w:r w:rsidRPr="001A047D">
        <w:rPr>
          <w:lang w:val="en-CA"/>
        </w:rPr>
        <w:tab/>
        <w:t>Adoption of the report on follow-up to concluding observations</w:t>
      </w:r>
      <w:r w:rsidRPr="001A047D">
        <w:rPr>
          <w:lang w:val="en-CA"/>
        </w:rPr>
        <w:tab/>
      </w:r>
      <w:r w:rsidRPr="001A047D">
        <w:rPr>
          <w:lang w:val="en-CA"/>
        </w:rPr>
        <w:tab/>
      </w:r>
      <w:r w:rsidR="000D7F0A" w:rsidRPr="001A047D">
        <w:rPr>
          <w:lang w:val="en-CA"/>
        </w:rPr>
        <w:t>9</w:t>
      </w:r>
    </w:p>
    <w:p w14:paraId="0D22C3C1" w14:textId="0830F289" w:rsidR="00797A38" w:rsidRPr="001A047D" w:rsidRDefault="00797A38" w:rsidP="000E35C7">
      <w:pPr>
        <w:tabs>
          <w:tab w:val="right" w:pos="850"/>
          <w:tab w:val="left" w:pos="1134"/>
          <w:tab w:val="left" w:pos="1559"/>
          <w:tab w:val="left" w:pos="1984"/>
          <w:tab w:val="left" w:leader="dot" w:pos="8787"/>
          <w:tab w:val="right" w:pos="9638"/>
        </w:tabs>
        <w:spacing w:after="120"/>
        <w:rPr>
          <w:lang w:val="en-CA"/>
        </w:rPr>
      </w:pPr>
      <w:r w:rsidRPr="001A047D">
        <w:rPr>
          <w:lang w:val="en-CA"/>
        </w:rPr>
        <w:tab/>
        <w:t>VI</w:t>
      </w:r>
      <w:r w:rsidR="005707C1" w:rsidRPr="001A047D">
        <w:rPr>
          <w:lang w:val="en-CA"/>
        </w:rPr>
        <w:t>.</w:t>
      </w:r>
      <w:r w:rsidR="005707C1" w:rsidRPr="001A047D">
        <w:rPr>
          <w:lang w:val="en-CA"/>
        </w:rPr>
        <w:tab/>
        <w:t>Adoption of lists of issues</w:t>
      </w:r>
      <w:r w:rsidR="005707C1" w:rsidRPr="001A047D">
        <w:rPr>
          <w:lang w:val="en-CA"/>
        </w:rPr>
        <w:tab/>
      </w:r>
      <w:r w:rsidR="005707C1" w:rsidRPr="001A047D">
        <w:rPr>
          <w:lang w:val="en-CA"/>
        </w:rPr>
        <w:tab/>
      </w:r>
      <w:r w:rsidR="000D7F0A" w:rsidRPr="001A047D">
        <w:rPr>
          <w:lang w:val="en-CA"/>
        </w:rPr>
        <w:t>10</w:t>
      </w:r>
    </w:p>
    <w:p w14:paraId="09BC8341" w14:textId="017910CA" w:rsidR="00797A38" w:rsidRPr="001A047D" w:rsidRDefault="00797A38" w:rsidP="000E35C7">
      <w:pPr>
        <w:tabs>
          <w:tab w:val="right" w:pos="850"/>
          <w:tab w:val="left" w:pos="1134"/>
          <w:tab w:val="left" w:pos="1559"/>
          <w:tab w:val="left" w:pos="1984"/>
          <w:tab w:val="left" w:leader="dot" w:pos="8787"/>
          <w:tab w:val="right" w:pos="9638"/>
        </w:tabs>
        <w:spacing w:after="120"/>
        <w:rPr>
          <w:lang w:val="en-CA"/>
        </w:rPr>
      </w:pPr>
      <w:r w:rsidRPr="001A047D">
        <w:rPr>
          <w:lang w:val="en-CA"/>
        </w:rPr>
        <w:tab/>
        <w:t>VII.</w:t>
      </w:r>
      <w:r w:rsidRPr="001A047D">
        <w:rPr>
          <w:lang w:val="en-CA"/>
        </w:rPr>
        <w:tab/>
      </w:r>
      <w:r w:rsidR="00A70BA8" w:rsidRPr="001A047D">
        <w:rPr>
          <w:lang w:val="en-CA"/>
        </w:rPr>
        <w:t>Reporting under the Convention</w:t>
      </w:r>
      <w:r w:rsidRPr="001A047D">
        <w:rPr>
          <w:lang w:val="en-CA"/>
        </w:rPr>
        <w:tab/>
      </w:r>
      <w:r w:rsidRPr="001A047D">
        <w:rPr>
          <w:lang w:val="en-CA"/>
        </w:rPr>
        <w:tab/>
        <w:t>1</w:t>
      </w:r>
      <w:r w:rsidR="000D7F0A" w:rsidRPr="001A047D">
        <w:rPr>
          <w:lang w:val="en-CA"/>
        </w:rPr>
        <w:t>1</w:t>
      </w:r>
    </w:p>
    <w:p w14:paraId="20041AAC" w14:textId="54FE6001" w:rsidR="00797A38" w:rsidRPr="001A047D" w:rsidRDefault="00797A38" w:rsidP="000E35C7">
      <w:pPr>
        <w:tabs>
          <w:tab w:val="right" w:pos="850"/>
          <w:tab w:val="left" w:pos="1134"/>
          <w:tab w:val="left" w:pos="1559"/>
          <w:tab w:val="left" w:leader="dot" w:pos="8787"/>
          <w:tab w:val="right" w:pos="9638"/>
        </w:tabs>
        <w:spacing w:after="120"/>
        <w:rPr>
          <w:lang w:val="en-CA"/>
        </w:rPr>
      </w:pPr>
      <w:r w:rsidRPr="001A047D">
        <w:rPr>
          <w:lang w:val="en-CA"/>
        </w:rPr>
        <w:tab/>
        <w:t>VIII.</w:t>
      </w:r>
      <w:r w:rsidRPr="001A047D">
        <w:rPr>
          <w:lang w:val="en-CA"/>
        </w:rPr>
        <w:tab/>
        <w:t>Reprisals</w:t>
      </w:r>
      <w:r w:rsidRPr="001A047D">
        <w:rPr>
          <w:lang w:val="en-CA"/>
        </w:rPr>
        <w:tab/>
      </w:r>
      <w:r w:rsidRPr="001A047D">
        <w:rPr>
          <w:lang w:val="en-CA"/>
        </w:rPr>
        <w:tab/>
        <w:t>1</w:t>
      </w:r>
      <w:r w:rsidR="000D7F0A" w:rsidRPr="001A047D">
        <w:rPr>
          <w:lang w:val="en-CA"/>
        </w:rPr>
        <w:t>2</w:t>
      </w:r>
    </w:p>
    <w:p w14:paraId="58800BF4" w14:textId="094DDFAA" w:rsidR="00A70BA8" w:rsidRPr="001A047D" w:rsidRDefault="00A80569" w:rsidP="001E2088">
      <w:pPr>
        <w:tabs>
          <w:tab w:val="left" w:pos="1134"/>
          <w:tab w:val="left" w:pos="1984"/>
          <w:tab w:val="left" w:leader="dot" w:pos="8787"/>
          <w:tab w:val="right" w:pos="9638"/>
        </w:tabs>
        <w:spacing w:after="120"/>
        <w:ind w:left="567"/>
        <w:rPr>
          <w:lang w:val="en-CA"/>
        </w:rPr>
      </w:pPr>
      <w:r w:rsidRPr="001A047D">
        <w:rPr>
          <w:lang w:val="en-CA"/>
        </w:rPr>
        <w:t>IX.</w:t>
      </w:r>
      <w:r w:rsidR="001E2088" w:rsidRPr="001A047D">
        <w:rPr>
          <w:lang w:val="en-CA"/>
        </w:rPr>
        <w:tab/>
      </w:r>
      <w:r w:rsidR="003342AA" w:rsidRPr="001A047D">
        <w:rPr>
          <w:lang w:val="en-CA"/>
        </w:rPr>
        <w:t>Consideration of a</w:t>
      </w:r>
      <w:r w:rsidR="00A70BA8" w:rsidRPr="001A047D">
        <w:rPr>
          <w:lang w:val="en-CA"/>
        </w:rPr>
        <w:t xml:space="preserve">dditional information </w:t>
      </w:r>
      <w:r w:rsidR="006D3AA3" w:rsidRPr="001A047D">
        <w:rPr>
          <w:lang w:val="en-CA"/>
        </w:rPr>
        <w:t>submitted by States</w:t>
      </w:r>
      <w:r w:rsidR="001F530E" w:rsidRPr="001A047D">
        <w:rPr>
          <w:lang w:val="en-CA"/>
        </w:rPr>
        <w:t xml:space="preserve"> parties</w:t>
      </w:r>
      <w:r w:rsidR="006D3AA3" w:rsidRPr="001A047D">
        <w:rPr>
          <w:lang w:val="en-CA"/>
        </w:rPr>
        <w:t xml:space="preserve"> </w:t>
      </w:r>
      <w:r w:rsidR="00A70BA8" w:rsidRPr="001A047D">
        <w:rPr>
          <w:lang w:val="en-CA"/>
        </w:rPr>
        <w:t xml:space="preserve">under article 29 </w:t>
      </w:r>
      <w:r w:rsidR="006D3AA3" w:rsidRPr="001A047D">
        <w:rPr>
          <w:lang w:val="en-CA"/>
        </w:rPr>
        <w:t>(</w:t>
      </w:r>
      <w:r w:rsidR="00A70BA8" w:rsidRPr="001A047D">
        <w:rPr>
          <w:lang w:val="en-CA"/>
        </w:rPr>
        <w:t>4</w:t>
      </w:r>
      <w:r w:rsidR="006D3AA3" w:rsidRPr="001A047D">
        <w:rPr>
          <w:lang w:val="en-CA"/>
        </w:rPr>
        <w:t>)</w:t>
      </w:r>
      <w:r w:rsidR="001E2088" w:rsidRPr="001A047D">
        <w:rPr>
          <w:lang w:val="en-CA"/>
        </w:rPr>
        <w:br/>
      </w:r>
      <w:r w:rsidR="001E2088" w:rsidRPr="001A047D">
        <w:rPr>
          <w:lang w:val="en-CA"/>
        </w:rPr>
        <w:tab/>
      </w:r>
      <w:r w:rsidR="00A70BA8" w:rsidRPr="001A047D">
        <w:rPr>
          <w:lang w:val="en-CA"/>
        </w:rPr>
        <w:t>of the Convention</w:t>
      </w:r>
      <w:r w:rsidR="00A70BA8" w:rsidRPr="001A047D">
        <w:rPr>
          <w:lang w:val="en-CA"/>
        </w:rPr>
        <w:tab/>
      </w:r>
      <w:r w:rsidR="00A70BA8" w:rsidRPr="001A047D">
        <w:rPr>
          <w:lang w:val="en-CA"/>
        </w:rPr>
        <w:tab/>
        <w:t>1</w:t>
      </w:r>
      <w:r w:rsidR="000D7F0A" w:rsidRPr="001A047D">
        <w:rPr>
          <w:lang w:val="en-CA"/>
        </w:rPr>
        <w:t>3</w:t>
      </w:r>
    </w:p>
    <w:p w14:paraId="435776D1" w14:textId="4DF95006" w:rsidR="00797A38" w:rsidRPr="001A047D" w:rsidRDefault="00A70BA8" w:rsidP="000E35C7">
      <w:pPr>
        <w:tabs>
          <w:tab w:val="right" w:pos="850"/>
          <w:tab w:val="left" w:pos="1134"/>
          <w:tab w:val="left" w:pos="1559"/>
          <w:tab w:val="left" w:pos="1984"/>
          <w:tab w:val="left" w:leader="dot" w:pos="8787"/>
          <w:tab w:val="right" w:pos="9638"/>
        </w:tabs>
        <w:spacing w:after="120"/>
        <w:rPr>
          <w:lang w:val="en-CA"/>
        </w:rPr>
      </w:pPr>
      <w:r w:rsidRPr="001A047D">
        <w:rPr>
          <w:lang w:val="en-CA"/>
        </w:rPr>
        <w:tab/>
      </w:r>
      <w:r w:rsidR="00797A38" w:rsidRPr="001A047D">
        <w:rPr>
          <w:lang w:val="en-CA"/>
        </w:rPr>
        <w:t>X.</w:t>
      </w:r>
      <w:r w:rsidR="00797A38" w:rsidRPr="001A047D">
        <w:rPr>
          <w:lang w:val="en-CA"/>
        </w:rPr>
        <w:tab/>
        <w:t>Urgent action procedure under article 30 of the Convention</w:t>
      </w:r>
      <w:r w:rsidR="00797A38" w:rsidRPr="001A047D">
        <w:rPr>
          <w:lang w:val="en-CA"/>
        </w:rPr>
        <w:tab/>
      </w:r>
      <w:r w:rsidR="00797A38" w:rsidRPr="001A047D">
        <w:rPr>
          <w:lang w:val="en-CA"/>
        </w:rPr>
        <w:tab/>
        <w:t>1</w:t>
      </w:r>
      <w:r w:rsidR="000D7F0A" w:rsidRPr="001A047D">
        <w:rPr>
          <w:lang w:val="en-CA"/>
        </w:rPr>
        <w:t>4</w:t>
      </w:r>
    </w:p>
    <w:p w14:paraId="0D760E57" w14:textId="70DAF2D1" w:rsidR="00797A38" w:rsidRPr="001A047D" w:rsidRDefault="00797A38" w:rsidP="000E35C7">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A.</w:t>
      </w:r>
      <w:r w:rsidRPr="001A047D">
        <w:rPr>
          <w:lang w:val="en-CA"/>
        </w:rPr>
        <w:tab/>
        <w:t xml:space="preserve">Requests for urgent action received and registered since the establishment </w:t>
      </w:r>
      <w:r w:rsidRPr="001A047D">
        <w:rPr>
          <w:lang w:val="en-CA"/>
        </w:rPr>
        <w:br/>
      </w:r>
      <w:r w:rsidRPr="001A047D">
        <w:rPr>
          <w:lang w:val="en-CA"/>
        </w:rPr>
        <w:tab/>
      </w:r>
      <w:r w:rsidRPr="001A047D">
        <w:rPr>
          <w:lang w:val="en-CA"/>
        </w:rPr>
        <w:tab/>
      </w:r>
      <w:r w:rsidR="005B3F1B" w:rsidRPr="001A047D">
        <w:rPr>
          <w:lang w:val="en-CA"/>
        </w:rPr>
        <w:tab/>
      </w:r>
      <w:r w:rsidRPr="001A047D">
        <w:rPr>
          <w:lang w:val="en-CA"/>
        </w:rPr>
        <w:t>of the Committee</w:t>
      </w:r>
      <w:r w:rsidRPr="001A047D">
        <w:rPr>
          <w:lang w:val="en-CA"/>
        </w:rPr>
        <w:tab/>
      </w:r>
      <w:r w:rsidRPr="001A047D">
        <w:rPr>
          <w:lang w:val="en-CA"/>
        </w:rPr>
        <w:tab/>
        <w:t>1</w:t>
      </w:r>
      <w:r w:rsidR="000D7F0A" w:rsidRPr="001A047D">
        <w:rPr>
          <w:lang w:val="en-CA"/>
        </w:rPr>
        <w:t>4</w:t>
      </w:r>
    </w:p>
    <w:p w14:paraId="0510CDFD" w14:textId="73BBA829" w:rsidR="00797A38" w:rsidRPr="001A047D" w:rsidRDefault="004C0818" w:rsidP="00A80569">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B.</w:t>
      </w:r>
      <w:r w:rsidRPr="001A047D">
        <w:rPr>
          <w:lang w:val="en-CA"/>
        </w:rPr>
        <w:tab/>
        <w:t>P</w:t>
      </w:r>
      <w:r w:rsidR="00797A38" w:rsidRPr="001A047D">
        <w:rPr>
          <w:lang w:val="en-CA"/>
        </w:rPr>
        <w:t xml:space="preserve">rocess after registration of urgent action requests: developments observed </w:t>
      </w:r>
      <w:r w:rsidR="00797A38" w:rsidRPr="001A047D">
        <w:rPr>
          <w:lang w:val="en-CA"/>
        </w:rPr>
        <w:br/>
      </w:r>
      <w:r w:rsidR="00797A38" w:rsidRPr="001A047D">
        <w:rPr>
          <w:lang w:val="en-CA"/>
        </w:rPr>
        <w:tab/>
      </w:r>
      <w:r w:rsidR="00797A38" w:rsidRPr="001A047D">
        <w:rPr>
          <w:lang w:val="en-CA"/>
        </w:rPr>
        <w:tab/>
      </w:r>
      <w:r w:rsidR="005B3F1B" w:rsidRPr="001A047D">
        <w:rPr>
          <w:lang w:val="en-CA"/>
        </w:rPr>
        <w:tab/>
      </w:r>
      <w:r w:rsidR="00797A38" w:rsidRPr="001A047D">
        <w:rPr>
          <w:lang w:val="en-CA"/>
        </w:rPr>
        <w:t xml:space="preserve">since the </w:t>
      </w:r>
      <w:r w:rsidRPr="001A047D">
        <w:rPr>
          <w:lang w:val="en-CA"/>
        </w:rPr>
        <w:t>six</w:t>
      </w:r>
      <w:r w:rsidR="00EE2BEC" w:rsidRPr="001A047D">
        <w:rPr>
          <w:lang w:val="en-CA"/>
        </w:rPr>
        <w:t>teenth</w:t>
      </w:r>
      <w:r w:rsidRPr="001A047D">
        <w:rPr>
          <w:lang w:val="en-CA"/>
        </w:rPr>
        <w:t xml:space="preserve"> session (to 30 September 2019</w:t>
      </w:r>
      <w:r w:rsidR="00797A38" w:rsidRPr="001A047D">
        <w:rPr>
          <w:lang w:val="en-CA"/>
        </w:rPr>
        <w:t>)</w:t>
      </w:r>
      <w:r w:rsidR="00797A38" w:rsidRPr="001A047D">
        <w:rPr>
          <w:lang w:val="en-CA"/>
        </w:rPr>
        <w:tab/>
      </w:r>
      <w:r w:rsidR="005B3F1B" w:rsidRPr="001A047D">
        <w:rPr>
          <w:lang w:val="en-CA"/>
        </w:rPr>
        <w:tab/>
      </w:r>
      <w:r w:rsidR="00797A38" w:rsidRPr="001A047D">
        <w:rPr>
          <w:lang w:val="en-CA"/>
        </w:rPr>
        <w:t>1</w:t>
      </w:r>
      <w:r w:rsidR="00120D92" w:rsidRPr="001A047D">
        <w:rPr>
          <w:lang w:val="en-CA"/>
        </w:rPr>
        <w:t>4</w:t>
      </w:r>
    </w:p>
    <w:p w14:paraId="70BB2718" w14:textId="08AE5798" w:rsidR="00797A38" w:rsidRPr="001A047D" w:rsidRDefault="00797A38" w:rsidP="005B3F1B">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C.</w:t>
      </w:r>
      <w:r w:rsidRPr="001A047D">
        <w:rPr>
          <w:lang w:val="en-CA"/>
        </w:rPr>
        <w:tab/>
      </w:r>
      <w:r w:rsidR="004C0818" w:rsidRPr="001A047D">
        <w:rPr>
          <w:lang w:val="en-CA"/>
        </w:rPr>
        <w:t xml:space="preserve">Urgent actions discontinued, closed or kept open for the protection </w:t>
      </w:r>
      <w:r w:rsidR="004C0818" w:rsidRPr="001A047D">
        <w:rPr>
          <w:lang w:val="en-CA"/>
        </w:rPr>
        <w:br/>
      </w:r>
      <w:r w:rsidR="004C0818" w:rsidRPr="001A047D">
        <w:rPr>
          <w:lang w:val="en-CA"/>
        </w:rPr>
        <w:tab/>
      </w:r>
      <w:r w:rsidR="004C0818" w:rsidRPr="001A047D">
        <w:rPr>
          <w:lang w:val="en-CA"/>
        </w:rPr>
        <w:tab/>
      </w:r>
      <w:r w:rsidR="004C0818" w:rsidRPr="001A047D">
        <w:rPr>
          <w:lang w:val="en-CA"/>
        </w:rPr>
        <w:tab/>
        <w:t xml:space="preserve">of persons </w:t>
      </w:r>
      <w:r w:rsidR="0097430E" w:rsidRPr="001A047D">
        <w:rPr>
          <w:lang w:val="en-CA"/>
        </w:rPr>
        <w:t>to</w:t>
      </w:r>
      <w:r w:rsidR="004C0818" w:rsidRPr="001A047D">
        <w:rPr>
          <w:lang w:val="en-CA"/>
        </w:rPr>
        <w:t xml:space="preserve"> whom interim measures have been </w:t>
      </w:r>
      <w:r w:rsidR="0097430E" w:rsidRPr="001A047D">
        <w:rPr>
          <w:lang w:val="en-CA"/>
        </w:rPr>
        <w:t>granted</w:t>
      </w:r>
      <w:r w:rsidR="00AE50EB" w:rsidRPr="001A047D">
        <w:rPr>
          <w:lang w:val="en-CA"/>
        </w:rPr>
        <w:tab/>
      </w:r>
      <w:r w:rsidR="00AE50EB" w:rsidRPr="001A047D">
        <w:rPr>
          <w:lang w:val="en-CA"/>
        </w:rPr>
        <w:tab/>
      </w:r>
      <w:r w:rsidR="008B5C2A" w:rsidRPr="001A047D">
        <w:rPr>
          <w:lang w:val="en-CA"/>
        </w:rPr>
        <w:t>1</w:t>
      </w:r>
      <w:r w:rsidR="00120D92" w:rsidRPr="001A047D">
        <w:rPr>
          <w:lang w:val="en-CA"/>
        </w:rPr>
        <w:t>7</w:t>
      </w:r>
    </w:p>
    <w:p w14:paraId="56D7A8CC" w14:textId="5E413E49" w:rsidR="00797A38" w:rsidRPr="001A047D" w:rsidRDefault="00797A38" w:rsidP="00AF5E09">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t>D.</w:t>
      </w:r>
      <w:r w:rsidRPr="001A047D">
        <w:rPr>
          <w:lang w:val="en-CA"/>
        </w:rPr>
        <w:tab/>
      </w:r>
      <w:r w:rsidR="00F17FB7" w:rsidRPr="001A047D">
        <w:rPr>
          <w:lang w:val="en-CA"/>
        </w:rPr>
        <w:t>Decisions taken</w:t>
      </w:r>
      <w:r w:rsidR="004C0818" w:rsidRPr="001A047D">
        <w:rPr>
          <w:lang w:val="en-CA"/>
        </w:rPr>
        <w:t xml:space="preserve"> by the Committee at its seventeenth</w:t>
      </w:r>
      <w:r w:rsidR="00F17FB7" w:rsidRPr="001A047D">
        <w:rPr>
          <w:lang w:val="en-CA"/>
        </w:rPr>
        <w:t xml:space="preserve"> and eighteenth</w:t>
      </w:r>
      <w:r w:rsidR="004C0818" w:rsidRPr="001A047D">
        <w:rPr>
          <w:lang w:val="en-CA"/>
        </w:rPr>
        <w:t xml:space="preserve"> session</w:t>
      </w:r>
      <w:r w:rsidR="00F17FB7" w:rsidRPr="001A047D">
        <w:rPr>
          <w:lang w:val="en-CA"/>
        </w:rPr>
        <w:t>s</w:t>
      </w:r>
      <w:r w:rsidRPr="001A047D">
        <w:rPr>
          <w:lang w:val="en-CA"/>
        </w:rPr>
        <w:tab/>
      </w:r>
      <w:r w:rsidRPr="001A047D">
        <w:rPr>
          <w:lang w:val="en-CA"/>
        </w:rPr>
        <w:tab/>
      </w:r>
      <w:r w:rsidR="008B5C2A" w:rsidRPr="001A047D">
        <w:rPr>
          <w:lang w:val="en-CA"/>
        </w:rPr>
        <w:t>1</w:t>
      </w:r>
      <w:r w:rsidR="00120D92" w:rsidRPr="001A047D">
        <w:rPr>
          <w:lang w:val="en-CA"/>
        </w:rPr>
        <w:t>8</w:t>
      </w:r>
    </w:p>
    <w:p w14:paraId="2A73754C" w14:textId="779F9860" w:rsidR="00797A38" w:rsidRPr="001A047D" w:rsidRDefault="00797A38" w:rsidP="00797A38">
      <w:pPr>
        <w:tabs>
          <w:tab w:val="right" w:pos="850"/>
          <w:tab w:val="left" w:pos="1134"/>
          <w:tab w:val="left" w:pos="1559"/>
          <w:tab w:val="left" w:pos="1984"/>
          <w:tab w:val="left" w:leader="dot" w:pos="8787"/>
          <w:tab w:val="right" w:pos="9638"/>
        </w:tabs>
        <w:spacing w:after="120"/>
        <w:rPr>
          <w:lang w:val="en-CA"/>
        </w:rPr>
      </w:pPr>
      <w:r w:rsidRPr="001A047D">
        <w:rPr>
          <w:lang w:val="en-CA"/>
        </w:rPr>
        <w:tab/>
        <w:t>X</w:t>
      </w:r>
      <w:r w:rsidR="00A70BA8" w:rsidRPr="001A047D">
        <w:rPr>
          <w:lang w:val="en-CA"/>
        </w:rPr>
        <w:t>I</w:t>
      </w:r>
      <w:r w:rsidRPr="001A047D">
        <w:rPr>
          <w:lang w:val="en-CA"/>
        </w:rPr>
        <w:t>.</w:t>
      </w:r>
      <w:r w:rsidRPr="001A047D">
        <w:rPr>
          <w:lang w:val="en-CA"/>
        </w:rPr>
        <w:tab/>
        <w:t>Communication</w:t>
      </w:r>
      <w:r w:rsidR="00017313" w:rsidRPr="001A047D">
        <w:rPr>
          <w:lang w:val="en-CA"/>
        </w:rPr>
        <w:t>s</w:t>
      </w:r>
      <w:r w:rsidRPr="001A047D">
        <w:rPr>
          <w:lang w:val="en-CA"/>
        </w:rPr>
        <w:t xml:space="preserve"> procedure under article 31 of the </w:t>
      </w:r>
      <w:r w:rsidR="00AE50EB" w:rsidRPr="001A047D">
        <w:rPr>
          <w:lang w:val="en-CA"/>
        </w:rPr>
        <w:t>Convention</w:t>
      </w:r>
      <w:r w:rsidR="00AE50EB" w:rsidRPr="001A047D">
        <w:rPr>
          <w:lang w:val="en-CA"/>
        </w:rPr>
        <w:tab/>
      </w:r>
      <w:r w:rsidR="00AE50EB" w:rsidRPr="001A047D">
        <w:rPr>
          <w:lang w:val="en-CA"/>
        </w:rPr>
        <w:tab/>
        <w:t>1</w:t>
      </w:r>
      <w:r w:rsidR="00120D92" w:rsidRPr="001A047D">
        <w:rPr>
          <w:lang w:val="en-CA"/>
        </w:rPr>
        <w:t>9</w:t>
      </w:r>
    </w:p>
    <w:p w14:paraId="2A67C09F" w14:textId="0706EE9C" w:rsidR="00797A38" w:rsidRPr="001A047D" w:rsidRDefault="00797A38" w:rsidP="00797A38">
      <w:pPr>
        <w:tabs>
          <w:tab w:val="right" w:pos="850"/>
          <w:tab w:val="left" w:pos="1134"/>
          <w:tab w:val="left" w:pos="1559"/>
          <w:tab w:val="left" w:pos="1984"/>
          <w:tab w:val="left" w:leader="dot" w:pos="8787"/>
          <w:tab w:val="right" w:pos="9638"/>
        </w:tabs>
        <w:spacing w:after="120"/>
        <w:rPr>
          <w:lang w:val="en-CA"/>
        </w:rPr>
      </w:pPr>
      <w:r w:rsidRPr="001A047D">
        <w:rPr>
          <w:lang w:val="en-CA"/>
        </w:rPr>
        <w:tab/>
        <w:t>XI</w:t>
      </w:r>
      <w:r w:rsidR="00A70BA8" w:rsidRPr="001A047D">
        <w:rPr>
          <w:lang w:val="en-CA"/>
        </w:rPr>
        <w:t>I</w:t>
      </w:r>
      <w:r w:rsidRPr="001A047D">
        <w:rPr>
          <w:lang w:val="en-CA"/>
        </w:rPr>
        <w:t>.</w:t>
      </w:r>
      <w:r w:rsidRPr="001A047D">
        <w:rPr>
          <w:lang w:val="en-CA"/>
        </w:rPr>
        <w:tab/>
        <w:t xml:space="preserve">Visits under </w:t>
      </w:r>
      <w:r w:rsidR="008B5C2A" w:rsidRPr="001A047D">
        <w:rPr>
          <w:lang w:val="en-CA"/>
        </w:rPr>
        <w:t>article 33 of the Convention</w:t>
      </w:r>
      <w:r w:rsidR="008B5C2A" w:rsidRPr="001A047D">
        <w:rPr>
          <w:lang w:val="en-CA"/>
        </w:rPr>
        <w:tab/>
      </w:r>
      <w:r w:rsidR="008B5C2A" w:rsidRPr="001A047D">
        <w:rPr>
          <w:lang w:val="en-CA"/>
        </w:rPr>
        <w:tab/>
      </w:r>
      <w:r w:rsidR="00120D92" w:rsidRPr="001A047D">
        <w:rPr>
          <w:lang w:val="en-CA"/>
        </w:rPr>
        <w:t>20</w:t>
      </w:r>
    </w:p>
    <w:p w14:paraId="69556FB2" w14:textId="3E9476A8" w:rsidR="00A70BA8" w:rsidRPr="001A047D" w:rsidRDefault="003A3A16" w:rsidP="003A3A16">
      <w:pPr>
        <w:tabs>
          <w:tab w:val="right" w:pos="850"/>
          <w:tab w:val="left" w:pos="1134"/>
          <w:tab w:val="left" w:pos="1559"/>
          <w:tab w:val="left" w:pos="1984"/>
          <w:tab w:val="left" w:leader="dot" w:pos="8787"/>
          <w:tab w:val="right" w:pos="9638"/>
        </w:tabs>
        <w:spacing w:after="120"/>
        <w:rPr>
          <w:lang w:val="en-CA"/>
        </w:rPr>
      </w:pPr>
      <w:r w:rsidRPr="001A047D">
        <w:rPr>
          <w:lang w:val="en-CA"/>
        </w:rPr>
        <w:tab/>
      </w:r>
      <w:r w:rsidR="00A70BA8" w:rsidRPr="001A047D">
        <w:rPr>
          <w:lang w:val="en-CA"/>
        </w:rPr>
        <w:t>XIII.</w:t>
      </w:r>
      <w:r w:rsidR="00A70BA8" w:rsidRPr="001A047D">
        <w:rPr>
          <w:lang w:val="en-CA"/>
        </w:rPr>
        <w:tab/>
        <w:t xml:space="preserve">Guiding </w:t>
      </w:r>
      <w:r w:rsidR="00EE2BEC" w:rsidRPr="001A047D">
        <w:rPr>
          <w:lang w:val="en-CA"/>
        </w:rPr>
        <w:t>p</w:t>
      </w:r>
      <w:r w:rsidR="00A70BA8" w:rsidRPr="001A047D">
        <w:rPr>
          <w:lang w:val="en-CA"/>
        </w:rPr>
        <w:t>rinciples</w:t>
      </w:r>
      <w:r w:rsidR="00AE50EB" w:rsidRPr="001A047D">
        <w:rPr>
          <w:lang w:val="en-CA"/>
        </w:rPr>
        <w:t xml:space="preserve"> for the </w:t>
      </w:r>
      <w:r w:rsidR="00EE2BEC" w:rsidRPr="001A047D">
        <w:rPr>
          <w:lang w:val="en-CA"/>
        </w:rPr>
        <w:t>s</w:t>
      </w:r>
      <w:r w:rsidR="00AE50EB" w:rsidRPr="001A047D">
        <w:rPr>
          <w:lang w:val="en-CA"/>
        </w:rPr>
        <w:t xml:space="preserve">earch for </w:t>
      </w:r>
      <w:r w:rsidR="00EE2BEC" w:rsidRPr="001A047D">
        <w:rPr>
          <w:lang w:val="en-CA"/>
        </w:rPr>
        <w:t>d</w:t>
      </w:r>
      <w:r w:rsidR="00AE50EB" w:rsidRPr="001A047D">
        <w:rPr>
          <w:lang w:val="en-CA"/>
        </w:rPr>
        <w:t xml:space="preserve">isappeared </w:t>
      </w:r>
      <w:r w:rsidR="00EE2BEC" w:rsidRPr="001A047D">
        <w:rPr>
          <w:lang w:val="en-CA"/>
        </w:rPr>
        <w:t>p</w:t>
      </w:r>
      <w:r w:rsidR="00AE50EB" w:rsidRPr="001A047D">
        <w:rPr>
          <w:lang w:val="en-CA"/>
        </w:rPr>
        <w:t>ersons</w:t>
      </w:r>
      <w:r w:rsidR="00AE50EB" w:rsidRPr="001A047D">
        <w:rPr>
          <w:lang w:val="en-CA"/>
        </w:rPr>
        <w:tab/>
      </w:r>
      <w:r w:rsidR="00AE50EB" w:rsidRPr="001A047D">
        <w:rPr>
          <w:lang w:val="en-CA"/>
        </w:rPr>
        <w:tab/>
      </w:r>
      <w:r w:rsidR="00120D92" w:rsidRPr="001A047D">
        <w:rPr>
          <w:lang w:val="en-CA"/>
        </w:rPr>
        <w:t>21</w:t>
      </w:r>
    </w:p>
    <w:p w14:paraId="0DAAFB00" w14:textId="77777777" w:rsidR="00AE50EB" w:rsidRPr="001A047D" w:rsidRDefault="007161B0" w:rsidP="00AE50EB">
      <w:pPr>
        <w:tabs>
          <w:tab w:val="right" w:pos="850"/>
          <w:tab w:val="left" w:pos="1134"/>
          <w:tab w:val="left" w:pos="1559"/>
          <w:tab w:val="left" w:pos="1984"/>
          <w:tab w:val="left" w:leader="dot" w:pos="8787"/>
          <w:tab w:val="right" w:pos="9638"/>
        </w:tabs>
        <w:spacing w:after="120"/>
        <w:rPr>
          <w:lang w:val="en-CA"/>
        </w:rPr>
      </w:pPr>
      <w:r w:rsidRPr="001A047D">
        <w:rPr>
          <w:lang w:val="en-CA"/>
        </w:rPr>
        <w:tab/>
      </w:r>
      <w:r w:rsidR="00AE50EB" w:rsidRPr="001A047D">
        <w:rPr>
          <w:lang w:val="en-CA"/>
        </w:rPr>
        <w:t>Annex</w:t>
      </w:r>
    </w:p>
    <w:p w14:paraId="736BE1B9" w14:textId="02B63CB4" w:rsidR="003A3A16" w:rsidRPr="001A047D" w:rsidRDefault="003A3A16" w:rsidP="003A3A16">
      <w:pPr>
        <w:tabs>
          <w:tab w:val="right" w:pos="850"/>
          <w:tab w:val="left" w:pos="1134"/>
          <w:tab w:val="left" w:pos="1559"/>
          <w:tab w:val="left" w:pos="1984"/>
          <w:tab w:val="left" w:leader="dot" w:pos="8787"/>
          <w:tab w:val="right" w:pos="9638"/>
        </w:tabs>
        <w:spacing w:after="120"/>
        <w:rPr>
          <w:lang w:val="en-CA"/>
        </w:rPr>
      </w:pPr>
      <w:r w:rsidRPr="001A047D">
        <w:rPr>
          <w:lang w:val="en-CA"/>
        </w:rPr>
        <w:tab/>
      </w:r>
      <w:r w:rsidRPr="001A047D">
        <w:rPr>
          <w:lang w:val="en-CA"/>
        </w:rPr>
        <w:tab/>
      </w:r>
      <w:r w:rsidR="00AE50EB" w:rsidRPr="001A047D">
        <w:rPr>
          <w:lang w:val="en-CA"/>
        </w:rPr>
        <w:t>State</w:t>
      </w:r>
      <w:r w:rsidR="007161B0" w:rsidRPr="001A047D">
        <w:rPr>
          <w:lang w:val="en-CA"/>
        </w:rPr>
        <w:t>s</w:t>
      </w:r>
      <w:r w:rsidR="00AE50EB" w:rsidRPr="001A047D">
        <w:rPr>
          <w:lang w:val="en-CA"/>
        </w:rPr>
        <w:t xml:space="preserve"> </w:t>
      </w:r>
      <w:r w:rsidR="00017313" w:rsidRPr="001A047D">
        <w:rPr>
          <w:lang w:val="en-CA"/>
        </w:rPr>
        <w:t>p</w:t>
      </w:r>
      <w:r w:rsidR="00AE50EB" w:rsidRPr="001A047D">
        <w:rPr>
          <w:lang w:val="en-CA"/>
        </w:rPr>
        <w:t xml:space="preserve">arties to the Convention </w:t>
      </w:r>
      <w:r w:rsidR="00017313" w:rsidRPr="001A047D">
        <w:rPr>
          <w:lang w:val="en-CA"/>
        </w:rPr>
        <w:t xml:space="preserve">as </w:t>
      </w:r>
      <w:r w:rsidR="00176942" w:rsidRPr="001A047D">
        <w:rPr>
          <w:lang w:val="en-CA"/>
        </w:rPr>
        <w:t xml:space="preserve">at </w:t>
      </w:r>
      <w:r w:rsidR="00531C6C" w:rsidRPr="001A047D">
        <w:rPr>
          <w:lang w:val="en-CA"/>
        </w:rPr>
        <w:t>4</w:t>
      </w:r>
      <w:r w:rsidR="00EE2BEC" w:rsidRPr="001A047D">
        <w:rPr>
          <w:lang w:val="en-CA"/>
        </w:rPr>
        <w:t xml:space="preserve"> </w:t>
      </w:r>
      <w:r w:rsidR="004C0818" w:rsidRPr="001A047D">
        <w:rPr>
          <w:lang w:val="en-CA"/>
        </w:rPr>
        <w:t>May 2020</w:t>
      </w:r>
      <w:r w:rsidR="00121B08" w:rsidRPr="001A047D">
        <w:rPr>
          <w:lang w:val="en-CA"/>
        </w:rPr>
        <w:t xml:space="preserve"> and </w:t>
      </w:r>
      <w:r w:rsidR="00EE2BEC" w:rsidRPr="001A047D">
        <w:rPr>
          <w:lang w:val="en-CA"/>
        </w:rPr>
        <w:t>their</w:t>
      </w:r>
      <w:r w:rsidR="00121B08" w:rsidRPr="001A047D">
        <w:rPr>
          <w:lang w:val="en-CA"/>
        </w:rPr>
        <w:t xml:space="preserve"> </w:t>
      </w:r>
      <w:r w:rsidR="00BF7DEA" w:rsidRPr="001A047D">
        <w:rPr>
          <w:lang w:val="en-CA"/>
        </w:rPr>
        <w:t>reporting</w:t>
      </w:r>
      <w:r w:rsidR="00EE2BEC" w:rsidRPr="001A047D">
        <w:rPr>
          <w:lang w:val="en-CA"/>
        </w:rPr>
        <w:t xml:space="preserve"> status</w:t>
      </w:r>
      <w:r w:rsidRPr="001A047D">
        <w:rPr>
          <w:lang w:val="en-CA"/>
        </w:rPr>
        <w:tab/>
      </w:r>
      <w:r w:rsidR="00AF5E09" w:rsidRPr="001A047D">
        <w:rPr>
          <w:lang w:val="en-CA"/>
        </w:rPr>
        <w:tab/>
      </w:r>
      <w:r w:rsidR="008B5C2A" w:rsidRPr="001A047D">
        <w:rPr>
          <w:lang w:val="en-CA"/>
        </w:rPr>
        <w:t>2</w:t>
      </w:r>
      <w:r w:rsidR="0010403D" w:rsidRPr="001A047D">
        <w:rPr>
          <w:lang w:val="en-CA"/>
        </w:rPr>
        <w:t>2</w:t>
      </w:r>
    </w:p>
    <w:p w14:paraId="0CBF754A" w14:textId="77777777" w:rsidR="0010451B" w:rsidRPr="001A047D" w:rsidRDefault="0010451B" w:rsidP="00D66F9C">
      <w:pPr>
        <w:tabs>
          <w:tab w:val="right" w:pos="850"/>
          <w:tab w:val="left" w:pos="1134"/>
          <w:tab w:val="left" w:pos="1559"/>
          <w:tab w:val="left" w:pos="1984"/>
          <w:tab w:val="left" w:leader="dot" w:pos="8787"/>
          <w:tab w:val="right" w:pos="9638"/>
        </w:tabs>
        <w:spacing w:after="120"/>
        <w:ind w:left="1134" w:hanging="1134"/>
        <w:rPr>
          <w:lang w:val="en-CA"/>
        </w:rPr>
      </w:pPr>
      <w:bookmarkStart w:id="1" w:name="TmpSave"/>
      <w:bookmarkEnd w:id="1"/>
    </w:p>
    <w:p w14:paraId="28034DC2" w14:textId="77777777" w:rsidR="00FB1103" w:rsidRPr="001A047D" w:rsidRDefault="00FB1103" w:rsidP="00804932">
      <w:pPr>
        <w:rPr>
          <w:lang w:val="en-CA"/>
        </w:rPr>
        <w:sectPr w:rsidR="00FB1103" w:rsidRPr="001A047D" w:rsidSect="00CC79FA">
          <w:headerReference w:type="default" r:id="rId21"/>
          <w:footerReference w:type="even" r:id="rId22"/>
          <w:footerReference w:type="default" r:id="rId23"/>
          <w:endnotePr>
            <w:numFmt w:val="decimal"/>
          </w:endnotePr>
          <w:pgSz w:w="11907" w:h="16840" w:code="9"/>
          <w:pgMar w:top="1418" w:right="1134" w:bottom="1134" w:left="1134" w:header="851" w:footer="567" w:gutter="0"/>
          <w:paperSrc w:first="15" w:other="15"/>
          <w:pgNumType w:fmt="lowerRoman" w:start="3"/>
          <w:cols w:space="720"/>
        </w:sectPr>
      </w:pPr>
    </w:p>
    <w:p w14:paraId="55E8ECCD" w14:textId="77777777" w:rsidR="00DC6EA4" w:rsidRPr="001A047D" w:rsidRDefault="00DC6EA4" w:rsidP="00DC6EA4">
      <w:pPr>
        <w:pStyle w:val="HChG"/>
        <w:rPr>
          <w:lang w:val="en-CA"/>
        </w:rPr>
      </w:pPr>
      <w:bookmarkStart w:id="2" w:name="_Hlk43904736"/>
      <w:r w:rsidRPr="001A047D">
        <w:rPr>
          <w:lang w:val="en-CA"/>
        </w:rPr>
        <w:lastRenderedPageBreak/>
        <w:tab/>
      </w:r>
      <w:r w:rsidRPr="001A047D">
        <w:rPr>
          <w:lang w:val="en-CA"/>
        </w:rPr>
        <w:tab/>
      </w:r>
      <w:bookmarkStart w:id="3" w:name="_Toc326162631"/>
      <w:bookmarkStart w:id="4" w:name="_Toc326220746"/>
      <w:bookmarkStart w:id="5" w:name="_Toc460489528"/>
      <w:bookmarkStart w:id="6" w:name="_Toc522200453"/>
      <w:bookmarkStart w:id="7" w:name="_Toc43905464"/>
      <w:bookmarkStart w:id="8" w:name="_Toc43906545"/>
      <w:bookmarkStart w:id="9" w:name="_Toc43996416"/>
      <w:r w:rsidRPr="001A047D">
        <w:rPr>
          <w:lang w:val="en-CA"/>
        </w:rPr>
        <w:t>Chapter I</w:t>
      </w:r>
      <w:r w:rsidRPr="001A047D">
        <w:rPr>
          <w:lang w:val="en-CA"/>
        </w:rPr>
        <w:br/>
      </w:r>
      <w:bookmarkEnd w:id="3"/>
      <w:bookmarkEnd w:id="4"/>
      <w:r w:rsidRPr="001A047D">
        <w:rPr>
          <w:lang w:val="en-CA"/>
        </w:rPr>
        <w:t>Organizational and other matters</w:t>
      </w:r>
      <w:bookmarkEnd w:id="5"/>
      <w:bookmarkEnd w:id="6"/>
      <w:bookmarkEnd w:id="7"/>
      <w:bookmarkEnd w:id="8"/>
      <w:bookmarkEnd w:id="9"/>
    </w:p>
    <w:p w14:paraId="63D162C4" w14:textId="77777777" w:rsidR="00DC6EA4" w:rsidRPr="001A047D" w:rsidRDefault="00DC6EA4" w:rsidP="00DC6EA4">
      <w:pPr>
        <w:pStyle w:val="H1G"/>
        <w:rPr>
          <w:lang w:val="en-CA"/>
        </w:rPr>
      </w:pPr>
      <w:r w:rsidRPr="001A047D">
        <w:rPr>
          <w:lang w:val="en-CA"/>
        </w:rPr>
        <w:tab/>
      </w:r>
      <w:bookmarkStart w:id="10" w:name="_Toc326162632"/>
      <w:bookmarkStart w:id="11" w:name="_Toc326220747"/>
      <w:bookmarkStart w:id="12" w:name="_Toc460489529"/>
      <w:bookmarkStart w:id="13" w:name="_Toc522200454"/>
      <w:bookmarkStart w:id="14" w:name="_Toc43905465"/>
      <w:bookmarkStart w:id="15" w:name="_Toc43906546"/>
      <w:bookmarkStart w:id="16" w:name="_Toc43996417"/>
      <w:r w:rsidRPr="001A047D">
        <w:rPr>
          <w:lang w:val="en-CA"/>
        </w:rPr>
        <w:t>A.</w:t>
      </w:r>
      <w:r w:rsidRPr="001A047D">
        <w:rPr>
          <w:lang w:val="en-CA"/>
        </w:rPr>
        <w:tab/>
        <w:t>States parties to the Convention</w:t>
      </w:r>
      <w:bookmarkEnd w:id="10"/>
      <w:bookmarkEnd w:id="11"/>
      <w:bookmarkEnd w:id="12"/>
      <w:bookmarkEnd w:id="13"/>
      <w:bookmarkEnd w:id="14"/>
      <w:bookmarkEnd w:id="15"/>
      <w:bookmarkEnd w:id="16"/>
    </w:p>
    <w:p w14:paraId="72C6E16D" w14:textId="77777777" w:rsidR="00DC6EA4" w:rsidRPr="001A047D" w:rsidRDefault="00DC6EA4" w:rsidP="00DC6EA4">
      <w:pPr>
        <w:pStyle w:val="SingleTxtG"/>
        <w:rPr>
          <w:lang w:val="en-CA"/>
        </w:rPr>
      </w:pPr>
      <w:r w:rsidRPr="001A047D">
        <w:rPr>
          <w:lang w:val="en-CA"/>
        </w:rPr>
        <w:t>1.</w:t>
      </w:r>
      <w:r w:rsidRPr="001A047D">
        <w:rPr>
          <w:lang w:val="en-CA"/>
        </w:rPr>
        <w:tab/>
        <w:t>As at 4 May 2020, the opening date of the eighteenth session of the Committee on Enforced Disappearances, there were 62 States parties and 98 signatory States to the International Convention for the Protection of All Persons from Enforced Disappearance, which was adopted by the General Assembly in its resolution 61/177 of 20 December 2006 and opened for signature and ratification on 6 February 2007. In accordance with its article 39 (1), the Convention entered into force on 23 December 2010.</w:t>
      </w:r>
    </w:p>
    <w:p w14:paraId="52C305D6" w14:textId="77777777" w:rsidR="00DC6EA4" w:rsidRPr="001A047D" w:rsidRDefault="00DC6EA4" w:rsidP="00DC6EA4">
      <w:pPr>
        <w:pStyle w:val="SingleTxtG"/>
        <w:rPr>
          <w:lang w:val="en-CA"/>
        </w:rPr>
      </w:pPr>
      <w:r w:rsidRPr="001A047D">
        <w:rPr>
          <w:lang w:val="en-CA"/>
        </w:rPr>
        <w:t>2.</w:t>
      </w:r>
      <w:r w:rsidRPr="001A047D">
        <w:rPr>
          <w:lang w:val="en-CA"/>
        </w:rPr>
        <w:tab/>
        <w:t>The updated list of States parties to the Convention, as well as information on declarations made under articles 31 and 32 and reservations, is available on the website of the Office of Legal Affairs of the Secretariat.</w:t>
      </w:r>
      <w:r w:rsidRPr="001A047D">
        <w:rPr>
          <w:rStyle w:val="FootnoteReference"/>
          <w:lang w:val="en-CA"/>
        </w:rPr>
        <w:footnoteReference w:id="2"/>
      </w:r>
    </w:p>
    <w:p w14:paraId="1EC3CAAC" w14:textId="77777777" w:rsidR="00DC6EA4" w:rsidRPr="001A047D" w:rsidRDefault="00DC6EA4" w:rsidP="00DC6EA4">
      <w:pPr>
        <w:pStyle w:val="H1G"/>
        <w:rPr>
          <w:lang w:val="en-CA"/>
        </w:rPr>
      </w:pPr>
      <w:r w:rsidRPr="001A047D">
        <w:rPr>
          <w:lang w:val="en-CA"/>
        </w:rPr>
        <w:tab/>
      </w:r>
      <w:bookmarkStart w:id="17" w:name="_Toc326162633"/>
      <w:bookmarkStart w:id="18" w:name="_Toc326220748"/>
      <w:bookmarkStart w:id="19" w:name="_Toc460489530"/>
      <w:bookmarkStart w:id="20" w:name="_Toc522200455"/>
      <w:bookmarkStart w:id="21" w:name="_Toc43905466"/>
      <w:bookmarkStart w:id="22" w:name="_Toc43906547"/>
      <w:bookmarkStart w:id="23" w:name="_Toc43996418"/>
      <w:r w:rsidRPr="001A047D">
        <w:rPr>
          <w:lang w:val="en-CA"/>
        </w:rPr>
        <w:t>B.</w:t>
      </w:r>
      <w:r w:rsidRPr="001A047D">
        <w:rPr>
          <w:lang w:val="en-CA"/>
        </w:rPr>
        <w:tab/>
        <w:t>Meetings and sessions</w:t>
      </w:r>
      <w:bookmarkEnd w:id="17"/>
      <w:bookmarkEnd w:id="18"/>
      <w:bookmarkEnd w:id="19"/>
      <w:bookmarkEnd w:id="20"/>
      <w:bookmarkEnd w:id="21"/>
      <w:bookmarkEnd w:id="22"/>
      <w:bookmarkEnd w:id="23"/>
    </w:p>
    <w:p w14:paraId="5842D97C" w14:textId="513752AF" w:rsidR="00DC6EA4" w:rsidRPr="001A047D" w:rsidRDefault="00DC6EA4" w:rsidP="00DC6EA4">
      <w:pPr>
        <w:pStyle w:val="SingleTxtG"/>
        <w:rPr>
          <w:lang w:val="en-CA"/>
        </w:rPr>
      </w:pPr>
      <w:r w:rsidRPr="001A047D">
        <w:rPr>
          <w:lang w:val="en-CA"/>
        </w:rPr>
        <w:t>3.</w:t>
      </w:r>
      <w:r w:rsidRPr="001A047D">
        <w:rPr>
          <w:lang w:val="en-CA"/>
        </w:rPr>
        <w:tab/>
        <w:t>The Committee held its seventeenth session at the United Nations Office at Geneva from 30 September to 11 October 2019. It held 20 plenary meetings. The agenda (</w:t>
      </w:r>
      <w:hyperlink r:id="rId24" w:history="1">
        <w:r w:rsidRPr="001A047D">
          <w:rPr>
            <w:rStyle w:val="Hyperlink"/>
            <w:lang w:val="en-CA"/>
          </w:rPr>
          <w:t>CED/C/17/1</w:t>
        </w:r>
      </w:hyperlink>
      <w:r w:rsidRPr="001A047D">
        <w:rPr>
          <w:lang w:val="en-CA"/>
        </w:rPr>
        <w:t>) was adopted by the Committee at its 294th meeting. The seventeenth session was opened by the</w:t>
      </w:r>
      <w:r w:rsidRPr="001A047D">
        <w:rPr>
          <w:shd w:val="clear" w:color="auto" w:fill="FFFFFF"/>
          <w:lang w:val="en-CA"/>
        </w:rPr>
        <w:t xml:space="preserve"> </w:t>
      </w:r>
      <w:r w:rsidRPr="001A047D">
        <w:rPr>
          <w:color w:val="000000" w:themeColor="text1"/>
          <w:lang w:val="en-CA"/>
        </w:rPr>
        <w:t xml:space="preserve">Chief of the </w:t>
      </w:r>
      <w:r w:rsidRPr="001A047D">
        <w:rPr>
          <w:lang w:val="en-CA"/>
        </w:rPr>
        <w:t>Civil, Political, Economic, Social and Cultural Rights Section</w:t>
      </w:r>
      <w:r w:rsidRPr="001A047D" w:rsidDel="004B5441">
        <w:rPr>
          <w:shd w:val="clear" w:color="auto" w:fill="FFFFFF"/>
          <w:lang w:val="en-CA"/>
        </w:rPr>
        <w:t xml:space="preserve"> </w:t>
      </w:r>
      <w:bookmarkStart w:id="24" w:name="_Hlk14448626"/>
      <w:r w:rsidRPr="001A047D">
        <w:rPr>
          <w:lang w:val="en-CA"/>
        </w:rPr>
        <w:t>of the Office of the United Nations High Commissioner for Human Rights (OHCHR)</w:t>
      </w:r>
      <w:bookmarkEnd w:id="24"/>
      <w:r w:rsidRPr="001A047D">
        <w:rPr>
          <w:lang w:val="en-CA"/>
        </w:rPr>
        <w:t xml:space="preserve">. </w:t>
      </w:r>
    </w:p>
    <w:p w14:paraId="179E624F" w14:textId="6745CA7F" w:rsidR="00DC6EA4" w:rsidRPr="001A047D" w:rsidRDefault="00DC6EA4" w:rsidP="00DC6EA4">
      <w:pPr>
        <w:pStyle w:val="SingleTxtG"/>
        <w:rPr>
          <w:lang w:val="en-CA"/>
        </w:rPr>
      </w:pPr>
      <w:r w:rsidRPr="001A047D">
        <w:rPr>
          <w:lang w:val="en-CA"/>
        </w:rPr>
        <w:t>4.</w:t>
      </w:r>
      <w:r w:rsidRPr="001A047D">
        <w:rPr>
          <w:lang w:val="en-CA"/>
        </w:rPr>
        <w:tab/>
        <w:t>In his opening statement, he welcomed the newest States parties to the Convention – Dominica, Fiji and Norway – and referred to the importance of promoting further ratification. Argentina, Colombia and Mexico had referred to the guiding principles for the search for disappeared persons (</w:t>
      </w:r>
      <w:hyperlink r:id="rId25" w:history="1">
        <w:r w:rsidRPr="001A047D">
          <w:rPr>
            <w:rStyle w:val="Hyperlink"/>
            <w:lang w:val="en-CA"/>
          </w:rPr>
          <w:t>CED/C/7</w:t>
        </w:r>
      </w:hyperlink>
      <w:r w:rsidRPr="001A047D">
        <w:rPr>
          <w:lang w:val="en-CA"/>
        </w:rPr>
        <w:t>), which the Committee had adopted at its sixteenth session, in April 2019. He emphasized OHCHR support to national efforts to address enforced disappearance and, in general, to the work of the Committee. Regarding the financial situation of the treaty bodies, the overall cash flow situation and the significant shortfall in staffing of the OHCHR Human Rights Treaties Branch remained critical, making the future uncertain. The United Nations High Commissioner for Human Rights had highlighted the 2020 review of the treaty body system as an opportunity to strengthen the impact of the treaty bodies</w:t>
      </w:r>
      <w:r w:rsidR="00E21FC5" w:rsidRPr="001A047D">
        <w:rPr>
          <w:lang w:val="en-CA"/>
        </w:rPr>
        <w:t>’</w:t>
      </w:r>
      <w:r w:rsidRPr="001A047D">
        <w:rPr>
          <w:lang w:val="en-CA"/>
        </w:rPr>
        <w:t xml:space="preserve"> deliberations on the ground, including through streamlining and harmonizing procedures.</w:t>
      </w:r>
    </w:p>
    <w:p w14:paraId="322E38A2" w14:textId="5F0AEBA7" w:rsidR="00DC6EA4" w:rsidRPr="001A047D" w:rsidRDefault="00DC6EA4" w:rsidP="00DC6EA4">
      <w:pPr>
        <w:pStyle w:val="SingleTxtG"/>
        <w:rPr>
          <w:bCs/>
          <w:lang w:val="en-CA"/>
        </w:rPr>
      </w:pPr>
      <w:r w:rsidRPr="001A047D">
        <w:rPr>
          <w:lang w:val="en-CA"/>
        </w:rPr>
        <w:t>5.</w:t>
      </w:r>
      <w:r w:rsidRPr="001A047D">
        <w:rPr>
          <w:lang w:val="en-CA"/>
        </w:rPr>
        <w:tab/>
      </w:r>
      <w:r w:rsidRPr="001A047D">
        <w:rPr>
          <w:bCs/>
          <w:lang w:val="en-CA"/>
        </w:rPr>
        <w:t xml:space="preserve">In accordance with precautionary measures taken in the context of the coronavirus disease (COVID-19) pandemic, the eighteenth session of the Committee, initially scheduled to be held in Geneva from 30 March to 9 April 2020, was opened online on 4 May 2020, at its 314th meeting. The meeting was attended by experts in locations including Tokyo and Lima and webcast by United Nations Web TV. The session was opened by the Chief of the OHCHR Human Rights Treaties Branch. He referred to the significance of the opening of the current session, since it marked the first time in the history of the treaty bodies that a session was being held online. By taking such a step despite the concessions that it had required, the Committee was demonstrating that the Convention remained a reality for all States and for all victims of enforced disappearance, whatever the circumstances. The ongoing occurrence of enforced disappearance in the context of COVID-19 was of particular concern, and by no means could COVID-19 serve as an excuse for disappearing people. He stressed </w:t>
      </w:r>
      <w:r w:rsidRPr="001A047D">
        <w:rPr>
          <w:lang w:val="en-CA"/>
        </w:rPr>
        <w:t xml:space="preserve">the important protection and prevention mandate of the treaty bodies, and recalled the importance of promoting further ratification of the Convention. Regarding the 2020 review process, the President of the General Assembly had, </w:t>
      </w:r>
      <w:r w:rsidRPr="001A047D">
        <w:rPr>
          <w:bCs/>
          <w:lang w:val="en-CA"/>
        </w:rPr>
        <w:t xml:space="preserve">on 8 April 2020, appointed the Permanent Representatives of Morocco and Switzerland to the United Nations as co-facilitators to undertake informal consultations and report back to him by September 2020. </w:t>
      </w:r>
      <w:r w:rsidRPr="001A047D">
        <w:rPr>
          <w:bCs/>
          <w:lang w:val="en-CA"/>
        </w:rPr>
        <w:lastRenderedPageBreak/>
        <w:t>T</w:t>
      </w:r>
      <w:r w:rsidRPr="001A047D">
        <w:rPr>
          <w:lang w:val="en-CA"/>
        </w:rPr>
        <w:t xml:space="preserve">he work was </w:t>
      </w:r>
      <w:r w:rsidRPr="001A047D">
        <w:rPr>
          <w:bCs/>
          <w:lang w:val="en-CA"/>
        </w:rPr>
        <w:t>progressing online, and it was hoped that the process would lead to adjustments in the measures taken pursuant to General Assembly resolution 68/268, including the necessary resources, to enable the treaty body system to respond to the challenges that it faced. He drew attention to the third report of the Secretary-General on the status of the treaty body system (</w:t>
      </w:r>
      <w:hyperlink r:id="rId26" w:history="1">
        <w:r w:rsidRPr="001A047D">
          <w:rPr>
            <w:rStyle w:val="Hyperlink"/>
            <w:bCs/>
            <w:lang w:val="en-CA"/>
          </w:rPr>
          <w:t>A/74/643</w:t>
        </w:r>
      </w:hyperlink>
      <w:r w:rsidRPr="001A047D">
        <w:rPr>
          <w:bCs/>
          <w:lang w:val="en-CA"/>
        </w:rPr>
        <w:t>).</w:t>
      </w:r>
      <w:r w:rsidR="00E21FC5" w:rsidRPr="001A047D">
        <w:rPr>
          <w:lang w:val="en-CA"/>
        </w:rPr>
        <w:t xml:space="preserve"> </w:t>
      </w:r>
    </w:p>
    <w:p w14:paraId="323F60B7" w14:textId="5F6496EA" w:rsidR="00DC6EA4" w:rsidRPr="001A047D" w:rsidRDefault="00DC6EA4" w:rsidP="00DC6EA4">
      <w:pPr>
        <w:pStyle w:val="NormalWeb"/>
        <w:spacing w:before="0" w:beforeAutospacing="0" w:after="120" w:afterAutospacing="0" w:line="240" w:lineRule="atLeast"/>
        <w:ind w:left="1134" w:right="1134"/>
        <w:jc w:val="both"/>
        <w:rPr>
          <w:rFonts w:eastAsia="SimSun"/>
          <w:bCs/>
          <w:sz w:val="20"/>
          <w:szCs w:val="20"/>
          <w:lang w:val="en-CA"/>
        </w:rPr>
      </w:pPr>
      <w:r w:rsidRPr="001A047D">
        <w:rPr>
          <w:rFonts w:eastAsia="SimSun"/>
          <w:bCs/>
          <w:sz w:val="20"/>
          <w:szCs w:val="20"/>
          <w:lang w:val="en-CA"/>
        </w:rPr>
        <w:t>6.</w:t>
      </w:r>
      <w:r w:rsidRPr="001A047D">
        <w:rPr>
          <w:rFonts w:eastAsia="SimSun"/>
          <w:bCs/>
          <w:sz w:val="20"/>
          <w:szCs w:val="20"/>
          <w:lang w:val="en-CA"/>
        </w:rPr>
        <w:tab/>
        <w:t>In his opening statement, the Chair of the Committee highlighted the pioneering character of the session, the first ever to be held online, and recalled the Committee</w:t>
      </w:r>
      <w:r w:rsidR="00E21FC5" w:rsidRPr="001A047D">
        <w:rPr>
          <w:rFonts w:eastAsia="SimSun"/>
          <w:bCs/>
          <w:sz w:val="20"/>
          <w:szCs w:val="20"/>
          <w:lang w:val="en-CA"/>
        </w:rPr>
        <w:t>’</w:t>
      </w:r>
      <w:r w:rsidRPr="001A047D">
        <w:rPr>
          <w:rFonts w:eastAsia="SimSun"/>
          <w:bCs/>
          <w:sz w:val="20"/>
          <w:szCs w:val="20"/>
          <w:lang w:val="en-CA"/>
        </w:rPr>
        <w:t>s commitment to supporting victims, underlining that the rights and obligations enshrined in the Convention remained a reality whatever the circumstances. The Chair</w:t>
      </w:r>
      <w:r w:rsidR="00E21FC5" w:rsidRPr="001A047D">
        <w:rPr>
          <w:rFonts w:eastAsia="SimSun"/>
          <w:bCs/>
          <w:sz w:val="20"/>
          <w:szCs w:val="20"/>
          <w:lang w:val="en-CA"/>
        </w:rPr>
        <w:t>’</w:t>
      </w:r>
      <w:r w:rsidRPr="001A047D">
        <w:rPr>
          <w:rFonts w:eastAsia="SimSun"/>
          <w:bCs/>
          <w:sz w:val="20"/>
          <w:szCs w:val="20"/>
          <w:lang w:val="en-CA"/>
        </w:rPr>
        <w:t>s statement was followed by tribute to victims of enforced disappearance. María Nohemí Barbosa González, the mother of a disappeared person from Colombia, was given the floor to provide her testimony of the challenges that she had faced in the search for her son, and she thanked the Committee for its rapid response and continuous support through its urgent action procedure. It was the first time in the Committee</w:t>
      </w:r>
      <w:r w:rsidR="00E21FC5" w:rsidRPr="001A047D">
        <w:rPr>
          <w:rFonts w:eastAsia="SimSun"/>
          <w:bCs/>
          <w:sz w:val="20"/>
          <w:szCs w:val="20"/>
          <w:lang w:val="en-CA"/>
        </w:rPr>
        <w:t>’</w:t>
      </w:r>
      <w:r w:rsidRPr="001A047D">
        <w:rPr>
          <w:rFonts w:eastAsia="SimSun"/>
          <w:bCs/>
          <w:sz w:val="20"/>
          <w:szCs w:val="20"/>
          <w:lang w:val="en-CA"/>
        </w:rPr>
        <w:t>s history that a victim had been given the floor during the opening of a session. Owing to lack of access to an appropriate platform to enable consecutive interpretation, the Committee considered it necessary to postpone the interactive dialogues with States parties that had been scheduled for the eighteenth session. The Committee held a closed meeting online, during which it adopted lists of issues in relation to the reports submitted by Brazil and Panama under article 29 (1) of the Convention, and discussed the provisional agenda of the nineteenth session. The eighteenth session was then suspended and remained open until the first day of the nineteenth session, to enable the Committee to adopt other documents online, including its report to the General Assembly. As the first session of a treaty body to be held online, it was an important source of lessons learned with respect to the organization of other sessions in the COVID-19 context, and provided new elements for reflection on the treaty bodies</w:t>
      </w:r>
      <w:r w:rsidR="00E21FC5" w:rsidRPr="001A047D">
        <w:rPr>
          <w:rFonts w:eastAsia="SimSun"/>
          <w:bCs/>
          <w:sz w:val="20"/>
          <w:szCs w:val="20"/>
          <w:lang w:val="en-CA"/>
        </w:rPr>
        <w:t>’</w:t>
      </w:r>
      <w:r w:rsidRPr="001A047D">
        <w:rPr>
          <w:rFonts w:eastAsia="SimSun"/>
          <w:bCs/>
          <w:sz w:val="20"/>
          <w:szCs w:val="20"/>
          <w:lang w:val="en-CA"/>
        </w:rPr>
        <w:t xml:space="preserve"> methods of work. The Chair of the Committee sent the High Commissioner a letter on the subject, which was subsequently shared with the Chairs of the other treaty bodies and with the two co-facilitators of the 2020 review.</w:t>
      </w:r>
    </w:p>
    <w:p w14:paraId="446E195B" w14:textId="77777777" w:rsidR="00DC6EA4" w:rsidRPr="001A047D" w:rsidRDefault="00DC6EA4" w:rsidP="00DC6EA4">
      <w:pPr>
        <w:pStyle w:val="H1G"/>
        <w:ind w:left="0" w:firstLine="0"/>
        <w:rPr>
          <w:lang w:val="en-CA"/>
        </w:rPr>
      </w:pPr>
      <w:r w:rsidRPr="001A047D">
        <w:rPr>
          <w:lang w:val="en-CA"/>
        </w:rPr>
        <w:tab/>
      </w:r>
      <w:bookmarkStart w:id="25" w:name="_Toc326162634"/>
      <w:bookmarkStart w:id="26" w:name="_Toc326220749"/>
      <w:bookmarkStart w:id="27" w:name="_Toc460489531"/>
      <w:bookmarkStart w:id="28" w:name="_Toc522200456"/>
      <w:bookmarkStart w:id="29" w:name="_Toc43905467"/>
      <w:bookmarkStart w:id="30" w:name="_Toc43906548"/>
      <w:bookmarkStart w:id="31" w:name="_Toc43996419"/>
      <w:r w:rsidRPr="001A047D">
        <w:rPr>
          <w:lang w:val="en-CA"/>
        </w:rPr>
        <w:t>C.</w:t>
      </w:r>
      <w:r w:rsidRPr="001A047D">
        <w:rPr>
          <w:lang w:val="en-CA"/>
        </w:rPr>
        <w:tab/>
        <w:t>Membership and attendance</w:t>
      </w:r>
      <w:bookmarkEnd w:id="25"/>
      <w:bookmarkEnd w:id="26"/>
      <w:bookmarkEnd w:id="27"/>
      <w:bookmarkEnd w:id="28"/>
      <w:bookmarkEnd w:id="29"/>
      <w:bookmarkEnd w:id="30"/>
      <w:bookmarkEnd w:id="31"/>
    </w:p>
    <w:p w14:paraId="4ECF9FD5" w14:textId="66166D75" w:rsidR="00DC6EA4" w:rsidRPr="001A047D" w:rsidRDefault="00DC6EA4" w:rsidP="00DC6EA4">
      <w:pPr>
        <w:pStyle w:val="SingleTxtG"/>
        <w:rPr>
          <w:lang w:val="en-CA"/>
        </w:rPr>
      </w:pPr>
      <w:r w:rsidRPr="001A047D">
        <w:rPr>
          <w:lang w:val="en-CA"/>
        </w:rPr>
        <w:t>7.</w:t>
      </w:r>
      <w:r w:rsidRPr="001A047D">
        <w:rPr>
          <w:lang w:val="en-CA"/>
        </w:rPr>
        <w:tab/>
        <w:t xml:space="preserve">All except one of the members of the Committee attended the seventeenth session of the Committee, and one member was excused during the eighteenth session. A list of the current members, indicating the duration of their terms of office, is available at </w:t>
      </w:r>
      <w:hyperlink r:id="rId27" w:history="1">
        <w:r w:rsidR="00F21015" w:rsidRPr="001A047D">
          <w:rPr>
            <w:rStyle w:val="Hyperlink"/>
            <w:lang w:val="en-CA"/>
          </w:rPr>
          <w:t>www.ohchr.org/EN/HRBodies/CED/Pages/Membership.aspx</w:t>
        </w:r>
      </w:hyperlink>
      <w:r w:rsidRPr="001A047D">
        <w:rPr>
          <w:lang w:val="en-CA"/>
        </w:rPr>
        <w:t>.</w:t>
      </w:r>
      <w:r w:rsidR="00F21015" w:rsidRPr="001A047D">
        <w:rPr>
          <w:lang w:val="en-CA"/>
        </w:rPr>
        <w:t xml:space="preserve"> </w:t>
      </w:r>
    </w:p>
    <w:p w14:paraId="0E339E2D" w14:textId="455BA286" w:rsidR="00DC6EA4" w:rsidRPr="001A047D" w:rsidRDefault="00DC6EA4" w:rsidP="00DC6EA4">
      <w:pPr>
        <w:pStyle w:val="SingleTxtG"/>
        <w:rPr>
          <w:lang w:val="en-CA"/>
        </w:rPr>
      </w:pPr>
      <w:r w:rsidRPr="001A047D">
        <w:rPr>
          <w:lang w:val="en-CA"/>
        </w:rPr>
        <w:t>8.</w:t>
      </w:r>
      <w:r w:rsidRPr="001A047D">
        <w:rPr>
          <w:lang w:val="en-CA"/>
        </w:rPr>
        <w:tab/>
        <w:t xml:space="preserve">In </w:t>
      </w:r>
      <w:r w:rsidRPr="006219DA">
        <w:rPr>
          <w:lang w:val="en-CA"/>
        </w:rPr>
        <w:t>a</w:t>
      </w:r>
      <w:r w:rsidRPr="001A047D">
        <w:rPr>
          <w:lang w:val="en-CA"/>
        </w:rPr>
        <w:t xml:space="preserve"> break with previous practice, the induction of the new members of the Committee had to take place during the seventeenth session, because no financial resources had been available to organize such training beforehand. </w:t>
      </w:r>
    </w:p>
    <w:p w14:paraId="6D47D81F" w14:textId="77777777" w:rsidR="00DC6EA4" w:rsidRPr="001A047D" w:rsidRDefault="00DC6EA4" w:rsidP="00DC6EA4">
      <w:pPr>
        <w:pStyle w:val="H1G"/>
        <w:rPr>
          <w:lang w:val="en-CA"/>
        </w:rPr>
      </w:pPr>
      <w:r w:rsidRPr="001A047D">
        <w:rPr>
          <w:lang w:val="en-CA"/>
        </w:rPr>
        <w:tab/>
      </w:r>
      <w:bookmarkStart w:id="32" w:name="_Toc326162639"/>
      <w:bookmarkStart w:id="33" w:name="_Toc326220754"/>
      <w:bookmarkStart w:id="34" w:name="_Toc460489532"/>
      <w:bookmarkStart w:id="35" w:name="_Toc522200457"/>
      <w:bookmarkStart w:id="36" w:name="_Toc43905468"/>
      <w:bookmarkStart w:id="37" w:name="_Toc43906549"/>
      <w:bookmarkStart w:id="38" w:name="_Toc43996420"/>
      <w:bookmarkStart w:id="39" w:name="_Toc326162635"/>
      <w:bookmarkStart w:id="40" w:name="_Toc326220750"/>
      <w:r w:rsidRPr="001A047D">
        <w:rPr>
          <w:lang w:val="en-CA"/>
        </w:rPr>
        <w:t>D.</w:t>
      </w:r>
      <w:r w:rsidRPr="001A047D">
        <w:rPr>
          <w:lang w:val="en-CA"/>
        </w:rPr>
        <w:tab/>
        <w:t>Decisions of the Committee</w:t>
      </w:r>
      <w:bookmarkEnd w:id="32"/>
      <w:bookmarkEnd w:id="33"/>
      <w:bookmarkEnd w:id="34"/>
      <w:bookmarkEnd w:id="35"/>
      <w:bookmarkEnd w:id="36"/>
      <w:bookmarkEnd w:id="37"/>
      <w:bookmarkEnd w:id="38"/>
    </w:p>
    <w:p w14:paraId="783B0ACE" w14:textId="77777777" w:rsidR="00DC6EA4" w:rsidRPr="001A047D" w:rsidRDefault="00DC6EA4" w:rsidP="00DC6EA4">
      <w:pPr>
        <w:pStyle w:val="SingleTxtG"/>
        <w:rPr>
          <w:lang w:val="en-CA"/>
        </w:rPr>
      </w:pPr>
      <w:r w:rsidRPr="001A047D">
        <w:rPr>
          <w:lang w:val="en-CA"/>
        </w:rPr>
        <w:t>9.</w:t>
      </w:r>
      <w:r w:rsidRPr="001A047D">
        <w:rPr>
          <w:lang w:val="en-CA"/>
        </w:rPr>
        <w:tab/>
        <w:t>At its seventeenth session, the Committee decided, inter alia:</w:t>
      </w:r>
    </w:p>
    <w:p w14:paraId="0C1A7042" w14:textId="77777777" w:rsidR="00DC6EA4" w:rsidRPr="001A047D" w:rsidRDefault="00DC6EA4" w:rsidP="001C663E">
      <w:pPr>
        <w:pStyle w:val="SingleTxtG"/>
        <w:ind w:firstLine="567"/>
        <w:rPr>
          <w:lang w:val="en-CA"/>
        </w:rPr>
      </w:pPr>
      <w:r w:rsidRPr="001A047D">
        <w:rPr>
          <w:lang w:val="en-CA"/>
        </w:rPr>
        <w:t>(a)</w:t>
      </w:r>
      <w:r w:rsidRPr="001A047D">
        <w:rPr>
          <w:lang w:val="en-CA"/>
        </w:rPr>
        <w:tab/>
        <w:t>To elect by consensus the following members of its Bureau, with due regard to equitable geographical representation:</w:t>
      </w:r>
    </w:p>
    <w:p w14:paraId="6D514B59" w14:textId="2650666E" w:rsidR="00DC6EA4" w:rsidRPr="001A047D" w:rsidRDefault="00DC6EA4" w:rsidP="001C663E">
      <w:pPr>
        <w:pStyle w:val="Bullet2G"/>
        <w:rPr>
          <w:lang w:val="en-CA"/>
        </w:rPr>
      </w:pPr>
      <w:r w:rsidRPr="001A047D">
        <w:rPr>
          <w:lang w:val="en-CA"/>
        </w:rPr>
        <w:t xml:space="preserve">Chair: Mohammed Ayat (Morocco); </w:t>
      </w:r>
    </w:p>
    <w:p w14:paraId="62C47816" w14:textId="56767290" w:rsidR="00DC6EA4" w:rsidRPr="001A047D" w:rsidRDefault="00DC6EA4" w:rsidP="001C663E">
      <w:pPr>
        <w:pStyle w:val="Bullet2G"/>
        <w:rPr>
          <w:lang w:val="en-CA"/>
        </w:rPr>
      </w:pPr>
      <w:r w:rsidRPr="001A047D">
        <w:rPr>
          <w:lang w:val="en-CA"/>
        </w:rPr>
        <w:t>Vice-Chairs: Horacio Ravenna (Argentina), Milica Kolaković-Bojović (Serbia) and Olivier de Frouville (France);</w:t>
      </w:r>
    </w:p>
    <w:p w14:paraId="263FCD6B" w14:textId="07B37731" w:rsidR="00DC6EA4" w:rsidRPr="001A047D" w:rsidRDefault="00DC6EA4" w:rsidP="001C663E">
      <w:pPr>
        <w:pStyle w:val="Bullet2G"/>
        <w:rPr>
          <w:lang w:val="en-CA"/>
        </w:rPr>
      </w:pPr>
      <w:r w:rsidRPr="001A047D">
        <w:rPr>
          <w:lang w:val="en-CA"/>
        </w:rPr>
        <w:t>Rapporteur: Teraya Koji (Japan);</w:t>
      </w:r>
    </w:p>
    <w:p w14:paraId="78B84B26" w14:textId="2D7042D4" w:rsidR="00DC6EA4" w:rsidRPr="001A047D" w:rsidRDefault="00DC6EA4" w:rsidP="001C663E">
      <w:pPr>
        <w:pStyle w:val="SingleTxtG"/>
        <w:ind w:firstLine="567"/>
        <w:rPr>
          <w:lang w:val="en-CA"/>
        </w:rPr>
      </w:pPr>
      <w:r w:rsidRPr="001A047D">
        <w:rPr>
          <w:lang w:val="en-CA"/>
        </w:rPr>
        <w:t>(b)</w:t>
      </w:r>
      <w:r w:rsidRPr="001A047D">
        <w:rPr>
          <w:lang w:val="en-CA"/>
        </w:rPr>
        <w:tab/>
        <w:t>To appoint country rapporteurs for the Committee</w:t>
      </w:r>
      <w:r w:rsidR="00E21FC5" w:rsidRPr="001A047D">
        <w:rPr>
          <w:lang w:val="en-CA"/>
        </w:rPr>
        <w:t>’</w:t>
      </w:r>
      <w:r w:rsidRPr="001A047D">
        <w:rPr>
          <w:lang w:val="en-CA"/>
        </w:rPr>
        <w:t>s consideration at its eighteenth session of the reports submitted by Iraq, Mongolia and Switzerland under article 29 (1) of the Convention, and to appoint country rapporteurs to prepare the lists of issues in relation to the reports submitted by Brazil and Panama;</w:t>
      </w:r>
    </w:p>
    <w:p w14:paraId="5127E35F" w14:textId="02C0C898" w:rsidR="00DC6EA4" w:rsidRPr="001A047D" w:rsidRDefault="001C663E" w:rsidP="003D6DAA">
      <w:pPr>
        <w:pStyle w:val="SingleTxtG"/>
        <w:rPr>
          <w:lang w:val="en-CA"/>
        </w:rPr>
      </w:pPr>
      <w:r w:rsidRPr="001A047D">
        <w:rPr>
          <w:lang w:val="en-CA"/>
        </w:rPr>
        <w:tab/>
      </w:r>
      <w:r w:rsidR="00DC6EA4" w:rsidRPr="001A047D">
        <w:rPr>
          <w:lang w:val="en-CA"/>
        </w:rPr>
        <w:tab/>
        <w:t>(c)</w:t>
      </w:r>
      <w:r w:rsidR="00DC6EA4" w:rsidRPr="001A047D">
        <w:rPr>
          <w:lang w:val="en-CA"/>
        </w:rPr>
        <w:tab/>
        <w:t>To adopt a list of issues in the absence of the report of Nigeria;</w:t>
      </w:r>
    </w:p>
    <w:p w14:paraId="024A8304" w14:textId="77777777" w:rsidR="00DC6EA4" w:rsidRPr="001A047D" w:rsidRDefault="00DC6EA4" w:rsidP="001C663E">
      <w:pPr>
        <w:pStyle w:val="SingleTxtG"/>
        <w:ind w:firstLine="567"/>
        <w:rPr>
          <w:lang w:val="en-CA"/>
        </w:rPr>
      </w:pPr>
      <w:r w:rsidRPr="001A047D">
        <w:rPr>
          <w:lang w:val="en-CA"/>
        </w:rPr>
        <w:lastRenderedPageBreak/>
        <w:t>(d)</w:t>
      </w:r>
      <w:r w:rsidRPr="001A047D">
        <w:rPr>
          <w:lang w:val="en-CA"/>
        </w:rPr>
        <w:tab/>
        <w:t xml:space="preserve">To endorse the common vision of the Chairs of the treaty bodies in relation to the 2020 review of the treaty body system; </w:t>
      </w:r>
    </w:p>
    <w:p w14:paraId="7F90D936" w14:textId="77777777" w:rsidR="00DC6EA4" w:rsidRPr="001A047D" w:rsidRDefault="00DC6EA4" w:rsidP="001C663E">
      <w:pPr>
        <w:pStyle w:val="SingleTxtG"/>
        <w:ind w:firstLine="567"/>
        <w:rPr>
          <w:lang w:val="en-CA"/>
        </w:rPr>
      </w:pPr>
      <w:r w:rsidRPr="001A047D">
        <w:rPr>
          <w:lang w:val="en-CA"/>
        </w:rPr>
        <w:t>(e)</w:t>
      </w:r>
      <w:r w:rsidRPr="001A047D">
        <w:rPr>
          <w:lang w:val="en-CA"/>
        </w:rPr>
        <w:tab/>
        <w:t>To further develop its working methods, particularly in relation to additional information submitted by States parties under article 29 (4) of the Convention;</w:t>
      </w:r>
    </w:p>
    <w:p w14:paraId="72E9E5A0" w14:textId="4A308E75" w:rsidR="00DC6EA4" w:rsidRPr="001A047D" w:rsidRDefault="00DC6EA4" w:rsidP="001C663E">
      <w:pPr>
        <w:pStyle w:val="SingleTxtG"/>
        <w:ind w:firstLine="567"/>
        <w:rPr>
          <w:lang w:val="en-CA"/>
        </w:rPr>
      </w:pPr>
      <w:r w:rsidRPr="001A047D">
        <w:rPr>
          <w:lang w:val="en-CA"/>
        </w:rPr>
        <w:t>(f)</w:t>
      </w:r>
      <w:r w:rsidRPr="001A047D">
        <w:rPr>
          <w:lang w:val="en-CA"/>
        </w:rPr>
        <w:tab/>
        <w:t>To adopt a report on requests for urgent action (</w:t>
      </w:r>
      <w:hyperlink r:id="rId28" w:history="1">
        <w:r w:rsidRPr="001A047D">
          <w:rPr>
            <w:rStyle w:val="Hyperlink"/>
            <w:lang w:val="en-CA"/>
          </w:rPr>
          <w:t>CED/C/17/2</w:t>
        </w:r>
      </w:hyperlink>
      <w:r w:rsidRPr="001A047D">
        <w:rPr>
          <w:lang w:val="en-CA"/>
        </w:rPr>
        <w:t>);</w:t>
      </w:r>
    </w:p>
    <w:p w14:paraId="121B2962" w14:textId="5C66486A" w:rsidR="00DC6EA4" w:rsidRPr="001A047D" w:rsidRDefault="00DC6EA4" w:rsidP="001C663E">
      <w:pPr>
        <w:pStyle w:val="SingleTxtG"/>
        <w:ind w:firstLine="567"/>
        <w:rPr>
          <w:lang w:val="en-CA"/>
        </w:rPr>
      </w:pPr>
      <w:r w:rsidRPr="001A047D">
        <w:rPr>
          <w:lang w:val="en-CA"/>
        </w:rPr>
        <w:t>(g)</w:t>
      </w:r>
      <w:r w:rsidRPr="001A047D">
        <w:rPr>
          <w:lang w:val="en-CA"/>
        </w:rPr>
        <w:tab/>
        <w:t xml:space="preserve">To continue its follow-up procedure regarding </w:t>
      </w:r>
      <w:r w:rsidRPr="001A047D">
        <w:rPr>
          <w:i/>
          <w:iCs/>
          <w:lang w:val="en-CA"/>
        </w:rPr>
        <w:t>Yrusta and Del Valle Yrusta v. Argentina</w:t>
      </w:r>
      <w:r w:rsidRPr="001A047D">
        <w:rPr>
          <w:lang w:val="en-CA"/>
        </w:rPr>
        <w:t xml:space="preserve"> (</w:t>
      </w:r>
      <w:hyperlink r:id="rId29" w:history="1">
        <w:r w:rsidRPr="001A047D">
          <w:rPr>
            <w:rStyle w:val="Hyperlink"/>
            <w:lang w:val="en-CA"/>
          </w:rPr>
          <w:t>CED/C/10/D/1/2013</w:t>
        </w:r>
      </w:hyperlink>
      <w:r w:rsidRPr="001A047D">
        <w:rPr>
          <w:lang w:val="en-CA"/>
        </w:rPr>
        <w:t>);</w:t>
      </w:r>
    </w:p>
    <w:p w14:paraId="370F4AA0" w14:textId="77777777" w:rsidR="00DC6EA4" w:rsidRPr="001A047D" w:rsidRDefault="00DC6EA4" w:rsidP="001C663E">
      <w:pPr>
        <w:pStyle w:val="SingleTxtG"/>
        <w:ind w:firstLine="567"/>
        <w:rPr>
          <w:lang w:val="en-CA"/>
        </w:rPr>
      </w:pPr>
      <w:r w:rsidRPr="001A047D">
        <w:rPr>
          <w:lang w:val="en-CA"/>
        </w:rPr>
        <w:t>(h)</w:t>
      </w:r>
      <w:r w:rsidRPr="001A047D">
        <w:rPr>
          <w:lang w:val="en-CA"/>
        </w:rPr>
        <w:tab/>
        <w:t>To adopt the list of issues to be included on the provisional agenda of its eighteenth session.</w:t>
      </w:r>
    </w:p>
    <w:p w14:paraId="60AEB48A" w14:textId="77777777" w:rsidR="00DC6EA4" w:rsidRPr="001A047D" w:rsidRDefault="00DC6EA4" w:rsidP="00DC6EA4">
      <w:pPr>
        <w:pStyle w:val="SingleTxtG"/>
        <w:rPr>
          <w:lang w:val="en-CA"/>
        </w:rPr>
      </w:pPr>
      <w:r w:rsidRPr="001A047D">
        <w:rPr>
          <w:lang w:val="en-CA"/>
        </w:rPr>
        <w:t>10.</w:t>
      </w:r>
      <w:r w:rsidRPr="001A047D">
        <w:rPr>
          <w:lang w:val="en-CA"/>
        </w:rPr>
        <w:tab/>
        <w:t>At its eighteenth session,</w:t>
      </w:r>
      <w:r w:rsidRPr="001A047D">
        <w:rPr>
          <w:rStyle w:val="FootnoteReference"/>
          <w:lang w:val="en-CA"/>
        </w:rPr>
        <w:footnoteReference w:id="3"/>
      </w:r>
      <w:r w:rsidRPr="001A047D">
        <w:rPr>
          <w:lang w:val="en-CA"/>
        </w:rPr>
        <w:t xml:space="preserve"> the Committee decided, inter alia:</w:t>
      </w:r>
    </w:p>
    <w:p w14:paraId="2950F8DC" w14:textId="4CDA14FD"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(a)</w:t>
      </w:r>
      <w:r w:rsidR="00DC6EA4" w:rsidRPr="001A047D">
        <w:rPr>
          <w:lang w:val="en-CA"/>
        </w:rPr>
        <w:tab/>
        <w:t>To confirm the appointment of country rapporteurs for the Committee</w:t>
      </w:r>
      <w:r w:rsidR="00E21FC5" w:rsidRPr="001A047D">
        <w:rPr>
          <w:lang w:val="en-CA"/>
        </w:rPr>
        <w:t>’</w:t>
      </w:r>
      <w:r w:rsidR="00DC6EA4" w:rsidRPr="001A047D">
        <w:rPr>
          <w:lang w:val="en-CA"/>
        </w:rPr>
        <w:t>s consideration of the reports submitted by Iraq, Mongolia and Switzerland under article 29 (1) of the Convention, postponed to its nineteenth session; to appoint</w:t>
      </w:r>
      <w:r w:rsidR="00E21FC5" w:rsidRPr="001A047D">
        <w:rPr>
          <w:lang w:val="en-CA"/>
        </w:rPr>
        <w:t xml:space="preserve"> </w:t>
      </w:r>
      <w:r w:rsidR="00DC6EA4" w:rsidRPr="001A047D">
        <w:rPr>
          <w:lang w:val="en-CA"/>
        </w:rPr>
        <w:t>country rapporteurs for the consideration of the report submitted by Colombia; and to appoint country rapporteurs to prepare the lists of issues in relation to the reports submitted by Czechia, Greece and the Niger, and a list of issues in the absence of the report of Mali;</w:t>
      </w:r>
    </w:p>
    <w:p w14:paraId="2267EAE3" w14:textId="6563F8FD"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(b)</w:t>
      </w:r>
      <w:r w:rsidR="00DC6EA4" w:rsidRPr="001A047D">
        <w:rPr>
          <w:lang w:val="en-CA"/>
        </w:rPr>
        <w:tab/>
        <w:t xml:space="preserve">To postpone to its nineteenth session the adoption of concluding observations on the reports submitted by Mongolia and Switzerland under article 29 (1) of the Convention, of concluding observations on the additional information submitted by Iraq under article 29 (4) of the Convention, </w:t>
      </w:r>
      <w:bookmarkStart w:id="41" w:name="_Hlk43481531"/>
      <w:r w:rsidR="00DC6EA4" w:rsidRPr="001A047D">
        <w:rPr>
          <w:lang w:val="en-CA"/>
        </w:rPr>
        <w:t>and of its report on requests for urgent action</w:t>
      </w:r>
      <w:bookmarkEnd w:id="41"/>
      <w:r w:rsidR="00DC6EA4" w:rsidRPr="001A047D">
        <w:rPr>
          <w:lang w:val="en-CA"/>
        </w:rPr>
        <w:t>;</w:t>
      </w:r>
    </w:p>
    <w:p w14:paraId="07AACD93" w14:textId="4753DBE6"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(c)</w:t>
      </w:r>
      <w:r w:rsidR="00DC6EA4" w:rsidRPr="001A047D">
        <w:rPr>
          <w:lang w:val="en-CA"/>
        </w:rPr>
        <w:tab/>
        <w:t>To adopt lists of issues in relation to the reports submitted by Brazil and Panama under article 29 (1) of the Convention;</w:t>
      </w:r>
    </w:p>
    <w:p w14:paraId="3E9D4257" w14:textId="7727E629"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(d)</w:t>
      </w:r>
      <w:r w:rsidR="00DC6EA4" w:rsidRPr="001A047D">
        <w:rPr>
          <w:lang w:val="en-CA"/>
        </w:rPr>
        <w:tab/>
        <w:t>To adopt its annual report to the General Assembly</w:t>
      </w:r>
      <w:r w:rsidR="00DC6EA4" w:rsidRPr="001A047D" w:rsidDel="0042756B">
        <w:rPr>
          <w:lang w:val="en-CA"/>
        </w:rPr>
        <w:t xml:space="preserve"> </w:t>
      </w:r>
      <w:r w:rsidR="00DC6EA4" w:rsidRPr="001A047D">
        <w:rPr>
          <w:lang w:val="en-CA"/>
        </w:rPr>
        <w:t>for submission at the seventy-fifth session of the Assembly;</w:t>
      </w:r>
    </w:p>
    <w:p w14:paraId="3206D774" w14:textId="50B5AA68"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(e)</w:t>
      </w:r>
      <w:r w:rsidR="00DC6EA4" w:rsidRPr="001A047D">
        <w:rPr>
          <w:lang w:val="en-CA"/>
        </w:rPr>
        <w:tab/>
        <w:t>To postpone the adoption of its new guidelines for the submission of urgent action requests and guidelines for the submission of individual complaints;</w:t>
      </w:r>
    </w:p>
    <w:p w14:paraId="4B843A6E" w14:textId="645726D4"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(f)</w:t>
      </w:r>
      <w:r w:rsidR="00DC6EA4" w:rsidRPr="001A047D">
        <w:rPr>
          <w:lang w:val="en-CA"/>
        </w:rPr>
        <w:tab/>
        <w:t xml:space="preserve">To postpone the adoption of its follow-up report on individual complaints regarding </w:t>
      </w:r>
      <w:r w:rsidR="00DC6EA4" w:rsidRPr="001A047D">
        <w:rPr>
          <w:i/>
          <w:iCs/>
          <w:lang w:val="en-CA"/>
        </w:rPr>
        <w:t>Yrusta and Del Valle Yrusta v. Argentina</w:t>
      </w:r>
      <w:r w:rsidR="00DC6EA4" w:rsidRPr="001A047D">
        <w:rPr>
          <w:lang w:val="en-CA"/>
        </w:rPr>
        <w:t>;</w:t>
      </w:r>
    </w:p>
    <w:p w14:paraId="2AC27E21" w14:textId="7E79850E"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(g)</w:t>
      </w:r>
      <w:r w:rsidR="00DC6EA4" w:rsidRPr="001A047D">
        <w:rPr>
          <w:lang w:val="en-CA"/>
        </w:rPr>
        <w:tab/>
        <w:t>To postpone its discussion on the development of its working methods, particularly in relation to additional information submitted by States parties under article 29 (4) of the Convention, and in relation to its strategy to promote the ratification of the Convention;</w:t>
      </w:r>
    </w:p>
    <w:p w14:paraId="026D8E9C" w14:textId="16F25576"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(h)</w:t>
      </w:r>
      <w:r w:rsidR="00DC6EA4" w:rsidRPr="001A047D">
        <w:rPr>
          <w:lang w:val="en-CA"/>
        </w:rPr>
        <w:tab/>
        <w:t>To organize at its nineteenth session a joint meeting with the Working Group on Enforced or Involuntary Disappearances and a joint activity to celebrate the fortieth anniversary of the Working Group and tenth anniversary of the entry into force of the Convention;</w:t>
      </w:r>
    </w:p>
    <w:p w14:paraId="4004A940" w14:textId="69C54E94"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(i)</w:t>
      </w:r>
      <w:r w:rsidR="00DC6EA4" w:rsidRPr="001A047D">
        <w:rPr>
          <w:lang w:val="en-CA"/>
        </w:rPr>
        <w:tab/>
        <w:t>To promote the organization of a joint meeting with the other treaty bodies gathered in Geneva over the dates of the nineteenth session of the Committee, namely the Committee on the Rights of Persons with Disabilities and the Committee on the Rights of the Child;</w:t>
      </w:r>
    </w:p>
    <w:p w14:paraId="0DDDC709" w14:textId="5164853E" w:rsidR="00DC6EA4" w:rsidRPr="001A047D" w:rsidRDefault="00D67260" w:rsidP="001C663E">
      <w:pPr>
        <w:pStyle w:val="SingleTxtG"/>
        <w:rPr>
          <w:lang w:val="en-CA"/>
        </w:rPr>
      </w:pPr>
      <w:r w:rsidRPr="001A047D">
        <w:rPr>
          <w:lang w:val="en-CA"/>
        </w:rPr>
        <w:tab/>
      </w:r>
      <w:r w:rsidR="001C663E" w:rsidRPr="001A047D">
        <w:rPr>
          <w:lang w:val="en-CA"/>
        </w:rPr>
        <w:tab/>
      </w:r>
      <w:r w:rsidR="00DC6EA4" w:rsidRPr="001A047D">
        <w:rPr>
          <w:lang w:val="en-CA"/>
        </w:rPr>
        <w:t>(j)</w:t>
      </w:r>
      <w:r w:rsidR="00DC6EA4" w:rsidRPr="001A047D">
        <w:rPr>
          <w:lang w:val="en-CA"/>
        </w:rPr>
        <w:tab/>
        <w:t>To adopt the list of issues to be included on the provisional agenda of its nineteenth session.</w:t>
      </w:r>
    </w:p>
    <w:p w14:paraId="10295307" w14:textId="77777777" w:rsidR="00DC6EA4" w:rsidRPr="001A047D" w:rsidRDefault="00DC6EA4" w:rsidP="00DC6EA4">
      <w:pPr>
        <w:pStyle w:val="H1G"/>
        <w:rPr>
          <w:lang w:val="en-CA"/>
        </w:rPr>
      </w:pPr>
      <w:bookmarkStart w:id="42" w:name="_Toc326162644"/>
      <w:bookmarkStart w:id="43" w:name="_Toc326220759"/>
      <w:bookmarkEnd w:id="39"/>
      <w:bookmarkEnd w:id="40"/>
      <w:r w:rsidRPr="001A047D">
        <w:rPr>
          <w:lang w:val="en-CA"/>
        </w:rPr>
        <w:tab/>
      </w:r>
      <w:bookmarkStart w:id="44" w:name="_Toc460489533"/>
      <w:bookmarkStart w:id="45" w:name="_Toc522200458"/>
      <w:bookmarkStart w:id="46" w:name="_Toc43905469"/>
      <w:bookmarkStart w:id="47" w:name="_Toc43906550"/>
      <w:bookmarkStart w:id="48" w:name="_Toc43996421"/>
      <w:r w:rsidRPr="001A047D">
        <w:rPr>
          <w:lang w:val="en-CA"/>
        </w:rPr>
        <w:t>E.</w:t>
      </w:r>
      <w:r w:rsidRPr="001A047D">
        <w:rPr>
          <w:lang w:val="en-CA"/>
        </w:rPr>
        <w:tab/>
        <w:t>Adoption of the annual report</w:t>
      </w:r>
      <w:bookmarkEnd w:id="42"/>
      <w:bookmarkEnd w:id="43"/>
      <w:bookmarkEnd w:id="44"/>
      <w:bookmarkEnd w:id="45"/>
      <w:bookmarkEnd w:id="46"/>
      <w:bookmarkEnd w:id="47"/>
      <w:bookmarkEnd w:id="48"/>
    </w:p>
    <w:p w14:paraId="1C62F435" w14:textId="77777777" w:rsidR="00DC6EA4" w:rsidRPr="001A047D" w:rsidRDefault="00DC6EA4" w:rsidP="00DC6EA4">
      <w:pPr>
        <w:pStyle w:val="SingleTxtG"/>
        <w:rPr>
          <w:lang w:val="en-CA"/>
        </w:rPr>
      </w:pPr>
      <w:r w:rsidRPr="001A047D">
        <w:rPr>
          <w:lang w:val="en-CA"/>
        </w:rPr>
        <w:t>11.</w:t>
      </w:r>
      <w:r w:rsidRPr="001A047D">
        <w:rPr>
          <w:lang w:val="en-CA"/>
        </w:rPr>
        <w:tab/>
        <w:t xml:space="preserve">On 9 June 2020, the Committee adopted its ninth report to the General Assembly, on its seventeenth and eighteenth sessions, in compliance with article 36 (1) of the Convention. Prior to adoption, the rapporteur of the Committee shared the draft report with the Committee </w:t>
      </w:r>
      <w:r w:rsidRPr="001A047D">
        <w:rPr>
          <w:lang w:val="en-CA"/>
        </w:rPr>
        <w:lastRenderedPageBreak/>
        <w:t xml:space="preserve">members, who then had one week to make comments and suggestions in writing. All input provided was included in the draft report. The report was adopted through a procedure of silent approval. </w:t>
      </w:r>
    </w:p>
    <w:p w14:paraId="1B3F65BB" w14:textId="77777777" w:rsidR="00DC6EA4" w:rsidRPr="001A047D" w:rsidRDefault="00DC6EA4" w:rsidP="00DC6EA4">
      <w:pPr>
        <w:pStyle w:val="HChG"/>
        <w:rPr>
          <w:lang w:val="en-CA"/>
        </w:rPr>
      </w:pPr>
      <w:r w:rsidRPr="001A047D">
        <w:rPr>
          <w:lang w:val="en-CA"/>
        </w:rPr>
        <w:br w:type="page"/>
      </w:r>
      <w:bookmarkStart w:id="49" w:name="_Toc326162645"/>
      <w:bookmarkStart w:id="50" w:name="_Toc326220760"/>
      <w:r w:rsidRPr="001A047D">
        <w:rPr>
          <w:lang w:val="en-CA"/>
        </w:rPr>
        <w:lastRenderedPageBreak/>
        <w:tab/>
      </w:r>
      <w:r w:rsidRPr="001A047D">
        <w:rPr>
          <w:lang w:val="en-CA"/>
        </w:rPr>
        <w:tab/>
      </w:r>
      <w:bookmarkStart w:id="51" w:name="_Toc460489535"/>
      <w:bookmarkStart w:id="52" w:name="_Toc522200459"/>
      <w:bookmarkStart w:id="53" w:name="_Toc43905470"/>
      <w:bookmarkStart w:id="54" w:name="_Toc43906551"/>
      <w:bookmarkStart w:id="55" w:name="_Toc43996422"/>
      <w:r w:rsidRPr="001A047D">
        <w:rPr>
          <w:lang w:val="en-CA"/>
        </w:rPr>
        <w:t>Chapter II</w:t>
      </w:r>
      <w:r w:rsidRPr="001A047D">
        <w:rPr>
          <w:lang w:val="en-CA"/>
        </w:rPr>
        <w:br/>
      </w:r>
      <w:bookmarkEnd w:id="49"/>
      <w:bookmarkEnd w:id="50"/>
      <w:r w:rsidRPr="001A047D">
        <w:rPr>
          <w:lang w:val="en-CA"/>
        </w:rPr>
        <w:t>Methods of work</w:t>
      </w:r>
      <w:bookmarkEnd w:id="51"/>
      <w:bookmarkEnd w:id="52"/>
      <w:bookmarkEnd w:id="53"/>
      <w:bookmarkEnd w:id="54"/>
      <w:bookmarkEnd w:id="55"/>
    </w:p>
    <w:p w14:paraId="6A2E6D8E" w14:textId="77777777" w:rsidR="00DC6EA4" w:rsidRPr="001A047D" w:rsidRDefault="00DC6EA4" w:rsidP="00DC6EA4">
      <w:pPr>
        <w:pStyle w:val="SingleTxtG"/>
        <w:rPr>
          <w:lang w:val="en-CA"/>
        </w:rPr>
      </w:pPr>
      <w:r w:rsidRPr="001A047D">
        <w:rPr>
          <w:lang w:val="en-CA"/>
        </w:rPr>
        <w:t>12.</w:t>
      </w:r>
      <w:r w:rsidRPr="001A047D">
        <w:rPr>
          <w:lang w:val="en-CA"/>
        </w:rPr>
        <w:tab/>
        <w:t>During its seventeenth and eighteenth sessions, the Committee used English, French and Spanish as working languages.</w:t>
      </w:r>
    </w:p>
    <w:p w14:paraId="122DCA63" w14:textId="77777777" w:rsidR="00DC6EA4" w:rsidRPr="001A047D" w:rsidRDefault="00DC6EA4" w:rsidP="00DC6EA4">
      <w:pPr>
        <w:pStyle w:val="SingleTxtG"/>
        <w:rPr>
          <w:lang w:val="en-CA"/>
        </w:rPr>
      </w:pPr>
      <w:r w:rsidRPr="001A047D">
        <w:rPr>
          <w:lang w:val="en-CA"/>
        </w:rPr>
        <w:t>13.</w:t>
      </w:r>
      <w:r w:rsidRPr="001A047D">
        <w:rPr>
          <w:lang w:val="en-CA"/>
        </w:rPr>
        <w:tab/>
        <w:t>During its seventeenth session, the Committee discussed the following issues:</w:t>
      </w:r>
    </w:p>
    <w:p w14:paraId="01B9FDBA" w14:textId="70A9893B" w:rsidR="00DC6EA4" w:rsidRPr="001A047D" w:rsidRDefault="00C04ED8" w:rsidP="00C04ED8">
      <w:pPr>
        <w:pStyle w:val="SingleTxtG"/>
        <w:rPr>
          <w:lang w:val="en-CA"/>
        </w:rPr>
      </w:pPr>
      <w:r>
        <w:rPr>
          <w:lang w:val="en-CA"/>
        </w:rPr>
        <w:tab/>
      </w:r>
      <w:r w:rsidR="00DC6EA4" w:rsidRPr="001A047D">
        <w:rPr>
          <w:lang w:val="en-CA"/>
        </w:rPr>
        <w:tab/>
        <w:t>(a)</w:t>
      </w:r>
      <w:r w:rsidR="00DC6EA4" w:rsidRPr="001A047D">
        <w:rPr>
          <w:lang w:val="en-CA"/>
        </w:rPr>
        <w:tab/>
        <w:t>Methods of work related to articles 29 to 34 of the Convention;</w:t>
      </w:r>
    </w:p>
    <w:p w14:paraId="5747802A" w14:textId="330299B7" w:rsidR="00DC6EA4" w:rsidRPr="00C04ED8" w:rsidRDefault="00C04ED8" w:rsidP="00C04ED8">
      <w:pPr>
        <w:pStyle w:val="SingleTxtG"/>
      </w:pPr>
      <w:r>
        <w:tab/>
      </w:r>
      <w:r w:rsidR="00DC6EA4" w:rsidRPr="00C04ED8">
        <w:tab/>
        <w:t>(b)</w:t>
      </w:r>
      <w:r w:rsidR="00DC6EA4" w:rsidRPr="00C04ED8">
        <w:tab/>
        <w:t>Strategy to increase ratification of the Convention;</w:t>
      </w:r>
    </w:p>
    <w:p w14:paraId="6D0CC2EB" w14:textId="05CFCFEF" w:rsidR="00DC6EA4" w:rsidRPr="00C04ED8" w:rsidRDefault="00C04ED8" w:rsidP="00C04ED8">
      <w:pPr>
        <w:pStyle w:val="SingleTxtG"/>
      </w:pPr>
      <w:r>
        <w:tab/>
      </w:r>
      <w:r w:rsidR="00DC6EA4" w:rsidRPr="00C04ED8">
        <w:tab/>
        <w:t>(c)</w:t>
      </w:r>
      <w:r w:rsidR="00DC6EA4" w:rsidRPr="00C04ED8">
        <w:tab/>
        <w:t>Resources allocated to the Committee;</w:t>
      </w:r>
    </w:p>
    <w:p w14:paraId="1D9EA54A" w14:textId="1068BE1F" w:rsidR="00DC6EA4" w:rsidRPr="00C04ED8" w:rsidRDefault="00C04ED8" w:rsidP="00C04ED8">
      <w:pPr>
        <w:pStyle w:val="SingleTxtG"/>
      </w:pPr>
      <w:r>
        <w:tab/>
      </w:r>
      <w:r w:rsidR="00DC6EA4" w:rsidRPr="00C04ED8">
        <w:tab/>
        <w:t>(d)</w:t>
      </w:r>
      <w:r w:rsidR="00DC6EA4" w:rsidRPr="00C04ED8">
        <w:tab/>
        <w:t>Other matters.</w:t>
      </w:r>
    </w:p>
    <w:p w14:paraId="6A37BB5B" w14:textId="591EDF09" w:rsidR="00DC6EA4" w:rsidRPr="001A047D" w:rsidRDefault="00DC6EA4" w:rsidP="00DC6EA4">
      <w:pPr>
        <w:pStyle w:val="SingleTxtG"/>
        <w:rPr>
          <w:lang w:val="en-CA"/>
        </w:rPr>
      </w:pPr>
      <w:r w:rsidRPr="001A047D">
        <w:rPr>
          <w:lang w:val="en-CA"/>
        </w:rPr>
        <w:t>14.</w:t>
      </w:r>
      <w:r w:rsidRPr="001A047D">
        <w:rPr>
          <w:lang w:val="en-CA"/>
        </w:rPr>
        <w:tab/>
        <w:t>During its eighteenth session, the Committee discussed the requirements of online sessions in terms of methodology, technical resources and possible agenda, and the possibility of contemplating online sessions in the future, if necessary, under exceptional circumstances. The Committee also held a meeting to discuss the procedure under article 29 (4) of the Convention.</w:t>
      </w:r>
      <w:r w:rsidR="00E21FC5" w:rsidRPr="001A047D">
        <w:rPr>
          <w:lang w:val="en-CA"/>
        </w:rPr>
        <w:t xml:space="preserve"> </w:t>
      </w:r>
    </w:p>
    <w:p w14:paraId="771B8A17" w14:textId="77777777" w:rsidR="00DC6EA4" w:rsidRPr="001A047D" w:rsidRDefault="00DC6EA4" w:rsidP="00DC6EA4">
      <w:pPr>
        <w:rPr>
          <w:b/>
          <w:sz w:val="28"/>
          <w:lang w:val="en-CA"/>
        </w:rPr>
      </w:pPr>
      <w:r w:rsidRPr="001A047D">
        <w:rPr>
          <w:lang w:val="en-CA"/>
        </w:rPr>
        <w:br w:type="page"/>
      </w:r>
    </w:p>
    <w:p w14:paraId="768D941B"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56" w:name="_Toc460489537"/>
      <w:bookmarkStart w:id="57" w:name="_Toc522200460"/>
      <w:bookmarkStart w:id="58" w:name="_Toc43905471"/>
      <w:bookmarkStart w:id="59" w:name="_Toc43906552"/>
      <w:bookmarkStart w:id="60" w:name="_Toc43996423"/>
      <w:r w:rsidRPr="001A047D">
        <w:rPr>
          <w:lang w:val="en-CA"/>
        </w:rPr>
        <w:t>Chapter III</w:t>
      </w:r>
      <w:r w:rsidRPr="001A047D">
        <w:rPr>
          <w:lang w:val="en-CA"/>
        </w:rPr>
        <w:br/>
        <w:t>Relations with stakeholders</w:t>
      </w:r>
      <w:bookmarkEnd w:id="56"/>
      <w:bookmarkEnd w:id="57"/>
      <w:bookmarkEnd w:id="58"/>
      <w:bookmarkEnd w:id="59"/>
      <w:bookmarkEnd w:id="60"/>
    </w:p>
    <w:p w14:paraId="3077C479" w14:textId="77777777" w:rsidR="00DC6EA4" w:rsidRPr="001A047D" w:rsidRDefault="00DC6EA4" w:rsidP="00DC6EA4">
      <w:pPr>
        <w:pStyle w:val="H1G"/>
        <w:rPr>
          <w:lang w:val="en-CA"/>
        </w:rPr>
      </w:pPr>
      <w:bookmarkStart w:id="61" w:name="_Toc326162650"/>
      <w:bookmarkStart w:id="62" w:name="_Toc326220765"/>
      <w:r w:rsidRPr="001A047D">
        <w:rPr>
          <w:lang w:val="en-CA"/>
        </w:rPr>
        <w:tab/>
      </w:r>
      <w:bookmarkStart w:id="63" w:name="_Toc460489538"/>
      <w:bookmarkStart w:id="64" w:name="_Toc522200461"/>
      <w:bookmarkStart w:id="65" w:name="_Toc43905472"/>
      <w:bookmarkStart w:id="66" w:name="_Toc43906553"/>
      <w:bookmarkStart w:id="67" w:name="_Toc43996424"/>
      <w:r w:rsidRPr="001A047D">
        <w:rPr>
          <w:lang w:val="en-CA"/>
        </w:rPr>
        <w:t>A.</w:t>
      </w:r>
      <w:r w:rsidRPr="001A047D">
        <w:rPr>
          <w:lang w:val="en-CA"/>
        </w:rPr>
        <w:tab/>
        <w:t>Meetings with Member States</w:t>
      </w:r>
      <w:bookmarkEnd w:id="61"/>
      <w:bookmarkEnd w:id="62"/>
      <w:bookmarkEnd w:id="63"/>
      <w:bookmarkEnd w:id="64"/>
      <w:bookmarkEnd w:id="65"/>
      <w:bookmarkEnd w:id="66"/>
      <w:bookmarkEnd w:id="67"/>
    </w:p>
    <w:p w14:paraId="7DB928C0" w14:textId="54106EA4" w:rsidR="00DC6EA4" w:rsidRPr="001A047D" w:rsidRDefault="00DC6EA4" w:rsidP="00DC6EA4">
      <w:pPr>
        <w:pStyle w:val="SingleTxtG"/>
        <w:rPr>
          <w:lang w:val="en-CA"/>
        </w:rPr>
      </w:pPr>
      <w:r w:rsidRPr="001A047D">
        <w:rPr>
          <w:lang w:val="en-CA"/>
        </w:rPr>
        <w:t>15.</w:t>
      </w:r>
      <w:r w:rsidRPr="001A047D">
        <w:rPr>
          <w:lang w:val="en-CA"/>
        </w:rPr>
        <w:tab/>
        <w:t>On 7 October 2019, the Committee held a public meeting with Member States, which was attended by 39 States: Albania, Algeria, Angola, Argentina, Azerbaijan, Belgium, Brazil, Chile, Colombia, Croatia, Cuba, Czechia, Finland, France, Gabon, Germany, Greece, Guatemala, Iraq, Italy, Lebanon, Liechtenstein, Maldives, Marshall Islands, Mauritania, Montenegro, Morocco, Myanmar, Namibia, Paraguay, Peru, Spain, Sri Lanka, Turkey, Ukraine, United Arab Emirates, Uruguay, Venezuela (Bolivarian Republic of) and State of Palestine. In the course of the meeting, Morocco, France, Albania, the United Arab Emirates, Mexico and Belgium made statements. Morocco underlined that it had been working with Argentina, France and Japan to try to achieve universal ratification of the Convention and would continue to champion that cause. France reiterated its support for the Committee</w:t>
      </w:r>
      <w:r w:rsidR="00E21FC5" w:rsidRPr="001A047D">
        <w:rPr>
          <w:lang w:val="en-CA"/>
        </w:rPr>
        <w:t>’</w:t>
      </w:r>
      <w:r w:rsidRPr="001A047D">
        <w:rPr>
          <w:lang w:val="en-CA"/>
        </w:rPr>
        <w:t>s work and welcomed the adoption of the guiding principles for the search for disappeared persons. France also encouraged the Committee to increase its exchanges with the other treaty bodies and with regional human rights protection mechanisms, in order to ensure maximum coherence of jurisprudence. Albania underlined the importance of the Committee</w:t>
      </w:r>
      <w:r w:rsidR="00E21FC5" w:rsidRPr="001A047D">
        <w:rPr>
          <w:lang w:val="en-CA"/>
        </w:rPr>
        <w:t>’</w:t>
      </w:r>
      <w:r w:rsidRPr="001A047D">
        <w:rPr>
          <w:lang w:val="en-CA"/>
        </w:rPr>
        <w:t xml:space="preserve">s work, to ensure the effective implementation of the Convention. The </w:t>
      </w:r>
      <w:r w:rsidRPr="001A047D">
        <w:rPr>
          <w:bCs/>
          <w:lang w:val="en-CA"/>
        </w:rPr>
        <w:t>United Arab Emirates referred to the issue of disappearance while the person is in transit in a State. Mexico noted a gender imbalance within the newly composed Committee, to be taken into account next time for nominations and elections. Mexico welcomed the Committee</w:t>
      </w:r>
      <w:r w:rsidR="00E21FC5" w:rsidRPr="001A047D">
        <w:rPr>
          <w:bCs/>
          <w:lang w:val="en-CA"/>
        </w:rPr>
        <w:t>’</w:t>
      </w:r>
      <w:r w:rsidRPr="001A047D">
        <w:rPr>
          <w:bCs/>
          <w:lang w:val="en-CA"/>
        </w:rPr>
        <w:t>s efforts to make use of videoconferencing. Belgium stated that it attached great value to the independence of the treaty bodies, which should be fully resourced, and reiterated its commitment to the treaty body strengthening process and the 2020 review.</w:t>
      </w:r>
      <w:r w:rsidRPr="001A047D">
        <w:rPr>
          <w:lang w:val="en-CA"/>
        </w:rPr>
        <w:t xml:space="preserve"> </w:t>
      </w:r>
    </w:p>
    <w:p w14:paraId="435D42F0" w14:textId="77777777" w:rsidR="00DC6EA4" w:rsidRPr="001A047D" w:rsidRDefault="00DC6EA4" w:rsidP="00DC6EA4">
      <w:pPr>
        <w:pStyle w:val="SingleTxtG"/>
        <w:rPr>
          <w:lang w:val="en-CA"/>
        </w:rPr>
      </w:pPr>
      <w:r w:rsidRPr="001A047D">
        <w:rPr>
          <w:lang w:val="en-CA"/>
        </w:rPr>
        <w:t>16.</w:t>
      </w:r>
      <w:r w:rsidRPr="001A047D">
        <w:rPr>
          <w:lang w:val="en-CA"/>
        </w:rPr>
        <w:tab/>
        <w:t>In accordance with precautionary measures taken in the context of the COVID-19 pandemic, the public meeting with Member States that had been scheduled to be held on 6 April 2020 was cancelled.</w:t>
      </w:r>
      <w:bookmarkStart w:id="68" w:name="_Toc326162654"/>
      <w:bookmarkStart w:id="69" w:name="_Toc326220769"/>
    </w:p>
    <w:p w14:paraId="6BDDCE52" w14:textId="77777777" w:rsidR="00DC6EA4" w:rsidRPr="001A047D" w:rsidRDefault="00DC6EA4" w:rsidP="00DC6EA4">
      <w:pPr>
        <w:pStyle w:val="H1G"/>
        <w:rPr>
          <w:lang w:val="en-CA"/>
        </w:rPr>
      </w:pPr>
      <w:bookmarkStart w:id="70" w:name="_Toc460489541"/>
      <w:bookmarkStart w:id="71" w:name="_Toc522200463"/>
      <w:r w:rsidRPr="001A047D">
        <w:rPr>
          <w:lang w:val="en-CA"/>
        </w:rPr>
        <w:tab/>
      </w:r>
      <w:bookmarkStart w:id="72" w:name="_Toc43905473"/>
      <w:bookmarkStart w:id="73" w:name="_Toc43906554"/>
      <w:bookmarkStart w:id="74" w:name="_Toc43996425"/>
      <w:r w:rsidRPr="001A047D">
        <w:rPr>
          <w:lang w:val="en-CA"/>
        </w:rPr>
        <w:t>B.</w:t>
      </w:r>
      <w:r w:rsidRPr="001A047D">
        <w:rPr>
          <w:lang w:val="en-CA"/>
        </w:rPr>
        <w:tab/>
        <w:t xml:space="preserve">Meeting with </w:t>
      </w:r>
      <w:bookmarkEnd w:id="70"/>
      <w:bookmarkEnd w:id="71"/>
      <w:r w:rsidRPr="001A047D">
        <w:rPr>
          <w:lang w:val="en-CA"/>
        </w:rPr>
        <w:t>United Nations agencies</w:t>
      </w:r>
      <w:bookmarkEnd w:id="72"/>
      <w:bookmarkEnd w:id="73"/>
      <w:bookmarkEnd w:id="74"/>
    </w:p>
    <w:p w14:paraId="37411786" w14:textId="3B1984DF" w:rsidR="00DC6EA4" w:rsidRPr="001A047D" w:rsidRDefault="00DC6EA4" w:rsidP="00DC6EA4">
      <w:pPr>
        <w:spacing w:after="120" w:line="240" w:lineRule="atLeast"/>
        <w:ind w:left="1134" w:right="1134"/>
        <w:jc w:val="both"/>
        <w:rPr>
          <w:lang w:val="en-CA"/>
        </w:rPr>
      </w:pPr>
      <w:r w:rsidRPr="001A047D">
        <w:rPr>
          <w:lang w:val="en-CA"/>
        </w:rPr>
        <w:t>17.</w:t>
      </w:r>
      <w:r w:rsidRPr="001A047D">
        <w:rPr>
          <w:lang w:val="en-CA"/>
        </w:rPr>
        <w:tab/>
        <w:t>During its seventeenth session, the Committee held a private meeting with the High Commissioner for Human Rights. She renewed the support of OHCHR to the Committee and associated the Office with the international community</w:t>
      </w:r>
      <w:r w:rsidR="00E21FC5" w:rsidRPr="001A047D">
        <w:rPr>
          <w:lang w:val="en-CA"/>
        </w:rPr>
        <w:t>’</w:t>
      </w:r>
      <w:r w:rsidRPr="001A047D">
        <w:rPr>
          <w:lang w:val="en-CA"/>
        </w:rPr>
        <w:t xml:space="preserve">s efforts to increase ratification of the Convention. </w:t>
      </w:r>
    </w:p>
    <w:p w14:paraId="573053B5" w14:textId="71372FE4" w:rsidR="00DC6EA4" w:rsidRPr="001A047D" w:rsidRDefault="00DC6EA4" w:rsidP="00DC6EA4">
      <w:pPr>
        <w:spacing w:after="120" w:line="240" w:lineRule="atLeast"/>
        <w:ind w:left="1134" w:right="1134"/>
        <w:jc w:val="both"/>
        <w:rPr>
          <w:lang w:val="en-CA"/>
        </w:rPr>
      </w:pPr>
      <w:r w:rsidRPr="001A047D">
        <w:rPr>
          <w:lang w:val="en-CA"/>
        </w:rPr>
        <w:t>18.</w:t>
      </w:r>
      <w:r w:rsidRPr="001A047D">
        <w:rPr>
          <w:lang w:val="en-CA"/>
        </w:rPr>
        <w:tab/>
        <w:t>On 7 October 2019, the Committee held a public meeting with United Nations agencies and mechanisms and intergovernmental organizations. A representative of the Office of the United Nations High Commissioner for Refugees (UNHCR) welcomed the Committee</w:t>
      </w:r>
      <w:r w:rsidR="00E21FC5" w:rsidRPr="001A047D">
        <w:rPr>
          <w:lang w:val="en-CA"/>
        </w:rPr>
        <w:t>’</w:t>
      </w:r>
      <w:r w:rsidRPr="001A047D">
        <w:rPr>
          <w:lang w:val="en-CA"/>
        </w:rPr>
        <w:t>s adoption of the guiding principles for the search for disappeared persons, in particular the Committee</w:t>
      </w:r>
      <w:r w:rsidR="00E21FC5" w:rsidRPr="001A047D">
        <w:rPr>
          <w:lang w:val="en-CA"/>
        </w:rPr>
        <w:t>’</w:t>
      </w:r>
      <w:r w:rsidRPr="001A047D">
        <w:rPr>
          <w:lang w:val="en-CA"/>
        </w:rPr>
        <w:t>s focus on asylum seekers, refugees and migrants and its position that States should take coordinated measures to prevent disappearance in cross-border contexts. UNHCR welcomed the opportunity to continue working with the Committee – including in the run-up to the first Global Refugee Forum, which was to be held in December 2019 – with a view to protecting asylum seekers, refugees and internally displaced and stateless persons from enforced disappearance.</w:t>
      </w:r>
    </w:p>
    <w:p w14:paraId="74083366" w14:textId="77777777" w:rsidR="00DC6EA4" w:rsidRPr="001A047D" w:rsidRDefault="00DC6EA4" w:rsidP="00DC6EA4">
      <w:pPr>
        <w:spacing w:after="120" w:line="240" w:lineRule="atLeast"/>
        <w:ind w:left="1134" w:right="1134"/>
        <w:jc w:val="both"/>
        <w:rPr>
          <w:lang w:val="en-CA"/>
        </w:rPr>
      </w:pPr>
      <w:r w:rsidRPr="001A047D">
        <w:rPr>
          <w:lang w:val="en-CA"/>
        </w:rPr>
        <w:t>19.</w:t>
      </w:r>
      <w:r w:rsidRPr="001A047D">
        <w:rPr>
          <w:lang w:val="en-CA"/>
        </w:rPr>
        <w:tab/>
        <w:t>During the eighteenth session, the Committee held a private meeting with the Chief of the OHCHR Human Rights Treaties Branch to discuss the progress of the 2020 review of treaty bodies, and the meeting of Chairs to be held in June 2020.</w:t>
      </w:r>
    </w:p>
    <w:p w14:paraId="79A8B86D" w14:textId="77777777" w:rsidR="00DC6EA4" w:rsidRPr="001A047D" w:rsidRDefault="00DC6EA4" w:rsidP="00DC6EA4">
      <w:pPr>
        <w:spacing w:after="120" w:line="240" w:lineRule="atLeast"/>
        <w:ind w:left="1134" w:right="1134"/>
        <w:jc w:val="both"/>
        <w:rPr>
          <w:lang w:val="en-CA"/>
        </w:rPr>
      </w:pPr>
      <w:r w:rsidRPr="001A047D">
        <w:rPr>
          <w:lang w:val="en-CA"/>
        </w:rPr>
        <w:t>20.</w:t>
      </w:r>
      <w:r w:rsidRPr="001A047D">
        <w:rPr>
          <w:lang w:val="en-CA"/>
        </w:rPr>
        <w:tab/>
        <w:t xml:space="preserve">In accordance with precautionary measures taken in the context of the COVID-19 pandemic, the public meeting with United Nations agencies and mechanisms and intergovernmental organizations that had been scheduled to be held on 6 April 2020 was cancelled. </w:t>
      </w:r>
    </w:p>
    <w:p w14:paraId="58B82ED9" w14:textId="77777777" w:rsidR="00DC6EA4" w:rsidRPr="001A047D" w:rsidRDefault="00DC6EA4" w:rsidP="00DC6EA4">
      <w:pPr>
        <w:pStyle w:val="H1G"/>
        <w:rPr>
          <w:lang w:val="en-CA"/>
        </w:rPr>
      </w:pPr>
      <w:r w:rsidRPr="001A047D">
        <w:rPr>
          <w:lang w:val="en-CA"/>
        </w:rPr>
        <w:lastRenderedPageBreak/>
        <w:tab/>
      </w:r>
      <w:bookmarkStart w:id="75" w:name="_Toc460489542"/>
      <w:bookmarkStart w:id="76" w:name="_Toc522200464"/>
      <w:bookmarkStart w:id="77" w:name="_Toc43905474"/>
      <w:bookmarkStart w:id="78" w:name="_Toc43906555"/>
      <w:bookmarkStart w:id="79" w:name="_Toc43996426"/>
      <w:r w:rsidRPr="001A047D">
        <w:rPr>
          <w:lang w:val="en-CA"/>
        </w:rPr>
        <w:t>C.</w:t>
      </w:r>
      <w:r w:rsidRPr="001A047D">
        <w:rPr>
          <w:lang w:val="en-CA"/>
        </w:rPr>
        <w:tab/>
        <w:t xml:space="preserve">Meetings with non-governmental organizations and </w:t>
      </w:r>
      <w:bookmarkEnd w:id="75"/>
      <w:r w:rsidRPr="001A047D">
        <w:rPr>
          <w:lang w:val="en-CA"/>
        </w:rPr>
        <w:t>civil society</w:t>
      </w:r>
      <w:bookmarkEnd w:id="76"/>
      <w:bookmarkEnd w:id="77"/>
      <w:bookmarkEnd w:id="78"/>
      <w:bookmarkEnd w:id="79"/>
    </w:p>
    <w:p w14:paraId="2CEA2169" w14:textId="43BBF8EE" w:rsidR="00DC6EA4" w:rsidRPr="001A047D" w:rsidRDefault="00DC6EA4" w:rsidP="00DC6EA4">
      <w:pPr>
        <w:pStyle w:val="SingleTxtG"/>
        <w:rPr>
          <w:lang w:val="en-CA"/>
        </w:rPr>
      </w:pPr>
      <w:r w:rsidRPr="001A047D">
        <w:rPr>
          <w:lang w:val="en-CA"/>
        </w:rPr>
        <w:t>21.</w:t>
      </w:r>
      <w:r w:rsidRPr="001A047D">
        <w:rPr>
          <w:lang w:val="en-CA"/>
        </w:rPr>
        <w:tab/>
        <w:t>On 7 October 2019, the Committee held a private meeting with representatives of Genève pour les droits de l</w:t>
      </w:r>
      <w:r w:rsidR="00E21FC5" w:rsidRPr="001A047D">
        <w:rPr>
          <w:lang w:val="en-CA"/>
        </w:rPr>
        <w:t>’</w:t>
      </w:r>
      <w:r w:rsidRPr="001A047D">
        <w:rPr>
          <w:lang w:val="en-CA"/>
        </w:rPr>
        <w:t>homme: formation internationale. The secretariat read out a written statement</w:t>
      </w:r>
      <w:r w:rsidR="00E21FC5" w:rsidRPr="001A047D">
        <w:rPr>
          <w:lang w:val="en-CA"/>
        </w:rPr>
        <w:t xml:space="preserve"> </w:t>
      </w:r>
      <w:r w:rsidRPr="001A047D">
        <w:rPr>
          <w:lang w:val="en-CA"/>
        </w:rPr>
        <w:t xml:space="preserve">by the organization </w:t>
      </w:r>
      <w:r w:rsidR="00E21FC5" w:rsidRPr="001A047D">
        <w:rPr>
          <w:lang w:val="en-CA"/>
        </w:rPr>
        <w:t>“</w:t>
      </w:r>
      <w:r w:rsidRPr="001A047D">
        <w:rPr>
          <w:lang w:val="en-CA"/>
        </w:rPr>
        <w:t>Todos los niños robados son también mis niños</w:t>
      </w:r>
      <w:r w:rsidR="00E21FC5" w:rsidRPr="001A047D">
        <w:rPr>
          <w:lang w:val="en-CA"/>
        </w:rPr>
        <w:t>”</w:t>
      </w:r>
      <w:r w:rsidRPr="001A047D">
        <w:rPr>
          <w:lang w:val="en-CA"/>
        </w:rPr>
        <w:t>.</w:t>
      </w:r>
    </w:p>
    <w:p w14:paraId="2D10862C" w14:textId="77777777" w:rsidR="00DC6EA4" w:rsidRPr="001A047D" w:rsidRDefault="00DC6EA4" w:rsidP="00DC6EA4">
      <w:pPr>
        <w:spacing w:after="120" w:line="240" w:lineRule="atLeast"/>
        <w:ind w:left="1134" w:right="1134"/>
        <w:jc w:val="both"/>
        <w:rPr>
          <w:lang w:val="en-CA"/>
        </w:rPr>
      </w:pPr>
      <w:r w:rsidRPr="001A047D">
        <w:rPr>
          <w:lang w:val="en-CA"/>
        </w:rPr>
        <w:t>22.</w:t>
      </w:r>
      <w:r w:rsidRPr="001A047D">
        <w:rPr>
          <w:lang w:val="en-CA"/>
        </w:rPr>
        <w:tab/>
        <w:t>In accordance with precautionary measures taken in the context of the COVID-19 pandemic, the private meeting with non-governmental organizations and civil society that had been scheduled to be held on 6 April 2020 was cancelled.</w:t>
      </w:r>
    </w:p>
    <w:p w14:paraId="6DF81555" w14:textId="77777777" w:rsidR="00DC6EA4" w:rsidRPr="001A047D" w:rsidRDefault="00DC6EA4" w:rsidP="00DC6EA4">
      <w:pPr>
        <w:pStyle w:val="H1G"/>
        <w:rPr>
          <w:lang w:val="en-CA"/>
        </w:rPr>
      </w:pPr>
      <w:r w:rsidRPr="001A047D">
        <w:rPr>
          <w:lang w:val="en-CA"/>
        </w:rPr>
        <w:tab/>
      </w:r>
      <w:bookmarkStart w:id="80" w:name="_Toc43905475"/>
      <w:bookmarkStart w:id="81" w:name="_Toc43906556"/>
      <w:bookmarkStart w:id="82" w:name="_Toc43996427"/>
      <w:r w:rsidRPr="001A047D">
        <w:rPr>
          <w:lang w:val="en-CA"/>
        </w:rPr>
        <w:t>D.</w:t>
      </w:r>
      <w:r w:rsidRPr="001A047D">
        <w:rPr>
          <w:lang w:val="en-CA"/>
        </w:rPr>
        <w:tab/>
        <w:t>Meetings with other stakeholders</w:t>
      </w:r>
      <w:bookmarkEnd w:id="80"/>
      <w:bookmarkEnd w:id="81"/>
      <w:bookmarkEnd w:id="82"/>
      <w:r w:rsidRPr="001A047D">
        <w:rPr>
          <w:lang w:val="en-CA"/>
        </w:rPr>
        <w:t xml:space="preserve"> </w:t>
      </w:r>
    </w:p>
    <w:p w14:paraId="6157456E" w14:textId="77777777" w:rsidR="00DC6EA4" w:rsidRPr="001A047D" w:rsidRDefault="00DC6EA4" w:rsidP="00DC6EA4">
      <w:pPr>
        <w:spacing w:after="120" w:line="240" w:lineRule="atLeast"/>
        <w:ind w:left="1134" w:right="1134"/>
        <w:jc w:val="both"/>
        <w:rPr>
          <w:lang w:val="en-CA"/>
        </w:rPr>
      </w:pPr>
      <w:r w:rsidRPr="001A047D">
        <w:rPr>
          <w:lang w:val="en-CA"/>
        </w:rPr>
        <w:t>23.</w:t>
      </w:r>
      <w:r w:rsidRPr="001A047D">
        <w:rPr>
          <w:lang w:val="en-CA"/>
        </w:rPr>
        <w:tab/>
        <w:t>On 9 October 2019, the Geneva Academy of International Humanitarian Law and Human Rights facilitated a discussion on follow-up to the adoption of the guiding principles for the search for disappeared persons.</w:t>
      </w:r>
    </w:p>
    <w:p w14:paraId="6C0F67FF" w14:textId="77777777" w:rsidR="00DC6EA4" w:rsidRPr="001A047D" w:rsidRDefault="00DC6EA4" w:rsidP="00DC6EA4">
      <w:pPr>
        <w:spacing w:after="120" w:line="240" w:lineRule="atLeast"/>
        <w:ind w:left="1134" w:right="1134"/>
        <w:jc w:val="both"/>
        <w:rPr>
          <w:lang w:val="en-CA"/>
        </w:rPr>
      </w:pPr>
      <w:r w:rsidRPr="001A047D">
        <w:rPr>
          <w:lang w:val="en-CA"/>
        </w:rPr>
        <w:t>24.</w:t>
      </w:r>
      <w:r w:rsidRPr="001A047D">
        <w:rPr>
          <w:lang w:val="en-CA"/>
        </w:rPr>
        <w:tab/>
        <w:t xml:space="preserve">In accordance with precautionary measures taken in the context of the COVID-19 pandemic, all meetings with other stakeholders planned to be held during its eighteenth session were cancelled or postponed. </w:t>
      </w:r>
    </w:p>
    <w:p w14:paraId="252B3B3C" w14:textId="77777777" w:rsidR="00DC6EA4" w:rsidRPr="001A047D" w:rsidRDefault="00DC6EA4" w:rsidP="00DC6EA4">
      <w:pPr>
        <w:rPr>
          <w:lang w:val="en-CA"/>
        </w:rPr>
      </w:pPr>
      <w:r w:rsidRPr="001A047D">
        <w:rPr>
          <w:lang w:val="en-CA"/>
        </w:rPr>
        <w:br w:type="page"/>
      </w:r>
    </w:p>
    <w:p w14:paraId="068C2898"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83" w:name="_Toc460489543"/>
      <w:bookmarkStart w:id="84" w:name="_Toc522200465"/>
      <w:bookmarkStart w:id="85" w:name="_Toc43905476"/>
      <w:bookmarkStart w:id="86" w:name="_Toc43906557"/>
      <w:bookmarkStart w:id="87" w:name="_Toc43996428"/>
      <w:r w:rsidRPr="001A047D">
        <w:rPr>
          <w:lang w:val="en-CA"/>
        </w:rPr>
        <w:t>Chapter IV</w:t>
      </w:r>
      <w:r w:rsidRPr="001A047D">
        <w:rPr>
          <w:lang w:val="en-CA"/>
        </w:rPr>
        <w:br/>
        <w:t xml:space="preserve">Consideration </w:t>
      </w:r>
      <w:bookmarkStart w:id="88" w:name="_Hlk14698671"/>
      <w:r w:rsidRPr="001A047D">
        <w:rPr>
          <w:lang w:val="en-CA"/>
        </w:rPr>
        <w:t>of reports submitted by States parties under article 29 (1) of the Convention</w:t>
      </w:r>
      <w:bookmarkEnd w:id="83"/>
      <w:bookmarkEnd w:id="84"/>
      <w:bookmarkEnd w:id="88"/>
      <w:bookmarkEnd w:id="85"/>
      <w:bookmarkEnd w:id="86"/>
      <w:bookmarkEnd w:id="87"/>
    </w:p>
    <w:bookmarkEnd w:id="68"/>
    <w:bookmarkEnd w:id="69"/>
    <w:p w14:paraId="49FE00BF" w14:textId="36310CA2" w:rsidR="00DC6EA4" w:rsidRPr="001A047D" w:rsidRDefault="00DC6EA4" w:rsidP="00DC6EA4">
      <w:pPr>
        <w:pStyle w:val="SingleTxtG"/>
        <w:spacing w:line="240" w:lineRule="auto"/>
        <w:rPr>
          <w:lang w:val="en-CA"/>
        </w:rPr>
      </w:pPr>
      <w:r w:rsidRPr="001A047D">
        <w:rPr>
          <w:lang w:val="en-CA"/>
        </w:rPr>
        <w:t>25.</w:t>
      </w:r>
      <w:r w:rsidRPr="001A047D">
        <w:rPr>
          <w:lang w:val="en-CA"/>
        </w:rPr>
        <w:tab/>
        <w:t>At its seventeenth session, the Committee considered the reports of Bolivia (Plurinational State of) (</w:t>
      </w:r>
      <w:hyperlink r:id="rId30" w:history="1">
        <w:r w:rsidRPr="001A047D">
          <w:rPr>
            <w:rStyle w:val="Hyperlink"/>
            <w:lang w:val="en-CA"/>
          </w:rPr>
          <w:t>CED/C/BOL/1</w:t>
        </w:r>
      </w:hyperlink>
      <w:r w:rsidRPr="001A047D">
        <w:rPr>
          <w:lang w:val="en-CA"/>
        </w:rPr>
        <w:t>) and Slovakia (</w:t>
      </w:r>
      <w:hyperlink r:id="rId31" w:history="1">
        <w:r w:rsidRPr="001A047D">
          <w:rPr>
            <w:rStyle w:val="Hyperlink"/>
            <w:lang w:val="en-CA"/>
          </w:rPr>
          <w:t>CED/C/SVK/1</w:t>
        </w:r>
      </w:hyperlink>
      <w:r w:rsidRPr="001A047D">
        <w:rPr>
          <w:lang w:val="en-CA"/>
        </w:rPr>
        <w:t>), and adopted concluding observations on those reports (</w:t>
      </w:r>
      <w:hyperlink r:id="rId32" w:history="1">
        <w:r w:rsidRPr="001A047D">
          <w:rPr>
            <w:rStyle w:val="Hyperlink"/>
            <w:lang w:val="en-CA"/>
          </w:rPr>
          <w:t>CED/C/BOL/CO/1</w:t>
        </w:r>
      </w:hyperlink>
      <w:r w:rsidRPr="001A047D">
        <w:rPr>
          <w:lang w:val="en-CA"/>
        </w:rPr>
        <w:t xml:space="preserve"> and </w:t>
      </w:r>
      <w:hyperlink r:id="rId33" w:history="1">
        <w:r w:rsidRPr="001A047D">
          <w:rPr>
            <w:rStyle w:val="Hyperlink"/>
            <w:lang w:val="en-CA"/>
          </w:rPr>
          <w:t>CED/C/SVK/CO/1</w:t>
        </w:r>
      </w:hyperlink>
      <w:r w:rsidRPr="001A047D">
        <w:rPr>
          <w:lang w:val="en-CA"/>
        </w:rPr>
        <w:t xml:space="preserve">). </w:t>
      </w:r>
    </w:p>
    <w:p w14:paraId="306F7BB3" w14:textId="77777777" w:rsidR="00DC6EA4" w:rsidRPr="001A047D" w:rsidRDefault="00DC6EA4" w:rsidP="00DC6EA4">
      <w:pPr>
        <w:pStyle w:val="SingleTxtG"/>
        <w:spacing w:line="240" w:lineRule="auto"/>
        <w:rPr>
          <w:lang w:val="en-CA"/>
        </w:rPr>
      </w:pPr>
      <w:r w:rsidRPr="001A047D">
        <w:rPr>
          <w:lang w:val="en-CA"/>
        </w:rPr>
        <w:t>26.</w:t>
      </w:r>
      <w:r w:rsidRPr="001A047D">
        <w:rPr>
          <w:lang w:val="en-CA"/>
        </w:rPr>
        <w:tab/>
        <w:t xml:space="preserve">The dialogue with the Plurinational State of Bolivia was held in a hybrid format, with the presence in person of one representative of the State party and the active participation of delegates in the capital via videoconference throughout the six hours of the dialogue. </w:t>
      </w:r>
    </w:p>
    <w:p w14:paraId="3FE9537A" w14:textId="486A0360" w:rsidR="00DC6EA4" w:rsidRPr="001A047D" w:rsidRDefault="00DC6EA4" w:rsidP="00DC6EA4">
      <w:pPr>
        <w:pStyle w:val="SingleTxtG"/>
        <w:spacing w:line="240" w:lineRule="auto"/>
        <w:rPr>
          <w:lang w:val="en-CA"/>
        </w:rPr>
      </w:pPr>
      <w:r w:rsidRPr="001A047D">
        <w:rPr>
          <w:lang w:val="en-CA"/>
        </w:rPr>
        <w:t>27.</w:t>
      </w:r>
      <w:r w:rsidRPr="001A047D">
        <w:rPr>
          <w:lang w:val="en-CA"/>
        </w:rPr>
        <w:tab/>
        <w:t>In accordance with precautionary measures taken in the context of the COVID-19 pandemic, the interactive dialogues scheduled for the eighteenth session for the consideration of the reports of Mongolia (</w:t>
      </w:r>
      <w:hyperlink r:id="rId34" w:history="1">
        <w:r w:rsidRPr="001A047D">
          <w:rPr>
            <w:rStyle w:val="Hyperlink"/>
            <w:lang w:val="en-CA"/>
          </w:rPr>
          <w:t>CED/C/MNG/1</w:t>
        </w:r>
      </w:hyperlink>
      <w:r w:rsidRPr="001A047D">
        <w:rPr>
          <w:lang w:val="en-CA"/>
        </w:rPr>
        <w:t>) and Switzerland (</w:t>
      </w:r>
      <w:hyperlink r:id="rId35" w:history="1">
        <w:r w:rsidRPr="001A047D">
          <w:rPr>
            <w:rStyle w:val="Hyperlink"/>
            <w:lang w:val="en-CA"/>
          </w:rPr>
          <w:t>CED/C/CHE/1</w:t>
        </w:r>
      </w:hyperlink>
      <w:r w:rsidRPr="001A047D">
        <w:rPr>
          <w:lang w:val="en-CA"/>
        </w:rPr>
        <w:t xml:space="preserve">) were postponed to the nineteenth session. </w:t>
      </w:r>
    </w:p>
    <w:p w14:paraId="753433CD" w14:textId="77777777" w:rsidR="00DC6EA4" w:rsidRPr="001A047D" w:rsidRDefault="00DC6EA4" w:rsidP="00DC6EA4">
      <w:pPr>
        <w:pStyle w:val="SingleTxtG"/>
        <w:rPr>
          <w:lang w:val="en-CA"/>
        </w:rPr>
      </w:pPr>
      <w:r w:rsidRPr="001A047D">
        <w:rPr>
          <w:lang w:val="en-CA"/>
        </w:rPr>
        <w:br w:type="page"/>
      </w:r>
    </w:p>
    <w:p w14:paraId="6EB4406C"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89" w:name="_Toc460489544"/>
      <w:bookmarkStart w:id="90" w:name="_Toc522200466"/>
      <w:bookmarkStart w:id="91" w:name="_Toc43905477"/>
      <w:bookmarkStart w:id="92" w:name="_Toc43906558"/>
      <w:bookmarkStart w:id="93" w:name="_Toc43996429"/>
      <w:r w:rsidRPr="001A047D">
        <w:rPr>
          <w:lang w:val="en-CA"/>
        </w:rPr>
        <w:t>Chapter V</w:t>
      </w:r>
      <w:r w:rsidRPr="001A047D">
        <w:rPr>
          <w:lang w:val="en-CA"/>
        </w:rPr>
        <w:br/>
        <w:t>Adoption of the report on follow-up to concluding observations</w:t>
      </w:r>
      <w:bookmarkEnd w:id="89"/>
      <w:bookmarkEnd w:id="90"/>
      <w:bookmarkEnd w:id="91"/>
      <w:bookmarkEnd w:id="92"/>
      <w:bookmarkEnd w:id="93"/>
    </w:p>
    <w:p w14:paraId="1418604E" w14:textId="77777777" w:rsidR="00DC6EA4" w:rsidRPr="001A047D" w:rsidRDefault="00DC6EA4" w:rsidP="00DC6EA4">
      <w:pPr>
        <w:pStyle w:val="SingleTxtG"/>
        <w:rPr>
          <w:lang w:val="en-CA"/>
        </w:rPr>
      </w:pPr>
      <w:r w:rsidRPr="001A047D">
        <w:rPr>
          <w:lang w:val="en-CA"/>
        </w:rPr>
        <w:t>28.</w:t>
      </w:r>
      <w:r w:rsidRPr="001A047D">
        <w:rPr>
          <w:lang w:val="en-CA"/>
        </w:rPr>
        <w:tab/>
        <w:t xml:space="preserve">Owing to shortages in human resources in the secretariat, the Committee was unable to proceed with its planned consideration of the follow-up to its concluding observations on Albania, Austria, Gabon, Honduras and Lithuania. </w:t>
      </w:r>
    </w:p>
    <w:p w14:paraId="06334790" w14:textId="77777777" w:rsidR="00DC6EA4" w:rsidRPr="001A047D" w:rsidRDefault="00DC6EA4" w:rsidP="00DC6EA4">
      <w:pPr>
        <w:pStyle w:val="SingleTxtG"/>
        <w:rPr>
          <w:lang w:val="en-CA"/>
        </w:rPr>
      </w:pPr>
      <w:r w:rsidRPr="001A047D">
        <w:rPr>
          <w:lang w:val="en-CA"/>
        </w:rPr>
        <w:br w:type="page"/>
      </w:r>
    </w:p>
    <w:p w14:paraId="784D0DC4" w14:textId="77777777" w:rsidR="00DC6EA4" w:rsidRPr="001A047D" w:rsidRDefault="00DC6EA4" w:rsidP="00DC6EA4">
      <w:pPr>
        <w:pStyle w:val="HChG"/>
        <w:rPr>
          <w:lang w:val="en-CA"/>
        </w:rPr>
      </w:pPr>
      <w:r w:rsidRPr="001A047D">
        <w:rPr>
          <w:lang w:val="en-CA"/>
        </w:rPr>
        <w:lastRenderedPageBreak/>
        <w:tab/>
      </w:r>
      <w:bookmarkStart w:id="94" w:name="_Toc460489545"/>
      <w:bookmarkStart w:id="95" w:name="_Toc522200467"/>
      <w:r w:rsidRPr="001A047D">
        <w:rPr>
          <w:lang w:val="en-CA"/>
        </w:rPr>
        <w:tab/>
      </w:r>
      <w:bookmarkStart w:id="96" w:name="_Toc43905478"/>
      <w:bookmarkStart w:id="97" w:name="_Toc43906559"/>
      <w:bookmarkStart w:id="98" w:name="_Toc43996430"/>
      <w:r w:rsidRPr="001A047D">
        <w:rPr>
          <w:lang w:val="en-CA"/>
        </w:rPr>
        <w:t>Chapter VI</w:t>
      </w:r>
      <w:r w:rsidRPr="001A047D">
        <w:rPr>
          <w:lang w:val="en-CA"/>
        </w:rPr>
        <w:br/>
        <w:t>Adoption of lists of issues</w:t>
      </w:r>
      <w:bookmarkEnd w:id="94"/>
      <w:bookmarkEnd w:id="95"/>
      <w:bookmarkEnd w:id="96"/>
      <w:bookmarkEnd w:id="97"/>
      <w:bookmarkEnd w:id="98"/>
    </w:p>
    <w:p w14:paraId="3F1609B8" w14:textId="34C334EE" w:rsidR="00DC6EA4" w:rsidRPr="001A047D" w:rsidRDefault="00DC6EA4" w:rsidP="00DC6EA4">
      <w:pPr>
        <w:pStyle w:val="SingleTxtG"/>
        <w:rPr>
          <w:lang w:val="en-CA"/>
        </w:rPr>
      </w:pPr>
      <w:r w:rsidRPr="001A047D">
        <w:rPr>
          <w:lang w:val="en-CA"/>
        </w:rPr>
        <w:t>29.</w:t>
      </w:r>
      <w:r w:rsidRPr="001A047D">
        <w:rPr>
          <w:lang w:val="en-CA"/>
        </w:rPr>
        <w:tab/>
        <w:t>At its seventeenth session, the Committee adopted the lists of issues on Mongolia (</w:t>
      </w:r>
      <w:hyperlink r:id="rId36" w:history="1">
        <w:r w:rsidRPr="001A047D">
          <w:rPr>
            <w:rStyle w:val="Hyperlink"/>
            <w:lang w:val="en-CA"/>
          </w:rPr>
          <w:t>CED/C/MNG/Q/1</w:t>
        </w:r>
      </w:hyperlink>
      <w:r w:rsidRPr="001A047D">
        <w:rPr>
          <w:lang w:val="en-CA"/>
        </w:rPr>
        <w:t>) and Switzerland (</w:t>
      </w:r>
      <w:hyperlink r:id="rId37" w:history="1">
        <w:r w:rsidRPr="001A047D">
          <w:rPr>
            <w:rStyle w:val="Hyperlink"/>
            <w:lang w:val="en-CA"/>
          </w:rPr>
          <w:t>CED/C/CHE/Q/1</w:t>
        </w:r>
      </w:hyperlink>
      <w:r w:rsidRPr="001A047D">
        <w:rPr>
          <w:lang w:val="en-CA"/>
        </w:rPr>
        <w:t>) and the list of issues in the absence of the report of Nigeria (</w:t>
      </w:r>
      <w:hyperlink r:id="rId38" w:history="1">
        <w:r w:rsidRPr="001A047D">
          <w:rPr>
            <w:rStyle w:val="Hyperlink"/>
            <w:lang w:val="en-CA"/>
          </w:rPr>
          <w:t>CED/C/NGA/QAR/1</w:t>
        </w:r>
      </w:hyperlink>
      <w:r w:rsidRPr="001A047D">
        <w:rPr>
          <w:lang w:val="en-CA"/>
        </w:rPr>
        <w:t>).</w:t>
      </w:r>
    </w:p>
    <w:p w14:paraId="4B7FB8E0" w14:textId="3BEEFE02" w:rsidR="00DC6EA4" w:rsidRPr="001A047D" w:rsidRDefault="00DC6EA4" w:rsidP="00DC6EA4">
      <w:pPr>
        <w:pStyle w:val="SingleTxtG"/>
        <w:rPr>
          <w:lang w:val="en-CA"/>
        </w:rPr>
      </w:pPr>
      <w:r w:rsidRPr="001A047D">
        <w:rPr>
          <w:lang w:val="en-CA"/>
        </w:rPr>
        <w:t>30.</w:t>
      </w:r>
      <w:r w:rsidRPr="001A047D">
        <w:rPr>
          <w:lang w:val="en-CA"/>
        </w:rPr>
        <w:tab/>
        <w:t>At its eighteenth session,</w:t>
      </w:r>
      <w:r w:rsidRPr="001A047D">
        <w:rPr>
          <w:rStyle w:val="FootnoteReference"/>
          <w:lang w:val="en-CA"/>
        </w:rPr>
        <w:footnoteReference w:id="4"/>
      </w:r>
      <w:r w:rsidRPr="001A047D">
        <w:rPr>
          <w:lang w:val="en-CA"/>
        </w:rPr>
        <w:t xml:space="preserve"> the Committee adopted the lists of issues on Brazil (</w:t>
      </w:r>
      <w:hyperlink r:id="rId39" w:history="1">
        <w:r w:rsidRPr="001A047D">
          <w:rPr>
            <w:rStyle w:val="Hyperlink"/>
            <w:lang w:val="en-CA"/>
          </w:rPr>
          <w:t>CED/C/BRA/Q/1</w:t>
        </w:r>
      </w:hyperlink>
      <w:r w:rsidRPr="001A047D">
        <w:rPr>
          <w:lang w:val="en-CA"/>
        </w:rPr>
        <w:t>) and Panama (</w:t>
      </w:r>
      <w:hyperlink r:id="rId40" w:history="1">
        <w:r w:rsidRPr="001A047D">
          <w:rPr>
            <w:rStyle w:val="Hyperlink"/>
            <w:lang w:val="en-CA"/>
          </w:rPr>
          <w:t>CED/C/PAN/Q/1</w:t>
        </w:r>
      </w:hyperlink>
      <w:r w:rsidRPr="001A047D">
        <w:rPr>
          <w:lang w:val="en-CA"/>
        </w:rPr>
        <w:t xml:space="preserve">). </w:t>
      </w:r>
    </w:p>
    <w:p w14:paraId="7DE44BD4" w14:textId="77777777" w:rsidR="00DC6EA4" w:rsidRPr="001A047D" w:rsidRDefault="00DC6EA4" w:rsidP="00DC6EA4">
      <w:pPr>
        <w:pStyle w:val="SingleTxtG"/>
        <w:rPr>
          <w:lang w:val="en-CA"/>
        </w:rPr>
      </w:pPr>
      <w:r w:rsidRPr="001A047D">
        <w:rPr>
          <w:lang w:val="en-CA"/>
        </w:rPr>
        <w:br w:type="page"/>
      </w:r>
    </w:p>
    <w:p w14:paraId="3A3DF7C8"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99" w:name="_Toc460489546"/>
      <w:bookmarkStart w:id="100" w:name="_Toc522200468"/>
      <w:bookmarkStart w:id="101" w:name="_Toc43905479"/>
      <w:bookmarkStart w:id="102" w:name="_Toc43906560"/>
      <w:bookmarkStart w:id="103" w:name="_Toc43996431"/>
      <w:r w:rsidRPr="001A047D">
        <w:rPr>
          <w:lang w:val="en-CA"/>
        </w:rPr>
        <w:t>Chapter VII</w:t>
      </w:r>
      <w:r w:rsidRPr="001A047D">
        <w:rPr>
          <w:lang w:val="en-CA"/>
        </w:rPr>
        <w:br/>
      </w:r>
      <w:bookmarkEnd w:id="99"/>
      <w:bookmarkEnd w:id="100"/>
      <w:r w:rsidRPr="001A047D">
        <w:rPr>
          <w:lang w:val="en-CA"/>
        </w:rPr>
        <w:t>Reporting under the Convention</w:t>
      </w:r>
      <w:bookmarkEnd w:id="101"/>
      <w:bookmarkEnd w:id="102"/>
      <w:bookmarkEnd w:id="103"/>
      <w:r w:rsidRPr="001A047D">
        <w:rPr>
          <w:lang w:val="en-CA"/>
        </w:rPr>
        <w:t xml:space="preserve"> </w:t>
      </w:r>
    </w:p>
    <w:p w14:paraId="76577F8E" w14:textId="77777777" w:rsidR="00DC6EA4" w:rsidRPr="001A047D" w:rsidRDefault="00DC6EA4" w:rsidP="00DC6EA4">
      <w:pPr>
        <w:pStyle w:val="SingleTxtG"/>
        <w:rPr>
          <w:lang w:val="en-CA"/>
        </w:rPr>
      </w:pPr>
      <w:r w:rsidRPr="001A047D">
        <w:rPr>
          <w:lang w:val="en-CA"/>
        </w:rPr>
        <w:t>31.</w:t>
      </w:r>
      <w:r w:rsidRPr="001A047D">
        <w:rPr>
          <w:lang w:val="en-CA"/>
        </w:rPr>
        <w:tab/>
        <w:t>At its seventeenth session, the Committee expressed its gratitude to all States parties that had respected the official deadline for submission of their reports, and encouraged all other States parties to follow their example. The Committee expressed its deepest concern at the large number of overdue reports, particularly in the case of Mali and Zambia as those States had been among the first to ratify the Convention. The Committee noted that reports of Belize, Benin, Cambodia, the Central African Republic, Costa Rica, Lesotho, Malawi, Malta, Mauritania, Morocco, Samoa, Seychelles, Sri Lanka, Togo and Ukraine were significantly overdue. Recalling that the timely submission of reports was a precondition for the efficient functioning of the Committee, the Chair urged all States parties to respect their legal obligation to submit reports on time.</w:t>
      </w:r>
    </w:p>
    <w:p w14:paraId="15C56ADE" w14:textId="77777777" w:rsidR="00DC6EA4" w:rsidRPr="001A047D" w:rsidRDefault="00DC6EA4" w:rsidP="00DC6EA4">
      <w:pPr>
        <w:pStyle w:val="SingleTxtG"/>
        <w:rPr>
          <w:lang w:val="en-CA"/>
        </w:rPr>
      </w:pPr>
      <w:r w:rsidRPr="001A047D">
        <w:rPr>
          <w:lang w:val="en-CA"/>
        </w:rPr>
        <w:t>32.</w:t>
      </w:r>
      <w:r w:rsidRPr="001A047D">
        <w:rPr>
          <w:lang w:val="en-CA"/>
        </w:rPr>
        <w:tab/>
        <w:t xml:space="preserve">Between the sixteenth and seventeenth sessions, Brazil, Czechia, the Niger and Panama submitted their reports to the Committee. </w:t>
      </w:r>
    </w:p>
    <w:p w14:paraId="51A178ED" w14:textId="77777777" w:rsidR="00DC6EA4" w:rsidRPr="001A047D" w:rsidRDefault="00DC6EA4" w:rsidP="00DC6EA4">
      <w:pPr>
        <w:pStyle w:val="SingleTxtG"/>
        <w:rPr>
          <w:lang w:val="en-CA"/>
        </w:rPr>
      </w:pPr>
      <w:r w:rsidRPr="001A047D">
        <w:rPr>
          <w:lang w:val="en-CA"/>
        </w:rPr>
        <w:t>33.</w:t>
      </w:r>
      <w:r w:rsidRPr="001A047D">
        <w:rPr>
          <w:lang w:val="en-CA"/>
        </w:rPr>
        <w:tab/>
        <w:t xml:space="preserve">In February 2020, a first reminder was sent to Benin, Malawi and Seychelles; a second reminder was sent to the Central African Republic and Sri Lanka; a third reminder was sent to Belize, Malta and Ukraine; a fourth reminder was sent to Lesotho and Togo; a fifth reminder was sent to Cambodia and Morocco; a sixth reminder was sent to Costa Rica, Mauritania and Samoa; a seventh reminder was sent to Zambia; and an eighth reminder was sent to Mali. </w:t>
      </w:r>
    </w:p>
    <w:p w14:paraId="3AA8F15E" w14:textId="77777777" w:rsidR="00DC6EA4" w:rsidRPr="001A047D" w:rsidRDefault="00DC6EA4" w:rsidP="00DC6EA4">
      <w:pPr>
        <w:pStyle w:val="SingleTxtG"/>
        <w:rPr>
          <w:lang w:val="en-CA"/>
        </w:rPr>
      </w:pPr>
      <w:r w:rsidRPr="001A047D">
        <w:rPr>
          <w:lang w:val="en-CA"/>
        </w:rPr>
        <w:t>34.</w:t>
      </w:r>
      <w:r w:rsidRPr="001A047D">
        <w:rPr>
          <w:lang w:val="en-CA"/>
        </w:rPr>
        <w:tab/>
        <w:t>At its eighteenth session,</w:t>
      </w:r>
      <w:r w:rsidRPr="001A047D">
        <w:rPr>
          <w:rStyle w:val="FootnoteReference"/>
          <w:lang w:val="en-CA"/>
        </w:rPr>
        <w:footnoteReference w:id="5"/>
      </w:r>
      <w:r w:rsidRPr="001A047D">
        <w:rPr>
          <w:lang w:val="en-CA"/>
        </w:rPr>
        <w:t xml:space="preserve"> the Committee decided to examine Mali in the absence of a report, and to adopt a list of issues in absence of the report at its nineteenth session.</w:t>
      </w:r>
    </w:p>
    <w:p w14:paraId="7E4071BF" w14:textId="77777777" w:rsidR="00DC6EA4" w:rsidRPr="001A047D" w:rsidRDefault="00DC6EA4" w:rsidP="00DC6EA4">
      <w:pPr>
        <w:pStyle w:val="SingleTxtG"/>
        <w:rPr>
          <w:lang w:val="en-CA"/>
        </w:rPr>
      </w:pPr>
      <w:r w:rsidRPr="001A047D">
        <w:rPr>
          <w:lang w:val="en-CA"/>
        </w:rPr>
        <w:t>35.</w:t>
      </w:r>
      <w:r w:rsidRPr="001A047D">
        <w:rPr>
          <w:lang w:val="en-CA"/>
        </w:rPr>
        <w:tab/>
        <w:t>On 7 May 2020, Costa Rica submitted its report to the Committee.</w:t>
      </w:r>
    </w:p>
    <w:p w14:paraId="09589AFC" w14:textId="77777777" w:rsidR="00DC6EA4" w:rsidRPr="001A047D" w:rsidRDefault="00DC6EA4" w:rsidP="00DC6EA4">
      <w:pPr>
        <w:pStyle w:val="SingleTxtG"/>
        <w:rPr>
          <w:lang w:val="en-CA"/>
        </w:rPr>
      </w:pPr>
      <w:r w:rsidRPr="001A047D">
        <w:rPr>
          <w:lang w:val="en-CA"/>
        </w:rPr>
        <w:t>36.</w:t>
      </w:r>
      <w:r w:rsidRPr="001A047D">
        <w:rPr>
          <w:lang w:val="en-CA"/>
        </w:rPr>
        <w:tab/>
        <w:t>A full list of the States parties and the status of their reports is included in the annex to the present report.</w:t>
      </w:r>
    </w:p>
    <w:p w14:paraId="273E6CEC" w14:textId="77777777" w:rsidR="00DC6EA4" w:rsidRPr="001A047D" w:rsidRDefault="00DC6EA4" w:rsidP="00DC6EA4">
      <w:pPr>
        <w:pStyle w:val="SingleTxtG"/>
        <w:rPr>
          <w:lang w:val="en-CA"/>
        </w:rPr>
      </w:pPr>
      <w:r w:rsidRPr="001A047D">
        <w:rPr>
          <w:lang w:val="en-CA"/>
        </w:rPr>
        <w:br w:type="page"/>
      </w:r>
    </w:p>
    <w:p w14:paraId="20E55621" w14:textId="5A936D50" w:rsidR="00DC6EA4" w:rsidRPr="001A047D" w:rsidRDefault="00DC6EA4" w:rsidP="00DC6EA4">
      <w:pPr>
        <w:pStyle w:val="HChG"/>
        <w:rPr>
          <w:lang w:val="en-CA"/>
        </w:rPr>
      </w:pPr>
      <w:r w:rsidRPr="001A047D">
        <w:rPr>
          <w:lang w:val="en-CA"/>
        </w:rPr>
        <w:lastRenderedPageBreak/>
        <w:tab/>
      </w:r>
      <w:r w:rsidRPr="001A047D">
        <w:rPr>
          <w:lang w:val="en-CA"/>
        </w:rPr>
        <w:tab/>
      </w:r>
      <w:bookmarkStart w:id="104" w:name="_Toc460489547"/>
      <w:bookmarkStart w:id="105" w:name="_Toc522200469"/>
      <w:bookmarkStart w:id="106" w:name="_Toc43905480"/>
      <w:bookmarkStart w:id="107" w:name="_Toc43906561"/>
      <w:bookmarkStart w:id="108" w:name="_Toc43996432"/>
      <w:r w:rsidRPr="001A047D">
        <w:rPr>
          <w:lang w:val="en-CA"/>
        </w:rPr>
        <w:t>Chapter VIII</w:t>
      </w:r>
      <w:r w:rsidRPr="001A047D">
        <w:rPr>
          <w:lang w:val="en-CA"/>
        </w:rPr>
        <w:br/>
        <w:t>Reprisals</w:t>
      </w:r>
      <w:bookmarkEnd w:id="104"/>
      <w:bookmarkEnd w:id="105"/>
      <w:bookmarkEnd w:id="106"/>
      <w:bookmarkEnd w:id="107"/>
      <w:bookmarkEnd w:id="108"/>
    </w:p>
    <w:p w14:paraId="1925F2E7" w14:textId="77777777" w:rsidR="00DC6EA4" w:rsidRPr="001A047D" w:rsidRDefault="00DC6EA4" w:rsidP="00DC6EA4">
      <w:pPr>
        <w:pStyle w:val="SingleTxtG"/>
        <w:rPr>
          <w:lang w:val="en-CA"/>
        </w:rPr>
      </w:pPr>
      <w:r w:rsidRPr="001A047D">
        <w:rPr>
          <w:lang w:val="en-CA"/>
        </w:rPr>
        <w:t>37.</w:t>
      </w:r>
      <w:r w:rsidRPr="001A047D">
        <w:rPr>
          <w:lang w:val="en-CA"/>
        </w:rPr>
        <w:tab/>
        <w:t>The Committee noted with satisfaction that, during the reporting period, it had not received any allegations from individuals of acts of intimidation or reprisal for seeking to cooperate or cooperating with the Committee.</w:t>
      </w:r>
    </w:p>
    <w:p w14:paraId="5FE44342" w14:textId="77777777" w:rsidR="00DC6EA4" w:rsidRPr="001A047D" w:rsidRDefault="00DC6EA4" w:rsidP="00DC6EA4">
      <w:pPr>
        <w:rPr>
          <w:lang w:val="en-CA"/>
        </w:rPr>
      </w:pPr>
      <w:r w:rsidRPr="001A047D">
        <w:rPr>
          <w:lang w:val="en-CA"/>
        </w:rPr>
        <w:br w:type="page"/>
      </w:r>
    </w:p>
    <w:p w14:paraId="52F535C8"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109" w:name="_Toc43905481"/>
      <w:bookmarkStart w:id="110" w:name="_Toc43906562"/>
      <w:bookmarkStart w:id="111" w:name="_Toc43996433"/>
      <w:r w:rsidRPr="001A047D">
        <w:rPr>
          <w:lang w:val="en-CA"/>
        </w:rPr>
        <w:t>Chapter IX</w:t>
      </w:r>
      <w:r w:rsidRPr="001A047D">
        <w:rPr>
          <w:lang w:val="en-CA"/>
        </w:rPr>
        <w:br/>
        <w:t>Consideration of additional information submitted by States parties under article 29 (4) of the Convention</w:t>
      </w:r>
      <w:bookmarkEnd w:id="109"/>
      <w:bookmarkEnd w:id="110"/>
      <w:bookmarkEnd w:id="111"/>
    </w:p>
    <w:p w14:paraId="241D2EB2" w14:textId="70A4CA36" w:rsidR="00DC6EA4" w:rsidRPr="001A047D" w:rsidRDefault="00DC6EA4" w:rsidP="00DC6EA4">
      <w:pPr>
        <w:pStyle w:val="SingleTxtG"/>
        <w:rPr>
          <w:lang w:val="en-CA"/>
        </w:rPr>
      </w:pPr>
      <w:r w:rsidRPr="001A047D">
        <w:rPr>
          <w:lang w:val="en-CA"/>
        </w:rPr>
        <w:t>38.</w:t>
      </w:r>
      <w:r w:rsidRPr="001A047D">
        <w:rPr>
          <w:lang w:val="en-CA"/>
        </w:rPr>
        <w:tab/>
        <w:t>During the period covered by the present report, the Committee received additional information from Argentina (</w:t>
      </w:r>
      <w:hyperlink r:id="rId41" w:history="1">
        <w:r w:rsidRPr="001A047D">
          <w:rPr>
            <w:rStyle w:val="Hyperlink"/>
            <w:lang w:val="en-CA"/>
          </w:rPr>
          <w:t>CED/C/ARG/AI/1</w:t>
        </w:r>
      </w:hyperlink>
      <w:r w:rsidRPr="001A047D">
        <w:rPr>
          <w:lang w:val="en-CA"/>
        </w:rPr>
        <w:t>), Colombia (</w:t>
      </w:r>
      <w:hyperlink r:id="rId42" w:history="1">
        <w:r w:rsidRPr="001A047D">
          <w:rPr>
            <w:rStyle w:val="Hyperlink"/>
            <w:lang w:val="en-CA"/>
          </w:rPr>
          <w:t>CED/C/COL/AI/1</w:t>
        </w:r>
      </w:hyperlink>
      <w:r w:rsidRPr="001A047D">
        <w:rPr>
          <w:lang w:val="en-CA"/>
        </w:rPr>
        <w:t>), France (</w:t>
      </w:r>
      <w:hyperlink r:id="rId43" w:history="1">
        <w:r w:rsidRPr="001A047D">
          <w:rPr>
            <w:rStyle w:val="Hyperlink"/>
            <w:lang w:val="en-CA"/>
          </w:rPr>
          <w:t>CED/C/FRA/AI/1</w:t>
        </w:r>
      </w:hyperlink>
      <w:r w:rsidRPr="001A047D">
        <w:rPr>
          <w:lang w:val="en-CA"/>
        </w:rPr>
        <w:t>), Iraq (</w:t>
      </w:r>
      <w:hyperlink r:id="rId44" w:history="1">
        <w:r w:rsidRPr="001A047D">
          <w:rPr>
            <w:rStyle w:val="Hyperlink"/>
            <w:lang w:val="en-CA"/>
          </w:rPr>
          <w:t>CED/C/IRQ/AI/1</w:t>
        </w:r>
      </w:hyperlink>
      <w:r w:rsidRPr="001A047D">
        <w:rPr>
          <w:lang w:val="en-CA"/>
        </w:rPr>
        <w:t>), Spain (</w:t>
      </w:r>
      <w:hyperlink r:id="rId45" w:history="1">
        <w:r w:rsidRPr="001A047D">
          <w:rPr>
            <w:rStyle w:val="Hyperlink"/>
            <w:lang w:val="en-CA"/>
          </w:rPr>
          <w:t>CED/C/ESP/AI/1</w:t>
        </w:r>
      </w:hyperlink>
      <w:r w:rsidRPr="001A047D">
        <w:rPr>
          <w:lang w:val="en-CA"/>
        </w:rPr>
        <w:t>) and Uruguay (</w:t>
      </w:r>
      <w:hyperlink r:id="rId46" w:history="1">
        <w:r w:rsidRPr="001A047D">
          <w:rPr>
            <w:rStyle w:val="Hyperlink"/>
            <w:lang w:val="en-CA"/>
          </w:rPr>
          <w:t>CED/C/URY/AI/1</w:t>
        </w:r>
      </w:hyperlink>
      <w:r w:rsidRPr="001A047D">
        <w:rPr>
          <w:lang w:val="en-CA"/>
        </w:rPr>
        <w:t>).</w:t>
      </w:r>
    </w:p>
    <w:p w14:paraId="0E9531DE" w14:textId="77777777" w:rsidR="00DC6EA4" w:rsidRPr="001A047D" w:rsidRDefault="00DC6EA4" w:rsidP="00DC6EA4">
      <w:pPr>
        <w:pStyle w:val="SingleTxtG"/>
        <w:spacing w:line="240" w:lineRule="auto"/>
        <w:rPr>
          <w:lang w:val="en-CA"/>
        </w:rPr>
      </w:pPr>
      <w:r w:rsidRPr="001A047D">
        <w:rPr>
          <w:lang w:val="en-CA"/>
        </w:rPr>
        <w:t>39.</w:t>
      </w:r>
      <w:r w:rsidRPr="001A047D">
        <w:rPr>
          <w:lang w:val="en-CA"/>
        </w:rPr>
        <w:tab/>
        <w:t xml:space="preserve">In accordance with precautionary measures taken in the context of the COVID-19 pandemic, the interactive dialogue scheduled for the eighteenth session for the consideration of the additional information submitted by Iraq was postponed to the nineteenth session. </w:t>
      </w:r>
    </w:p>
    <w:p w14:paraId="74DC8EAF" w14:textId="77777777" w:rsidR="00DC6EA4" w:rsidRPr="001A047D" w:rsidRDefault="00DC6EA4" w:rsidP="00DC6EA4">
      <w:pPr>
        <w:pStyle w:val="SingleTxtG"/>
        <w:rPr>
          <w:lang w:val="en-CA"/>
        </w:rPr>
      </w:pPr>
      <w:r w:rsidRPr="001A047D">
        <w:rPr>
          <w:lang w:val="en-CA"/>
        </w:rPr>
        <w:br w:type="page"/>
      </w:r>
    </w:p>
    <w:p w14:paraId="4C5AB554"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112" w:name="_Toc460489548"/>
      <w:bookmarkStart w:id="113" w:name="_Toc522200470"/>
      <w:bookmarkStart w:id="114" w:name="_Toc43905482"/>
      <w:bookmarkStart w:id="115" w:name="_Toc43906563"/>
      <w:bookmarkStart w:id="116" w:name="_Toc43996434"/>
      <w:r w:rsidRPr="001A047D">
        <w:rPr>
          <w:lang w:val="en-CA"/>
        </w:rPr>
        <w:t>Chapter X</w:t>
      </w:r>
      <w:r w:rsidRPr="001A047D">
        <w:rPr>
          <w:lang w:val="en-CA"/>
        </w:rPr>
        <w:br/>
        <w:t>Urgent action procedure under article 30 of the Convention</w:t>
      </w:r>
      <w:bookmarkStart w:id="117" w:name="_Toc460489549"/>
      <w:bookmarkEnd w:id="112"/>
      <w:bookmarkEnd w:id="113"/>
      <w:bookmarkEnd w:id="114"/>
      <w:bookmarkEnd w:id="115"/>
      <w:bookmarkEnd w:id="116"/>
    </w:p>
    <w:p w14:paraId="4EEB24C4" w14:textId="77777777" w:rsidR="00DC6EA4" w:rsidRPr="001A047D" w:rsidRDefault="00DC6EA4" w:rsidP="00DC6EA4">
      <w:pPr>
        <w:pStyle w:val="H1G"/>
        <w:rPr>
          <w:lang w:val="en-CA"/>
        </w:rPr>
      </w:pPr>
      <w:r w:rsidRPr="001A047D">
        <w:rPr>
          <w:lang w:val="en-CA"/>
        </w:rPr>
        <w:tab/>
      </w:r>
      <w:bookmarkStart w:id="118" w:name="_Toc522200471"/>
      <w:bookmarkStart w:id="119" w:name="_Toc43905483"/>
      <w:bookmarkStart w:id="120" w:name="_Toc43906564"/>
      <w:bookmarkStart w:id="121" w:name="_Toc43996435"/>
      <w:r w:rsidRPr="001A047D">
        <w:rPr>
          <w:lang w:val="en-CA"/>
        </w:rPr>
        <w:t>A.</w:t>
      </w:r>
      <w:r w:rsidRPr="001A047D">
        <w:rPr>
          <w:lang w:val="en-CA"/>
        </w:rPr>
        <w:tab/>
        <w:t>Requests for urgent action received and registered since the establishment of the Committee</w:t>
      </w:r>
      <w:bookmarkEnd w:id="118"/>
      <w:bookmarkEnd w:id="119"/>
      <w:bookmarkEnd w:id="120"/>
      <w:bookmarkEnd w:id="121"/>
    </w:p>
    <w:p w14:paraId="2DEE5775" w14:textId="77777777" w:rsidR="00DC6EA4" w:rsidRPr="001A047D" w:rsidRDefault="00DC6EA4" w:rsidP="00DC6EA4">
      <w:pPr>
        <w:pStyle w:val="SingleTxtG"/>
        <w:rPr>
          <w:lang w:val="en-CA"/>
        </w:rPr>
      </w:pPr>
      <w:r w:rsidRPr="001A047D">
        <w:rPr>
          <w:lang w:val="en-CA"/>
        </w:rPr>
        <w:t>40.</w:t>
      </w:r>
      <w:r w:rsidRPr="001A047D">
        <w:rPr>
          <w:lang w:val="en-CA"/>
        </w:rPr>
        <w:tab/>
        <w:t>At its eighteenth session,</w:t>
      </w:r>
      <w:r w:rsidRPr="001A047D">
        <w:rPr>
          <w:rStyle w:val="FootnoteReference"/>
          <w:lang w:val="en-CA"/>
        </w:rPr>
        <w:footnoteReference w:id="6"/>
      </w:r>
      <w:r w:rsidRPr="001A047D">
        <w:rPr>
          <w:lang w:val="en-CA"/>
        </w:rPr>
        <w:t xml:space="preserve"> the Committee decided to postpone to its nineteenth session the adoption of its report on requests for urgent action, with the aim of enabling a full discussion of some of the issues. As at 4 May 2020, the date of the opening of the eighteenth session, the Committee had registered a total of 895 requests for urgent action. In the report on requests for urgent action that it adopted at its seventeenth session, the Committee set out the decisions taken regarding the 782 requests for urgent action that had been registered up to 30 September 2019, including the 220 new requests for urgent action that had been registered since its sixteenth session. The 220 new requests concerned incidents in Iraq, Mexico and Tunisia.</w:t>
      </w:r>
    </w:p>
    <w:p w14:paraId="2B9DFEB1" w14:textId="77777777" w:rsidR="00DC6EA4" w:rsidRPr="001A047D" w:rsidRDefault="00DC6EA4" w:rsidP="00DC6EA4">
      <w:pPr>
        <w:pStyle w:val="SingleTxtG"/>
        <w:spacing w:after="240"/>
        <w:rPr>
          <w:lang w:val="en-CA"/>
        </w:rPr>
      </w:pPr>
      <w:r w:rsidRPr="001A047D">
        <w:rPr>
          <w:lang w:val="en-CA"/>
        </w:rPr>
        <w:t>41.</w:t>
      </w:r>
      <w:r w:rsidRPr="001A047D">
        <w:rPr>
          <w:lang w:val="en-CA"/>
        </w:rPr>
        <w:tab/>
        <w:t>The table below shows the 782 requests for urgent action that were registered by the Committee from 2012 to 30 September 2019, by year and State party.</w:t>
      </w:r>
    </w:p>
    <w:p w14:paraId="6740A850" w14:textId="77777777" w:rsidR="00DC6EA4" w:rsidRPr="001A047D" w:rsidRDefault="00DC6EA4" w:rsidP="00DC6EA4">
      <w:pPr>
        <w:pStyle w:val="SingleTxtG"/>
        <w:spacing w:after="240"/>
        <w:rPr>
          <w:b/>
          <w:bCs/>
          <w:lang w:val="en-CA"/>
        </w:rPr>
      </w:pPr>
      <w:r w:rsidRPr="001A047D">
        <w:rPr>
          <w:b/>
          <w:bCs/>
          <w:lang w:val="en-CA"/>
        </w:rPr>
        <w:t>Urgent action requests registered to 30 September 2019, by year and by State party</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452"/>
        <w:gridCol w:w="452"/>
        <w:gridCol w:w="453"/>
        <w:gridCol w:w="452"/>
        <w:gridCol w:w="453"/>
        <w:gridCol w:w="452"/>
        <w:gridCol w:w="453"/>
        <w:gridCol w:w="452"/>
        <w:gridCol w:w="452"/>
        <w:gridCol w:w="453"/>
        <w:gridCol w:w="452"/>
        <w:gridCol w:w="453"/>
        <w:gridCol w:w="452"/>
        <w:gridCol w:w="453"/>
        <w:gridCol w:w="452"/>
        <w:gridCol w:w="453"/>
        <w:gridCol w:w="557"/>
      </w:tblGrid>
      <w:tr w:rsidR="00486A56" w:rsidRPr="001A047D" w14:paraId="41639EA0" w14:textId="77777777" w:rsidTr="00486A56">
        <w:trPr>
          <w:cantSplit/>
          <w:trHeight w:val="978"/>
          <w:tblHeader/>
        </w:trPr>
        <w:tc>
          <w:tcPr>
            <w:tcW w:w="709" w:type="dxa"/>
            <w:tcBorders>
              <w:top w:val="single" w:sz="4" w:space="0" w:color="auto"/>
              <w:bottom w:val="single" w:sz="12" w:space="0" w:color="auto"/>
            </w:tcBorders>
            <w:shd w:val="clear" w:color="auto" w:fill="auto"/>
            <w:vAlign w:val="bottom"/>
          </w:tcPr>
          <w:p w14:paraId="3685E100"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Year</w:t>
            </w:r>
          </w:p>
        </w:tc>
        <w:tc>
          <w:tcPr>
            <w:tcW w:w="452" w:type="dxa"/>
            <w:tcBorders>
              <w:top w:val="single" w:sz="4" w:space="0" w:color="auto"/>
              <w:bottom w:val="single" w:sz="12" w:space="0" w:color="auto"/>
            </w:tcBorders>
            <w:shd w:val="clear" w:color="auto" w:fill="auto"/>
            <w:textDirection w:val="btLr"/>
            <w:vAlign w:val="bottom"/>
          </w:tcPr>
          <w:p w14:paraId="491591F8"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Argentina</w:t>
            </w:r>
          </w:p>
        </w:tc>
        <w:tc>
          <w:tcPr>
            <w:tcW w:w="452" w:type="dxa"/>
            <w:tcBorders>
              <w:top w:val="single" w:sz="4" w:space="0" w:color="auto"/>
              <w:bottom w:val="single" w:sz="12" w:space="0" w:color="auto"/>
            </w:tcBorders>
            <w:shd w:val="clear" w:color="auto" w:fill="auto"/>
            <w:textDirection w:val="btLr"/>
            <w:vAlign w:val="bottom"/>
          </w:tcPr>
          <w:p w14:paraId="5B8DB02F"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Armenia</w:t>
            </w:r>
          </w:p>
        </w:tc>
        <w:tc>
          <w:tcPr>
            <w:tcW w:w="453" w:type="dxa"/>
            <w:tcBorders>
              <w:top w:val="single" w:sz="4" w:space="0" w:color="auto"/>
              <w:bottom w:val="single" w:sz="12" w:space="0" w:color="auto"/>
            </w:tcBorders>
            <w:shd w:val="clear" w:color="auto" w:fill="auto"/>
            <w:textDirection w:val="btLr"/>
            <w:vAlign w:val="bottom"/>
          </w:tcPr>
          <w:p w14:paraId="65ACD3CA"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Brazil</w:t>
            </w:r>
          </w:p>
        </w:tc>
        <w:tc>
          <w:tcPr>
            <w:tcW w:w="452" w:type="dxa"/>
            <w:tcBorders>
              <w:top w:val="single" w:sz="4" w:space="0" w:color="auto"/>
              <w:bottom w:val="single" w:sz="12" w:space="0" w:color="auto"/>
            </w:tcBorders>
            <w:shd w:val="clear" w:color="auto" w:fill="auto"/>
            <w:textDirection w:val="btLr"/>
            <w:vAlign w:val="bottom"/>
          </w:tcPr>
          <w:p w14:paraId="3245C89F"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Cambodia</w:t>
            </w:r>
          </w:p>
        </w:tc>
        <w:tc>
          <w:tcPr>
            <w:tcW w:w="453" w:type="dxa"/>
            <w:tcBorders>
              <w:top w:val="single" w:sz="4" w:space="0" w:color="auto"/>
              <w:bottom w:val="single" w:sz="12" w:space="0" w:color="auto"/>
            </w:tcBorders>
            <w:shd w:val="clear" w:color="auto" w:fill="auto"/>
            <w:textDirection w:val="btLr"/>
            <w:vAlign w:val="bottom"/>
          </w:tcPr>
          <w:p w14:paraId="3A2E463E"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Colombia</w:t>
            </w:r>
          </w:p>
        </w:tc>
        <w:tc>
          <w:tcPr>
            <w:tcW w:w="452" w:type="dxa"/>
            <w:tcBorders>
              <w:top w:val="single" w:sz="4" w:space="0" w:color="auto"/>
              <w:bottom w:val="single" w:sz="12" w:space="0" w:color="auto"/>
            </w:tcBorders>
            <w:shd w:val="clear" w:color="auto" w:fill="auto"/>
            <w:textDirection w:val="btLr"/>
            <w:vAlign w:val="bottom"/>
          </w:tcPr>
          <w:p w14:paraId="1C498122"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Cuba</w:t>
            </w:r>
          </w:p>
        </w:tc>
        <w:tc>
          <w:tcPr>
            <w:tcW w:w="453" w:type="dxa"/>
            <w:tcBorders>
              <w:top w:val="single" w:sz="4" w:space="0" w:color="auto"/>
              <w:bottom w:val="single" w:sz="12" w:space="0" w:color="auto"/>
            </w:tcBorders>
            <w:shd w:val="clear" w:color="auto" w:fill="auto"/>
            <w:textDirection w:val="btLr"/>
            <w:vAlign w:val="bottom"/>
          </w:tcPr>
          <w:p w14:paraId="4AEBA934"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Honduras</w:t>
            </w:r>
          </w:p>
        </w:tc>
        <w:tc>
          <w:tcPr>
            <w:tcW w:w="452" w:type="dxa"/>
            <w:tcBorders>
              <w:top w:val="single" w:sz="4" w:space="0" w:color="auto"/>
              <w:bottom w:val="single" w:sz="12" w:space="0" w:color="auto"/>
            </w:tcBorders>
            <w:shd w:val="clear" w:color="auto" w:fill="auto"/>
            <w:textDirection w:val="btLr"/>
            <w:vAlign w:val="bottom"/>
          </w:tcPr>
          <w:p w14:paraId="660CB0C7"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Iraq</w:t>
            </w:r>
          </w:p>
        </w:tc>
        <w:tc>
          <w:tcPr>
            <w:tcW w:w="452" w:type="dxa"/>
            <w:tcBorders>
              <w:top w:val="single" w:sz="4" w:space="0" w:color="auto"/>
              <w:bottom w:val="single" w:sz="12" w:space="0" w:color="auto"/>
            </w:tcBorders>
            <w:shd w:val="clear" w:color="auto" w:fill="auto"/>
            <w:textDirection w:val="btLr"/>
            <w:vAlign w:val="bottom"/>
          </w:tcPr>
          <w:p w14:paraId="0FE6B8C2"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Kazakhstan</w:t>
            </w:r>
          </w:p>
        </w:tc>
        <w:tc>
          <w:tcPr>
            <w:tcW w:w="453" w:type="dxa"/>
            <w:tcBorders>
              <w:top w:val="single" w:sz="4" w:space="0" w:color="auto"/>
              <w:bottom w:val="single" w:sz="12" w:space="0" w:color="auto"/>
            </w:tcBorders>
            <w:shd w:val="clear" w:color="auto" w:fill="auto"/>
            <w:textDirection w:val="btLr"/>
            <w:vAlign w:val="bottom"/>
          </w:tcPr>
          <w:p w14:paraId="214AA4A0"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Lithuania</w:t>
            </w:r>
          </w:p>
        </w:tc>
        <w:tc>
          <w:tcPr>
            <w:tcW w:w="452" w:type="dxa"/>
            <w:tcBorders>
              <w:top w:val="single" w:sz="4" w:space="0" w:color="auto"/>
              <w:bottom w:val="single" w:sz="12" w:space="0" w:color="auto"/>
            </w:tcBorders>
            <w:shd w:val="clear" w:color="auto" w:fill="auto"/>
            <w:textDirection w:val="btLr"/>
            <w:vAlign w:val="bottom"/>
          </w:tcPr>
          <w:p w14:paraId="479A3FCD"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Mauritania</w:t>
            </w:r>
          </w:p>
        </w:tc>
        <w:tc>
          <w:tcPr>
            <w:tcW w:w="453" w:type="dxa"/>
            <w:tcBorders>
              <w:top w:val="single" w:sz="4" w:space="0" w:color="auto"/>
              <w:bottom w:val="single" w:sz="12" w:space="0" w:color="auto"/>
            </w:tcBorders>
            <w:shd w:val="clear" w:color="auto" w:fill="auto"/>
            <w:textDirection w:val="btLr"/>
            <w:vAlign w:val="bottom"/>
          </w:tcPr>
          <w:p w14:paraId="038E85BA"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Mexico</w:t>
            </w:r>
          </w:p>
        </w:tc>
        <w:tc>
          <w:tcPr>
            <w:tcW w:w="452" w:type="dxa"/>
            <w:tcBorders>
              <w:top w:val="single" w:sz="4" w:space="0" w:color="auto"/>
              <w:bottom w:val="single" w:sz="12" w:space="0" w:color="auto"/>
            </w:tcBorders>
            <w:shd w:val="clear" w:color="auto" w:fill="auto"/>
            <w:textDirection w:val="btLr"/>
            <w:vAlign w:val="bottom"/>
          </w:tcPr>
          <w:p w14:paraId="0DACD36A"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Morocco</w:t>
            </w:r>
          </w:p>
        </w:tc>
        <w:tc>
          <w:tcPr>
            <w:tcW w:w="453" w:type="dxa"/>
            <w:tcBorders>
              <w:top w:val="single" w:sz="4" w:space="0" w:color="auto"/>
              <w:bottom w:val="single" w:sz="12" w:space="0" w:color="auto"/>
            </w:tcBorders>
            <w:shd w:val="clear" w:color="auto" w:fill="auto"/>
            <w:textDirection w:val="btLr"/>
            <w:vAlign w:val="bottom"/>
          </w:tcPr>
          <w:p w14:paraId="3A374EBE"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Sri Lanka</w:t>
            </w:r>
          </w:p>
        </w:tc>
        <w:tc>
          <w:tcPr>
            <w:tcW w:w="452" w:type="dxa"/>
            <w:tcBorders>
              <w:top w:val="single" w:sz="4" w:space="0" w:color="auto"/>
              <w:bottom w:val="single" w:sz="12" w:space="0" w:color="auto"/>
            </w:tcBorders>
            <w:shd w:val="clear" w:color="auto" w:fill="auto"/>
            <w:textDirection w:val="btLr"/>
            <w:vAlign w:val="bottom"/>
          </w:tcPr>
          <w:p w14:paraId="76D4A291"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Togo</w:t>
            </w:r>
          </w:p>
        </w:tc>
        <w:tc>
          <w:tcPr>
            <w:tcW w:w="453" w:type="dxa"/>
            <w:tcBorders>
              <w:top w:val="single" w:sz="4" w:space="0" w:color="auto"/>
              <w:bottom w:val="single" w:sz="12" w:space="0" w:color="auto"/>
            </w:tcBorders>
            <w:shd w:val="clear" w:color="auto" w:fill="auto"/>
            <w:textDirection w:val="btLr"/>
            <w:vAlign w:val="bottom"/>
          </w:tcPr>
          <w:p w14:paraId="566D82D2" w14:textId="77777777" w:rsidR="00486A56" w:rsidRPr="001A047D" w:rsidRDefault="00486A56" w:rsidP="00DC6EA4">
            <w:pPr>
              <w:pStyle w:val="SingleTxtG"/>
              <w:spacing w:before="80" w:after="80" w:line="200" w:lineRule="exact"/>
              <w:ind w:left="0" w:right="113"/>
              <w:jc w:val="left"/>
              <w:rPr>
                <w:i/>
                <w:sz w:val="16"/>
                <w:lang w:val="en-CA"/>
              </w:rPr>
            </w:pPr>
            <w:r w:rsidRPr="001A047D">
              <w:rPr>
                <w:i/>
                <w:sz w:val="16"/>
                <w:lang w:val="en-CA"/>
              </w:rPr>
              <w:t>Tunisia</w:t>
            </w:r>
          </w:p>
        </w:tc>
        <w:tc>
          <w:tcPr>
            <w:tcW w:w="557" w:type="dxa"/>
            <w:tcBorders>
              <w:top w:val="single" w:sz="4" w:space="0" w:color="auto"/>
              <w:bottom w:val="single" w:sz="12" w:space="0" w:color="auto"/>
            </w:tcBorders>
            <w:shd w:val="clear" w:color="auto" w:fill="auto"/>
            <w:tcMar>
              <w:right w:w="28" w:type="dxa"/>
            </w:tcMar>
            <w:vAlign w:val="bottom"/>
          </w:tcPr>
          <w:p w14:paraId="42408CBA" w14:textId="77777777" w:rsidR="00486A56" w:rsidRPr="001A047D" w:rsidRDefault="00486A56" w:rsidP="00DC6EA4">
            <w:pPr>
              <w:pStyle w:val="SingleTxtG"/>
              <w:spacing w:before="80" w:after="80" w:line="200" w:lineRule="exact"/>
              <w:ind w:left="0" w:right="113"/>
              <w:jc w:val="right"/>
              <w:rPr>
                <w:i/>
                <w:sz w:val="16"/>
                <w:lang w:val="en-CA"/>
              </w:rPr>
            </w:pPr>
            <w:r w:rsidRPr="001A047D">
              <w:rPr>
                <w:i/>
                <w:sz w:val="16"/>
                <w:lang w:val="en-CA"/>
              </w:rPr>
              <w:t>Total</w:t>
            </w:r>
          </w:p>
        </w:tc>
      </w:tr>
      <w:tr w:rsidR="00486A56" w:rsidRPr="001A047D" w14:paraId="4606302F" w14:textId="77777777" w:rsidTr="00486A56">
        <w:trPr>
          <w:trHeight w:val="240"/>
        </w:trPr>
        <w:tc>
          <w:tcPr>
            <w:tcW w:w="709" w:type="dxa"/>
            <w:tcBorders>
              <w:top w:val="single" w:sz="12" w:space="0" w:color="auto"/>
            </w:tcBorders>
            <w:shd w:val="clear" w:color="auto" w:fill="auto"/>
          </w:tcPr>
          <w:p w14:paraId="25C93EE9" w14:textId="77777777" w:rsidR="00486A56" w:rsidRPr="001A047D" w:rsidRDefault="00486A56" w:rsidP="00DC6EA4">
            <w:pPr>
              <w:pStyle w:val="SingleTxtG"/>
              <w:spacing w:before="40" w:after="40" w:line="220" w:lineRule="exact"/>
              <w:ind w:left="0" w:right="113"/>
              <w:jc w:val="left"/>
              <w:rPr>
                <w:sz w:val="18"/>
                <w:lang w:val="en-CA"/>
              </w:rPr>
            </w:pPr>
            <w:r w:rsidRPr="001A047D">
              <w:rPr>
                <w:sz w:val="18"/>
                <w:lang w:val="en-CA"/>
              </w:rPr>
              <w:t>2012</w:t>
            </w:r>
          </w:p>
        </w:tc>
        <w:tc>
          <w:tcPr>
            <w:tcW w:w="452" w:type="dxa"/>
            <w:tcBorders>
              <w:top w:val="single" w:sz="12" w:space="0" w:color="auto"/>
            </w:tcBorders>
            <w:shd w:val="clear" w:color="auto" w:fill="auto"/>
            <w:tcMar>
              <w:right w:w="28" w:type="dxa"/>
            </w:tcMar>
            <w:vAlign w:val="bottom"/>
          </w:tcPr>
          <w:p w14:paraId="347F41DE"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single" w:sz="12" w:space="0" w:color="auto"/>
            </w:tcBorders>
            <w:shd w:val="clear" w:color="auto" w:fill="auto"/>
            <w:tcMar>
              <w:right w:w="28" w:type="dxa"/>
            </w:tcMar>
            <w:vAlign w:val="bottom"/>
          </w:tcPr>
          <w:p w14:paraId="110EB79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single" w:sz="12" w:space="0" w:color="auto"/>
            </w:tcBorders>
            <w:shd w:val="clear" w:color="auto" w:fill="auto"/>
            <w:tcMar>
              <w:right w:w="28" w:type="dxa"/>
            </w:tcMar>
            <w:vAlign w:val="bottom"/>
          </w:tcPr>
          <w:p w14:paraId="7CA602CE"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single" w:sz="12" w:space="0" w:color="auto"/>
            </w:tcBorders>
            <w:shd w:val="clear" w:color="auto" w:fill="auto"/>
            <w:tcMar>
              <w:right w:w="28" w:type="dxa"/>
            </w:tcMar>
            <w:vAlign w:val="bottom"/>
          </w:tcPr>
          <w:p w14:paraId="07C688B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single" w:sz="12" w:space="0" w:color="auto"/>
            </w:tcBorders>
            <w:shd w:val="clear" w:color="auto" w:fill="auto"/>
            <w:tcMar>
              <w:right w:w="28" w:type="dxa"/>
            </w:tcMar>
            <w:vAlign w:val="bottom"/>
          </w:tcPr>
          <w:p w14:paraId="66774292"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single" w:sz="12" w:space="0" w:color="auto"/>
            </w:tcBorders>
            <w:shd w:val="clear" w:color="auto" w:fill="auto"/>
            <w:tcMar>
              <w:right w:w="28" w:type="dxa"/>
            </w:tcMar>
            <w:vAlign w:val="bottom"/>
          </w:tcPr>
          <w:p w14:paraId="0841CB6F"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single" w:sz="12" w:space="0" w:color="auto"/>
            </w:tcBorders>
            <w:shd w:val="clear" w:color="auto" w:fill="auto"/>
            <w:tcMar>
              <w:right w:w="28" w:type="dxa"/>
            </w:tcMar>
            <w:vAlign w:val="bottom"/>
          </w:tcPr>
          <w:p w14:paraId="5F26267B"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single" w:sz="12" w:space="0" w:color="auto"/>
            </w:tcBorders>
            <w:shd w:val="clear" w:color="auto" w:fill="auto"/>
            <w:tcMar>
              <w:right w:w="28" w:type="dxa"/>
            </w:tcMar>
            <w:vAlign w:val="bottom"/>
          </w:tcPr>
          <w:p w14:paraId="56F2D90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single" w:sz="12" w:space="0" w:color="auto"/>
            </w:tcBorders>
            <w:shd w:val="clear" w:color="auto" w:fill="auto"/>
            <w:tcMar>
              <w:right w:w="28" w:type="dxa"/>
            </w:tcMar>
            <w:vAlign w:val="bottom"/>
          </w:tcPr>
          <w:p w14:paraId="3D7CBB7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single" w:sz="12" w:space="0" w:color="auto"/>
            </w:tcBorders>
            <w:shd w:val="clear" w:color="auto" w:fill="auto"/>
            <w:tcMar>
              <w:right w:w="28" w:type="dxa"/>
            </w:tcMar>
            <w:vAlign w:val="bottom"/>
          </w:tcPr>
          <w:p w14:paraId="7530502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single" w:sz="12" w:space="0" w:color="auto"/>
            </w:tcBorders>
            <w:shd w:val="clear" w:color="auto" w:fill="auto"/>
            <w:tcMar>
              <w:right w:w="28" w:type="dxa"/>
            </w:tcMar>
            <w:vAlign w:val="bottom"/>
          </w:tcPr>
          <w:p w14:paraId="597F70B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single" w:sz="12" w:space="0" w:color="auto"/>
            </w:tcBorders>
            <w:shd w:val="clear" w:color="auto" w:fill="auto"/>
            <w:tcMar>
              <w:right w:w="28" w:type="dxa"/>
            </w:tcMar>
            <w:vAlign w:val="bottom"/>
          </w:tcPr>
          <w:p w14:paraId="0913C4DF"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5</w:t>
            </w:r>
          </w:p>
        </w:tc>
        <w:tc>
          <w:tcPr>
            <w:tcW w:w="452" w:type="dxa"/>
            <w:tcBorders>
              <w:top w:val="single" w:sz="12" w:space="0" w:color="auto"/>
            </w:tcBorders>
            <w:shd w:val="clear" w:color="auto" w:fill="auto"/>
            <w:tcMar>
              <w:right w:w="28" w:type="dxa"/>
            </w:tcMar>
            <w:vAlign w:val="bottom"/>
          </w:tcPr>
          <w:p w14:paraId="56744ED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single" w:sz="12" w:space="0" w:color="auto"/>
            </w:tcBorders>
            <w:shd w:val="clear" w:color="auto" w:fill="auto"/>
            <w:tcMar>
              <w:right w:w="28" w:type="dxa"/>
            </w:tcMar>
            <w:vAlign w:val="bottom"/>
          </w:tcPr>
          <w:p w14:paraId="47007D6B"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single" w:sz="12" w:space="0" w:color="auto"/>
            </w:tcBorders>
            <w:shd w:val="clear" w:color="auto" w:fill="auto"/>
            <w:tcMar>
              <w:right w:w="28" w:type="dxa"/>
            </w:tcMar>
            <w:vAlign w:val="bottom"/>
          </w:tcPr>
          <w:p w14:paraId="78D8555F"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single" w:sz="12" w:space="0" w:color="auto"/>
            </w:tcBorders>
            <w:shd w:val="clear" w:color="auto" w:fill="auto"/>
            <w:tcMar>
              <w:right w:w="28" w:type="dxa"/>
            </w:tcMar>
            <w:vAlign w:val="bottom"/>
          </w:tcPr>
          <w:p w14:paraId="1E50261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557" w:type="dxa"/>
            <w:tcBorders>
              <w:top w:val="single" w:sz="12" w:space="0" w:color="auto"/>
            </w:tcBorders>
            <w:shd w:val="clear" w:color="auto" w:fill="auto"/>
            <w:tcMar>
              <w:right w:w="28" w:type="dxa"/>
            </w:tcMar>
            <w:vAlign w:val="bottom"/>
          </w:tcPr>
          <w:p w14:paraId="03D2B8BF"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5</w:t>
            </w:r>
          </w:p>
        </w:tc>
      </w:tr>
      <w:tr w:rsidR="00486A56" w:rsidRPr="001A047D" w14:paraId="542DF3F3" w14:textId="77777777" w:rsidTr="00486A56">
        <w:trPr>
          <w:trHeight w:val="240"/>
        </w:trPr>
        <w:tc>
          <w:tcPr>
            <w:tcW w:w="709" w:type="dxa"/>
            <w:shd w:val="clear" w:color="auto" w:fill="auto"/>
          </w:tcPr>
          <w:p w14:paraId="767348C6" w14:textId="77777777" w:rsidR="00486A56" w:rsidRPr="001A047D" w:rsidRDefault="00486A56" w:rsidP="00DC6EA4">
            <w:pPr>
              <w:pStyle w:val="SingleTxtG"/>
              <w:spacing w:before="40" w:after="40" w:line="220" w:lineRule="exact"/>
              <w:ind w:left="0" w:right="113"/>
              <w:jc w:val="left"/>
              <w:rPr>
                <w:sz w:val="18"/>
                <w:lang w:val="en-CA"/>
              </w:rPr>
            </w:pPr>
            <w:r w:rsidRPr="001A047D">
              <w:rPr>
                <w:sz w:val="18"/>
                <w:lang w:val="en-CA"/>
              </w:rPr>
              <w:t>2013</w:t>
            </w:r>
          </w:p>
        </w:tc>
        <w:tc>
          <w:tcPr>
            <w:tcW w:w="452" w:type="dxa"/>
            <w:shd w:val="clear" w:color="auto" w:fill="auto"/>
            <w:tcMar>
              <w:right w:w="28" w:type="dxa"/>
            </w:tcMar>
            <w:vAlign w:val="bottom"/>
          </w:tcPr>
          <w:p w14:paraId="3FBBBBA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2019F85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1F57F353"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0C1E7DF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08D312C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2" w:type="dxa"/>
            <w:shd w:val="clear" w:color="auto" w:fill="auto"/>
            <w:tcMar>
              <w:right w:w="28" w:type="dxa"/>
            </w:tcMar>
            <w:vAlign w:val="bottom"/>
          </w:tcPr>
          <w:p w14:paraId="2484DA1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17AEED10"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3D5055EB"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4DFCE9D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7AA2E1C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55BC438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3277100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6</w:t>
            </w:r>
            <w:r w:rsidRPr="00CC3670">
              <w:rPr>
                <w:rStyle w:val="FootnoteReference"/>
                <w:i/>
                <w:lang w:val="en-CA"/>
              </w:rPr>
              <w:t>a</w:t>
            </w:r>
          </w:p>
        </w:tc>
        <w:tc>
          <w:tcPr>
            <w:tcW w:w="452" w:type="dxa"/>
            <w:shd w:val="clear" w:color="auto" w:fill="auto"/>
            <w:tcMar>
              <w:right w:w="28" w:type="dxa"/>
            </w:tcMar>
            <w:vAlign w:val="bottom"/>
          </w:tcPr>
          <w:p w14:paraId="1CAE6D5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6AA4FD5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5698CE6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3F33E5D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557" w:type="dxa"/>
            <w:shd w:val="clear" w:color="auto" w:fill="auto"/>
            <w:tcMar>
              <w:right w:w="28" w:type="dxa"/>
            </w:tcMar>
            <w:vAlign w:val="bottom"/>
          </w:tcPr>
          <w:p w14:paraId="450461EF"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7</w:t>
            </w:r>
          </w:p>
        </w:tc>
      </w:tr>
      <w:tr w:rsidR="00486A56" w:rsidRPr="001A047D" w14:paraId="4236A09D" w14:textId="77777777" w:rsidTr="00486A56">
        <w:trPr>
          <w:trHeight w:val="240"/>
        </w:trPr>
        <w:tc>
          <w:tcPr>
            <w:tcW w:w="709" w:type="dxa"/>
            <w:shd w:val="clear" w:color="auto" w:fill="auto"/>
          </w:tcPr>
          <w:p w14:paraId="01F4A139" w14:textId="77777777" w:rsidR="00486A56" w:rsidRPr="001A047D" w:rsidRDefault="00486A56" w:rsidP="00DC6EA4">
            <w:pPr>
              <w:pStyle w:val="SingleTxtG"/>
              <w:spacing w:before="40" w:after="40" w:line="220" w:lineRule="exact"/>
              <w:ind w:left="0" w:right="113"/>
              <w:jc w:val="left"/>
              <w:rPr>
                <w:sz w:val="18"/>
                <w:lang w:val="en-CA"/>
              </w:rPr>
            </w:pPr>
            <w:r w:rsidRPr="001A047D">
              <w:rPr>
                <w:sz w:val="18"/>
                <w:lang w:val="en-CA"/>
              </w:rPr>
              <w:t>2014</w:t>
            </w:r>
          </w:p>
        </w:tc>
        <w:tc>
          <w:tcPr>
            <w:tcW w:w="452" w:type="dxa"/>
            <w:shd w:val="clear" w:color="auto" w:fill="auto"/>
            <w:tcMar>
              <w:right w:w="28" w:type="dxa"/>
            </w:tcMar>
            <w:vAlign w:val="bottom"/>
          </w:tcPr>
          <w:p w14:paraId="20D9C96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5E10F32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4B4DE60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2" w:type="dxa"/>
            <w:shd w:val="clear" w:color="auto" w:fill="auto"/>
            <w:tcMar>
              <w:right w:w="28" w:type="dxa"/>
            </w:tcMar>
            <w:vAlign w:val="bottom"/>
          </w:tcPr>
          <w:p w14:paraId="067D9A5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3" w:type="dxa"/>
            <w:shd w:val="clear" w:color="auto" w:fill="auto"/>
            <w:tcMar>
              <w:right w:w="28" w:type="dxa"/>
            </w:tcMar>
            <w:vAlign w:val="bottom"/>
          </w:tcPr>
          <w:p w14:paraId="1B96DD9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2" w:type="dxa"/>
            <w:shd w:val="clear" w:color="auto" w:fill="auto"/>
            <w:tcMar>
              <w:right w:w="28" w:type="dxa"/>
            </w:tcMar>
            <w:vAlign w:val="bottom"/>
          </w:tcPr>
          <w:p w14:paraId="05C099FE"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48E0637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401521F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5</w:t>
            </w:r>
          </w:p>
        </w:tc>
        <w:tc>
          <w:tcPr>
            <w:tcW w:w="452" w:type="dxa"/>
            <w:shd w:val="clear" w:color="auto" w:fill="auto"/>
            <w:tcMar>
              <w:right w:w="28" w:type="dxa"/>
            </w:tcMar>
            <w:vAlign w:val="bottom"/>
          </w:tcPr>
          <w:p w14:paraId="05C5C45A"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0F0A513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19DA7E6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6E2F091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43</w:t>
            </w:r>
          </w:p>
        </w:tc>
        <w:tc>
          <w:tcPr>
            <w:tcW w:w="452" w:type="dxa"/>
            <w:shd w:val="clear" w:color="auto" w:fill="auto"/>
            <w:tcMar>
              <w:right w:w="28" w:type="dxa"/>
            </w:tcMar>
            <w:vAlign w:val="bottom"/>
          </w:tcPr>
          <w:p w14:paraId="1D7C4D29"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44A8F25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2065C24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7ADB135A"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557" w:type="dxa"/>
            <w:shd w:val="clear" w:color="auto" w:fill="auto"/>
            <w:tcMar>
              <w:right w:w="28" w:type="dxa"/>
            </w:tcMar>
            <w:vAlign w:val="bottom"/>
          </w:tcPr>
          <w:p w14:paraId="418263A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51</w:t>
            </w:r>
          </w:p>
        </w:tc>
      </w:tr>
      <w:tr w:rsidR="00486A56" w:rsidRPr="001A047D" w14:paraId="76D7BB15" w14:textId="77777777" w:rsidTr="00486A56">
        <w:trPr>
          <w:trHeight w:val="240"/>
        </w:trPr>
        <w:tc>
          <w:tcPr>
            <w:tcW w:w="709" w:type="dxa"/>
            <w:shd w:val="clear" w:color="auto" w:fill="auto"/>
          </w:tcPr>
          <w:p w14:paraId="44BC8CCA" w14:textId="77777777" w:rsidR="00486A56" w:rsidRPr="001A047D" w:rsidRDefault="00486A56" w:rsidP="00DC6EA4">
            <w:pPr>
              <w:pStyle w:val="SingleTxtG"/>
              <w:spacing w:before="40" w:after="40" w:line="220" w:lineRule="exact"/>
              <w:ind w:left="0" w:right="113"/>
              <w:jc w:val="left"/>
              <w:rPr>
                <w:sz w:val="18"/>
                <w:lang w:val="en-CA"/>
              </w:rPr>
            </w:pPr>
            <w:r w:rsidRPr="001A047D">
              <w:rPr>
                <w:sz w:val="18"/>
                <w:lang w:val="en-CA"/>
              </w:rPr>
              <w:t>2015</w:t>
            </w:r>
          </w:p>
        </w:tc>
        <w:tc>
          <w:tcPr>
            <w:tcW w:w="452" w:type="dxa"/>
            <w:shd w:val="clear" w:color="auto" w:fill="auto"/>
            <w:tcMar>
              <w:right w:w="28" w:type="dxa"/>
            </w:tcMar>
            <w:vAlign w:val="bottom"/>
          </w:tcPr>
          <w:p w14:paraId="1071EE7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7DD6E15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3790903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3FF96952"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5E4A325F"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3</w:t>
            </w:r>
          </w:p>
        </w:tc>
        <w:tc>
          <w:tcPr>
            <w:tcW w:w="452" w:type="dxa"/>
            <w:shd w:val="clear" w:color="auto" w:fill="auto"/>
            <w:tcMar>
              <w:right w:w="28" w:type="dxa"/>
            </w:tcMar>
            <w:vAlign w:val="bottom"/>
          </w:tcPr>
          <w:p w14:paraId="5F7B609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1B3496C2"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4A38848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42</w:t>
            </w:r>
          </w:p>
        </w:tc>
        <w:tc>
          <w:tcPr>
            <w:tcW w:w="452" w:type="dxa"/>
            <w:shd w:val="clear" w:color="auto" w:fill="auto"/>
            <w:tcMar>
              <w:right w:w="28" w:type="dxa"/>
            </w:tcMar>
            <w:vAlign w:val="bottom"/>
          </w:tcPr>
          <w:p w14:paraId="7541CED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78A9021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06C2337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633CAFC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165</w:t>
            </w:r>
          </w:p>
        </w:tc>
        <w:tc>
          <w:tcPr>
            <w:tcW w:w="452" w:type="dxa"/>
            <w:shd w:val="clear" w:color="auto" w:fill="auto"/>
            <w:tcMar>
              <w:right w:w="28" w:type="dxa"/>
            </w:tcMar>
            <w:vAlign w:val="bottom"/>
          </w:tcPr>
          <w:p w14:paraId="2A3109F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36580EF0"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shd w:val="clear" w:color="auto" w:fill="auto"/>
            <w:tcMar>
              <w:right w:w="28" w:type="dxa"/>
            </w:tcMar>
            <w:vAlign w:val="bottom"/>
          </w:tcPr>
          <w:p w14:paraId="6B41EE9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shd w:val="clear" w:color="auto" w:fill="auto"/>
            <w:tcMar>
              <w:right w:w="28" w:type="dxa"/>
            </w:tcMar>
            <w:vAlign w:val="bottom"/>
          </w:tcPr>
          <w:p w14:paraId="5B6B1C2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557" w:type="dxa"/>
            <w:shd w:val="clear" w:color="auto" w:fill="auto"/>
            <w:tcMar>
              <w:right w:w="28" w:type="dxa"/>
            </w:tcMar>
            <w:vAlign w:val="bottom"/>
          </w:tcPr>
          <w:p w14:paraId="3723E36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210</w:t>
            </w:r>
          </w:p>
        </w:tc>
      </w:tr>
      <w:tr w:rsidR="00486A56" w:rsidRPr="001A047D" w14:paraId="3529639E" w14:textId="77777777" w:rsidTr="00486A56">
        <w:trPr>
          <w:trHeight w:val="240"/>
        </w:trPr>
        <w:tc>
          <w:tcPr>
            <w:tcW w:w="709" w:type="dxa"/>
            <w:tcBorders>
              <w:bottom w:val="nil"/>
            </w:tcBorders>
            <w:shd w:val="clear" w:color="auto" w:fill="auto"/>
          </w:tcPr>
          <w:p w14:paraId="4D311E92" w14:textId="77777777" w:rsidR="00486A56" w:rsidRPr="001A047D" w:rsidRDefault="00486A56" w:rsidP="00DC6EA4">
            <w:pPr>
              <w:pStyle w:val="SingleTxtG"/>
              <w:spacing w:before="40" w:after="40" w:line="220" w:lineRule="exact"/>
              <w:ind w:left="0" w:right="113"/>
              <w:jc w:val="left"/>
              <w:rPr>
                <w:sz w:val="18"/>
                <w:lang w:val="en-CA"/>
              </w:rPr>
            </w:pPr>
            <w:r w:rsidRPr="001A047D">
              <w:rPr>
                <w:sz w:val="18"/>
                <w:lang w:val="en-CA"/>
              </w:rPr>
              <w:t>2016</w:t>
            </w:r>
          </w:p>
        </w:tc>
        <w:tc>
          <w:tcPr>
            <w:tcW w:w="452" w:type="dxa"/>
            <w:tcBorders>
              <w:bottom w:val="nil"/>
            </w:tcBorders>
            <w:shd w:val="clear" w:color="auto" w:fill="auto"/>
            <w:tcMar>
              <w:right w:w="28" w:type="dxa"/>
            </w:tcMar>
            <w:vAlign w:val="bottom"/>
          </w:tcPr>
          <w:p w14:paraId="706EB050"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bottom w:val="nil"/>
            </w:tcBorders>
            <w:shd w:val="clear" w:color="auto" w:fill="auto"/>
            <w:tcMar>
              <w:right w:w="28" w:type="dxa"/>
            </w:tcMar>
            <w:vAlign w:val="bottom"/>
          </w:tcPr>
          <w:p w14:paraId="616ECEC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bottom w:val="nil"/>
            </w:tcBorders>
            <w:shd w:val="clear" w:color="auto" w:fill="auto"/>
            <w:tcMar>
              <w:right w:w="28" w:type="dxa"/>
            </w:tcMar>
            <w:vAlign w:val="bottom"/>
          </w:tcPr>
          <w:p w14:paraId="72FF3002"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bottom w:val="nil"/>
            </w:tcBorders>
            <w:shd w:val="clear" w:color="auto" w:fill="auto"/>
            <w:tcMar>
              <w:right w:w="28" w:type="dxa"/>
            </w:tcMar>
            <w:vAlign w:val="bottom"/>
          </w:tcPr>
          <w:p w14:paraId="42E1B1C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bottom w:val="nil"/>
            </w:tcBorders>
            <w:shd w:val="clear" w:color="auto" w:fill="auto"/>
            <w:tcMar>
              <w:right w:w="28" w:type="dxa"/>
            </w:tcMar>
            <w:vAlign w:val="bottom"/>
          </w:tcPr>
          <w:p w14:paraId="676D7B8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4</w:t>
            </w:r>
          </w:p>
        </w:tc>
        <w:tc>
          <w:tcPr>
            <w:tcW w:w="452" w:type="dxa"/>
            <w:tcBorders>
              <w:bottom w:val="nil"/>
            </w:tcBorders>
            <w:shd w:val="clear" w:color="auto" w:fill="auto"/>
            <w:tcMar>
              <w:right w:w="28" w:type="dxa"/>
            </w:tcMar>
            <w:vAlign w:val="bottom"/>
          </w:tcPr>
          <w:p w14:paraId="6E29B7C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bottom w:val="nil"/>
            </w:tcBorders>
            <w:shd w:val="clear" w:color="auto" w:fill="auto"/>
            <w:tcMar>
              <w:right w:w="28" w:type="dxa"/>
            </w:tcMar>
            <w:vAlign w:val="bottom"/>
          </w:tcPr>
          <w:p w14:paraId="517C01D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bottom w:val="nil"/>
            </w:tcBorders>
            <w:shd w:val="clear" w:color="auto" w:fill="auto"/>
            <w:tcMar>
              <w:right w:w="28" w:type="dxa"/>
            </w:tcMar>
            <w:vAlign w:val="bottom"/>
          </w:tcPr>
          <w:p w14:paraId="509A42E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22</w:t>
            </w:r>
          </w:p>
        </w:tc>
        <w:tc>
          <w:tcPr>
            <w:tcW w:w="452" w:type="dxa"/>
            <w:tcBorders>
              <w:bottom w:val="nil"/>
            </w:tcBorders>
            <w:shd w:val="clear" w:color="auto" w:fill="auto"/>
            <w:tcMar>
              <w:right w:w="28" w:type="dxa"/>
            </w:tcMar>
            <w:vAlign w:val="bottom"/>
          </w:tcPr>
          <w:p w14:paraId="4904F42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bottom w:val="nil"/>
            </w:tcBorders>
            <w:shd w:val="clear" w:color="auto" w:fill="auto"/>
            <w:tcMar>
              <w:right w:w="28" w:type="dxa"/>
            </w:tcMar>
            <w:vAlign w:val="bottom"/>
          </w:tcPr>
          <w:p w14:paraId="5E1849E6"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bottom w:val="nil"/>
            </w:tcBorders>
            <w:shd w:val="clear" w:color="auto" w:fill="auto"/>
            <w:tcMar>
              <w:right w:w="28" w:type="dxa"/>
            </w:tcMar>
            <w:vAlign w:val="bottom"/>
          </w:tcPr>
          <w:p w14:paraId="64D7D77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bottom w:val="nil"/>
            </w:tcBorders>
            <w:shd w:val="clear" w:color="auto" w:fill="auto"/>
            <w:tcMar>
              <w:right w:w="28" w:type="dxa"/>
            </w:tcMar>
            <w:vAlign w:val="bottom"/>
          </w:tcPr>
          <w:p w14:paraId="4770F08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58</w:t>
            </w:r>
          </w:p>
        </w:tc>
        <w:tc>
          <w:tcPr>
            <w:tcW w:w="452" w:type="dxa"/>
            <w:tcBorders>
              <w:bottom w:val="nil"/>
            </w:tcBorders>
            <w:shd w:val="clear" w:color="auto" w:fill="auto"/>
            <w:tcMar>
              <w:right w:w="28" w:type="dxa"/>
            </w:tcMar>
            <w:vAlign w:val="bottom"/>
          </w:tcPr>
          <w:p w14:paraId="52C93DA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3" w:type="dxa"/>
            <w:tcBorders>
              <w:bottom w:val="nil"/>
            </w:tcBorders>
            <w:shd w:val="clear" w:color="auto" w:fill="auto"/>
            <w:tcMar>
              <w:right w:w="28" w:type="dxa"/>
            </w:tcMar>
            <w:vAlign w:val="bottom"/>
          </w:tcPr>
          <w:p w14:paraId="0D4EB66A"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bottom w:val="nil"/>
            </w:tcBorders>
            <w:shd w:val="clear" w:color="auto" w:fill="auto"/>
            <w:tcMar>
              <w:right w:w="28" w:type="dxa"/>
            </w:tcMar>
            <w:vAlign w:val="bottom"/>
          </w:tcPr>
          <w:p w14:paraId="1FB8C153"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bottom w:val="nil"/>
            </w:tcBorders>
            <w:shd w:val="clear" w:color="auto" w:fill="auto"/>
            <w:tcMar>
              <w:right w:w="28" w:type="dxa"/>
            </w:tcMar>
            <w:vAlign w:val="bottom"/>
          </w:tcPr>
          <w:p w14:paraId="0DDD4534"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557" w:type="dxa"/>
            <w:tcBorders>
              <w:bottom w:val="nil"/>
            </w:tcBorders>
            <w:shd w:val="clear" w:color="auto" w:fill="auto"/>
            <w:tcMar>
              <w:right w:w="28" w:type="dxa"/>
            </w:tcMar>
            <w:vAlign w:val="bottom"/>
          </w:tcPr>
          <w:p w14:paraId="7CB48A4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85</w:t>
            </w:r>
          </w:p>
        </w:tc>
      </w:tr>
      <w:tr w:rsidR="00486A56" w:rsidRPr="001A047D" w14:paraId="2D667AA9" w14:textId="77777777" w:rsidTr="00486A56">
        <w:trPr>
          <w:trHeight w:val="240"/>
        </w:trPr>
        <w:tc>
          <w:tcPr>
            <w:tcW w:w="709" w:type="dxa"/>
            <w:tcBorders>
              <w:top w:val="nil"/>
              <w:bottom w:val="nil"/>
            </w:tcBorders>
            <w:shd w:val="clear" w:color="auto" w:fill="auto"/>
          </w:tcPr>
          <w:p w14:paraId="0FDF6344" w14:textId="77777777" w:rsidR="00486A56" w:rsidRPr="001A047D" w:rsidRDefault="00486A56" w:rsidP="00DC6EA4">
            <w:pPr>
              <w:pStyle w:val="SingleTxtG"/>
              <w:spacing w:before="40" w:after="40" w:line="220" w:lineRule="exact"/>
              <w:ind w:left="0" w:right="113"/>
              <w:jc w:val="left"/>
              <w:rPr>
                <w:sz w:val="18"/>
                <w:lang w:val="en-CA"/>
              </w:rPr>
            </w:pPr>
            <w:r w:rsidRPr="001A047D">
              <w:rPr>
                <w:sz w:val="18"/>
                <w:lang w:val="en-CA"/>
              </w:rPr>
              <w:t>2017</w:t>
            </w:r>
          </w:p>
        </w:tc>
        <w:tc>
          <w:tcPr>
            <w:tcW w:w="452" w:type="dxa"/>
            <w:tcBorders>
              <w:top w:val="nil"/>
              <w:bottom w:val="nil"/>
            </w:tcBorders>
            <w:shd w:val="clear" w:color="auto" w:fill="auto"/>
            <w:tcMar>
              <w:right w:w="28" w:type="dxa"/>
            </w:tcMar>
            <w:vAlign w:val="bottom"/>
          </w:tcPr>
          <w:p w14:paraId="07EFEA6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2</w:t>
            </w:r>
          </w:p>
        </w:tc>
        <w:tc>
          <w:tcPr>
            <w:tcW w:w="452" w:type="dxa"/>
            <w:tcBorders>
              <w:top w:val="nil"/>
              <w:bottom w:val="nil"/>
            </w:tcBorders>
            <w:shd w:val="clear" w:color="auto" w:fill="auto"/>
            <w:tcMar>
              <w:right w:w="28" w:type="dxa"/>
            </w:tcMar>
            <w:vAlign w:val="bottom"/>
          </w:tcPr>
          <w:p w14:paraId="19FFCB22"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3" w:type="dxa"/>
            <w:tcBorders>
              <w:top w:val="nil"/>
              <w:bottom w:val="nil"/>
            </w:tcBorders>
            <w:shd w:val="clear" w:color="auto" w:fill="auto"/>
            <w:tcMar>
              <w:right w:w="28" w:type="dxa"/>
            </w:tcMar>
            <w:vAlign w:val="bottom"/>
          </w:tcPr>
          <w:p w14:paraId="052091C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4D860CA9"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2AA08929"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3</w:t>
            </w:r>
          </w:p>
        </w:tc>
        <w:tc>
          <w:tcPr>
            <w:tcW w:w="452" w:type="dxa"/>
            <w:tcBorders>
              <w:top w:val="nil"/>
              <w:bottom w:val="nil"/>
            </w:tcBorders>
            <w:shd w:val="clear" w:color="auto" w:fill="auto"/>
            <w:tcMar>
              <w:right w:w="28" w:type="dxa"/>
            </w:tcMar>
            <w:vAlign w:val="bottom"/>
          </w:tcPr>
          <w:p w14:paraId="6BBAB49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74AF2F1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637AA563"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43</w:t>
            </w:r>
          </w:p>
        </w:tc>
        <w:tc>
          <w:tcPr>
            <w:tcW w:w="452" w:type="dxa"/>
            <w:tcBorders>
              <w:top w:val="nil"/>
              <w:bottom w:val="nil"/>
            </w:tcBorders>
            <w:shd w:val="clear" w:color="auto" w:fill="auto"/>
            <w:tcMar>
              <w:right w:w="28" w:type="dxa"/>
            </w:tcMar>
            <w:vAlign w:val="bottom"/>
          </w:tcPr>
          <w:p w14:paraId="7327AE96"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2</w:t>
            </w:r>
          </w:p>
        </w:tc>
        <w:tc>
          <w:tcPr>
            <w:tcW w:w="453" w:type="dxa"/>
            <w:tcBorders>
              <w:top w:val="nil"/>
              <w:bottom w:val="nil"/>
            </w:tcBorders>
            <w:shd w:val="clear" w:color="auto" w:fill="auto"/>
            <w:tcMar>
              <w:right w:w="28" w:type="dxa"/>
            </w:tcMar>
            <w:vAlign w:val="bottom"/>
          </w:tcPr>
          <w:p w14:paraId="5461B8B6"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43F800A6"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3" w:type="dxa"/>
            <w:tcBorders>
              <w:top w:val="nil"/>
              <w:bottom w:val="nil"/>
            </w:tcBorders>
            <w:shd w:val="clear" w:color="auto" w:fill="auto"/>
            <w:tcMar>
              <w:right w:w="28" w:type="dxa"/>
            </w:tcMar>
            <w:vAlign w:val="bottom"/>
          </w:tcPr>
          <w:p w14:paraId="1C3DB4A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31</w:t>
            </w:r>
          </w:p>
        </w:tc>
        <w:tc>
          <w:tcPr>
            <w:tcW w:w="452" w:type="dxa"/>
            <w:tcBorders>
              <w:top w:val="nil"/>
              <w:bottom w:val="nil"/>
            </w:tcBorders>
            <w:shd w:val="clear" w:color="auto" w:fill="auto"/>
            <w:tcMar>
              <w:right w:w="28" w:type="dxa"/>
            </w:tcMar>
            <w:vAlign w:val="bottom"/>
          </w:tcPr>
          <w:p w14:paraId="0649188F"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2</w:t>
            </w:r>
          </w:p>
        </w:tc>
        <w:tc>
          <w:tcPr>
            <w:tcW w:w="453" w:type="dxa"/>
            <w:tcBorders>
              <w:top w:val="nil"/>
              <w:bottom w:val="nil"/>
            </w:tcBorders>
            <w:shd w:val="clear" w:color="auto" w:fill="auto"/>
            <w:tcMar>
              <w:right w:w="28" w:type="dxa"/>
            </w:tcMar>
            <w:vAlign w:val="bottom"/>
          </w:tcPr>
          <w:p w14:paraId="3D3FD2E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452" w:type="dxa"/>
            <w:tcBorders>
              <w:top w:val="nil"/>
              <w:bottom w:val="nil"/>
            </w:tcBorders>
            <w:shd w:val="clear" w:color="auto" w:fill="auto"/>
            <w:tcMar>
              <w:right w:w="28" w:type="dxa"/>
            </w:tcMar>
            <w:vAlign w:val="bottom"/>
          </w:tcPr>
          <w:p w14:paraId="548AE78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6FE0BFF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557" w:type="dxa"/>
            <w:tcBorders>
              <w:top w:val="nil"/>
              <w:bottom w:val="nil"/>
            </w:tcBorders>
            <w:shd w:val="clear" w:color="auto" w:fill="auto"/>
            <w:tcMar>
              <w:right w:w="28" w:type="dxa"/>
            </w:tcMar>
            <w:vAlign w:val="bottom"/>
          </w:tcPr>
          <w:p w14:paraId="1C316117"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86</w:t>
            </w:r>
          </w:p>
        </w:tc>
      </w:tr>
      <w:tr w:rsidR="00486A56" w:rsidRPr="001A047D" w14:paraId="4F7FB8EF" w14:textId="77777777" w:rsidTr="00486A56">
        <w:trPr>
          <w:trHeight w:val="240"/>
        </w:trPr>
        <w:tc>
          <w:tcPr>
            <w:tcW w:w="709" w:type="dxa"/>
            <w:tcBorders>
              <w:top w:val="nil"/>
              <w:bottom w:val="nil"/>
            </w:tcBorders>
            <w:shd w:val="clear" w:color="auto" w:fill="auto"/>
          </w:tcPr>
          <w:p w14:paraId="4F7C6DED" w14:textId="77777777" w:rsidR="00486A56" w:rsidRPr="001A047D" w:rsidRDefault="00486A56" w:rsidP="00DC6EA4">
            <w:pPr>
              <w:pStyle w:val="SingleTxtG"/>
              <w:keepNext/>
              <w:keepLines/>
              <w:spacing w:before="40" w:after="40" w:line="220" w:lineRule="exact"/>
              <w:ind w:left="0" w:right="113"/>
              <w:jc w:val="left"/>
              <w:rPr>
                <w:sz w:val="18"/>
                <w:lang w:val="en-CA"/>
              </w:rPr>
            </w:pPr>
            <w:r w:rsidRPr="001A047D">
              <w:rPr>
                <w:sz w:val="18"/>
                <w:lang w:val="en-CA"/>
              </w:rPr>
              <w:t>2018</w:t>
            </w:r>
          </w:p>
        </w:tc>
        <w:tc>
          <w:tcPr>
            <w:tcW w:w="452" w:type="dxa"/>
            <w:tcBorders>
              <w:top w:val="nil"/>
              <w:bottom w:val="nil"/>
            </w:tcBorders>
            <w:shd w:val="clear" w:color="auto" w:fill="auto"/>
            <w:tcMar>
              <w:right w:w="28" w:type="dxa"/>
            </w:tcMar>
            <w:vAlign w:val="bottom"/>
          </w:tcPr>
          <w:p w14:paraId="7391F057"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40BE323E"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5B9A3915"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468CBC2F"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201C43F3"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9</w:t>
            </w:r>
          </w:p>
        </w:tc>
        <w:tc>
          <w:tcPr>
            <w:tcW w:w="452" w:type="dxa"/>
            <w:tcBorders>
              <w:top w:val="nil"/>
              <w:bottom w:val="nil"/>
            </w:tcBorders>
            <w:shd w:val="clear" w:color="auto" w:fill="auto"/>
            <w:tcMar>
              <w:right w:w="28" w:type="dxa"/>
            </w:tcMar>
            <w:vAlign w:val="bottom"/>
          </w:tcPr>
          <w:p w14:paraId="776771D4"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1</w:t>
            </w:r>
          </w:p>
        </w:tc>
        <w:tc>
          <w:tcPr>
            <w:tcW w:w="453" w:type="dxa"/>
            <w:tcBorders>
              <w:top w:val="nil"/>
              <w:bottom w:val="nil"/>
            </w:tcBorders>
            <w:shd w:val="clear" w:color="auto" w:fill="auto"/>
            <w:tcMar>
              <w:right w:w="28" w:type="dxa"/>
            </w:tcMar>
            <w:vAlign w:val="bottom"/>
          </w:tcPr>
          <w:p w14:paraId="5686C6D4"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14</w:t>
            </w:r>
          </w:p>
        </w:tc>
        <w:tc>
          <w:tcPr>
            <w:tcW w:w="452" w:type="dxa"/>
            <w:tcBorders>
              <w:top w:val="nil"/>
              <w:bottom w:val="nil"/>
            </w:tcBorders>
            <w:shd w:val="clear" w:color="auto" w:fill="auto"/>
            <w:tcMar>
              <w:right w:w="28" w:type="dxa"/>
            </w:tcMar>
            <w:vAlign w:val="bottom"/>
          </w:tcPr>
          <w:p w14:paraId="44DEF355"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50</w:t>
            </w:r>
          </w:p>
        </w:tc>
        <w:tc>
          <w:tcPr>
            <w:tcW w:w="452" w:type="dxa"/>
            <w:tcBorders>
              <w:top w:val="nil"/>
              <w:bottom w:val="nil"/>
            </w:tcBorders>
            <w:shd w:val="clear" w:color="auto" w:fill="auto"/>
            <w:tcMar>
              <w:right w:w="28" w:type="dxa"/>
            </w:tcMar>
            <w:vAlign w:val="bottom"/>
          </w:tcPr>
          <w:p w14:paraId="3829E1C4"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39C6E688"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1E86D07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34F73B2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42</w:t>
            </w:r>
          </w:p>
        </w:tc>
        <w:tc>
          <w:tcPr>
            <w:tcW w:w="452" w:type="dxa"/>
            <w:tcBorders>
              <w:top w:val="nil"/>
              <w:bottom w:val="nil"/>
            </w:tcBorders>
            <w:shd w:val="clear" w:color="auto" w:fill="auto"/>
            <w:tcMar>
              <w:right w:w="28" w:type="dxa"/>
            </w:tcMar>
            <w:vAlign w:val="bottom"/>
          </w:tcPr>
          <w:p w14:paraId="0BA4C7D9"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4B93754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7307B78D"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2</w:t>
            </w:r>
          </w:p>
        </w:tc>
        <w:tc>
          <w:tcPr>
            <w:tcW w:w="453" w:type="dxa"/>
            <w:tcBorders>
              <w:top w:val="nil"/>
              <w:bottom w:val="nil"/>
            </w:tcBorders>
            <w:shd w:val="clear" w:color="auto" w:fill="auto"/>
            <w:tcMar>
              <w:right w:w="28" w:type="dxa"/>
            </w:tcMar>
            <w:vAlign w:val="bottom"/>
          </w:tcPr>
          <w:p w14:paraId="0A199F5A"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557" w:type="dxa"/>
            <w:tcBorders>
              <w:top w:val="nil"/>
              <w:bottom w:val="nil"/>
            </w:tcBorders>
            <w:shd w:val="clear" w:color="auto" w:fill="auto"/>
            <w:tcMar>
              <w:right w:w="28" w:type="dxa"/>
            </w:tcMar>
            <w:vAlign w:val="bottom"/>
          </w:tcPr>
          <w:p w14:paraId="1402EE61"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118</w:t>
            </w:r>
          </w:p>
        </w:tc>
      </w:tr>
      <w:tr w:rsidR="00486A56" w:rsidRPr="001A047D" w14:paraId="1355DFBE" w14:textId="77777777" w:rsidTr="00486A56">
        <w:trPr>
          <w:trHeight w:val="240"/>
        </w:trPr>
        <w:tc>
          <w:tcPr>
            <w:tcW w:w="709" w:type="dxa"/>
            <w:tcBorders>
              <w:top w:val="nil"/>
              <w:bottom w:val="nil"/>
            </w:tcBorders>
            <w:shd w:val="clear" w:color="auto" w:fill="auto"/>
          </w:tcPr>
          <w:p w14:paraId="71E67D6A" w14:textId="77777777" w:rsidR="00486A56" w:rsidRPr="001A047D" w:rsidRDefault="00486A56" w:rsidP="00DC6EA4">
            <w:pPr>
              <w:pStyle w:val="SingleTxtG"/>
              <w:keepNext/>
              <w:keepLines/>
              <w:spacing w:before="40" w:after="40" w:line="220" w:lineRule="exact"/>
              <w:ind w:left="0" w:right="113"/>
              <w:jc w:val="left"/>
              <w:rPr>
                <w:sz w:val="18"/>
                <w:lang w:val="en-CA"/>
              </w:rPr>
            </w:pPr>
            <w:r w:rsidRPr="001A047D">
              <w:rPr>
                <w:sz w:val="18"/>
                <w:lang w:val="en-CA"/>
              </w:rPr>
              <w:t>2019</w:t>
            </w:r>
            <w:r w:rsidRPr="00CC3670">
              <w:rPr>
                <w:rStyle w:val="FootnoteReference"/>
                <w:i/>
                <w:lang w:val="en-CA"/>
              </w:rPr>
              <w:t>b</w:t>
            </w:r>
          </w:p>
        </w:tc>
        <w:tc>
          <w:tcPr>
            <w:tcW w:w="452" w:type="dxa"/>
            <w:tcBorders>
              <w:top w:val="nil"/>
              <w:bottom w:val="nil"/>
            </w:tcBorders>
            <w:shd w:val="clear" w:color="auto" w:fill="auto"/>
            <w:tcMar>
              <w:right w:w="28" w:type="dxa"/>
            </w:tcMar>
            <w:vAlign w:val="bottom"/>
          </w:tcPr>
          <w:p w14:paraId="32664E7C"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19DDB202"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6902AABA"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265C7DA9"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1</w:t>
            </w:r>
          </w:p>
        </w:tc>
        <w:tc>
          <w:tcPr>
            <w:tcW w:w="453" w:type="dxa"/>
            <w:tcBorders>
              <w:top w:val="nil"/>
              <w:bottom w:val="nil"/>
            </w:tcBorders>
            <w:shd w:val="clear" w:color="auto" w:fill="auto"/>
            <w:tcMar>
              <w:right w:w="28" w:type="dxa"/>
            </w:tcMar>
            <w:vAlign w:val="bottom"/>
          </w:tcPr>
          <w:p w14:paraId="454D78F0"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1</w:t>
            </w:r>
          </w:p>
        </w:tc>
        <w:tc>
          <w:tcPr>
            <w:tcW w:w="452" w:type="dxa"/>
            <w:tcBorders>
              <w:top w:val="nil"/>
              <w:bottom w:val="nil"/>
            </w:tcBorders>
            <w:shd w:val="clear" w:color="auto" w:fill="auto"/>
            <w:tcMar>
              <w:right w:w="28" w:type="dxa"/>
            </w:tcMar>
            <w:vAlign w:val="bottom"/>
          </w:tcPr>
          <w:p w14:paraId="48256009"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5CE212BC"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51F52867"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209</w:t>
            </w:r>
          </w:p>
        </w:tc>
        <w:tc>
          <w:tcPr>
            <w:tcW w:w="452" w:type="dxa"/>
            <w:tcBorders>
              <w:top w:val="nil"/>
              <w:bottom w:val="nil"/>
            </w:tcBorders>
            <w:shd w:val="clear" w:color="auto" w:fill="auto"/>
            <w:tcMar>
              <w:right w:w="28" w:type="dxa"/>
            </w:tcMar>
            <w:vAlign w:val="bottom"/>
          </w:tcPr>
          <w:p w14:paraId="451BEA22"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5AF1F7B6" w14:textId="77777777" w:rsidR="00486A56" w:rsidRPr="001A047D" w:rsidRDefault="00486A56" w:rsidP="00DC6EA4">
            <w:pPr>
              <w:pStyle w:val="SingleTxtG"/>
              <w:keepNext/>
              <w:keepLines/>
              <w:spacing w:before="40" w:after="40" w:line="220" w:lineRule="exact"/>
              <w:ind w:left="0" w:right="113"/>
              <w:jc w:val="right"/>
              <w:rPr>
                <w:sz w:val="18"/>
                <w:lang w:val="en-CA"/>
              </w:rPr>
            </w:pPr>
            <w:r w:rsidRPr="001A047D">
              <w:rPr>
                <w:sz w:val="18"/>
                <w:lang w:val="en-CA"/>
              </w:rPr>
              <w:t>1</w:t>
            </w:r>
          </w:p>
        </w:tc>
        <w:tc>
          <w:tcPr>
            <w:tcW w:w="452" w:type="dxa"/>
            <w:tcBorders>
              <w:top w:val="nil"/>
              <w:bottom w:val="nil"/>
            </w:tcBorders>
            <w:shd w:val="clear" w:color="auto" w:fill="auto"/>
            <w:tcMar>
              <w:right w:w="28" w:type="dxa"/>
            </w:tcMar>
            <w:vAlign w:val="bottom"/>
          </w:tcPr>
          <w:p w14:paraId="0FB8E766"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4391E535"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7</w:t>
            </w:r>
          </w:p>
        </w:tc>
        <w:tc>
          <w:tcPr>
            <w:tcW w:w="452" w:type="dxa"/>
            <w:tcBorders>
              <w:top w:val="nil"/>
              <w:bottom w:val="nil"/>
            </w:tcBorders>
            <w:shd w:val="clear" w:color="auto" w:fill="auto"/>
            <w:tcMar>
              <w:right w:w="28" w:type="dxa"/>
            </w:tcMar>
            <w:vAlign w:val="bottom"/>
          </w:tcPr>
          <w:p w14:paraId="4F130216"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2743EC0C"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2" w:type="dxa"/>
            <w:tcBorders>
              <w:top w:val="nil"/>
              <w:bottom w:val="nil"/>
            </w:tcBorders>
            <w:shd w:val="clear" w:color="auto" w:fill="auto"/>
            <w:tcMar>
              <w:right w:w="28" w:type="dxa"/>
            </w:tcMar>
            <w:vAlign w:val="bottom"/>
          </w:tcPr>
          <w:p w14:paraId="73C34AF8"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w:t>
            </w:r>
          </w:p>
        </w:tc>
        <w:tc>
          <w:tcPr>
            <w:tcW w:w="453" w:type="dxa"/>
            <w:tcBorders>
              <w:top w:val="nil"/>
              <w:bottom w:val="nil"/>
            </w:tcBorders>
            <w:shd w:val="clear" w:color="auto" w:fill="auto"/>
            <w:tcMar>
              <w:right w:w="28" w:type="dxa"/>
            </w:tcMar>
            <w:vAlign w:val="bottom"/>
          </w:tcPr>
          <w:p w14:paraId="261FF84B"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1</w:t>
            </w:r>
          </w:p>
        </w:tc>
        <w:tc>
          <w:tcPr>
            <w:tcW w:w="557" w:type="dxa"/>
            <w:tcBorders>
              <w:top w:val="nil"/>
              <w:bottom w:val="nil"/>
            </w:tcBorders>
            <w:shd w:val="clear" w:color="auto" w:fill="auto"/>
            <w:tcMar>
              <w:right w:w="28" w:type="dxa"/>
            </w:tcMar>
            <w:vAlign w:val="bottom"/>
          </w:tcPr>
          <w:p w14:paraId="338513D0" w14:textId="77777777" w:rsidR="00486A56" w:rsidRPr="001A047D" w:rsidRDefault="00486A56" w:rsidP="00DC6EA4">
            <w:pPr>
              <w:pStyle w:val="SingleTxtG"/>
              <w:spacing w:before="40" w:after="40" w:line="220" w:lineRule="exact"/>
              <w:ind w:left="0" w:right="113"/>
              <w:jc w:val="right"/>
              <w:rPr>
                <w:sz w:val="18"/>
                <w:lang w:val="en-CA"/>
              </w:rPr>
            </w:pPr>
            <w:r w:rsidRPr="001A047D">
              <w:rPr>
                <w:sz w:val="18"/>
                <w:lang w:val="en-CA"/>
              </w:rPr>
              <w:t>220</w:t>
            </w:r>
          </w:p>
        </w:tc>
      </w:tr>
      <w:tr w:rsidR="00486A56" w:rsidRPr="001A047D" w14:paraId="372BC3CC" w14:textId="77777777" w:rsidTr="00486A56">
        <w:trPr>
          <w:trHeight w:val="240"/>
        </w:trPr>
        <w:tc>
          <w:tcPr>
            <w:tcW w:w="709" w:type="dxa"/>
            <w:tcBorders>
              <w:top w:val="nil"/>
            </w:tcBorders>
            <w:shd w:val="clear" w:color="auto" w:fill="auto"/>
          </w:tcPr>
          <w:p w14:paraId="607532F2" w14:textId="77777777" w:rsidR="00486A56" w:rsidRPr="001A047D" w:rsidRDefault="00486A56" w:rsidP="00DC6EA4">
            <w:pPr>
              <w:pStyle w:val="SingleTxtG"/>
              <w:keepNext/>
              <w:keepLines/>
              <w:spacing w:before="80" w:after="80" w:line="220" w:lineRule="exact"/>
              <w:ind w:left="283" w:right="0"/>
              <w:jc w:val="left"/>
              <w:rPr>
                <w:b/>
                <w:sz w:val="18"/>
                <w:lang w:val="en-CA"/>
              </w:rPr>
            </w:pPr>
            <w:r w:rsidRPr="001A047D">
              <w:rPr>
                <w:b/>
                <w:sz w:val="18"/>
                <w:lang w:val="en-CA"/>
              </w:rPr>
              <w:t>Total</w:t>
            </w:r>
          </w:p>
        </w:tc>
        <w:tc>
          <w:tcPr>
            <w:tcW w:w="452" w:type="dxa"/>
            <w:tcBorders>
              <w:top w:val="nil"/>
            </w:tcBorders>
            <w:shd w:val="clear" w:color="auto" w:fill="auto"/>
            <w:tcMar>
              <w:right w:w="28" w:type="dxa"/>
            </w:tcMar>
            <w:vAlign w:val="bottom"/>
          </w:tcPr>
          <w:p w14:paraId="0B304D3A"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2</w:t>
            </w:r>
          </w:p>
        </w:tc>
        <w:tc>
          <w:tcPr>
            <w:tcW w:w="452" w:type="dxa"/>
            <w:tcBorders>
              <w:top w:val="nil"/>
            </w:tcBorders>
            <w:shd w:val="clear" w:color="auto" w:fill="auto"/>
            <w:tcMar>
              <w:right w:w="28" w:type="dxa"/>
            </w:tcMar>
            <w:vAlign w:val="bottom"/>
          </w:tcPr>
          <w:p w14:paraId="570F5F58"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1</w:t>
            </w:r>
          </w:p>
        </w:tc>
        <w:tc>
          <w:tcPr>
            <w:tcW w:w="453" w:type="dxa"/>
            <w:tcBorders>
              <w:top w:val="nil"/>
            </w:tcBorders>
            <w:shd w:val="clear" w:color="auto" w:fill="auto"/>
            <w:tcMar>
              <w:right w:w="28" w:type="dxa"/>
            </w:tcMar>
            <w:vAlign w:val="bottom"/>
          </w:tcPr>
          <w:p w14:paraId="03C9926E"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1</w:t>
            </w:r>
          </w:p>
        </w:tc>
        <w:tc>
          <w:tcPr>
            <w:tcW w:w="452" w:type="dxa"/>
            <w:tcBorders>
              <w:top w:val="nil"/>
            </w:tcBorders>
            <w:shd w:val="clear" w:color="auto" w:fill="auto"/>
            <w:tcMar>
              <w:right w:w="28" w:type="dxa"/>
            </w:tcMar>
            <w:vAlign w:val="bottom"/>
          </w:tcPr>
          <w:p w14:paraId="6703492B"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2</w:t>
            </w:r>
          </w:p>
        </w:tc>
        <w:tc>
          <w:tcPr>
            <w:tcW w:w="453" w:type="dxa"/>
            <w:tcBorders>
              <w:top w:val="nil"/>
            </w:tcBorders>
            <w:shd w:val="clear" w:color="auto" w:fill="auto"/>
            <w:tcMar>
              <w:right w:w="28" w:type="dxa"/>
            </w:tcMar>
            <w:vAlign w:val="bottom"/>
          </w:tcPr>
          <w:p w14:paraId="041AF434"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22</w:t>
            </w:r>
          </w:p>
        </w:tc>
        <w:tc>
          <w:tcPr>
            <w:tcW w:w="452" w:type="dxa"/>
            <w:tcBorders>
              <w:top w:val="nil"/>
            </w:tcBorders>
            <w:shd w:val="clear" w:color="auto" w:fill="auto"/>
            <w:tcMar>
              <w:right w:w="28" w:type="dxa"/>
            </w:tcMar>
            <w:vAlign w:val="bottom"/>
          </w:tcPr>
          <w:p w14:paraId="191732DA"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1</w:t>
            </w:r>
          </w:p>
        </w:tc>
        <w:tc>
          <w:tcPr>
            <w:tcW w:w="453" w:type="dxa"/>
            <w:tcBorders>
              <w:top w:val="nil"/>
            </w:tcBorders>
            <w:shd w:val="clear" w:color="auto" w:fill="auto"/>
            <w:tcMar>
              <w:right w:w="28" w:type="dxa"/>
            </w:tcMar>
            <w:vAlign w:val="bottom"/>
          </w:tcPr>
          <w:p w14:paraId="2A06A55F"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14</w:t>
            </w:r>
          </w:p>
        </w:tc>
        <w:tc>
          <w:tcPr>
            <w:tcW w:w="452" w:type="dxa"/>
            <w:tcBorders>
              <w:top w:val="nil"/>
            </w:tcBorders>
            <w:shd w:val="clear" w:color="auto" w:fill="auto"/>
            <w:tcMar>
              <w:right w:w="28" w:type="dxa"/>
            </w:tcMar>
            <w:vAlign w:val="bottom"/>
          </w:tcPr>
          <w:p w14:paraId="7789440B"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371</w:t>
            </w:r>
          </w:p>
        </w:tc>
        <w:tc>
          <w:tcPr>
            <w:tcW w:w="452" w:type="dxa"/>
            <w:tcBorders>
              <w:top w:val="nil"/>
            </w:tcBorders>
            <w:shd w:val="clear" w:color="auto" w:fill="auto"/>
            <w:tcMar>
              <w:right w:w="28" w:type="dxa"/>
            </w:tcMar>
            <w:vAlign w:val="bottom"/>
          </w:tcPr>
          <w:p w14:paraId="6804449E"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2</w:t>
            </w:r>
          </w:p>
        </w:tc>
        <w:tc>
          <w:tcPr>
            <w:tcW w:w="453" w:type="dxa"/>
            <w:tcBorders>
              <w:top w:val="nil"/>
            </w:tcBorders>
            <w:shd w:val="clear" w:color="auto" w:fill="auto"/>
            <w:tcMar>
              <w:right w:w="28" w:type="dxa"/>
            </w:tcMar>
            <w:vAlign w:val="bottom"/>
          </w:tcPr>
          <w:p w14:paraId="06C94D86" w14:textId="77777777" w:rsidR="00486A56" w:rsidRPr="001A047D" w:rsidRDefault="00486A56" w:rsidP="00DC6EA4">
            <w:pPr>
              <w:pStyle w:val="SingleTxtG"/>
              <w:keepNext/>
              <w:keepLines/>
              <w:spacing w:before="80" w:after="80" w:line="220" w:lineRule="exact"/>
              <w:ind w:left="0" w:right="113"/>
              <w:jc w:val="right"/>
              <w:rPr>
                <w:b/>
                <w:sz w:val="18"/>
                <w:lang w:val="en-CA"/>
              </w:rPr>
            </w:pPr>
            <w:r w:rsidRPr="001A047D">
              <w:rPr>
                <w:b/>
                <w:sz w:val="18"/>
                <w:lang w:val="en-CA"/>
              </w:rPr>
              <w:t>1</w:t>
            </w:r>
          </w:p>
        </w:tc>
        <w:tc>
          <w:tcPr>
            <w:tcW w:w="452" w:type="dxa"/>
            <w:tcBorders>
              <w:top w:val="nil"/>
            </w:tcBorders>
            <w:shd w:val="clear" w:color="auto" w:fill="auto"/>
            <w:tcMar>
              <w:right w:w="28" w:type="dxa"/>
            </w:tcMar>
            <w:vAlign w:val="bottom"/>
          </w:tcPr>
          <w:p w14:paraId="73AFC546" w14:textId="77777777" w:rsidR="00486A56" w:rsidRPr="001A047D" w:rsidRDefault="00486A56" w:rsidP="00DC6EA4">
            <w:pPr>
              <w:pStyle w:val="SingleTxtG"/>
              <w:spacing w:before="80" w:after="80" w:line="220" w:lineRule="exact"/>
              <w:ind w:left="0" w:right="113"/>
              <w:jc w:val="right"/>
              <w:rPr>
                <w:b/>
                <w:sz w:val="18"/>
                <w:lang w:val="en-CA"/>
              </w:rPr>
            </w:pPr>
            <w:r w:rsidRPr="001A047D">
              <w:rPr>
                <w:b/>
                <w:sz w:val="18"/>
                <w:lang w:val="en-CA"/>
              </w:rPr>
              <w:t>1</w:t>
            </w:r>
          </w:p>
        </w:tc>
        <w:tc>
          <w:tcPr>
            <w:tcW w:w="453" w:type="dxa"/>
            <w:tcBorders>
              <w:top w:val="nil"/>
            </w:tcBorders>
            <w:shd w:val="clear" w:color="auto" w:fill="auto"/>
            <w:tcMar>
              <w:right w:w="28" w:type="dxa"/>
            </w:tcMar>
            <w:vAlign w:val="bottom"/>
          </w:tcPr>
          <w:p w14:paraId="39300617" w14:textId="77777777" w:rsidR="00486A56" w:rsidRPr="001A047D" w:rsidRDefault="00486A56" w:rsidP="00DC6EA4">
            <w:pPr>
              <w:pStyle w:val="SingleTxtG"/>
              <w:spacing w:before="80" w:after="80" w:line="220" w:lineRule="exact"/>
              <w:ind w:left="0" w:right="113"/>
              <w:jc w:val="right"/>
              <w:rPr>
                <w:b/>
                <w:sz w:val="18"/>
                <w:lang w:val="en-CA"/>
              </w:rPr>
            </w:pPr>
            <w:r w:rsidRPr="001A047D">
              <w:rPr>
                <w:b/>
                <w:sz w:val="18"/>
                <w:lang w:val="en-CA"/>
              </w:rPr>
              <w:t>357</w:t>
            </w:r>
          </w:p>
        </w:tc>
        <w:tc>
          <w:tcPr>
            <w:tcW w:w="452" w:type="dxa"/>
            <w:tcBorders>
              <w:top w:val="nil"/>
            </w:tcBorders>
            <w:shd w:val="clear" w:color="auto" w:fill="auto"/>
            <w:tcMar>
              <w:right w:w="28" w:type="dxa"/>
            </w:tcMar>
            <w:vAlign w:val="bottom"/>
          </w:tcPr>
          <w:p w14:paraId="02667D58" w14:textId="77777777" w:rsidR="00486A56" w:rsidRPr="001A047D" w:rsidRDefault="00486A56" w:rsidP="00DC6EA4">
            <w:pPr>
              <w:pStyle w:val="SingleTxtG"/>
              <w:spacing w:before="80" w:after="80" w:line="220" w:lineRule="exact"/>
              <w:ind w:left="0" w:right="113"/>
              <w:jc w:val="right"/>
              <w:rPr>
                <w:b/>
                <w:sz w:val="18"/>
                <w:lang w:val="en-CA"/>
              </w:rPr>
            </w:pPr>
            <w:r w:rsidRPr="001A047D">
              <w:rPr>
                <w:b/>
                <w:sz w:val="18"/>
                <w:lang w:val="en-CA"/>
              </w:rPr>
              <w:t>3</w:t>
            </w:r>
          </w:p>
        </w:tc>
        <w:tc>
          <w:tcPr>
            <w:tcW w:w="453" w:type="dxa"/>
            <w:tcBorders>
              <w:top w:val="nil"/>
            </w:tcBorders>
            <w:shd w:val="clear" w:color="auto" w:fill="auto"/>
            <w:tcMar>
              <w:right w:w="28" w:type="dxa"/>
            </w:tcMar>
            <w:vAlign w:val="bottom"/>
          </w:tcPr>
          <w:p w14:paraId="30E35C68" w14:textId="77777777" w:rsidR="00486A56" w:rsidRPr="001A047D" w:rsidRDefault="00486A56" w:rsidP="00DC6EA4">
            <w:pPr>
              <w:pStyle w:val="SingleTxtG"/>
              <w:spacing w:before="80" w:after="80" w:line="220" w:lineRule="exact"/>
              <w:ind w:left="0" w:right="113"/>
              <w:jc w:val="right"/>
              <w:rPr>
                <w:b/>
                <w:sz w:val="18"/>
                <w:lang w:val="en-CA"/>
              </w:rPr>
            </w:pPr>
            <w:r w:rsidRPr="001A047D">
              <w:rPr>
                <w:b/>
                <w:sz w:val="18"/>
                <w:lang w:val="en-CA"/>
              </w:rPr>
              <w:t>1</w:t>
            </w:r>
          </w:p>
        </w:tc>
        <w:tc>
          <w:tcPr>
            <w:tcW w:w="452" w:type="dxa"/>
            <w:tcBorders>
              <w:top w:val="nil"/>
            </w:tcBorders>
            <w:shd w:val="clear" w:color="auto" w:fill="auto"/>
            <w:tcMar>
              <w:right w:w="28" w:type="dxa"/>
            </w:tcMar>
            <w:vAlign w:val="bottom"/>
          </w:tcPr>
          <w:p w14:paraId="1D5CC78B" w14:textId="77777777" w:rsidR="00486A56" w:rsidRPr="001A047D" w:rsidRDefault="00486A56" w:rsidP="00DC6EA4">
            <w:pPr>
              <w:pStyle w:val="SingleTxtG"/>
              <w:spacing w:before="80" w:after="80" w:line="220" w:lineRule="exact"/>
              <w:ind w:left="0" w:right="113"/>
              <w:jc w:val="right"/>
              <w:rPr>
                <w:b/>
                <w:sz w:val="18"/>
                <w:lang w:val="en-CA"/>
              </w:rPr>
            </w:pPr>
            <w:r w:rsidRPr="001A047D">
              <w:rPr>
                <w:b/>
                <w:sz w:val="18"/>
                <w:lang w:val="en-CA"/>
              </w:rPr>
              <w:t>2</w:t>
            </w:r>
          </w:p>
        </w:tc>
        <w:tc>
          <w:tcPr>
            <w:tcW w:w="453" w:type="dxa"/>
            <w:tcBorders>
              <w:top w:val="nil"/>
            </w:tcBorders>
            <w:shd w:val="clear" w:color="auto" w:fill="auto"/>
            <w:tcMar>
              <w:right w:w="28" w:type="dxa"/>
            </w:tcMar>
            <w:vAlign w:val="bottom"/>
          </w:tcPr>
          <w:p w14:paraId="0B5FEE19" w14:textId="77777777" w:rsidR="00486A56" w:rsidRPr="001A047D" w:rsidRDefault="00486A56" w:rsidP="00DC6EA4">
            <w:pPr>
              <w:pStyle w:val="SingleTxtG"/>
              <w:spacing w:before="80" w:after="80" w:line="220" w:lineRule="exact"/>
              <w:ind w:left="0" w:right="113"/>
              <w:jc w:val="right"/>
              <w:rPr>
                <w:b/>
                <w:sz w:val="18"/>
                <w:lang w:val="en-CA"/>
              </w:rPr>
            </w:pPr>
            <w:r w:rsidRPr="001A047D">
              <w:rPr>
                <w:b/>
                <w:sz w:val="18"/>
                <w:lang w:val="en-CA"/>
              </w:rPr>
              <w:t>1</w:t>
            </w:r>
          </w:p>
        </w:tc>
        <w:tc>
          <w:tcPr>
            <w:tcW w:w="557" w:type="dxa"/>
            <w:tcBorders>
              <w:top w:val="nil"/>
            </w:tcBorders>
            <w:shd w:val="clear" w:color="auto" w:fill="auto"/>
            <w:tcMar>
              <w:right w:w="28" w:type="dxa"/>
            </w:tcMar>
            <w:vAlign w:val="bottom"/>
          </w:tcPr>
          <w:p w14:paraId="7A3DFD4F" w14:textId="77777777" w:rsidR="00486A56" w:rsidRPr="001A047D" w:rsidRDefault="00486A56" w:rsidP="00DC6EA4">
            <w:pPr>
              <w:pStyle w:val="SingleTxtG"/>
              <w:spacing w:before="80" w:after="80" w:line="220" w:lineRule="exact"/>
              <w:ind w:left="0" w:right="113"/>
              <w:jc w:val="right"/>
              <w:rPr>
                <w:b/>
                <w:sz w:val="18"/>
                <w:lang w:val="en-CA"/>
              </w:rPr>
            </w:pPr>
            <w:r w:rsidRPr="001A047D">
              <w:rPr>
                <w:b/>
                <w:sz w:val="18"/>
                <w:lang w:val="en-CA"/>
              </w:rPr>
              <w:t>782</w:t>
            </w:r>
          </w:p>
        </w:tc>
      </w:tr>
    </w:tbl>
    <w:p w14:paraId="25034BF1" w14:textId="77777777" w:rsidR="00DC6EA4" w:rsidRPr="001A047D" w:rsidRDefault="00DC6EA4" w:rsidP="00DC6EA4">
      <w:pPr>
        <w:pStyle w:val="SingleTxtG"/>
        <w:spacing w:before="120" w:after="0"/>
        <w:ind w:firstLine="170"/>
        <w:jc w:val="left"/>
        <w:rPr>
          <w:lang w:val="en-CA"/>
        </w:rPr>
      </w:pPr>
      <w:r w:rsidRPr="001A047D">
        <w:rPr>
          <w:i/>
          <w:iCs/>
          <w:sz w:val="18"/>
          <w:vertAlign w:val="superscript"/>
          <w:lang w:val="en-CA" w:eastAsia="en-US"/>
        </w:rPr>
        <w:t>a</w:t>
      </w:r>
      <w:r w:rsidRPr="001A047D">
        <w:rPr>
          <w:sz w:val="18"/>
          <w:lang w:val="en-CA" w:eastAsia="en-US"/>
        </w:rPr>
        <w:t xml:space="preserve">  Urgent action No. 9/2013 refers to two persons. It is therefore counted as two urgent actions.</w:t>
      </w:r>
    </w:p>
    <w:p w14:paraId="0A85266F" w14:textId="77777777" w:rsidR="00DC6EA4" w:rsidRPr="001A047D" w:rsidRDefault="00DC6EA4" w:rsidP="00DC6EA4">
      <w:pPr>
        <w:spacing w:before="120"/>
        <w:ind w:left="1134" w:right="1134" w:firstLine="170"/>
        <w:rPr>
          <w:sz w:val="18"/>
          <w:lang w:val="en-CA"/>
        </w:rPr>
      </w:pPr>
      <w:r w:rsidRPr="001A047D">
        <w:rPr>
          <w:i/>
          <w:iCs/>
          <w:sz w:val="18"/>
          <w:vertAlign w:val="superscript"/>
          <w:lang w:val="en-CA"/>
        </w:rPr>
        <w:t>b</w:t>
      </w:r>
      <w:r w:rsidRPr="001A047D">
        <w:rPr>
          <w:sz w:val="18"/>
          <w:lang w:val="en-CA"/>
        </w:rPr>
        <w:t xml:space="preserve">  As at 30 September 2019.</w:t>
      </w:r>
    </w:p>
    <w:p w14:paraId="3120278C" w14:textId="77777777" w:rsidR="00DC6EA4" w:rsidRPr="001A047D" w:rsidRDefault="00DC6EA4" w:rsidP="00DC6EA4">
      <w:pPr>
        <w:pStyle w:val="H1G"/>
        <w:rPr>
          <w:lang w:val="en-CA"/>
        </w:rPr>
      </w:pPr>
      <w:r w:rsidRPr="001A047D">
        <w:rPr>
          <w:lang w:val="en-CA"/>
        </w:rPr>
        <w:tab/>
      </w:r>
      <w:bookmarkStart w:id="122" w:name="_Toc522200473"/>
      <w:bookmarkStart w:id="123" w:name="_Toc43905484"/>
      <w:bookmarkStart w:id="124" w:name="_Toc43906565"/>
      <w:bookmarkStart w:id="125" w:name="_Toc43996436"/>
      <w:r w:rsidRPr="001A047D">
        <w:rPr>
          <w:lang w:val="en-CA"/>
        </w:rPr>
        <w:t>B.</w:t>
      </w:r>
      <w:r w:rsidRPr="001A047D">
        <w:rPr>
          <w:lang w:val="en-CA"/>
        </w:rPr>
        <w:tab/>
        <w:t>Process after registration of urgent action requests: developments observed since the sixteenth session (to 30 September 2019)</w:t>
      </w:r>
      <w:bookmarkEnd w:id="122"/>
      <w:bookmarkEnd w:id="123"/>
      <w:bookmarkEnd w:id="124"/>
      <w:bookmarkEnd w:id="125"/>
    </w:p>
    <w:p w14:paraId="3999FAAE" w14:textId="77777777" w:rsidR="00DC6EA4" w:rsidRPr="001A047D" w:rsidRDefault="00DC6EA4" w:rsidP="00DC6EA4">
      <w:pPr>
        <w:pStyle w:val="SingleTxtG"/>
        <w:rPr>
          <w:lang w:val="en-CA"/>
        </w:rPr>
      </w:pPr>
      <w:r w:rsidRPr="001A047D">
        <w:rPr>
          <w:lang w:val="en-CA"/>
        </w:rPr>
        <w:t>42.</w:t>
      </w:r>
      <w:r w:rsidRPr="001A047D">
        <w:rPr>
          <w:lang w:val="en-CA"/>
        </w:rPr>
        <w:tab/>
        <w:t>The Committee maintains constant contact with States parties through their permanent missions and with the authors of requests for urgent action through notes, letters, meetings and telephone calls.</w:t>
      </w:r>
    </w:p>
    <w:p w14:paraId="6332B05D" w14:textId="311674C4" w:rsidR="00DC6EA4" w:rsidRPr="001A047D" w:rsidRDefault="00DC6EA4" w:rsidP="00DC6EA4">
      <w:pPr>
        <w:pStyle w:val="SingleTxtG"/>
        <w:rPr>
          <w:lang w:val="en-CA"/>
        </w:rPr>
      </w:pPr>
      <w:r w:rsidRPr="001A047D">
        <w:rPr>
          <w:lang w:val="en-CA"/>
        </w:rPr>
        <w:t>43.</w:t>
      </w:r>
      <w:r w:rsidRPr="001A047D">
        <w:rPr>
          <w:lang w:val="en-CA"/>
        </w:rPr>
        <w:tab/>
        <w:t>The information provided since the sixteenth session in the context of the urgent action procedure confirms a number of the trends identified in the reports on requests for urgent action adopted at the eleventh to sixteenth sessions (</w:t>
      </w:r>
      <w:hyperlink r:id="rId47" w:history="1">
        <w:r w:rsidRPr="001A047D">
          <w:rPr>
            <w:rStyle w:val="Hyperlink"/>
            <w:lang w:val="en-CA"/>
          </w:rPr>
          <w:t>CED/C/11/3</w:t>
        </w:r>
      </w:hyperlink>
      <w:r w:rsidRPr="001A047D">
        <w:rPr>
          <w:lang w:val="en-CA"/>
        </w:rPr>
        <w:t xml:space="preserve">, </w:t>
      </w:r>
      <w:hyperlink r:id="rId48" w:history="1">
        <w:r w:rsidRPr="001A047D">
          <w:rPr>
            <w:rStyle w:val="Hyperlink"/>
            <w:lang w:val="en-CA"/>
          </w:rPr>
          <w:t>CED/C/12/2</w:t>
        </w:r>
      </w:hyperlink>
      <w:r w:rsidRPr="001A047D">
        <w:rPr>
          <w:lang w:val="en-CA"/>
        </w:rPr>
        <w:t xml:space="preserve">, </w:t>
      </w:r>
      <w:hyperlink r:id="rId49" w:history="1">
        <w:r w:rsidRPr="001A047D">
          <w:rPr>
            <w:rStyle w:val="Hyperlink"/>
            <w:lang w:val="en-CA"/>
          </w:rPr>
          <w:t>CED/C/13/3</w:t>
        </w:r>
      </w:hyperlink>
      <w:r w:rsidRPr="001A047D">
        <w:rPr>
          <w:lang w:val="en-CA"/>
        </w:rPr>
        <w:t xml:space="preserve">, </w:t>
      </w:r>
      <w:hyperlink r:id="rId50" w:history="1">
        <w:r w:rsidRPr="001A047D">
          <w:rPr>
            <w:rStyle w:val="Hyperlink"/>
            <w:lang w:val="en-CA"/>
          </w:rPr>
          <w:t>CED/C/14/2</w:t>
        </w:r>
      </w:hyperlink>
      <w:r w:rsidRPr="001A047D">
        <w:rPr>
          <w:lang w:val="en-CA"/>
        </w:rPr>
        <w:t xml:space="preserve">, </w:t>
      </w:r>
      <w:hyperlink r:id="rId51" w:history="1">
        <w:r w:rsidRPr="001A047D">
          <w:rPr>
            <w:rStyle w:val="Hyperlink"/>
            <w:lang w:val="en-CA"/>
          </w:rPr>
          <w:t>CED/C/15/3</w:t>
        </w:r>
      </w:hyperlink>
      <w:r w:rsidRPr="001A047D">
        <w:rPr>
          <w:lang w:val="en-CA"/>
        </w:rPr>
        <w:t xml:space="preserve"> and</w:t>
      </w:r>
      <w:r w:rsidR="00E21FC5" w:rsidRPr="001A047D">
        <w:rPr>
          <w:lang w:val="en-CA"/>
        </w:rPr>
        <w:t xml:space="preserve"> </w:t>
      </w:r>
      <w:hyperlink r:id="rId52" w:history="1">
        <w:r w:rsidRPr="001A047D">
          <w:rPr>
            <w:rStyle w:val="Hyperlink"/>
            <w:lang w:val="en-CA"/>
          </w:rPr>
          <w:t>CED/C/16/2</w:t>
        </w:r>
      </w:hyperlink>
      <w:r w:rsidRPr="001A047D">
        <w:rPr>
          <w:lang w:val="en-CA"/>
        </w:rPr>
        <w:t>). Again, most of the cases with regard to which urgent action requests have been registered relate to events in Mexico and Iraq. For the period covered by the present report, the Committee wishes to highlight the following trends relating to the States parties concerned.</w:t>
      </w:r>
    </w:p>
    <w:p w14:paraId="2AA4C0BE" w14:textId="77777777" w:rsidR="00DC6EA4" w:rsidRPr="001A047D" w:rsidRDefault="00DC6EA4" w:rsidP="00DC6EA4">
      <w:pPr>
        <w:pStyle w:val="H23G"/>
        <w:rPr>
          <w:lang w:val="en-CA"/>
        </w:rPr>
      </w:pPr>
      <w:r w:rsidRPr="001A047D">
        <w:rPr>
          <w:lang w:val="en-CA"/>
        </w:rPr>
        <w:lastRenderedPageBreak/>
        <w:tab/>
      </w:r>
      <w:bookmarkStart w:id="126" w:name="_Toc43905485"/>
      <w:bookmarkStart w:id="127" w:name="_Toc43906566"/>
      <w:bookmarkStart w:id="128" w:name="_Toc43996437"/>
      <w:r w:rsidRPr="001A047D">
        <w:rPr>
          <w:lang w:val="en-CA"/>
        </w:rPr>
        <w:t>1.</w:t>
      </w:r>
      <w:r w:rsidRPr="001A047D">
        <w:rPr>
          <w:lang w:val="en-CA"/>
        </w:rPr>
        <w:tab/>
        <w:t>Developments relating to Mexico and Iraq</w:t>
      </w:r>
      <w:bookmarkEnd w:id="126"/>
      <w:bookmarkEnd w:id="127"/>
      <w:bookmarkEnd w:id="128"/>
    </w:p>
    <w:p w14:paraId="0D831484" w14:textId="77777777" w:rsidR="00DC6EA4" w:rsidRPr="001A047D" w:rsidRDefault="00DC6EA4" w:rsidP="00DC6EA4">
      <w:pPr>
        <w:pStyle w:val="H23G"/>
        <w:rPr>
          <w:lang w:val="en-CA"/>
        </w:rPr>
      </w:pPr>
      <w:r w:rsidRPr="001A047D">
        <w:rPr>
          <w:lang w:val="en-CA"/>
        </w:rPr>
        <w:tab/>
      </w:r>
      <w:bookmarkStart w:id="129" w:name="_Toc43905486"/>
      <w:bookmarkStart w:id="130" w:name="_Toc43906567"/>
      <w:bookmarkStart w:id="131" w:name="_Toc43996438"/>
      <w:r w:rsidRPr="001A047D">
        <w:rPr>
          <w:lang w:val="en-CA"/>
        </w:rPr>
        <w:t>(a)</w:t>
      </w:r>
      <w:r w:rsidRPr="001A047D">
        <w:rPr>
          <w:lang w:val="en-CA"/>
        </w:rPr>
        <w:tab/>
        <w:t>Mexico</w:t>
      </w:r>
      <w:bookmarkEnd w:id="129"/>
      <w:bookmarkEnd w:id="130"/>
      <w:bookmarkEnd w:id="131"/>
    </w:p>
    <w:p w14:paraId="78B6B71C" w14:textId="77777777" w:rsidR="00DC6EA4" w:rsidRPr="001A047D" w:rsidRDefault="00DC6EA4" w:rsidP="00DC6EA4">
      <w:pPr>
        <w:pStyle w:val="SingleTxtG"/>
        <w:rPr>
          <w:lang w:val="en-CA"/>
        </w:rPr>
      </w:pPr>
      <w:r w:rsidRPr="001A047D">
        <w:rPr>
          <w:lang w:val="en-CA"/>
        </w:rPr>
        <w:t>44.</w:t>
      </w:r>
      <w:r w:rsidRPr="001A047D">
        <w:rPr>
          <w:lang w:val="en-CA"/>
        </w:rPr>
        <w:tab/>
        <w:t>The State party has responded to all the recently registered requests for urgent action. With regard to follow-up notes, however, its response times are becoming longer: less and less information is being provided, and the replies often show that the search and investigation processes in relation to the disappeared persons have come to a standstill.</w:t>
      </w:r>
    </w:p>
    <w:p w14:paraId="149B9EFE" w14:textId="77777777" w:rsidR="00DC6EA4" w:rsidRPr="001A047D" w:rsidRDefault="00DC6EA4" w:rsidP="00DC6EA4">
      <w:pPr>
        <w:pStyle w:val="SingleTxtG"/>
        <w:rPr>
          <w:lang w:val="en-CA"/>
        </w:rPr>
      </w:pPr>
      <w:r w:rsidRPr="001A047D">
        <w:rPr>
          <w:lang w:val="en-CA"/>
        </w:rPr>
        <w:t>45.</w:t>
      </w:r>
      <w:r w:rsidRPr="001A047D">
        <w:rPr>
          <w:lang w:val="en-CA"/>
        </w:rPr>
        <w:tab/>
        <w:t>The information provided by the State party continues to reflect sporadic, isolated and largely formalistic action that does not seem to be part of a previously defined strategy for search and investigation. Steps taken by family members, close contacts or representatives of the disappeared persons are still crucial to ensuring that searches and investigations move forward.</w:t>
      </w:r>
    </w:p>
    <w:p w14:paraId="312F2674" w14:textId="77777777" w:rsidR="00DC6EA4" w:rsidRPr="001A047D" w:rsidRDefault="00DC6EA4" w:rsidP="00DC6EA4">
      <w:pPr>
        <w:pStyle w:val="SingleTxtG"/>
        <w:rPr>
          <w:lang w:val="en-CA"/>
        </w:rPr>
      </w:pPr>
      <w:r w:rsidRPr="001A047D">
        <w:rPr>
          <w:lang w:val="en-CA"/>
        </w:rPr>
        <w:t>46.</w:t>
      </w:r>
      <w:r w:rsidRPr="001A047D">
        <w:rPr>
          <w:lang w:val="en-CA"/>
        </w:rPr>
        <w:tab/>
        <w:t>In the vast majority of cases, the authors of requests for urgent action are exasperated by the failure to conduct searches and investigations with due diligence. They find it regrettable that there are no on-site investigations or comprehensive analyses of the available evidence or of the information that they provide to the authorities responsible for searches and investigations.</w:t>
      </w:r>
    </w:p>
    <w:p w14:paraId="78E3021C" w14:textId="77777777" w:rsidR="00DC6EA4" w:rsidRPr="001A047D" w:rsidRDefault="00DC6EA4" w:rsidP="00DC6EA4">
      <w:pPr>
        <w:pStyle w:val="SingleTxtG"/>
        <w:rPr>
          <w:lang w:val="en-CA"/>
        </w:rPr>
      </w:pPr>
      <w:r w:rsidRPr="001A047D">
        <w:rPr>
          <w:lang w:val="en-CA"/>
        </w:rPr>
        <w:t>47.</w:t>
      </w:r>
      <w:r w:rsidRPr="001A047D">
        <w:rPr>
          <w:lang w:val="en-CA"/>
        </w:rPr>
        <w:tab/>
        <w:t>Authors continue to make frequent allegations that those authorities are directly or indirectly involved in the events surrounding the disappearances, and that search and investigation efforts have come to a halt. In such cases, the Committee has emphasized the importance of establishing mechanisms for holding State officials in charge of searches and investigations to account, and has requested the State party to investigate allegations that such officials have hindered proceedings.</w:t>
      </w:r>
    </w:p>
    <w:p w14:paraId="37D4E16F" w14:textId="11FDEC94" w:rsidR="00DC6EA4" w:rsidRPr="001A047D" w:rsidRDefault="00DC6EA4" w:rsidP="00DC6EA4">
      <w:pPr>
        <w:pStyle w:val="SingleTxtG"/>
        <w:rPr>
          <w:lang w:val="en-CA"/>
        </w:rPr>
      </w:pPr>
      <w:r w:rsidRPr="001A047D">
        <w:rPr>
          <w:lang w:val="en-CA"/>
        </w:rPr>
        <w:t>48.</w:t>
      </w:r>
      <w:r w:rsidRPr="001A047D">
        <w:rPr>
          <w:lang w:val="en-CA"/>
        </w:rPr>
        <w:tab/>
        <w:t>The Committee wishes to emphasize its concern over reports that relatives of disappeared persons have been targeted by threats and intimidation when they have pressed for the investigation of the facts surrounding the enforced disappearance of their family members. These threats take various forms, including death threats, patrols around the relatives</w:t>
      </w:r>
      <w:r w:rsidR="00E21FC5" w:rsidRPr="001A047D">
        <w:rPr>
          <w:lang w:val="en-CA"/>
        </w:rPr>
        <w:t>’</w:t>
      </w:r>
      <w:r w:rsidRPr="001A047D">
        <w:rPr>
          <w:lang w:val="en-CA"/>
        </w:rPr>
        <w:t xml:space="preserve"> homes and procedural decisions that affect the protection afforded to the persons concerned (for example, the lifting of a measure to protect the identity of a key witness in the investigation by transferring the case file to the Guerrero State Prosecutor</w:t>
      </w:r>
      <w:r w:rsidR="00E21FC5" w:rsidRPr="001A047D">
        <w:rPr>
          <w:lang w:val="en-CA"/>
        </w:rPr>
        <w:t>’</w:t>
      </w:r>
      <w:r w:rsidRPr="001A047D">
        <w:rPr>
          <w:lang w:val="en-CA"/>
        </w:rPr>
        <w:t>s Office). In such cases, the Committee again requests the State party to take the following interim measures: (a) the measures necessary to preserve the life and safety of the persons concerned; and (b) those necessary to ensure that a person can carry out a search for a missing family member without being subjected to violence or harassment. The Committee also requests the State party to take more specific measures whenever necessary (for example, to ensure that the identity of a person is kept confidential despite the transfer of the case file).</w:t>
      </w:r>
    </w:p>
    <w:p w14:paraId="7CD94380" w14:textId="77777777" w:rsidR="00DC6EA4" w:rsidRPr="001A047D" w:rsidRDefault="00DC6EA4" w:rsidP="00DC6EA4">
      <w:pPr>
        <w:pStyle w:val="H23G"/>
        <w:rPr>
          <w:lang w:val="en-CA"/>
        </w:rPr>
      </w:pPr>
      <w:r w:rsidRPr="001A047D">
        <w:rPr>
          <w:lang w:val="en-CA"/>
        </w:rPr>
        <w:tab/>
      </w:r>
      <w:bookmarkStart w:id="132" w:name="_Toc43905487"/>
      <w:bookmarkStart w:id="133" w:name="_Toc43906568"/>
      <w:bookmarkStart w:id="134" w:name="_Toc43996439"/>
      <w:r w:rsidRPr="001A047D">
        <w:rPr>
          <w:lang w:val="en-CA"/>
        </w:rPr>
        <w:t>(b)</w:t>
      </w:r>
      <w:r w:rsidRPr="001A047D">
        <w:rPr>
          <w:lang w:val="en-CA"/>
        </w:rPr>
        <w:tab/>
        <w:t>Iraq</w:t>
      </w:r>
      <w:bookmarkEnd w:id="132"/>
      <w:bookmarkEnd w:id="133"/>
      <w:bookmarkEnd w:id="134"/>
    </w:p>
    <w:p w14:paraId="35FF8015" w14:textId="517431AB" w:rsidR="00DC6EA4" w:rsidRPr="001A047D" w:rsidRDefault="00DC6EA4" w:rsidP="00DC6EA4">
      <w:pPr>
        <w:pStyle w:val="SingleTxtG"/>
        <w:rPr>
          <w:lang w:val="en-CA"/>
        </w:rPr>
      </w:pPr>
      <w:r w:rsidRPr="001A047D">
        <w:rPr>
          <w:lang w:val="en-CA"/>
        </w:rPr>
        <w:t>49.</w:t>
      </w:r>
      <w:r w:rsidRPr="001A047D">
        <w:rPr>
          <w:lang w:val="en-CA"/>
        </w:rPr>
        <w:tab/>
        <w:t>The Committee is deeply concerned by the failure of the State party, despite several reminders, to reply to the majority of the registered requests for urgent action concerning incidents that took place in its territory. Four reminders, which have gone unanswered, were sent for 53 of the registered requests for urgent action. Where replies have been received, the State party has provided no information whatsoever on any action that it has taken to search for the disappeared persons or to investigate their alleged enforced disappearance. Nor have the procedures available to victims been made clear, and the information provided by the relatives of disappeared persons continues to confirm that, in general, they must endure ill-treatment at the hands of State authorities when they ask for information or support in connection with searches for disappeared persons or investigations into their alleged enforced disappearance. The Committee brings to the attention of the General Assembly the State party</w:t>
      </w:r>
      <w:r w:rsidR="00E21FC5" w:rsidRPr="001A047D">
        <w:rPr>
          <w:lang w:val="en-CA"/>
        </w:rPr>
        <w:t>’</w:t>
      </w:r>
      <w:r w:rsidRPr="001A047D">
        <w:rPr>
          <w:lang w:val="en-CA"/>
        </w:rPr>
        <w:t>s lack of compliance with its obligations under article 30 of the Convention concerning the above-mentioned 53 requests for urgent action.</w:t>
      </w:r>
    </w:p>
    <w:p w14:paraId="25E185C4" w14:textId="78330C6D" w:rsidR="00DC6EA4" w:rsidRPr="001A047D" w:rsidRDefault="00DC6EA4" w:rsidP="00DC6EA4">
      <w:pPr>
        <w:pStyle w:val="SingleTxtG"/>
        <w:rPr>
          <w:lang w:val="en-CA"/>
        </w:rPr>
      </w:pPr>
      <w:r w:rsidRPr="001A047D">
        <w:rPr>
          <w:lang w:val="en-CA"/>
        </w:rPr>
        <w:t>50.</w:t>
      </w:r>
      <w:r w:rsidRPr="001A047D">
        <w:rPr>
          <w:lang w:val="en-CA"/>
        </w:rPr>
        <w:tab/>
        <w:t xml:space="preserve">In several of its replies, the State party simply stressed that the alleged victims were affiliated with terrorist groups. In the reporting period, for example, the Committee registered 192 new requests for urgent action with regard to the alleged enforced disappearance of 192 persons at the Al-Razaza checkpoint in Anbar Governorate. The Committee was informed that, on 26 October 2014, against the backdrop of the fight against Islamic State in Iraq and </w:t>
      </w:r>
      <w:r w:rsidRPr="001A047D">
        <w:rPr>
          <w:lang w:val="en-CA"/>
        </w:rPr>
        <w:lastRenderedPageBreak/>
        <w:t>the Levant, many families had fled Jurf al-Sakhr in Babil Governorate for safer areas through the checkpoint in question, which at the time was controlled by Hizbullah brigades. According to reports received by the Committee, the 192 persons were arrested while attempting to go through the checkpoint and were forcibly taken by Hizbullah to an unknown location. Despite repeated complaints by family members to the State party</w:t>
      </w:r>
      <w:r w:rsidR="00E21FC5" w:rsidRPr="001A047D">
        <w:rPr>
          <w:lang w:val="en-CA"/>
        </w:rPr>
        <w:t>’</w:t>
      </w:r>
      <w:r w:rsidRPr="001A047D">
        <w:rPr>
          <w:lang w:val="en-CA"/>
        </w:rPr>
        <w:t>s authorities, their whereabouts remain unknown. The Committee asked the State party to take immediate action to search for and locate the disappeared persons, look into their alleged enforced disappearance, ensure that the disappeared persons were placed under the protection of the law and take the necessary measures to identify those responsible. The State party responded by stating that all the persons referred to in the requests for urgent action had ties to Islamic State in Iraq and the Levant and that seven of them had been killed. This information was shared with the authors of the requests for urgent action for their comments. More generally, the Committee has been informed of, and notes with concern, several cases in which relatives of disappeared persons have been subjected to reprisals after reporting incidents to the competent authorities, and stresses the consequent negative impact on the possibility of individuals requesting the intervention of the authorities in charge of the search for disappeared persons and the investigation of their disappearance.</w:t>
      </w:r>
    </w:p>
    <w:p w14:paraId="57D56567" w14:textId="77777777" w:rsidR="00DC6EA4" w:rsidRPr="001A047D" w:rsidRDefault="00DC6EA4" w:rsidP="00DC6EA4">
      <w:pPr>
        <w:pStyle w:val="H23G"/>
        <w:rPr>
          <w:lang w:val="en-CA"/>
        </w:rPr>
      </w:pPr>
      <w:r w:rsidRPr="001A047D">
        <w:rPr>
          <w:lang w:val="en-CA"/>
        </w:rPr>
        <w:tab/>
      </w:r>
      <w:bookmarkStart w:id="135" w:name="_Toc43905488"/>
      <w:bookmarkStart w:id="136" w:name="_Toc43906569"/>
      <w:bookmarkStart w:id="137" w:name="_Toc43996440"/>
      <w:r w:rsidRPr="001A047D">
        <w:rPr>
          <w:lang w:val="en-CA"/>
        </w:rPr>
        <w:t>2.</w:t>
      </w:r>
      <w:r w:rsidRPr="001A047D">
        <w:rPr>
          <w:lang w:val="en-CA"/>
        </w:rPr>
        <w:tab/>
        <w:t>Other States parties</w:t>
      </w:r>
      <w:bookmarkEnd w:id="135"/>
      <w:bookmarkEnd w:id="136"/>
      <w:bookmarkEnd w:id="137"/>
    </w:p>
    <w:p w14:paraId="309FF8E9" w14:textId="77777777" w:rsidR="00DC6EA4" w:rsidRPr="001A047D" w:rsidRDefault="00DC6EA4" w:rsidP="00DC6EA4">
      <w:pPr>
        <w:pStyle w:val="SingleTxtG"/>
        <w:rPr>
          <w:lang w:val="en-CA"/>
        </w:rPr>
      </w:pPr>
      <w:r w:rsidRPr="001A047D">
        <w:rPr>
          <w:lang w:val="en-CA"/>
        </w:rPr>
        <w:t>51.</w:t>
      </w:r>
      <w:r w:rsidRPr="001A047D">
        <w:rPr>
          <w:lang w:val="en-CA"/>
        </w:rPr>
        <w:tab/>
        <w:t>There were too few requests for urgent action relating to other States parties for the Committee to identify any trends. Nevertheless, the Committee wishes to highlight certain elements of some of the requests received.</w:t>
      </w:r>
    </w:p>
    <w:p w14:paraId="041CC9FB" w14:textId="77777777" w:rsidR="00DC6EA4" w:rsidRPr="001A047D" w:rsidRDefault="00DC6EA4" w:rsidP="00DC6EA4">
      <w:pPr>
        <w:pStyle w:val="H23G"/>
        <w:rPr>
          <w:lang w:val="en-CA"/>
        </w:rPr>
      </w:pPr>
      <w:r w:rsidRPr="001A047D">
        <w:rPr>
          <w:lang w:val="en-CA"/>
        </w:rPr>
        <w:tab/>
      </w:r>
      <w:bookmarkStart w:id="138" w:name="_Toc43905489"/>
      <w:bookmarkStart w:id="139" w:name="_Toc43906570"/>
      <w:bookmarkStart w:id="140" w:name="_Toc43996441"/>
      <w:r w:rsidRPr="001A047D">
        <w:rPr>
          <w:lang w:val="en-CA"/>
        </w:rPr>
        <w:t>(a)</w:t>
      </w:r>
      <w:r w:rsidRPr="001A047D">
        <w:rPr>
          <w:lang w:val="en-CA"/>
        </w:rPr>
        <w:tab/>
        <w:t>Brazil</w:t>
      </w:r>
      <w:bookmarkEnd w:id="138"/>
      <w:bookmarkEnd w:id="139"/>
      <w:bookmarkEnd w:id="140"/>
    </w:p>
    <w:p w14:paraId="5F7D52A9" w14:textId="0BE681E3" w:rsidR="00DC6EA4" w:rsidRPr="001A047D" w:rsidRDefault="00DC6EA4" w:rsidP="00DC6EA4">
      <w:pPr>
        <w:pStyle w:val="SingleTxtG"/>
        <w:rPr>
          <w:lang w:val="en-CA"/>
        </w:rPr>
      </w:pPr>
      <w:r w:rsidRPr="001A047D">
        <w:rPr>
          <w:lang w:val="en-CA"/>
        </w:rPr>
        <w:t>52.</w:t>
      </w:r>
      <w:r w:rsidRPr="001A047D">
        <w:rPr>
          <w:lang w:val="en-CA"/>
        </w:rPr>
        <w:tab/>
        <w:t>Another follow-up note was sent to the State party regarding the case of Davi Santos Fiúza (urgent action No. 61/2014). The note acknowledged receipt of the information that the file on the four-year police search and investigation into Mr. Santos Fiúza</w:t>
      </w:r>
      <w:r w:rsidR="00E21FC5" w:rsidRPr="001A047D">
        <w:rPr>
          <w:lang w:val="en-CA"/>
        </w:rPr>
        <w:t>’</w:t>
      </w:r>
      <w:r w:rsidRPr="001A047D">
        <w:rPr>
          <w:lang w:val="en-CA"/>
        </w:rPr>
        <w:t>s disappearance had been sent to the Bahia State Counsel-General</w:t>
      </w:r>
      <w:r w:rsidR="00E21FC5" w:rsidRPr="001A047D">
        <w:rPr>
          <w:lang w:val="en-CA"/>
        </w:rPr>
        <w:t>’</w:t>
      </w:r>
      <w:r w:rsidRPr="001A047D">
        <w:rPr>
          <w:lang w:val="en-CA"/>
        </w:rPr>
        <w:t>s Office, that the police authorities had referred to the possible involvement of 17 members of the Bahia state police (military police) and that the Counsel-General was currently reviewing the case file to determine the individual liability of each of the 17 police officers and bring the perpetrators to justice. In view of the information gathered in the context of the urgent action, however, the Committee deplored the delays in the investigations into the case by the Counsel-General</w:t>
      </w:r>
      <w:r w:rsidR="00E21FC5" w:rsidRPr="001A047D">
        <w:rPr>
          <w:lang w:val="en-CA"/>
        </w:rPr>
        <w:t>’</w:t>
      </w:r>
      <w:r w:rsidRPr="001A047D">
        <w:rPr>
          <w:lang w:val="en-CA"/>
        </w:rPr>
        <w:t>s Office, despite it having been apprised of the results of the police investigations, and the failure to take further steps to search for and locate Mr. Santos Fiúza.</w:t>
      </w:r>
    </w:p>
    <w:p w14:paraId="65D90B3D" w14:textId="77777777" w:rsidR="00DC6EA4" w:rsidRPr="001A047D" w:rsidRDefault="00DC6EA4" w:rsidP="00DC6EA4">
      <w:pPr>
        <w:pStyle w:val="H23G"/>
        <w:rPr>
          <w:lang w:val="en-CA"/>
        </w:rPr>
      </w:pPr>
      <w:r w:rsidRPr="001A047D">
        <w:rPr>
          <w:lang w:val="en-CA"/>
        </w:rPr>
        <w:tab/>
      </w:r>
      <w:bookmarkStart w:id="141" w:name="_Toc43905490"/>
      <w:bookmarkStart w:id="142" w:name="_Toc43906571"/>
      <w:bookmarkStart w:id="143" w:name="_Toc43996442"/>
      <w:r w:rsidRPr="001A047D">
        <w:rPr>
          <w:lang w:val="en-CA"/>
        </w:rPr>
        <w:t>(b)</w:t>
      </w:r>
      <w:r w:rsidRPr="001A047D">
        <w:rPr>
          <w:lang w:val="en-CA"/>
        </w:rPr>
        <w:tab/>
        <w:t>Colombia</w:t>
      </w:r>
      <w:bookmarkEnd w:id="141"/>
      <w:bookmarkEnd w:id="142"/>
      <w:bookmarkEnd w:id="143"/>
    </w:p>
    <w:p w14:paraId="529107F0" w14:textId="77777777" w:rsidR="00DC6EA4" w:rsidRPr="001A047D" w:rsidRDefault="00DC6EA4" w:rsidP="00DC6EA4">
      <w:pPr>
        <w:pStyle w:val="SingleTxtG"/>
        <w:rPr>
          <w:lang w:val="en-CA"/>
        </w:rPr>
      </w:pPr>
      <w:r w:rsidRPr="001A047D">
        <w:rPr>
          <w:lang w:val="en-CA"/>
        </w:rPr>
        <w:t>53.</w:t>
      </w:r>
      <w:r w:rsidRPr="001A047D">
        <w:rPr>
          <w:lang w:val="en-CA"/>
        </w:rPr>
        <w:tab/>
        <w:t>As stated in the reports from previous sessions, the information provided by the State party on the 21 registered requests for urgent action shows that investigations and searches often come to a standstill a few months after they begin.</w:t>
      </w:r>
    </w:p>
    <w:p w14:paraId="20EA67CB" w14:textId="77777777" w:rsidR="00DC6EA4" w:rsidRPr="001A047D" w:rsidRDefault="00DC6EA4" w:rsidP="00DC6EA4">
      <w:pPr>
        <w:pStyle w:val="SingleTxtG"/>
        <w:rPr>
          <w:lang w:val="en-CA"/>
        </w:rPr>
      </w:pPr>
      <w:r w:rsidRPr="001A047D">
        <w:rPr>
          <w:lang w:val="en-CA"/>
        </w:rPr>
        <w:t>54.</w:t>
      </w:r>
      <w:r w:rsidRPr="001A047D">
        <w:rPr>
          <w:lang w:val="en-CA"/>
        </w:rPr>
        <w:tab/>
        <w:t>In connection with urgent action No. 378/2017, No. 379/2017 and No. 380/2017, the Committee was informed that four persons had been arrested and had provided information on the location of the remains of the disappeared children. They had been charged with enforced disappearance. The three children had been found dead in the Cerro Norte neighbourhood of Usaquén in May 2019. This information was passed to the authors of the relevant requests for urgent action for their comments.</w:t>
      </w:r>
    </w:p>
    <w:p w14:paraId="5B9C95E9" w14:textId="77777777" w:rsidR="00DC6EA4" w:rsidRPr="001A047D" w:rsidRDefault="00DC6EA4" w:rsidP="00DC6EA4">
      <w:pPr>
        <w:pStyle w:val="H23G"/>
        <w:rPr>
          <w:lang w:val="en-CA"/>
        </w:rPr>
      </w:pPr>
      <w:r w:rsidRPr="001A047D">
        <w:rPr>
          <w:lang w:val="en-CA"/>
        </w:rPr>
        <w:tab/>
      </w:r>
      <w:bookmarkStart w:id="144" w:name="_Toc43905491"/>
      <w:bookmarkStart w:id="145" w:name="_Toc43906572"/>
      <w:bookmarkStart w:id="146" w:name="_Toc43996443"/>
      <w:r w:rsidRPr="001A047D">
        <w:rPr>
          <w:lang w:val="en-CA"/>
        </w:rPr>
        <w:t>(c)</w:t>
      </w:r>
      <w:r w:rsidRPr="001A047D">
        <w:rPr>
          <w:lang w:val="en-CA"/>
        </w:rPr>
        <w:tab/>
        <w:t>Togo</w:t>
      </w:r>
      <w:bookmarkEnd w:id="144"/>
      <w:bookmarkEnd w:id="145"/>
      <w:bookmarkEnd w:id="146"/>
    </w:p>
    <w:p w14:paraId="212FEA35" w14:textId="2DD3BB80" w:rsidR="00DC6EA4" w:rsidRPr="001A047D" w:rsidRDefault="00DC6EA4" w:rsidP="00DC6EA4">
      <w:pPr>
        <w:pStyle w:val="SingleTxtG"/>
        <w:rPr>
          <w:lang w:val="en-CA"/>
        </w:rPr>
      </w:pPr>
      <w:r w:rsidRPr="001A047D">
        <w:rPr>
          <w:lang w:val="en-CA"/>
        </w:rPr>
        <w:t>55.</w:t>
      </w:r>
      <w:r w:rsidRPr="001A047D">
        <w:rPr>
          <w:lang w:val="en-CA"/>
        </w:rPr>
        <w:tab/>
        <w:t>With regard to the cases of Atsou Adzi and Messan Koku Adzi (urgent action No. 543/2018 and No. 544/2018), the State party replied on 17 July 2019 that, after investigations into the disappearances in question, its authorities had discovered that Atsou Adzi had died of health problems on 3 January 2014. That claim had reportedly been confirmed by several people, including an uncle, who had organized the funeral, and the head of the community of Gapé. The Togolese authorities claim to have located Messan Koku Adzi on 29 June 2019 in Lomé, where he is apparently living. According to the authorities, he was in contact with his family in Gapé. The authorities investigated the case and concluded that two people had fabricated the story in question. The State party</w:t>
      </w:r>
      <w:r w:rsidR="00E21FC5" w:rsidRPr="001A047D">
        <w:rPr>
          <w:lang w:val="en-CA"/>
        </w:rPr>
        <w:t>’</w:t>
      </w:r>
      <w:r w:rsidRPr="001A047D">
        <w:rPr>
          <w:lang w:val="en-CA"/>
        </w:rPr>
        <w:t xml:space="preserve">s observations were relayed to the authors of </w:t>
      </w:r>
      <w:r w:rsidRPr="001A047D">
        <w:rPr>
          <w:lang w:val="en-CA"/>
        </w:rPr>
        <w:lastRenderedPageBreak/>
        <w:t>the requests for urgent action for their comments. The Committee will make a decision on this urgent action in the light of the response provided.</w:t>
      </w:r>
    </w:p>
    <w:p w14:paraId="4638AF92" w14:textId="77777777" w:rsidR="00DC6EA4" w:rsidRPr="001A047D" w:rsidRDefault="00DC6EA4" w:rsidP="00DC6EA4">
      <w:pPr>
        <w:pStyle w:val="H23G"/>
        <w:rPr>
          <w:lang w:val="en-CA"/>
        </w:rPr>
      </w:pPr>
      <w:r w:rsidRPr="001A047D">
        <w:rPr>
          <w:lang w:val="en-CA"/>
        </w:rPr>
        <w:tab/>
      </w:r>
      <w:bookmarkStart w:id="147" w:name="_Toc43905492"/>
      <w:bookmarkStart w:id="148" w:name="_Toc43906573"/>
      <w:bookmarkStart w:id="149" w:name="_Toc43996444"/>
      <w:r w:rsidRPr="001A047D">
        <w:rPr>
          <w:lang w:val="en-CA"/>
        </w:rPr>
        <w:t>(d)</w:t>
      </w:r>
      <w:r w:rsidRPr="001A047D">
        <w:rPr>
          <w:lang w:val="en-CA"/>
        </w:rPr>
        <w:tab/>
        <w:t>Tunisia</w:t>
      </w:r>
      <w:bookmarkEnd w:id="147"/>
      <w:bookmarkEnd w:id="148"/>
      <w:bookmarkEnd w:id="149"/>
    </w:p>
    <w:p w14:paraId="07B45659" w14:textId="07705F55" w:rsidR="00DC6EA4" w:rsidRPr="001A047D" w:rsidRDefault="00DC6EA4" w:rsidP="00DC6EA4">
      <w:pPr>
        <w:pStyle w:val="SingleTxtG"/>
        <w:rPr>
          <w:lang w:val="en-CA"/>
        </w:rPr>
      </w:pPr>
      <w:r w:rsidRPr="001A047D">
        <w:rPr>
          <w:lang w:val="en-CA"/>
        </w:rPr>
        <w:t>56.</w:t>
      </w:r>
      <w:r w:rsidRPr="001A047D">
        <w:rPr>
          <w:lang w:val="en-CA"/>
        </w:rPr>
        <w:tab/>
        <w:t>A request for urgent action was registered during the reporting period in the case of Mohamed Guefassa (urgent action No. 768/2019), an Algerian national who disappeared in Tunisian territorial waters on the night of 2 October 2016, when, travelling irregularly from Algeria to the Italian island of Sardinia, he was intercepted by Tunisian coastguards. According to the information provided to the Committee, Mr. Guefassa may be in illegal detention in Tunisia on terrorism-related charges. The Committee requested the State party to immediately take all measures necessary to search for, locate and protect Mr. Guefassa. The State party had not replied to the Committee</w:t>
      </w:r>
      <w:r w:rsidR="00E21FC5" w:rsidRPr="001A047D">
        <w:rPr>
          <w:lang w:val="en-CA"/>
        </w:rPr>
        <w:t>’</w:t>
      </w:r>
      <w:r w:rsidRPr="001A047D">
        <w:rPr>
          <w:lang w:val="en-CA"/>
        </w:rPr>
        <w:t>s note verbale by the date of the present report. A reminder was sent.</w:t>
      </w:r>
    </w:p>
    <w:p w14:paraId="2C6153CC" w14:textId="77777777" w:rsidR="00DC6EA4" w:rsidRPr="001A047D" w:rsidRDefault="00DC6EA4" w:rsidP="00DC6EA4">
      <w:pPr>
        <w:pStyle w:val="H23G"/>
        <w:rPr>
          <w:lang w:val="en-CA"/>
        </w:rPr>
      </w:pPr>
      <w:r w:rsidRPr="001A047D">
        <w:rPr>
          <w:lang w:val="en-CA"/>
        </w:rPr>
        <w:tab/>
      </w:r>
      <w:bookmarkStart w:id="150" w:name="_Toc43905493"/>
      <w:bookmarkStart w:id="151" w:name="_Toc43906574"/>
      <w:bookmarkStart w:id="152" w:name="_Toc43996445"/>
      <w:r w:rsidRPr="001A047D">
        <w:rPr>
          <w:lang w:val="en-CA"/>
        </w:rPr>
        <w:t>3.</w:t>
      </w:r>
      <w:r w:rsidRPr="001A047D">
        <w:rPr>
          <w:lang w:val="en-CA"/>
        </w:rPr>
        <w:tab/>
        <w:t>Innovations</w:t>
      </w:r>
      <w:bookmarkEnd w:id="150"/>
      <w:bookmarkEnd w:id="151"/>
      <w:bookmarkEnd w:id="152"/>
    </w:p>
    <w:p w14:paraId="2CD88D2E" w14:textId="77777777" w:rsidR="00DC6EA4" w:rsidRPr="001A047D" w:rsidRDefault="00DC6EA4" w:rsidP="00DC6EA4">
      <w:pPr>
        <w:pStyle w:val="SingleTxtG"/>
        <w:rPr>
          <w:lang w:val="en-CA"/>
        </w:rPr>
      </w:pPr>
      <w:r w:rsidRPr="001A047D">
        <w:rPr>
          <w:lang w:val="en-CA"/>
        </w:rPr>
        <w:t>57.</w:t>
      </w:r>
      <w:r w:rsidRPr="001A047D">
        <w:rPr>
          <w:lang w:val="en-CA"/>
        </w:rPr>
        <w:tab/>
        <w:t xml:space="preserve">Since August 2019, following the adoption and publication of the guiding principles for the search for disappeared persons, the Committee has included specific references to the guiding principles in its follow-up notes in order to make its recommendations to States parties more precise. Whenever appropriate, the guiding principles have also been annexed to the follow-up notes. </w:t>
      </w:r>
    </w:p>
    <w:p w14:paraId="0AACEFE9" w14:textId="77777777" w:rsidR="00DC6EA4" w:rsidRPr="001A047D" w:rsidRDefault="00DC6EA4" w:rsidP="00DC6EA4">
      <w:pPr>
        <w:pStyle w:val="H1G"/>
        <w:rPr>
          <w:lang w:val="en-CA"/>
        </w:rPr>
      </w:pPr>
      <w:r w:rsidRPr="001A047D">
        <w:rPr>
          <w:lang w:val="en-CA"/>
        </w:rPr>
        <w:tab/>
      </w:r>
      <w:bookmarkStart w:id="153" w:name="_Toc43905494"/>
      <w:bookmarkStart w:id="154" w:name="_Toc43906575"/>
      <w:bookmarkStart w:id="155" w:name="_Toc43996446"/>
      <w:r w:rsidRPr="001A047D">
        <w:rPr>
          <w:lang w:val="en-CA"/>
        </w:rPr>
        <w:t>C.</w:t>
      </w:r>
      <w:r w:rsidRPr="001A047D">
        <w:rPr>
          <w:lang w:val="en-CA"/>
        </w:rPr>
        <w:tab/>
        <w:t xml:space="preserve">Urgent actions </w:t>
      </w:r>
      <w:bookmarkStart w:id="156" w:name="_Toc522200476"/>
      <w:r w:rsidRPr="001A047D">
        <w:rPr>
          <w:lang w:val="en-CA"/>
        </w:rPr>
        <w:t xml:space="preserve">discontinued, closed or kept open for the protection of persons to whom interim measures have been </w:t>
      </w:r>
      <w:bookmarkEnd w:id="156"/>
      <w:r w:rsidRPr="001A047D">
        <w:rPr>
          <w:lang w:val="en-CA"/>
        </w:rPr>
        <w:t>granted</w:t>
      </w:r>
      <w:bookmarkEnd w:id="153"/>
      <w:bookmarkEnd w:id="154"/>
      <w:bookmarkEnd w:id="155"/>
    </w:p>
    <w:p w14:paraId="277C7B16" w14:textId="77777777" w:rsidR="00DC6EA4" w:rsidRPr="001A047D" w:rsidRDefault="00DC6EA4" w:rsidP="00DC6EA4">
      <w:pPr>
        <w:pStyle w:val="SingleTxtG"/>
        <w:rPr>
          <w:lang w:val="en-CA"/>
        </w:rPr>
      </w:pPr>
      <w:r w:rsidRPr="001A047D">
        <w:rPr>
          <w:lang w:val="en-CA"/>
        </w:rPr>
        <w:t>58.</w:t>
      </w:r>
      <w:r w:rsidRPr="001A047D">
        <w:rPr>
          <w:lang w:val="en-CA"/>
        </w:rPr>
        <w:tab/>
        <w:t>In accordance with the criteria adopted in plenary by the Committee at its eighth session:</w:t>
      </w:r>
    </w:p>
    <w:p w14:paraId="6D8AD2BB" w14:textId="77777777" w:rsidR="00DC6EA4" w:rsidRPr="001A047D" w:rsidRDefault="00DC6EA4" w:rsidP="00DC6EA4">
      <w:pPr>
        <w:pStyle w:val="SingleTxtG"/>
        <w:rPr>
          <w:lang w:val="en-CA"/>
        </w:rPr>
      </w:pPr>
      <w:r w:rsidRPr="001A047D">
        <w:rPr>
          <w:lang w:val="en-CA"/>
        </w:rPr>
        <w:tab/>
      </w:r>
      <w:r w:rsidRPr="001A047D">
        <w:rPr>
          <w:lang w:val="en-CA"/>
        </w:rPr>
        <w:tab/>
        <w:t>(a)</w:t>
      </w:r>
      <w:r w:rsidRPr="001A047D">
        <w:rPr>
          <w:lang w:val="en-CA"/>
        </w:rPr>
        <w:tab/>
        <w:t>An urgent action is discontinued when the disappeared person has been located but is still detained. This is because the person in question is particularly vulnerable to being subjected to a further enforced disappearance and to being placed outside the protection of the law;</w:t>
      </w:r>
    </w:p>
    <w:p w14:paraId="01C344AD" w14:textId="77777777" w:rsidR="00DC6EA4" w:rsidRPr="001A047D" w:rsidRDefault="00DC6EA4" w:rsidP="00DC6EA4">
      <w:pPr>
        <w:pStyle w:val="SingleTxtG"/>
        <w:rPr>
          <w:lang w:val="en-CA"/>
        </w:rPr>
      </w:pPr>
      <w:r w:rsidRPr="001A047D">
        <w:rPr>
          <w:lang w:val="en-CA"/>
        </w:rPr>
        <w:tab/>
      </w:r>
      <w:r w:rsidRPr="001A047D">
        <w:rPr>
          <w:lang w:val="en-CA"/>
        </w:rPr>
        <w:tab/>
        <w:t>(b)</w:t>
      </w:r>
      <w:r w:rsidRPr="001A047D">
        <w:rPr>
          <w:lang w:val="en-CA"/>
        </w:rPr>
        <w:tab/>
        <w:t>An urgent action is closed when the disappeared person has been found at liberty or located and released, or has been found dead, provided that the relatives and/or authors do not contest these facts;</w:t>
      </w:r>
    </w:p>
    <w:p w14:paraId="3B2E5453" w14:textId="77777777" w:rsidR="00DC6EA4" w:rsidRPr="001A047D" w:rsidRDefault="00DC6EA4" w:rsidP="00DC6EA4">
      <w:pPr>
        <w:pStyle w:val="SingleTxtG"/>
        <w:rPr>
          <w:lang w:val="en-CA"/>
        </w:rPr>
      </w:pPr>
      <w:r w:rsidRPr="001A047D">
        <w:rPr>
          <w:lang w:val="en-CA"/>
        </w:rPr>
        <w:tab/>
      </w:r>
      <w:r w:rsidRPr="001A047D">
        <w:rPr>
          <w:lang w:val="en-CA"/>
        </w:rPr>
        <w:tab/>
        <w:t>(c)</w:t>
      </w:r>
      <w:r w:rsidRPr="001A047D">
        <w:rPr>
          <w:lang w:val="en-CA"/>
        </w:rPr>
        <w:tab/>
        <w:t>An urgent action is kept open when the disappeared person has been located but the persons to whom interim measures have been granted in the context of the urgent action are still under threat. In such cases, the action taken by the Committee is limited to following up on the interim measures.</w:t>
      </w:r>
    </w:p>
    <w:p w14:paraId="7B65C5D3" w14:textId="77777777" w:rsidR="00DC6EA4" w:rsidRPr="001A047D" w:rsidRDefault="00DC6EA4" w:rsidP="00DC6EA4">
      <w:pPr>
        <w:pStyle w:val="SingleTxtG"/>
        <w:rPr>
          <w:lang w:val="en-CA"/>
        </w:rPr>
      </w:pPr>
      <w:r w:rsidRPr="001A047D">
        <w:rPr>
          <w:lang w:val="en-CA"/>
        </w:rPr>
        <w:t>59.</w:t>
      </w:r>
      <w:r w:rsidRPr="001A047D">
        <w:rPr>
          <w:lang w:val="en-CA"/>
        </w:rPr>
        <w:tab/>
        <w:t>At the time of writing, the Committee had closed a total of 52 urgent action cases: in 29 of these cases, the disappeared persons had been found alive and released, and in 23 cases the disappeared persons had been found dead.</w:t>
      </w:r>
    </w:p>
    <w:p w14:paraId="0A63200C" w14:textId="77777777" w:rsidR="00DC6EA4" w:rsidRPr="001A047D" w:rsidRDefault="00DC6EA4" w:rsidP="00DC6EA4">
      <w:pPr>
        <w:pStyle w:val="SingleTxtG"/>
        <w:rPr>
          <w:lang w:val="en-CA"/>
        </w:rPr>
      </w:pPr>
      <w:r w:rsidRPr="001A047D">
        <w:rPr>
          <w:lang w:val="en-CA"/>
        </w:rPr>
        <w:t>60.</w:t>
      </w:r>
      <w:r w:rsidRPr="001A047D">
        <w:rPr>
          <w:lang w:val="en-CA"/>
        </w:rPr>
        <w:tab/>
        <w:t>In addition, the Committee has discontinued 13 urgent action cases because the disappeared persons have been located but remain in detention.</w:t>
      </w:r>
    </w:p>
    <w:p w14:paraId="17D13185" w14:textId="5C2FD0C5" w:rsidR="00DC6EA4" w:rsidRPr="001A047D" w:rsidRDefault="00DC6EA4" w:rsidP="00DC6EA4">
      <w:pPr>
        <w:pStyle w:val="SingleTxtG"/>
        <w:rPr>
          <w:lang w:val="en-CA"/>
        </w:rPr>
      </w:pPr>
      <w:r w:rsidRPr="001A047D">
        <w:rPr>
          <w:lang w:val="en-CA"/>
        </w:rPr>
        <w:t>61.</w:t>
      </w:r>
      <w:r w:rsidRPr="001A047D">
        <w:rPr>
          <w:lang w:val="en-CA"/>
        </w:rPr>
        <w:tab/>
        <w:t>In two urgent action cases, it has been determine</w:t>
      </w:r>
      <w:r w:rsidR="00486A56">
        <w:rPr>
          <w:lang w:val="en-CA"/>
        </w:rPr>
        <w:t>d</w:t>
      </w:r>
      <w:r w:rsidRPr="001A047D">
        <w:rPr>
          <w:lang w:val="en-CA"/>
        </w:rPr>
        <w:t xml:space="preserve"> that the disappeared persons have been found dead but the urgent action remains open because the persons who were granted interim measures are still under threat.</w:t>
      </w:r>
    </w:p>
    <w:p w14:paraId="4F6587E4" w14:textId="6B411A1A" w:rsidR="00DC6EA4" w:rsidRPr="001A047D" w:rsidRDefault="00DC6EA4" w:rsidP="00DC6EA4">
      <w:pPr>
        <w:pStyle w:val="SingleTxtG"/>
        <w:rPr>
          <w:lang w:val="en-CA"/>
        </w:rPr>
      </w:pPr>
      <w:bookmarkStart w:id="157" w:name="_Toc522200477"/>
      <w:r w:rsidRPr="001A047D">
        <w:rPr>
          <w:lang w:val="en-CA"/>
        </w:rPr>
        <w:t>62.</w:t>
      </w:r>
      <w:r w:rsidRPr="001A047D">
        <w:rPr>
          <w:lang w:val="en-CA"/>
        </w:rPr>
        <w:tab/>
        <w:t>In one urgent action case, the author reported that some of her husband</w:t>
      </w:r>
      <w:r w:rsidR="00E21FC5" w:rsidRPr="001A047D">
        <w:rPr>
          <w:lang w:val="en-CA"/>
        </w:rPr>
        <w:t>’</w:t>
      </w:r>
      <w:r w:rsidRPr="001A047D">
        <w:rPr>
          <w:lang w:val="en-CA"/>
        </w:rPr>
        <w:t xml:space="preserve">s remains had been found. She emphasized, however, that she was not satisfied, as the view of the authorities, in contrast to her own, was that it was unnecessary to continue searching for the rest of his remains. The Committee recalls that, in accordance with principle 7 of the guiding principles for the search for disappeared persons, when only partial remains have been found and identified, any decision to continue the search to locate and identify the missing remains should take into account the actual chances of identifying more remains and the needs expressed by the family members in the context of their cultural norms concerning funerals. Any decision to discontinue the search should be taken in a transparent manner and requires </w:t>
      </w:r>
      <w:r w:rsidRPr="001A047D">
        <w:rPr>
          <w:lang w:val="en-CA"/>
        </w:rPr>
        <w:lastRenderedPageBreak/>
        <w:t xml:space="preserve">the prior and informed consent of the family members. The Committee has therefore decided to keep the urgent action open. </w:t>
      </w:r>
    </w:p>
    <w:p w14:paraId="051B2819" w14:textId="77777777" w:rsidR="00DC6EA4" w:rsidRPr="001A047D" w:rsidRDefault="00DC6EA4" w:rsidP="00DC6EA4">
      <w:pPr>
        <w:pStyle w:val="H1G"/>
        <w:rPr>
          <w:lang w:val="en-CA"/>
        </w:rPr>
      </w:pPr>
      <w:r w:rsidRPr="001A047D">
        <w:rPr>
          <w:lang w:val="en-CA"/>
        </w:rPr>
        <w:tab/>
      </w:r>
      <w:bookmarkStart w:id="158" w:name="_Toc43905495"/>
      <w:bookmarkStart w:id="159" w:name="_Toc43906576"/>
      <w:bookmarkStart w:id="160" w:name="_Toc43996447"/>
      <w:r w:rsidRPr="001A047D">
        <w:rPr>
          <w:lang w:val="en-CA"/>
        </w:rPr>
        <w:t>D.</w:t>
      </w:r>
      <w:r w:rsidRPr="001A047D">
        <w:rPr>
          <w:lang w:val="en-CA"/>
        </w:rPr>
        <w:tab/>
        <w:t xml:space="preserve">Decisions taken by the Committee at its </w:t>
      </w:r>
      <w:bookmarkEnd w:id="157"/>
      <w:r w:rsidRPr="001A047D">
        <w:rPr>
          <w:lang w:val="en-CA"/>
        </w:rPr>
        <w:t>seventeenth and eighteenth sessions</w:t>
      </w:r>
      <w:bookmarkEnd w:id="158"/>
      <w:bookmarkEnd w:id="159"/>
      <w:bookmarkEnd w:id="160"/>
    </w:p>
    <w:p w14:paraId="7DDDFAA1" w14:textId="77777777" w:rsidR="00DC6EA4" w:rsidRPr="001A047D" w:rsidRDefault="00DC6EA4" w:rsidP="00DC6EA4">
      <w:pPr>
        <w:pStyle w:val="SingleTxtG"/>
        <w:rPr>
          <w:lang w:val="en-CA"/>
        </w:rPr>
      </w:pPr>
      <w:r w:rsidRPr="001A047D">
        <w:rPr>
          <w:lang w:val="en-CA"/>
        </w:rPr>
        <w:t>63.</w:t>
      </w:r>
      <w:r w:rsidRPr="001A047D">
        <w:rPr>
          <w:lang w:val="en-CA"/>
        </w:rPr>
        <w:tab/>
        <w:t>The Committee reiterates that, in view of the increase in the number of requests for urgent action that have been registered, there is an urgent need for an increase in the number of staff members in the OHCHR secretariat who are dedicated to processing those requests.</w:t>
      </w:r>
    </w:p>
    <w:p w14:paraId="47E4F17E" w14:textId="1EF248EA" w:rsidR="00DC6EA4" w:rsidRPr="001A047D" w:rsidRDefault="00DC6EA4" w:rsidP="00DC6EA4">
      <w:pPr>
        <w:pStyle w:val="SingleTxtG"/>
        <w:rPr>
          <w:lang w:val="en-CA"/>
        </w:rPr>
      </w:pPr>
      <w:r w:rsidRPr="001A047D">
        <w:rPr>
          <w:lang w:val="en-CA"/>
        </w:rPr>
        <w:t>64.</w:t>
      </w:r>
      <w:r w:rsidRPr="001A047D">
        <w:rPr>
          <w:lang w:val="en-CA"/>
        </w:rPr>
        <w:tab/>
        <w:t>At its seventeenth session, the Committee confirmed the composition of its working group on urgent actions and recalled that the division of labour among members was based on the language of the request for urgent action. The secretariat recalled the Committee</w:t>
      </w:r>
      <w:r w:rsidR="00E21FC5" w:rsidRPr="001A047D">
        <w:rPr>
          <w:lang w:val="en-CA"/>
        </w:rPr>
        <w:t>’</w:t>
      </w:r>
      <w:r w:rsidRPr="001A047D">
        <w:rPr>
          <w:lang w:val="en-CA"/>
        </w:rPr>
        <w:t>s working methods in relation to urgent action, which were confirmed in plenary.</w:t>
      </w:r>
    </w:p>
    <w:p w14:paraId="3511441E" w14:textId="77777777" w:rsidR="00DC6EA4" w:rsidRPr="001A047D" w:rsidRDefault="00DC6EA4" w:rsidP="00DC6EA4">
      <w:pPr>
        <w:pStyle w:val="SingleTxtG"/>
        <w:rPr>
          <w:lang w:val="en-CA"/>
        </w:rPr>
      </w:pPr>
      <w:r w:rsidRPr="001A047D">
        <w:rPr>
          <w:lang w:val="en-CA"/>
        </w:rPr>
        <w:t>65.</w:t>
      </w:r>
      <w:r w:rsidRPr="001A047D">
        <w:rPr>
          <w:lang w:val="en-CA"/>
        </w:rPr>
        <w:tab/>
        <w:t>The Committee confirmed that, whenever necessary, reference would be made to the obligation of States parties, without prejudice to the obligation to continue the investigation until the fate of the disappeared person had been clarified, to take the appropriate steps with regard to the legal situation of disappeared persons whose fate had not been clarified and that of their relatives, in fields such as social welfare, financial matters, family law and property rights. In many cases of enforced disappearance, economic and social support was essential to enable the relatives of the disappeared person to participate in the search and investigation processes.</w:t>
      </w:r>
    </w:p>
    <w:p w14:paraId="726F0877" w14:textId="77777777" w:rsidR="00DC6EA4" w:rsidRPr="001A047D" w:rsidRDefault="00DC6EA4" w:rsidP="00DC6EA4">
      <w:pPr>
        <w:pStyle w:val="SingleTxtG"/>
        <w:rPr>
          <w:lang w:val="en-CA"/>
        </w:rPr>
      </w:pPr>
      <w:r w:rsidRPr="001A047D">
        <w:rPr>
          <w:lang w:val="en-CA"/>
        </w:rPr>
        <w:t>66.</w:t>
      </w:r>
      <w:r w:rsidRPr="001A047D">
        <w:rPr>
          <w:lang w:val="en-CA"/>
        </w:rPr>
        <w:tab/>
        <w:t>The Committee decided to discuss a draft revision of the format for the submission of requests for urgent action, to be prepared by the secretariat in cooperation with the working group on urgent actions, based on the experience gained since the start of the procedure.</w:t>
      </w:r>
    </w:p>
    <w:p w14:paraId="28A4A7B5" w14:textId="77777777" w:rsidR="00DC6EA4" w:rsidRPr="001A047D" w:rsidRDefault="00DC6EA4" w:rsidP="00DC6EA4">
      <w:pPr>
        <w:pStyle w:val="SingleTxtG"/>
        <w:rPr>
          <w:lang w:val="en-CA"/>
        </w:rPr>
      </w:pPr>
      <w:r w:rsidRPr="001A047D">
        <w:rPr>
          <w:lang w:val="en-CA"/>
        </w:rPr>
        <w:t>67.</w:t>
      </w:r>
      <w:r w:rsidRPr="001A047D">
        <w:rPr>
          <w:lang w:val="en-CA"/>
        </w:rPr>
        <w:tab/>
        <w:t>At its eighteenth session,</w:t>
      </w:r>
      <w:r w:rsidRPr="001A047D">
        <w:rPr>
          <w:rStyle w:val="FootnoteReference"/>
          <w:lang w:val="en-CA"/>
        </w:rPr>
        <w:footnoteReference w:id="7"/>
      </w:r>
      <w:r w:rsidRPr="001A047D">
        <w:rPr>
          <w:lang w:val="en-CA"/>
        </w:rPr>
        <w:t xml:space="preserve"> and given the need to discuss various issues raised in the context of the urgent action procedure over the period covered by the report and the impossibility of doing so via email, the Committee decided to postpone the consideration of its report on requests for urgent action to its nineteenth session.</w:t>
      </w:r>
    </w:p>
    <w:p w14:paraId="4FC28293" w14:textId="77777777" w:rsidR="00DC6EA4" w:rsidRPr="001A047D" w:rsidRDefault="00DC6EA4" w:rsidP="00DC6EA4">
      <w:pPr>
        <w:pStyle w:val="SingleTxtG"/>
        <w:rPr>
          <w:lang w:val="en-CA"/>
        </w:rPr>
      </w:pPr>
      <w:r w:rsidRPr="001A047D">
        <w:rPr>
          <w:lang w:val="en-CA"/>
        </w:rPr>
        <w:br w:type="page"/>
      </w:r>
    </w:p>
    <w:bookmarkEnd w:id="117"/>
    <w:p w14:paraId="7418279A"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161" w:name="_Toc460489559"/>
      <w:bookmarkStart w:id="162" w:name="_Toc522200478"/>
      <w:bookmarkStart w:id="163" w:name="_Toc43905496"/>
      <w:bookmarkStart w:id="164" w:name="_Toc43906577"/>
      <w:bookmarkStart w:id="165" w:name="_Toc43996448"/>
      <w:r w:rsidRPr="001A047D">
        <w:rPr>
          <w:lang w:val="en-CA"/>
        </w:rPr>
        <w:t>Chapter XI</w:t>
      </w:r>
      <w:r w:rsidRPr="001A047D">
        <w:rPr>
          <w:lang w:val="en-CA"/>
        </w:rPr>
        <w:br/>
        <w:t>Communications procedure under article 31 of the Convention</w:t>
      </w:r>
      <w:bookmarkEnd w:id="161"/>
      <w:bookmarkEnd w:id="162"/>
      <w:bookmarkEnd w:id="163"/>
      <w:bookmarkEnd w:id="164"/>
      <w:bookmarkEnd w:id="165"/>
    </w:p>
    <w:p w14:paraId="5DB435DB" w14:textId="77777777" w:rsidR="00DC6EA4" w:rsidRPr="001A047D" w:rsidRDefault="00DC6EA4" w:rsidP="00DC6EA4">
      <w:pPr>
        <w:pStyle w:val="SingleTxtG"/>
        <w:rPr>
          <w:lang w:val="en-CA"/>
        </w:rPr>
      </w:pPr>
      <w:r w:rsidRPr="001A047D">
        <w:rPr>
          <w:lang w:val="en-CA"/>
        </w:rPr>
        <w:t>68.</w:t>
      </w:r>
      <w:r w:rsidRPr="001A047D">
        <w:rPr>
          <w:lang w:val="en-CA"/>
        </w:rPr>
        <w:tab/>
        <w:t>No new individual complaints have been registered by the Committee over the period covered by the present report.</w:t>
      </w:r>
    </w:p>
    <w:p w14:paraId="6582F696" w14:textId="77777777" w:rsidR="00DC6EA4" w:rsidRPr="001A047D" w:rsidRDefault="00DC6EA4" w:rsidP="00DC6EA4">
      <w:pPr>
        <w:pStyle w:val="SingleTxtG"/>
        <w:rPr>
          <w:lang w:val="en-CA"/>
        </w:rPr>
      </w:pPr>
      <w:r w:rsidRPr="001A047D">
        <w:rPr>
          <w:lang w:val="en-CA"/>
        </w:rPr>
        <w:t>69.</w:t>
      </w:r>
      <w:r w:rsidRPr="001A047D">
        <w:rPr>
          <w:lang w:val="en-CA"/>
        </w:rPr>
        <w:tab/>
        <w:t xml:space="preserve">As regards the </w:t>
      </w:r>
      <w:r w:rsidRPr="001A047D">
        <w:rPr>
          <w:i/>
          <w:iCs/>
          <w:lang w:val="en-CA"/>
        </w:rPr>
        <w:t>Yrusta and Del Valle Yrusta v. Argentina</w:t>
      </w:r>
      <w:r w:rsidRPr="001A047D">
        <w:rPr>
          <w:lang w:val="en-CA"/>
        </w:rPr>
        <w:t xml:space="preserve">, the Committee received additional follow-up information from the State party and transmitted it for comments to the author. The Committee will analyse the information provided upon receipt of all relevant submissions. The follow-up procedure therefore remains open. </w:t>
      </w:r>
    </w:p>
    <w:p w14:paraId="25A9B818" w14:textId="77777777" w:rsidR="00DC6EA4" w:rsidRPr="001A047D" w:rsidRDefault="00DC6EA4" w:rsidP="00DC6EA4">
      <w:pPr>
        <w:pStyle w:val="SingleTxtG"/>
        <w:rPr>
          <w:lang w:val="en-CA"/>
        </w:rPr>
      </w:pPr>
      <w:r w:rsidRPr="001A047D">
        <w:rPr>
          <w:lang w:val="en-CA"/>
        </w:rPr>
        <w:br w:type="page"/>
      </w:r>
    </w:p>
    <w:p w14:paraId="7B08253D"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166" w:name="_Toc460489560"/>
      <w:bookmarkStart w:id="167" w:name="_Toc522200479"/>
      <w:bookmarkStart w:id="168" w:name="_Toc43905497"/>
      <w:bookmarkStart w:id="169" w:name="_Toc43906578"/>
      <w:bookmarkStart w:id="170" w:name="_Toc43996449"/>
      <w:r w:rsidRPr="001A047D">
        <w:rPr>
          <w:lang w:val="en-CA"/>
        </w:rPr>
        <w:t>Chapter XII</w:t>
      </w:r>
      <w:r w:rsidRPr="001A047D">
        <w:rPr>
          <w:lang w:val="en-CA"/>
        </w:rPr>
        <w:br/>
        <w:t>Visits under article 33 of the Convention</w:t>
      </w:r>
      <w:bookmarkEnd w:id="166"/>
      <w:bookmarkEnd w:id="167"/>
      <w:bookmarkEnd w:id="168"/>
      <w:bookmarkEnd w:id="169"/>
      <w:bookmarkEnd w:id="170"/>
    </w:p>
    <w:p w14:paraId="0289A208" w14:textId="7EB62B61" w:rsidR="00DC6EA4" w:rsidRPr="001A047D" w:rsidRDefault="00DC6EA4" w:rsidP="00DC6EA4">
      <w:pPr>
        <w:pStyle w:val="SingleTxtG"/>
        <w:rPr>
          <w:lang w:val="en-CA"/>
        </w:rPr>
      </w:pPr>
      <w:bookmarkStart w:id="171" w:name="_Toc326162655"/>
      <w:bookmarkStart w:id="172" w:name="_Toc326220770"/>
      <w:r w:rsidRPr="001A047D">
        <w:rPr>
          <w:lang w:val="en-CA"/>
        </w:rPr>
        <w:t>70.</w:t>
      </w:r>
      <w:r w:rsidRPr="001A047D">
        <w:rPr>
          <w:lang w:val="en-CA"/>
        </w:rPr>
        <w:tab/>
        <w:t>Since 2013, the Committee has been requesting a visit to Mexico under article 33 of the Convention. In a press conference held on 30 August 2019, the Under-Secretary for Human Rights of the Ministry of the Interior announced several measures by instruction of the President of Mexico, including recognition of the Committee</w:t>
      </w:r>
      <w:r w:rsidR="00E21FC5" w:rsidRPr="001A047D">
        <w:rPr>
          <w:lang w:val="en-CA"/>
        </w:rPr>
        <w:t>’</w:t>
      </w:r>
      <w:r w:rsidRPr="001A047D">
        <w:rPr>
          <w:lang w:val="en-CA"/>
        </w:rPr>
        <w:t>s competence to hear individual cases and acceptance of the Committee</w:t>
      </w:r>
      <w:r w:rsidR="00E21FC5" w:rsidRPr="001A047D">
        <w:rPr>
          <w:lang w:val="en-CA"/>
        </w:rPr>
        <w:t>’</w:t>
      </w:r>
      <w:r w:rsidRPr="001A047D">
        <w:rPr>
          <w:lang w:val="en-CA"/>
        </w:rPr>
        <w:t>s request to visit the country. The Committee sent a reminder to the State party on 25 September 2018.</w:t>
      </w:r>
    </w:p>
    <w:p w14:paraId="7519AC99" w14:textId="1A7A85F4" w:rsidR="00DC6EA4" w:rsidRPr="001A047D" w:rsidRDefault="00DC6EA4" w:rsidP="00DC6EA4">
      <w:pPr>
        <w:pStyle w:val="SingleTxtG"/>
        <w:rPr>
          <w:lang w:val="en-CA"/>
        </w:rPr>
      </w:pPr>
      <w:r w:rsidRPr="001A047D">
        <w:rPr>
          <w:lang w:val="en-CA"/>
        </w:rPr>
        <w:t>71.</w:t>
      </w:r>
      <w:r w:rsidRPr="001A047D">
        <w:rPr>
          <w:lang w:val="en-CA"/>
        </w:rPr>
        <w:tab/>
        <w:t>In a note to the State party dated 18 December 2019, the Committee recalled that on 17 October 2019 – in the context of the consideration of the sixth periodic report submitted by Mexico to the Human Rights Committee – the State party</w:t>
      </w:r>
      <w:r w:rsidR="00E21FC5" w:rsidRPr="001A047D">
        <w:rPr>
          <w:lang w:val="en-CA"/>
        </w:rPr>
        <w:t>’</w:t>
      </w:r>
      <w:r w:rsidRPr="001A047D">
        <w:rPr>
          <w:lang w:val="en-CA"/>
        </w:rPr>
        <w:t>s delegation had reported that the President of Mexico had recently ordered Federal Government institutions to accept the competence of the Committee with respect to receiving individual communications, and to invite the Committee to visit Mexico in August 2020 (</w:t>
      </w:r>
      <w:hyperlink r:id="rId53" w:history="1">
        <w:r w:rsidRPr="001A047D">
          <w:rPr>
            <w:rStyle w:val="Hyperlink"/>
            <w:lang w:val="en-CA"/>
          </w:rPr>
          <w:t>CCPR/C/SR.3654</w:t>
        </w:r>
      </w:hyperlink>
      <w:r w:rsidRPr="001A047D">
        <w:rPr>
          <w:lang w:val="en-CA"/>
        </w:rPr>
        <w:t xml:space="preserve">, para. 63). In the note, the Committee therefore requested information from the State party on the implementation of those measures, and invited the State party to appoint a focal point to enable the Committee and its secretariat to make the necessary arrangements in terms of the logistics, modalities and agenda of the visit reportedly planned for August 2020. As at the date of the present report, the Committee had received no reply to that note. </w:t>
      </w:r>
    </w:p>
    <w:p w14:paraId="0495D7C4" w14:textId="77777777" w:rsidR="00DC6EA4" w:rsidRPr="001A047D" w:rsidRDefault="00DC6EA4" w:rsidP="00DC6EA4">
      <w:pPr>
        <w:rPr>
          <w:b/>
          <w:sz w:val="28"/>
          <w:lang w:val="en-CA"/>
        </w:rPr>
      </w:pPr>
      <w:r w:rsidRPr="001A047D">
        <w:rPr>
          <w:lang w:val="en-CA"/>
        </w:rPr>
        <w:br w:type="page"/>
      </w:r>
    </w:p>
    <w:p w14:paraId="0383303B" w14:textId="77777777" w:rsidR="00DC6EA4" w:rsidRPr="001A047D" w:rsidRDefault="00DC6EA4" w:rsidP="00DC6EA4">
      <w:pPr>
        <w:pStyle w:val="HChG"/>
        <w:rPr>
          <w:lang w:val="en-CA"/>
        </w:rPr>
      </w:pPr>
      <w:r w:rsidRPr="001A047D">
        <w:rPr>
          <w:lang w:val="en-CA"/>
        </w:rPr>
        <w:lastRenderedPageBreak/>
        <w:tab/>
      </w:r>
      <w:r w:rsidRPr="001A047D">
        <w:rPr>
          <w:lang w:val="en-CA"/>
        </w:rPr>
        <w:tab/>
      </w:r>
      <w:bookmarkStart w:id="173" w:name="_Toc43905498"/>
      <w:bookmarkStart w:id="174" w:name="_Toc43906579"/>
      <w:bookmarkStart w:id="175" w:name="_Toc43996450"/>
      <w:r w:rsidRPr="001A047D">
        <w:rPr>
          <w:lang w:val="en-CA"/>
        </w:rPr>
        <w:t>Chapter XIII</w:t>
      </w:r>
      <w:r w:rsidRPr="001A047D">
        <w:rPr>
          <w:lang w:val="en-CA"/>
        </w:rPr>
        <w:br/>
        <w:t>Guiding principles for the search for disappeared persons</w:t>
      </w:r>
      <w:bookmarkEnd w:id="173"/>
      <w:bookmarkEnd w:id="174"/>
      <w:bookmarkEnd w:id="175"/>
    </w:p>
    <w:p w14:paraId="5ADDF97C" w14:textId="77777777" w:rsidR="00DC6EA4" w:rsidRPr="001A047D" w:rsidRDefault="00DC6EA4" w:rsidP="00DC6EA4">
      <w:pPr>
        <w:pStyle w:val="SingleTxtG"/>
        <w:rPr>
          <w:lang w:val="en-CA"/>
        </w:rPr>
      </w:pPr>
      <w:r w:rsidRPr="001A047D">
        <w:rPr>
          <w:lang w:val="en-CA"/>
        </w:rPr>
        <w:t>72.</w:t>
      </w:r>
      <w:r w:rsidRPr="001A047D">
        <w:rPr>
          <w:lang w:val="en-CA"/>
        </w:rPr>
        <w:tab/>
        <w:t>In September 2019, the International Committee of the Red Cross and the Swiss Peace Foundation organized a two-day workshop in Amman, at which experts and practitioners from different regions discussed the way forward for the dissemination and implementation of the guiding principles for the search for disappeared persons. Two members of the Committee participated in the workshop.</w:t>
      </w:r>
    </w:p>
    <w:p w14:paraId="10B8F0C7" w14:textId="6AF218AF" w:rsidR="00DC6EA4" w:rsidRPr="001A047D" w:rsidRDefault="00DC6EA4" w:rsidP="00DC6EA4">
      <w:pPr>
        <w:pStyle w:val="SingleTxtG"/>
        <w:rPr>
          <w:lang w:val="en-CA"/>
        </w:rPr>
      </w:pPr>
      <w:r w:rsidRPr="001A047D">
        <w:rPr>
          <w:lang w:val="en-CA"/>
        </w:rPr>
        <w:t>73.</w:t>
      </w:r>
      <w:r w:rsidRPr="001A047D">
        <w:rPr>
          <w:lang w:val="en-CA"/>
        </w:rPr>
        <w:tab/>
        <w:t>At its seventeenth session, the Committee organized a private meeting with the Swiss Peace Foundation on the results of and follow-up to the workshop. In March 2020, a member of the Committee and a member of its secretariat participated in a follow-up event organized by the Swiss Peace Foundation on strategies to promote coordination between the search for disappeared persons and the investigation of their disappearance.</w:t>
      </w:r>
    </w:p>
    <w:p w14:paraId="21F9B6E5" w14:textId="77777777" w:rsidR="00DC6EA4" w:rsidRPr="001A047D" w:rsidRDefault="00DC6EA4" w:rsidP="00DC6EA4">
      <w:pPr>
        <w:pStyle w:val="SingleTxtG"/>
        <w:rPr>
          <w:lang w:val="en-CA"/>
        </w:rPr>
      </w:pPr>
      <w:r w:rsidRPr="001A047D">
        <w:rPr>
          <w:lang w:val="en-CA"/>
        </w:rPr>
        <w:t>74.</w:t>
      </w:r>
      <w:r w:rsidRPr="001A047D">
        <w:rPr>
          <w:lang w:val="en-CA"/>
        </w:rPr>
        <w:tab/>
        <w:t>The guiding principles have been translated in German and Nepalese. The OHCHR Office in Mexico released an illustrated version of the guiding principles in Spanish. The Committee is pursuing the dissemination of the guiding principles by including references to them in its recommendations in the context of its urgent action procedure.</w:t>
      </w:r>
      <w:bookmarkStart w:id="176" w:name="_Toc326162663"/>
      <w:bookmarkStart w:id="177" w:name="_Toc326220778"/>
      <w:bookmarkStart w:id="178" w:name="_Toc460489561"/>
      <w:bookmarkEnd w:id="171"/>
      <w:bookmarkEnd w:id="172"/>
    </w:p>
    <w:p w14:paraId="03EA364D" w14:textId="77777777" w:rsidR="00DC6EA4" w:rsidRPr="001A047D" w:rsidRDefault="00DC6EA4" w:rsidP="00DC6EA4">
      <w:pPr>
        <w:rPr>
          <w:lang w:val="en-CA"/>
        </w:rPr>
      </w:pPr>
      <w:r w:rsidRPr="001A047D">
        <w:rPr>
          <w:lang w:val="en-CA"/>
        </w:rPr>
        <w:br w:type="page"/>
      </w:r>
    </w:p>
    <w:p w14:paraId="4B31E9E9" w14:textId="77777777" w:rsidR="00DC6EA4" w:rsidRPr="001A047D" w:rsidRDefault="00DC6EA4" w:rsidP="00DC6EA4">
      <w:pPr>
        <w:pStyle w:val="HChG"/>
        <w:rPr>
          <w:lang w:val="en-CA"/>
        </w:rPr>
      </w:pPr>
      <w:bookmarkStart w:id="179" w:name="_Toc522200480"/>
      <w:bookmarkStart w:id="180" w:name="_Toc43905499"/>
      <w:bookmarkStart w:id="181" w:name="_Toc43906580"/>
      <w:bookmarkStart w:id="182" w:name="_Toc43996451"/>
      <w:r w:rsidRPr="001A047D">
        <w:rPr>
          <w:lang w:val="en-CA"/>
        </w:rPr>
        <w:lastRenderedPageBreak/>
        <w:t>Annex</w:t>
      </w:r>
      <w:bookmarkEnd w:id="176"/>
      <w:bookmarkEnd w:id="177"/>
      <w:bookmarkEnd w:id="178"/>
      <w:bookmarkEnd w:id="179"/>
      <w:bookmarkEnd w:id="180"/>
      <w:bookmarkEnd w:id="181"/>
      <w:bookmarkEnd w:id="182"/>
    </w:p>
    <w:p w14:paraId="54E7637D" w14:textId="77777777" w:rsidR="00DC6EA4" w:rsidRPr="001A047D" w:rsidRDefault="00DC6EA4" w:rsidP="00DC6EA4">
      <w:pPr>
        <w:pStyle w:val="HChG"/>
        <w:rPr>
          <w:lang w:val="en-CA"/>
        </w:rPr>
      </w:pPr>
      <w:bookmarkStart w:id="183" w:name="_Toc326162664"/>
      <w:bookmarkStart w:id="184" w:name="_Toc326220779"/>
      <w:bookmarkStart w:id="185" w:name="_Toc460489562"/>
      <w:bookmarkStart w:id="186" w:name="_Toc522200481"/>
      <w:r w:rsidRPr="001A047D">
        <w:rPr>
          <w:lang w:val="en-CA" w:eastAsia="en-GB"/>
        </w:rPr>
        <w:tab/>
      </w:r>
      <w:r w:rsidRPr="001A047D">
        <w:rPr>
          <w:lang w:val="en-CA" w:eastAsia="en-GB"/>
        </w:rPr>
        <w:tab/>
      </w:r>
      <w:bookmarkStart w:id="187" w:name="_Toc43905500"/>
      <w:bookmarkStart w:id="188" w:name="_Toc43906581"/>
      <w:bookmarkStart w:id="189" w:name="_Toc43996452"/>
      <w:r w:rsidRPr="001A047D">
        <w:rPr>
          <w:lang w:val="en-CA" w:eastAsia="en-GB"/>
        </w:rPr>
        <w:t>States parties to the Convention as at 4 May 2020</w:t>
      </w:r>
      <w:r w:rsidRPr="001A047D">
        <w:rPr>
          <w:lang w:val="en-CA"/>
        </w:rPr>
        <w:t xml:space="preserve"> and their </w:t>
      </w:r>
      <w:bookmarkEnd w:id="183"/>
      <w:bookmarkEnd w:id="184"/>
      <w:bookmarkEnd w:id="185"/>
      <w:bookmarkEnd w:id="186"/>
      <w:r w:rsidRPr="001A047D">
        <w:rPr>
          <w:lang w:val="en-CA" w:eastAsia="en-GB"/>
        </w:rPr>
        <w:t>reporting status</w:t>
      </w:r>
      <w:bookmarkEnd w:id="187"/>
      <w:bookmarkEnd w:id="188"/>
      <w:bookmarkEnd w:id="18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2"/>
        <w:gridCol w:w="1343"/>
        <w:gridCol w:w="1318"/>
        <w:gridCol w:w="1661"/>
        <w:gridCol w:w="1416"/>
      </w:tblGrid>
      <w:tr w:rsidR="00DC6EA4" w:rsidRPr="001A047D" w14:paraId="171FD299" w14:textId="77777777" w:rsidTr="00DC6EA4">
        <w:trPr>
          <w:tblHeader/>
        </w:trPr>
        <w:tc>
          <w:tcPr>
            <w:tcW w:w="1632" w:type="dxa"/>
            <w:tcBorders>
              <w:top w:val="single" w:sz="4" w:space="0" w:color="auto"/>
              <w:bottom w:val="single" w:sz="12" w:space="0" w:color="auto"/>
            </w:tcBorders>
            <w:shd w:val="clear" w:color="auto" w:fill="auto"/>
            <w:vAlign w:val="bottom"/>
          </w:tcPr>
          <w:p w14:paraId="4BE09610" w14:textId="77777777" w:rsidR="00DC6EA4" w:rsidRPr="001A047D" w:rsidRDefault="00DC6EA4" w:rsidP="00DC6EA4">
            <w:pPr>
              <w:spacing w:before="80" w:after="80" w:line="200" w:lineRule="exact"/>
              <w:ind w:right="113"/>
              <w:rPr>
                <w:i/>
                <w:sz w:val="16"/>
                <w:lang w:val="en-CA"/>
              </w:rPr>
            </w:pPr>
            <w:r w:rsidRPr="001A047D">
              <w:rPr>
                <w:i/>
                <w:sz w:val="16"/>
                <w:lang w:val="en-CA"/>
              </w:rPr>
              <w:t xml:space="preserve">State </w:t>
            </w:r>
            <w:r w:rsidRPr="001A047D">
              <w:rPr>
                <w:rFonts w:eastAsia="Malgun Gothic"/>
                <w:i/>
                <w:sz w:val="16"/>
                <w:lang w:val="en-CA" w:eastAsia="en-GB"/>
              </w:rPr>
              <w:t>party (in order of ratification)</w:t>
            </w:r>
          </w:p>
        </w:tc>
        <w:tc>
          <w:tcPr>
            <w:tcW w:w="1343" w:type="dxa"/>
            <w:tcBorders>
              <w:top w:val="single" w:sz="4" w:space="0" w:color="auto"/>
              <w:bottom w:val="single" w:sz="12" w:space="0" w:color="auto"/>
            </w:tcBorders>
            <w:shd w:val="clear" w:color="auto" w:fill="auto"/>
            <w:vAlign w:val="bottom"/>
          </w:tcPr>
          <w:p w14:paraId="02761ACE" w14:textId="7BF64FC0" w:rsidR="00DC6EA4" w:rsidRPr="001A047D" w:rsidRDefault="00DC6EA4" w:rsidP="00F5503D">
            <w:pPr>
              <w:spacing w:before="80" w:after="80" w:line="200" w:lineRule="exact"/>
              <w:ind w:right="113"/>
              <w:jc w:val="right"/>
              <w:rPr>
                <w:i/>
                <w:sz w:val="16"/>
                <w:lang w:val="en-CA"/>
              </w:rPr>
            </w:pPr>
            <w:r w:rsidRPr="001A047D">
              <w:rPr>
                <w:rFonts w:eastAsia="Malgun Gothic"/>
                <w:i/>
                <w:sz w:val="16"/>
                <w:lang w:val="en-CA" w:eastAsia="en-GB"/>
              </w:rPr>
              <w:t>Ratification/</w:t>
            </w:r>
            <w:r w:rsidR="00F5503D" w:rsidRPr="001A047D">
              <w:rPr>
                <w:rFonts w:eastAsia="Malgun Gothic"/>
                <w:i/>
                <w:sz w:val="16"/>
                <w:lang w:val="en-CA" w:eastAsia="en-GB"/>
              </w:rPr>
              <w:br/>
            </w:r>
            <w:r w:rsidRPr="001A047D">
              <w:rPr>
                <w:rFonts w:eastAsia="Malgun Gothic"/>
                <w:i/>
                <w:sz w:val="16"/>
                <w:lang w:val="en-CA" w:eastAsia="en-GB"/>
              </w:rPr>
              <w:t>accession</w:t>
            </w:r>
          </w:p>
        </w:tc>
        <w:tc>
          <w:tcPr>
            <w:tcW w:w="1318" w:type="dxa"/>
            <w:tcBorders>
              <w:top w:val="single" w:sz="4" w:space="0" w:color="auto"/>
              <w:bottom w:val="single" w:sz="12" w:space="0" w:color="auto"/>
            </w:tcBorders>
            <w:shd w:val="clear" w:color="auto" w:fill="auto"/>
            <w:vAlign w:val="bottom"/>
          </w:tcPr>
          <w:p w14:paraId="07EF036B" w14:textId="77777777" w:rsidR="00DC6EA4" w:rsidRPr="001A047D" w:rsidRDefault="00DC6EA4" w:rsidP="00DC6EA4">
            <w:pPr>
              <w:spacing w:before="80" w:after="80" w:line="200" w:lineRule="exact"/>
              <w:ind w:right="113"/>
              <w:jc w:val="right"/>
              <w:rPr>
                <w:rFonts w:eastAsia="Malgun Gothic"/>
                <w:i/>
                <w:sz w:val="16"/>
                <w:lang w:val="en-CA" w:eastAsia="en-GB"/>
              </w:rPr>
            </w:pPr>
            <w:r w:rsidRPr="001A047D">
              <w:rPr>
                <w:rFonts w:eastAsia="Malgun Gothic"/>
                <w:i/>
                <w:sz w:val="16"/>
                <w:lang w:val="en-CA" w:eastAsia="en-GB"/>
              </w:rPr>
              <w:t>Entry into force</w:t>
            </w:r>
          </w:p>
        </w:tc>
        <w:tc>
          <w:tcPr>
            <w:tcW w:w="1661" w:type="dxa"/>
            <w:tcBorders>
              <w:top w:val="single" w:sz="4" w:space="0" w:color="auto"/>
              <w:bottom w:val="single" w:sz="12" w:space="0" w:color="auto"/>
            </w:tcBorders>
            <w:shd w:val="clear" w:color="auto" w:fill="auto"/>
            <w:vAlign w:val="bottom"/>
          </w:tcPr>
          <w:p w14:paraId="7762DB48" w14:textId="77777777" w:rsidR="00DC6EA4" w:rsidRPr="001A047D" w:rsidRDefault="00DC6EA4" w:rsidP="00DC6EA4">
            <w:pPr>
              <w:spacing w:before="80" w:after="80" w:line="200" w:lineRule="exact"/>
              <w:ind w:right="113"/>
              <w:jc w:val="right"/>
              <w:rPr>
                <w:rFonts w:eastAsia="Malgun Gothic"/>
                <w:i/>
                <w:sz w:val="16"/>
                <w:lang w:val="en-CA" w:eastAsia="en-GB"/>
              </w:rPr>
            </w:pPr>
            <w:r w:rsidRPr="001A047D">
              <w:rPr>
                <w:rFonts w:eastAsia="Malgun Gothic"/>
                <w:i/>
                <w:sz w:val="16"/>
                <w:lang w:val="en-CA" w:eastAsia="en-GB"/>
              </w:rPr>
              <w:t xml:space="preserve">Deadline for reporting under art. </w:t>
            </w:r>
            <w:r w:rsidRPr="001A047D">
              <w:rPr>
                <w:rFonts w:eastAsia="Malgun Gothic"/>
                <w:i/>
                <w:sz w:val="16"/>
                <w:lang w:val="en-CA" w:eastAsia="ko-KR"/>
              </w:rPr>
              <w:t>2</w:t>
            </w:r>
            <w:r w:rsidRPr="001A047D">
              <w:rPr>
                <w:rFonts w:eastAsia="Malgun Gothic"/>
                <w:i/>
                <w:sz w:val="16"/>
                <w:lang w:val="en-CA" w:eastAsia="en-GB"/>
              </w:rPr>
              <w:t>9 (1)</w:t>
            </w:r>
          </w:p>
        </w:tc>
        <w:tc>
          <w:tcPr>
            <w:tcW w:w="1416" w:type="dxa"/>
            <w:tcBorders>
              <w:top w:val="single" w:sz="4" w:space="0" w:color="auto"/>
              <w:bottom w:val="single" w:sz="12" w:space="0" w:color="auto"/>
            </w:tcBorders>
            <w:shd w:val="clear" w:color="auto" w:fill="auto"/>
            <w:vAlign w:val="bottom"/>
          </w:tcPr>
          <w:p w14:paraId="2683534F" w14:textId="77777777" w:rsidR="00DC6EA4" w:rsidRPr="001A047D" w:rsidRDefault="00DC6EA4" w:rsidP="00DC6EA4">
            <w:pPr>
              <w:spacing w:before="80" w:after="80" w:line="200" w:lineRule="exact"/>
              <w:ind w:right="113"/>
              <w:jc w:val="right"/>
              <w:rPr>
                <w:rFonts w:eastAsia="Malgun Gothic"/>
                <w:i/>
                <w:sz w:val="16"/>
                <w:lang w:val="en-CA" w:eastAsia="en-GB"/>
              </w:rPr>
            </w:pPr>
            <w:r w:rsidRPr="001A047D">
              <w:rPr>
                <w:rFonts w:eastAsia="Malgun Gothic"/>
                <w:i/>
                <w:sz w:val="16"/>
                <w:lang w:val="en-CA" w:eastAsia="en-GB"/>
              </w:rPr>
              <w:t>Report submitted</w:t>
            </w:r>
          </w:p>
        </w:tc>
      </w:tr>
      <w:tr w:rsidR="00DC6EA4" w:rsidRPr="001A047D" w14:paraId="046A8A67" w14:textId="77777777" w:rsidTr="00DC6EA4">
        <w:tc>
          <w:tcPr>
            <w:tcW w:w="1632" w:type="dxa"/>
            <w:tcBorders>
              <w:top w:val="single" w:sz="12" w:space="0" w:color="auto"/>
            </w:tcBorders>
            <w:shd w:val="clear" w:color="auto" w:fill="auto"/>
          </w:tcPr>
          <w:p w14:paraId="3ADEE357" w14:textId="4773271A" w:rsidR="00DC6EA4" w:rsidRPr="001A047D" w:rsidRDefault="00DC6EA4" w:rsidP="00DC6EA4">
            <w:pPr>
              <w:spacing w:before="40" w:after="40" w:line="220" w:lineRule="exact"/>
              <w:ind w:right="113"/>
              <w:rPr>
                <w:b/>
                <w:sz w:val="18"/>
                <w:lang w:val="en-CA"/>
              </w:rPr>
            </w:pPr>
            <w:r w:rsidRPr="001A047D">
              <w:rPr>
                <w:rFonts w:eastAsia="Malgun Gothic"/>
                <w:b/>
                <w:sz w:val="18"/>
                <w:lang w:val="en-CA" w:eastAsia="en-GB"/>
              </w:rPr>
              <w:t>Albania</w:t>
            </w:r>
            <w:r w:rsidR="0017426B" w:rsidRPr="001A047D">
              <w:rPr>
                <w:rFonts w:eastAsia="Malgun Gothic"/>
                <w:sz w:val="18"/>
                <w:lang w:val="en-CA" w:eastAsia="en-GB"/>
              </w:rPr>
              <w:t>*</w:t>
            </w:r>
          </w:p>
        </w:tc>
        <w:tc>
          <w:tcPr>
            <w:tcW w:w="1343" w:type="dxa"/>
            <w:tcBorders>
              <w:top w:val="single" w:sz="12" w:space="0" w:color="auto"/>
            </w:tcBorders>
            <w:shd w:val="clear" w:color="auto" w:fill="auto"/>
            <w:vAlign w:val="bottom"/>
          </w:tcPr>
          <w:p w14:paraId="13C45D72"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8 Nov. 2007</w:t>
            </w:r>
          </w:p>
        </w:tc>
        <w:tc>
          <w:tcPr>
            <w:tcW w:w="1318" w:type="dxa"/>
            <w:tcBorders>
              <w:top w:val="single" w:sz="12" w:space="0" w:color="auto"/>
            </w:tcBorders>
            <w:shd w:val="clear" w:color="auto" w:fill="auto"/>
            <w:vAlign w:val="bottom"/>
          </w:tcPr>
          <w:p w14:paraId="6F4193E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tcBorders>
              <w:top w:val="single" w:sz="12" w:space="0" w:color="auto"/>
            </w:tcBorders>
            <w:shd w:val="clear" w:color="auto" w:fill="auto"/>
            <w:vAlign w:val="bottom"/>
          </w:tcPr>
          <w:p w14:paraId="41D4460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tcBorders>
              <w:top w:val="single" w:sz="12" w:space="0" w:color="auto"/>
            </w:tcBorders>
            <w:shd w:val="clear" w:color="auto" w:fill="auto"/>
            <w:vAlign w:val="bottom"/>
          </w:tcPr>
          <w:p w14:paraId="078E980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11 Nov. 2015</w:t>
            </w:r>
          </w:p>
        </w:tc>
      </w:tr>
      <w:tr w:rsidR="00DC6EA4" w:rsidRPr="001A047D" w14:paraId="76CC2EC3" w14:textId="77777777" w:rsidTr="00DC6EA4">
        <w:tc>
          <w:tcPr>
            <w:tcW w:w="1632" w:type="dxa"/>
            <w:shd w:val="clear" w:color="auto" w:fill="auto"/>
          </w:tcPr>
          <w:p w14:paraId="064C46B2" w14:textId="2101181C" w:rsidR="00DC6EA4" w:rsidRPr="001A047D" w:rsidRDefault="00DC6EA4" w:rsidP="00DC6EA4">
            <w:pPr>
              <w:spacing w:before="40" w:after="40" w:line="220" w:lineRule="exact"/>
              <w:ind w:right="113"/>
              <w:rPr>
                <w:b/>
                <w:sz w:val="18"/>
                <w:lang w:val="en-CA"/>
              </w:rPr>
            </w:pPr>
            <w:r w:rsidRPr="001A047D">
              <w:rPr>
                <w:rFonts w:eastAsia="Malgun Gothic"/>
                <w:b/>
                <w:sz w:val="18"/>
                <w:lang w:val="en-CA" w:eastAsia="en-GB"/>
              </w:rPr>
              <w:t>Argentina</w:t>
            </w:r>
            <w:r w:rsidR="0017426B" w:rsidRPr="001A047D">
              <w:rPr>
                <w:rFonts w:eastAsia="Malgun Gothic"/>
                <w:sz w:val="18"/>
                <w:lang w:val="en-CA" w:eastAsia="en-GB"/>
              </w:rPr>
              <w:t>*</w:t>
            </w:r>
          </w:p>
        </w:tc>
        <w:tc>
          <w:tcPr>
            <w:tcW w:w="1343" w:type="dxa"/>
            <w:shd w:val="clear" w:color="auto" w:fill="auto"/>
            <w:vAlign w:val="bottom"/>
          </w:tcPr>
          <w:p w14:paraId="3740D3C3"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14 Dec. 2007</w:t>
            </w:r>
          </w:p>
        </w:tc>
        <w:tc>
          <w:tcPr>
            <w:tcW w:w="1318" w:type="dxa"/>
            <w:shd w:val="clear" w:color="auto" w:fill="auto"/>
            <w:vAlign w:val="bottom"/>
          </w:tcPr>
          <w:p w14:paraId="4D08A30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5F6400F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1A84E18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21 Dec. 2012</w:t>
            </w:r>
          </w:p>
        </w:tc>
      </w:tr>
      <w:tr w:rsidR="00DC6EA4" w:rsidRPr="001A047D" w14:paraId="2DEFEE95" w14:textId="77777777" w:rsidTr="00DC6EA4">
        <w:tc>
          <w:tcPr>
            <w:tcW w:w="1632" w:type="dxa"/>
            <w:shd w:val="clear" w:color="auto" w:fill="auto"/>
          </w:tcPr>
          <w:p w14:paraId="122AD652"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Mexico</w:t>
            </w:r>
          </w:p>
        </w:tc>
        <w:tc>
          <w:tcPr>
            <w:tcW w:w="1343" w:type="dxa"/>
            <w:shd w:val="clear" w:color="auto" w:fill="auto"/>
            <w:vAlign w:val="bottom"/>
          </w:tcPr>
          <w:p w14:paraId="106CB56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18 Mar. 2008</w:t>
            </w:r>
          </w:p>
        </w:tc>
        <w:tc>
          <w:tcPr>
            <w:tcW w:w="1318" w:type="dxa"/>
            <w:shd w:val="clear" w:color="auto" w:fill="auto"/>
            <w:vAlign w:val="bottom"/>
          </w:tcPr>
          <w:p w14:paraId="3578BB7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73BC85C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2265941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11 Mar. 2014</w:t>
            </w:r>
          </w:p>
        </w:tc>
      </w:tr>
      <w:tr w:rsidR="00DC6EA4" w:rsidRPr="001A047D" w14:paraId="1FE4E781" w14:textId="77777777" w:rsidTr="00DC6EA4">
        <w:tc>
          <w:tcPr>
            <w:tcW w:w="1632" w:type="dxa"/>
            <w:shd w:val="clear" w:color="auto" w:fill="auto"/>
          </w:tcPr>
          <w:p w14:paraId="68A09FFF"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Honduras</w:t>
            </w:r>
          </w:p>
        </w:tc>
        <w:tc>
          <w:tcPr>
            <w:tcW w:w="1343" w:type="dxa"/>
            <w:shd w:val="clear" w:color="auto" w:fill="auto"/>
            <w:vAlign w:val="bottom"/>
          </w:tcPr>
          <w:p w14:paraId="7526D99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 Apr. 2008</w:t>
            </w:r>
          </w:p>
        </w:tc>
        <w:tc>
          <w:tcPr>
            <w:tcW w:w="1318" w:type="dxa"/>
            <w:shd w:val="clear" w:color="auto" w:fill="auto"/>
            <w:vAlign w:val="bottom"/>
          </w:tcPr>
          <w:p w14:paraId="6E77766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780594B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09265DB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4 Feb. 2016</w:t>
            </w:r>
          </w:p>
        </w:tc>
      </w:tr>
      <w:tr w:rsidR="00DC6EA4" w:rsidRPr="001A047D" w14:paraId="5F53C575" w14:textId="77777777" w:rsidTr="00DC6EA4">
        <w:tc>
          <w:tcPr>
            <w:tcW w:w="1632" w:type="dxa"/>
            <w:shd w:val="clear" w:color="auto" w:fill="auto"/>
          </w:tcPr>
          <w:p w14:paraId="2B920D0A" w14:textId="15E897CE" w:rsidR="00DC6EA4" w:rsidRPr="001A047D" w:rsidRDefault="00DC6EA4" w:rsidP="00DC6EA4">
            <w:pPr>
              <w:spacing w:before="40" w:after="40" w:line="220" w:lineRule="exact"/>
              <w:ind w:right="113"/>
              <w:rPr>
                <w:b/>
                <w:sz w:val="18"/>
                <w:lang w:val="en-CA"/>
              </w:rPr>
            </w:pPr>
            <w:r w:rsidRPr="001A047D">
              <w:rPr>
                <w:b/>
                <w:sz w:val="18"/>
                <w:lang w:val="en-CA"/>
              </w:rPr>
              <w:t>France</w:t>
            </w:r>
            <w:r w:rsidR="0017426B" w:rsidRPr="001A047D">
              <w:rPr>
                <w:rFonts w:eastAsia="Malgun Gothic"/>
                <w:sz w:val="18"/>
                <w:lang w:val="en-CA" w:eastAsia="en-GB"/>
              </w:rPr>
              <w:t>*</w:t>
            </w:r>
          </w:p>
        </w:tc>
        <w:tc>
          <w:tcPr>
            <w:tcW w:w="1343" w:type="dxa"/>
            <w:shd w:val="clear" w:color="auto" w:fill="auto"/>
            <w:vAlign w:val="bottom"/>
          </w:tcPr>
          <w:p w14:paraId="1D0B15EC"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23 Sept. 2008</w:t>
            </w:r>
          </w:p>
        </w:tc>
        <w:tc>
          <w:tcPr>
            <w:tcW w:w="1318" w:type="dxa"/>
            <w:shd w:val="clear" w:color="auto" w:fill="auto"/>
            <w:vAlign w:val="bottom"/>
          </w:tcPr>
          <w:p w14:paraId="4D54B7A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461769D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0B44894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21 Dec. 2012</w:t>
            </w:r>
          </w:p>
        </w:tc>
      </w:tr>
      <w:tr w:rsidR="00DC6EA4" w:rsidRPr="001A047D" w14:paraId="4AC8B7BF" w14:textId="77777777" w:rsidTr="00DC6EA4">
        <w:tc>
          <w:tcPr>
            <w:tcW w:w="1632" w:type="dxa"/>
            <w:shd w:val="clear" w:color="auto" w:fill="auto"/>
          </w:tcPr>
          <w:p w14:paraId="2BCAF0B9"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Senegal</w:t>
            </w:r>
          </w:p>
        </w:tc>
        <w:tc>
          <w:tcPr>
            <w:tcW w:w="1343" w:type="dxa"/>
            <w:shd w:val="clear" w:color="auto" w:fill="auto"/>
            <w:vAlign w:val="bottom"/>
          </w:tcPr>
          <w:p w14:paraId="2381AD2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11 Dec. 2008</w:t>
            </w:r>
          </w:p>
        </w:tc>
        <w:tc>
          <w:tcPr>
            <w:tcW w:w="1318" w:type="dxa"/>
            <w:shd w:val="clear" w:color="auto" w:fill="auto"/>
            <w:vAlign w:val="bottom"/>
          </w:tcPr>
          <w:p w14:paraId="40DD1AC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7D59C53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77EFEFA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28 Apr. 2015</w:t>
            </w:r>
          </w:p>
        </w:tc>
      </w:tr>
      <w:tr w:rsidR="00DC6EA4" w:rsidRPr="001A047D" w14:paraId="0DF56BE0" w14:textId="77777777" w:rsidTr="00DC6EA4">
        <w:tc>
          <w:tcPr>
            <w:tcW w:w="1632" w:type="dxa"/>
            <w:shd w:val="clear" w:color="auto" w:fill="auto"/>
          </w:tcPr>
          <w:p w14:paraId="113E0683"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Bolivia (Plurinational State of)</w:t>
            </w:r>
          </w:p>
        </w:tc>
        <w:tc>
          <w:tcPr>
            <w:tcW w:w="1343" w:type="dxa"/>
            <w:shd w:val="clear" w:color="auto" w:fill="auto"/>
            <w:vAlign w:val="bottom"/>
          </w:tcPr>
          <w:p w14:paraId="138C873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Dec. 2008</w:t>
            </w:r>
          </w:p>
        </w:tc>
        <w:tc>
          <w:tcPr>
            <w:tcW w:w="1318" w:type="dxa"/>
            <w:shd w:val="clear" w:color="auto" w:fill="auto"/>
            <w:vAlign w:val="bottom"/>
          </w:tcPr>
          <w:p w14:paraId="112B0DB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3BBAC23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06B94E1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28 Sept. 2018</w:t>
            </w:r>
          </w:p>
        </w:tc>
      </w:tr>
      <w:tr w:rsidR="00DC6EA4" w:rsidRPr="001A047D" w14:paraId="26CE4F26" w14:textId="77777777" w:rsidTr="00DC6EA4">
        <w:tc>
          <w:tcPr>
            <w:tcW w:w="1632" w:type="dxa"/>
            <w:shd w:val="clear" w:color="auto" w:fill="auto"/>
          </w:tcPr>
          <w:p w14:paraId="1B38279A"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Cuba</w:t>
            </w:r>
          </w:p>
        </w:tc>
        <w:tc>
          <w:tcPr>
            <w:tcW w:w="1343" w:type="dxa"/>
            <w:shd w:val="clear" w:color="auto" w:fill="auto"/>
            <w:vAlign w:val="bottom"/>
          </w:tcPr>
          <w:p w14:paraId="5453ED6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Feb. 2009</w:t>
            </w:r>
          </w:p>
        </w:tc>
        <w:tc>
          <w:tcPr>
            <w:tcW w:w="1318" w:type="dxa"/>
            <w:shd w:val="clear" w:color="auto" w:fill="auto"/>
            <w:vAlign w:val="bottom"/>
          </w:tcPr>
          <w:p w14:paraId="32C7539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23DDE90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13405A2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Apr. 2015</w:t>
            </w:r>
          </w:p>
        </w:tc>
      </w:tr>
      <w:tr w:rsidR="00DC6EA4" w:rsidRPr="001A047D" w14:paraId="03DDF1BA" w14:textId="77777777" w:rsidTr="00DC6EA4">
        <w:tc>
          <w:tcPr>
            <w:tcW w:w="1632" w:type="dxa"/>
            <w:shd w:val="clear" w:color="auto" w:fill="auto"/>
          </w:tcPr>
          <w:p w14:paraId="53BF3042" w14:textId="77777777" w:rsidR="00DC6EA4" w:rsidRPr="001A047D" w:rsidRDefault="00DC6EA4" w:rsidP="00DC6EA4">
            <w:pPr>
              <w:spacing w:before="40" w:after="40" w:line="220" w:lineRule="exact"/>
              <w:ind w:right="113"/>
              <w:rPr>
                <w:b/>
                <w:sz w:val="18"/>
                <w:lang w:val="en-CA"/>
              </w:rPr>
            </w:pPr>
            <w:r w:rsidRPr="001A047D">
              <w:rPr>
                <w:b/>
                <w:sz w:val="18"/>
                <w:lang w:val="en-CA"/>
              </w:rPr>
              <w:t>Kazakhstan</w:t>
            </w:r>
          </w:p>
        </w:tc>
        <w:tc>
          <w:tcPr>
            <w:tcW w:w="1343" w:type="dxa"/>
            <w:shd w:val="clear" w:color="auto" w:fill="auto"/>
            <w:vAlign w:val="bottom"/>
          </w:tcPr>
          <w:p w14:paraId="68AB2A7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Feb. 2009</w:t>
            </w:r>
          </w:p>
        </w:tc>
        <w:tc>
          <w:tcPr>
            <w:tcW w:w="1318" w:type="dxa"/>
            <w:shd w:val="clear" w:color="auto" w:fill="auto"/>
            <w:vAlign w:val="bottom"/>
          </w:tcPr>
          <w:p w14:paraId="0988226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469D35E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18294F8F"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3</w:t>
            </w:r>
            <w:r w:rsidRPr="001A047D">
              <w:rPr>
                <w:sz w:val="18"/>
                <w:lang w:val="en-CA"/>
              </w:rPr>
              <w:t xml:space="preserve"> June </w:t>
            </w:r>
            <w:r w:rsidRPr="001A047D">
              <w:rPr>
                <w:rFonts w:eastAsia="Malgun Gothic"/>
                <w:sz w:val="18"/>
                <w:lang w:val="en-CA" w:eastAsia="en-GB"/>
              </w:rPr>
              <w:t>2014</w:t>
            </w:r>
          </w:p>
        </w:tc>
      </w:tr>
      <w:tr w:rsidR="00DC6EA4" w:rsidRPr="001A047D" w14:paraId="7E6D9305" w14:textId="77777777" w:rsidTr="00DC6EA4">
        <w:tc>
          <w:tcPr>
            <w:tcW w:w="1632" w:type="dxa"/>
            <w:shd w:val="clear" w:color="auto" w:fill="auto"/>
          </w:tcPr>
          <w:p w14:paraId="748F18B3" w14:textId="045F3700"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Uruguay</w:t>
            </w:r>
            <w:r w:rsidR="0017426B" w:rsidRPr="001A047D">
              <w:rPr>
                <w:rFonts w:eastAsia="Malgun Gothic"/>
                <w:sz w:val="18"/>
                <w:lang w:val="en-CA" w:eastAsia="en-GB"/>
              </w:rPr>
              <w:t>*</w:t>
            </w:r>
          </w:p>
        </w:tc>
        <w:tc>
          <w:tcPr>
            <w:tcW w:w="1343" w:type="dxa"/>
            <w:shd w:val="clear" w:color="auto" w:fill="auto"/>
            <w:vAlign w:val="bottom"/>
          </w:tcPr>
          <w:p w14:paraId="30B38AB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4 Mar. 2009</w:t>
            </w:r>
          </w:p>
        </w:tc>
        <w:tc>
          <w:tcPr>
            <w:tcW w:w="1318" w:type="dxa"/>
            <w:shd w:val="clear" w:color="auto" w:fill="auto"/>
            <w:vAlign w:val="bottom"/>
          </w:tcPr>
          <w:p w14:paraId="72DD090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24AF87F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7CFFDA7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4 Sept. 2012</w:t>
            </w:r>
          </w:p>
        </w:tc>
      </w:tr>
      <w:tr w:rsidR="00DC6EA4" w:rsidRPr="001A047D" w14:paraId="369DAF06" w14:textId="77777777" w:rsidTr="00DC6EA4">
        <w:tc>
          <w:tcPr>
            <w:tcW w:w="1632" w:type="dxa"/>
            <w:shd w:val="clear" w:color="auto" w:fill="auto"/>
          </w:tcPr>
          <w:p w14:paraId="4CAE2E36" w14:textId="12BCE63D"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Mali</w:t>
            </w:r>
            <w:r w:rsidR="0017426B" w:rsidRPr="001A047D">
              <w:rPr>
                <w:rFonts w:eastAsia="Malgun Gothic"/>
                <w:sz w:val="18"/>
                <w:lang w:val="en-CA" w:eastAsia="en-GB"/>
              </w:rPr>
              <w:t>*</w:t>
            </w:r>
          </w:p>
        </w:tc>
        <w:tc>
          <w:tcPr>
            <w:tcW w:w="1343" w:type="dxa"/>
            <w:shd w:val="clear" w:color="auto" w:fill="auto"/>
            <w:vAlign w:val="bottom"/>
          </w:tcPr>
          <w:p w14:paraId="512FB02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 July 2009</w:t>
            </w:r>
          </w:p>
        </w:tc>
        <w:tc>
          <w:tcPr>
            <w:tcW w:w="1318" w:type="dxa"/>
            <w:shd w:val="clear" w:color="auto" w:fill="auto"/>
            <w:vAlign w:val="bottom"/>
          </w:tcPr>
          <w:p w14:paraId="2D85762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7413640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26F24068"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38DF5D8A" w14:textId="77777777" w:rsidTr="00DC6EA4">
        <w:tc>
          <w:tcPr>
            <w:tcW w:w="1632" w:type="dxa"/>
            <w:shd w:val="clear" w:color="auto" w:fill="auto"/>
          </w:tcPr>
          <w:p w14:paraId="5A503978" w14:textId="78C9111B"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Japan</w:t>
            </w:r>
            <w:r w:rsidR="0017426B" w:rsidRPr="001A047D">
              <w:rPr>
                <w:rFonts w:eastAsia="Malgun Gothic"/>
                <w:sz w:val="18"/>
                <w:lang w:val="en-CA" w:eastAsia="en-GB"/>
              </w:rPr>
              <w:t>*</w:t>
            </w:r>
          </w:p>
        </w:tc>
        <w:tc>
          <w:tcPr>
            <w:tcW w:w="1343" w:type="dxa"/>
            <w:shd w:val="clear" w:color="auto" w:fill="auto"/>
            <w:vAlign w:val="bottom"/>
          </w:tcPr>
          <w:p w14:paraId="52B9849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July 2009</w:t>
            </w:r>
          </w:p>
        </w:tc>
        <w:tc>
          <w:tcPr>
            <w:tcW w:w="1318" w:type="dxa"/>
            <w:shd w:val="clear" w:color="auto" w:fill="auto"/>
            <w:vAlign w:val="bottom"/>
          </w:tcPr>
          <w:p w14:paraId="3220601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1F12ED8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343037F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22 July 2016</w:t>
            </w:r>
          </w:p>
        </w:tc>
      </w:tr>
      <w:tr w:rsidR="00DC6EA4" w:rsidRPr="001A047D" w14:paraId="05B3A117" w14:textId="77777777" w:rsidTr="00DC6EA4">
        <w:tc>
          <w:tcPr>
            <w:tcW w:w="1632" w:type="dxa"/>
            <w:shd w:val="clear" w:color="auto" w:fill="auto"/>
          </w:tcPr>
          <w:p w14:paraId="6C143F10"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Nigeria</w:t>
            </w:r>
          </w:p>
        </w:tc>
        <w:tc>
          <w:tcPr>
            <w:tcW w:w="1343" w:type="dxa"/>
            <w:shd w:val="clear" w:color="auto" w:fill="auto"/>
            <w:vAlign w:val="bottom"/>
          </w:tcPr>
          <w:p w14:paraId="5FC4310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July 2009</w:t>
            </w:r>
          </w:p>
        </w:tc>
        <w:tc>
          <w:tcPr>
            <w:tcW w:w="1318" w:type="dxa"/>
            <w:shd w:val="clear" w:color="auto" w:fill="auto"/>
            <w:vAlign w:val="bottom"/>
          </w:tcPr>
          <w:p w14:paraId="049A199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26D457E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3B3BF1AF"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4F809410" w14:textId="77777777" w:rsidTr="00DC6EA4">
        <w:tc>
          <w:tcPr>
            <w:tcW w:w="1632" w:type="dxa"/>
            <w:shd w:val="clear" w:color="auto" w:fill="auto"/>
          </w:tcPr>
          <w:p w14:paraId="5737B304" w14:textId="6B1F201D"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Spain</w:t>
            </w:r>
            <w:r w:rsidR="0017426B" w:rsidRPr="001A047D">
              <w:rPr>
                <w:rFonts w:eastAsia="Malgun Gothic"/>
                <w:sz w:val="18"/>
                <w:lang w:val="en-CA" w:eastAsia="en-GB"/>
              </w:rPr>
              <w:t>*</w:t>
            </w:r>
          </w:p>
        </w:tc>
        <w:tc>
          <w:tcPr>
            <w:tcW w:w="1343" w:type="dxa"/>
            <w:shd w:val="clear" w:color="auto" w:fill="auto"/>
            <w:vAlign w:val="bottom"/>
          </w:tcPr>
          <w:p w14:paraId="0EDB7B1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Sept. 2009</w:t>
            </w:r>
          </w:p>
        </w:tc>
        <w:tc>
          <w:tcPr>
            <w:tcW w:w="1318" w:type="dxa"/>
            <w:shd w:val="clear" w:color="auto" w:fill="auto"/>
            <w:vAlign w:val="bottom"/>
          </w:tcPr>
          <w:p w14:paraId="150EFF8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7B6C7D8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0C19A94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Dec. 2012</w:t>
            </w:r>
          </w:p>
        </w:tc>
      </w:tr>
      <w:tr w:rsidR="00DC6EA4" w:rsidRPr="001A047D" w14:paraId="2D8F37D2" w14:textId="77777777" w:rsidTr="00DC6EA4">
        <w:tc>
          <w:tcPr>
            <w:tcW w:w="1632" w:type="dxa"/>
            <w:shd w:val="clear" w:color="auto" w:fill="auto"/>
          </w:tcPr>
          <w:p w14:paraId="12BD0048" w14:textId="79655EAD"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Germany</w:t>
            </w:r>
            <w:r w:rsidR="0017426B" w:rsidRPr="001A047D">
              <w:rPr>
                <w:rFonts w:eastAsia="Malgun Gothic"/>
                <w:sz w:val="18"/>
                <w:lang w:val="en-CA" w:eastAsia="en-GB"/>
              </w:rPr>
              <w:t>*</w:t>
            </w:r>
          </w:p>
        </w:tc>
        <w:tc>
          <w:tcPr>
            <w:tcW w:w="1343" w:type="dxa"/>
            <w:shd w:val="clear" w:color="auto" w:fill="auto"/>
            <w:vAlign w:val="bottom"/>
          </w:tcPr>
          <w:p w14:paraId="77C0952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Sept. 2009</w:t>
            </w:r>
          </w:p>
        </w:tc>
        <w:tc>
          <w:tcPr>
            <w:tcW w:w="1318" w:type="dxa"/>
            <w:shd w:val="clear" w:color="auto" w:fill="auto"/>
            <w:vAlign w:val="bottom"/>
          </w:tcPr>
          <w:p w14:paraId="322718E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20F3ACB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3F369F6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25 Mar. 2013</w:t>
            </w:r>
          </w:p>
        </w:tc>
      </w:tr>
      <w:tr w:rsidR="00DC6EA4" w:rsidRPr="001A047D" w14:paraId="2D02C436" w14:textId="77777777" w:rsidTr="00DC6EA4">
        <w:tc>
          <w:tcPr>
            <w:tcW w:w="1632" w:type="dxa"/>
            <w:shd w:val="clear" w:color="auto" w:fill="auto"/>
          </w:tcPr>
          <w:p w14:paraId="6A5D4C9A" w14:textId="09633FC8"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Ecuador</w:t>
            </w:r>
            <w:r w:rsidR="0017426B" w:rsidRPr="001A047D">
              <w:rPr>
                <w:rFonts w:eastAsia="Malgun Gothic"/>
                <w:sz w:val="18"/>
                <w:lang w:val="en-CA" w:eastAsia="en-GB"/>
              </w:rPr>
              <w:t>*</w:t>
            </w:r>
          </w:p>
        </w:tc>
        <w:tc>
          <w:tcPr>
            <w:tcW w:w="1343" w:type="dxa"/>
            <w:shd w:val="clear" w:color="auto" w:fill="auto"/>
            <w:vAlign w:val="bottom"/>
          </w:tcPr>
          <w:p w14:paraId="18509D9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20 Oct. 2009</w:t>
            </w:r>
          </w:p>
        </w:tc>
        <w:tc>
          <w:tcPr>
            <w:tcW w:w="1318" w:type="dxa"/>
            <w:shd w:val="clear" w:color="auto" w:fill="auto"/>
            <w:vAlign w:val="bottom"/>
          </w:tcPr>
          <w:p w14:paraId="67B9938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555E53D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1EC2AA0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5 June 2015</w:t>
            </w:r>
          </w:p>
        </w:tc>
      </w:tr>
      <w:tr w:rsidR="00DC6EA4" w:rsidRPr="001A047D" w14:paraId="33C162E7" w14:textId="77777777" w:rsidTr="00DC6EA4">
        <w:tc>
          <w:tcPr>
            <w:tcW w:w="1632" w:type="dxa"/>
            <w:shd w:val="clear" w:color="auto" w:fill="auto"/>
          </w:tcPr>
          <w:p w14:paraId="5E2E1F63"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Burkina Faso</w:t>
            </w:r>
          </w:p>
        </w:tc>
        <w:tc>
          <w:tcPr>
            <w:tcW w:w="1343" w:type="dxa"/>
            <w:shd w:val="clear" w:color="auto" w:fill="auto"/>
            <w:vAlign w:val="bottom"/>
          </w:tcPr>
          <w:p w14:paraId="2A76F5A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 Dec. 2009</w:t>
            </w:r>
          </w:p>
        </w:tc>
        <w:tc>
          <w:tcPr>
            <w:tcW w:w="1318" w:type="dxa"/>
            <w:shd w:val="clear" w:color="auto" w:fill="auto"/>
            <w:vAlign w:val="bottom"/>
          </w:tcPr>
          <w:p w14:paraId="30BAD59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0AA0FE7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5D4ED15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7 Oct. 2014</w:t>
            </w:r>
          </w:p>
        </w:tc>
      </w:tr>
      <w:tr w:rsidR="00DC6EA4" w:rsidRPr="001A047D" w14:paraId="6DD5A18F" w14:textId="77777777" w:rsidTr="00DC6EA4">
        <w:tc>
          <w:tcPr>
            <w:tcW w:w="1632" w:type="dxa"/>
            <w:shd w:val="clear" w:color="auto" w:fill="auto"/>
          </w:tcPr>
          <w:p w14:paraId="1CFBF42A" w14:textId="721A1916"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Chile</w:t>
            </w:r>
            <w:r w:rsidR="0017426B" w:rsidRPr="001A047D">
              <w:rPr>
                <w:rFonts w:eastAsia="Malgun Gothic"/>
                <w:sz w:val="18"/>
                <w:lang w:val="en-CA" w:eastAsia="en-GB"/>
              </w:rPr>
              <w:t>*</w:t>
            </w:r>
          </w:p>
        </w:tc>
        <w:tc>
          <w:tcPr>
            <w:tcW w:w="1343" w:type="dxa"/>
            <w:shd w:val="clear" w:color="auto" w:fill="auto"/>
            <w:vAlign w:val="bottom"/>
          </w:tcPr>
          <w:p w14:paraId="08D2A43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8 Dec. 2009</w:t>
            </w:r>
          </w:p>
        </w:tc>
        <w:tc>
          <w:tcPr>
            <w:tcW w:w="1318" w:type="dxa"/>
            <w:shd w:val="clear" w:color="auto" w:fill="auto"/>
            <w:vAlign w:val="bottom"/>
          </w:tcPr>
          <w:p w14:paraId="13F3556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791F644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44578D5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 Dec. 2017</w:t>
            </w:r>
          </w:p>
        </w:tc>
      </w:tr>
      <w:tr w:rsidR="00DC6EA4" w:rsidRPr="001A047D" w14:paraId="0C6520CF" w14:textId="77777777" w:rsidTr="00DC6EA4">
        <w:tc>
          <w:tcPr>
            <w:tcW w:w="1632" w:type="dxa"/>
            <w:shd w:val="clear" w:color="auto" w:fill="auto"/>
          </w:tcPr>
          <w:p w14:paraId="37A3E72E"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Paraguay</w:t>
            </w:r>
          </w:p>
        </w:tc>
        <w:tc>
          <w:tcPr>
            <w:tcW w:w="1343" w:type="dxa"/>
            <w:shd w:val="clear" w:color="auto" w:fill="auto"/>
            <w:vAlign w:val="bottom"/>
          </w:tcPr>
          <w:p w14:paraId="25E8AFD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 Aug. 2010</w:t>
            </w:r>
          </w:p>
        </w:tc>
        <w:tc>
          <w:tcPr>
            <w:tcW w:w="1318" w:type="dxa"/>
            <w:shd w:val="clear" w:color="auto" w:fill="auto"/>
            <w:vAlign w:val="bottom"/>
          </w:tcPr>
          <w:p w14:paraId="6AAECD0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4EFC846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4870046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28 Aug. 2013</w:t>
            </w:r>
          </w:p>
        </w:tc>
      </w:tr>
      <w:tr w:rsidR="00DC6EA4" w:rsidRPr="001A047D" w14:paraId="1592E130" w14:textId="77777777" w:rsidTr="00DC6EA4">
        <w:tc>
          <w:tcPr>
            <w:tcW w:w="1632" w:type="dxa"/>
            <w:shd w:val="clear" w:color="auto" w:fill="auto"/>
          </w:tcPr>
          <w:p w14:paraId="1EA86CAF" w14:textId="77777777" w:rsidR="00DC6EA4" w:rsidRPr="001A047D" w:rsidRDefault="00DC6EA4" w:rsidP="00DC6EA4">
            <w:pPr>
              <w:spacing w:before="40" w:after="40" w:line="220" w:lineRule="exact"/>
              <w:ind w:right="113"/>
              <w:rPr>
                <w:b/>
                <w:sz w:val="18"/>
                <w:lang w:val="en-CA"/>
              </w:rPr>
            </w:pPr>
            <w:r w:rsidRPr="001A047D">
              <w:rPr>
                <w:rFonts w:eastAsia="Malgun Gothic"/>
                <w:b/>
                <w:sz w:val="18"/>
                <w:lang w:val="en-CA" w:eastAsia="en-GB"/>
              </w:rPr>
              <w:t>Iraq</w:t>
            </w:r>
          </w:p>
        </w:tc>
        <w:tc>
          <w:tcPr>
            <w:tcW w:w="1343" w:type="dxa"/>
            <w:shd w:val="clear" w:color="auto" w:fill="auto"/>
            <w:vAlign w:val="bottom"/>
          </w:tcPr>
          <w:p w14:paraId="3E5E33F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Nov. 2010</w:t>
            </w:r>
          </w:p>
        </w:tc>
        <w:tc>
          <w:tcPr>
            <w:tcW w:w="1318" w:type="dxa"/>
            <w:shd w:val="clear" w:color="auto" w:fill="auto"/>
            <w:vAlign w:val="bottom"/>
          </w:tcPr>
          <w:p w14:paraId="3EFD568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2010</w:t>
            </w:r>
          </w:p>
        </w:tc>
        <w:tc>
          <w:tcPr>
            <w:tcW w:w="1661" w:type="dxa"/>
            <w:shd w:val="clear" w:color="auto" w:fill="auto"/>
            <w:vAlign w:val="bottom"/>
          </w:tcPr>
          <w:p w14:paraId="17ECC51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Dec. 2012</w:t>
            </w:r>
          </w:p>
        </w:tc>
        <w:tc>
          <w:tcPr>
            <w:tcW w:w="1416" w:type="dxa"/>
            <w:shd w:val="clear" w:color="auto" w:fill="auto"/>
            <w:vAlign w:val="bottom"/>
          </w:tcPr>
          <w:p w14:paraId="7152EE75"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26</w:t>
            </w:r>
            <w:r w:rsidRPr="001A047D">
              <w:rPr>
                <w:sz w:val="18"/>
                <w:lang w:val="en-CA"/>
              </w:rPr>
              <w:t xml:space="preserve"> June </w:t>
            </w:r>
            <w:r w:rsidRPr="001A047D">
              <w:rPr>
                <w:rFonts w:eastAsia="Malgun Gothic"/>
                <w:sz w:val="18"/>
                <w:lang w:val="en-CA" w:eastAsia="en-GB"/>
              </w:rPr>
              <w:t>2014</w:t>
            </w:r>
          </w:p>
        </w:tc>
      </w:tr>
      <w:tr w:rsidR="00DC6EA4" w:rsidRPr="001A047D" w14:paraId="20A07DF9" w14:textId="77777777" w:rsidTr="00DC6EA4">
        <w:tc>
          <w:tcPr>
            <w:tcW w:w="1632" w:type="dxa"/>
            <w:shd w:val="clear" w:color="auto" w:fill="auto"/>
          </w:tcPr>
          <w:p w14:paraId="3ED5AA75"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Brazil</w:t>
            </w:r>
          </w:p>
        </w:tc>
        <w:tc>
          <w:tcPr>
            <w:tcW w:w="1343" w:type="dxa"/>
            <w:shd w:val="clear" w:color="auto" w:fill="auto"/>
            <w:vAlign w:val="bottom"/>
          </w:tcPr>
          <w:p w14:paraId="25F910F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Nov. 2010</w:t>
            </w:r>
          </w:p>
        </w:tc>
        <w:tc>
          <w:tcPr>
            <w:tcW w:w="1318" w:type="dxa"/>
            <w:shd w:val="clear" w:color="auto" w:fill="auto"/>
            <w:vAlign w:val="bottom"/>
          </w:tcPr>
          <w:p w14:paraId="5F0B972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Dec. 2010</w:t>
            </w:r>
          </w:p>
        </w:tc>
        <w:tc>
          <w:tcPr>
            <w:tcW w:w="1661" w:type="dxa"/>
            <w:shd w:val="clear" w:color="auto" w:fill="auto"/>
            <w:vAlign w:val="bottom"/>
          </w:tcPr>
          <w:p w14:paraId="5AB1EC4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Dec. 2012</w:t>
            </w:r>
          </w:p>
        </w:tc>
        <w:tc>
          <w:tcPr>
            <w:tcW w:w="1416" w:type="dxa"/>
            <w:shd w:val="clear" w:color="auto" w:fill="auto"/>
            <w:vAlign w:val="bottom"/>
          </w:tcPr>
          <w:p w14:paraId="76C28CC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30 June 2019</w:t>
            </w:r>
          </w:p>
        </w:tc>
      </w:tr>
      <w:tr w:rsidR="00DC6EA4" w:rsidRPr="001A047D" w14:paraId="409FAE57" w14:textId="77777777" w:rsidTr="00DC6EA4">
        <w:tc>
          <w:tcPr>
            <w:tcW w:w="1632" w:type="dxa"/>
            <w:shd w:val="clear" w:color="auto" w:fill="auto"/>
          </w:tcPr>
          <w:p w14:paraId="480D89B4" w14:textId="77777777" w:rsidR="00DC6EA4" w:rsidRPr="001A047D" w:rsidRDefault="00DC6EA4" w:rsidP="00DC6EA4">
            <w:pPr>
              <w:spacing w:before="40" w:after="40" w:line="220" w:lineRule="exact"/>
              <w:ind w:right="113"/>
              <w:rPr>
                <w:b/>
                <w:sz w:val="18"/>
                <w:lang w:val="en-CA"/>
              </w:rPr>
            </w:pPr>
            <w:r w:rsidRPr="001A047D">
              <w:rPr>
                <w:b/>
                <w:sz w:val="18"/>
                <w:lang w:val="en-CA"/>
              </w:rPr>
              <w:t>Gabon</w:t>
            </w:r>
          </w:p>
        </w:tc>
        <w:tc>
          <w:tcPr>
            <w:tcW w:w="1343" w:type="dxa"/>
            <w:shd w:val="clear" w:color="auto" w:fill="auto"/>
            <w:vAlign w:val="bottom"/>
          </w:tcPr>
          <w:p w14:paraId="4A68ACD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19 Jan. 2011</w:t>
            </w:r>
          </w:p>
        </w:tc>
        <w:tc>
          <w:tcPr>
            <w:tcW w:w="1318" w:type="dxa"/>
            <w:shd w:val="clear" w:color="auto" w:fill="auto"/>
            <w:vAlign w:val="bottom"/>
          </w:tcPr>
          <w:p w14:paraId="2CBB5D8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18 Feb. 2011</w:t>
            </w:r>
          </w:p>
        </w:tc>
        <w:tc>
          <w:tcPr>
            <w:tcW w:w="1661" w:type="dxa"/>
            <w:shd w:val="clear" w:color="auto" w:fill="auto"/>
            <w:vAlign w:val="bottom"/>
          </w:tcPr>
          <w:p w14:paraId="2B00622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18 Feb. 2013</w:t>
            </w:r>
          </w:p>
        </w:tc>
        <w:tc>
          <w:tcPr>
            <w:tcW w:w="1416" w:type="dxa"/>
            <w:shd w:val="clear" w:color="auto" w:fill="auto"/>
            <w:vAlign w:val="bottom"/>
          </w:tcPr>
          <w:p w14:paraId="48C17483"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10</w:t>
            </w:r>
            <w:r w:rsidRPr="001A047D">
              <w:rPr>
                <w:sz w:val="18"/>
                <w:lang w:val="en-CA"/>
              </w:rPr>
              <w:t xml:space="preserve"> June </w:t>
            </w:r>
            <w:r w:rsidRPr="001A047D">
              <w:rPr>
                <w:rFonts w:eastAsia="Malgun Gothic"/>
                <w:sz w:val="18"/>
                <w:lang w:val="en-CA" w:eastAsia="en-GB"/>
              </w:rPr>
              <w:t>2015</w:t>
            </w:r>
          </w:p>
        </w:tc>
      </w:tr>
      <w:tr w:rsidR="00DC6EA4" w:rsidRPr="001A047D" w14:paraId="56401877" w14:textId="77777777" w:rsidTr="00DC6EA4">
        <w:tc>
          <w:tcPr>
            <w:tcW w:w="1632" w:type="dxa"/>
            <w:shd w:val="clear" w:color="auto" w:fill="auto"/>
          </w:tcPr>
          <w:p w14:paraId="48F016E6"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Armenia</w:t>
            </w:r>
          </w:p>
        </w:tc>
        <w:tc>
          <w:tcPr>
            <w:tcW w:w="1343" w:type="dxa"/>
            <w:shd w:val="clear" w:color="auto" w:fill="auto"/>
            <w:vAlign w:val="bottom"/>
          </w:tcPr>
          <w:p w14:paraId="3DAB407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Jan. 2011</w:t>
            </w:r>
          </w:p>
        </w:tc>
        <w:tc>
          <w:tcPr>
            <w:tcW w:w="1318" w:type="dxa"/>
            <w:shd w:val="clear" w:color="auto" w:fill="auto"/>
            <w:vAlign w:val="bottom"/>
          </w:tcPr>
          <w:p w14:paraId="6DD5A11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Feb. 2011</w:t>
            </w:r>
          </w:p>
        </w:tc>
        <w:tc>
          <w:tcPr>
            <w:tcW w:w="1661" w:type="dxa"/>
            <w:shd w:val="clear" w:color="auto" w:fill="auto"/>
            <w:vAlign w:val="bottom"/>
          </w:tcPr>
          <w:p w14:paraId="379223E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Feb. 2013</w:t>
            </w:r>
          </w:p>
        </w:tc>
        <w:tc>
          <w:tcPr>
            <w:tcW w:w="1416" w:type="dxa"/>
            <w:shd w:val="clear" w:color="auto" w:fill="auto"/>
            <w:vAlign w:val="bottom"/>
          </w:tcPr>
          <w:p w14:paraId="7C79585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Oct. 2013</w:t>
            </w:r>
          </w:p>
        </w:tc>
      </w:tr>
      <w:tr w:rsidR="00DC6EA4" w:rsidRPr="001A047D" w14:paraId="3E1C73FF" w14:textId="77777777" w:rsidTr="00DC6EA4">
        <w:tc>
          <w:tcPr>
            <w:tcW w:w="1632" w:type="dxa"/>
            <w:shd w:val="clear" w:color="auto" w:fill="auto"/>
          </w:tcPr>
          <w:p w14:paraId="73F7730E" w14:textId="59329B43" w:rsidR="00DC6EA4" w:rsidRPr="001A047D" w:rsidRDefault="00DC6EA4" w:rsidP="00DC6EA4">
            <w:pPr>
              <w:spacing w:before="40" w:after="40" w:line="220" w:lineRule="exact"/>
              <w:ind w:right="113"/>
              <w:rPr>
                <w:b/>
                <w:sz w:val="18"/>
                <w:lang w:val="en-CA"/>
              </w:rPr>
            </w:pPr>
            <w:r w:rsidRPr="001A047D">
              <w:rPr>
                <w:rFonts w:eastAsia="Malgun Gothic"/>
                <w:b/>
                <w:sz w:val="18"/>
                <w:lang w:val="en-CA" w:eastAsia="en-GB"/>
              </w:rPr>
              <w:t>Netherlands</w:t>
            </w:r>
            <w:r w:rsidR="0017426B" w:rsidRPr="001A047D">
              <w:rPr>
                <w:rFonts w:eastAsia="Malgun Gothic"/>
                <w:sz w:val="18"/>
                <w:lang w:val="en-CA" w:eastAsia="en-GB"/>
              </w:rPr>
              <w:t>*</w:t>
            </w:r>
          </w:p>
        </w:tc>
        <w:tc>
          <w:tcPr>
            <w:tcW w:w="1343" w:type="dxa"/>
            <w:shd w:val="clear" w:color="auto" w:fill="auto"/>
            <w:vAlign w:val="bottom"/>
          </w:tcPr>
          <w:p w14:paraId="7705DA8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Mar. 2011</w:t>
            </w:r>
          </w:p>
        </w:tc>
        <w:tc>
          <w:tcPr>
            <w:tcW w:w="1318" w:type="dxa"/>
            <w:shd w:val="clear" w:color="auto" w:fill="auto"/>
            <w:vAlign w:val="bottom"/>
          </w:tcPr>
          <w:p w14:paraId="369CF2A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22 Apr. 2011</w:t>
            </w:r>
          </w:p>
        </w:tc>
        <w:tc>
          <w:tcPr>
            <w:tcW w:w="1661" w:type="dxa"/>
            <w:shd w:val="clear" w:color="auto" w:fill="auto"/>
            <w:vAlign w:val="bottom"/>
          </w:tcPr>
          <w:p w14:paraId="3E162F3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22 Apr. 2013</w:t>
            </w:r>
          </w:p>
        </w:tc>
        <w:tc>
          <w:tcPr>
            <w:tcW w:w="1416" w:type="dxa"/>
            <w:shd w:val="clear" w:color="auto" w:fill="auto"/>
            <w:vAlign w:val="bottom"/>
          </w:tcPr>
          <w:p w14:paraId="741E0115"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11</w:t>
            </w:r>
            <w:r w:rsidRPr="001A047D">
              <w:rPr>
                <w:sz w:val="18"/>
                <w:lang w:val="en-CA"/>
              </w:rPr>
              <w:t xml:space="preserve"> June </w:t>
            </w:r>
            <w:r w:rsidRPr="001A047D">
              <w:rPr>
                <w:rFonts w:eastAsia="Malgun Gothic"/>
                <w:sz w:val="18"/>
                <w:lang w:val="en-CA" w:eastAsia="en-GB"/>
              </w:rPr>
              <w:t>2013</w:t>
            </w:r>
          </w:p>
        </w:tc>
      </w:tr>
      <w:tr w:rsidR="00DC6EA4" w:rsidRPr="001A047D" w14:paraId="31EB8372" w14:textId="77777777" w:rsidTr="00DC6EA4">
        <w:tc>
          <w:tcPr>
            <w:tcW w:w="1632" w:type="dxa"/>
            <w:shd w:val="clear" w:color="auto" w:fill="auto"/>
          </w:tcPr>
          <w:p w14:paraId="649AD0BB"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Zambia</w:t>
            </w:r>
          </w:p>
        </w:tc>
        <w:tc>
          <w:tcPr>
            <w:tcW w:w="1343" w:type="dxa"/>
            <w:shd w:val="clear" w:color="auto" w:fill="auto"/>
            <w:vAlign w:val="bottom"/>
          </w:tcPr>
          <w:p w14:paraId="224680A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4 Apr. 2011</w:t>
            </w:r>
          </w:p>
        </w:tc>
        <w:tc>
          <w:tcPr>
            <w:tcW w:w="1318" w:type="dxa"/>
            <w:shd w:val="clear" w:color="auto" w:fill="auto"/>
            <w:vAlign w:val="bottom"/>
          </w:tcPr>
          <w:p w14:paraId="05C1938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4 May 2011</w:t>
            </w:r>
          </w:p>
        </w:tc>
        <w:tc>
          <w:tcPr>
            <w:tcW w:w="1661" w:type="dxa"/>
            <w:shd w:val="clear" w:color="auto" w:fill="auto"/>
            <w:vAlign w:val="bottom"/>
          </w:tcPr>
          <w:p w14:paraId="6E448EB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4 May 2013</w:t>
            </w:r>
          </w:p>
        </w:tc>
        <w:tc>
          <w:tcPr>
            <w:tcW w:w="1416" w:type="dxa"/>
            <w:shd w:val="clear" w:color="auto" w:fill="auto"/>
            <w:vAlign w:val="bottom"/>
          </w:tcPr>
          <w:p w14:paraId="57249817"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1E68EF75" w14:textId="77777777" w:rsidTr="00DC6EA4">
        <w:tc>
          <w:tcPr>
            <w:tcW w:w="1632" w:type="dxa"/>
            <w:shd w:val="clear" w:color="auto" w:fill="auto"/>
          </w:tcPr>
          <w:p w14:paraId="331E8521" w14:textId="659798A7" w:rsidR="00DC6EA4" w:rsidRPr="001A047D" w:rsidRDefault="00DC6EA4" w:rsidP="00DC6EA4">
            <w:pPr>
              <w:spacing w:before="40" w:after="40" w:line="220" w:lineRule="exact"/>
              <w:ind w:right="113"/>
              <w:rPr>
                <w:b/>
                <w:sz w:val="18"/>
                <w:lang w:val="en-CA"/>
              </w:rPr>
            </w:pPr>
            <w:r w:rsidRPr="001A047D">
              <w:rPr>
                <w:b/>
                <w:sz w:val="18"/>
                <w:lang w:val="en-CA"/>
              </w:rPr>
              <w:t>Serbia</w:t>
            </w:r>
            <w:r w:rsidR="0017426B" w:rsidRPr="001A047D">
              <w:rPr>
                <w:rFonts w:eastAsia="Malgun Gothic"/>
                <w:sz w:val="18"/>
                <w:lang w:val="en-CA" w:eastAsia="en-GB"/>
              </w:rPr>
              <w:t>*</w:t>
            </w:r>
          </w:p>
        </w:tc>
        <w:tc>
          <w:tcPr>
            <w:tcW w:w="1343" w:type="dxa"/>
            <w:shd w:val="clear" w:color="auto" w:fill="auto"/>
            <w:vAlign w:val="bottom"/>
          </w:tcPr>
          <w:p w14:paraId="34E61F3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18 May 2011</w:t>
            </w:r>
          </w:p>
        </w:tc>
        <w:tc>
          <w:tcPr>
            <w:tcW w:w="1318" w:type="dxa"/>
            <w:shd w:val="clear" w:color="auto" w:fill="auto"/>
            <w:vAlign w:val="bottom"/>
          </w:tcPr>
          <w:p w14:paraId="7B48BE8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June 2011</w:t>
            </w:r>
          </w:p>
        </w:tc>
        <w:tc>
          <w:tcPr>
            <w:tcW w:w="1661" w:type="dxa"/>
            <w:shd w:val="clear" w:color="auto" w:fill="auto"/>
            <w:vAlign w:val="bottom"/>
          </w:tcPr>
          <w:p w14:paraId="30C2EFD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June 2013</w:t>
            </w:r>
          </w:p>
        </w:tc>
        <w:tc>
          <w:tcPr>
            <w:tcW w:w="1416" w:type="dxa"/>
            <w:shd w:val="clear" w:color="auto" w:fill="auto"/>
            <w:vAlign w:val="bottom"/>
          </w:tcPr>
          <w:p w14:paraId="4177724E" w14:textId="77777777" w:rsidR="00DC6EA4" w:rsidRPr="001A047D" w:rsidRDefault="00DC6EA4" w:rsidP="00DC6EA4">
            <w:pPr>
              <w:spacing w:before="40" w:after="40" w:line="220" w:lineRule="exact"/>
              <w:ind w:right="113"/>
              <w:jc w:val="right"/>
              <w:rPr>
                <w:sz w:val="18"/>
                <w:lang w:val="en-CA"/>
              </w:rPr>
            </w:pPr>
            <w:r w:rsidRPr="001A047D">
              <w:rPr>
                <w:sz w:val="18"/>
                <w:lang w:val="en-CA"/>
              </w:rPr>
              <w:t xml:space="preserve">30 </w:t>
            </w:r>
            <w:r w:rsidRPr="001A047D">
              <w:rPr>
                <w:rFonts w:eastAsia="Malgun Gothic"/>
                <w:sz w:val="18"/>
                <w:lang w:val="en-CA" w:eastAsia="en-GB"/>
              </w:rPr>
              <w:t>Dec. 2013</w:t>
            </w:r>
          </w:p>
        </w:tc>
      </w:tr>
      <w:tr w:rsidR="00DC6EA4" w:rsidRPr="001A047D" w14:paraId="57BD26E8" w14:textId="77777777" w:rsidTr="00DC6EA4">
        <w:tc>
          <w:tcPr>
            <w:tcW w:w="1632" w:type="dxa"/>
            <w:shd w:val="clear" w:color="auto" w:fill="auto"/>
          </w:tcPr>
          <w:p w14:paraId="3AB71C2B" w14:textId="31242516"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Belgium</w:t>
            </w:r>
            <w:r w:rsidR="0017426B" w:rsidRPr="001A047D">
              <w:rPr>
                <w:rFonts w:eastAsia="Malgun Gothic"/>
                <w:sz w:val="18"/>
                <w:lang w:val="en-CA" w:eastAsia="en-GB"/>
              </w:rPr>
              <w:t>*</w:t>
            </w:r>
          </w:p>
        </w:tc>
        <w:tc>
          <w:tcPr>
            <w:tcW w:w="1343" w:type="dxa"/>
            <w:shd w:val="clear" w:color="auto" w:fill="auto"/>
            <w:vAlign w:val="bottom"/>
          </w:tcPr>
          <w:p w14:paraId="1DC06E1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June 2011</w:t>
            </w:r>
          </w:p>
        </w:tc>
        <w:tc>
          <w:tcPr>
            <w:tcW w:w="1318" w:type="dxa"/>
            <w:shd w:val="clear" w:color="auto" w:fill="auto"/>
            <w:vAlign w:val="bottom"/>
          </w:tcPr>
          <w:p w14:paraId="7A4C6BB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July 2011</w:t>
            </w:r>
          </w:p>
        </w:tc>
        <w:tc>
          <w:tcPr>
            <w:tcW w:w="1661" w:type="dxa"/>
            <w:shd w:val="clear" w:color="auto" w:fill="auto"/>
            <w:vAlign w:val="bottom"/>
          </w:tcPr>
          <w:p w14:paraId="60CCC23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July 2013</w:t>
            </w:r>
          </w:p>
        </w:tc>
        <w:tc>
          <w:tcPr>
            <w:tcW w:w="1416" w:type="dxa"/>
            <w:shd w:val="clear" w:color="auto" w:fill="auto"/>
            <w:vAlign w:val="bottom"/>
          </w:tcPr>
          <w:p w14:paraId="2A42979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8 July 2013</w:t>
            </w:r>
          </w:p>
        </w:tc>
      </w:tr>
      <w:tr w:rsidR="00DC6EA4" w:rsidRPr="001A047D" w14:paraId="543D4082" w14:textId="77777777" w:rsidTr="00DC6EA4">
        <w:tc>
          <w:tcPr>
            <w:tcW w:w="1632" w:type="dxa"/>
            <w:shd w:val="clear" w:color="auto" w:fill="auto"/>
          </w:tcPr>
          <w:p w14:paraId="0E8A89F2"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Panama</w:t>
            </w:r>
          </w:p>
        </w:tc>
        <w:tc>
          <w:tcPr>
            <w:tcW w:w="1343" w:type="dxa"/>
            <w:shd w:val="clear" w:color="auto" w:fill="auto"/>
            <w:vAlign w:val="bottom"/>
          </w:tcPr>
          <w:p w14:paraId="73DABF7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June 2011</w:t>
            </w:r>
          </w:p>
        </w:tc>
        <w:tc>
          <w:tcPr>
            <w:tcW w:w="1318" w:type="dxa"/>
            <w:shd w:val="clear" w:color="auto" w:fill="auto"/>
            <w:vAlign w:val="bottom"/>
          </w:tcPr>
          <w:p w14:paraId="29EFF4B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July 2011</w:t>
            </w:r>
          </w:p>
        </w:tc>
        <w:tc>
          <w:tcPr>
            <w:tcW w:w="1661" w:type="dxa"/>
            <w:shd w:val="clear" w:color="auto" w:fill="auto"/>
            <w:vAlign w:val="bottom"/>
          </w:tcPr>
          <w:p w14:paraId="758B40F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July 2013</w:t>
            </w:r>
          </w:p>
        </w:tc>
        <w:tc>
          <w:tcPr>
            <w:tcW w:w="1416" w:type="dxa"/>
            <w:shd w:val="clear" w:color="auto" w:fill="auto"/>
            <w:vAlign w:val="bottom"/>
          </w:tcPr>
          <w:p w14:paraId="7A48C1B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30 June 2019</w:t>
            </w:r>
          </w:p>
        </w:tc>
      </w:tr>
      <w:tr w:rsidR="00DC6EA4" w:rsidRPr="001A047D" w14:paraId="77B3661D" w14:textId="77777777" w:rsidTr="00DC6EA4">
        <w:tc>
          <w:tcPr>
            <w:tcW w:w="1632" w:type="dxa"/>
            <w:shd w:val="clear" w:color="auto" w:fill="auto"/>
          </w:tcPr>
          <w:p w14:paraId="4CE094C4"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Tunisia</w:t>
            </w:r>
          </w:p>
        </w:tc>
        <w:tc>
          <w:tcPr>
            <w:tcW w:w="1343" w:type="dxa"/>
            <w:shd w:val="clear" w:color="auto" w:fill="auto"/>
            <w:vAlign w:val="bottom"/>
          </w:tcPr>
          <w:p w14:paraId="5EB7FF5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June 2011</w:t>
            </w:r>
          </w:p>
        </w:tc>
        <w:tc>
          <w:tcPr>
            <w:tcW w:w="1318" w:type="dxa"/>
            <w:shd w:val="clear" w:color="auto" w:fill="auto"/>
            <w:vAlign w:val="bottom"/>
          </w:tcPr>
          <w:p w14:paraId="53CC7CA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July 2011</w:t>
            </w:r>
          </w:p>
        </w:tc>
        <w:tc>
          <w:tcPr>
            <w:tcW w:w="1661" w:type="dxa"/>
            <w:shd w:val="clear" w:color="auto" w:fill="auto"/>
            <w:vAlign w:val="bottom"/>
          </w:tcPr>
          <w:p w14:paraId="66D72C1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July 2013</w:t>
            </w:r>
          </w:p>
        </w:tc>
        <w:tc>
          <w:tcPr>
            <w:tcW w:w="1416" w:type="dxa"/>
            <w:shd w:val="clear" w:color="auto" w:fill="auto"/>
            <w:vAlign w:val="bottom"/>
          </w:tcPr>
          <w:p w14:paraId="67C47B1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25 Sept. 2014</w:t>
            </w:r>
          </w:p>
        </w:tc>
      </w:tr>
      <w:tr w:rsidR="00DC6EA4" w:rsidRPr="001A047D" w14:paraId="3CAC240F" w14:textId="77777777" w:rsidTr="00DC6EA4">
        <w:tc>
          <w:tcPr>
            <w:tcW w:w="1632" w:type="dxa"/>
            <w:shd w:val="clear" w:color="auto" w:fill="auto"/>
          </w:tcPr>
          <w:p w14:paraId="3861664A" w14:textId="32B65805"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Montenegro</w:t>
            </w:r>
            <w:r w:rsidR="0017426B" w:rsidRPr="001A047D">
              <w:rPr>
                <w:rFonts w:eastAsia="Malgun Gothic"/>
                <w:sz w:val="18"/>
                <w:lang w:val="en-CA" w:eastAsia="en-GB"/>
              </w:rPr>
              <w:t>*</w:t>
            </w:r>
          </w:p>
        </w:tc>
        <w:tc>
          <w:tcPr>
            <w:tcW w:w="1343" w:type="dxa"/>
            <w:shd w:val="clear" w:color="auto" w:fill="auto"/>
            <w:vAlign w:val="bottom"/>
          </w:tcPr>
          <w:p w14:paraId="0B9DF33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20 Sept. 2011</w:t>
            </w:r>
          </w:p>
        </w:tc>
        <w:tc>
          <w:tcPr>
            <w:tcW w:w="1318" w:type="dxa"/>
            <w:shd w:val="clear" w:color="auto" w:fill="auto"/>
            <w:vAlign w:val="bottom"/>
          </w:tcPr>
          <w:p w14:paraId="458724C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20 Oct. 2011</w:t>
            </w:r>
          </w:p>
        </w:tc>
        <w:tc>
          <w:tcPr>
            <w:tcW w:w="1661" w:type="dxa"/>
            <w:shd w:val="clear" w:color="auto" w:fill="auto"/>
            <w:vAlign w:val="bottom"/>
          </w:tcPr>
          <w:p w14:paraId="6C9B6DF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20 Oct. 2013</w:t>
            </w:r>
          </w:p>
        </w:tc>
        <w:tc>
          <w:tcPr>
            <w:tcW w:w="1416" w:type="dxa"/>
            <w:shd w:val="clear" w:color="auto" w:fill="auto"/>
            <w:vAlign w:val="bottom"/>
          </w:tcPr>
          <w:p w14:paraId="21D67DF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30 Jan. 2014</w:t>
            </w:r>
          </w:p>
        </w:tc>
      </w:tr>
      <w:tr w:rsidR="00DC6EA4" w:rsidRPr="001A047D" w14:paraId="775B34F2" w14:textId="77777777" w:rsidTr="00DC6EA4">
        <w:tc>
          <w:tcPr>
            <w:tcW w:w="1632" w:type="dxa"/>
            <w:shd w:val="clear" w:color="auto" w:fill="auto"/>
          </w:tcPr>
          <w:p w14:paraId="32F0226D"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Costa Rica</w:t>
            </w:r>
          </w:p>
        </w:tc>
        <w:tc>
          <w:tcPr>
            <w:tcW w:w="1343" w:type="dxa"/>
            <w:shd w:val="clear" w:color="auto" w:fill="auto"/>
            <w:vAlign w:val="bottom"/>
          </w:tcPr>
          <w:p w14:paraId="4165744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16 Feb. 2012</w:t>
            </w:r>
          </w:p>
        </w:tc>
        <w:tc>
          <w:tcPr>
            <w:tcW w:w="1318" w:type="dxa"/>
            <w:shd w:val="clear" w:color="auto" w:fill="auto"/>
            <w:vAlign w:val="bottom"/>
          </w:tcPr>
          <w:p w14:paraId="6C2BC3D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Mar. 2012</w:t>
            </w:r>
          </w:p>
        </w:tc>
        <w:tc>
          <w:tcPr>
            <w:tcW w:w="1661" w:type="dxa"/>
            <w:shd w:val="clear" w:color="auto" w:fill="auto"/>
            <w:vAlign w:val="bottom"/>
          </w:tcPr>
          <w:p w14:paraId="660480A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Mar. 2014</w:t>
            </w:r>
          </w:p>
        </w:tc>
        <w:tc>
          <w:tcPr>
            <w:tcW w:w="1416" w:type="dxa"/>
            <w:shd w:val="clear" w:color="auto" w:fill="auto"/>
            <w:vAlign w:val="bottom"/>
          </w:tcPr>
          <w:p w14:paraId="55C811A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7 May 2020</w:t>
            </w:r>
          </w:p>
        </w:tc>
      </w:tr>
      <w:tr w:rsidR="00DC6EA4" w:rsidRPr="001A047D" w14:paraId="7D96F096" w14:textId="77777777" w:rsidTr="00DC6EA4">
        <w:tc>
          <w:tcPr>
            <w:tcW w:w="1632" w:type="dxa"/>
            <w:shd w:val="clear" w:color="auto" w:fill="auto"/>
          </w:tcPr>
          <w:p w14:paraId="010B27F8" w14:textId="0C3A6858"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Bosnia and Herzegovina</w:t>
            </w:r>
            <w:r w:rsidR="0017426B" w:rsidRPr="001A047D">
              <w:rPr>
                <w:rFonts w:eastAsia="Malgun Gothic"/>
                <w:sz w:val="18"/>
                <w:lang w:val="en-CA" w:eastAsia="en-GB"/>
              </w:rPr>
              <w:t>*</w:t>
            </w:r>
          </w:p>
        </w:tc>
        <w:tc>
          <w:tcPr>
            <w:tcW w:w="1343" w:type="dxa"/>
            <w:shd w:val="clear" w:color="auto" w:fill="auto"/>
            <w:vAlign w:val="bottom"/>
          </w:tcPr>
          <w:p w14:paraId="240918E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30 Mar. 2012</w:t>
            </w:r>
          </w:p>
        </w:tc>
        <w:tc>
          <w:tcPr>
            <w:tcW w:w="1318" w:type="dxa"/>
            <w:shd w:val="clear" w:color="auto" w:fill="auto"/>
            <w:vAlign w:val="bottom"/>
          </w:tcPr>
          <w:p w14:paraId="0C0D3E8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Apr. 2012</w:t>
            </w:r>
          </w:p>
        </w:tc>
        <w:tc>
          <w:tcPr>
            <w:tcW w:w="1661" w:type="dxa"/>
            <w:shd w:val="clear" w:color="auto" w:fill="auto"/>
            <w:vAlign w:val="bottom"/>
          </w:tcPr>
          <w:p w14:paraId="7324492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29 Apr. 2014</w:t>
            </w:r>
          </w:p>
        </w:tc>
        <w:tc>
          <w:tcPr>
            <w:tcW w:w="1416" w:type="dxa"/>
            <w:shd w:val="clear" w:color="auto" w:fill="auto"/>
            <w:vAlign w:val="bottom"/>
          </w:tcPr>
          <w:p w14:paraId="5217FEC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Jan. 2015</w:t>
            </w:r>
          </w:p>
        </w:tc>
      </w:tr>
      <w:tr w:rsidR="00DC6EA4" w:rsidRPr="001A047D" w14:paraId="746408D6" w14:textId="77777777" w:rsidTr="00DC6EA4">
        <w:tc>
          <w:tcPr>
            <w:tcW w:w="1632" w:type="dxa"/>
            <w:shd w:val="clear" w:color="auto" w:fill="auto"/>
          </w:tcPr>
          <w:p w14:paraId="22989CD6" w14:textId="1CFA7928"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Austria</w:t>
            </w:r>
            <w:r w:rsidR="0017426B" w:rsidRPr="001A047D">
              <w:rPr>
                <w:rFonts w:eastAsia="Malgun Gothic"/>
                <w:sz w:val="18"/>
                <w:lang w:val="en-CA" w:eastAsia="en-GB"/>
              </w:rPr>
              <w:t>*</w:t>
            </w:r>
          </w:p>
        </w:tc>
        <w:tc>
          <w:tcPr>
            <w:tcW w:w="1343" w:type="dxa"/>
            <w:shd w:val="clear" w:color="auto" w:fill="auto"/>
            <w:vAlign w:val="bottom"/>
          </w:tcPr>
          <w:p w14:paraId="53C5786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7 June 2012</w:t>
            </w:r>
          </w:p>
        </w:tc>
        <w:tc>
          <w:tcPr>
            <w:tcW w:w="1318" w:type="dxa"/>
            <w:shd w:val="clear" w:color="auto" w:fill="auto"/>
            <w:vAlign w:val="bottom"/>
          </w:tcPr>
          <w:p w14:paraId="59A9369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7 July 2012</w:t>
            </w:r>
          </w:p>
        </w:tc>
        <w:tc>
          <w:tcPr>
            <w:tcW w:w="1661" w:type="dxa"/>
            <w:shd w:val="clear" w:color="auto" w:fill="auto"/>
            <w:vAlign w:val="bottom"/>
          </w:tcPr>
          <w:p w14:paraId="4BA07F5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7 July 2014</w:t>
            </w:r>
          </w:p>
        </w:tc>
        <w:tc>
          <w:tcPr>
            <w:tcW w:w="1416" w:type="dxa"/>
            <w:shd w:val="clear" w:color="auto" w:fill="auto"/>
            <w:vAlign w:val="bottom"/>
          </w:tcPr>
          <w:p w14:paraId="6742452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31 May 2016</w:t>
            </w:r>
          </w:p>
        </w:tc>
      </w:tr>
      <w:tr w:rsidR="00DC6EA4" w:rsidRPr="001A047D" w14:paraId="24D9F223" w14:textId="77777777" w:rsidTr="00DC6EA4">
        <w:tc>
          <w:tcPr>
            <w:tcW w:w="1632" w:type="dxa"/>
            <w:shd w:val="clear" w:color="auto" w:fill="auto"/>
          </w:tcPr>
          <w:p w14:paraId="3CB3FCDE"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Colombia</w:t>
            </w:r>
          </w:p>
        </w:tc>
        <w:tc>
          <w:tcPr>
            <w:tcW w:w="1343" w:type="dxa"/>
            <w:shd w:val="clear" w:color="auto" w:fill="auto"/>
            <w:vAlign w:val="bottom"/>
          </w:tcPr>
          <w:p w14:paraId="5FF8A5B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11 July 2012</w:t>
            </w:r>
          </w:p>
        </w:tc>
        <w:tc>
          <w:tcPr>
            <w:tcW w:w="1318" w:type="dxa"/>
            <w:shd w:val="clear" w:color="auto" w:fill="auto"/>
            <w:vAlign w:val="bottom"/>
          </w:tcPr>
          <w:p w14:paraId="60F9575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10 Aug. 2012</w:t>
            </w:r>
          </w:p>
        </w:tc>
        <w:tc>
          <w:tcPr>
            <w:tcW w:w="1661" w:type="dxa"/>
            <w:shd w:val="clear" w:color="auto" w:fill="auto"/>
            <w:vAlign w:val="bottom"/>
          </w:tcPr>
          <w:p w14:paraId="5899390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10 Aug. 2014</w:t>
            </w:r>
          </w:p>
        </w:tc>
        <w:tc>
          <w:tcPr>
            <w:tcW w:w="1416" w:type="dxa"/>
            <w:shd w:val="clear" w:color="auto" w:fill="auto"/>
            <w:vAlign w:val="bottom"/>
          </w:tcPr>
          <w:p w14:paraId="092D2B1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Dec. 2014</w:t>
            </w:r>
          </w:p>
        </w:tc>
      </w:tr>
      <w:tr w:rsidR="00DC6EA4" w:rsidRPr="001A047D" w14:paraId="0BDA7E96" w14:textId="77777777" w:rsidTr="00DC6EA4">
        <w:tc>
          <w:tcPr>
            <w:tcW w:w="1632" w:type="dxa"/>
            <w:shd w:val="clear" w:color="auto" w:fill="auto"/>
          </w:tcPr>
          <w:p w14:paraId="582ADCB7" w14:textId="2BABF91B"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Peru</w:t>
            </w:r>
            <w:r w:rsidR="0017426B" w:rsidRPr="001A047D">
              <w:rPr>
                <w:rFonts w:eastAsia="Malgun Gothic"/>
                <w:sz w:val="18"/>
                <w:lang w:val="en-CA" w:eastAsia="en-GB"/>
              </w:rPr>
              <w:t>*</w:t>
            </w:r>
          </w:p>
        </w:tc>
        <w:tc>
          <w:tcPr>
            <w:tcW w:w="1343" w:type="dxa"/>
            <w:shd w:val="clear" w:color="auto" w:fill="auto"/>
            <w:vAlign w:val="bottom"/>
          </w:tcPr>
          <w:p w14:paraId="7F62349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Sept. 2012</w:t>
            </w:r>
          </w:p>
        </w:tc>
        <w:tc>
          <w:tcPr>
            <w:tcW w:w="1318" w:type="dxa"/>
            <w:shd w:val="clear" w:color="auto" w:fill="auto"/>
            <w:vAlign w:val="bottom"/>
          </w:tcPr>
          <w:p w14:paraId="7587819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Oct. 2012</w:t>
            </w:r>
          </w:p>
        </w:tc>
        <w:tc>
          <w:tcPr>
            <w:tcW w:w="1661" w:type="dxa"/>
            <w:shd w:val="clear" w:color="auto" w:fill="auto"/>
            <w:vAlign w:val="bottom"/>
          </w:tcPr>
          <w:p w14:paraId="6A8301F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Oct. 2014</w:t>
            </w:r>
          </w:p>
        </w:tc>
        <w:tc>
          <w:tcPr>
            <w:tcW w:w="1416" w:type="dxa"/>
            <w:shd w:val="clear" w:color="auto" w:fill="auto"/>
            <w:vAlign w:val="bottom"/>
          </w:tcPr>
          <w:p w14:paraId="3EEFAD5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8 Aug. 2016</w:t>
            </w:r>
          </w:p>
        </w:tc>
      </w:tr>
      <w:tr w:rsidR="00DC6EA4" w:rsidRPr="001A047D" w14:paraId="3371DFA7" w14:textId="77777777" w:rsidTr="00DC6EA4">
        <w:tc>
          <w:tcPr>
            <w:tcW w:w="1632" w:type="dxa"/>
            <w:shd w:val="clear" w:color="auto" w:fill="auto"/>
          </w:tcPr>
          <w:p w14:paraId="58370400"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Mauritania</w:t>
            </w:r>
          </w:p>
        </w:tc>
        <w:tc>
          <w:tcPr>
            <w:tcW w:w="1343" w:type="dxa"/>
            <w:shd w:val="clear" w:color="auto" w:fill="auto"/>
            <w:vAlign w:val="bottom"/>
          </w:tcPr>
          <w:p w14:paraId="51A1671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3 Oct. 2012</w:t>
            </w:r>
          </w:p>
        </w:tc>
        <w:tc>
          <w:tcPr>
            <w:tcW w:w="1318" w:type="dxa"/>
            <w:shd w:val="clear" w:color="auto" w:fill="auto"/>
            <w:vAlign w:val="bottom"/>
          </w:tcPr>
          <w:p w14:paraId="37FCB73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Nov. 2012</w:t>
            </w:r>
          </w:p>
        </w:tc>
        <w:tc>
          <w:tcPr>
            <w:tcW w:w="1661" w:type="dxa"/>
            <w:shd w:val="clear" w:color="auto" w:fill="auto"/>
            <w:vAlign w:val="bottom"/>
          </w:tcPr>
          <w:p w14:paraId="750CCAD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Nov. 2014</w:t>
            </w:r>
          </w:p>
        </w:tc>
        <w:tc>
          <w:tcPr>
            <w:tcW w:w="1416" w:type="dxa"/>
            <w:shd w:val="clear" w:color="auto" w:fill="auto"/>
            <w:vAlign w:val="bottom"/>
          </w:tcPr>
          <w:p w14:paraId="06CE4D23"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4F911787" w14:textId="77777777" w:rsidTr="00DC6EA4">
        <w:tc>
          <w:tcPr>
            <w:tcW w:w="1632" w:type="dxa"/>
            <w:shd w:val="clear" w:color="auto" w:fill="auto"/>
          </w:tcPr>
          <w:p w14:paraId="329DDC64"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Samoa</w:t>
            </w:r>
          </w:p>
        </w:tc>
        <w:tc>
          <w:tcPr>
            <w:tcW w:w="1343" w:type="dxa"/>
            <w:shd w:val="clear" w:color="auto" w:fill="auto"/>
            <w:vAlign w:val="bottom"/>
          </w:tcPr>
          <w:p w14:paraId="6D1CB02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Nov. 2012</w:t>
            </w:r>
          </w:p>
        </w:tc>
        <w:tc>
          <w:tcPr>
            <w:tcW w:w="1318" w:type="dxa"/>
            <w:shd w:val="clear" w:color="auto" w:fill="auto"/>
            <w:vAlign w:val="bottom"/>
          </w:tcPr>
          <w:p w14:paraId="009FDC5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Dec. 2012</w:t>
            </w:r>
          </w:p>
        </w:tc>
        <w:tc>
          <w:tcPr>
            <w:tcW w:w="1661" w:type="dxa"/>
            <w:shd w:val="clear" w:color="auto" w:fill="auto"/>
            <w:vAlign w:val="bottom"/>
          </w:tcPr>
          <w:p w14:paraId="0FD47A0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Dec. 2014</w:t>
            </w:r>
          </w:p>
        </w:tc>
        <w:tc>
          <w:tcPr>
            <w:tcW w:w="1416" w:type="dxa"/>
            <w:shd w:val="clear" w:color="auto" w:fill="auto"/>
            <w:vAlign w:val="bottom"/>
          </w:tcPr>
          <w:p w14:paraId="655A2D84"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520072C2" w14:textId="77777777" w:rsidTr="00DC6EA4">
        <w:tc>
          <w:tcPr>
            <w:tcW w:w="1632" w:type="dxa"/>
            <w:tcBorders>
              <w:bottom w:val="nil"/>
            </w:tcBorders>
            <w:shd w:val="clear" w:color="auto" w:fill="auto"/>
          </w:tcPr>
          <w:p w14:paraId="0C406DDD"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Morocco</w:t>
            </w:r>
          </w:p>
        </w:tc>
        <w:tc>
          <w:tcPr>
            <w:tcW w:w="1343" w:type="dxa"/>
            <w:tcBorders>
              <w:bottom w:val="nil"/>
            </w:tcBorders>
            <w:shd w:val="clear" w:color="auto" w:fill="auto"/>
            <w:vAlign w:val="bottom"/>
          </w:tcPr>
          <w:p w14:paraId="1EC3664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May 2013</w:t>
            </w:r>
          </w:p>
        </w:tc>
        <w:tc>
          <w:tcPr>
            <w:tcW w:w="1318" w:type="dxa"/>
            <w:tcBorders>
              <w:bottom w:val="nil"/>
            </w:tcBorders>
            <w:shd w:val="clear" w:color="auto" w:fill="auto"/>
            <w:vAlign w:val="bottom"/>
          </w:tcPr>
          <w:p w14:paraId="4937144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June 2013</w:t>
            </w:r>
          </w:p>
        </w:tc>
        <w:tc>
          <w:tcPr>
            <w:tcW w:w="1661" w:type="dxa"/>
            <w:tcBorders>
              <w:bottom w:val="nil"/>
            </w:tcBorders>
            <w:shd w:val="clear" w:color="auto" w:fill="auto"/>
            <w:vAlign w:val="bottom"/>
          </w:tcPr>
          <w:p w14:paraId="6111858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June 2015</w:t>
            </w:r>
          </w:p>
        </w:tc>
        <w:tc>
          <w:tcPr>
            <w:tcW w:w="1416" w:type="dxa"/>
            <w:tcBorders>
              <w:bottom w:val="nil"/>
            </w:tcBorders>
            <w:shd w:val="clear" w:color="auto" w:fill="auto"/>
            <w:vAlign w:val="bottom"/>
          </w:tcPr>
          <w:p w14:paraId="783CDD3D"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4F259EA7" w14:textId="77777777" w:rsidTr="00DC6EA4">
        <w:tc>
          <w:tcPr>
            <w:tcW w:w="1632" w:type="dxa"/>
            <w:tcBorders>
              <w:top w:val="nil"/>
              <w:bottom w:val="nil"/>
            </w:tcBorders>
            <w:shd w:val="clear" w:color="auto" w:fill="auto"/>
          </w:tcPr>
          <w:p w14:paraId="763F5138"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lastRenderedPageBreak/>
              <w:t>Cambodia</w:t>
            </w:r>
          </w:p>
        </w:tc>
        <w:tc>
          <w:tcPr>
            <w:tcW w:w="1343" w:type="dxa"/>
            <w:tcBorders>
              <w:top w:val="nil"/>
              <w:bottom w:val="nil"/>
            </w:tcBorders>
            <w:shd w:val="clear" w:color="auto" w:fill="auto"/>
            <w:vAlign w:val="bottom"/>
          </w:tcPr>
          <w:p w14:paraId="761BBBE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June 2013</w:t>
            </w:r>
          </w:p>
        </w:tc>
        <w:tc>
          <w:tcPr>
            <w:tcW w:w="1318" w:type="dxa"/>
            <w:tcBorders>
              <w:top w:val="nil"/>
              <w:bottom w:val="nil"/>
            </w:tcBorders>
            <w:shd w:val="clear" w:color="auto" w:fill="auto"/>
            <w:vAlign w:val="bottom"/>
          </w:tcPr>
          <w:p w14:paraId="2103FF0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July 2013</w:t>
            </w:r>
          </w:p>
        </w:tc>
        <w:tc>
          <w:tcPr>
            <w:tcW w:w="1661" w:type="dxa"/>
            <w:tcBorders>
              <w:top w:val="nil"/>
              <w:bottom w:val="nil"/>
            </w:tcBorders>
            <w:shd w:val="clear" w:color="auto" w:fill="auto"/>
            <w:vAlign w:val="bottom"/>
          </w:tcPr>
          <w:p w14:paraId="315CA53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July 2015</w:t>
            </w:r>
          </w:p>
        </w:tc>
        <w:tc>
          <w:tcPr>
            <w:tcW w:w="1416" w:type="dxa"/>
            <w:tcBorders>
              <w:top w:val="nil"/>
              <w:bottom w:val="nil"/>
            </w:tcBorders>
            <w:shd w:val="clear" w:color="auto" w:fill="auto"/>
            <w:vAlign w:val="bottom"/>
          </w:tcPr>
          <w:p w14:paraId="4A3ADC63"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577D756F" w14:textId="77777777" w:rsidTr="00DC6EA4">
        <w:tc>
          <w:tcPr>
            <w:tcW w:w="1632" w:type="dxa"/>
            <w:tcBorders>
              <w:top w:val="nil"/>
            </w:tcBorders>
            <w:shd w:val="clear" w:color="auto" w:fill="auto"/>
          </w:tcPr>
          <w:p w14:paraId="71443A97" w14:textId="76FD882F"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Lithuania</w:t>
            </w:r>
            <w:r w:rsidR="0017426B" w:rsidRPr="001A047D">
              <w:rPr>
                <w:rFonts w:eastAsia="Malgun Gothic"/>
                <w:sz w:val="18"/>
                <w:lang w:val="en-CA" w:eastAsia="en-GB"/>
              </w:rPr>
              <w:t>*</w:t>
            </w:r>
          </w:p>
        </w:tc>
        <w:tc>
          <w:tcPr>
            <w:tcW w:w="1343" w:type="dxa"/>
            <w:tcBorders>
              <w:top w:val="nil"/>
            </w:tcBorders>
            <w:shd w:val="clear" w:color="auto" w:fill="auto"/>
            <w:vAlign w:val="bottom"/>
          </w:tcPr>
          <w:p w14:paraId="6188AF7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Aug. 2013</w:t>
            </w:r>
          </w:p>
        </w:tc>
        <w:tc>
          <w:tcPr>
            <w:tcW w:w="1318" w:type="dxa"/>
            <w:tcBorders>
              <w:top w:val="nil"/>
            </w:tcBorders>
            <w:shd w:val="clear" w:color="auto" w:fill="auto"/>
            <w:vAlign w:val="bottom"/>
          </w:tcPr>
          <w:p w14:paraId="53C01E6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Sept. 2013</w:t>
            </w:r>
          </w:p>
        </w:tc>
        <w:tc>
          <w:tcPr>
            <w:tcW w:w="1661" w:type="dxa"/>
            <w:tcBorders>
              <w:top w:val="nil"/>
            </w:tcBorders>
            <w:shd w:val="clear" w:color="auto" w:fill="auto"/>
            <w:vAlign w:val="bottom"/>
          </w:tcPr>
          <w:p w14:paraId="0C5B3BC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Sept. 2015</w:t>
            </w:r>
          </w:p>
        </w:tc>
        <w:tc>
          <w:tcPr>
            <w:tcW w:w="1416" w:type="dxa"/>
            <w:tcBorders>
              <w:top w:val="nil"/>
            </w:tcBorders>
            <w:shd w:val="clear" w:color="auto" w:fill="auto"/>
            <w:vAlign w:val="bottom"/>
          </w:tcPr>
          <w:p w14:paraId="2310D30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6 Oct. 2015</w:t>
            </w:r>
          </w:p>
        </w:tc>
      </w:tr>
      <w:tr w:rsidR="00DC6EA4" w:rsidRPr="001A047D" w14:paraId="3240119B" w14:textId="77777777" w:rsidTr="00DC6EA4">
        <w:tc>
          <w:tcPr>
            <w:tcW w:w="1632" w:type="dxa"/>
            <w:shd w:val="clear" w:color="auto" w:fill="auto"/>
          </w:tcPr>
          <w:p w14:paraId="030F09C1"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bCs/>
                <w:sz w:val="18"/>
                <w:lang w:val="en-CA" w:eastAsia="en-GB"/>
              </w:rPr>
              <w:t xml:space="preserve">Lesotho </w:t>
            </w:r>
          </w:p>
        </w:tc>
        <w:tc>
          <w:tcPr>
            <w:tcW w:w="1343" w:type="dxa"/>
            <w:shd w:val="clear" w:color="auto" w:fill="auto"/>
            <w:vAlign w:val="bottom"/>
          </w:tcPr>
          <w:p w14:paraId="72F5F03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6 Dec. 2013</w:t>
            </w:r>
          </w:p>
        </w:tc>
        <w:tc>
          <w:tcPr>
            <w:tcW w:w="1318" w:type="dxa"/>
            <w:shd w:val="clear" w:color="auto" w:fill="auto"/>
            <w:vAlign w:val="bottom"/>
          </w:tcPr>
          <w:p w14:paraId="600CD27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5 Jan. 2014</w:t>
            </w:r>
          </w:p>
        </w:tc>
        <w:tc>
          <w:tcPr>
            <w:tcW w:w="1661" w:type="dxa"/>
            <w:shd w:val="clear" w:color="auto" w:fill="auto"/>
            <w:vAlign w:val="bottom"/>
          </w:tcPr>
          <w:p w14:paraId="66F3B67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5 Jan. 2016</w:t>
            </w:r>
          </w:p>
        </w:tc>
        <w:tc>
          <w:tcPr>
            <w:tcW w:w="1416" w:type="dxa"/>
            <w:shd w:val="clear" w:color="auto" w:fill="auto"/>
            <w:vAlign w:val="bottom"/>
          </w:tcPr>
          <w:p w14:paraId="2EACB247"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099FD9A9" w14:textId="77777777" w:rsidTr="00DC6EA4">
        <w:tc>
          <w:tcPr>
            <w:tcW w:w="1632" w:type="dxa"/>
            <w:shd w:val="clear" w:color="auto" w:fill="auto"/>
          </w:tcPr>
          <w:p w14:paraId="5EF0298B" w14:textId="7DE0B7E1" w:rsidR="00DC6EA4" w:rsidRPr="001A047D" w:rsidRDefault="00DC6EA4" w:rsidP="00DC6EA4">
            <w:pPr>
              <w:spacing w:before="40" w:after="40" w:line="220" w:lineRule="exact"/>
              <w:ind w:right="113"/>
              <w:rPr>
                <w:b/>
                <w:sz w:val="18"/>
                <w:lang w:val="en-CA"/>
              </w:rPr>
            </w:pPr>
            <w:r w:rsidRPr="001A047D">
              <w:rPr>
                <w:rFonts w:eastAsia="Malgun Gothic"/>
                <w:b/>
                <w:bCs/>
                <w:sz w:val="18"/>
                <w:lang w:val="en-CA" w:eastAsia="en-GB"/>
              </w:rPr>
              <w:t>Portugal</w:t>
            </w:r>
            <w:r w:rsidR="0017426B" w:rsidRPr="001A047D">
              <w:rPr>
                <w:rFonts w:eastAsia="Malgun Gothic"/>
                <w:sz w:val="18"/>
                <w:lang w:val="en-CA" w:eastAsia="en-GB"/>
              </w:rPr>
              <w:t>*</w:t>
            </w:r>
            <w:r w:rsidRPr="001A047D">
              <w:rPr>
                <w:rFonts w:eastAsia="Malgun Gothic"/>
                <w:sz w:val="18"/>
                <w:lang w:val="en-CA" w:eastAsia="en-GB"/>
              </w:rPr>
              <w:t xml:space="preserve"> </w:t>
            </w:r>
          </w:p>
        </w:tc>
        <w:tc>
          <w:tcPr>
            <w:tcW w:w="1343" w:type="dxa"/>
            <w:shd w:val="clear" w:color="auto" w:fill="auto"/>
            <w:vAlign w:val="bottom"/>
          </w:tcPr>
          <w:p w14:paraId="3E76A93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Jan. 2014</w:t>
            </w:r>
          </w:p>
        </w:tc>
        <w:tc>
          <w:tcPr>
            <w:tcW w:w="1318" w:type="dxa"/>
            <w:shd w:val="clear" w:color="auto" w:fill="auto"/>
            <w:vAlign w:val="bottom"/>
          </w:tcPr>
          <w:p w14:paraId="6946762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Feb. 2014</w:t>
            </w:r>
          </w:p>
        </w:tc>
        <w:tc>
          <w:tcPr>
            <w:tcW w:w="1661" w:type="dxa"/>
            <w:shd w:val="clear" w:color="auto" w:fill="auto"/>
            <w:vAlign w:val="bottom"/>
          </w:tcPr>
          <w:p w14:paraId="4F2F817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Feb. 2016</w:t>
            </w:r>
          </w:p>
        </w:tc>
        <w:tc>
          <w:tcPr>
            <w:tcW w:w="1416" w:type="dxa"/>
            <w:shd w:val="clear" w:color="auto" w:fill="auto"/>
            <w:vAlign w:val="bottom"/>
          </w:tcPr>
          <w:p w14:paraId="6C86C77C"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22</w:t>
            </w:r>
            <w:r w:rsidRPr="001A047D">
              <w:rPr>
                <w:sz w:val="18"/>
                <w:lang w:val="en-CA"/>
              </w:rPr>
              <w:t xml:space="preserve"> June </w:t>
            </w:r>
            <w:r w:rsidRPr="001A047D">
              <w:rPr>
                <w:rFonts w:eastAsia="Malgun Gothic"/>
                <w:sz w:val="18"/>
                <w:lang w:val="en-CA" w:eastAsia="en-GB"/>
              </w:rPr>
              <w:t>2016</w:t>
            </w:r>
          </w:p>
        </w:tc>
      </w:tr>
      <w:tr w:rsidR="00DC6EA4" w:rsidRPr="001A047D" w14:paraId="7D2823CE" w14:textId="77777777" w:rsidTr="00DC6EA4">
        <w:tc>
          <w:tcPr>
            <w:tcW w:w="1632" w:type="dxa"/>
            <w:shd w:val="clear" w:color="auto" w:fill="auto"/>
          </w:tcPr>
          <w:p w14:paraId="546DD460"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Togo</w:t>
            </w:r>
          </w:p>
        </w:tc>
        <w:tc>
          <w:tcPr>
            <w:tcW w:w="1343" w:type="dxa"/>
            <w:shd w:val="clear" w:color="auto" w:fill="auto"/>
            <w:vAlign w:val="bottom"/>
          </w:tcPr>
          <w:p w14:paraId="1479589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21 July 2014</w:t>
            </w:r>
          </w:p>
        </w:tc>
        <w:tc>
          <w:tcPr>
            <w:tcW w:w="1318" w:type="dxa"/>
            <w:shd w:val="clear" w:color="auto" w:fill="auto"/>
            <w:vAlign w:val="bottom"/>
          </w:tcPr>
          <w:p w14:paraId="0E4974E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20 Aug. 2014</w:t>
            </w:r>
          </w:p>
        </w:tc>
        <w:tc>
          <w:tcPr>
            <w:tcW w:w="1661" w:type="dxa"/>
            <w:shd w:val="clear" w:color="auto" w:fill="auto"/>
            <w:vAlign w:val="bottom"/>
          </w:tcPr>
          <w:p w14:paraId="33166AA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20 Aug. 2016</w:t>
            </w:r>
          </w:p>
        </w:tc>
        <w:tc>
          <w:tcPr>
            <w:tcW w:w="1416" w:type="dxa"/>
            <w:shd w:val="clear" w:color="auto" w:fill="auto"/>
            <w:vAlign w:val="bottom"/>
          </w:tcPr>
          <w:p w14:paraId="7E0767DA"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0C501B59" w14:textId="77777777" w:rsidTr="00DC6EA4">
        <w:tc>
          <w:tcPr>
            <w:tcW w:w="1632" w:type="dxa"/>
            <w:shd w:val="clear" w:color="auto" w:fill="auto"/>
          </w:tcPr>
          <w:p w14:paraId="07F2A1BB" w14:textId="319E8520"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Slovakia</w:t>
            </w:r>
            <w:r w:rsidR="0017426B" w:rsidRPr="001A047D">
              <w:rPr>
                <w:rFonts w:eastAsia="Malgun Gothic"/>
                <w:sz w:val="18"/>
                <w:lang w:val="en-CA" w:eastAsia="en-GB"/>
              </w:rPr>
              <w:t>*</w:t>
            </w:r>
          </w:p>
        </w:tc>
        <w:tc>
          <w:tcPr>
            <w:tcW w:w="1343" w:type="dxa"/>
            <w:shd w:val="clear" w:color="auto" w:fill="auto"/>
            <w:vAlign w:val="bottom"/>
          </w:tcPr>
          <w:p w14:paraId="02333B3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15 Dec. 2014</w:t>
            </w:r>
          </w:p>
        </w:tc>
        <w:tc>
          <w:tcPr>
            <w:tcW w:w="1318" w:type="dxa"/>
            <w:shd w:val="clear" w:color="auto" w:fill="auto"/>
            <w:vAlign w:val="bottom"/>
          </w:tcPr>
          <w:p w14:paraId="0273238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Jan. 2015</w:t>
            </w:r>
          </w:p>
        </w:tc>
        <w:tc>
          <w:tcPr>
            <w:tcW w:w="1661" w:type="dxa"/>
            <w:shd w:val="clear" w:color="auto" w:fill="auto"/>
            <w:vAlign w:val="bottom"/>
          </w:tcPr>
          <w:p w14:paraId="16274353"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Jan. 2017</w:t>
            </w:r>
          </w:p>
        </w:tc>
        <w:tc>
          <w:tcPr>
            <w:tcW w:w="1416" w:type="dxa"/>
            <w:shd w:val="clear" w:color="auto" w:fill="auto"/>
            <w:vAlign w:val="bottom"/>
          </w:tcPr>
          <w:p w14:paraId="7B4E779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Apr. 2018</w:t>
            </w:r>
          </w:p>
        </w:tc>
      </w:tr>
      <w:tr w:rsidR="00DC6EA4" w:rsidRPr="001A047D" w14:paraId="762A8A79" w14:textId="77777777" w:rsidTr="00DC6EA4">
        <w:tc>
          <w:tcPr>
            <w:tcW w:w="1632" w:type="dxa"/>
            <w:shd w:val="clear" w:color="auto" w:fill="auto"/>
          </w:tcPr>
          <w:p w14:paraId="7835EE16"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Mongolia</w:t>
            </w:r>
          </w:p>
        </w:tc>
        <w:tc>
          <w:tcPr>
            <w:tcW w:w="1343" w:type="dxa"/>
            <w:shd w:val="clear" w:color="auto" w:fill="auto"/>
            <w:vAlign w:val="bottom"/>
          </w:tcPr>
          <w:p w14:paraId="47FBAA2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12 Feb. 2015</w:t>
            </w:r>
          </w:p>
        </w:tc>
        <w:tc>
          <w:tcPr>
            <w:tcW w:w="1318" w:type="dxa"/>
            <w:shd w:val="clear" w:color="auto" w:fill="auto"/>
            <w:vAlign w:val="bottom"/>
          </w:tcPr>
          <w:p w14:paraId="1CBB138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Mar. 2015</w:t>
            </w:r>
          </w:p>
        </w:tc>
        <w:tc>
          <w:tcPr>
            <w:tcW w:w="1661" w:type="dxa"/>
            <w:shd w:val="clear" w:color="auto" w:fill="auto"/>
            <w:vAlign w:val="bottom"/>
          </w:tcPr>
          <w:p w14:paraId="4FE7E8F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Mar. 2017</w:t>
            </w:r>
          </w:p>
        </w:tc>
        <w:tc>
          <w:tcPr>
            <w:tcW w:w="1416" w:type="dxa"/>
            <w:shd w:val="clear" w:color="auto" w:fill="auto"/>
            <w:vAlign w:val="bottom"/>
          </w:tcPr>
          <w:p w14:paraId="0EE1594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Dec. 2018</w:t>
            </w:r>
          </w:p>
        </w:tc>
      </w:tr>
      <w:tr w:rsidR="00DC6EA4" w:rsidRPr="001A047D" w14:paraId="0EE13CB2" w14:textId="77777777" w:rsidTr="00DC6EA4">
        <w:tc>
          <w:tcPr>
            <w:tcW w:w="1632" w:type="dxa"/>
            <w:shd w:val="clear" w:color="auto" w:fill="auto"/>
          </w:tcPr>
          <w:p w14:paraId="590F3F10"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Malta</w:t>
            </w:r>
          </w:p>
        </w:tc>
        <w:tc>
          <w:tcPr>
            <w:tcW w:w="1343" w:type="dxa"/>
            <w:shd w:val="clear" w:color="auto" w:fill="auto"/>
            <w:vAlign w:val="bottom"/>
          </w:tcPr>
          <w:p w14:paraId="38F3337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27 Mar. 2015</w:t>
            </w:r>
          </w:p>
        </w:tc>
        <w:tc>
          <w:tcPr>
            <w:tcW w:w="1318" w:type="dxa"/>
            <w:shd w:val="clear" w:color="auto" w:fill="auto"/>
            <w:vAlign w:val="bottom"/>
          </w:tcPr>
          <w:p w14:paraId="6509155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Apr. 2015</w:t>
            </w:r>
          </w:p>
        </w:tc>
        <w:tc>
          <w:tcPr>
            <w:tcW w:w="1661" w:type="dxa"/>
            <w:shd w:val="clear" w:color="auto" w:fill="auto"/>
            <w:vAlign w:val="bottom"/>
          </w:tcPr>
          <w:p w14:paraId="2885B48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26 Apr. 2017</w:t>
            </w:r>
          </w:p>
        </w:tc>
        <w:tc>
          <w:tcPr>
            <w:tcW w:w="1416" w:type="dxa"/>
            <w:shd w:val="clear" w:color="auto" w:fill="auto"/>
            <w:vAlign w:val="bottom"/>
          </w:tcPr>
          <w:p w14:paraId="2C6A8E48"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46A337FC" w14:textId="77777777" w:rsidTr="00DC6EA4">
        <w:tc>
          <w:tcPr>
            <w:tcW w:w="1632" w:type="dxa"/>
            <w:shd w:val="clear" w:color="auto" w:fill="auto"/>
          </w:tcPr>
          <w:p w14:paraId="71E238A6"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Greece</w:t>
            </w:r>
          </w:p>
        </w:tc>
        <w:tc>
          <w:tcPr>
            <w:tcW w:w="1343" w:type="dxa"/>
            <w:shd w:val="clear" w:color="auto" w:fill="auto"/>
            <w:vAlign w:val="bottom"/>
          </w:tcPr>
          <w:p w14:paraId="0EA43D2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9 July 2015</w:t>
            </w:r>
          </w:p>
        </w:tc>
        <w:tc>
          <w:tcPr>
            <w:tcW w:w="1318" w:type="dxa"/>
            <w:shd w:val="clear" w:color="auto" w:fill="auto"/>
            <w:vAlign w:val="bottom"/>
          </w:tcPr>
          <w:p w14:paraId="4DCADCF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8 Aug. 2015</w:t>
            </w:r>
          </w:p>
        </w:tc>
        <w:tc>
          <w:tcPr>
            <w:tcW w:w="1661" w:type="dxa"/>
            <w:shd w:val="clear" w:color="auto" w:fill="auto"/>
            <w:vAlign w:val="bottom"/>
          </w:tcPr>
          <w:p w14:paraId="7A8B6A0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8 Aug. 2017</w:t>
            </w:r>
          </w:p>
        </w:tc>
        <w:tc>
          <w:tcPr>
            <w:tcW w:w="1416" w:type="dxa"/>
            <w:shd w:val="clear" w:color="auto" w:fill="auto"/>
            <w:vAlign w:val="bottom"/>
          </w:tcPr>
          <w:p w14:paraId="516FBC9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 Feb. 2019</w:t>
            </w:r>
          </w:p>
        </w:tc>
      </w:tr>
      <w:tr w:rsidR="00DC6EA4" w:rsidRPr="001A047D" w14:paraId="5D38F574" w14:textId="77777777" w:rsidTr="00DC6EA4">
        <w:tc>
          <w:tcPr>
            <w:tcW w:w="1632" w:type="dxa"/>
            <w:shd w:val="clear" w:color="auto" w:fill="auto"/>
          </w:tcPr>
          <w:p w14:paraId="7EA7A8CB"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Niger</w:t>
            </w:r>
          </w:p>
        </w:tc>
        <w:tc>
          <w:tcPr>
            <w:tcW w:w="1343" w:type="dxa"/>
            <w:shd w:val="clear" w:color="auto" w:fill="auto"/>
            <w:vAlign w:val="bottom"/>
          </w:tcPr>
          <w:p w14:paraId="0103635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July 2015</w:t>
            </w:r>
          </w:p>
        </w:tc>
        <w:tc>
          <w:tcPr>
            <w:tcW w:w="1318" w:type="dxa"/>
            <w:shd w:val="clear" w:color="auto" w:fill="auto"/>
            <w:vAlign w:val="bottom"/>
          </w:tcPr>
          <w:p w14:paraId="7A05DFB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Aug. 2015</w:t>
            </w:r>
          </w:p>
        </w:tc>
        <w:tc>
          <w:tcPr>
            <w:tcW w:w="1661" w:type="dxa"/>
            <w:shd w:val="clear" w:color="auto" w:fill="auto"/>
            <w:vAlign w:val="bottom"/>
          </w:tcPr>
          <w:p w14:paraId="4E6509D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23 Aug. 2017</w:t>
            </w:r>
          </w:p>
        </w:tc>
        <w:tc>
          <w:tcPr>
            <w:tcW w:w="1416" w:type="dxa"/>
            <w:shd w:val="clear" w:color="auto" w:fill="auto"/>
            <w:vAlign w:val="bottom"/>
          </w:tcPr>
          <w:p w14:paraId="15363FC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 Aug. 2019</w:t>
            </w:r>
          </w:p>
        </w:tc>
      </w:tr>
      <w:tr w:rsidR="00DC6EA4" w:rsidRPr="001A047D" w14:paraId="5D073038" w14:textId="77777777" w:rsidTr="00DC6EA4">
        <w:tc>
          <w:tcPr>
            <w:tcW w:w="1632" w:type="dxa"/>
            <w:shd w:val="clear" w:color="auto" w:fill="auto"/>
          </w:tcPr>
          <w:p w14:paraId="6D2D4645"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Belize</w:t>
            </w:r>
          </w:p>
        </w:tc>
        <w:tc>
          <w:tcPr>
            <w:tcW w:w="1343" w:type="dxa"/>
            <w:shd w:val="clear" w:color="auto" w:fill="auto"/>
            <w:vAlign w:val="bottom"/>
          </w:tcPr>
          <w:p w14:paraId="7CEDAAD1"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Aug. 2015</w:t>
            </w:r>
          </w:p>
        </w:tc>
        <w:tc>
          <w:tcPr>
            <w:tcW w:w="1318" w:type="dxa"/>
            <w:shd w:val="clear" w:color="auto" w:fill="auto"/>
            <w:vAlign w:val="bottom"/>
          </w:tcPr>
          <w:p w14:paraId="44BF078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Sept. 2015</w:t>
            </w:r>
          </w:p>
        </w:tc>
        <w:tc>
          <w:tcPr>
            <w:tcW w:w="1661" w:type="dxa"/>
            <w:shd w:val="clear" w:color="auto" w:fill="auto"/>
            <w:vAlign w:val="bottom"/>
          </w:tcPr>
          <w:p w14:paraId="6F911D7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Sept. 2017</w:t>
            </w:r>
          </w:p>
        </w:tc>
        <w:tc>
          <w:tcPr>
            <w:tcW w:w="1416" w:type="dxa"/>
            <w:shd w:val="clear" w:color="auto" w:fill="auto"/>
            <w:vAlign w:val="bottom"/>
          </w:tcPr>
          <w:p w14:paraId="2D241A06"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0C1E473C" w14:textId="77777777" w:rsidTr="00DC6EA4">
        <w:tc>
          <w:tcPr>
            <w:tcW w:w="1632" w:type="dxa"/>
            <w:shd w:val="clear" w:color="auto" w:fill="auto"/>
          </w:tcPr>
          <w:p w14:paraId="77D1BE97" w14:textId="444BCBD4"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Ukraine</w:t>
            </w:r>
            <w:r w:rsidR="0017426B" w:rsidRPr="001A047D">
              <w:rPr>
                <w:rFonts w:eastAsia="Malgun Gothic"/>
                <w:sz w:val="18"/>
                <w:lang w:val="en-CA" w:eastAsia="en-GB"/>
              </w:rPr>
              <w:t>*</w:t>
            </w:r>
          </w:p>
        </w:tc>
        <w:tc>
          <w:tcPr>
            <w:tcW w:w="1343" w:type="dxa"/>
            <w:shd w:val="clear" w:color="auto" w:fill="auto"/>
            <w:vAlign w:val="bottom"/>
          </w:tcPr>
          <w:p w14:paraId="4489966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Aug. 2015</w:t>
            </w:r>
          </w:p>
        </w:tc>
        <w:tc>
          <w:tcPr>
            <w:tcW w:w="1318" w:type="dxa"/>
            <w:shd w:val="clear" w:color="auto" w:fill="auto"/>
            <w:vAlign w:val="bottom"/>
          </w:tcPr>
          <w:p w14:paraId="6D5C98E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Sept. 2015</w:t>
            </w:r>
          </w:p>
        </w:tc>
        <w:tc>
          <w:tcPr>
            <w:tcW w:w="1661" w:type="dxa"/>
            <w:shd w:val="clear" w:color="auto" w:fill="auto"/>
            <w:vAlign w:val="bottom"/>
          </w:tcPr>
          <w:p w14:paraId="1462D6C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 xml:space="preserve">13 Sept. 2017 </w:t>
            </w:r>
          </w:p>
        </w:tc>
        <w:tc>
          <w:tcPr>
            <w:tcW w:w="1416" w:type="dxa"/>
            <w:shd w:val="clear" w:color="auto" w:fill="auto"/>
            <w:vAlign w:val="bottom"/>
          </w:tcPr>
          <w:p w14:paraId="2ED713C5"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4E1D5B0B" w14:textId="77777777" w:rsidTr="00DC6EA4">
        <w:tc>
          <w:tcPr>
            <w:tcW w:w="1632" w:type="dxa"/>
            <w:shd w:val="clear" w:color="auto" w:fill="auto"/>
          </w:tcPr>
          <w:p w14:paraId="009F7409"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Italy</w:t>
            </w:r>
          </w:p>
        </w:tc>
        <w:tc>
          <w:tcPr>
            <w:tcW w:w="1343" w:type="dxa"/>
            <w:shd w:val="clear" w:color="auto" w:fill="auto"/>
            <w:vAlign w:val="bottom"/>
          </w:tcPr>
          <w:p w14:paraId="0033295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8 Oct. 2015</w:t>
            </w:r>
          </w:p>
        </w:tc>
        <w:tc>
          <w:tcPr>
            <w:tcW w:w="1318" w:type="dxa"/>
            <w:shd w:val="clear" w:color="auto" w:fill="auto"/>
            <w:vAlign w:val="bottom"/>
          </w:tcPr>
          <w:p w14:paraId="45C54DD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7 Nov. 2015</w:t>
            </w:r>
          </w:p>
        </w:tc>
        <w:tc>
          <w:tcPr>
            <w:tcW w:w="1661" w:type="dxa"/>
            <w:shd w:val="clear" w:color="auto" w:fill="auto"/>
            <w:vAlign w:val="bottom"/>
          </w:tcPr>
          <w:p w14:paraId="3D48EE2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7 Nov. 2017</w:t>
            </w:r>
          </w:p>
        </w:tc>
        <w:tc>
          <w:tcPr>
            <w:tcW w:w="1416" w:type="dxa"/>
            <w:shd w:val="clear" w:color="auto" w:fill="auto"/>
            <w:vAlign w:val="bottom"/>
          </w:tcPr>
          <w:p w14:paraId="31E58B4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22 Dec. 2017</w:t>
            </w:r>
          </w:p>
        </w:tc>
      </w:tr>
      <w:tr w:rsidR="00DC6EA4" w:rsidRPr="001A047D" w14:paraId="7C3716AE" w14:textId="77777777" w:rsidTr="00DC6EA4">
        <w:tc>
          <w:tcPr>
            <w:tcW w:w="1632" w:type="dxa"/>
            <w:shd w:val="clear" w:color="auto" w:fill="auto"/>
          </w:tcPr>
          <w:p w14:paraId="573A8192" w14:textId="77777777" w:rsidR="00DC6EA4" w:rsidRPr="001A047D" w:rsidRDefault="00DC6EA4" w:rsidP="00DC6EA4">
            <w:pPr>
              <w:spacing w:before="40" w:after="40" w:line="220" w:lineRule="exact"/>
              <w:ind w:right="113"/>
              <w:rPr>
                <w:b/>
                <w:sz w:val="18"/>
                <w:lang w:val="en-CA"/>
              </w:rPr>
            </w:pPr>
            <w:r w:rsidRPr="001A047D">
              <w:rPr>
                <w:rFonts w:eastAsia="Malgun Gothic"/>
                <w:b/>
                <w:sz w:val="18"/>
                <w:lang w:val="en-CA" w:eastAsia="en-GB"/>
              </w:rPr>
              <w:t>Sri Lanka</w:t>
            </w:r>
          </w:p>
        </w:tc>
        <w:tc>
          <w:tcPr>
            <w:tcW w:w="1343" w:type="dxa"/>
            <w:shd w:val="clear" w:color="auto" w:fill="auto"/>
            <w:vAlign w:val="bottom"/>
          </w:tcPr>
          <w:p w14:paraId="7A89B04D"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25 May 2016</w:t>
            </w:r>
          </w:p>
        </w:tc>
        <w:tc>
          <w:tcPr>
            <w:tcW w:w="1318" w:type="dxa"/>
            <w:shd w:val="clear" w:color="auto" w:fill="auto"/>
            <w:vAlign w:val="bottom"/>
          </w:tcPr>
          <w:p w14:paraId="0F3D7A41" w14:textId="77777777" w:rsidR="00DC6EA4" w:rsidRPr="001A047D" w:rsidRDefault="00DC6EA4" w:rsidP="00DC6EA4">
            <w:pPr>
              <w:spacing w:before="40" w:after="40" w:line="220" w:lineRule="exact"/>
              <w:ind w:right="113"/>
              <w:jc w:val="right"/>
              <w:rPr>
                <w:sz w:val="18"/>
                <w:lang w:val="en-CA"/>
              </w:rPr>
            </w:pPr>
            <w:r w:rsidRPr="001A047D">
              <w:rPr>
                <w:rFonts w:eastAsia="Malgun Gothic"/>
                <w:sz w:val="18"/>
                <w:lang w:val="en-CA" w:eastAsia="en-GB"/>
              </w:rPr>
              <w:t>24</w:t>
            </w:r>
            <w:r w:rsidRPr="001A047D">
              <w:rPr>
                <w:sz w:val="18"/>
                <w:lang w:val="en-CA"/>
              </w:rPr>
              <w:t xml:space="preserve"> June </w:t>
            </w:r>
            <w:r w:rsidRPr="001A047D">
              <w:rPr>
                <w:rFonts w:eastAsia="Malgun Gothic"/>
                <w:sz w:val="18"/>
                <w:lang w:val="en-CA" w:eastAsia="en-GB"/>
              </w:rPr>
              <w:t>2016</w:t>
            </w:r>
          </w:p>
        </w:tc>
        <w:tc>
          <w:tcPr>
            <w:tcW w:w="1661" w:type="dxa"/>
            <w:shd w:val="clear" w:color="auto" w:fill="auto"/>
            <w:vAlign w:val="bottom"/>
          </w:tcPr>
          <w:p w14:paraId="4487C1E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24 June 2018</w:t>
            </w:r>
          </w:p>
        </w:tc>
        <w:tc>
          <w:tcPr>
            <w:tcW w:w="1416" w:type="dxa"/>
            <w:shd w:val="clear" w:color="auto" w:fill="auto"/>
            <w:vAlign w:val="bottom"/>
          </w:tcPr>
          <w:p w14:paraId="27261D19"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2A3B60FF" w14:textId="77777777" w:rsidTr="00DC6EA4">
        <w:tc>
          <w:tcPr>
            <w:tcW w:w="1632" w:type="dxa"/>
            <w:shd w:val="clear" w:color="auto" w:fill="auto"/>
          </w:tcPr>
          <w:p w14:paraId="686DFFCE"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Central African Republic</w:t>
            </w:r>
          </w:p>
        </w:tc>
        <w:tc>
          <w:tcPr>
            <w:tcW w:w="1343" w:type="dxa"/>
            <w:shd w:val="clear" w:color="auto" w:fill="auto"/>
            <w:vAlign w:val="bottom"/>
          </w:tcPr>
          <w:p w14:paraId="5EFB5F9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11 Oct. 2016</w:t>
            </w:r>
          </w:p>
        </w:tc>
        <w:tc>
          <w:tcPr>
            <w:tcW w:w="1318" w:type="dxa"/>
            <w:shd w:val="clear" w:color="auto" w:fill="auto"/>
            <w:vAlign w:val="bottom"/>
          </w:tcPr>
          <w:p w14:paraId="6C8E46C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10 Nov. 2016</w:t>
            </w:r>
          </w:p>
        </w:tc>
        <w:tc>
          <w:tcPr>
            <w:tcW w:w="1661" w:type="dxa"/>
            <w:shd w:val="clear" w:color="auto" w:fill="auto"/>
            <w:vAlign w:val="bottom"/>
          </w:tcPr>
          <w:p w14:paraId="293EC30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10 Nov. 2018</w:t>
            </w:r>
          </w:p>
        </w:tc>
        <w:tc>
          <w:tcPr>
            <w:tcW w:w="1416" w:type="dxa"/>
            <w:shd w:val="clear" w:color="auto" w:fill="auto"/>
            <w:vAlign w:val="bottom"/>
          </w:tcPr>
          <w:p w14:paraId="67CC7899"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44F6DD09" w14:textId="77777777" w:rsidTr="00DC6EA4">
        <w:tc>
          <w:tcPr>
            <w:tcW w:w="1632" w:type="dxa"/>
            <w:shd w:val="clear" w:color="auto" w:fill="auto"/>
          </w:tcPr>
          <w:p w14:paraId="4304E131" w14:textId="2512B6E5"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Switzerland</w:t>
            </w:r>
            <w:r w:rsidR="0017426B" w:rsidRPr="001A047D">
              <w:rPr>
                <w:rFonts w:eastAsia="Malgun Gothic"/>
                <w:sz w:val="18"/>
                <w:lang w:val="en-CA" w:eastAsia="en-GB"/>
              </w:rPr>
              <w:t>*</w:t>
            </w:r>
          </w:p>
        </w:tc>
        <w:tc>
          <w:tcPr>
            <w:tcW w:w="1343" w:type="dxa"/>
            <w:shd w:val="clear" w:color="auto" w:fill="auto"/>
            <w:vAlign w:val="bottom"/>
          </w:tcPr>
          <w:p w14:paraId="2D3FE46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Dec. 2016</w:t>
            </w:r>
          </w:p>
        </w:tc>
        <w:tc>
          <w:tcPr>
            <w:tcW w:w="1318" w:type="dxa"/>
            <w:shd w:val="clear" w:color="auto" w:fill="auto"/>
            <w:vAlign w:val="bottom"/>
          </w:tcPr>
          <w:p w14:paraId="07290CF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 Jan. 2017</w:t>
            </w:r>
          </w:p>
        </w:tc>
        <w:tc>
          <w:tcPr>
            <w:tcW w:w="1661" w:type="dxa"/>
            <w:shd w:val="clear" w:color="auto" w:fill="auto"/>
            <w:vAlign w:val="bottom"/>
          </w:tcPr>
          <w:p w14:paraId="4CE3549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 Jan. 2019</w:t>
            </w:r>
          </w:p>
        </w:tc>
        <w:tc>
          <w:tcPr>
            <w:tcW w:w="1416" w:type="dxa"/>
            <w:shd w:val="clear" w:color="auto" w:fill="auto"/>
            <w:vAlign w:val="bottom"/>
          </w:tcPr>
          <w:p w14:paraId="48321906"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21 Dec. 2018</w:t>
            </w:r>
          </w:p>
        </w:tc>
      </w:tr>
      <w:tr w:rsidR="00DC6EA4" w:rsidRPr="001A047D" w14:paraId="0E473644" w14:textId="77777777" w:rsidTr="00DC6EA4">
        <w:tc>
          <w:tcPr>
            <w:tcW w:w="1632" w:type="dxa"/>
            <w:shd w:val="clear" w:color="auto" w:fill="auto"/>
          </w:tcPr>
          <w:p w14:paraId="4D8A84A6"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Seychelles</w:t>
            </w:r>
          </w:p>
        </w:tc>
        <w:tc>
          <w:tcPr>
            <w:tcW w:w="1343" w:type="dxa"/>
            <w:shd w:val="clear" w:color="auto" w:fill="auto"/>
            <w:vAlign w:val="bottom"/>
          </w:tcPr>
          <w:p w14:paraId="560FC11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18 Jan. 2017</w:t>
            </w:r>
          </w:p>
        </w:tc>
        <w:tc>
          <w:tcPr>
            <w:tcW w:w="1318" w:type="dxa"/>
            <w:shd w:val="clear" w:color="auto" w:fill="auto"/>
            <w:vAlign w:val="bottom"/>
          </w:tcPr>
          <w:p w14:paraId="356FD26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Feb. 2017</w:t>
            </w:r>
          </w:p>
        </w:tc>
        <w:tc>
          <w:tcPr>
            <w:tcW w:w="1661" w:type="dxa"/>
            <w:shd w:val="clear" w:color="auto" w:fill="auto"/>
            <w:vAlign w:val="bottom"/>
          </w:tcPr>
          <w:p w14:paraId="1DE73F4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17 Feb. 2019</w:t>
            </w:r>
          </w:p>
        </w:tc>
        <w:tc>
          <w:tcPr>
            <w:tcW w:w="1416" w:type="dxa"/>
            <w:shd w:val="clear" w:color="auto" w:fill="auto"/>
            <w:vAlign w:val="bottom"/>
          </w:tcPr>
          <w:p w14:paraId="4B72CD9F"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2215CD91" w14:textId="77777777" w:rsidTr="00DC6EA4">
        <w:tc>
          <w:tcPr>
            <w:tcW w:w="1632" w:type="dxa"/>
            <w:shd w:val="clear" w:color="auto" w:fill="auto"/>
          </w:tcPr>
          <w:p w14:paraId="5CF97896" w14:textId="2D65DA56"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Czechia</w:t>
            </w:r>
            <w:r w:rsidR="0017426B" w:rsidRPr="001A047D">
              <w:rPr>
                <w:rFonts w:eastAsia="Malgun Gothic"/>
                <w:sz w:val="18"/>
                <w:lang w:val="en-CA" w:eastAsia="en-GB"/>
              </w:rPr>
              <w:t>*</w:t>
            </w:r>
          </w:p>
        </w:tc>
        <w:tc>
          <w:tcPr>
            <w:tcW w:w="1343" w:type="dxa"/>
            <w:shd w:val="clear" w:color="auto" w:fill="auto"/>
            <w:vAlign w:val="bottom"/>
          </w:tcPr>
          <w:p w14:paraId="699400EF"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8 Feb. 2017</w:t>
            </w:r>
          </w:p>
        </w:tc>
        <w:tc>
          <w:tcPr>
            <w:tcW w:w="1318" w:type="dxa"/>
            <w:shd w:val="clear" w:color="auto" w:fill="auto"/>
            <w:vAlign w:val="bottom"/>
          </w:tcPr>
          <w:p w14:paraId="6DF4C6F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10 Mar. 2017</w:t>
            </w:r>
          </w:p>
        </w:tc>
        <w:tc>
          <w:tcPr>
            <w:tcW w:w="1661" w:type="dxa"/>
            <w:shd w:val="clear" w:color="auto" w:fill="auto"/>
            <w:vAlign w:val="bottom"/>
          </w:tcPr>
          <w:p w14:paraId="62829C8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10 Mar. 2019</w:t>
            </w:r>
          </w:p>
        </w:tc>
        <w:tc>
          <w:tcPr>
            <w:tcW w:w="1416" w:type="dxa"/>
            <w:shd w:val="clear" w:color="auto" w:fill="auto"/>
            <w:vAlign w:val="bottom"/>
          </w:tcPr>
          <w:p w14:paraId="47BC690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22 May 2019</w:t>
            </w:r>
          </w:p>
        </w:tc>
      </w:tr>
      <w:tr w:rsidR="00DC6EA4" w:rsidRPr="001A047D" w14:paraId="45448564" w14:textId="77777777" w:rsidTr="00DC6EA4">
        <w:trPr>
          <w:trHeight w:val="157"/>
        </w:trPr>
        <w:tc>
          <w:tcPr>
            <w:tcW w:w="1632" w:type="dxa"/>
            <w:shd w:val="clear" w:color="auto" w:fill="auto"/>
          </w:tcPr>
          <w:p w14:paraId="397C0AF8" w14:textId="3F6DCC50"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Malawi</w:t>
            </w:r>
            <w:r w:rsidR="0017426B" w:rsidRPr="001A047D">
              <w:rPr>
                <w:rFonts w:eastAsia="Malgun Gothic"/>
                <w:sz w:val="18"/>
                <w:lang w:val="en-CA" w:eastAsia="en-GB"/>
              </w:rPr>
              <w:t>*</w:t>
            </w:r>
          </w:p>
        </w:tc>
        <w:tc>
          <w:tcPr>
            <w:tcW w:w="1343" w:type="dxa"/>
            <w:shd w:val="clear" w:color="auto" w:fill="auto"/>
            <w:vAlign w:val="bottom"/>
          </w:tcPr>
          <w:p w14:paraId="66BD970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14 July 2017</w:t>
            </w:r>
          </w:p>
        </w:tc>
        <w:tc>
          <w:tcPr>
            <w:tcW w:w="1318" w:type="dxa"/>
            <w:shd w:val="clear" w:color="auto" w:fill="auto"/>
            <w:vAlign w:val="bottom"/>
          </w:tcPr>
          <w:p w14:paraId="12578D3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Aug. 2017</w:t>
            </w:r>
          </w:p>
        </w:tc>
        <w:tc>
          <w:tcPr>
            <w:tcW w:w="1661" w:type="dxa"/>
            <w:shd w:val="clear" w:color="auto" w:fill="auto"/>
            <w:vAlign w:val="bottom"/>
          </w:tcPr>
          <w:p w14:paraId="43D1F84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Aug. 2019</w:t>
            </w:r>
          </w:p>
        </w:tc>
        <w:tc>
          <w:tcPr>
            <w:tcW w:w="1416" w:type="dxa"/>
            <w:shd w:val="clear" w:color="auto" w:fill="auto"/>
            <w:vAlign w:val="bottom"/>
          </w:tcPr>
          <w:p w14:paraId="692ED8EA"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7184A70B" w14:textId="77777777" w:rsidTr="00DC6EA4">
        <w:trPr>
          <w:trHeight w:val="157"/>
        </w:trPr>
        <w:tc>
          <w:tcPr>
            <w:tcW w:w="1632" w:type="dxa"/>
            <w:shd w:val="clear" w:color="auto" w:fill="auto"/>
          </w:tcPr>
          <w:p w14:paraId="70BE14E2"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Benin</w:t>
            </w:r>
          </w:p>
        </w:tc>
        <w:tc>
          <w:tcPr>
            <w:tcW w:w="1343" w:type="dxa"/>
            <w:shd w:val="clear" w:color="auto" w:fill="auto"/>
            <w:vAlign w:val="bottom"/>
          </w:tcPr>
          <w:p w14:paraId="47340DD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Nov. 2017</w:t>
            </w:r>
          </w:p>
        </w:tc>
        <w:tc>
          <w:tcPr>
            <w:tcW w:w="1318" w:type="dxa"/>
            <w:shd w:val="clear" w:color="auto" w:fill="auto"/>
            <w:vAlign w:val="bottom"/>
          </w:tcPr>
          <w:p w14:paraId="33041F77"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Dec. 2017</w:t>
            </w:r>
          </w:p>
        </w:tc>
        <w:tc>
          <w:tcPr>
            <w:tcW w:w="1661" w:type="dxa"/>
            <w:shd w:val="clear" w:color="auto" w:fill="auto"/>
            <w:vAlign w:val="bottom"/>
          </w:tcPr>
          <w:p w14:paraId="4037E5B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 Dec. 2019</w:t>
            </w:r>
          </w:p>
        </w:tc>
        <w:tc>
          <w:tcPr>
            <w:tcW w:w="1416" w:type="dxa"/>
            <w:shd w:val="clear" w:color="auto" w:fill="auto"/>
            <w:vAlign w:val="bottom"/>
          </w:tcPr>
          <w:p w14:paraId="3B74238D"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2E7BEC79" w14:textId="77777777" w:rsidTr="00DC6EA4">
        <w:trPr>
          <w:trHeight w:val="157"/>
        </w:trPr>
        <w:tc>
          <w:tcPr>
            <w:tcW w:w="1632" w:type="dxa"/>
            <w:shd w:val="clear" w:color="auto" w:fill="auto"/>
          </w:tcPr>
          <w:p w14:paraId="09095480"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Gambia</w:t>
            </w:r>
          </w:p>
        </w:tc>
        <w:tc>
          <w:tcPr>
            <w:tcW w:w="1343" w:type="dxa"/>
            <w:shd w:val="clear" w:color="auto" w:fill="auto"/>
            <w:vAlign w:val="bottom"/>
          </w:tcPr>
          <w:p w14:paraId="45FB5D95"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28 Sept. 2018</w:t>
            </w:r>
          </w:p>
        </w:tc>
        <w:tc>
          <w:tcPr>
            <w:tcW w:w="1318" w:type="dxa"/>
            <w:shd w:val="clear" w:color="auto" w:fill="auto"/>
            <w:vAlign w:val="bottom"/>
          </w:tcPr>
          <w:p w14:paraId="574207FA"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28 Oct. 2018</w:t>
            </w:r>
          </w:p>
        </w:tc>
        <w:tc>
          <w:tcPr>
            <w:tcW w:w="1661" w:type="dxa"/>
            <w:shd w:val="clear" w:color="auto" w:fill="auto"/>
            <w:vAlign w:val="bottom"/>
          </w:tcPr>
          <w:p w14:paraId="1B38DC69"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28 Oct. 2020</w:t>
            </w:r>
          </w:p>
        </w:tc>
        <w:tc>
          <w:tcPr>
            <w:tcW w:w="1416" w:type="dxa"/>
            <w:shd w:val="clear" w:color="auto" w:fill="auto"/>
            <w:vAlign w:val="bottom"/>
          </w:tcPr>
          <w:p w14:paraId="6F6C72C5"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16EBBE99" w14:textId="77777777" w:rsidTr="00DC6EA4">
        <w:trPr>
          <w:trHeight w:val="157"/>
        </w:trPr>
        <w:tc>
          <w:tcPr>
            <w:tcW w:w="1632" w:type="dxa"/>
            <w:shd w:val="clear" w:color="auto" w:fill="auto"/>
          </w:tcPr>
          <w:p w14:paraId="632BB000"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Dominica</w:t>
            </w:r>
          </w:p>
        </w:tc>
        <w:tc>
          <w:tcPr>
            <w:tcW w:w="1343" w:type="dxa"/>
            <w:shd w:val="clear" w:color="auto" w:fill="auto"/>
            <w:vAlign w:val="bottom"/>
          </w:tcPr>
          <w:p w14:paraId="1E0BEC3C"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13 May 2019</w:t>
            </w:r>
          </w:p>
        </w:tc>
        <w:tc>
          <w:tcPr>
            <w:tcW w:w="1318" w:type="dxa"/>
            <w:shd w:val="clear" w:color="auto" w:fill="auto"/>
            <w:vAlign w:val="bottom"/>
          </w:tcPr>
          <w:p w14:paraId="4A72736B"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12 June 2019</w:t>
            </w:r>
          </w:p>
        </w:tc>
        <w:tc>
          <w:tcPr>
            <w:tcW w:w="1661" w:type="dxa"/>
            <w:shd w:val="clear" w:color="auto" w:fill="auto"/>
            <w:vAlign w:val="bottom"/>
          </w:tcPr>
          <w:p w14:paraId="23C29D8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12 June 2021</w:t>
            </w:r>
          </w:p>
        </w:tc>
        <w:tc>
          <w:tcPr>
            <w:tcW w:w="1416" w:type="dxa"/>
            <w:shd w:val="clear" w:color="auto" w:fill="auto"/>
            <w:vAlign w:val="bottom"/>
          </w:tcPr>
          <w:p w14:paraId="7C20F1DE"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492DE50F" w14:textId="77777777" w:rsidTr="00DC6EA4">
        <w:trPr>
          <w:trHeight w:val="157"/>
        </w:trPr>
        <w:tc>
          <w:tcPr>
            <w:tcW w:w="1632" w:type="dxa"/>
            <w:shd w:val="clear" w:color="auto" w:fill="auto"/>
          </w:tcPr>
          <w:p w14:paraId="6CFBAB40"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Fiji</w:t>
            </w:r>
          </w:p>
        </w:tc>
        <w:tc>
          <w:tcPr>
            <w:tcW w:w="1343" w:type="dxa"/>
            <w:shd w:val="clear" w:color="auto" w:fill="auto"/>
            <w:vAlign w:val="bottom"/>
          </w:tcPr>
          <w:p w14:paraId="0DE5B4E2"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19 Aug. 2019</w:t>
            </w:r>
          </w:p>
        </w:tc>
        <w:tc>
          <w:tcPr>
            <w:tcW w:w="1318" w:type="dxa"/>
            <w:shd w:val="clear" w:color="auto" w:fill="auto"/>
            <w:vAlign w:val="bottom"/>
          </w:tcPr>
          <w:p w14:paraId="4058F4A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18 Sept. 2019</w:t>
            </w:r>
          </w:p>
        </w:tc>
        <w:tc>
          <w:tcPr>
            <w:tcW w:w="1661" w:type="dxa"/>
            <w:shd w:val="clear" w:color="auto" w:fill="auto"/>
            <w:vAlign w:val="bottom"/>
          </w:tcPr>
          <w:p w14:paraId="2FAF81FE"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18 Sept. 2021</w:t>
            </w:r>
          </w:p>
        </w:tc>
        <w:tc>
          <w:tcPr>
            <w:tcW w:w="1416" w:type="dxa"/>
            <w:shd w:val="clear" w:color="auto" w:fill="auto"/>
            <w:vAlign w:val="bottom"/>
          </w:tcPr>
          <w:p w14:paraId="7B1AAB63" w14:textId="77777777" w:rsidR="00DC6EA4" w:rsidRPr="001A047D" w:rsidRDefault="00DC6EA4" w:rsidP="00DC6EA4">
            <w:pPr>
              <w:spacing w:before="40" w:after="40" w:line="220" w:lineRule="exact"/>
              <w:ind w:right="113"/>
              <w:jc w:val="right"/>
              <w:rPr>
                <w:rFonts w:eastAsia="Malgun Gothic"/>
                <w:sz w:val="18"/>
                <w:lang w:val="en-CA" w:eastAsia="en-GB"/>
              </w:rPr>
            </w:pPr>
          </w:p>
        </w:tc>
      </w:tr>
      <w:tr w:rsidR="00DC6EA4" w:rsidRPr="001A047D" w14:paraId="5584B161" w14:textId="77777777" w:rsidTr="00DC6EA4">
        <w:trPr>
          <w:trHeight w:val="157"/>
        </w:trPr>
        <w:tc>
          <w:tcPr>
            <w:tcW w:w="1632" w:type="dxa"/>
            <w:shd w:val="clear" w:color="auto" w:fill="auto"/>
          </w:tcPr>
          <w:p w14:paraId="00B9401A" w14:textId="77777777" w:rsidR="00DC6EA4" w:rsidRPr="001A047D" w:rsidRDefault="00DC6EA4" w:rsidP="00DC6EA4">
            <w:pPr>
              <w:spacing w:before="40" w:after="40" w:line="220" w:lineRule="exact"/>
              <w:ind w:right="113"/>
              <w:rPr>
                <w:rFonts w:eastAsia="Malgun Gothic"/>
                <w:b/>
                <w:sz w:val="18"/>
                <w:lang w:val="en-CA" w:eastAsia="en-GB"/>
              </w:rPr>
            </w:pPr>
            <w:r w:rsidRPr="001A047D">
              <w:rPr>
                <w:rFonts w:eastAsia="Malgun Gothic"/>
                <w:b/>
                <w:sz w:val="18"/>
                <w:lang w:val="en-CA" w:eastAsia="en-GB"/>
              </w:rPr>
              <w:t>Norway</w:t>
            </w:r>
          </w:p>
        </w:tc>
        <w:tc>
          <w:tcPr>
            <w:tcW w:w="1343" w:type="dxa"/>
            <w:shd w:val="clear" w:color="auto" w:fill="auto"/>
            <w:vAlign w:val="bottom"/>
          </w:tcPr>
          <w:p w14:paraId="5DDCDC24"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22 Aug. 2019</w:t>
            </w:r>
          </w:p>
        </w:tc>
        <w:tc>
          <w:tcPr>
            <w:tcW w:w="1318" w:type="dxa"/>
            <w:shd w:val="clear" w:color="auto" w:fill="auto"/>
            <w:vAlign w:val="bottom"/>
          </w:tcPr>
          <w:p w14:paraId="7CF641D8"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21 Aug. 2019</w:t>
            </w:r>
          </w:p>
        </w:tc>
        <w:tc>
          <w:tcPr>
            <w:tcW w:w="1661" w:type="dxa"/>
            <w:shd w:val="clear" w:color="auto" w:fill="auto"/>
            <w:vAlign w:val="bottom"/>
          </w:tcPr>
          <w:p w14:paraId="0E48EEF0" w14:textId="77777777" w:rsidR="00DC6EA4" w:rsidRPr="001A047D" w:rsidRDefault="00DC6EA4" w:rsidP="00DC6EA4">
            <w:pPr>
              <w:spacing w:before="40" w:after="40" w:line="220" w:lineRule="exact"/>
              <w:ind w:right="113"/>
              <w:jc w:val="right"/>
              <w:rPr>
                <w:rFonts w:eastAsia="Malgun Gothic"/>
                <w:sz w:val="18"/>
                <w:lang w:val="en-CA" w:eastAsia="en-GB"/>
              </w:rPr>
            </w:pPr>
            <w:r w:rsidRPr="001A047D">
              <w:rPr>
                <w:rFonts w:eastAsia="Malgun Gothic"/>
                <w:sz w:val="18"/>
                <w:lang w:val="en-CA" w:eastAsia="en-GB"/>
              </w:rPr>
              <w:t>21 Aug. 2021</w:t>
            </w:r>
          </w:p>
        </w:tc>
        <w:tc>
          <w:tcPr>
            <w:tcW w:w="1416" w:type="dxa"/>
            <w:shd w:val="clear" w:color="auto" w:fill="auto"/>
            <w:vAlign w:val="bottom"/>
          </w:tcPr>
          <w:p w14:paraId="1F031D38" w14:textId="77777777" w:rsidR="00DC6EA4" w:rsidRPr="001A047D" w:rsidRDefault="00DC6EA4" w:rsidP="00DC6EA4">
            <w:pPr>
              <w:spacing w:before="40" w:after="40" w:line="220" w:lineRule="exact"/>
              <w:ind w:right="113"/>
              <w:jc w:val="right"/>
              <w:rPr>
                <w:rFonts w:eastAsia="Malgun Gothic"/>
                <w:sz w:val="18"/>
                <w:lang w:val="en-CA" w:eastAsia="en-GB"/>
              </w:rPr>
            </w:pPr>
          </w:p>
        </w:tc>
      </w:tr>
    </w:tbl>
    <w:p w14:paraId="5E95AD61" w14:textId="77777777" w:rsidR="00DC6EA4" w:rsidRPr="001A047D" w:rsidRDefault="00DC6EA4" w:rsidP="00DC6EA4">
      <w:pPr>
        <w:spacing w:before="120" w:line="240" w:lineRule="atLeast"/>
        <w:ind w:left="1134" w:right="1134"/>
        <w:rPr>
          <w:sz w:val="18"/>
          <w:lang w:val="en-CA"/>
        </w:rPr>
      </w:pPr>
      <w:bookmarkStart w:id="190" w:name="BM7"/>
      <w:bookmarkStart w:id="191" w:name="_Toc460489568"/>
      <w:bookmarkStart w:id="192" w:name="_Toc522200483"/>
      <w:bookmarkStart w:id="193" w:name="_Toc326162697"/>
      <w:bookmarkStart w:id="194" w:name="_Toc326220812"/>
      <w:bookmarkEnd w:id="190"/>
      <w:r w:rsidRPr="001A047D">
        <w:rPr>
          <w:i/>
          <w:iCs/>
          <w:sz w:val="18"/>
          <w:lang w:val="en-CA"/>
        </w:rPr>
        <w:t>Note</w:t>
      </w:r>
      <w:r w:rsidRPr="001A047D">
        <w:rPr>
          <w:sz w:val="18"/>
          <w:lang w:val="en-CA"/>
        </w:rPr>
        <w:t xml:space="preserve">: </w:t>
      </w:r>
      <w:r w:rsidRPr="001A047D">
        <w:rPr>
          <w:b/>
          <w:bCs/>
          <w:sz w:val="18"/>
          <w:lang w:val="en-CA"/>
        </w:rPr>
        <w:t>States parties marked with an asterisk have made declarations recognizing the competence of the Committee under articles 31 and</w:t>
      </w:r>
      <w:bookmarkEnd w:id="191"/>
      <w:bookmarkEnd w:id="192"/>
      <w:r w:rsidRPr="001A047D">
        <w:rPr>
          <w:b/>
          <w:sz w:val="18"/>
          <w:lang w:val="en-CA"/>
        </w:rPr>
        <w:t>/or 32 of the Convention.</w:t>
      </w:r>
      <w:r w:rsidRPr="001A047D">
        <w:rPr>
          <w:sz w:val="18"/>
          <w:lang w:val="en-CA"/>
        </w:rPr>
        <w:t xml:space="preserve"> The full text of declarations and reservations made by States Parties is available at </w:t>
      </w:r>
      <w:hyperlink r:id="rId54" w:history="1">
        <w:r w:rsidRPr="001A047D">
          <w:rPr>
            <w:rStyle w:val="Hyperlink"/>
            <w:color w:val="auto"/>
            <w:sz w:val="18"/>
            <w:lang w:val="en-CA"/>
          </w:rPr>
          <w:t>http://treaties.un.org/Pages/</w:t>
        </w:r>
        <w:r w:rsidRPr="001A047D">
          <w:rPr>
            <w:rStyle w:val="Hyperlink"/>
            <w:color w:val="auto"/>
            <w:sz w:val="18"/>
            <w:lang w:val="en-CA"/>
          </w:rPr>
          <w:br/>
          <w:t>ViewDetails.aspx?src=TREATY&amp;mtdsg_no=IV-16&amp;chapter=4&amp;lang=en</w:t>
        </w:r>
      </w:hyperlink>
      <w:r w:rsidRPr="001A047D">
        <w:rPr>
          <w:sz w:val="18"/>
          <w:lang w:val="en-CA"/>
        </w:rPr>
        <w:t>.</w:t>
      </w:r>
    </w:p>
    <w:bookmarkEnd w:id="193"/>
    <w:bookmarkEnd w:id="194"/>
    <w:p w14:paraId="2F294598" w14:textId="46F3A769" w:rsidR="00EC76C9" w:rsidRDefault="00E266EA" w:rsidP="00DC6EA4">
      <w:pPr>
        <w:pStyle w:val="SingleTxtG"/>
        <w:spacing w:before="240"/>
        <w:jc w:val="center"/>
        <w:rPr>
          <w:u w:val="single"/>
          <w:lang w:val="en-CA"/>
        </w:rPr>
      </w:pPr>
      <w:r>
        <w:rPr>
          <w:noProof/>
        </w:rPr>
        <mc:AlternateContent>
          <mc:Choice Requires="wps">
            <w:drawing>
              <wp:anchor distT="45720" distB="45720" distL="114300" distR="114300" simplePos="0" relativeHeight="251659264" behindDoc="0" locked="0" layoutInCell="1" allowOverlap="1" wp14:anchorId="0C6A4D20" wp14:editId="651D8DE7">
                <wp:simplePos x="0" y="0"/>
                <wp:positionH relativeFrom="margin">
                  <wp:posOffset>0</wp:posOffset>
                </wp:positionH>
                <wp:positionV relativeFrom="paragraph">
                  <wp:posOffset>3288665</wp:posOffset>
                </wp:positionV>
                <wp:extent cx="1537970" cy="604520"/>
                <wp:effectExtent l="0" t="0" r="24130"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970" cy="604520"/>
                        </a:xfrm>
                        <a:prstGeom prst="rect">
                          <a:avLst/>
                        </a:prstGeom>
                        <a:solidFill>
                          <a:srgbClr val="FFFFFF"/>
                        </a:solidFill>
                        <a:ln w="9525">
                          <a:solidFill>
                            <a:schemeClr val="bg1"/>
                          </a:solidFill>
                          <a:miter lim="800000"/>
                          <a:headEnd/>
                          <a:tailEnd/>
                        </a:ln>
                      </wps:spPr>
                      <wps:txbx>
                        <w:txbxContent>
                          <w:p w14:paraId="288EC64B" w14:textId="77777777" w:rsidR="00E266EA" w:rsidRPr="0026615F" w:rsidRDefault="00E266EA" w:rsidP="00E266EA">
                            <w:pPr>
                              <w:pStyle w:val="Footer"/>
                              <w:rPr>
                                <w:rFonts w:ascii="C39T30Lfz" w:hAnsi="C39T30Lfz"/>
                                <w:sz w:val="56"/>
                              </w:rPr>
                            </w:pPr>
                            <w:r>
                              <w:t>GE.</w:t>
                            </w:r>
                            <w:r w:rsidRPr="005F2A36">
                              <w:t>20</w:t>
                            </w:r>
                            <w:r>
                              <w:t>-</w:t>
                            </w:r>
                            <w:r w:rsidRPr="005F2A36">
                              <w:t>08453</w:t>
                            </w:r>
                            <w:r>
                              <w:t xml:space="preserve">  (E)</w:t>
                            </w:r>
                            <w:r>
                              <w:br/>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p>
                          <w:p w14:paraId="085A022B" w14:textId="77777777" w:rsidR="00E266EA" w:rsidRDefault="00E266EA" w:rsidP="00E266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6A4D20" id="_x0000_t202" coordsize="21600,21600" o:spt="202" path="m,l,21600r21600,l21600,xe">
                <v:stroke joinstyle="miter"/>
                <v:path gradientshapeok="t" o:connecttype="rect"/>
              </v:shapetype>
              <v:shape id="Text Box 2" o:spid="_x0000_s1026" type="#_x0000_t202" style="position:absolute;left:0;text-align:left;margin-left:0;margin-top:258.95pt;width:121.1pt;height:47.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" strokecolor="white [3212]">
                <v:textbox>
                  <w:txbxContent>
                    <w:p w14:paraId="288EC64B" w14:textId="77777777" w:rsidR="00E266EA" w:rsidRPr="0026615F" w:rsidRDefault="00E266EA" w:rsidP="00E266EA">
                      <w:pPr>
                        <w:pStyle w:val="Footer"/>
                        <w:rPr>
                          <w:rFonts w:ascii="C39T30Lfz" w:hAnsi="C39T30Lfz"/>
                          <w:sz w:val="56"/>
                        </w:rPr>
                      </w:pPr>
                      <w:r>
                        <w:t>GE.</w:t>
                      </w:r>
                      <w:r w:rsidRPr="005F2A36">
                        <w:t>20</w:t>
                      </w:r>
                      <w:r>
                        <w:t>-</w:t>
                      </w:r>
                      <w:proofErr w:type="gramStart"/>
                      <w:r w:rsidRPr="005F2A36">
                        <w:t>08453</w:t>
                      </w:r>
                      <w:r>
                        <w:t xml:space="preserve">  (</w:t>
                      </w:r>
                      <w:proofErr w:type="gramEnd"/>
                      <w:r>
                        <w:t>E)</w:t>
                      </w:r>
                      <w:r>
                        <w:br/>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r w:rsidRPr="0026615F">
                        <w:rPr>
                          <w:rFonts w:ascii="C39T30Lfz" w:hAnsi="C39T30Lfz"/>
                          <w:sz w:val="56"/>
                        </w:rPr>
                        <w:t></w:t>
                      </w:r>
                    </w:p>
                    <w:p w14:paraId="085A022B" w14:textId="77777777" w:rsidR="00E266EA" w:rsidRDefault="00E266EA" w:rsidP="00E266EA"/>
                  </w:txbxContent>
                </v:textbox>
                <w10:wrap anchorx="margin"/>
              </v:shape>
            </w:pict>
          </mc:Fallback>
        </mc:AlternateContent>
      </w:r>
      <w:r w:rsidR="00DC6EA4" w:rsidRPr="001A047D">
        <w:rPr>
          <w:u w:val="single"/>
          <w:lang w:val="en-CA"/>
        </w:rPr>
        <w:tab/>
      </w:r>
      <w:r w:rsidR="00DC6EA4" w:rsidRPr="001A047D">
        <w:rPr>
          <w:u w:val="single"/>
          <w:lang w:val="en-CA"/>
        </w:rPr>
        <w:tab/>
      </w:r>
      <w:r w:rsidR="00DC6EA4" w:rsidRPr="001A047D">
        <w:rPr>
          <w:u w:val="single"/>
          <w:lang w:val="en-CA"/>
        </w:rPr>
        <w:tab/>
      </w:r>
      <w:r w:rsidR="00DC6EA4" w:rsidRPr="001A047D">
        <w:rPr>
          <w:u w:val="single"/>
          <w:lang w:val="en-CA"/>
        </w:rPr>
        <w:tab/>
      </w:r>
      <w:bookmarkEnd w:id="2"/>
    </w:p>
    <w:sectPr w:rsidR="00EC76C9" w:rsidSect="00467C89">
      <w:headerReference w:type="even" r:id="rId55"/>
      <w:footerReference w:type="default" r:id="rId56"/>
      <w:headerReference w:type="first" r:id="rId57"/>
      <w:footerReference w:type="first" r:id="rId58"/>
      <w:endnotePr>
        <w:numFmt w:val="decimal"/>
      </w:endnotePr>
      <w:type w:val="oddPage"/>
      <w:pgSz w:w="11907" w:h="16840" w:code="9"/>
      <w:pgMar w:top="1418" w:right="1134" w:bottom="1134" w:left="1134" w:header="851" w:footer="567" w:gutter="0"/>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BA96B" w14:textId="77777777" w:rsidR="00EC76C9" w:rsidRDefault="00EC76C9"/>
    <w:p w14:paraId="08DF2B2B" w14:textId="77777777" w:rsidR="00EC76C9" w:rsidRDefault="00EC76C9"/>
    <w:p w14:paraId="7487B40F" w14:textId="77777777" w:rsidR="00EC76C9" w:rsidRDefault="00EC76C9"/>
  </w:endnote>
  <w:endnote w:type="continuationSeparator" w:id="0">
    <w:p w14:paraId="2CFE74E7" w14:textId="77777777" w:rsidR="00EC76C9" w:rsidRDefault="00EC76C9"/>
    <w:p w14:paraId="38D78CB2" w14:textId="77777777" w:rsidR="00EC76C9" w:rsidRDefault="00EC76C9"/>
    <w:p w14:paraId="403D6D25" w14:textId="77777777" w:rsidR="00EC76C9" w:rsidRDefault="00EC76C9"/>
  </w:endnote>
  <w:endnote w:type="continuationNotice" w:id="1">
    <w:p w14:paraId="460DDDA2" w14:textId="77777777" w:rsidR="00EC76C9" w:rsidRDefault="00EC76C9"/>
    <w:p w14:paraId="1CFC6CEA" w14:textId="77777777" w:rsidR="00EC76C9" w:rsidRDefault="00EC76C9"/>
    <w:p w14:paraId="1AEB176A" w14:textId="77777777" w:rsidR="00EC76C9" w:rsidRDefault="00EC76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0407F" w14:textId="1DF69978" w:rsidR="00EC76C9" w:rsidRPr="00AA5CB1" w:rsidRDefault="00E266EA" w:rsidP="00612BB9">
    <w:pPr>
      <w:pStyle w:val="Footer"/>
      <w:rPr>
        <w:rFonts w:ascii="C39T30Lfz" w:hAnsi="C39T30Lfz"/>
        <w:sz w:val="20"/>
      </w:rPr>
    </w:pPr>
    <w:r>
      <w:rPr>
        <w:rFonts w:ascii="C39T30Lfz" w:hAnsi="C39T30Lfz"/>
        <w:noProof/>
        <w:sz w:val="56"/>
      </w:rPr>
      <w:drawing>
        <wp:anchor distT="0" distB="0" distL="114300" distR="114300" simplePos="0" relativeHeight="251664384" behindDoc="0" locked="0" layoutInCell="1" allowOverlap="1" wp14:anchorId="1E449C06" wp14:editId="56288DC0">
          <wp:simplePos x="0" y="0"/>
          <wp:positionH relativeFrom="margin">
            <wp:posOffset>5666015</wp:posOffset>
          </wp:positionH>
          <wp:positionV relativeFrom="margin">
            <wp:posOffset>9074785</wp:posOffset>
          </wp:positionV>
          <wp:extent cx="485775" cy="485775"/>
          <wp:effectExtent l="0" t="0" r="9525" b="9525"/>
          <wp:wrapNone/>
          <wp:docPr id="7" name="Picture 7" descr="https://undocs.org/m2/QRCode.ashx?DS=A/75/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8735C2" w14:textId="2E4EBEB3" w:rsidR="00EC76C9" w:rsidRDefault="00EC76C9">
    <w:pPr>
      <w:pStyle w:val="Footer"/>
    </w:pPr>
    <w:r>
      <w:rPr>
        <w:noProof/>
        <w:lang w:eastAsia="en-GB"/>
      </w:rPr>
      <w:drawing>
        <wp:anchor distT="0" distB="0" distL="114300" distR="114300" simplePos="0" relativeHeight="251662336" behindDoc="1" locked="1" layoutInCell="1" allowOverlap="1" wp14:anchorId="4F754FCC" wp14:editId="5C6EE42F">
          <wp:simplePos x="0" y="0"/>
          <wp:positionH relativeFrom="margin">
            <wp:posOffset>4425950</wp:posOffset>
          </wp:positionH>
          <wp:positionV relativeFrom="margin">
            <wp:posOffset>9237980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0BB38" w14:textId="77777777" w:rsidR="00EC76C9" w:rsidRDefault="00EC76C9">
    <w:r>
      <w:t>GE.09-46280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0A233" w14:textId="77777777" w:rsidR="00EC76C9" w:rsidRDefault="00EC76C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D682" w14:textId="77777777" w:rsidR="00EC76C9" w:rsidRDefault="00EC76C9">
    <w:pPr>
      <w:pStyle w:val="Footer"/>
    </w:pPr>
    <w:r>
      <w:rPr>
        <w:noProof/>
        <w:lang w:eastAsia="en-GB"/>
      </w:rPr>
      <w:drawing>
        <wp:anchor distT="0" distB="0" distL="114300" distR="114300" simplePos="0" relativeHeight="251658240" behindDoc="0" locked="0" layoutInCell="1" allowOverlap="1" wp14:anchorId="06F8E4F5" wp14:editId="15743797">
          <wp:simplePos x="0" y="0"/>
          <wp:positionH relativeFrom="column">
            <wp:posOffset>5474970</wp:posOffset>
          </wp:positionH>
          <wp:positionV relativeFrom="paragraph">
            <wp:posOffset>-192405</wp:posOffset>
          </wp:positionV>
          <wp:extent cx="638175" cy="638175"/>
          <wp:effectExtent l="0" t="0" r="0" b="0"/>
          <wp:wrapSquare wrapText="bothSides"/>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192" behindDoc="1" locked="1" layoutInCell="1" allowOverlap="1" wp14:anchorId="26855241" wp14:editId="63B15C81">
          <wp:simplePos x="0" y="0"/>
          <wp:positionH relativeFrom="margin">
            <wp:posOffset>4439920</wp:posOffset>
          </wp:positionH>
          <wp:positionV relativeFrom="margin">
            <wp:posOffset>8530590</wp:posOffset>
          </wp:positionV>
          <wp:extent cx="932180" cy="229870"/>
          <wp:effectExtent l="0" t="0" r="0" b="0"/>
          <wp:wrapTight wrapText="bothSides">
            <wp:wrapPolygon edited="0">
              <wp:start x="16332" y="0"/>
              <wp:lineTo x="0" y="8950"/>
              <wp:lineTo x="0" y="19691"/>
              <wp:lineTo x="10153" y="19691"/>
              <wp:lineTo x="20747" y="19691"/>
              <wp:lineTo x="21188" y="16110"/>
              <wp:lineTo x="21188" y="0"/>
              <wp:lineTo x="16332" y="0"/>
            </wp:wrapPolygon>
          </wp:wrapTight>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89D5F" w14:textId="77777777" w:rsidR="00EC76C9" w:rsidRPr="00612BB9" w:rsidRDefault="00EC76C9" w:rsidP="00612B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CA42D" w14:textId="7B935267" w:rsidR="00EC76C9" w:rsidRPr="002B4072" w:rsidRDefault="00EC76C9" w:rsidP="00063F0A">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483002">
      <w:rPr>
        <w:b/>
        <w:noProof/>
        <w:sz w:val="18"/>
      </w:rPr>
      <w:t>14</w:t>
    </w:r>
    <w:r w:rsidRPr="002B4072">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951EF" w14:textId="1A4E38A1" w:rsidR="00EC76C9" w:rsidRDefault="00EC76C9" w:rsidP="006E34AD">
    <w:pPr>
      <w:pStyle w:val="Footer"/>
      <w:tabs>
        <w:tab w:val="right" w:pos="9598"/>
      </w:tabs>
    </w:pPr>
    <w:r w:rsidRPr="007B0D10">
      <w:rPr>
        <w:sz w:val="20"/>
        <w:szCs w:val="24"/>
      </w:rPr>
      <w:t>GE.</w:t>
    </w:r>
    <w:r>
      <w:tab/>
    </w:r>
    <w:r w:rsidRPr="002B4072">
      <w:rPr>
        <w:b/>
        <w:sz w:val="18"/>
      </w:rPr>
      <w:fldChar w:fldCharType="begin"/>
    </w:r>
    <w:r w:rsidRPr="002B4072">
      <w:rPr>
        <w:b/>
        <w:sz w:val="18"/>
      </w:rPr>
      <w:instrText xml:space="preserve"> PAGE  \* MERGEFORMAT </w:instrText>
    </w:r>
    <w:r w:rsidRPr="002B4072">
      <w:rPr>
        <w:b/>
        <w:sz w:val="18"/>
      </w:rPr>
      <w:fldChar w:fldCharType="separate"/>
    </w:r>
    <w:r w:rsidR="00483002">
      <w:rPr>
        <w:b/>
        <w:noProof/>
        <w:sz w:val="18"/>
      </w:rPr>
      <w:t>iii</w:t>
    </w:r>
    <w:r w:rsidRPr="002B4072">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F4B19" w14:textId="224E3B5C" w:rsidR="00EC76C9" w:rsidRDefault="00EC76C9" w:rsidP="00345A78">
    <w:pPr>
      <w:pStyle w:val="Footer"/>
      <w:tabs>
        <w:tab w:val="right" w:pos="9598"/>
      </w:tabs>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483002">
      <w:rPr>
        <w:b/>
        <w:noProof/>
        <w:sz w:val="18"/>
      </w:rPr>
      <w:t>15</w:t>
    </w:r>
    <w:r w:rsidRPr="002B4072">
      <w:rPr>
        <w: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8E71B" w14:textId="1D6FD6DD" w:rsidR="00EC76C9" w:rsidRDefault="00EC76C9" w:rsidP="0080731A">
    <w:pPr>
      <w:pStyle w:val="Footer"/>
      <w:tabs>
        <w:tab w:val="right" w:pos="9598"/>
      </w:tabs>
    </w:pPr>
    <w:r>
      <w:rPr>
        <w:b/>
        <w:sz w:val="18"/>
      </w:rPr>
      <w:tab/>
    </w:r>
    <w:r w:rsidRPr="002B4072">
      <w:rPr>
        <w:b/>
        <w:sz w:val="18"/>
      </w:rPr>
      <w:fldChar w:fldCharType="begin"/>
    </w:r>
    <w:r w:rsidRPr="002B4072">
      <w:rPr>
        <w:b/>
        <w:sz w:val="18"/>
      </w:rPr>
      <w:instrText xml:space="preserve"> PAGE  \* MERGEFORMAT </w:instrText>
    </w:r>
    <w:r w:rsidRPr="002B4072">
      <w:rPr>
        <w:b/>
        <w:sz w:val="18"/>
      </w:rPr>
      <w:fldChar w:fldCharType="separate"/>
    </w:r>
    <w:r w:rsidR="00483002">
      <w:rPr>
        <w:b/>
        <w:noProof/>
        <w:sz w:val="18"/>
      </w:rPr>
      <w:t>1</w:t>
    </w:r>
    <w:r w:rsidRPr="002B407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6DBC5" w14:textId="77777777" w:rsidR="00EC76C9" w:rsidRPr="00C60504" w:rsidRDefault="00EC76C9" w:rsidP="00CB7992">
      <w:pPr>
        <w:tabs>
          <w:tab w:val="right" w:pos="2155"/>
        </w:tabs>
        <w:spacing w:after="80"/>
        <w:ind w:left="680"/>
      </w:pPr>
      <w:r>
        <w:rPr>
          <w:u w:val="single"/>
        </w:rPr>
        <w:tab/>
      </w:r>
    </w:p>
  </w:footnote>
  <w:footnote w:type="continuationSeparator" w:id="0">
    <w:p w14:paraId="5DF1867D" w14:textId="77777777" w:rsidR="00EC76C9" w:rsidRDefault="00EC76C9">
      <w:pPr>
        <w:tabs>
          <w:tab w:val="left" w:pos="2155"/>
        </w:tabs>
        <w:spacing w:after="80"/>
        <w:ind w:left="680"/>
        <w:rPr>
          <w:u w:val="single"/>
        </w:rPr>
      </w:pPr>
      <w:r>
        <w:continuationSeparator/>
      </w:r>
    </w:p>
    <w:p w14:paraId="15C15024" w14:textId="77777777" w:rsidR="00EC76C9" w:rsidRDefault="00EC76C9"/>
  </w:footnote>
  <w:footnote w:type="continuationNotice" w:id="1">
    <w:p w14:paraId="1D47BF52" w14:textId="77777777" w:rsidR="00EC76C9" w:rsidRPr="00A71BC6" w:rsidRDefault="00EC76C9" w:rsidP="00A71BC6">
      <w:pPr>
        <w:pStyle w:val="Footer"/>
      </w:pPr>
    </w:p>
  </w:footnote>
  <w:footnote w:id="2">
    <w:p w14:paraId="5D5FAC83" w14:textId="77777777" w:rsidR="00EC76C9" w:rsidRPr="00D00F68" w:rsidRDefault="00EC76C9" w:rsidP="00DC6EA4">
      <w:pPr>
        <w:pStyle w:val="FootnoteText"/>
        <w:rPr>
          <w:lang w:val="sl-SI"/>
        </w:rPr>
      </w:pPr>
      <w:r>
        <w:tab/>
      </w:r>
      <w:r w:rsidRPr="007A6B14">
        <w:rPr>
          <w:rStyle w:val="FootnoteReference"/>
        </w:rPr>
        <w:footnoteRef/>
      </w:r>
      <w:r>
        <w:tab/>
      </w:r>
      <w:hyperlink r:id="rId1" w:history="1">
        <w:r w:rsidRPr="00C009DF">
          <w:rPr>
            <w:rStyle w:val="Hyperlink"/>
            <w:color w:val="auto"/>
          </w:rPr>
          <w:t>https://treaties.un.org/Pages/ViewDetails.aspx?src=TREATY&amp;mtdsg_no=IV-16&amp;chapter=4&amp;clang=_en</w:t>
        </w:r>
      </w:hyperlink>
      <w:r w:rsidRPr="00CF641A">
        <w:t>.</w:t>
      </w:r>
    </w:p>
  </w:footnote>
  <w:footnote w:id="3">
    <w:p w14:paraId="3A6A04B1" w14:textId="402F5154" w:rsidR="00EC76C9" w:rsidRDefault="00EC76C9" w:rsidP="001C663E">
      <w:pPr>
        <w:pStyle w:val="FootnoteText"/>
      </w:pPr>
      <w:r>
        <w:tab/>
      </w:r>
      <w:r>
        <w:rPr>
          <w:rStyle w:val="FootnoteReference"/>
        </w:rPr>
        <w:footnoteRef/>
      </w:r>
      <w:r>
        <w:tab/>
      </w:r>
      <w:r w:rsidRPr="00F21980">
        <w:t xml:space="preserve">For the </w:t>
      </w:r>
      <w:r w:rsidRPr="001C663E">
        <w:t>eighteenth</w:t>
      </w:r>
      <w:r w:rsidRPr="00F21980">
        <w:t xml:space="preserve"> session, discussions were held and decisions adopted by the Committee </w:t>
      </w:r>
      <w:r>
        <w:t xml:space="preserve">during its online meeting on 4 May 2020 and </w:t>
      </w:r>
      <w:r w:rsidRPr="00F21980">
        <w:t>intersessionally.</w:t>
      </w:r>
    </w:p>
  </w:footnote>
  <w:footnote w:id="4">
    <w:p w14:paraId="1042D1BF" w14:textId="6CF05B51" w:rsidR="00EC76C9" w:rsidRDefault="00EC76C9" w:rsidP="00DC6EA4">
      <w:pPr>
        <w:pStyle w:val="FootnoteText"/>
      </w:pPr>
      <w:r>
        <w:tab/>
      </w:r>
      <w:r>
        <w:rPr>
          <w:rStyle w:val="FootnoteReference"/>
        </w:rPr>
        <w:footnoteRef/>
      </w:r>
      <w:r>
        <w:tab/>
      </w:r>
      <w:r w:rsidRPr="005F0C45">
        <w:t xml:space="preserve">For the eighteenth session, discussions were held and decisions adopted by the Committee </w:t>
      </w:r>
      <w:r w:rsidRPr="00E41D82">
        <w:t>during its online meeting</w:t>
      </w:r>
      <w:r>
        <w:t xml:space="preserve"> on 4 May 2020</w:t>
      </w:r>
      <w:r w:rsidRPr="00E41D82">
        <w:t xml:space="preserve"> </w:t>
      </w:r>
      <w:r>
        <w:t xml:space="preserve">and </w:t>
      </w:r>
      <w:r w:rsidRPr="005F0C45">
        <w:t>intersessionally.</w:t>
      </w:r>
    </w:p>
  </w:footnote>
  <w:footnote w:id="5">
    <w:p w14:paraId="6E753EE3" w14:textId="5F1D107F" w:rsidR="00EC76C9" w:rsidRDefault="00EC76C9" w:rsidP="00DC6EA4">
      <w:pPr>
        <w:pStyle w:val="FootnoteText"/>
      </w:pPr>
      <w:r>
        <w:tab/>
      </w:r>
      <w:r>
        <w:rPr>
          <w:rStyle w:val="FootnoteReference"/>
        </w:rPr>
        <w:footnoteRef/>
      </w:r>
      <w:r>
        <w:tab/>
      </w:r>
      <w:r w:rsidRPr="00DB23D8">
        <w:t xml:space="preserve">For the eighteenth session, discussions were held and decisions adopted by the Committee </w:t>
      </w:r>
      <w:r w:rsidRPr="00E41D82">
        <w:t xml:space="preserve">during its online meeting on 4 May 2020 and </w:t>
      </w:r>
      <w:r w:rsidRPr="00DB23D8">
        <w:t>intersessionally.</w:t>
      </w:r>
    </w:p>
  </w:footnote>
  <w:footnote w:id="6">
    <w:p w14:paraId="22FA74A4" w14:textId="45411F95" w:rsidR="00EC76C9" w:rsidRDefault="00EC76C9" w:rsidP="00DC6EA4">
      <w:pPr>
        <w:pStyle w:val="FootnoteText"/>
      </w:pPr>
      <w:r>
        <w:tab/>
      </w:r>
      <w:r>
        <w:rPr>
          <w:rStyle w:val="FootnoteReference"/>
        </w:rPr>
        <w:footnoteRef/>
      </w:r>
      <w:r>
        <w:tab/>
      </w:r>
      <w:r w:rsidRPr="00DB23D8">
        <w:t xml:space="preserve">For the eighteenth session, discussions were held and decisions adopted by the Committee </w:t>
      </w:r>
      <w:r w:rsidRPr="00E41D82">
        <w:t xml:space="preserve">during its online meeting on 4 May 2020 and </w:t>
      </w:r>
      <w:r w:rsidRPr="00DB23D8">
        <w:t>intersessionally.</w:t>
      </w:r>
    </w:p>
  </w:footnote>
  <w:footnote w:id="7">
    <w:p w14:paraId="7D5979E3" w14:textId="4269E5C3" w:rsidR="00EC76C9" w:rsidRDefault="00EC76C9" w:rsidP="00DC6EA4">
      <w:pPr>
        <w:pStyle w:val="FootnoteText"/>
      </w:pPr>
      <w:r>
        <w:tab/>
      </w:r>
      <w:r>
        <w:rPr>
          <w:rStyle w:val="FootnoteReference"/>
        </w:rPr>
        <w:footnoteRef/>
      </w:r>
      <w:r>
        <w:tab/>
      </w:r>
      <w:r w:rsidRPr="00561FD2">
        <w:t xml:space="preserve">For the eighteenth session, discussions were held and decisions adopted by the Committee </w:t>
      </w:r>
      <w:r w:rsidRPr="00E41D82">
        <w:t xml:space="preserve">during its online meeting on 4 May 2020 and </w:t>
      </w:r>
      <w:r w:rsidRPr="00561FD2">
        <w:t>intersessionally.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DE7BF" w14:textId="77777777" w:rsidR="00EC76C9" w:rsidRDefault="00EC76C9" w:rsidP="00FE274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6FF4C" w14:textId="77777777" w:rsidR="00EC76C9" w:rsidRDefault="00EC76C9" w:rsidP="002405EC">
    <w:pPr>
      <w:pStyle w:val="Header"/>
    </w:pPr>
    <w:r>
      <w:t>A/73/56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8A270" w14:textId="77777777" w:rsidR="00EC76C9" w:rsidRPr="00206256" w:rsidRDefault="00EC76C9" w:rsidP="00206256">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BED27" w14:textId="77777777" w:rsidR="00EC76C9" w:rsidRDefault="00EC76C9" w:rsidP="00CC79FA">
    <w:pPr>
      <w:pStyle w:val="Header"/>
      <w:jc w:val="right"/>
    </w:pPr>
    <w:r>
      <w:t>A/72/56</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FF408" w14:textId="77777777" w:rsidR="00EC76C9" w:rsidRPr="002A394C" w:rsidRDefault="00EC76C9" w:rsidP="002A394C">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27B79" w14:textId="079EC0DE" w:rsidR="00EC76C9" w:rsidRDefault="00EC76C9" w:rsidP="00CC79FA">
    <w:pPr>
      <w:pStyle w:val="Header"/>
      <w:jc w:val="right"/>
    </w:pPr>
    <w:r>
      <w:t>A/75/56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5F026" w14:textId="77777777" w:rsidR="00EC76C9" w:rsidRPr="003A3A16" w:rsidRDefault="00EC76C9" w:rsidP="00467C89">
    <w:pPr>
      <w:pStyle w:val="Header"/>
    </w:pPr>
    <w:r>
      <w:t>A/75/56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48255" w14:textId="77777777" w:rsidR="00EC76C9" w:rsidRDefault="00EC76C9" w:rsidP="00665D8C">
    <w:pPr>
      <w:pStyle w:val="Header"/>
      <w:jc w:val="right"/>
    </w:pPr>
    <w:r>
      <w:t>A/75/56</w:t>
    </w:r>
  </w:p>
  <w:p w14:paraId="0C28CB67" w14:textId="77777777" w:rsidR="00EC76C9" w:rsidRDefault="00EC76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CC4C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686EB8"/>
    <w:multiLevelType w:val="hybridMultilevel"/>
    <w:tmpl w:val="490E188C"/>
    <w:lvl w:ilvl="0" w:tplc="158CE3F2">
      <w:start w:val="34"/>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D72D2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4CC6CC8"/>
    <w:multiLevelType w:val="hybridMultilevel"/>
    <w:tmpl w:val="511889F8"/>
    <w:lvl w:ilvl="0" w:tplc="57FE3E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642B04"/>
    <w:multiLevelType w:val="hybridMultilevel"/>
    <w:tmpl w:val="0B12FA9C"/>
    <w:lvl w:ilvl="0" w:tplc="153CF4F6">
      <w:start w:val="1"/>
      <w:numFmt w:val="upperRoman"/>
      <w:lvlText w:val="%1."/>
      <w:lvlJc w:val="left"/>
      <w:pPr>
        <w:ind w:left="1460" w:hanging="72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3C5586"/>
    <w:multiLevelType w:val="hybridMultilevel"/>
    <w:tmpl w:val="57ACF08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324D6617"/>
    <w:multiLevelType w:val="hybridMultilevel"/>
    <w:tmpl w:val="65029272"/>
    <w:lvl w:ilvl="0" w:tplc="01D210BC">
      <w:start w:val="1"/>
      <w:numFmt w:val="bullet"/>
      <w:lvlText w:val="-"/>
      <w:lvlJc w:val="left"/>
      <w:pPr>
        <w:ind w:left="720" w:hanging="360"/>
      </w:pPr>
      <w:rPr>
        <w:rFonts w:ascii="Garamond" w:eastAsiaTheme="minorEastAsia" w:hAnsi="Garamond"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FA4D1E"/>
    <w:multiLevelType w:val="hybridMultilevel"/>
    <w:tmpl w:val="83E215F0"/>
    <w:lvl w:ilvl="0" w:tplc="50E25D6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15:restartNumberingAfterBreak="0">
    <w:nsid w:val="3845658A"/>
    <w:multiLevelType w:val="hybridMultilevel"/>
    <w:tmpl w:val="95A42E60"/>
    <w:lvl w:ilvl="0" w:tplc="2272E3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BF3C0C"/>
    <w:multiLevelType w:val="hybridMultilevel"/>
    <w:tmpl w:val="C31EE9EE"/>
    <w:lvl w:ilvl="0" w:tplc="CF965A18">
      <w:start w:val="2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1B7B03"/>
    <w:multiLevelType w:val="hybridMultilevel"/>
    <w:tmpl w:val="0358AE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5F237BE2"/>
    <w:multiLevelType w:val="multilevel"/>
    <w:tmpl w:val="D7AC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1B6602D"/>
    <w:multiLevelType w:val="hybridMultilevel"/>
    <w:tmpl w:val="14844C52"/>
    <w:lvl w:ilvl="0" w:tplc="D3C0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B605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44F5A7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46D42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31"/>
  </w:num>
  <w:num w:numId="15">
    <w:abstractNumId w:val="30"/>
  </w:num>
  <w:num w:numId="16">
    <w:abstractNumId w:val="32"/>
  </w:num>
  <w:num w:numId="17">
    <w:abstractNumId w:val="19"/>
  </w:num>
  <w:num w:numId="18">
    <w:abstractNumId w:val="15"/>
  </w:num>
  <w:num w:numId="19">
    <w:abstractNumId w:val="10"/>
  </w:num>
  <w:num w:numId="20">
    <w:abstractNumId w:val="11"/>
  </w:num>
  <w:num w:numId="21">
    <w:abstractNumId w:val="27"/>
  </w:num>
  <w:num w:numId="22">
    <w:abstractNumId w:val="16"/>
  </w:num>
  <w:num w:numId="23">
    <w:abstractNumId w:val="14"/>
  </w:num>
  <w:num w:numId="24">
    <w:abstractNumId w:val="19"/>
  </w:num>
  <w:num w:numId="25">
    <w:abstractNumId w:val="15"/>
  </w:num>
  <w:num w:numId="26">
    <w:abstractNumId w:val="10"/>
  </w:num>
  <w:num w:numId="27">
    <w:abstractNumId w:val="27"/>
  </w:num>
  <w:num w:numId="28">
    <w:abstractNumId w:val="14"/>
  </w:num>
  <w:num w:numId="29">
    <w:abstractNumId w:val="15"/>
  </w:num>
  <w:num w:numId="30">
    <w:abstractNumId w:val="19"/>
  </w:num>
  <w:num w:numId="31">
    <w:abstractNumId w:val="19"/>
  </w:num>
  <w:num w:numId="32">
    <w:abstractNumId w:val="15"/>
  </w:num>
  <w:num w:numId="33">
    <w:abstractNumId w:val="10"/>
  </w:num>
  <w:num w:numId="34">
    <w:abstractNumId w:val="28"/>
  </w:num>
  <w:num w:numId="35">
    <w:abstractNumId w:val="33"/>
  </w:num>
  <w:num w:numId="36">
    <w:abstractNumId w:val="25"/>
  </w:num>
  <w:num w:numId="37">
    <w:abstractNumId w:val="22"/>
  </w:num>
  <w:num w:numId="38">
    <w:abstractNumId w:val="12"/>
  </w:num>
  <w:num w:numId="39">
    <w:abstractNumId w:val="21"/>
  </w:num>
  <w:num w:numId="40">
    <w:abstractNumId w:val="17"/>
  </w:num>
  <w:num w:numId="41">
    <w:abstractNumId w:val="18"/>
  </w:num>
  <w:num w:numId="42">
    <w:abstractNumId w:val="26"/>
  </w:num>
  <w:num w:numId="43">
    <w:abstractNumId w:val="13"/>
  </w:num>
  <w:num w:numId="44">
    <w:abstractNumId w:val="23"/>
  </w:num>
  <w:num w:numId="45">
    <w:abstractNumId w:val="24"/>
  </w:num>
  <w:num w:numId="46">
    <w:abstractNumId w:val="29"/>
  </w:num>
  <w:num w:numId="4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fr-FR" w:vendorID="64" w:dllVersion="6" w:nlCheck="1" w:checkStyle="0"/>
  <w:activeWritingStyle w:appName="MSWord" w:lang="es-ES" w:vendorID="64" w:dllVersion="6" w:nlCheck="1" w:checkStyle="0"/>
  <w:activeWritingStyle w:appName="MSWord" w:lang="fr-CH" w:vendorID="64" w:dllVersion="6" w:nlCheck="1" w:checkStyle="0"/>
  <w:activeWritingStyle w:appName="MSWord" w:lang="es-EC"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fr-FR" w:vendorID="64" w:dllVersion="0" w:nlCheck="1" w:checkStyle="0"/>
  <w:activeWritingStyle w:appName="MSWord" w:lang="en-CA" w:vendorID="64" w:dllVersion="0" w:nlCheck="1" w:checkStyle="0"/>
  <w:activeWritingStyle w:appName="MSWord" w:lang="en-CA" w:vendorID="64" w:dllVersion="6"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 w:id="1"/>
  </w:footnotePr>
  <w:endnotePr>
    <w:numFmt w:val="decimal"/>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488"/>
    <w:rsid w:val="000001E3"/>
    <w:rsid w:val="000007C1"/>
    <w:rsid w:val="0001369E"/>
    <w:rsid w:val="0001409B"/>
    <w:rsid w:val="00014E0E"/>
    <w:rsid w:val="00017313"/>
    <w:rsid w:val="00025F3C"/>
    <w:rsid w:val="00027BAE"/>
    <w:rsid w:val="00032FEB"/>
    <w:rsid w:val="000332B2"/>
    <w:rsid w:val="00034A80"/>
    <w:rsid w:val="00034ADD"/>
    <w:rsid w:val="000351D9"/>
    <w:rsid w:val="000408C5"/>
    <w:rsid w:val="0004405F"/>
    <w:rsid w:val="00050836"/>
    <w:rsid w:val="000528DC"/>
    <w:rsid w:val="00054478"/>
    <w:rsid w:val="000560FA"/>
    <w:rsid w:val="0005658E"/>
    <w:rsid w:val="00057B3F"/>
    <w:rsid w:val="00060EEA"/>
    <w:rsid w:val="000623DB"/>
    <w:rsid w:val="000633F8"/>
    <w:rsid w:val="00063D96"/>
    <w:rsid w:val="00063F0A"/>
    <w:rsid w:val="0006621D"/>
    <w:rsid w:val="000663F0"/>
    <w:rsid w:val="00070277"/>
    <w:rsid w:val="0007308C"/>
    <w:rsid w:val="0007593F"/>
    <w:rsid w:val="0007712C"/>
    <w:rsid w:val="00077A72"/>
    <w:rsid w:val="00085978"/>
    <w:rsid w:val="000870D8"/>
    <w:rsid w:val="00090D61"/>
    <w:rsid w:val="00091EAA"/>
    <w:rsid w:val="00093831"/>
    <w:rsid w:val="00094734"/>
    <w:rsid w:val="000948D4"/>
    <w:rsid w:val="00095CF6"/>
    <w:rsid w:val="000A4965"/>
    <w:rsid w:val="000A49F7"/>
    <w:rsid w:val="000A5303"/>
    <w:rsid w:val="000A5769"/>
    <w:rsid w:val="000A6FDD"/>
    <w:rsid w:val="000A7FAC"/>
    <w:rsid w:val="000B0354"/>
    <w:rsid w:val="000B246A"/>
    <w:rsid w:val="000B37C4"/>
    <w:rsid w:val="000B3F2D"/>
    <w:rsid w:val="000B6664"/>
    <w:rsid w:val="000B7261"/>
    <w:rsid w:val="000C2669"/>
    <w:rsid w:val="000C48F8"/>
    <w:rsid w:val="000D02A7"/>
    <w:rsid w:val="000D07AF"/>
    <w:rsid w:val="000D0E64"/>
    <w:rsid w:val="000D3251"/>
    <w:rsid w:val="000D3694"/>
    <w:rsid w:val="000D3F4E"/>
    <w:rsid w:val="000D4212"/>
    <w:rsid w:val="000D4D99"/>
    <w:rsid w:val="000D5DE5"/>
    <w:rsid w:val="000D7DAA"/>
    <w:rsid w:val="000D7F0A"/>
    <w:rsid w:val="000E06AC"/>
    <w:rsid w:val="000E09D5"/>
    <w:rsid w:val="000E1D41"/>
    <w:rsid w:val="000E232B"/>
    <w:rsid w:val="000E35C7"/>
    <w:rsid w:val="000E4E6E"/>
    <w:rsid w:val="000E5122"/>
    <w:rsid w:val="000E79A9"/>
    <w:rsid w:val="000F10A6"/>
    <w:rsid w:val="000F6661"/>
    <w:rsid w:val="000F777F"/>
    <w:rsid w:val="001013FC"/>
    <w:rsid w:val="0010141B"/>
    <w:rsid w:val="00102EDE"/>
    <w:rsid w:val="0010403D"/>
    <w:rsid w:val="00104259"/>
    <w:rsid w:val="0010451B"/>
    <w:rsid w:val="0010675F"/>
    <w:rsid w:val="001070FE"/>
    <w:rsid w:val="0011073E"/>
    <w:rsid w:val="0011096E"/>
    <w:rsid w:val="001135A8"/>
    <w:rsid w:val="00114D30"/>
    <w:rsid w:val="00120A2E"/>
    <w:rsid w:val="00120D92"/>
    <w:rsid w:val="00121B08"/>
    <w:rsid w:val="001255D9"/>
    <w:rsid w:val="00135420"/>
    <w:rsid w:val="0013768B"/>
    <w:rsid w:val="00140FD4"/>
    <w:rsid w:val="00141A7E"/>
    <w:rsid w:val="00147BBD"/>
    <w:rsid w:val="0015002A"/>
    <w:rsid w:val="00150812"/>
    <w:rsid w:val="00153772"/>
    <w:rsid w:val="001544FE"/>
    <w:rsid w:val="00154760"/>
    <w:rsid w:val="00157454"/>
    <w:rsid w:val="00162CCE"/>
    <w:rsid w:val="0016317E"/>
    <w:rsid w:val="00164029"/>
    <w:rsid w:val="00165DF2"/>
    <w:rsid w:val="001662A1"/>
    <w:rsid w:val="00171B80"/>
    <w:rsid w:val="00171D86"/>
    <w:rsid w:val="00171DBF"/>
    <w:rsid w:val="00171ED5"/>
    <w:rsid w:val="00172A46"/>
    <w:rsid w:val="0017426B"/>
    <w:rsid w:val="0017480B"/>
    <w:rsid w:val="00176942"/>
    <w:rsid w:val="00176C31"/>
    <w:rsid w:val="00180D65"/>
    <w:rsid w:val="00180EB1"/>
    <w:rsid w:val="0018126C"/>
    <w:rsid w:val="00181A9B"/>
    <w:rsid w:val="00181C42"/>
    <w:rsid w:val="00182117"/>
    <w:rsid w:val="00184C9F"/>
    <w:rsid w:val="00185856"/>
    <w:rsid w:val="001872E6"/>
    <w:rsid w:val="00192F77"/>
    <w:rsid w:val="0019305D"/>
    <w:rsid w:val="0019626F"/>
    <w:rsid w:val="00196F8A"/>
    <w:rsid w:val="00197F77"/>
    <w:rsid w:val="001A0207"/>
    <w:rsid w:val="001A047D"/>
    <w:rsid w:val="001A04D1"/>
    <w:rsid w:val="001A3364"/>
    <w:rsid w:val="001A4BA3"/>
    <w:rsid w:val="001A6CDF"/>
    <w:rsid w:val="001B398B"/>
    <w:rsid w:val="001B4323"/>
    <w:rsid w:val="001B4EB1"/>
    <w:rsid w:val="001C1607"/>
    <w:rsid w:val="001C1F90"/>
    <w:rsid w:val="001C30D1"/>
    <w:rsid w:val="001C663E"/>
    <w:rsid w:val="001D5C8D"/>
    <w:rsid w:val="001D61C6"/>
    <w:rsid w:val="001E02BA"/>
    <w:rsid w:val="001E06B7"/>
    <w:rsid w:val="001E2088"/>
    <w:rsid w:val="001E346F"/>
    <w:rsid w:val="001E4727"/>
    <w:rsid w:val="001E60FA"/>
    <w:rsid w:val="001E65C6"/>
    <w:rsid w:val="001F20B2"/>
    <w:rsid w:val="001F3C02"/>
    <w:rsid w:val="001F3CB9"/>
    <w:rsid w:val="001F4006"/>
    <w:rsid w:val="001F4112"/>
    <w:rsid w:val="001F503B"/>
    <w:rsid w:val="001F530E"/>
    <w:rsid w:val="001F55EE"/>
    <w:rsid w:val="001F6759"/>
    <w:rsid w:val="001F6877"/>
    <w:rsid w:val="00202FF2"/>
    <w:rsid w:val="00204DAE"/>
    <w:rsid w:val="002055F2"/>
    <w:rsid w:val="00205DBC"/>
    <w:rsid w:val="00206256"/>
    <w:rsid w:val="00207263"/>
    <w:rsid w:val="00207B40"/>
    <w:rsid w:val="00210F35"/>
    <w:rsid w:val="00211005"/>
    <w:rsid w:val="002129DA"/>
    <w:rsid w:val="00215102"/>
    <w:rsid w:val="002171DC"/>
    <w:rsid w:val="00217DCE"/>
    <w:rsid w:val="002245D0"/>
    <w:rsid w:val="00226B3F"/>
    <w:rsid w:val="00231030"/>
    <w:rsid w:val="002363D9"/>
    <w:rsid w:val="002405EC"/>
    <w:rsid w:val="00243B2A"/>
    <w:rsid w:val="00245D12"/>
    <w:rsid w:val="00251AC7"/>
    <w:rsid w:val="00252F80"/>
    <w:rsid w:val="00253226"/>
    <w:rsid w:val="00253358"/>
    <w:rsid w:val="00253402"/>
    <w:rsid w:val="00253512"/>
    <w:rsid w:val="00253ADD"/>
    <w:rsid w:val="002545CA"/>
    <w:rsid w:val="00254951"/>
    <w:rsid w:val="002576AD"/>
    <w:rsid w:val="00261A18"/>
    <w:rsid w:val="00267AC1"/>
    <w:rsid w:val="00276F97"/>
    <w:rsid w:val="002834AF"/>
    <w:rsid w:val="00284342"/>
    <w:rsid w:val="00290CAB"/>
    <w:rsid w:val="0029336C"/>
    <w:rsid w:val="002A0BFF"/>
    <w:rsid w:val="002A2FCD"/>
    <w:rsid w:val="002A394C"/>
    <w:rsid w:val="002A5E42"/>
    <w:rsid w:val="002B3AFD"/>
    <w:rsid w:val="002B6D66"/>
    <w:rsid w:val="002C1555"/>
    <w:rsid w:val="002C7886"/>
    <w:rsid w:val="002C7AAB"/>
    <w:rsid w:val="002D0417"/>
    <w:rsid w:val="002D2DB9"/>
    <w:rsid w:val="002D4766"/>
    <w:rsid w:val="002E1EDE"/>
    <w:rsid w:val="002E2658"/>
    <w:rsid w:val="002E4DA6"/>
    <w:rsid w:val="002E678D"/>
    <w:rsid w:val="002F04F3"/>
    <w:rsid w:val="002F2141"/>
    <w:rsid w:val="002F3251"/>
    <w:rsid w:val="002F67FD"/>
    <w:rsid w:val="002F69E6"/>
    <w:rsid w:val="00302B2C"/>
    <w:rsid w:val="003037A7"/>
    <w:rsid w:val="00307FC1"/>
    <w:rsid w:val="0031063B"/>
    <w:rsid w:val="00310A0C"/>
    <w:rsid w:val="003112AD"/>
    <w:rsid w:val="00311576"/>
    <w:rsid w:val="00311AF5"/>
    <w:rsid w:val="00313DEA"/>
    <w:rsid w:val="0031477F"/>
    <w:rsid w:val="00320450"/>
    <w:rsid w:val="00322E2D"/>
    <w:rsid w:val="00324540"/>
    <w:rsid w:val="00325FCA"/>
    <w:rsid w:val="00326584"/>
    <w:rsid w:val="00327B17"/>
    <w:rsid w:val="003308C0"/>
    <w:rsid w:val="00331C4F"/>
    <w:rsid w:val="003342AA"/>
    <w:rsid w:val="003345F9"/>
    <w:rsid w:val="00340C3B"/>
    <w:rsid w:val="0034254B"/>
    <w:rsid w:val="003447A1"/>
    <w:rsid w:val="00345A78"/>
    <w:rsid w:val="00345DF0"/>
    <w:rsid w:val="00347B77"/>
    <w:rsid w:val="00354103"/>
    <w:rsid w:val="00366A1A"/>
    <w:rsid w:val="0036743C"/>
    <w:rsid w:val="0036756C"/>
    <w:rsid w:val="00367ADF"/>
    <w:rsid w:val="00370465"/>
    <w:rsid w:val="0037055A"/>
    <w:rsid w:val="00371562"/>
    <w:rsid w:val="003730BA"/>
    <w:rsid w:val="00374ED9"/>
    <w:rsid w:val="003769BD"/>
    <w:rsid w:val="00380EA2"/>
    <w:rsid w:val="0038618F"/>
    <w:rsid w:val="003911C7"/>
    <w:rsid w:val="00391AFF"/>
    <w:rsid w:val="0039423C"/>
    <w:rsid w:val="00394CB4"/>
    <w:rsid w:val="00394E35"/>
    <w:rsid w:val="003966CF"/>
    <w:rsid w:val="003A0C3F"/>
    <w:rsid w:val="003A1252"/>
    <w:rsid w:val="003A15D3"/>
    <w:rsid w:val="003A1B31"/>
    <w:rsid w:val="003A2E2D"/>
    <w:rsid w:val="003A3A16"/>
    <w:rsid w:val="003A3EE7"/>
    <w:rsid w:val="003A56CC"/>
    <w:rsid w:val="003B23EB"/>
    <w:rsid w:val="003B2FA1"/>
    <w:rsid w:val="003B6194"/>
    <w:rsid w:val="003B6D75"/>
    <w:rsid w:val="003B777C"/>
    <w:rsid w:val="003C04D5"/>
    <w:rsid w:val="003C1262"/>
    <w:rsid w:val="003C17D6"/>
    <w:rsid w:val="003C26D8"/>
    <w:rsid w:val="003C5E19"/>
    <w:rsid w:val="003C7AA6"/>
    <w:rsid w:val="003D03C6"/>
    <w:rsid w:val="003D1D8E"/>
    <w:rsid w:val="003D20FB"/>
    <w:rsid w:val="003D2F9C"/>
    <w:rsid w:val="003D3169"/>
    <w:rsid w:val="003D350D"/>
    <w:rsid w:val="003D6DAA"/>
    <w:rsid w:val="003E1DF0"/>
    <w:rsid w:val="003E2177"/>
    <w:rsid w:val="003E7794"/>
    <w:rsid w:val="003F16AE"/>
    <w:rsid w:val="003F3286"/>
    <w:rsid w:val="003F4DA7"/>
    <w:rsid w:val="003F6753"/>
    <w:rsid w:val="004011D0"/>
    <w:rsid w:val="0040513D"/>
    <w:rsid w:val="00405601"/>
    <w:rsid w:val="00405B0A"/>
    <w:rsid w:val="00405F33"/>
    <w:rsid w:val="0040693F"/>
    <w:rsid w:val="0041029B"/>
    <w:rsid w:val="004111BE"/>
    <w:rsid w:val="0041662E"/>
    <w:rsid w:val="00417432"/>
    <w:rsid w:val="00421424"/>
    <w:rsid w:val="00421B6F"/>
    <w:rsid w:val="00423A43"/>
    <w:rsid w:val="00426420"/>
    <w:rsid w:val="004271E1"/>
    <w:rsid w:val="00427C4B"/>
    <w:rsid w:val="00431237"/>
    <w:rsid w:val="0044194C"/>
    <w:rsid w:val="004446F5"/>
    <w:rsid w:val="004528C7"/>
    <w:rsid w:val="00455DF4"/>
    <w:rsid w:val="00456A21"/>
    <w:rsid w:val="00460A75"/>
    <w:rsid w:val="004610B8"/>
    <w:rsid w:val="00461E9A"/>
    <w:rsid w:val="00464B1A"/>
    <w:rsid w:val="00465671"/>
    <w:rsid w:val="00466EFF"/>
    <w:rsid w:val="004675DB"/>
    <w:rsid w:val="00467C89"/>
    <w:rsid w:val="00475C14"/>
    <w:rsid w:val="00476D2E"/>
    <w:rsid w:val="0047763D"/>
    <w:rsid w:val="00477FA1"/>
    <w:rsid w:val="004808E9"/>
    <w:rsid w:val="0048190A"/>
    <w:rsid w:val="00482317"/>
    <w:rsid w:val="00483002"/>
    <w:rsid w:val="00483DC6"/>
    <w:rsid w:val="004850EF"/>
    <w:rsid w:val="00485548"/>
    <w:rsid w:val="00485749"/>
    <w:rsid w:val="00485AC6"/>
    <w:rsid w:val="00485FC1"/>
    <w:rsid w:val="004869C3"/>
    <w:rsid w:val="00486A56"/>
    <w:rsid w:val="00490B4B"/>
    <w:rsid w:val="00491937"/>
    <w:rsid w:val="00492491"/>
    <w:rsid w:val="004926E1"/>
    <w:rsid w:val="004933CE"/>
    <w:rsid w:val="004945C7"/>
    <w:rsid w:val="00495205"/>
    <w:rsid w:val="004953E8"/>
    <w:rsid w:val="004A1C0D"/>
    <w:rsid w:val="004A2E5F"/>
    <w:rsid w:val="004A3943"/>
    <w:rsid w:val="004A3BBC"/>
    <w:rsid w:val="004A57A0"/>
    <w:rsid w:val="004A5BB2"/>
    <w:rsid w:val="004A67AF"/>
    <w:rsid w:val="004A6EA5"/>
    <w:rsid w:val="004B1335"/>
    <w:rsid w:val="004B377E"/>
    <w:rsid w:val="004B4FB1"/>
    <w:rsid w:val="004B5441"/>
    <w:rsid w:val="004B7426"/>
    <w:rsid w:val="004C0818"/>
    <w:rsid w:val="004C2370"/>
    <w:rsid w:val="004C2D12"/>
    <w:rsid w:val="004C482D"/>
    <w:rsid w:val="004C5591"/>
    <w:rsid w:val="004C5C89"/>
    <w:rsid w:val="004C77BB"/>
    <w:rsid w:val="004D2AF5"/>
    <w:rsid w:val="004D495B"/>
    <w:rsid w:val="004D6D72"/>
    <w:rsid w:val="004D76C0"/>
    <w:rsid w:val="004E11C8"/>
    <w:rsid w:val="004E1AA8"/>
    <w:rsid w:val="004E1D29"/>
    <w:rsid w:val="004E2F3D"/>
    <w:rsid w:val="004E65DE"/>
    <w:rsid w:val="004F1D0D"/>
    <w:rsid w:val="004F2A18"/>
    <w:rsid w:val="004F6B08"/>
    <w:rsid w:val="00501115"/>
    <w:rsid w:val="0050196F"/>
    <w:rsid w:val="00505E47"/>
    <w:rsid w:val="005074EB"/>
    <w:rsid w:val="005126A2"/>
    <w:rsid w:val="00515913"/>
    <w:rsid w:val="0051638B"/>
    <w:rsid w:val="00516663"/>
    <w:rsid w:val="00520AAA"/>
    <w:rsid w:val="0052522F"/>
    <w:rsid w:val="0052744E"/>
    <w:rsid w:val="00527450"/>
    <w:rsid w:val="00527733"/>
    <w:rsid w:val="00531C6C"/>
    <w:rsid w:val="00535DEA"/>
    <w:rsid w:val="005362E1"/>
    <w:rsid w:val="005425F6"/>
    <w:rsid w:val="00542BA5"/>
    <w:rsid w:val="00543BD2"/>
    <w:rsid w:val="00546F9C"/>
    <w:rsid w:val="00550787"/>
    <w:rsid w:val="005523C7"/>
    <w:rsid w:val="005537D8"/>
    <w:rsid w:val="005538BE"/>
    <w:rsid w:val="0055622C"/>
    <w:rsid w:val="0055670B"/>
    <w:rsid w:val="00560051"/>
    <w:rsid w:val="00561C52"/>
    <w:rsid w:val="00561FD2"/>
    <w:rsid w:val="00562A7D"/>
    <w:rsid w:val="005707C1"/>
    <w:rsid w:val="00570E79"/>
    <w:rsid w:val="0057166E"/>
    <w:rsid w:val="00574D39"/>
    <w:rsid w:val="00574E4E"/>
    <w:rsid w:val="00577618"/>
    <w:rsid w:val="0058030F"/>
    <w:rsid w:val="00580F5C"/>
    <w:rsid w:val="005868D1"/>
    <w:rsid w:val="00587D52"/>
    <w:rsid w:val="00587F09"/>
    <w:rsid w:val="00591CCC"/>
    <w:rsid w:val="00594D14"/>
    <w:rsid w:val="00595A05"/>
    <w:rsid w:val="00596A91"/>
    <w:rsid w:val="00597366"/>
    <w:rsid w:val="005A359B"/>
    <w:rsid w:val="005B14F4"/>
    <w:rsid w:val="005B1CBB"/>
    <w:rsid w:val="005B2A3D"/>
    <w:rsid w:val="005B3374"/>
    <w:rsid w:val="005B3F1B"/>
    <w:rsid w:val="005B4E70"/>
    <w:rsid w:val="005B6006"/>
    <w:rsid w:val="005B65FF"/>
    <w:rsid w:val="005C0158"/>
    <w:rsid w:val="005C221B"/>
    <w:rsid w:val="005C4849"/>
    <w:rsid w:val="005C7B0E"/>
    <w:rsid w:val="005D1D96"/>
    <w:rsid w:val="005D6AEB"/>
    <w:rsid w:val="005D6D07"/>
    <w:rsid w:val="005E00F7"/>
    <w:rsid w:val="005E1002"/>
    <w:rsid w:val="005E138D"/>
    <w:rsid w:val="005E4CCE"/>
    <w:rsid w:val="005E725D"/>
    <w:rsid w:val="005F0C45"/>
    <w:rsid w:val="005F0CEC"/>
    <w:rsid w:val="005F1023"/>
    <w:rsid w:val="005F4346"/>
    <w:rsid w:val="006001B4"/>
    <w:rsid w:val="00600906"/>
    <w:rsid w:val="006013CF"/>
    <w:rsid w:val="00604ED4"/>
    <w:rsid w:val="006064EE"/>
    <w:rsid w:val="0060674E"/>
    <w:rsid w:val="0061125A"/>
    <w:rsid w:val="00611CB6"/>
    <w:rsid w:val="00611CFC"/>
    <w:rsid w:val="00612BB9"/>
    <w:rsid w:val="00612D55"/>
    <w:rsid w:val="00613158"/>
    <w:rsid w:val="006132D8"/>
    <w:rsid w:val="00615668"/>
    <w:rsid w:val="00615673"/>
    <w:rsid w:val="00616CD7"/>
    <w:rsid w:val="006219DA"/>
    <w:rsid w:val="00622CDD"/>
    <w:rsid w:val="00632BC0"/>
    <w:rsid w:val="00633419"/>
    <w:rsid w:val="00634B26"/>
    <w:rsid w:val="00635B63"/>
    <w:rsid w:val="00636D42"/>
    <w:rsid w:val="00636F7C"/>
    <w:rsid w:val="00643D97"/>
    <w:rsid w:val="00650F8D"/>
    <w:rsid w:val="006530AA"/>
    <w:rsid w:val="0065467B"/>
    <w:rsid w:val="006546F4"/>
    <w:rsid w:val="00660C9F"/>
    <w:rsid w:val="006632DB"/>
    <w:rsid w:val="00664F38"/>
    <w:rsid w:val="00665D8C"/>
    <w:rsid w:val="006749F6"/>
    <w:rsid w:val="006812AF"/>
    <w:rsid w:val="00682708"/>
    <w:rsid w:val="006873E7"/>
    <w:rsid w:val="00693B9A"/>
    <w:rsid w:val="006A0577"/>
    <w:rsid w:val="006A1BF6"/>
    <w:rsid w:val="006A652F"/>
    <w:rsid w:val="006A6B46"/>
    <w:rsid w:val="006B271E"/>
    <w:rsid w:val="006B2835"/>
    <w:rsid w:val="006B4467"/>
    <w:rsid w:val="006B477F"/>
    <w:rsid w:val="006B4ADC"/>
    <w:rsid w:val="006B4E3E"/>
    <w:rsid w:val="006B6379"/>
    <w:rsid w:val="006C05A0"/>
    <w:rsid w:val="006C24BA"/>
    <w:rsid w:val="006C5033"/>
    <w:rsid w:val="006D05CB"/>
    <w:rsid w:val="006D3AA3"/>
    <w:rsid w:val="006D3C26"/>
    <w:rsid w:val="006D5A4F"/>
    <w:rsid w:val="006D79B1"/>
    <w:rsid w:val="006D7DCB"/>
    <w:rsid w:val="006E158A"/>
    <w:rsid w:val="006E21DF"/>
    <w:rsid w:val="006E34AD"/>
    <w:rsid w:val="006E3F96"/>
    <w:rsid w:val="006E6E33"/>
    <w:rsid w:val="006E7688"/>
    <w:rsid w:val="006F0677"/>
    <w:rsid w:val="006F3DBC"/>
    <w:rsid w:val="006F4DEA"/>
    <w:rsid w:val="006F4F73"/>
    <w:rsid w:val="006F507E"/>
    <w:rsid w:val="006F5487"/>
    <w:rsid w:val="007018C7"/>
    <w:rsid w:val="00701E25"/>
    <w:rsid w:val="0070314C"/>
    <w:rsid w:val="00707BF0"/>
    <w:rsid w:val="007161B0"/>
    <w:rsid w:val="00720FB8"/>
    <w:rsid w:val="0072392C"/>
    <w:rsid w:val="00723993"/>
    <w:rsid w:val="00726404"/>
    <w:rsid w:val="0072793A"/>
    <w:rsid w:val="007301AF"/>
    <w:rsid w:val="0073155C"/>
    <w:rsid w:val="00734D1B"/>
    <w:rsid w:val="00734F5D"/>
    <w:rsid w:val="007368FD"/>
    <w:rsid w:val="00742F25"/>
    <w:rsid w:val="0074381A"/>
    <w:rsid w:val="00745D46"/>
    <w:rsid w:val="00753445"/>
    <w:rsid w:val="00753502"/>
    <w:rsid w:val="00754DB4"/>
    <w:rsid w:val="007563E2"/>
    <w:rsid w:val="007573F1"/>
    <w:rsid w:val="00757A6C"/>
    <w:rsid w:val="00765497"/>
    <w:rsid w:val="00765CAE"/>
    <w:rsid w:val="00770A41"/>
    <w:rsid w:val="00771397"/>
    <w:rsid w:val="007714AE"/>
    <w:rsid w:val="00771DC2"/>
    <w:rsid w:val="00772D34"/>
    <w:rsid w:val="00775A23"/>
    <w:rsid w:val="00783B3E"/>
    <w:rsid w:val="00791C13"/>
    <w:rsid w:val="007939B5"/>
    <w:rsid w:val="00797A38"/>
    <w:rsid w:val="00797E9C"/>
    <w:rsid w:val="007A2E0F"/>
    <w:rsid w:val="007A6B14"/>
    <w:rsid w:val="007A6DBB"/>
    <w:rsid w:val="007B0CA9"/>
    <w:rsid w:val="007B0D10"/>
    <w:rsid w:val="007B4F5B"/>
    <w:rsid w:val="007B64AE"/>
    <w:rsid w:val="007B6EE4"/>
    <w:rsid w:val="007B7341"/>
    <w:rsid w:val="007C0740"/>
    <w:rsid w:val="007C118F"/>
    <w:rsid w:val="007D367E"/>
    <w:rsid w:val="007D3B0B"/>
    <w:rsid w:val="007D61F1"/>
    <w:rsid w:val="007D72A6"/>
    <w:rsid w:val="007D7353"/>
    <w:rsid w:val="007D75DF"/>
    <w:rsid w:val="007D792D"/>
    <w:rsid w:val="007E06A2"/>
    <w:rsid w:val="007E0774"/>
    <w:rsid w:val="007E166F"/>
    <w:rsid w:val="007E32E2"/>
    <w:rsid w:val="007E3C58"/>
    <w:rsid w:val="007E596C"/>
    <w:rsid w:val="007E76E0"/>
    <w:rsid w:val="007E7C72"/>
    <w:rsid w:val="007F02C6"/>
    <w:rsid w:val="007F28B5"/>
    <w:rsid w:val="007F2AD2"/>
    <w:rsid w:val="007F526E"/>
    <w:rsid w:val="007F5399"/>
    <w:rsid w:val="007F6165"/>
    <w:rsid w:val="007F6C70"/>
    <w:rsid w:val="00800FB2"/>
    <w:rsid w:val="0080151F"/>
    <w:rsid w:val="00804932"/>
    <w:rsid w:val="00804D85"/>
    <w:rsid w:val="0080731A"/>
    <w:rsid w:val="00810EE3"/>
    <w:rsid w:val="00811000"/>
    <w:rsid w:val="008125F8"/>
    <w:rsid w:val="0081566B"/>
    <w:rsid w:val="00816669"/>
    <w:rsid w:val="008201B9"/>
    <w:rsid w:val="008218EF"/>
    <w:rsid w:val="008229C7"/>
    <w:rsid w:val="00823F12"/>
    <w:rsid w:val="0082515E"/>
    <w:rsid w:val="00825A28"/>
    <w:rsid w:val="00825CF9"/>
    <w:rsid w:val="00831EF1"/>
    <w:rsid w:val="00837FB6"/>
    <w:rsid w:val="0084070F"/>
    <w:rsid w:val="0084387D"/>
    <w:rsid w:val="00844610"/>
    <w:rsid w:val="00852996"/>
    <w:rsid w:val="0085377D"/>
    <w:rsid w:val="00854158"/>
    <w:rsid w:val="00856BCD"/>
    <w:rsid w:val="00863954"/>
    <w:rsid w:val="00864C74"/>
    <w:rsid w:val="00866365"/>
    <w:rsid w:val="008669AA"/>
    <w:rsid w:val="00871F65"/>
    <w:rsid w:val="008740FD"/>
    <w:rsid w:val="0087464B"/>
    <w:rsid w:val="008753FE"/>
    <w:rsid w:val="0087554C"/>
    <w:rsid w:val="008760A3"/>
    <w:rsid w:val="00877BD8"/>
    <w:rsid w:val="008806C2"/>
    <w:rsid w:val="00881A17"/>
    <w:rsid w:val="0088380D"/>
    <w:rsid w:val="00884254"/>
    <w:rsid w:val="00884E95"/>
    <w:rsid w:val="00885E24"/>
    <w:rsid w:val="00885E7E"/>
    <w:rsid w:val="008861AC"/>
    <w:rsid w:val="0089272C"/>
    <w:rsid w:val="0089368B"/>
    <w:rsid w:val="008967A9"/>
    <w:rsid w:val="00896B37"/>
    <w:rsid w:val="00896C04"/>
    <w:rsid w:val="00897B8C"/>
    <w:rsid w:val="008A03E7"/>
    <w:rsid w:val="008A34BE"/>
    <w:rsid w:val="008A4127"/>
    <w:rsid w:val="008A4DF5"/>
    <w:rsid w:val="008A5659"/>
    <w:rsid w:val="008A5EE9"/>
    <w:rsid w:val="008A648C"/>
    <w:rsid w:val="008B0E2D"/>
    <w:rsid w:val="008B2592"/>
    <w:rsid w:val="008B273B"/>
    <w:rsid w:val="008B3131"/>
    <w:rsid w:val="008B36F5"/>
    <w:rsid w:val="008B5C2A"/>
    <w:rsid w:val="008B5C69"/>
    <w:rsid w:val="008C1352"/>
    <w:rsid w:val="008C4362"/>
    <w:rsid w:val="008C54DF"/>
    <w:rsid w:val="008C6CE4"/>
    <w:rsid w:val="008C7B10"/>
    <w:rsid w:val="008D265D"/>
    <w:rsid w:val="008D3A9E"/>
    <w:rsid w:val="008D3EAB"/>
    <w:rsid w:val="008E3949"/>
    <w:rsid w:val="008E44D5"/>
    <w:rsid w:val="008E7860"/>
    <w:rsid w:val="008F0E30"/>
    <w:rsid w:val="008F4611"/>
    <w:rsid w:val="008F5F55"/>
    <w:rsid w:val="0090247E"/>
    <w:rsid w:val="00902BAA"/>
    <w:rsid w:val="00904EFF"/>
    <w:rsid w:val="009104A2"/>
    <w:rsid w:val="00917290"/>
    <w:rsid w:val="00923F64"/>
    <w:rsid w:val="00924562"/>
    <w:rsid w:val="009256AF"/>
    <w:rsid w:val="00931225"/>
    <w:rsid w:val="00931AFC"/>
    <w:rsid w:val="00932DA3"/>
    <w:rsid w:val="00936096"/>
    <w:rsid w:val="00940A62"/>
    <w:rsid w:val="00941886"/>
    <w:rsid w:val="00945000"/>
    <w:rsid w:val="009500F3"/>
    <w:rsid w:val="0095245E"/>
    <w:rsid w:val="0095389E"/>
    <w:rsid w:val="00955EA5"/>
    <w:rsid w:val="00956864"/>
    <w:rsid w:val="00956C16"/>
    <w:rsid w:val="00957D89"/>
    <w:rsid w:val="00962683"/>
    <w:rsid w:val="00962EB1"/>
    <w:rsid w:val="00965164"/>
    <w:rsid w:val="00972BDD"/>
    <w:rsid w:val="00973101"/>
    <w:rsid w:val="0097430E"/>
    <w:rsid w:val="00974488"/>
    <w:rsid w:val="00975D47"/>
    <w:rsid w:val="00975D70"/>
    <w:rsid w:val="00981EA4"/>
    <w:rsid w:val="00983119"/>
    <w:rsid w:val="00985F93"/>
    <w:rsid w:val="009910BE"/>
    <w:rsid w:val="009919D8"/>
    <w:rsid w:val="00996692"/>
    <w:rsid w:val="00996902"/>
    <w:rsid w:val="009A0FD7"/>
    <w:rsid w:val="009A32E3"/>
    <w:rsid w:val="009A42B2"/>
    <w:rsid w:val="009A4D79"/>
    <w:rsid w:val="009A6CCC"/>
    <w:rsid w:val="009B241A"/>
    <w:rsid w:val="009B29D7"/>
    <w:rsid w:val="009B6852"/>
    <w:rsid w:val="009B68AE"/>
    <w:rsid w:val="009B7201"/>
    <w:rsid w:val="009C0E31"/>
    <w:rsid w:val="009C6640"/>
    <w:rsid w:val="009C6F15"/>
    <w:rsid w:val="009D07DF"/>
    <w:rsid w:val="009D163D"/>
    <w:rsid w:val="009D2948"/>
    <w:rsid w:val="009D3B26"/>
    <w:rsid w:val="009D51A0"/>
    <w:rsid w:val="009E0657"/>
    <w:rsid w:val="009E130A"/>
    <w:rsid w:val="009E4AFE"/>
    <w:rsid w:val="009E559F"/>
    <w:rsid w:val="009F0C21"/>
    <w:rsid w:val="009F2026"/>
    <w:rsid w:val="009F5D94"/>
    <w:rsid w:val="009F630B"/>
    <w:rsid w:val="009F65BA"/>
    <w:rsid w:val="00A025C8"/>
    <w:rsid w:val="00A026CB"/>
    <w:rsid w:val="00A02E67"/>
    <w:rsid w:val="00A032B7"/>
    <w:rsid w:val="00A06D2A"/>
    <w:rsid w:val="00A105A6"/>
    <w:rsid w:val="00A11188"/>
    <w:rsid w:val="00A12587"/>
    <w:rsid w:val="00A2047F"/>
    <w:rsid w:val="00A20F72"/>
    <w:rsid w:val="00A21245"/>
    <w:rsid w:val="00A21A7D"/>
    <w:rsid w:val="00A23B19"/>
    <w:rsid w:val="00A311AE"/>
    <w:rsid w:val="00A325FD"/>
    <w:rsid w:val="00A3287C"/>
    <w:rsid w:val="00A34D4E"/>
    <w:rsid w:val="00A355F8"/>
    <w:rsid w:val="00A35651"/>
    <w:rsid w:val="00A41808"/>
    <w:rsid w:val="00A42AE9"/>
    <w:rsid w:val="00A4415F"/>
    <w:rsid w:val="00A44739"/>
    <w:rsid w:val="00A52BC1"/>
    <w:rsid w:val="00A537E3"/>
    <w:rsid w:val="00A55674"/>
    <w:rsid w:val="00A55C0C"/>
    <w:rsid w:val="00A6161F"/>
    <w:rsid w:val="00A62F98"/>
    <w:rsid w:val="00A64DB4"/>
    <w:rsid w:val="00A70BA8"/>
    <w:rsid w:val="00A71BC6"/>
    <w:rsid w:val="00A80569"/>
    <w:rsid w:val="00A831D6"/>
    <w:rsid w:val="00A842E6"/>
    <w:rsid w:val="00A875E6"/>
    <w:rsid w:val="00A87986"/>
    <w:rsid w:val="00A87C2B"/>
    <w:rsid w:val="00A92992"/>
    <w:rsid w:val="00A94D58"/>
    <w:rsid w:val="00AA0FB8"/>
    <w:rsid w:val="00AA3529"/>
    <w:rsid w:val="00AA4C0C"/>
    <w:rsid w:val="00AA5CB1"/>
    <w:rsid w:val="00AA7ED8"/>
    <w:rsid w:val="00AB3506"/>
    <w:rsid w:val="00AB5921"/>
    <w:rsid w:val="00AB6866"/>
    <w:rsid w:val="00AC0F21"/>
    <w:rsid w:val="00AC1286"/>
    <w:rsid w:val="00AC17D0"/>
    <w:rsid w:val="00AC28BA"/>
    <w:rsid w:val="00AC51AC"/>
    <w:rsid w:val="00AC5CE3"/>
    <w:rsid w:val="00AC5F2A"/>
    <w:rsid w:val="00AD081E"/>
    <w:rsid w:val="00AD1C8E"/>
    <w:rsid w:val="00AD1DE0"/>
    <w:rsid w:val="00AD542A"/>
    <w:rsid w:val="00AD5EE7"/>
    <w:rsid w:val="00AD6692"/>
    <w:rsid w:val="00AE4C83"/>
    <w:rsid w:val="00AE5085"/>
    <w:rsid w:val="00AE50EB"/>
    <w:rsid w:val="00AE519F"/>
    <w:rsid w:val="00AE742D"/>
    <w:rsid w:val="00AF01CF"/>
    <w:rsid w:val="00AF19ED"/>
    <w:rsid w:val="00AF1E4D"/>
    <w:rsid w:val="00AF4557"/>
    <w:rsid w:val="00AF4F4A"/>
    <w:rsid w:val="00AF5E09"/>
    <w:rsid w:val="00B03D55"/>
    <w:rsid w:val="00B07C67"/>
    <w:rsid w:val="00B11A27"/>
    <w:rsid w:val="00B13465"/>
    <w:rsid w:val="00B147A6"/>
    <w:rsid w:val="00B14E17"/>
    <w:rsid w:val="00B162D4"/>
    <w:rsid w:val="00B17229"/>
    <w:rsid w:val="00B17ED9"/>
    <w:rsid w:val="00B2409C"/>
    <w:rsid w:val="00B24193"/>
    <w:rsid w:val="00B24863"/>
    <w:rsid w:val="00B2498A"/>
    <w:rsid w:val="00B259EB"/>
    <w:rsid w:val="00B27F5B"/>
    <w:rsid w:val="00B3509A"/>
    <w:rsid w:val="00B362B2"/>
    <w:rsid w:val="00B3670F"/>
    <w:rsid w:val="00B36860"/>
    <w:rsid w:val="00B40B60"/>
    <w:rsid w:val="00B41DBB"/>
    <w:rsid w:val="00B42DE7"/>
    <w:rsid w:val="00B45B30"/>
    <w:rsid w:val="00B46B41"/>
    <w:rsid w:val="00B46F46"/>
    <w:rsid w:val="00B515E2"/>
    <w:rsid w:val="00B5771B"/>
    <w:rsid w:val="00B6176E"/>
    <w:rsid w:val="00B6302A"/>
    <w:rsid w:val="00B63F76"/>
    <w:rsid w:val="00B666F2"/>
    <w:rsid w:val="00B67EAC"/>
    <w:rsid w:val="00B71051"/>
    <w:rsid w:val="00B72A19"/>
    <w:rsid w:val="00B7536B"/>
    <w:rsid w:val="00B803FF"/>
    <w:rsid w:val="00B81069"/>
    <w:rsid w:val="00B85E2F"/>
    <w:rsid w:val="00B90CD8"/>
    <w:rsid w:val="00B9457B"/>
    <w:rsid w:val="00B97DB1"/>
    <w:rsid w:val="00BA06A2"/>
    <w:rsid w:val="00BA1B93"/>
    <w:rsid w:val="00BA344F"/>
    <w:rsid w:val="00BA74BD"/>
    <w:rsid w:val="00BA753D"/>
    <w:rsid w:val="00BB2499"/>
    <w:rsid w:val="00BB628C"/>
    <w:rsid w:val="00BC1725"/>
    <w:rsid w:val="00BC2488"/>
    <w:rsid w:val="00BC3D21"/>
    <w:rsid w:val="00BC41C3"/>
    <w:rsid w:val="00BC6B51"/>
    <w:rsid w:val="00BC728C"/>
    <w:rsid w:val="00BC7E0D"/>
    <w:rsid w:val="00BD1E34"/>
    <w:rsid w:val="00BD5331"/>
    <w:rsid w:val="00BD5D4E"/>
    <w:rsid w:val="00BE32FF"/>
    <w:rsid w:val="00BE517F"/>
    <w:rsid w:val="00BF03D1"/>
    <w:rsid w:val="00BF26B7"/>
    <w:rsid w:val="00BF2AE1"/>
    <w:rsid w:val="00BF2B32"/>
    <w:rsid w:val="00BF7DEA"/>
    <w:rsid w:val="00C01417"/>
    <w:rsid w:val="00C01647"/>
    <w:rsid w:val="00C019D0"/>
    <w:rsid w:val="00C02AD4"/>
    <w:rsid w:val="00C04ED8"/>
    <w:rsid w:val="00C05F77"/>
    <w:rsid w:val="00C0749C"/>
    <w:rsid w:val="00C11BBF"/>
    <w:rsid w:val="00C11D4F"/>
    <w:rsid w:val="00C13250"/>
    <w:rsid w:val="00C176EA"/>
    <w:rsid w:val="00C2010B"/>
    <w:rsid w:val="00C21A5B"/>
    <w:rsid w:val="00C252D3"/>
    <w:rsid w:val="00C259D8"/>
    <w:rsid w:val="00C31025"/>
    <w:rsid w:val="00C31E75"/>
    <w:rsid w:val="00C3376A"/>
    <w:rsid w:val="00C34E49"/>
    <w:rsid w:val="00C37491"/>
    <w:rsid w:val="00C377F5"/>
    <w:rsid w:val="00C421A8"/>
    <w:rsid w:val="00C42BD7"/>
    <w:rsid w:val="00C43268"/>
    <w:rsid w:val="00C43B13"/>
    <w:rsid w:val="00C46BCC"/>
    <w:rsid w:val="00C474B3"/>
    <w:rsid w:val="00C50FAE"/>
    <w:rsid w:val="00C51A3A"/>
    <w:rsid w:val="00C55F19"/>
    <w:rsid w:val="00C56D86"/>
    <w:rsid w:val="00C60177"/>
    <w:rsid w:val="00C63256"/>
    <w:rsid w:val="00C75AAE"/>
    <w:rsid w:val="00C80B10"/>
    <w:rsid w:val="00C812A2"/>
    <w:rsid w:val="00C83ADD"/>
    <w:rsid w:val="00C84CCF"/>
    <w:rsid w:val="00C854E5"/>
    <w:rsid w:val="00C86EC2"/>
    <w:rsid w:val="00CA0EBA"/>
    <w:rsid w:val="00CA1A56"/>
    <w:rsid w:val="00CA23AC"/>
    <w:rsid w:val="00CA2534"/>
    <w:rsid w:val="00CA3315"/>
    <w:rsid w:val="00CA3EF1"/>
    <w:rsid w:val="00CA4861"/>
    <w:rsid w:val="00CA63B5"/>
    <w:rsid w:val="00CB181A"/>
    <w:rsid w:val="00CB23ED"/>
    <w:rsid w:val="00CB28BC"/>
    <w:rsid w:val="00CB3314"/>
    <w:rsid w:val="00CB4411"/>
    <w:rsid w:val="00CB7992"/>
    <w:rsid w:val="00CC1ACE"/>
    <w:rsid w:val="00CC1BC4"/>
    <w:rsid w:val="00CC3670"/>
    <w:rsid w:val="00CC3687"/>
    <w:rsid w:val="00CC36EC"/>
    <w:rsid w:val="00CC51FD"/>
    <w:rsid w:val="00CC79FA"/>
    <w:rsid w:val="00CD4E9B"/>
    <w:rsid w:val="00CD5A1B"/>
    <w:rsid w:val="00CE07CA"/>
    <w:rsid w:val="00CE4703"/>
    <w:rsid w:val="00CE7AC3"/>
    <w:rsid w:val="00CF05E0"/>
    <w:rsid w:val="00CF1496"/>
    <w:rsid w:val="00CF641A"/>
    <w:rsid w:val="00D00F68"/>
    <w:rsid w:val="00D03218"/>
    <w:rsid w:val="00D06A21"/>
    <w:rsid w:val="00D1375B"/>
    <w:rsid w:val="00D14E83"/>
    <w:rsid w:val="00D151F9"/>
    <w:rsid w:val="00D15296"/>
    <w:rsid w:val="00D16B52"/>
    <w:rsid w:val="00D22821"/>
    <w:rsid w:val="00D255C6"/>
    <w:rsid w:val="00D278F7"/>
    <w:rsid w:val="00D305B9"/>
    <w:rsid w:val="00D3064C"/>
    <w:rsid w:val="00D356E3"/>
    <w:rsid w:val="00D35A54"/>
    <w:rsid w:val="00D37BE1"/>
    <w:rsid w:val="00D41FCE"/>
    <w:rsid w:val="00D42F6C"/>
    <w:rsid w:val="00D43C4E"/>
    <w:rsid w:val="00D475E1"/>
    <w:rsid w:val="00D47A57"/>
    <w:rsid w:val="00D5216E"/>
    <w:rsid w:val="00D52292"/>
    <w:rsid w:val="00D53977"/>
    <w:rsid w:val="00D56488"/>
    <w:rsid w:val="00D568FB"/>
    <w:rsid w:val="00D57EF1"/>
    <w:rsid w:val="00D60089"/>
    <w:rsid w:val="00D60C6D"/>
    <w:rsid w:val="00D62C67"/>
    <w:rsid w:val="00D65A64"/>
    <w:rsid w:val="00D65D52"/>
    <w:rsid w:val="00D66E79"/>
    <w:rsid w:val="00D66F9C"/>
    <w:rsid w:val="00D67260"/>
    <w:rsid w:val="00D70022"/>
    <w:rsid w:val="00D70391"/>
    <w:rsid w:val="00D703E4"/>
    <w:rsid w:val="00D72660"/>
    <w:rsid w:val="00D75255"/>
    <w:rsid w:val="00D755C2"/>
    <w:rsid w:val="00D75837"/>
    <w:rsid w:val="00D76455"/>
    <w:rsid w:val="00D77398"/>
    <w:rsid w:val="00D81788"/>
    <w:rsid w:val="00D86AE9"/>
    <w:rsid w:val="00D9169C"/>
    <w:rsid w:val="00D91E09"/>
    <w:rsid w:val="00D92127"/>
    <w:rsid w:val="00D93DA5"/>
    <w:rsid w:val="00D94849"/>
    <w:rsid w:val="00DA3F00"/>
    <w:rsid w:val="00DA4DA5"/>
    <w:rsid w:val="00DA5664"/>
    <w:rsid w:val="00DA6B02"/>
    <w:rsid w:val="00DB20AD"/>
    <w:rsid w:val="00DB23D8"/>
    <w:rsid w:val="00DB4967"/>
    <w:rsid w:val="00DB563D"/>
    <w:rsid w:val="00DB61AD"/>
    <w:rsid w:val="00DB652D"/>
    <w:rsid w:val="00DB678A"/>
    <w:rsid w:val="00DB73E7"/>
    <w:rsid w:val="00DB7EC8"/>
    <w:rsid w:val="00DC078F"/>
    <w:rsid w:val="00DC3620"/>
    <w:rsid w:val="00DC36FA"/>
    <w:rsid w:val="00DC4DCD"/>
    <w:rsid w:val="00DC4DF6"/>
    <w:rsid w:val="00DC56E2"/>
    <w:rsid w:val="00DC5E26"/>
    <w:rsid w:val="00DC6EA4"/>
    <w:rsid w:val="00DD10A1"/>
    <w:rsid w:val="00DD2578"/>
    <w:rsid w:val="00DD30BA"/>
    <w:rsid w:val="00DD6E87"/>
    <w:rsid w:val="00DD74CC"/>
    <w:rsid w:val="00DE12A0"/>
    <w:rsid w:val="00DE33C5"/>
    <w:rsid w:val="00DE3E0F"/>
    <w:rsid w:val="00DE52CC"/>
    <w:rsid w:val="00DE5336"/>
    <w:rsid w:val="00DE56B1"/>
    <w:rsid w:val="00DF0A51"/>
    <w:rsid w:val="00DF0F21"/>
    <w:rsid w:val="00DF18A5"/>
    <w:rsid w:val="00DF1E56"/>
    <w:rsid w:val="00DF276C"/>
    <w:rsid w:val="00DF33FE"/>
    <w:rsid w:val="00DF3782"/>
    <w:rsid w:val="00DF4003"/>
    <w:rsid w:val="00DF40EE"/>
    <w:rsid w:val="00DF4D66"/>
    <w:rsid w:val="00DF4F24"/>
    <w:rsid w:val="00DF5057"/>
    <w:rsid w:val="00DF6B6E"/>
    <w:rsid w:val="00E01225"/>
    <w:rsid w:val="00E01861"/>
    <w:rsid w:val="00E01D9D"/>
    <w:rsid w:val="00E02430"/>
    <w:rsid w:val="00E10D4C"/>
    <w:rsid w:val="00E11A80"/>
    <w:rsid w:val="00E1337C"/>
    <w:rsid w:val="00E1380B"/>
    <w:rsid w:val="00E13AF1"/>
    <w:rsid w:val="00E16A7D"/>
    <w:rsid w:val="00E2126D"/>
    <w:rsid w:val="00E21FC5"/>
    <w:rsid w:val="00E226DD"/>
    <w:rsid w:val="00E266EA"/>
    <w:rsid w:val="00E32EAA"/>
    <w:rsid w:val="00E3400B"/>
    <w:rsid w:val="00E3469A"/>
    <w:rsid w:val="00E36907"/>
    <w:rsid w:val="00E41D82"/>
    <w:rsid w:val="00E44A27"/>
    <w:rsid w:val="00E47801"/>
    <w:rsid w:val="00E47D3C"/>
    <w:rsid w:val="00E519CF"/>
    <w:rsid w:val="00E534C4"/>
    <w:rsid w:val="00E5489A"/>
    <w:rsid w:val="00E57EA7"/>
    <w:rsid w:val="00E7037D"/>
    <w:rsid w:val="00E7431F"/>
    <w:rsid w:val="00E74838"/>
    <w:rsid w:val="00E75AF3"/>
    <w:rsid w:val="00E75F64"/>
    <w:rsid w:val="00E82F72"/>
    <w:rsid w:val="00E83AAB"/>
    <w:rsid w:val="00E83B2D"/>
    <w:rsid w:val="00E9384D"/>
    <w:rsid w:val="00E93A0A"/>
    <w:rsid w:val="00E94BBD"/>
    <w:rsid w:val="00E95C4E"/>
    <w:rsid w:val="00EA03CB"/>
    <w:rsid w:val="00EA35A0"/>
    <w:rsid w:val="00EA6055"/>
    <w:rsid w:val="00EA60FB"/>
    <w:rsid w:val="00EA6426"/>
    <w:rsid w:val="00EB07D1"/>
    <w:rsid w:val="00EB301F"/>
    <w:rsid w:val="00EB4236"/>
    <w:rsid w:val="00EB4735"/>
    <w:rsid w:val="00EB54A4"/>
    <w:rsid w:val="00EB6A31"/>
    <w:rsid w:val="00EC05C1"/>
    <w:rsid w:val="00EC151B"/>
    <w:rsid w:val="00EC4028"/>
    <w:rsid w:val="00EC76C9"/>
    <w:rsid w:val="00ED063F"/>
    <w:rsid w:val="00ED2B5D"/>
    <w:rsid w:val="00ED380C"/>
    <w:rsid w:val="00ED6C48"/>
    <w:rsid w:val="00EE2BEC"/>
    <w:rsid w:val="00EE6E9F"/>
    <w:rsid w:val="00EF7B40"/>
    <w:rsid w:val="00F04827"/>
    <w:rsid w:val="00F066EB"/>
    <w:rsid w:val="00F15055"/>
    <w:rsid w:val="00F15D9D"/>
    <w:rsid w:val="00F16B00"/>
    <w:rsid w:val="00F175F2"/>
    <w:rsid w:val="00F17917"/>
    <w:rsid w:val="00F17FB7"/>
    <w:rsid w:val="00F21015"/>
    <w:rsid w:val="00F215FC"/>
    <w:rsid w:val="00F21680"/>
    <w:rsid w:val="00F21980"/>
    <w:rsid w:val="00F22616"/>
    <w:rsid w:val="00F22BE8"/>
    <w:rsid w:val="00F250EE"/>
    <w:rsid w:val="00F329BD"/>
    <w:rsid w:val="00F34563"/>
    <w:rsid w:val="00F354EA"/>
    <w:rsid w:val="00F36832"/>
    <w:rsid w:val="00F37679"/>
    <w:rsid w:val="00F37D8D"/>
    <w:rsid w:val="00F4156C"/>
    <w:rsid w:val="00F4731F"/>
    <w:rsid w:val="00F47A42"/>
    <w:rsid w:val="00F502BA"/>
    <w:rsid w:val="00F50BE3"/>
    <w:rsid w:val="00F53949"/>
    <w:rsid w:val="00F54A80"/>
    <w:rsid w:val="00F5503D"/>
    <w:rsid w:val="00F66BFE"/>
    <w:rsid w:val="00F678AC"/>
    <w:rsid w:val="00F70441"/>
    <w:rsid w:val="00F70763"/>
    <w:rsid w:val="00F75F14"/>
    <w:rsid w:val="00F83CBE"/>
    <w:rsid w:val="00F84CEA"/>
    <w:rsid w:val="00F86378"/>
    <w:rsid w:val="00F87158"/>
    <w:rsid w:val="00F87D63"/>
    <w:rsid w:val="00F87E92"/>
    <w:rsid w:val="00F9554C"/>
    <w:rsid w:val="00F95F11"/>
    <w:rsid w:val="00F96A5C"/>
    <w:rsid w:val="00F9712D"/>
    <w:rsid w:val="00FA49E6"/>
    <w:rsid w:val="00FA6D5C"/>
    <w:rsid w:val="00FB01A6"/>
    <w:rsid w:val="00FB1103"/>
    <w:rsid w:val="00FB4CE5"/>
    <w:rsid w:val="00FC164D"/>
    <w:rsid w:val="00FC30E5"/>
    <w:rsid w:val="00FC3790"/>
    <w:rsid w:val="00FC3CDD"/>
    <w:rsid w:val="00FC53A7"/>
    <w:rsid w:val="00FC7DF5"/>
    <w:rsid w:val="00FD187C"/>
    <w:rsid w:val="00FD4CDB"/>
    <w:rsid w:val="00FE274F"/>
    <w:rsid w:val="00FE3F65"/>
    <w:rsid w:val="00FE4010"/>
    <w:rsid w:val="00FE408F"/>
    <w:rsid w:val="00FE4BF3"/>
    <w:rsid w:val="00FE4C1D"/>
    <w:rsid w:val="00FF1A14"/>
    <w:rsid w:val="00FF1C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1899EB42"/>
  <w15:docId w15:val="{03236DE8-A4A9-4652-9621-E595B809C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B628C"/>
    <w:rPr>
      <w:rFonts w:eastAsia="SimSun"/>
      <w:lang w:eastAsia="zh-CN"/>
    </w:rPr>
  </w:style>
  <w:style w:type="paragraph" w:styleId="Heading1">
    <w:name w:val="heading 1"/>
    <w:aliases w:val="Table_G"/>
    <w:basedOn w:val="SingleTxtG"/>
    <w:next w:val="SingleTxtG"/>
    <w:link w:val="Heading1Char"/>
    <w:rsid w:val="00BB628C"/>
    <w:pPr>
      <w:spacing w:after="0"/>
      <w:ind w:right="0"/>
      <w:jc w:val="left"/>
      <w:outlineLvl w:val="0"/>
    </w:pPr>
  </w:style>
  <w:style w:type="paragraph" w:styleId="Heading2">
    <w:name w:val="heading 2"/>
    <w:basedOn w:val="Normal"/>
    <w:next w:val="Normal"/>
    <w:link w:val="Heading2Char"/>
    <w:rsid w:val="00BB628C"/>
    <w:pPr>
      <w:outlineLvl w:val="1"/>
    </w:pPr>
  </w:style>
  <w:style w:type="paragraph" w:styleId="Heading3">
    <w:name w:val="heading 3"/>
    <w:basedOn w:val="Normal"/>
    <w:next w:val="Normal"/>
    <w:link w:val="Heading3Char"/>
    <w:rsid w:val="00BB628C"/>
    <w:pPr>
      <w:outlineLvl w:val="2"/>
    </w:pPr>
  </w:style>
  <w:style w:type="paragraph" w:styleId="Heading4">
    <w:name w:val="heading 4"/>
    <w:basedOn w:val="Normal"/>
    <w:next w:val="Normal"/>
    <w:link w:val="Heading4Char"/>
    <w:rsid w:val="00BB628C"/>
    <w:pPr>
      <w:outlineLvl w:val="3"/>
    </w:pPr>
  </w:style>
  <w:style w:type="paragraph" w:styleId="Heading5">
    <w:name w:val="heading 5"/>
    <w:basedOn w:val="Normal"/>
    <w:next w:val="Normal"/>
    <w:link w:val="Heading5Char"/>
    <w:rsid w:val="00BB628C"/>
    <w:pPr>
      <w:outlineLvl w:val="4"/>
    </w:pPr>
  </w:style>
  <w:style w:type="paragraph" w:styleId="Heading6">
    <w:name w:val="heading 6"/>
    <w:basedOn w:val="Normal"/>
    <w:next w:val="Normal"/>
    <w:link w:val="Heading6Char"/>
    <w:rsid w:val="00BB628C"/>
    <w:pPr>
      <w:outlineLvl w:val="5"/>
    </w:pPr>
  </w:style>
  <w:style w:type="paragraph" w:styleId="Heading7">
    <w:name w:val="heading 7"/>
    <w:basedOn w:val="Normal"/>
    <w:next w:val="Normal"/>
    <w:link w:val="Heading7Char"/>
    <w:rsid w:val="00BB628C"/>
    <w:pPr>
      <w:outlineLvl w:val="6"/>
    </w:pPr>
  </w:style>
  <w:style w:type="paragraph" w:styleId="Heading8">
    <w:name w:val="heading 8"/>
    <w:basedOn w:val="Normal"/>
    <w:next w:val="Normal"/>
    <w:link w:val="Heading8Char"/>
    <w:rsid w:val="00BB628C"/>
    <w:pPr>
      <w:outlineLvl w:val="7"/>
    </w:pPr>
  </w:style>
  <w:style w:type="paragraph" w:styleId="Heading9">
    <w:name w:val="heading 9"/>
    <w:basedOn w:val="Normal"/>
    <w:next w:val="Normal"/>
    <w:link w:val="Heading9Char"/>
    <w:rsid w:val="00BB628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BB628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B628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B628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B628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B628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B628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B628C"/>
    <w:pPr>
      <w:spacing w:after="120" w:line="240" w:lineRule="atLeast"/>
      <w:ind w:left="1134" w:right="1134"/>
      <w:jc w:val="both"/>
    </w:pPr>
  </w:style>
  <w:style w:type="paragraph" w:customStyle="1" w:styleId="SLG">
    <w:name w:val="__S_L_G"/>
    <w:basedOn w:val="Normal"/>
    <w:next w:val="Normal"/>
    <w:rsid w:val="00BB628C"/>
    <w:pPr>
      <w:keepNext/>
      <w:keepLines/>
      <w:spacing w:before="240" w:after="240" w:line="580" w:lineRule="exact"/>
      <w:ind w:left="1134" w:right="1134"/>
    </w:pPr>
    <w:rPr>
      <w:b/>
      <w:sz w:val="56"/>
    </w:rPr>
  </w:style>
  <w:style w:type="paragraph" w:customStyle="1" w:styleId="SMG">
    <w:name w:val="__S_M_G"/>
    <w:basedOn w:val="Normal"/>
    <w:next w:val="Normal"/>
    <w:rsid w:val="00BB628C"/>
    <w:pPr>
      <w:keepNext/>
      <w:keepLines/>
      <w:spacing w:before="240" w:after="240" w:line="420" w:lineRule="exact"/>
      <w:ind w:left="1134" w:right="1134"/>
    </w:pPr>
    <w:rPr>
      <w:b/>
      <w:sz w:val="40"/>
    </w:rPr>
  </w:style>
  <w:style w:type="paragraph" w:customStyle="1" w:styleId="SSG">
    <w:name w:val="__S_S_G"/>
    <w:basedOn w:val="Normal"/>
    <w:next w:val="Normal"/>
    <w:rsid w:val="00BB628C"/>
    <w:pPr>
      <w:keepNext/>
      <w:keepLines/>
      <w:spacing w:before="240" w:after="240" w:line="300" w:lineRule="exact"/>
      <w:ind w:left="1134" w:right="1134"/>
    </w:pPr>
    <w:rPr>
      <w:b/>
      <w:sz w:val="28"/>
    </w:rPr>
  </w:style>
  <w:style w:type="paragraph" w:customStyle="1" w:styleId="XLargeG">
    <w:name w:val="__XLarge_G"/>
    <w:basedOn w:val="Normal"/>
    <w:next w:val="Normal"/>
    <w:rsid w:val="00BB628C"/>
    <w:pPr>
      <w:keepNext/>
      <w:keepLines/>
      <w:spacing w:before="240" w:after="240" w:line="420" w:lineRule="exact"/>
      <w:ind w:left="1134" w:right="1134"/>
    </w:pPr>
    <w:rPr>
      <w:b/>
      <w:sz w:val="40"/>
    </w:rPr>
  </w:style>
  <w:style w:type="paragraph" w:customStyle="1" w:styleId="Bullet2G">
    <w:name w:val="_Bullet 2_G"/>
    <w:basedOn w:val="Normal"/>
    <w:qFormat/>
    <w:rsid w:val="00BB628C"/>
    <w:pPr>
      <w:numPr>
        <w:numId w:val="32"/>
      </w:numPr>
      <w:spacing w:after="120"/>
      <w:ind w:right="1134"/>
      <w:jc w:val="both"/>
    </w:pPr>
  </w:style>
  <w:style w:type="paragraph" w:customStyle="1" w:styleId="Bullet1G">
    <w:name w:val="_Bullet 1_G"/>
    <w:basedOn w:val="Normal"/>
    <w:qFormat/>
    <w:rsid w:val="00BB628C"/>
    <w:pPr>
      <w:numPr>
        <w:numId w:val="31"/>
      </w:numPr>
      <w:spacing w:after="120"/>
      <w:ind w:right="1134"/>
      <w:jc w:val="both"/>
    </w:pPr>
  </w:style>
  <w:style w:type="paragraph" w:customStyle="1" w:styleId="ParaNoG">
    <w:name w:val="_ParaNo._G"/>
    <w:basedOn w:val="SingleTxtG"/>
    <w:rsid w:val="00BB628C"/>
    <w:pPr>
      <w:numPr>
        <w:numId w:val="33"/>
      </w:numPr>
    </w:pPr>
  </w:style>
  <w:style w:type="numbering" w:styleId="111111">
    <w:name w:val="Outline List 2"/>
    <w:basedOn w:val="NoList"/>
    <w:semiHidden/>
    <w:rsid w:val="00BB628C"/>
    <w:pPr>
      <w:numPr>
        <w:numId w:val="34"/>
      </w:numPr>
    </w:pPr>
  </w:style>
  <w:style w:type="numbering" w:styleId="1ai">
    <w:name w:val="Outline List 1"/>
    <w:basedOn w:val="NoList"/>
    <w:semiHidden/>
    <w:rsid w:val="00BB628C"/>
    <w:pPr>
      <w:numPr>
        <w:numId w:val="35"/>
      </w:numPr>
    </w:pPr>
  </w:style>
  <w:style w:type="character" w:styleId="FootnoteReference">
    <w:name w:val="footnote reference"/>
    <w:aliases w:val="4_G"/>
    <w:qFormat/>
    <w:rsid w:val="00BB628C"/>
    <w:rPr>
      <w:rFonts w:ascii="Times New Roman" w:hAnsi="Times New Roman"/>
      <w:sz w:val="18"/>
      <w:vertAlign w:val="superscript"/>
    </w:rPr>
  </w:style>
  <w:style w:type="character" w:styleId="EndnoteReference">
    <w:name w:val="endnote reference"/>
    <w:aliases w:val="1_G"/>
    <w:rsid w:val="00BB628C"/>
    <w:rPr>
      <w:rFonts w:ascii="Times New Roman" w:hAnsi="Times New Roman"/>
      <w:sz w:val="18"/>
      <w:vertAlign w:val="superscript"/>
    </w:rPr>
  </w:style>
  <w:style w:type="paragraph" w:styleId="FootnoteText">
    <w:name w:val="footnote text"/>
    <w:aliases w:val="5_G"/>
    <w:basedOn w:val="Normal"/>
    <w:link w:val="FootnoteTextChar"/>
    <w:rsid w:val="00BB628C"/>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B628C"/>
  </w:style>
  <w:style w:type="paragraph" w:styleId="Footer">
    <w:name w:val="footer"/>
    <w:aliases w:val="3_G"/>
    <w:basedOn w:val="Normal"/>
    <w:link w:val="FooterChar"/>
    <w:rsid w:val="00BB628C"/>
    <w:rPr>
      <w:sz w:val="16"/>
    </w:rPr>
  </w:style>
  <w:style w:type="paragraph" w:styleId="Header">
    <w:name w:val="header"/>
    <w:aliases w:val="6_G"/>
    <w:basedOn w:val="Normal"/>
    <w:link w:val="HeaderChar"/>
    <w:rsid w:val="00BB628C"/>
    <w:pPr>
      <w:pBdr>
        <w:bottom w:val="single" w:sz="4" w:space="4" w:color="auto"/>
      </w:pBdr>
    </w:pPr>
    <w:rPr>
      <w:b/>
      <w:sz w:val="18"/>
    </w:rPr>
  </w:style>
  <w:style w:type="character" w:customStyle="1" w:styleId="EndnoteTextChar">
    <w:name w:val="Endnote Text Char"/>
    <w:aliases w:val="2_G Char"/>
    <w:basedOn w:val="DefaultParagraphFont"/>
    <w:link w:val="EndnoteText"/>
    <w:rsid w:val="00BB628C"/>
    <w:rPr>
      <w:rFonts w:eastAsia="SimSun"/>
      <w:sz w:val="18"/>
      <w:lang w:eastAsia="zh-CN"/>
    </w:rPr>
  </w:style>
  <w:style w:type="character" w:customStyle="1" w:styleId="Heading1Char">
    <w:name w:val="Heading 1 Char"/>
    <w:aliases w:val="Table_G Char"/>
    <w:basedOn w:val="DefaultParagraphFont"/>
    <w:link w:val="Heading1"/>
    <w:rsid w:val="00BB628C"/>
    <w:rPr>
      <w:rFonts w:eastAsia="SimSun"/>
      <w:lang w:eastAsia="zh-CN"/>
    </w:rPr>
  </w:style>
  <w:style w:type="character" w:customStyle="1" w:styleId="HeaderChar">
    <w:name w:val="Header Char"/>
    <w:aliases w:val="6_G Char"/>
    <w:basedOn w:val="DefaultParagraphFont"/>
    <w:link w:val="Header"/>
    <w:rsid w:val="00BB628C"/>
    <w:rPr>
      <w:rFonts w:eastAsia="SimSun"/>
      <w:b/>
      <w:sz w:val="18"/>
      <w:lang w:eastAsia="zh-CN"/>
    </w:rPr>
  </w:style>
  <w:style w:type="character" w:customStyle="1" w:styleId="FooterChar">
    <w:name w:val="Footer Char"/>
    <w:aliases w:val="3_G Char"/>
    <w:basedOn w:val="DefaultParagraphFont"/>
    <w:link w:val="Footer"/>
    <w:rsid w:val="00BB628C"/>
    <w:rPr>
      <w:rFonts w:eastAsia="SimSun"/>
      <w:sz w:val="16"/>
      <w:lang w:eastAsia="zh-CN"/>
    </w:rPr>
  </w:style>
  <w:style w:type="character" w:customStyle="1" w:styleId="FootnoteTextChar">
    <w:name w:val="Footnote Text Char"/>
    <w:aliases w:val="5_G Char"/>
    <w:basedOn w:val="DefaultParagraphFont"/>
    <w:link w:val="FootnoteText"/>
    <w:rsid w:val="00BB628C"/>
    <w:rPr>
      <w:rFonts w:eastAsia="SimSun"/>
      <w:sz w:val="18"/>
      <w:lang w:eastAsia="zh-CN"/>
    </w:rPr>
  </w:style>
  <w:style w:type="table" w:customStyle="1" w:styleId="TableGrid1">
    <w:name w:val="Table Grid1"/>
    <w:basedOn w:val="TableNormal"/>
    <w:next w:val="TableGrid"/>
    <w:rsid w:val="006132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BB628C"/>
    <w:pPr>
      <w:suppressAutoHyphens/>
      <w:spacing w:line="240" w:lineRule="atLeast"/>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2CCE"/>
    <w:rPr>
      <w:color w:val="0563C1" w:themeColor="hyperlink"/>
      <w:u w:val="none"/>
    </w:rPr>
  </w:style>
  <w:style w:type="paragraph" w:styleId="ListParagraph">
    <w:name w:val="List Paragraph"/>
    <w:basedOn w:val="Normal"/>
    <w:uiPriority w:val="34"/>
    <w:qFormat/>
    <w:rsid w:val="00D66F9C"/>
    <w:pPr>
      <w:ind w:left="720"/>
      <w:contextualSpacing/>
    </w:pPr>
  </w:style>
  <w:style w:type="character" w:styleId="FollowedHyperlink">
    <w:name w:val="FollowedHyperlink"/>
    <w:semiHidden/>
    <w:unhideWhenUsed/>
    <w:rsid w:val="0074381A"/>
    <w:rPr>
      <w:color w:val="800080"/>
      <w:u w:val="single"/>
    </w:rPr>
  </w:style>
  <w:style w:type="paragraph" w:styleId="BalloonText">
    <w:name w:val="Balloon Text"/>
    <w:basedOn w:val="Normal"/>
    <w:link w:val="BalloonTextChar"/>
    <w:uiPriority w:val="99"/>
    <w:semiHidden/>
    <w:unhideWhenUsed/>
    <w:rsid w:val="00BB628C"/>
    <w:rPr>
      <w:rFonts w:ascii="Tahoma" w:hAnsi="Tahoma" w:cs="Tahoma"/>
      <w:sz w:val="16"/>
      <w:szCs w:val="16"/>
    </w:rPr>
  </w:style>
  <w:style w:type="character" w:customStyle="1" w:styleId="BalloonTextChar">
    <w:name w:val="Balloon Text Char"/>
    <w:basedOn w:val="DefaultParagraphFont"/>
    <w:link w:val="BalloonText"/>
    <w:uiPriority w:val="99"/>
    <w:semiHidden/>
    <w:rsid w:val="00BB628C"/>
    <w:rPr>
      <w:rFonts w:ascii="Tahoma" w:eastAsia="SimSun" w:hAnsi="Tahoma" w:cs="Tahoma"/>
      <w:sz w:val="16"/>
      <w:szCs w:val="16"/>
      <w:lang w:eastAsia="zh-CN"/>
    </w:rPr>
  </w:style>
  <w:style w:type="character" w:customStyle="1" w:styleId="Heading2Char">
    <w:name w:val="Heading 2 Char"/>
    <w:basedOn w:val="DefaultParagraphFont"/>
    <w:link w:val="Heading2"/>
    <w:rsid w:val="00BB628C"/>
    <w:rPr>
      <w:rFonts w:eastAsia="SimSun"/>
      <w:lang w:eastAsia="zh-CN"/>
    </w:rPr>
  </w:style>
  <w:style w:type="character" w:customStyle="1" w:styleId="Heading3Char">
    <w:name w:val="Heading 3 Char"/>
    <w:basedOn w:val="DefaultParagraphFont"/>
    <w:link w:val="Heading3"/>
    <w:rsid w:val="00BB628C"/>
    <w:rPr>
      <w:rFonts w:eastAsia="SimSun"/>
      <w:lang w:eastAsia="zh-CN"/>
    </w:rPr>
  </w:style>
  <w:style w:type="character" w:customStyle="1" w:styleId="Heading4Char">
    <w:name w:val="Heading 4 Char"/>
    <w:basedOn w:val="DefaultParagraphFont"/>
    <w:link w:val="Heading4"/>
    <w:rsid w:val="00BB628C"/>
    <w:rPr>
      <w:rFonts w:eastAsia="SimSun"/>
      <w:lang w:eastAsia="zh-CN"/>
    </w:rPr>
  </w:style>
  <w:style w:type="character" w:customStyle="1" w:styleId="Heading5Char">
    <w:name w:val="Heading 5 Char"/>
    <w:basedOn w:val="DefaultParagraphFont"/>
    <w:link w:val="Heading5"/>
    <w:rsid w:val="00BB628C"/>
    <w:rPr>
      <w:rFonts w:eastAsia="SimSun"/>
      <w:lang w:eastAsia="zh-CN"/>
    </w:rPr>
  </w:style>
  <w:style w:type="character" w:customStyle="1" w:styleId="Heading6Char">
    <w:name w:val="Heading 6 Char"/>
    <w:basedOn w:val="DefaultParagraphFont"/>
    <w:link w:val="Heading6"/>
    <w:rsid w:val="00BB628C"/>
    <w:rPr>
      <w:rFonts w:eastAsia="SimSun"/>
      <w:lang w:eastAsia="zh-CN"/>
    </w:rPr>
  </w:style>
  <w:style w:type="character" w:customStyle="1" w:styleId="Heading7Char">
    <w:name w:val="Heading 7 Char"/>
    <w:basedOn w:val="DefaultParagraphFont"/>
    <w:link w:val="Heading7"/>
    <w:rsid w:val="00BB628C"/>
    <w:rPr>
      <w:rFonts w:eastAsia="SimSun"/>
      <w:lang w:eastAsia="zh-CN"/>
    </w:rPr>
  </w:style>
  <w:style w:type="character" w:customStyle="1" w:styleId="Heading8Char">
    <w:name w:val="Heading 8 Char"/>
    <w:basedOn w:val="DefaultParagraphFont"/>
    <w:link w:val="Heading8"/>
    <w:rsid w:val="00BB628C"/>
    <w:rPr>
      <w:rFonts w:eastAsia="SimSun"/>
      <w:lang w:eastAsia="zh-CN"/>
    </w:rPr>
  </w:style>
  <w:style w:type="character" w:customStyle="1" w:styleId="Heading9Char">
    <w:name w:val="Heading 9 Char"/>
    <w:basedOn w:val="DefaultParagraphFont"/>
    <w:link w:val="Heading9"/>
    <w:rsid w:val="00BB628C"/>
    <w:rPr>
      <w:rFonts w:eastAsia="SimSun"/>
      <w:lang w:eastAsia="zh-CN"/>
    </w:rPr>
  </w:style>
  <w:style w:type="character" w:styleId="PageNumber">
    <w:name w:val="page number"/>
    <w:aliases w:val="7_G"/>
    <w:semiHidden/>
    <w:rsid w:val="00BB628C"/>
    <w:rPr>
      <w:rFonts w:ascii="Times New Roman" w:hAnsi="Times New Roman"/>
      <w:b/>
      <w:sz w:val="18"/>
    </w:rPr>
  </w:style>
  <w:style w:type="character" w:styleId="CommentReference">
    <w:name w:val="annotation reference"/>
    <w:basedOn w:val="DefaultParagraphFont"/>
    <w:semiHidden/>
    <w:unhideWhenUsed/>
    <w:rsid w:val="00996692"/>
    <w:rPr>
      <w:sz w:val="18"/>
      <w:szCs w:val="18"/>
    </w:rPr>
  </w:style>
  <w:style w:type="paragraph" w:styleId="CommentSubject">
    <w:name w:val="annotation subject"/>
    <w:basedOn w:val="Normal"/>
    <w:next w:val="Normal"/>
    <w:link w:val="CommentSubjectChar"/>
    <w:semiHidden/>
    <w:unhideWhenUsed/>
    <w:rsid w:val="00753502"/>
    <w:rPr>
      <w:b/>
      <w:bCs/>
    </w:rPr>
  </w:style>
  <w:style w:type="character" w:customStyle="1" w:styleId="CommentSubjectChar">
    <w:name w:val="Comment Subject Char"/>
    <w:basedOn w:val="DefaultParagraphFont"/>
    <w:link w:val="CommentSubject"/>
    <w:semiHidden/>
    <w:rsid w:val="00753502"/>
    <w:rPr>
      <w:rFonts w:eastAsia="SimSun"/>
      <w:b/>
      <w:bCs/>
      <w:sz w:val="24"/>
      <w:szCs w:val="24"/>
      <w:lang w:eastAsia="zh-CN"/>
    </w:rPr>
  </w:style>
  <w:style w:type="paragraph" w:styleId="TOCHeading">
    <w:name w:val="TOC Heading"/>
    <w:basedOn w:val="Heading1"/>
    <w:next w:val="Normal"/>
    <w:uiPriority w:val="39"/>
    <w:unhideWhenUsed/>
    <w:qFormat/>
    <w:rsid w:val="00844610"/>
    <w:pPr>
      <w:keepNext/>
      <w:keepLines/>
      <w:spacing w:before="480" w:line="276" w:lineRule="auto"/>
      <w:ind w:left="0"/>
      <w:outlineLvl w:val="9"/>
    </w:pPr>
    <w:rPr>
      <w:rFonts w:asciiTheme="majorHAnsi" w:eastAsiaTheme="majorEastAsia" w:hAnsiTheme="majorHAnsi" w:cstheme="majorBidi"/>
      <w:b/>
      <w:bCs/>
      <w:color w:val="2E74B5" w:themeColor="accent1" w:themeShade="BF"/>
      <w:sz w:val="28"/>
      <w:szCs w:val="28"/>
      <w:lang w:val="en-US" w:eastAsia="en-US"/>
    </w:rPr>
  </w:style>
  <w:style w:type="paragraph" w:styleId="TOC4">
    <w:name w:val="toc 4"/>
    <w:basedOn w:val="Normal"/>
    <w:next w:val="Normal"/>
    <w:autoRedefine/>
    <w:semiHidden/>
    <w:unhideWhenUsed/>
    <w:rsid w:val="00844610"/>
    <w:rPr>
      <w:rFonts w:asciiTheme="minorHAnsi" w:hAnsiTheme="minorHAnsi"/>
      <w:sz w:val="22"/>
      <w:szCs w:val="22"/>
    </w:rPr>
  </w:style>
  <w:style w:type="paragraph" w:styleId="TOC5">
    <w:name w:val="toc 5"/>
    <w:basedOn w:val="Normal"/>
    <w:next w:val="Normal"/>
    <w:autoRedefine/>
    <w:semiHidden/>
    <w:unhideWhenUsed/>
    <w:rsid w:val="00844610"/>
    <w:rPr>
      <w:rFonts w:asciiTheme="minorHAnsi" w:hAnsiTheme="minorHAnsi"/>
      <w:sz w:val="22"/>
      <w:szCs w:val="22"/>
    </w:rPr>
  </w:style>
  <w:style w:type="paragraph" w:styleId="TOC6">
    <w:name w:val="toc 6"/>
    <w:basedOn w:val="Normal"/>
    <w:next w:val="Normal"/>
    <w:autoRedefine/>
    <w:semiHidden/>
    <w:unhideWhenUsed/>
    <w:rsid w:val="00844610"/>
    <w:rPr>
      <w:rFonts w:asciiTheme="minorHAnsi" w:hAnsiTheme="minorHAnsi"/>
      <w:sz w:val="22"/>
      <w:szCs w:val="22"/>
    </w:rPr>
  </w:style>
  <w:style w:type="paragraph" w:styleId="TOC7">
    <w:name w:val="toc 7"/>
    <w:basedOn w:val="Normal"/>
    <w:next w:val="Normal"/>
    <w:autoRedefine/>
    <w:semiHidden/>
    <w:unhideWhenUsed/>
    <w:rsid w:val="00844610"/>
    <w:rPr>
      <w:rFonts w:asciiTheme="minorHAnsi" w:hAnsiTheme="minorHAnsi"/>
      <w:sz w:val="22"/>
      <w:szCs w:val="22"/>
    </w:rPr>
  </w:style>
  <w:style w:type="paragraph" w:styleId="TOC8">
    <w:name w:val="toc 8"/>
    <w:basedOn w:val="Normal"/>
    <w:next w:val="Normal"/>
    <w:autoRedefine/>
    <w:semiHidden/>
    <w:unhideWhenUsed/>
    <w:rsid w:val="00844610"/>
    <w:rPr>
      <w:rFonts w:asciiTheme="minorHAnsi" w:hAnsiTheme="minorHAnsi"/>
      <w:sz w:val="22"/>
      <w:szCs w:val="22"/>
    </w:rPr>
  </w:style>
  <w:style w:type="paragraph" w:styleId="TOC9">
    <w:name w:val="toc 9"/>
    <w:basedOn w:val="Normal"/>
    <w:next w:val="Normal"/>
    <w:autoRedefine/>
    <w:semiHidden/>
    <w:unhideWhenUsed/>
    <w:rsid w:val="00844610"/>
    <w:rPr>
      <w:rFonts w:asciiTheme="minorHAnsi" w:hAnsiTheme="minorHAnsi"/>
      <w:sz w:val="22"/>
      <w:szCs w:val="22"/>
    </w:rPr>
  </w:style>
  <w:style w:type="paragraph" w:styleId="Revision">
    <w:name w:val="Revision"/>
    <w:hidden/>
    <w:uiPriority w:val="99"/>
    <w:semiHidden/>
    <w:rsid w:val="00E1337C"/>
    <w:rPr>
      <w:rFonts w:eastAsia="SimSun"/>
      <w:lang w:eastAsia="zh-CN"/>
    </w:rPr>
  </w:style>
  <w:style w:type="character" w:styleId="Emphasis">
    <w:name w:val="Emphasis"/>
    <w:basedOn w:val="DefaultParagraphFont"/>
    <w:uiPriority w:val="20"/>
    <w:qFormat/>
    <w:rsid w:val="00707BF0"/>
    <w:rPr>
      <w:i/>
      <w:iCs/>
    </w:rPr>
  </w:style>
  <w:style w:type="character" w:customStyle="1" w:styleId="SingleTxtGChar">
    <w:name w:val="_ Single Txt_G Char"/>
    <w:link w:val="SingleTxtG"/>
    <w:rsid w:val="005B6006"/>
    <w:rPr>
      <w:rFonts w:eastAsia="SimSun"/>
      <w:lang w:eastAsia="zh-CN"/>
    </w:rPr>
  </w:style>
  <w:style w:type="character" w:customStyle="1" w:styleId="UnresolvedMention1">
    <w:name w:val="Unresolved Mention1"/>
    <w:basedOn w:val="DefaultParagraphFont"/>
    <w:uiPriority w:val="99"/>
    <w:semiHidden/>
    <w:unhideWhenUsed/>
    <w:rsid w:val="00EA6426"/>
    <w:rPr>
      <w:color w:val="605E5C"/>
      <w:shd w:val="clear" w:color="auto" w:fill="E1DFDD"/>
    </w:rPr>
  </w:style>
  <w:style w:type="paragraph" w:customStyle="1" w:styleId="Default">
    <w:name w:val="Default"/>
    <w:rsid w:val="003769BD"/>
    <w:pPr>
      <w:autoSpaceDE w:val="0"/>
      <w:autoSpaceDN w:val="0"/>
      <w:adjustRightInd w:val="0"/>
    </w:pPr>
    <w:rPr>
      <w:color w:val="000000"/>
      <w:sz w:val="24"/>
      <w:szCs w:val="24"/>
      <w:lang w:val="en-US"/>
    </w:rPr>
  </w:style>
  <w:style w:type="paragraph" w:styleId="NormalWeb">
    <w:name w:val="Normal (Web)"/>
    <w:basedOn w:val="Normal"/>
    <w:uiPriority w:val="99"/>
    <w:unhideWhenUsed/>
    <w:rsid w:val="00D03218"/>
    <w:pPr>
      <w:spacing w:before="100" w:beforeAutospacing="1" w:after="100" w:afterAutospacing="1"/>
    </w:pPr>
    <w:rPr>
      <w:rFonts w:eastAsia="Times New Roman"/>
      <w:sz w:val="24"/>
      <w:szCs w:val="24"/>
      <w:lang w:val="en-US"/>
    </w:rPr>
  </w:style>
  <w:style w:type="paragraph" w:styleId="CommentText">
    <w:name w:val="annotation text"/>
    <w:basedOn w:val="Normal"/>
    <w:link w:val="CommentTextChar"/>
    <w:unhideWhenUsed/>
    <w:rsid w:val="008B273B"/>
  </w:style>
  <w:style w:type="character" w:customStyle="1" w:styleId="CommentTextChar">
    <w:name w:val="Comment Text Char"/>
    <w:basedOn w:val="DefaultParagraphFont"/>
    <w:link w:val="CommentText"/>
    <w:rsid w:val="008B273B"/>
    <w:rPr>
      <w:rFonts w:eastAsia="SimSun"/>
      <w:lang w:eastAsia="zh-CN"/>
    </w:rPr>
  </w:style>
  <w:style w:type="paragraph" w:customStyle="1" w:styleId="ParNoG">
    <w:name w:val="_ParNo_G"/>
    <w:basedOn w:val="Normal"/>
    <w:qFormat/>
    <w:rsid w:val="00AC5CE3"/>
    <w:pPr>
      <w:numPr>
        <w:numId w:val="43"/>
      </w:numPr>
      <w:tabs>
        <w:tab w:val="clear" w:pos="1701"/>
      </w:tabs>
      <w:suppressAutoHyphens/>
      <w:kinsoku w:val="0"/>
      <w:overflowPunct w:val="0"/>
      <w:autoSpaceDE w:val="0"/>
      <w:autoSpaceDN w:val="0"/>
      <w:adjustRightInd w:val="0"/>
      <w:snapToGrid w:val="0"/>
      <w:spacing w:after="120" w:line="240" w:lineRule="atLeast"/>
      <w:ind w:right="1134"/>
      <w:jc w:val="both"/>
    </w:pPr>
    <w:rPr>
      <w:rFonts w:eastAsiaTheme="minorHAnsi"/>
      <w:lang w:eastAsia="en-US"/>
    </w:rPr>
  </w:style>
  <w:style w:type="character" w:styleId="Strong">
    <w:name w:val="Strong"/>
    <w:basedOn w:val="DefaultParagraphFont"/>
    <w:uiPriority w:val="22"/>
    <w:qFormat/>
    <w:rsid w:val="00032FEB"/>
    <w:rPr>
      <w:b/>
      <w:bCs/>
    </w:rPr>
  </w:style>
  <w:style w:type="character" w:customStyle="1" w:styleId="tlid-translation">
    <w:name w:val="tlid-translation"/>
    <w:basedOn w:val="DefaultParagraphFont"/>
    <w:rsid w:val="009A6CCC"/>
  </w:style>
  <w:style w:type="character" w:customStyle="1" w:styleId="UnresolvedMention2">
    <w:name w:val="Unresolved Mention2"/>
    <w:basedOn w:val="DefaultParagraphFont"/>
    <w:uiPriority w:val="99"/>
    <w:semiHidden/>
    <w:unhideWhenUsed/>
    <w:rsid w:val="00371562"/>
    <w:rPr>
      <w:color w:val="605E5C"/>
      <w:shd w:val="clear" w:color="auto" w:fill="E1DFDD"/>
    </w:rPr>
  </w:style>
  <w:style w:type="paragraph" w:styleId="TOC1">
    <w:name w:val="toc 1"/>
    <w:basedOn w:val="Normal"/>
    <w:next w:val="Normal"/>
    <w:autoRedefine/>
    <w:uiPriority w:val="39"/>
    <w:unhideWhenUsed/>
    <w:rsid w:val="00B6302A"/>
    <w:pPr>
      <w:spacing w:after="100"/>
    </w:pPr>
  </w:style>
  <w:style w:type="paragraph" w:styleId="TOC2">
    <w:name w:val="toc 2"/>
    <w:basedOn w:val="Normal"/>
    <w:next w:val="Normal"/>
    <w:autoRedefine/>
    <w:uiPriority w:val="39"/>
    <w:unhideWhenUsed/>
    <w:rsid w:val="00B6302A"/>
    <w:pPr>
      <w:spacing w:after="100"/>
      <w:ind w:left="200"/>
    </w:pPr>
  </w:style>
  <w:style w:type="paragraph" w:styleId="TOC3">
    <w:name w:val="toc 3"/>
    <w:basedOn w:val="Normal"/>
    <w:next w:val="Normal"/>
    <w:autoRedefine/>
    <w:uiPriority w:val="39"/>
    <w:unhideWhenUsed/>
    <w:rsid w:val="00B6302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476">
      <w:bodyDiv w:val="1"/>
      <w:marLeft w:val="0"/>
      <w:marRight w:val="0"/>
      <w:marTop w:val="0"/>
      <w:marBottom w:val="0"/>
      <w:divBdr>
        <w:top w:val="none" w:sz="0" w:space="0" w:color="auto"/>
        <w:left w:val="none" w:sz="0" w:space="0" w:color="auto"/>
        <w:bottom w:val="none" w:sz="0" w:space="0" w:color="auto"/>
        <w:right w:val="none" w:sz="0" w:space="0" w:color="auto"/>
      </w:divBdr>
    </w:div>
    <w:div w:id="1044210620">
      <w:bodyDiv w:val="1"/>
      <w:marLeft w:val="0"/>
      <w:marRight w:val="0"/>
      <w:marTop w:val="0"/>
      <w:marBottom w:val="0"/>
      <w:divBdr>
        <w:top w:val="none" w:sz="0" w:space="0" w:color="auto"/>
        <w:left w:val="none" w:sz="0" w:space="0" w:color="auto"/>
        <w:bottom w:val="none" w:sz="0" w:space="0" w:color="auto"/>
        <w:right w:val="none" w:sz="0" w:space="0" w:color="auto"/>
      </w:divBdr>
    </w:div>
    <w:div w:id="1127311022">
      <w:bodyDiv w:val="1"/>
      <w:marLeft w:val="0"/>
      <w:marRight w:val="0"/>
      <w:marTop w:val="0"/>
      <w:marBottom w:val="0"/>
      <w:divBdr>
        <w:top w:val="none" w:sz="0" w:space="0" w:color="auto"/>
        <w:left w:val="none" w:sz="0" w:space="0" w:color="auto"/>
        <w:bottom w:val="none" w:sz="0" w:space="0" w:color="auto"/>
        <w:right w:val="none" w:sz="0" w:space="0" w:color="auto"/>
      </w:divBdr>
      <w:divsChild>
        <w:div w:id="745684134">
          <w:marLeft w:val="0"/>
          <w:marRight w:val="0"/>
          <w:marTop w:val="0"/>
          <w:marBottom w:val="0"/>
          <w:divBdr>
            <w:top w:val="none" w:sz="0" w:space="0" w:color="auto"/>
            <w:left w:val="none" w:sz="0" w:space="0" w:color="auto"/>
            <w:bottom w:val="none" w:sz="0" w:space="0" w:color="auto"/>
            <w:right w:val="none" w:sz="0" w:space="0" w:color="auto"/>
          </w:divBdr>
        </w:div>
      </w:divsChild>
    </w:div>
    <w:div w:id="1128158629">
      <w:bodyDiv w:val="1"/>
      <w:marLeft w:val="0"/>
      <w:marRight w:val="0"/>
      <w:marTop w:val="0"/>
      <w:marBottom w:val="0"/>
      <w:divBdr>
        <w:top w:val="none" w:sz="0" w:space="0" w:color="auto"/>
        <w:left w:val="none" w:sz="0" w:space="0" w:color="auto"/>
        <w:bottom w:val="none" w:sz="0" w:space="0" w:color="auto"/>
        <w:right w:val="none" w:sz="0" w:space="0" w:color="auto"/>
      </w:divBdr>
      <w:divsChild>
        <w:div w:id="54477934">
          <w:marLeft w:val="0"/>
          <w:marRight w:val="0"/>
          <w:marTop w:val="0"/>
          <w:marBottom w:val="0"/>
          <w:divBdr>
            <w:top w:val="none" w:sz="0" w:space="0" w:color="auto"/>
            <w:left w:val="none" w:sz="0" w:space="0" w:color="auto"/>
            <w:bottom w:val="none" w:sz="0" w:space="0" w:color="auto"/>
            <w:right w:val="none" w:sz="0" w:space="0" w:color="auto"/>
          </w:divBdr>
        </w:div>
      </w:divsChild>
    </w:div>
    <w:div w:id="1138107557">
      <w:bodyDiv w:val="1"/>
      <w:marLeft w:val="0"/>
      <w:marRight w:val="0"/>
      <w:marTop w:val="0"/>
      <w:marBottom w:val="0"/>
      <w:divBdr>
        <w:top w:val="none" w:sz="0" w:space="0" w:color="auto"/>
        <w:left w:val="none" w:sz="0" w:space="0" w:color="auto"/>
        <w:bottom w:val="none" w:sz="0" w:space="0" w:color="auto"/>
        <w:right w:val="none" w:sz="0" w:space="0" w:color="auto"/>
      </w:divBdr>
    </w:div>
    <w:div w:id="1145775949">
      <w:bodyDiv w:val="1"/>
      <w:marLeft w:val="0"/>
      <w:marRight w:val="0"/>
      <w:marTop w:val="0"/>
      <w:marBottom w:val="0"/>
      <w:divBdr>
        <w:top w:val="none" w:sz="0" w:space="0" w:color="auto"/>
        <w:left w:val="none" w:sz="0" w:space="0" w:color="auto"/>
        <w:bottom w:val="none" w:sz="0" w:space="0" w:color="auto"/>
        <w:right w:val="none" w:sz="0" w:space="0" w:color="auto"/>
      </w:divBdr>
      <w:divsChild>
        <w:div w:id="737361839">
          <w:marLeft w:val="0"/>
          <w:marRight w:val="0"/>
          <w:marTop w:val="0"/>
          <w:marBottom w:val="0"/>
          <w:divBdr>
            <w:top w:val="none" w:sz="0" w:space="0" w:color="auto"/>
            <w:left w:val="none" w:sz="0" w:space="0" w:color="auto"/>
            <w:bottom w:val="none" w:sz="0" w:space="0" w:color="auto"/>
            <w:right w:val="none" w:sz="0" w:space="0" w:color="auto"/>
          </w:divBdr>
        </w:div>
      </w:divsChild>
    </w:div>
    <w:div w:id="1191646227">
      <w:bodyDiv w:val="1"/>
      <w:marLeft w:val="0"/>
      <w:marRight w:val="0"/>
      <w:marTop w:val="0"/>
      <w:marBottom w:val="0"/>
      <w:divBdr>
        <w:top w:val="none" w:sz="0" w:space="0" w:color="auto"/>
        <w:left w:val="none" w:sz="0" w:space="0" w:color="auto"/>
        <w:bottom w:val="none" w:sz="0" w:space="0" w:color="auto"/>
        <w:right w:val="none" w:sz="0" w:space="0" w:color="auto"/>
      </w:divBdr>
    </w:div>
    <w:div w:id="1492522634">
      <w:bodyDiv w:val="1"/>
      <w:marLeft w:val="0"/>
      <w:marRight w:val="0"/>
      <w:marTop w:val="0"/>
      <w:marBottom w:val="0"/>
      <w:divBdr>
        <w:top w:val="none" w:sz="0" w:space="0" w:color="auto"/>
        <w:left w:val="none" w:sz="0" w:space="0" w:color="auto"/>
        <w:bottom w:val="none" w:sz="0" w:space="0" w:color="auto"/>
        <w:right w:val="none" w:sz="0" w:space="0" w:color="auto"/>
      </w:divBdr>
      <w:divsChild>
        <w:div w:id="321003728">
          <w:marLeft w:val="0"/>
          <w:marRight w:val="0"/>
          <w:marTop w:val="0"/>
          <w:marBottom w:val="0"/>
          <w:divBdr>
            <w:top w:val="none" w:sz="0" w:space="0" w:color="auto"/>
            <w:left w:val="none" w:sz="0" w:space="0" w:color="auto"/>
            <w:bottom w:val="none" w:sz="0" w:space="0" w:color="auto"/>
            <w:right w:val="none" w:sz="0" w:space="0" w:color="auto"/>
          </w:divBdr>
          <w:divsChild>
            <w:div w:id="1376586753">
              <w:marLeft w:val="0"/>
              <w:marRight w:val="0"/>
              <w:marTop w:val="0"/>
              <w:marBottom w:val="0"/>
              <w:divBdr>
                <w:top w:val="none" w:sz="0" w:space="0" w:color="auto"/>
                <w:left w:val="none" w:sz="0" w:space="0" w:color="auto"/>
                <w:bottom w:val="none" w:sz="0" w:space="0" w:color="auto"/>
                <w:right w:val="none" w:sz="0" w:space="0" w:color="auto"/>
              </w:divBdr>
              <w:divsChild>
                <w:div w:id="380903108">
                  <w:marLeft w:val="0"/>
                  <w:marRight w:val="0"/>
                  <w:marTop w:val="0"/>
                  <w:marBottom w:val="0"/>
                  <w:divBdr>
                    <w:top w:val="none" w:sz="0" w:space="0" w:color="auto"/>
                    <w:left w:val="none" w:sz="0" w:space="0" w:color="auto"/>
                    <w:bottom w:val="none" w:sz="0" w:space="0" w:color="auto"/>
                    <w:right w:val="none" w:sz="0" w:space="0" w:color="auto"/>
                  </w:divBdr>
                  <w:divsChild>
                    <w:div w:id="1298219780">
                      <w:marLeft w:val="0"/>
                      <w:marRight w:val="0"/>
                      <w:marTop w:val="0"/>
                      <w:marBottom w:val="0"/>
                      <w:divBdr>
                        <w:top w:val="none" w:sz="0" w:space="0" w:color="auto"/>
                        <w:left w:val="none" w:sz="0" w:space="0" w:color="auto"/>
                        <w:bottom w:val="none" w:sz="0" w:space="0" w:color="auto"/>
                        <w:right w:val="none" w:sz="0" w:space="0" w:color="auto"/>
                      </w:divBdr>
                      <w:divsChild>
                        <w:div w:id="1735661021">
                          <w:marLeft w:val="0"/>
                          <w:marRight w:val="0"/>
                          <w:marTop w:val="0"/>
                          <w:marBottom w:val="0"/>
                          <w:divBdr>
                            <w:top w:val="none" w:sz="0" w:space="0" w:color="auto"/>
                            <w:left w:val="none" w:sz="0" w:space="0" w:color="auto"/>
                            <w:bottom w:val="none" w:sz="0" w:space="0" w:color="auto"/>
                            <w:right w:val="none" w:sz="0" w:space="0" w:color="auto"/>
                          </w:divBdr>
                          <w:divsChild>
                            <w:div w:id="1009409844">
                              <w:marLeft w:val="0"/>
                              <w:marRight w:val="0"/>
                              <w:marTop w:val="0"/>
                              <w:marBottom w:val="0"/>
                              <w:divBdr>
                                <w:top w:val="none" w:sz="0" w:space="0" w:color="auto"/>
                                <w:left w:val="none" w:sz="0" w:space="0" w:color="auto"/>
                                <w:bottom w:val="none" w:sz="0" w:space="0" w:color="auto"/>
                                <w:right w:val="none" w:sz="0" w:space="0" w:color="auto"/>
                              </w:divBdr>
                              <w:divsChild>
                                <w:div w:id="2033988193">
                                  <w:marLeft w:val="0"/>
                                  <w:marRight w:val="0"/>
                                  <w:marTop w:val="0"/>
                                  <w:marBottom w:val="0"/>
                                  <w:divBdr>
                                    <w:top w:val="none" w:sz="0" w:space="0" w:color="auto"/>
                                    <w:left w:val="none" w:sz="0" w:space="0" w:color="auto"/>
                                    <w:bottom w:val="none" w:sz="0" w:space="0" w:color="auto"/>
                                    <w:right w:val="none" w:sz="0" w:space="0" w:color="auto"/>
                                  </w:divBdr>
                                  <w:divsChild>
                                    <w:div w:id="1663970554">
                                      <w:marLeft w:val="0"/>
                                      <w:marRight w:val="0"/>
                                      <w:marTop w:val="0"/>
                                      <w:marBottom w:val="0"/>
                                      <w:divBdr>
                                        <w:top w:val="none" w:sz="0" w:space="0" w:color="auto"/>
                                        <w:left w:val="none" w:sz="0" w:space="0" w:color="auto"/>
                                        <w:bottom w:val="none" w:sz="0" w:space="0" w:color="auto"/>
                                        <w:right w:val="none" w:sz="0" w:space="0" w:color="auto"/>
                                      </w:divBdr>
                                      <w:divsChild>
                                        <w:div w:id="1627467665">
                                          <w:marLeft w:val="0"/>
                                          <w:marRight w:val="0"/>
                                          <w:marTop w:val="0"/>
                                          <w:marBottom w:val="0"/>
                                          <w:divBdr>
                                            <w:top w:val="none" w:sz="0" w:space="0" w:color="auto"/>
                                            <w:left w:val="none" w:sz="0" w:space="0" w:color="auto"/>
                                            <w:bottom w:val="none" w:sz="0" w:space="0" w:color="auto"/>
                                            <w:right w:val="none" w:sz="0" w:space="0" w:color="auto"/>
                                          </w:divBdr>
                                          <w:divsChild>
                                            <w:div w:id="1026835203">
                                              <w:marLeft w:val="0"/>
                                              <w:marRight w:val="0"/>
                                              <w:marTop w:val="0"/>
                                              <w:marBottom w:val="495"/>
                                              <w:divBdr>
                                                <w:top w:val="none" w:sz="0" w:space="0" w:color="auto"/>
                                                <w:left w:val="none" w:sz="0" w:space="0" w:color="auto"/>
                                                <w:bottom w:val="none" w:sz="0" w:space="0" w:color="auto"/>
                                                <w:right w:val="none" w:sz="0" w:space="0" w:color="auto"/>
                                              </w:divBdr>
                                              <w:divsChild>
                                                <w:div w:id="137812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8619921">
      <w:bodyDiv w:val="1"/>
      <w:marLeft w:val="0"/>
      <w:marRight w:val="0"/>
      <w:marTop w:val="0"/>
      <w:marBottom w:val="0"/>
      <w:divBdr>
        <w:top w:val="none" w:sz="0" w:space="0" w:color="auto"/>
        <w:left w:val="none" w:sz="0" w:space="0" w:color="auto"/>
        <w:bottom w:val="none" w:sz="0" w:space="0" w:color="auto"/>
        <w:right w:val="none" w:sz="0" w:space="0" w:color="auto"/>
      </w:divBdr>
      <w:divsChild>
        <w:div w:id="1983850334">
          <w:marLeft w:val="0"/>
          <w:marRight w:val="0"/>
          <w:marTop w:val="0"/>
          <w:marBottom w:val="0"/>
          <w:divBdr>
            <w:top w:val="none" w:sz="0" w:space="0" w:color="auto"/>
            <w:left w:val="none" w:sz="0" w:space="0" w:color="auto"/>
            <w:bottom w:val="none" w:sz="0" w:space="0" w:color="auto"/>
            <w:right w:val="none" w:sz="0" w:space="0" w:color="auto"/>
          </w:divBdr>
        </w:div>
      </w:divsChild>
    </w:div>
    <w:div w:id="168952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en/A/75/56" TargetMode="External"/><Relationship Id="rId18" Type="http://schemas.openxmlformats.org/officeDocument/2006/relationships/footer" Target="footer4.xml"/><Relationship Id="rId26" Type="http://schemas.openxmlformats.org/officeDocument/2006/relationships/hyperlink" Target="http://undocs.org/en/A/74/643" TargetMode="External"/><Relationship Id="rId39" Type="http://schemas.openxmlformats.org/officeDocument/2006/relationships/hyperlink" Target="https://undocs.org/en/CED/C/BRA/Q/1" TargetMode="External"/><Relationship Id="rId21" Type="http://schemas.openxmlformats.org/officeDocument/2006/relationships/header" Target="header6.xml"/><Relationship Id="rId34" Type="http://schemas.openxmlformats.org/officeDocument/2006/relationships/hyperlink" Target="https://undocs.org/en/CED/C/MNG/1" TargetMode="External"/><Relationship Id="rId42" Type="http://schemas.openxmlformats.org/officeDocument/2006/relationships/hyperlink" Target="http://undocs.org/en/CED/C/COL/AI/1" TargetMode="External"/><Relationship Id="rId47" Type="http://schemas.openxmlformats.org/officeDocument/2006/relationships/hyperlink" Target="http://undocs.org/en/CED/C/11/3" TargetMode="External"/><Relationship Id="rId50" Type="http://schemas.openxmlformats.org/officeDocument/2006/relationships/hyperlink" Target="http://undocs.org/en/CED/C/14/2" TargetMode="External"/><Relationship Id="rId55"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hyperlink" Target="http://undocs.org/en/CED/C/7" TargetMode="External"/><Relationship Id="rId33" Type="http://schemas.openxmlformats.org/officeDocument/2006/relationships/hyperlink" Target="https://undocs.org/en/CED/C/SVK/CO/1" TargetMode="External"/><Relationship Id="rId38" Type="http://schemas.openxmlformats.org/officeDocument/2006/relationships/hyperlink" Target="http://undocs.org/en/CED/C/NGA/QAR/1" TargetMode="External"/><Relationship Id="rId46" Type="http://schemas.openxmlformats.org/officeDocument/2006/relationships/hyperlink" Target="http://undocs.org/en/CED/C/URY/AI/1"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undocs.org/en/CED/C/10/D/1/2013" TargetMode="External"/><Relationship Id="rId41" Type="http://schemas.openxmlformats.org/officeDocument/2006/relationships/hyperlink" Target="http://undocs.org/en/CED/C/ARG/AI/1" TargetMode="External"/><Relationship Id="rId54" Type="http://schemas.openxmlformats.org/officeDocument/2006/relationships/hyperlink" Target="http://treaties.un.org/Pages/ViewDetails.aspx?src=TREATY&amp;mtdsg_no=IV-16&amp;chapter=4&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undocs.org/en/CED/C/17/1" TargetMode="External"/><Relationship Id="rId32" Type="http://schemas.openxmlformats.org/officeDocument/2006/relationships/hyperlink" Target="https://undocs.org/en/CED/C/BOL/CO/1%20" TargetMode="External"/><Relationship Id="rId37" Type="http://schemas.openxmlformats.org/officeDocument/2006/relationships/hyperlink" Target="https://undocs.org/en/CED/C/CHE/Q/1" TargetMode="External"/><Relationship Id="rId40" Type="http://schemas.openxmlformats.org/officeDocument/2006/relationships/hyperlink" Target="https://undocs.org/en/CED/C/PAN/Q/1" TargetMode="External"/><Relationship Id="rId45" Type="http://schemas.openxmlformats.org/officeDocument/2006/relationships/hyperlink" Target="http://undocs.org/en/CED/C/ESP/AI/1" TargetMode="External"/><Relationship Id="rId53" Type="http://schemas.openxmlformats.org/officeDocument/2006/relationships/hyperlink" Target="http://undocs.org/en/CCPR/C/SR.3654" TargetMode="External"/><Relationship Id="rId58"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hyperlink" Target="http://undocs.org/en/CED/C/17/2" TargetMode="External"/><Relationship Id="rId36" Type="http://schemas.openxmlformats.org/officeDocument/2006/relationships/hyperlink" Target="https://undocs.org/en/CED/C/MNG/Q/1" TargetMode="External"/><Relationship Id="rId49" Type="http://schemas.openxmlformats.org/officeDocument/2006/relationships/hyperlink" Target="http://undocs.org/en/CED/C/13/3" TargetMode="External"/><Relationship Id="rId57"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s://undocs.org/en/CED/C/SVK/1" TargetMode="External"/><Relationship Id="rId44" Type="http://schemas.openxmlformats.org/officeDocument/2006/relationships/hyperlink" Target="http://undocs.org/en/CED/C/IRQ/AI/1" TargetMode="External"/><Relationship Id="rId52" Type="http://schemas.openxmlformats.org/officeDocument/2006/relationships/hyperlink" Target="http://undocs.org/en/CED/C/16/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footer" Target="footer6.xml"/><Relationship Id="rId27" Type="http://schemas.openxmlformats.org/officeDocument/2006/relationships/hyperlink" Target="http://www.ohchr.org/EN/HRBodies/CED/Pages/Membership.aspx" TargetMode="External"/><Relationship Id="rId30" Type="http://schemas.openxmlformats.org/officeDocument/2006/relationships/hyperlink" Target="https://undocs.org/en/CED/C/BOL/1" TargetMode="External"/><Relationship Id="rId35" Type="http://schemas.openxmlformats.org/officeDocument/2006/relationships/hyperlink" Target="https://undocs.org/en/CED/C/CHE/1" TargetMode="External"/><Relationship Id="rId43" Type="http://schemas.openxmlformats.org/officeDocument/2006/relationships/hyperlink" Target="http://undocs.org/en/CED/C/FRA/AI/1" TargetMode="External"/><Relationship Id="rId48" Type="http://schemas.openxmlformats.org/officeDocument/2006/relationships/hyperlink" Target="http://undocs.org/en/CED/C/12/2" TargetMode="External"/><Relationship Id="rId56"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undocs.org/en/CED/C/15/3"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6&amp;chapter=4&amp;clang=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C100D-1F01-4B4A-821F-02485DD61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7430</Words>
  <Characters>42357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A/75/56</vt:lpstr>
    </vt:vector>
  </TitlesOfParts>
  <Company>CSD</Company>
  <LinksUpToDate>false</LinksUpToDate>
  <CharactersWithSpaces>49688</CharactersWithSpaces>
  <SharedDoc>false</SharedDoc>
  <HLinks>
    <vt:vector size="354" baseType="variant">
      <vt:variant>
        <vt:i4>1114204</vt:i4>
      </vt:variant>
      <vt:variant>
        <vt:i4>171</vt:i4>
      </vt:variant>
      <vt:variant>
        <vt:i4>0</vt:i4>
      </vt:variant>
      <vt:variant>
        <vt:i4>5</vt:i4>
      </vt:variant>
      <vt:variant>
        <vt:lpwstr>http://undocs.org/en/CED/C/1</vt:lpwstr>
      </vt:variant>
      <vt:variant>
        <vt:lpwstr/>
      </vt:variant>
      <vt:variant>
        <vt:i4>7405689</vt:i4>
      </vt:variant>
      <vt:variant>
        <vt:i4>168</vt:i4>
      </vt:variant>
      <vt:variant>
        <vt:i4>0</vt:i4>
      </vt:variant>
      <vt:variant>
        <vt:i4>5</vt:i4>
      </vt:variant>
      <vt:variant>
        <vt:lpwstr>http://undocs.org/en/CED/C/SEN/CO/1</vt:lpwstr>
      </vt:variant>
      <vt:variant>
        <vt:lpwstr/>
      </vt:variant>
      <vt:variant>
        <vt:i4>4784220</vt:i4>
      </vt:variant>
      <vt:variant>
        <vt:i4>165</vt:i4>
      </vt:variant>
      <vt:variant>
        <vt:i4>0</vt:i4>
      </vt:variant>
      <vt:variant>
        <vt:i4>5</vt:i4>
      </vt:variant>
      <vt:variant>
        <vt:lpwstr>http://undocs.org/en/CED/C/SEN/Q/1/Add.1</vt:lpwstr>
      </vt:variant>
      <vt:variant>
        <vt:lpwstr/>
      </vt:variant>
      <vt:variant>
        <vt:i4>8192057</vt:i4>
      </vt:variant>
      <vt:variant>
        <vt:i4>162</vt:i4>
      </vt:variant>
      <vt:variant>
        <vt:i4>0</vt:i4>
      </vt:variant>
      <vt:variant>
        <vt:i4>5</vt:i4>
      </vt:variant>
      <vt:variant>
        <vt:lpwstr>http://undocs.org/en/CED/C/SEN/Q/1</vt:lpwstr>
      </vt:variant>
      <vt:variant>
        <vt:lpwstr/>
      </vt:variant>
      <vt:variant>
        <vt:i4>786454</vt:i4>
      </vt:variant>
      <vt:variant>
        <vt:i4>159</vt:i4>
      </vt:variant>
      <vt:variant>
        <vt:i4>0</vt:i4>
      </vt:variant>
      <vt:variant>
        <vt:i4>5</vt:i4>
      </vt:variant>
      <vt:variant>
        <vt:lpwstr>http://undocs.org/en/CED/C/SEN/1</vt:lpwstr>
      </vt:variant>
      <vt:variant>
        <vt:lpwstr/>
      </vt:variant>
      <vt:variant>
        <vt:i4>8126591</vt:i4>
      </vt:variant>
      <vt:variant>
        <vt:i4>156</vt:i4>
      </vt:variant>
      <vt:variant>
        <vt:i4>0</vt:i4>
      </vt:variant>
      <vt:variant>
        <vt:i4>5</vt:i4>
      </vt:variant>
      <vt:variant>
        <vt:lpwstr>http://undocs.org/en/CED/C/ECU/CO/1</vt:lpwstr>
      </vt:variant>
      <vt:variant>
        <vt:lpwstr/>
      </vt:variant>
      <vt:variant>
        <vt:i4>4456538</vt:i4>
      </vt:variant>
      <vt:variant>
        <vt:i4>153</vt:i4>
      </vt:variant>
      <vt:variant>
        <vt:i4>0</vt:i4>
      </vt:variant>
      <vt:variant>
        <vt:i4>5</vt:i4>
      </vt:variant>
      <vt:variant>
        <vt:lpwstr>http://undocs.org/en/CED/C/ECU/Q/1/Add.1</vt:lpwstr>
      </vt:variant>
      <vt:variant>
        <vt:lpwstr/>
      </vt:variant>
      <vt:variant>
        <vt:i4>7340095</vt:i4>
      </vt:variant>
      <vt:variant>
        <vt:i4>150</vt:i4>
      </vt:variant>
      <vt:variant>
        <vt:i4>0</vt:i4>
      </vt:variant>
      <vt:variant>
        <vt:i4>5</vt:i4>
      </vt:variant>
      <vt:variant>
        <vt:lpwstr>http://undocs.org/en/CED/C/ECU/Q/1</vt:lpwstr>
      </vt:variant>
      <vt:variant>
        <vt:lpwstr/>
      </vt:variant>
      <vt:variant>
        <vt:i4>65552</vt:i4>
      </vt:variant>
      <vt:variant>
        <vt:i4>147</vt:i4>
      </vt:variant>
      <vt:variant>
        <vt:i4>0</vt:i4>
      </vt:variant>
      <vt:variant>
        <vt:i4>5</vt:i4>
      </vt:variant>
      <vt:variant>
        <vt:lpwstr>http://undocs.org/en/CED/C/ECU/1</vt:lpwstr>
      </vt:variant>
      <vt:variant>
        <vt:lpwstr/>
      </vt:variant>
      <vt:variant>
        <vt:i4>7143529</vt:i4>
      </vt:variant>
      <vt:variant>
        <vt:i4>144</vt:i4>
      </vt:variant>
      <vt:variant>
        <vt:i4>0</vt:i4>
      </vt:variant>
      <vt:variant>
        <vt:i4>5</vt:i4>
      </vt:variant>
      <vt:variant>
        <vt:lpwstr>http://undocs.org/en/CED/C/CUB/CO/1</vt:lpwstr>
      </vt:variant>
      <vt:variant>
        <vt:lpwstr/>
      </vt:variant>
      <vt:variant>
        <vt:i4>5570636</vt:i4>
      </vt:variant>
      <vt:variant>
        <vt:i4>141</vt:i4>
      </vt:variant>
      <vt:variant>
        <vt:i4>0</vt:i4>
      </vt:variant>
      <vt:variant>
        <vt:i4>5</vt:i4>
      </vt:variant>
      <vt:variant>
        <vt:lpwstr>http://undocs.org/en/CED/C/CUB/Q/1/Add.1</vt:lpwstr>
      </vt:variant>
      <vt:variant>
        <vt:lpwstr/>
      </vt:variant>
      <vt:variant>
        <vt:i4>6357033</vt:i4>
      </vt:variant>
      <vt:variant>
        <vt:i4>138</vt:i4>
      </vt:variant>
      <vt:variant>
        <vt:i4>0</vt:i4>
      </vt:variant>
      <vt:variant>
        <vt:i4>5</vt:i4>
      </vt:variant>
      <vt:variant>
        <vt:lpwstr>http://undocs.org/en/CED/C/CUB/Q/1</vt:lpwstr>
      </vt:variant>
      <vt:variant>
        <vt:lpwstr/>
      </vt:variant>
      <vt:variant>
        <vt:i4>1048582</vt:i4>
      </vt:variant>
      <vt:variant>
        <vt:i4>135</vt:i4>
      </vt:variant>
      <vt:variant>
        <vt:i4>0</vt:i4>
      </vt:variant>
      <vt:variant>
        <vt:i4>5</vt:i4>
      </vt:variant>
      <vt:variant>
        <vt:lpwstr>http://undocs.org/en/CED/C/CUB/1</vt:lpwstr>
      </vt:variant>
      <vt:variant>
        <vt:lpwstr/>
      </vt:variant>
      <vt:variant>
        <vt:i4>6488179</vt:i4>
      </vt:variant>
      <vt:variant>
        <vt:i4>132</vt:i4>
      </vt:variant>
      <vt:variant>
        <vt:i4>0</vt:i4>
      </vt:variant>
      <vt:variant>
        <vt:i4>5</vt:i4>
      </vt:variant>
      <vt:variant>
        <vt:lpwstr>http://undocs.org/en/CED/C/COL/CO/1</vt:lpwstr>
      </vt:variant>
      <vt:variant>
        <vt:lpwstr/>
      </vt:variant>
      <vt:variant>
        <vt:i4>5963862</vt:i4>
      </vt:variant>
      <vt:variant>
        <vt:i4>129</vt:i4>
      </vt:variant>
      <vt:variant>
        <vt:i4>0</vt:i4>
      </vt:variant>
      <vt:variant>
        <vt:i4>5</vt:i4>
      </vt:variant>
      <vt:variant>
        <vt:lpwstr>http://undocs.org/en/CED/C/COL/Q/1/Add.1</vt:lpwstr>
      </vt:variant>
      <vt:variant>
        <vt:lpwstr/>
      </vt:variant>
      <vt:variant>
        <vt:i4>7274547</vt:i4>
      </vt:variant>
      <vt:variant>
        <vt:i4>126</vt:i4>
      </vt:variant>
      <vt:variant>
        <vt:i4>0</vt:i4>
      </vt:variant>
      <vt:variant>
        <vt:i4>5</vt:i4>
      </vt:variant>
      <vt:variant>
        <vt:lpwstr>http://undocs.org/en/CED/C/COL/Q/1</vt:lpwstr>
      </vt:variant>
      <vt:variant>
        <vt:lpwstr/>
      </vt:variant>
      <vt:variant>
        <vt:i4>1966108</vt:i4>
      </vt:variant>
      <vt:variant>
        <vt:i4>123</vt:i4>
      </vt:variant>
      <vt:variant>
        <vt:i4>0</vt:i4>
      </vt:variant>
      <vt:variant>
        <vt:i4>5</vt:i4>
      </vt:variant>
      <vt:variant>
        <vt:lpwstr>http://undocs.org/en/CED/C/COL/1</vt:lpwstr>
      </vt:variant>
      <vt:variant>
        <vt:lpwstr/>
      </vt:variant>
      <vt:variant>
        <vt:i4>6684789</vt:i4>
      </vt:variant>
      <vt:variant>
        <vt:i4>120</vt:i4>
      </vt:variant>
      <vt:variant>
        <vt:i4>0</vt:i4>
      </vt:variant>
      <vt:variant>
        <vt:i4>5</vt:i4>
      </vt:variant>
      <vt:variant>
        <vt:lpwstr>http://undocs.org/en/CED/C/BIH/CO/1</vt:lpwstr>
      </vt:variant>
      <vt:variant>
        <vt:lpwstr/>
      </vt:variant>
      <vt:variant>
        <vt:i4>6160464</vt:i4>
      </vt:variant>
      <vt:variant>
        <vt:i4>117</vt:i4>
      </vt:variant>
      <vt:variant>
        <vt:i4>0</vt:i4>
      </vt:variant>
      <vt:variant>
        <vt:i4>5</vt:i4>
      </vt:variant>
      <vt:variant>
        <vt:lpwstr>http://undocs.org/en/CED/C/BIH/Q/1/Add.1</vt:lpwstr>
      </vt:variant>
      <vt:variant>
        <vt:lpwstr/>
      </vt:variant>
      <vt:variant>
        <vt:i4>6946869</vt:i4>
      </vt:variant>
      <vt:variant>
        <vt:i4>114</vt:i4>
      </vt:variant>
      <vt:variant>
        <vt:i4>0</vt:i4>
      </vt:variant>
      <vt:variant>
        <vt:i4>5</vt:i4>
      </vt:variant>
      <vt:variant>
        <vt:lpwstr>http://undocs.org/en/CED/C/BIH/Q/1</vt:lpwstr>
      </vt:variant>
      <vt:variant>
        <vt:lpwstr/>
      </vt:variant>
      <vt:variant>
        <vt:i4>1769498</vt:i4>
      </vt:variant>
      <vt:variant>
        <vt:i4>111</vt:i4>
      </vt:variant>
      <vt:variant>
        <vt:i4>0</vt:i4>
      </vt:variant>
      <vt:variant>
        <vt:i4>5</vt:i4>
      </vt:variant>
      <vt:variant>
        <vt:lpwstr>http://undocs.org/en/CED/C/BIH/1</vt:lpwstr>
      </vt:variant>
      <vt:variant>
        <vt:lpwstr/>
      </vt:variant>
      <vt:variant>
        <vt:i4>4063342</vt:i4>
      </vt:variant>
      <vt:variant>
        <vt:i4>108</vt:i4>
      </vt:variant>
      <vt:variant>
        <vt:i4>0</vt:i4>
      </vt:variant>
      <vt:variant>
        <vt:i4>5</vt:i4>
      </vt:variant>
      <vt:variant>
        <vt:lpwstr>http://undocs.org/en/CED/C/12/1</vt:lpwstr>
      </vt:variant>
      <vt:variant>
        <vt:lpwstr/>
      </vt:variant>
      <vt:variant>
        <vt:i4>4063341</vt:i4>
      </vt:variant>
      <vt:variant>
        <vt:i4>105</vt:i4>
      </vt:variant>
      <vt:variant>
        <vt:i4>0</vt:i4>
      </vt:variant>
      <vt:variant>
        <vt:i4>5</vt:i4>
      </vt:variant>
      <vt:variant>
        <vt:lpwstr>http://undocs.org/en/CED/C/11/2</vt:lpwstr>
      </vt:variant>
      <vt:variant>
        <vt:lpwstr/>
      </vt:variant>
      <vt:variant>
        <vt:i4>4063341</vt:i4>
      </vt:variant>
      <vt:variant>
        <vt:i4>102</vt:i4>
      </vt:variant>
      <vt:variant>
        <vt:i4>0</vt:i4>
      </vt:variant>
      <vt:variant>
        <vt:i4>5</vt:i4>
      </vt:variant>
      <vt:variant>
        <vt:lpwstr>http://undocs.org/en/CED/C/11/1</vt:lpwstr>
      </vt:variant>
      <vt:variant>
        <vt:lpwstr/>
      </vt:variant>
      <vt:variant>
        <vt:i4>327703</vt:i4>
      </vt:variant>
      <vt:variant>
        <vt:i4>99</vt:i4>
      </vt:variant>
      <vt:variant>
        <vt:i4>0</vt:i4>
      </vt:variant>
      <vt:variant>
        <vt:i4>5</vt:i4>
      </vt:variant>
      <vt:variant>
        <vt:lpwstr>https://undocs.org/en/CED/CSP/2016/4</vt:lpwstr>
      </vt:variant>
      <vt:variant>
        <vt:lpwstr/>
      </vt:variant>
      <vt:variant>
        <vt:i4>7602278</vt:i4>
      </vt:variant>
      <vt:variant>
        <vt:i4>96</vt:i4>
      </vt:variant>
      <vt:variant>
        <vt:i4>0</vt:i4>
      </vt:variant>
      <vt:variant>
        <vt:i4>5</vt:i4>
      </vt:variant>
      <vt:variant>
        <vt:lpwstr>https://undocs.org/en/CED/CSP/SR.1</vt:lpwstr>
      </vt:variant>
      <vt:variant>
        <vt:lpwstr/>
      </vt:variant>
      <vt:variant>
        <vt:i4>327703</vt:i4>
      </vt:variant>
      <vt:variant>
        <vt:i4>93</vt:i4>
      </vt:variant>
      <vt:variant>
        <vt:i4>0</vt:i4>
      </vt:variant>
      <vt:variant>
        <vt:i4>5</vt:i4>
      </vt:variant>
      <vt:variant>
        <vt:lpwstr>https://undocs.org/en/CED/CSP/2016/4</vt:lpwstr>
      </vt:variant>
      <vt:variant>
        <vt:lpwstr/>
      </vt:variant>
      <vt:variant>
        <vt:i4>7602278</vt:i4>
      </vt:variant>
      <vt:variant>
        <vt:i4>90</vt:i4>
      </vt:variant>
      <vt:variant>
        <vt:i4>0</vt:i4>
      </vt:variant>
      <vt:variant>
        <vt:i4>5</vt:i4>
      </vt:variant>
      <vt:variant>
        <vt:lpwstr>https://undocs.org/en/CED/CSP/SR.1</vt:lpwstr>
      </vt:variant>
      <vt:variant>
        <vt:lpwstr/>
      </vt:variant>
      <vt:variant>
        <vt:i4>1114204</vt:i4>
      </vt:variant>
      <vt:variant>
        <vt:i4>87</vt:i4>
      </vt:variant>
      <vt:variant>
        <vt:i4>0</vt:i4>
      </vt:variant>
      <vt:variant>
        <vt:i4>5</vt:i4>
      </vt:variant>
      <vt:variant>
        <vt:lpwstr>http://undocs.org/en/CED/C/1</vt:lpwstr>
      </vt:variant>
      <vt:variant>
        <vt:lpwstr/>
      </vt:variant>
      <vt:variant>
        <vt:i4>6619197</vt:i4>
      </vt:variant>
      <vt:variant>
        <vt:i4>84</vt:i4>
      </vt:variant>
      <vt:variant>
        <vt:i4>0</vt:i4>
      </vt:variant>
      <vt:variant>
        <vt:i4>5</vt:i4>
      </vt:variant>
      <vt:variant>
        <vt:lpwstr>http://undocs.org/en/CED/C/GAB/Q/1</vt:lpwstr>
      </vt:variant>
      <vt:variant>
        <vt:lpwstr/>
      </vt:variant>
      <vt:variant>
        <vt:i4>7929896</vt:i4>
      </vt:variant>
      <vt:variant>
        <vt:i4>81</vt:i4>
      </vt:variant>
      <vt:variant>
        <vt:i4>0</vt:i4>
      </vt:variant>
      <vt:variant>
        <vt:i4>5</vt:i4>
      </vt:variant>
      <vt:variant>
        <vt:lpwstr>http://undocs.org/en/CED/C/LTU/Q/1</vt:lpwstr>
      </vt:variant>
      <vt:variant>
        <vt:lpwstr/>
      </vt:variant>
      <vt:variant>
        <vt:i4>8192057</vt:i4>
      </vt:variant>
      <vt:variant>
        <vt:i4>78</vt:i4>
      </vt:variant>
      <vt:variant>
        <vt:i4>0</vt:i4>
      </vt:variant>
      <vt:variant>
        <vt:i4>5</vt:i4>
      </vt:variant>
      <vt:variant>
        <vt:lpwstr>http://undocs.org/en/CED/C/SEN/Q/1</vt:lpwstr>
      </vt:variant>
      <vt:variant>
        <vt:lpwstr/>
      </vt:variant>
      <vt:variant>
        <vt:i4>7340095</vt:i4>
      </vt:variant>
      <vt:variant>
        <vt:i4>75</vt:i4>
      </vt:variant>
      <vt:variant>
        <vt:i4>0</vt:i4>
      </vt:variant>
      <vt:variant>
        <vt:i4>5</vt:i4>
      </vt:variant>
      <vt:variant>
        <vt:lpwstr>http://undocs.org/en/CED/C/ECU/Q/1</vt:lpwstr>
      </vt:variant>
      <vt:variant>
        <vt:lpwstr/>
      </vt:variant>
      <vt:variant>
        <vt:i4>6357033</vt:i4>
      </vt:variant>
      <vt:variant>
        <vt:i4>72</vt:i4>
      </vt:variant>
      <vt:variant>
        <vt:i4>0</vt:i4>
      </vt:variant>
      <vt:variant>
        <vt:i4>5</vt:i4>
      </vt:variant>
      <vt:variant>
        <vt:lpwstr>http://undocs.org/en/CED/C/CUB/Q/1</vt:lpwstr>
      </vt:variant>
      <vt:variant>
        <vt:lpwstr/>
      </vt:variant>
      <vt:variant>
        <vt:i4>1572954</vt:i4>
      </vt:variant>
      <vt:variant>
        <vt:i4>69</vt:i4>
      </vt:variant>
      <vt:variant>
        <vt:i4>0</vt:i4>
      </vt:variant>
      <vt:variant>
        <vt:i4>5</vt:i4>
      </vt:variant>
      <vt:variant>
        <vt:lpwstr>http://undocs.org/en/CED/C/SRB/CO/1/Add.1</vt:lpwstr>
      </vt:variant>
      <vt:variant>
        <vt:lpwstr/>
      </vt:variant>
      <vt:variant>
        <vt:i4>90</vt:i4>
      </vt:variant>
      <vt:variant>
        <vt:i4>66</vt:i4>
      </vt:variant>
      <vt:variant>
        <vt:i4>0</vt:i4>
      </vt:variant>
      <vt:variant>
        <vt:i4>5</vt:i4>
      </vt:variant>
      <vt:variant>
        <vt:lpwstr>http://undocs.org/en/CED/C/PRY/CO/1/Add.1</vt:lpwstr>
      </vt:variant>
      <vt:variant>
        <vt:lpwstr/>
      </vt:variant>
      <vt:variant>
        <vt:i4>196676</vt:i4>
      </vt:variant>
      <vt:variant>
        <vt:i4>63</vt:i4>
      </vt:variant>
      <vt:variant>
        <vt:i4>0</vt:i4>
      </vt:variant>
      <vt:variant>
        <vt:i4>5</vt:i4>
      </vt:variant>
      <vt:variant>
        <vt:lpwstr>http://undocs.org/en/CED/C/NLD/CO/1/Add.1</vt:lpwstr>
      </vt:variant>
      <vt:variant>
        <vt:lpwstr/>
      </vt:variant>
      <vt:variant>
        <vt:i4>1835085</vt:i4>
      </vt:variant>
      <vt:variant>
        <vt:i4>60</vt:i4>
      </vt:variant>
      <vt:variant>
        <vt:i4>0</vt:i4>
      </vt:variant>
      <vt:variant>
        <vt:i4>5</vt:i4>
      </vt:variant>
      <vt:variant>
        <vt:lpwstr>http://undocs.org/en/CED/C/MEX/CO/1/Add.1</vt:lpwstr>
      </vt:variant>
      <vt:variant>
        <vt:lpwstr/>
      </vt:variant>
      <vt:variant>
        <vt:i4>458829</vt:i4>
      </vt:variant>
      <vt:variant>
        <vt:i4>57</vt:i4>
      </vt:variant>
      <vt:variant>
        <vt:i4>0</vt:i4>
      </vt:variant>
      <vt:variant>
        <vt:i4>5</vt:i4>
      </vt:variant>
      <vt:variant>
        <vt:lpwstr>http://undocs.org/en/CED/C/BEL/CO/1/Add.1</vt:lpwstr>
      </vt:variant>
      <vt:variant>
        <vt:lpwstr/>
      </vt:variant>
      <vt:variant>
        <vt:i4>327770</vt:i4>
      </vt:variant>
      <vt:variant>
        <vt:i4>54</vt:i4>
      </vt:variant>
      <vt:variant>
        <vt:i4>0</vt:i4>
      </vt:variant>
      <vt:variant>
        <vt:i4>5</vt:i4>
      </vt:variant>
      <vt:variant>
        <vt:lpwstr>http://undocs.org/en/CED/C/ARM/CO/1/Add.1</vt:lpwstr>
      </vt:variant>
      <vt:variant>
        <vt:lpwstr/>
      </vt:variant>
      <vt:variant>
        <vt:i4>4063341</vt:i4>
      </vt:variant>
      <vt:variant>
        <vt:i4>51</vt:i4>
      </vt:variant>
      <vt:variant>
        <vt:i4>0</vt:i4>
      </vt:variant>
      <vt:variant>
        <vt:i4>5</vt:i4>
      </vt:variant>
      <vt:variant>
        <vt:lpwstr>http://undocs.org/en/CED/C/11/2</vt:lpwstr>
      </vt:variant>
      <vt:variant>
        <vt:lpwstr/>
      </vt:variant>
      <vt:variant>
        <vt:i4>8126591</vt:i4>
      </vt:variant>
      <vt:variant>
        <vt:i4>48</vt:i4>
      </vt:variant>
      <vt:variant>
        <vt:i4>0</vt:i4>
      </vt:variant>
      <vt:variant>
        <vt:i4>5</vt:i4>
      </vt:variant>
      <vt:variant>
        <vt:lpwstr>http://undocs.org/en/CED/C/ECU/CO/1</vt:lpwstr>
      </vt:variant>
      <vt:variant>
        <vt:lpwstr/>
      </vt:variant>
      <vt:variant>
        <vt:i4>7405689</vt:i4>
      </vt:variant>
      <vt:variant>
        <vt:i4>45</vt:i4>
      </vt:variant>
      <vt:variant>
        <vt:i4>0</vt:i4>
      </vt:variant>
      <vt:variant>
        <vt:i4>5</vt:i4>
      </vt:variant>
      <vt:variant>
        <vt:lpwstr>http://undocs.org/en/CED/C/SEN/CO/1</vt:lpwstr>
      </vt:variant>
      <vt:variant>
        <vt:lpwstr/>
      </vt:variant>
      <vt:variant>
        <vt:i4>7143529</vt:i4>
      </vt:variant>
      <vt:variant>
        <vt:i4>42</vt:i4>
      </vt:variant>
      <vt:variant>
        <vt:i4>0</vt:i4>
      </vt:variant>
      <vt:variant>
        <vt:i4>5</vt:i4>
      </vt:variant>
      <vt:variant>
        <vt:lpwstr>http://undocs.org/en/CED/C/CUB/CO/1</vt:lpwstr>
      </vt:variant>
      <vt:variant>
        <vt:lpwstr/>
      </vt:variant>
      <vt:variant>
        <vt:i4>65552</vt:i4>
      </vt:variant>
      <vt:variant>
        <vt:i4>39</vt:i4>
      </vt:variant>
      <vt:variant>
        <vt:i4>0</vt:i4>
      </vt:variant>
      <vt:variant>
        <vt:i4>5</vt:i4>
      </vt:variant>
      <vt:variant>
        <vt:lpwstr>http://undocs.org/en/CED/C/ECU/1</vt:lpwstr>
      </vt:variant>
      <vt:variant>
        <vt:lpwstr/>
      </vt:variant>
      <vt:variant>
        <vt:i4>786454</vt:i4>
      </vt:variant>
      <vt:variant>
        <vt:i4>36</vt:i4>
      </vt:variant>
      <vt:variant>
        <vt:i4>0</vt:i4>
      </vt:variant>
      <vt:variant>
        <vt:i4>5</vt:i4>
      </vt:variant>
      <vt:variant>
        <vt:lpwstr>http://undocs.org/en/CED/C/SEN/1</vt:lpwstr>
      </vt:variant>
      <vt:variant>
        <vt:lpwstr/>
      </vt:variant>
      <vt:variant>
        <vt:i4>1048582</vt:i4>
      </vt:variant>
      <vt:variant>
        <vt:i4>33</vt:i4>
      </vt:variant>
      <vt:variant>
        <vt:i4>0</vt:i4>
      </vt:variant>
      <vt:variant>
        <vt:i4>5</vt:i4>
      </vt:variant>
      <vt:variant>
        <vt:lpwstr>http://undocs.org/en/CED/C/CUB/1</vt:lpwstr>
      </vt:variant>
      <vt:variant>
        <vt:lpwstr/>
      </vt:variant>
      <vt:variant>
        <vt:i4>6488179</vt:i4>
      </vt:variant>
      <vt:variant>
        <vt:i4>30</vt:i4>
      </vt:variant>
      <vt:variant>
        <vt:i4>0</vt:i4>
      </vt:variant>
      <vt:variant>
        <vt:i4>5</vt:i4>
      </vt:variant>
      <vt:variant>
        <vt:lpwstr>http://undocs.org/en/CED/C/COL/CO/1</vt:lpwstr>
      </vt:variant>
      <vt:variant>
        <vt:lpwstr/>
      </vt:variant>
      <vt:variant>
        <vt:i4>6684789</vt:i4>
      </vt:variant>
      <vt:variant>
        <vt:i4>27</vt:i4>
      </vt:variant>
      <vt:variant>
        <vt:i4>0</vt:i4>
      </vt:variant>
      <vt:variant>
        <vt:i4>5</vt:i4>
      </vt:variant>
      <vt:variant>
        <vt:lpwstr>http://undocs.org/en/CED/C/BIH/CO/1</vt:lpwstr>
      </vt:variant>
      <vt:variant>
        <vt:lpwstr/>
      </vt:variant>
      <vt:variant>
        <vt:i4>1966108</vt:i4>
      </vt:variant>
      <vt:variant>
        <vt:i4>24</vt:i4>
      </vt:variant>
      <vt:variant>
        <vt:i4>0</vt:i4>
      </vt:variant>
      <vt:variant>
        <vt:i4>5</vt:i4>
      </vt:variant>
      <vt:variant>
        <vt:lpwstr>http://undocs.org/en/CED/C/COL/1</vt:lpwstr>
      </vt:variant>
      <vt:variant>
        <vt:lpwstr/>
      </vt:variant>
      <vt:variant>
        <vt:i4>1769498</vt:i4>
      </vt:variant>
      <vt:variant>
        <vt:i4>21</vt:i4>
      </vt:variant>
      <vt:variant>
        <vt:i4>0</vt:i4>
      </vt:variant>
      <vt:variant>
        <vt:i4>5</vt:i4>
      </vt:variant>
      <vt:variant>
        <vt:lpwstr>http://undocs.org/en/CED/C/BIH/1</vt:lpwstr>
      </vt:variant>
      <vt:variant>
        <vt:lpwstr/>
      </vt:variant>
      <vt:variant>
        <vt:i4>655386</vt:i4>
      </vt:variant>
      <vt:variant>
        <vt:i4>18</vt:i4>
      </vt:variant>
      <vt:variant>
        <vt:i4>0</vt:i4>
      </vt:variant>
      <vt:variant>
        <vt:i4>5</vt:i4>
      </vt:variant>
      <vt:variant>
        <vt:lpwstr>http://undocs.org/en/A/69/56</vt:lpwstr>
      </vt:variant>
      <vt:variant>
        <vt:lpwstr/>
      </vt:variant>
      <vt:variant>
        <vt:i4>4063342</vt:i4>
      </vt:variant>
      <vt:variant>
        <vt:i4>15</vt:i4>
      </vt:variant>
      <vt:variant>
        <vt:i4>0</vt:i4>
      </vt:variant>
      <vt:variant>
        <vt:i4>5</vt:i4>
      </vt:variant>
      <vt:variant>
        <vt:lpwstr>http://undocs.org/en/CED/C/12/1</vt:lpwstr>
      </vt:variant>
      <vt:variant>
        <vt:lpwstr/>
      </vt:variant>
      <vt:variant>
        <vt:i4>4063341</vt:i4>
      </vt:variant>
      <vt:variant>
        <vt:i4>12</vt:i4>
      </vt:variant>
      <vt:variant>
        <vt:i4>0</vt:i4>
      </vt:variant>
      <vt:variant>
        <vt:i4>5</vt:i4>
      </vt:variant>
      <vt:variant>
        <vt:lpwstr>http://undocs.org/en/CED/C/11/1</vt:lpwstr>
      </vt:variant>
      <vt:variant>
        <vt:lpwstr/>
      </vt:variant>
      <vt:variant>
        <vt:i4>720913</vt:i4>
      </vt:variant>
      <vt:variant>
        <vt:i4>9</vt:i4>
      </vt:variant>
      <vt:variant>
        <vt:i4>0</vt:i4>
      </vt:variant>
      <vt:variant>
        <vt:i4>5</vt:i4>
      </vt:variant>
      <vt:variant>
        <vt:lpwstr>http://undocs.org/en/A/72/56</vt:lpwstr>
      </vt:variant>
      <vt:variant>
        <vt:lpwstr/>
      </vt:variant>
      <vt:variant>
        <vt:i4>720913</vt:i4>
      </vt:variant>
      <vt:variant>
        <vt:i4>6</vt:i4>
      </vt:variant>
      <vt:variant>
        <vt:i4>0</vt:i4>
      </vt:variant>
      <vt:variant>
        <vt:i4>5</vt:i4>
      </vt:variant>
      <vt:variant>
        <vt:lpwstr>http://undocs.org/en/A/72/56</vt:lpwstr>
      </vt:variant>
      <vt:variant>
        <vt:lpwstr/>
      </vt:variant>
      <vt:variant>
        <vt:i4>720913</vt:i4>
      </vt:variant>
      <vt:variant>
        <vt:i4>3</vt:i4>
      </vt:variant>
      <vt:variant>
        <vt:i4>0</vt:i4>
      </vt:variant>
      <vt:variant>
        <vt:i4>5</vt:i4>
      </vt:variant>
      <vt:variant>
        <vt:lpwstr>http://undocs.org/en/A/72/56</vt:lpwstr>
      </vt:variant>
      <vt:variant>
        <vt:lpwstr/>
      </vt:variant>
      <vt:variant>
        <vt:i4>720913</vt:i4>
      </vt:variant>
      <vt:variant>
        <vt:i4>0</vt:i4>
      </vt:variant>
      <vt:variant>
        <vt:i4>0</vt:i4>
      </vt:variant>
      <vt:variant>
        <vt:i4>5</vt:i4>
      </vt:variant>
      <vt:variant>
        <vt:lpwstr>http://undocs.org/en/A/72/56</vt:lpwstr>
      </vt:variant>
      <vt:variant>
        <vt:lpwstr/>
      </vt:variant>
      <vt:variant>
        <vt:i4>5898250</vt:i4>
      </vt:variant>
      <vt:variant>
        <vt:i4>0</vt:i4>
      </vt:variant>
      <vt:variant>
        <vt:i4>0</vt:i4>
      </vt:variant>
      <vt:variant>
        <vt:i4>5</vt:i4>
      </vt:variant>
      <vt:variant>
        <vt:lpwstr>http://www.ohchr.org/en/NewsEvents/Pages/DisplayNews.aspx?NewsID=20416&amp;LangID=E%23%20sthash.qQEsbAUj.dpuf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A/75/56</dc:title>
  <dc:subject>2007569</dc:subject>
  <dc:creator>pae</dc:creator>
  <cp:keywords/>
  <dc:description>final</dc:description>
  <cp:lastModifiedBy>Emmanuelle Patricia FAVRE</cp:lastModifiedBy>
  <cp:revision>2</cp:revision>
  <cp:lastPrinted>2020-06-24T13:35:00Z</cp:lastPrinted>
  <dcterms:created xsi:type="dcterms:W3CDTF">2020-07-16T13:14:00Z</dcterms:created>
  <dcterms:modified xsi:type="dcterms:W3CDTF">2020-07-16T13:14:00Z</dcterms:modified>
</cp:coreProperties>
</file>