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2424EB">
        <w:trPr>
          <w:trHeight w:hRule="exact" w:val="851"/>
        </w:trPr>
        <w:tc>
          <w:tcPr>
            <w:tcW w:w="1280" w:type="dxa"/>
            <w:tcBorders>
              <w:bottom w:val="single" w:sz="4" w:space="0" w:color="auto"/>
            </w:tcBorders>
          </w:tcPr>
          <w:p w:rsidR="00A0008A" w:rsidRPr="00F124C6" w:rsidRDefault="00A0008A" w:rsidP="002424EB">
            <w:pPr>
              <w:pStyle w:val="H23GC"/>
            </w:pPr>
          </w:p>
        </w:tc>
        <w:tc>
          <w:tcPr>
            <w:tcW w:w="2273" w:type="dxa"/>
            <w:tcBorders>
              <w:bottom w:val="single" w:sz="4" w:space="0" w:color="auto"/>
            </w:tcBorders>
            <w:vAlign w:val="bottom"/>
          </w:tcPr>
          <w:p w:rsidR="00A0008A" w:rsidRPr="0050687F" w:rsidRDefault="00A0008A" w:rsidP="002424EB">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E208F9" w:rsidRDefault="00E208F9" w:rsidP="002424EB">
            <w:pPr>
              <w:spacing w:line="240" w:lineRule="atLeast"/>
              <w:jc w:val="right"/>
              <w:rPr>
                <w:sz w:val="20"/>
                <w:szCs w:val="21"/>
              </w:rPr>
            </w:pPr>
            <w:proofErr w:type="spellStart"/>
            <w:r>
              <w:rPr>
                <w:sz w:val="40"/>
                <w:szCs w:val="21"/>
              </w:rPr>
              <w:t>CED</w:t>
            </w:r>
            <w:proofErr w:type="spellEnd"/>
            <w:r>
              <w:rPr>
                <w:sz w:val="20"/>
                <w:szCs w:val="21"/>
              </w:rPr>
              <w:t>/C/</w:t>
            </w:r>
            <w:proofErr w:type="spellStart"/>
            <w:r>
              <w:rPr>
                <w:sz w:val="20"/>
                <w:szCs w:val="21"/>
              </w:rPr>
              <w:t>KAZ</w:t>
            </w:r>
            <w:proofErr w:type="spellEnd"/>
            <w:r>
              <w:rPr>
                <w:sz w:val="20"/>
                <w:szCs w:val="21"/>
              </w:rPr>
              <w:t>/CO/1</w:t>
            </w:r>
          </w:p>
        </w:tc>
      </w:tr>
      <w:tr w:rsidR="00A0008A" w:rsidRPr="00F124C6" w:rsidTr="002424EB">
        <w:trPr>
          <w:trHeight w:hRule="exact" w:val="2835"/>
        </w:trPr>
        <w:tc>
          <w:tcPr>
            <w:tcW w:w="1280" w:type="dxa"/>
            <w:tcBorders>
              <w:top w:val="single" w:sz="4" w:space="0" w:color="auto"/>
              <w:bottom w:val="single" w:sz="12" w:space="0" w:color="auto"/>
            </w:tcBorders>
          </w:tcPr>
          <w:p w:rsidR="00A0008A" w:rsidRPr="00F124C6" w:rsidRDefault="00A0008A" w:rsidP="002424EB">
            <w:pPr>
              <w:spacing w:line="120" w:lineRule="atLeast"/>
              <w:rPr>
                <w:sz w:val="10"/>
                <w:szCs w:val="10"/>
              </w:rPr>
            </w:pPr>
          </w:p>
          <w:p w:rsidR="00A0008A" w:rsidRPr="00F124C6" w:rsidRDefault="00A0008A" w:rsidP="002424EB">
            <w:pPr>
              <w:spacing w:line="120" w:lineRule="atLeast"/>
              <w:rPr>
                <w:sz w:val="10"/>
                <w:szCs w:val="10"/>
              </w:rPr>
            </w:pPr>
            <w:r>
              <w:rPr>
                <w:rFonts w:hint="eastAsia"/>
                <w:noProof/>
                <w:snapToGrid/>
              </w:rPr>
              <w:drawing>
                <wp:inline distT="0" distB="0" distL="0" distR="0" wp14:anchorId="6059E5DE" wp14:editId="73D44FA2">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2424EB">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E208F9" w:rsidP="002424EB">
            <w:pPr>
              <w:spacing w:before="240" w:line="240" w:lineRule="atLeast"/>
              <w:rPr>
                <w:sz w:val="20"/>
              </w:rPr>
            </w:pPr>
            <w:r>
              <w:rPr>
                <w:sz w:val="20"/>
              </w:rPr>
              <w:t>Distr.: General</w:t>
            </w:r>
          </w:p>
          <w:p w:rsidR="00A0008A" w:rsidRPr="00F124C6" w:rsidRDefault="00454BF3" w:rsidP="002424EB">
            <w:pPr>
              <w:spacing w:line="240" w:lineRule="atLeast"/>
              <w:rPr>
                <w:sz w:val="20"/>
              </w:rPr>
            </w:pPr>
            <w:r>
              <w:rPr>
                <w:sz w:val="20"/>
              </w:rPr>
              <w:t xml:space="preserve">26 </w:t>
            </w:r>
            <w:r w:rsidRPr="00454BF3">
              <w:rPr>
                <w:sz w:val="20"/>
              </w:rPr>
              <w:t>May</w:t>
            </w:r>
            <w:r w:rsidR="00466071">
              <w:rPr>
                <w:sz w:val="20"/>
              </w:rPr>
              <w:t xml:space="preserve"> </w:t>
            </w:r>
            <w:r w:rsidR="00E208F9">
              <w:rPr>
                <w:sz w:val="20"/>
              </w:rPr>
              <w:t>2</w:t>
            </w:r>
            <w:r w:rsidR="00466071">
              <w:rPr>
                <w:sz w:val="20"/>
              </w:rPr>
              <w:t>0</w:t>
            </w:r>
            <w:r w:rsidR="00E208F9">
              <w:rPr>
                <w:sz w:val="20"/>
              </w:rPr>
              <w:t>1</w:t>
            </w:r>
            <w:r w:rsidR="00E208F9">
              <w:rPr>
                <w:rFonts w:hint="eastAsia"/>
                <w:sz w:val="20"/>
              </w:rPr>
              <w:t>6</w:t>
            </w:r>
          </w:p>
          <w:p w:rsidR="00A0008A" w:rsidRPr="00F124C6" w:rsidRDefault="00E208F9" w:rsidP="002424EB">
            <w:pPr>
              <w:spacing w:line="240" w:lineRule="atLeast"/>
              <w:rPr>
                <w:sz w:val="20"/>
              </w:rPr>
            </w:pPr>
            <w:r>
              <w:rPr>
                <w:sz w:val="20"/>
              </w:rPr>
              <w:t>Chinese</w:t>
            </w:r>
            <w:r w:rsidR="00A0008A" w:rsidRPr="00F124C6">
              <w:rPr>
                <w:sz w:val="20"/>
              </w:rPr>
              <w:t xml:space="preserve"> </w:t>
            </w:r>
          </w:p>
          <w:p w:rsidR="00A0008A" w:rsidRPr="00F124C6" w:rsidRDefault="00E208F9" w:rsidP="002424EB">
            <w:pPr>
              <w:spacing w:line="240" w:lineRule="atLeast"/>
            </w:pPr>
            <w:r>
              <w:rPr>
                <w:sz w:val="20"/>
              </w:rPr>
              <w:t>Original: English</w:t>
            </w:r>
          </w:p>
        </w:tc>
      </w:tr>
    </w:tbl>
    <w:p w:rsidR="00E208F9" w:rsidRPr="00EF12DB" w:rsidRDefault="00E208F9" w:rsidP="00A0008A">
      <w:pPr>
        <w:spacing w:before="120"/>
        <w:rPr>
          <w:rFonts w:eastAsia="黑体"/>
          <w:spacing w:val="10"/>
          <w:sz w:val="24"/>
          <w:szCs w:val="24"/>
        </w:rPr>
      </w:pPr>
      <w:r w:rsidRPr="00EF12DB">
        <w:rPr>
          <w:rFonts w:eastAsia="黑体" w:hint="eastAsia"/>
          <w:spacing w:val="10"/>
          <w:sz w:val="24"/>
          <w:szCs w:val="24"/>
        </w:rPr>
        <w:t>强迫失踪问题委员会</w:t>
      </w:r>
    </w:p>
    <w:p w:rsidR="00E208F9" w:rsidRPr="00E45DBE" w:rsidRDefault="00E208F9" w:rsidP="009E356A">
      <w:pPr>
        <w:pStyle w:val="SingleTxtGC"/>
      </w:pPr>
    </w:p>
    <w:p w:rsidR="00E208F9" w:rsidRPr="00A270B4" w:rsidRDefault="00E208F9" w:rsidP="00E208F9">
      <w:pPr>
        <w:pStyle w:val="HChGC"/>
      </w:pPr>
      <w:r w:rsidRPr="00E97EC9">
        <w:rPr>
          <w:sz w:val="32"/>
          <w:szCs w:val="32"/>
        </w:rPr>
        <w:tab/>
      </w:r>
      <w:r w:rsidRPr="00E208F9">
        <w:tab/>
      </w:r>
      <w:r w:rsidRPr="00E208F9">
        <w:rPr>
          <w:rFonts w:hint="eastAsia"/>
          <w:spacing w:val="-4"/>
        </w:rPr>
        <w:t>关于</w:t>
      </w:r>
      <w:r w:rsidRPr="00E208F9">
        <w:rPr>
          <w:spacing w:val="-4"/>
        </w:rPr>
        <w:t>哈萨克斯坦</w:t>
      </w:r>
      <w:r w:rsidRPr="00E208F9">
        <w:rPr>
          <w:rFonts w:hint="eastAsia"/>
          <w:spacing w:val="-4"/>
        </w:rPr>
        <w:t>根据《公约》第二十九条第一款提交的报告的</w:t>
      </w:r>
      <w:bookmarkStart w:id="0" w:name="_GoBack"/>
      <w:bookmarkEnd w:id="0"/>
      <w:r w:rsidRPr="00E208F9">
        <w:rPr>
          <w:rFonts w:hint="eastAsia"/>
        </w:rPr>
        <w:t>结论性意见</w:t>
      </w:r>
      <w:r w:rsidRPr="00A270B4">
        <w:rPr>
          <w:rStyle w:val="a7"/>
          <w:rFonts w:eastAsia="黑体"/>
          <w:sz w:val="28"/>
          <w:vertAlign w:val="baseline"/>
        </w:rPr>
        <w:footnoteReference w:customMarkFollows="1" w:id="2"/>
        <w:t>*</w:t>
      </w:r>
    </w:p>
    <w:p w:rsidR="00E208F9" w:rsidRDefault="00E208F9" w:rsidP="00E208F9">
      <w:pPr>
        <w:pStyle w:val="SingleTxtGC"/>
      </w:pPr>
      <w:r>
        <w:rPr>
          <w:rFonts w:hint="eastAsia"/>
        </w:rPr>
        <w:t>1.</w:t>
      </w:r>
      <w:r>
        <w:rPr>
          <w:rFonts w:hint="eastAsia"/>
        </w:rPr>
        <w:tab/>
      </w:r>
      <w:r>
        <w:rPr>
          <w:rFonts w:hint="eastAsia"/>
        </w:rPr>
        <w:t>强迫失踪问题委员会在</w:t>
      </w:r>
      <w:r>
        <w:rPr>
          <w:rFonts w:hint="eastAsia"/>
        </w:rPr>
        <w:t>2016</w:t>
      </w:r>
      <w:r>
        <w:rPr>
          <w:rFonts w:hint="eastAsia"/>
        </w:rPr>
        <w:t>年</w:t>
      </w:r>
      <w:r>
        <w:rPr>
          <w:rFonts w:hint="eastAsia"/>
        </w:rPr>
        <w:t>3</w:t>
      </w:r>
      <w:r>
        <w:rPr>
          <w:rFonts w:hint="eastAsia"/>
        </w:rPr>
        <w:t>月</w:t>
      </w:r>
      <w:r>
        <w:rPr>
          <w:rFonts w:hint="eastAsia"/>
        </w:rPr>
        <w:t>9</w:t>
      </w:r>
      <w:r>
        <w:rPr>
          <w:rFonts w:hint="eastAsia"/>
        </w:rPr>
        <w:t>日和</w:t>
      </w:r>
      <w:r>
        <w:rPr>
          <w:rFonts w:hint="eastAsia"/>
        </w:rPr>
        <w:t>10</w:t>
      </w:r>
      <w:r>
        <w:rPr>
          <w:rFonts w:hint="eastAsia"/>
        </w:rPr>
        <w:t>日举行的第</w:t>
      </w:r>
      <w:r>
        <w:rPr>
          <w:rFonts w:hint="eastAsia"/>
        </w:rPr>
        <w:t>162</w:t>
      </w:r>
      <w:r>
        <w:rPr>
          <w:rFonts w:hint="eastAsia"/>
        </w:rPr>
        <w:t>和第</w:t>
      </w:r>
      <w:r>
        <w:rPr>
          <w:rFonts w:hint="eastAsia"/>
        </w:rPr>
        <w:t>163</w:t>
      </w:r>
      <w:r>
        <w:rPr>
          <w:rFonts w:hint="eastAsia"/>
        </w:rPr>
        <w:t>次会议上</w:t>
      </w:r>
      <w:r>
        <w:rPr>
          <w:rFonts w:hint="eastAsia"/>
        </w:rPr>
        <w:t>(</w:t>
      </w:r>
      <w:proofErr w:type="spellStart"/>
      <w:r>
        <w:rPr>
          <w:rFonts w:hint="eastAsia"/>
        </w:rPr>
        <w:t>CED</w:t>
      </w:r>
      <w:proofErr w:type="spellEnd"/>
      <w:r>
        <w:rPr>
          <w:rFonts w:hint="eastAsia"/>
        </w:rPr>
        <w:t>/C/</w:t>
      </w:r>
      <w:proofErr w:type="spellStart"/>
      <w:r>
        <w:rPr>
          <w:rFonts w:hint="eastAsia"/>
        </w:rPr>
        <w:t>SR.162</w:t>
      </w:r>
      <w:proofErr w:type="spellEnd"/>
      <w:r>
        <w:rPr>
          <w:rFonts w:hint="eastAsia"/>
        </w:rPr>
        <w:t>和</w:t>
      </w:r>
      <w:r>
        <w:rPr>
          <w:rFonts w:hint="eastAsia"/>
        </w:rPr>
        <w:t>163)</w:t>
      </w:r>
      <w:r>
        <w:rPr>
          <w:rFonts w:hint="eastAsia"/>
        </w:rPr>
        <w:t>审议了哈萨克斯坦根据《公约》第二十九条第一款提交的报告</w:t>
      </w:r>
      <w:r>
        <w:rPr>
          <w:rFonts w:hint="eastAsia"/>
        </w:rPr>
        <w:t>(</w:t>
      </w:r>
      <w:proofErr w:type="spellStart"/>
      <w:r>
        <w:rPr>
          <w:rFonts w:hint="eastAsia"/>
        </w:rPr>
        <w:t>CED</w:t>
      </w:r>
      <w:proofErr w:type="spellEnd"/>
      <w:r>
        <w:rPr>
          <w:rFonts w:hint="eastAsia"/>
        </w:rPr>
        <w:t>/C/</w:t>
      </w:r>
      <w:proofErr w:type="spellStart"/>
      <w:r>
        <w:rPr>
          <w:rFonts w:hint="eastAsia"/>
        </w:rPr>
        <w:t>KAZ</w:t>
      </w:r>
      <w:proofErr w:type="spellEnd"/>
      <w:r>
        <w:rPr>
          <w:rFonts w:hint="eastAsia"/>
        </w:rPr>
        <w:t>/1)</w:t>
      </w:r>
      <w:r>
        <w:rPr>
          <w:rFonts w:hint="eastAsia"/>
        </w:rPr>
        <w:t>并在</w:t>
      </w:r>
      <w:r>
        <w:rPr>
          <w:rFonts w:hint="eastAsia"/>
        </w:rPr>
        <w:t>2016</w:t>
      </w:r>
      <w:r>
        <w:rPr>
          <w:rFonts w:hint="eastAsia"/>
        </w:rPr>
        <w:t>年</w:t>
      </w:r>
      <w:r>
        <w:rPr>
          <w:rFonts w:hint="eastAsia"/>
        </w:rPr>
        <w:t>3</w:t>
      </w:r>
      <w:r>
        <w:rPr>
          <w:rFonts w:hint="eastAsia"/>
        </w:rPr>
        <w:t>月</w:t>
      </w:r>
      <w:r>
        <w:rPr>
          <w:rFonts w:hint="eastAsia"/>
        </w:rPr>
        <w:t>16</w:t>
      </w:r>
      <w:r>
        <w:rPr>
          <w:rFonts w:hint="eastAsia"/>
        </w:rPr>
        <w:t>日举行的第</w:t>
      </w:r>
      <w:r>
        <w:rPr>
          <w:rFonts w:hint="eastAsia"/>
        </w:rPr>
        <w:t>172</w:t>
      </w:r>
      <w:r>
        <w:rPr>
          <w:rFonts w:hint="eastAsia"/>
        </w:rPr>
        <w:t>次会议上通过了本结论性意见。</w:t>
      </w:r>
    </w:p>
    <w:p w:rsidR="00E208F9" w:rsidRDefault="00E208F9" w:rsidP="00E208F9">
      <w:pPr>
        <w:pStyle w:val="H1GC"/>
      </w:pPr>
      <w:r>
        <w:rPr>
          <w:rFonts w:hint="eastAsia"/>
        </w:rPr>
        <w:tab/>
        <w:t>A.</w:t>
      </w:r>
      <w:r>
        <w:rPr>
          <w:rFonts w:hint="eastAsia"/>
        </w:rPr>
        <w:tab/>
      </w:r>
      <w:r>
        <w:rPr>
          <w:rFonts w:hint="eastAsia"/>
        </w:rPr>
        <w:t>导言</w:t>
      </w:r>
    </w:p>
    <w:p w:rsidR="00E208F9" w:rsidRDefault="00E208F9" w:rsidP="00E208F9">
      <w:pPr>
        <w:pStyle w:val="SingleTxtGC"/>
      </w:pPr>
      <w:r>
        <w:rPr>
          <w:rFonts w:hint="eastAsia"/>
        </w:rPr>
        <w:t>2.</w:t>
      </w:r>
      <w:r>
        <w:rPr>
          <w:rFonts w:hint="eastAsia"/>
        </w:rPr>
        <w:tab/>
      </w:r>
      <w:r>
        <w:rPr>
          <w:rFonts w:hint="eastAsia"/>
        </w:rPr>
        <w:t>委员会欢迎哈萨克斯坦根据《公约》第二十九条第一款提交的报告及报告所载资料。委员会赞赏与缔约国高级别代表团进行的关于为执行《公约》规定所采取措施的建设性对话。委员会还感谢缔约国对问题单</w:t>
      </w:r>
      <w:r>
        <w:rPr>
          <w:rFonts w:hint="eastAsia"/>
        </w:rPr>
        <w:t>(</w:t>
      </w:r>
      <w:proofErr w:type="spellStart"/>
      <w:r>
        <w:rPr>
          <w:rFonts w:hint="eastAsia"/>
        </w:rPr>
        <w:t>CED</w:t>
      </w:r>
      <w:proofErr w:type="spellEnd"/>
      <w:r>
        <w:rPr>
          <w:rFonts w:hint="eastAsia"/>
        </w:rPr>
        <w:t>/C/</w:t>
      </w:r>
      <w:proofErr w:type="spellStart"/>
      <w:r>
        <w:rPr>
          <w:rFonts w:hint="eastAsia"/>
        </w:rPr>
        <w:t>KAZ</w:t>
      </w:r>
      <w:proofErr w:type="spellEnd"/>
      <w:r>
        <w:rPr>
          <w:rFonts w:hint="eastAsia"/>
        </w:rPr>
        <w:t>/Q/1)</w:t>
      </w:r>
      <w:r>
        <w:rPr>
          <w:rFonts w:hint="eastAsia"/>
        </w:rPr>
        <w:t>作书面答复</w:t>
      </w:r>
      <w:r>
        <w:rPr>
          <w:rFonts w:hint="eastAsia"/>
        </w:rPr>
        <w:t>(</w:t>
      </w:r>
      <w:proofErr w:type="spellStart"/>
      <w:r>
        <w:rPr>
          <w:rFonts w:hint="eastAsia"/>
        </w:rPr>
        <w:t>CED</w:t>
      </w:r>
      <w:proofErr w:type="spellEnd"/>
      <w:r>
        <w:rPr>
          <w:rFonts w:hint="eastAsia"/>
        </w:rPr>
        <w:t>/C/</w:t>
      </w:r>
      <w:proofErr w:type="spellStart"/>
      <w:r>
        <w:rPr>
          <w:rFonts w:hint="eastAsia"/>
        </w:rPr>
        <w:t>KAZ</w:t>
      </w:r>
      <w:proofErr w:type="spellEnd"/>
      <w:r>
        <w:rPr>
          <w:rFonts w:hint="eastAsia"/>
        </w:rPr>
        <w:t>/Q/1/</w:t>
      </w:r>
      <w:proofErr w:type="spellStart"/>
      <w:r>
        <w:rPr>
          <w:rFonts w:hint="eastAsia"/>
        </w:rPr>
        <w:t>Add.1</w:t>
      </w:r>
      <w:proofErr w:type="spellEnd"/>
      <w:r>
        <w:rPr>
          <w:rFonts w:hint="eastAsia"/>
        </w:rPr>
        <w:t>)</w:t>
      </w:r>
      <w:r>
        <w:rPr>
          <w:rFonts w:hint="eastAsia"/>
        </w:rPr>
        <w:t>，并在对话期间通过代表团口头答复加以补充。</w:t>
      </w:r>
    </w:p>
    <w:p w:rsidR="00E208F9" w:rsidRDefault="00E208F9" w:rsidP="00E208F9">
      <w:pPr>
        <w:pStyle w:val="H1GC"/>
      </w:pPr>
      <w:r>
        <w:rPr>
          <w:rFonts w:hint="eastAsia"/>
        </w:rPr>
        <w:tab/>
        <w:t>B.</w:t>
      </w:r>
      <w:r>
        <w:rPr>
          <w:rFonts w:hint="eastAsia"/>
        </w:rPr>
        <w:tab/>
      </w:r>
      <w:r>
        <w:rPr>
          <w:rFonts w:hint="eastAsia"/>
        </w:rPr>
        <w:t>积极方面</w:t>
      </w:r>
    </w:p>
    <w:p w:rsidR="00E208F9" w:rsidRDefault="00E208F9" w:rsidP="00E208F9">
      <w:pPr>
        <w:pStyle w:val="SingleTxtGC"/>
      </w:pPr>
      <w:r>
        <w:rPr>
          <w:rFonts w:hint="eastAsia"/>
        </w:rPr>
        <w:t>3.</w:t>
      </w:r>
      <w:r>
        <w:rPr>
          <w:rFonts w:hint="eastAsia"/>
        </w:rPr>
        <w:tab/>
      </w:r>
      <w:r>
        <w:rPr>
          <w:rFonts w:hint="eastAsia"/>
        </w:rPr>
        <w:t>委员会称赞缔约国批准和加入了联合国几乎所有核心人权文书及这些公约的多数任择议定书。</w:t>
      </w:r>
    </w:p>
    <w:p w:rsidR="0075760A" w:rsidRDefault="0075760A">
      <w:pPr>
        <w:tabs>
          <w:tab w:val="clear" w:pos="431"/>
        </w:tabs>
        <w:overflowPunct/>
        <w:adjustRightInd/>
        <w:snapToGrid/>
        <w:spacing w:line="240" w:lineRule="auto"/>
        <w:jc w:val="left"/>
      </w:pPr>
      <w:r>
        <w:br w:type="page"/>
      </w:r>
    </w:p>
    <w:p w:rsidR="00E208F9" w:rsidRDefault="00E208F9" w:rsidP="00E208F9">
      <w:pPr>
        <w:pStyle w:val="SingleTxtGC"/>
      </w:pPr>
      <w:r>
        <w:rPr>
          <w:rFonts w:hint="eastAsia"/>
        </w:rPr>
        <w:lastRenderedPageBreak/>
        <w:t>4.</w:t>
      </w:r>
      <w:r>
        <w:rPr>
          <w:rFonts w:hint="eastAsia"/>
        </w:rPr>
        <w:tab/>
      </w:r>
      <w:r>
        <w:rPr>
          <w:rFonts w:hint="eastAsia"/>
        </w:rPr>
        <w:t>委员会还称赞缔约国在以下与《公约》相关的领域采取的措施：</w:t>
      </w:r>
    </w:p>
    <w:p w:rsidR="00E208F9" w:rsidRDefault="00E208F9" w:rsidP="004F2AA3">
      <w:pPr>
        <w:pStyle w:val="SingleTxtGC"/>
        <w:numPr>
          <w:ilvl w:val="0"/>
          <w:numId w:val="8"/>
        </w:numPr>
      </w:pPr>
      <w:r>
        <w:rPr>
          <w:rFonts w:hint="eastAsia"/>
        </w:rPr>
        <w:t>2014</w:t>
      </w:r>
      <w:r>
        <w:rPr>
          <w:rFonts w:hint="eastAsia"/>
        </w:rPr>
        <w:t>年</w:t>
      </w:r>
      <w:r>
        <w:rPr>
          <w:rFonts w:hint="eastAsia"/>
        </w:rPr>
        <w:t>7</w:t>
      </w:r>
      <w:r>
        <w:rPr>
          <w:rFonts w:hint="eastAsia"/>
        </w:rPr>
        <w:t>月</w:t>
      </w:r>
      <w:r>
        <w:rPr>
          <w:rFonts w:hint="eastAsia"/>
        </w:rPr>
        <w:t>3</w:t>
      </w:r>
      <w:r>
        <w:rPr>
          <w:rFonts w:hint="eastAsia"/>
        </w:rPr>
        <w:t>日通过新《刑法》；</w:t>
      </w:r>
    </w:p>
    <w:p w:rsidR="00E208F9" w:rsidRDefault="00E208F9" w:rsidP="004F2AA3">
      <w:pPr>
        <w:pStyle w:val="SingleTxtGC"/>
        <w:numPr>
          <w:ilvl w:val="0"/>
          <w:numId w:val="8"/>
        </w:numPr>
      </w:pPr>
      <w:r>
        <w:rPr>
          <w:rFonts w:hint="eastAsia"/>
        </w:rPr>
        <w:t>2014</w:t>
      </w:r>
      <w:r>
        <w:rPr>
          <w:rFonts w:hint="eastAsia"/>
        </w:rPr>
        <w:t>年</w:t>
      </w:r>
      <w:r>
        <w:rPr>
          <w:rFonts w:hint="eastAsia"/>
        </w:rPr>
        <w:t>7</w:t>
      </w:r>
      <w:r>
        <w:rPr>
          <w:rFonts w:hint="eastAsia"/>
        </w:rPr>
        <w:t>月</w:t>
      </w:r>
      <w:r>
        <w:rPr>
          <w:rFonts w:hint="eastAsia"/>
        </w:rPr>
        <w:t>4</w:t>
      </w:r>
      <w:r>
        <w:rPr>
          <w:rFonts w:hint="eastAsia"/>
        </w:rPr>
        <w:t>日通过新《刑事诉讼法》；</w:t>
      </w:r>
    </w:p>
    <w:p w:rsidR="00E208F9" w:rsidRDefault="00E208F9" w:rsidP="004F2AA3">
      <w:pPr>
        <w:pStyle w:val="SingleTxtGC"/>
        <w:numPr>
          <w:ilvl w:val="0"/>
          <w:numId w:val="8"/>
        </w:numPr>
      </w:pPr>
      <w:r>
        <w:rPr>
          <w:rFonts w:hint="eastAsia"/>
        </w:rPr>
        <w:t>2013</w:t>
      </w:r>
      <w:r>
        <w:rPr>
          <w:rFonts w:hint="eastAsia"/>
        </w:rPr>
        <w:t>年</w:t>
      </w:r>
      <w:r>
        <w:rPr>
          <w:rFonts w:hint="eastAsia"/>
        </w:rPr>
        <w:t>7</w:t>
      </w:r>
      <w:r>
        <w:rPr>
          <w:rFonts w:hint="eastAsia"/>
        </w:rPr>
        <w:t>月</w:t>
      </w:r>
      <w:r>
        <w:rPr>
          <w:rFonts w:hint="eastAsia"/>
        </w:rPr>
        <w:t>2</w:t>
      </w:r>
      <w:r>
        <w:rPr>
          <w:rFonts w:hint="eastAsia"/>
        </w:rPr>
        <w:t>日通过法律，以修订关于设立防止酷刑和其他残忍、不人道或有辱人格的待遇或处罚的国家机制的法律。</w:t>
      </w:r>
    </w:p>
    <w:p w:rsidR="00E208F9" w:rsidRDefault="00E208F9" w:rsidP="00E208F9">
      <w:pPr>
        <w:pStyle w:val="SingleTxtGC"/>
      </w:pPr>
      <w:r>
        <w:rPr>
          <w:rFonts w:hint="eastAsia"/>
        </w:rPr>
        <w:t>5.</w:t>
      </w:r>
      <w:r>
        <w:rPr>
          <w:rFonts w:hint="eastAsia"/>
        </w:rPr>
        <w:tab/>
      </w:r>
      <w:r>
        <w:rPr>
          <w:rFonts w:hint="eastAsia"/>
        </w:rPr>
        <w:t>委员会还欣见缔约国向人权理事会所有特别程序任务负责人发出了无日期限制的访问邀请。</w:t>
      </w:r>
    </w:p>
    <w:p w:rsidR="00E208F9" w:rsidRDefault="00E208F9" w:rsidP="00E208F9">
      <w:pPr>
        <w:pStyle w:val="H1GC"/>
      </w:pPr>
      <w:r>
        <w:rPr>
          <w:rFonts w:hint="eastAsia"/>
        </w:rPr>
        <w:tab/>
        <w:t>C.</w:t>
      </w:r>
      <w:r>
        <w:rPr>
          <w:rFonts w:hint="eastAsia"/>
        </w:rPr>
        <w:tab/>
      </w:r>
      <w:r>
        <w:rPr>
          <w:rFonts w:hint="eastAsia"/>
        </w:rPr>
        <w:t>主要关切问题和建议</w:t>
      </w:r>
    </w:p>
    <w:p w:rsidR="00E208F9" w:rsidRDefault="00E208F9" w:rsidP="00E208F9">
      <w:pPr>
        <w:pStyle w:val="SingleTxtGC"/>
      </w:pPr>
      <w:r>
        <w:rPr>
          <w:rFonts w:hint="eastAsia"/>
        </w:rPr>
        <w:t>6.</w:t>
      </w:r>
      <w:r>
        <w:rPr>
          <w:rFonts w:hint="eastAsia"/>
        </w:rPr>
        <w:tab/>
      </w:r>
      <w:r>
        <w:rPr>
          <w:rFonts w:hint="eastAsia"/>
        </w:rPr>
        <w:t>委员会认为，本结论性意见通过时，缔约国的现行法律及某些主管机关的表现不完全符合已成为《公约》缔约方的国家应承担的义务。委员会呼吁缔约国落实委员会为协助缔约国在法律和实践中落实《公约》义务而本着建设性合作精神提出的建议。</w:t>
      </w:r>
    </w:p>
    <w:p w:rsidR="00E208F9" w:rsidRDefault="00E208F9" w:rsidP="00454BF3">
      <w:pPr>
        <w:pStyle w:val="H1GC"/>
      </w:pPr>
      <w:r>
        <w:rPr>
          <w:rFonts w:hint="eastAsia"/>
        </w:rPr>
        <w:tab/>
      </w:r>
      <w:r>
        <w:rPr>
          <w:rFonts w:hint="eastAsia"/>
        </w:rPr>
        <w:tab/>
      </w:r>
      <w:r>
        <w:rPr>
          <w:rFonts w:hint="eastAsia"/>
        </w:rPr>
        <w:t>一般信息</w:t>
      </w:r>
    </w:p>
    <w:p w:rsidR="00E208F9" w:rsidRDefault="00E208F9" w:rsidP="00454BF3">
      <w:pPr>
        <w:pStyle w:val="H23GC"/>
      </w:pPr>
      <w:r>
        <w:rPr>
          <w:rFonts w:hint="eastAsia"/>
        </w:rPr>
        <w:tab/>
      </w:r>
      <w:r>
        <w:rPr>
          <w:rFonts w:hint="eastAsia"/>
        </w:rPr>
        <w:tab/>
      </w:r>
      <w:r>
        <w:rPr>
          <w:rFonts w:hint="eastAsia"/>
        </w:rPr>
        <w:t>个人和国家间来文</w:t>
      </w:r>
    </w:p>
    <w:p w:rsidR="00E208F9" w:rsidRDefault="00E208F9" w:rsidP="00E208F9">
      <w:pPr>
        <w:pStyle w:val="SingleTxtGC"/>
      </w:pPr>
      <w:r>
        <w:rPr>
          <w:rFonts w:hint="eastAsia"/>
        </w:rPr>
        <w:t>7.</w:t>
      </w:r>
      <w:r>
        <w:rPr>
          <w:rFonts w:hint="eastAsia"/>
        </w:rPr>
        <w:tab/>
      </w:r>
      <w:r>
        <w:rPr>
          <w:rFonts w:hint="eastAsia"/>
        </w:rPr>
        <w:t>委员会注意到，缔约国尚未承认委员会有权接受和审议根据《公约》第三十一和第三十二条提交的个人和国家间来文，但有关国家机构正在研究这样做的可能性</w:t>
      </w:r>
      <w:r>
        <w:rPr>
          <w:rFonts w:hint="eastAsia"/>
        </w:rPr>
        <w:t>(</w:t>
      </w:r>
      <w:r>
        <w:rPr>
          <w:rFonts w:hint="eastAsia"/>
        </w:rPr>
        <w:t>第三十一和三十二条</w:t>
      </w:r>
      <w:r>
        <w:rPr>
          <w:rFonts w:hint="eastAsia"/>
        </w:rPr>
        <w:t>)</w:t>
      </w:r>
      <w:r>
        <w:rPr>
          <w:rFonts w:hint="eastAsia"/>
        </w:rPr>
        <w:t>。</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8.</w:t>
      </w:r>
      <w:r w:rsidRPr="00C535F0">
        <w:rPr>
          <w:rFonts w:ascii="Time New Roman" w:eastAsia="黑体" w:hAnsi="Time New Roman" w:hint="eastAsia"/>
        </w:rPr>
        <w:tab/>
      </w:r>
      <w:r w:rsidRPr="00C535F0">
        <w:rPr>
          <w:rFonts w:ascii="Time New Roman" w:eastAsia="黑体" w:hAnsi="Time New Roman" w:hint="eastAsia"/>
        </w:rPr>
        <w:t>委员会鼓励缔约国尽快承认委员会有权接受和审议分别根据《公约》第三十一条和第三十二条提交的个人和国家间来文，以强化《公约》规定的免遭强迫失踪的保护框架。</w:t>
      </w:r>
    </w:p>
    <w:p w:rsidR="00E208F9" w:rsidRDefault="00E208F9" w:rsidP="00454BF3">
      <w:pPr>
        <w:pStyle w:val="H23GC"/>
      </w:pPr>
      <w:r>
        <w:rPr>
          <w:rFonts w:hint="eastAsia"/>
        </w:rPr>
        <w:tab/>
      </w:r>
      <w:r>
        <w:rPr>
          <w:rFonts w:hint="eastAsia"/>
        </w:rPr>
        <w:tab/>
      </w:r>
      <w:r>
        <w:rPr>
          <w:rFonts w:hint="eastAsia"/>
        </w:rPr>
        <w:t>国家人权机构</w:t>
      </w:r>
    </w:p>
    <w:p w:rsidR="00E208F9" w:rsidRDefault="00E208F9" w:rsidP="00E208F9">
      <w:pPr>
        <w:pStyle w:val="SingleTxtGC"/>
      </w:pPr>
      <w:r>
        <w:rPr>
          <w:rFonts w:hint="eastAsia"/>
        </w:rPr>
        <w:t>9.</w:t>
      </w:r>
      <w:r>
        <w:rPr>
          <w:rFonts w:hint="eastAsia"/>
        </w:rPr>
        <w:tab/>
      </w:r>
      <w:r>
        <w:rPr>
          <w:rFonts w:hint="eastAsia"/>
        </w:rPr>
        <w:t>委员会关切地注意到，人权专员办公室不完全符合有关促进和保护人权的国家机构地位的原则</w:t>
      </w:r>
      <w:r>
        <w:rPr>
          <w:rFonts w:hint="eastAsia"/>
        </w:rPr>
        <w:t>(</w:t>
      </w:r>
      <w:r>
        <w:rPr>
          <w:rFonts w:hint="eastAsia"/>
        </w:rPr>
        <w:t>《巴黎原则》</w:t>
      </w:r>
      <w:r>
        <w:rPr>
          <w:rFonts w:hint="eastAsia"/>
        </w:rPr>
        <w:t>)</w:t>
      </w:r>
      <w:r>
        <w:rPr>
          <w:rFonts w:hint="eastAsia"/>
        </w:rPr>
        <w:t>，同时也注意到，缔约国提交的资料表明，目前正在讨论以单一法律强化该机构的地位。</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10.</w:t>
      </w:r>
      <w:r w:rsidRPr="00C535F0">
        <w:rPr>
          <w:rFonts w:ascii="Time New Roman" w:eastAsia="黑体" w:hAnsi="Time New Roman" w:hint="eastAsia"/>
        </w:rPr>
        <w:tab/>
      </w:r>
      <w:r w:rsidRPr="00C535F0">
        <w:rPr>
          <w:rFonts w:ascii="Time New Roman" w:eastAsia="黑体" w:hAnsi="Time New Roman" w:hint="eastAsia"/>
        </w:rPr>
        <w:t>委员会建议缔约国采取法律和其他必要措施，使人权专员办公室完全符合《巴黎原则》。</w:t>
      </w:r>
    </w:p>
    <w:p w:rsidR="00E208F9" w:rsidRDefault="00B30AEC" w:rsidP="00454BF3">
      <w:pPr>
        <w:pStyle w:val="H1GC"/>
      </w:pPr>
      <w:r>
        <w:tab/>
      </w:r>
      <w:r>
        <w:tab/>
      </w:r>
      <w:r w:rsidR="00E208F9">
        <w:rPr>
          <w:rFonts w:hint="eastAsia"/>
        </w:rPr>
        <w:t>强迫失踪定义和刑罪化</w:t>
      </w:r>
      <w:r w:rsidR="00E208F9">
        <w:rPr>
          <w:rFonts w:hint="eastAsia"/>
        </w:rPr>
        <w:t>(</w:t>
      </w:r>
      <w:r w:rsidR="00E208F9">
        <w:rPr>
          <w:rFonts w:hint="eastAsia"/>
        </w:rPr>
        <w:t>第一至七条</w:t>
      </w:r>
      <w:r w:rsidR="00E208F9">
        <w:rPr>
          <w:rFonts w:hint="eastAsia"/>
        </w:rPr>
        <w:t>)</w:t>
      </w:r>
    </w:p>
    <w:p w:rsidR="00E208F9" w:rsidRDefault="00E208F9" w:rsidP="00454BF3">
      <w:pPr>
        <w:pStyle w:val="H23GC"/>
      </w:pPr>
      <w:r>
        <w:rPr>
          <w:rFonts w:hint="eastAsia"/>
        </w:rPr>
        <w:tab/>
      </w:r>
      <w:r>
        <w:rPr>
          <w:rFonts w:hint="eastAsia"/>
        </w:rPr>
        <w:tab/>
      </w:r>
      <w:r>
        <w:rPr>
          <w:rFonts w:hint="eastAsia"/>
        </w:rPr>
        <w:t>强迫失踪罪</w:t>
      </w:r>
    </w:p>
    <w:p w:rsidR="00E208F9" w:rsidRDefault="00E208F9" w:rsidP="00E208F9">
      <w:pPr>
        <w:pStyle w:val="SingleTxtGC"/>
      </w:pPr>
      <w:r>
        <w:rPr>
          <w:rFonts w:hint="eastAsia"/>
        </w:rPr>
        <w:t>11.</w:t>
      </w:r>
      <w:r>
        <w:rPr>
          <w:rFonts w:hint="eastAsia"/>
        </w:rPr>
        <w:tab/>
      </w:r>
      <w:r>
        <w:rPr>
          <w:rFonts w:hint="eastAsia"/>
        </w:rPr>
        <w:t>委员会注意到，缔约国声称，《刑法》第</w:t>
      </w:r>
      <w:r>
        <w:rPr>
          <w:rFonts w:hint="eastAsia"/>
        </w:rPr>
        <w:t>414</w:t>
      </w:r>
      <w:r>
        <w:rPr>
          <w:rFonts w:hint="eastAsia"/>
        </w:rPr>
        <w:t>条按《公约》定义规定了强迫失踪的责任，同时认为，无需将强迫失踪作为单列罪行纳入国内法律。但委员会</w:t>
      </w:r>
      <w:r>
        <w:rPr>
          <w:rFonts w:hint="eastAsia"/>
        </w:rPr>
        <w:lastRenderedPageBreak/>
        <w:t>关切的是，第</w:t>
      </w:r>
      <w:r>
        <w:rPr>
          <w:rFonts w:hint="eastAsia"/>
        </w:rPr>
        <w:t>414</w:t>
      </w:r>
      <w:r>
        <w:rPr>
          <w:rFonts w:hint="eastAsia"/>
        </w:rPr>
        <w:t>条及《刑法》所载其他侵犯自由的罪行虽然包括了强迫失踪的相关要素，但仍不足以充分涵盖《公约》第二条所定义之强迫失踪的所有构成要素与模式，因此不完全符合第四条规定的义务，该条规定的义务与关于立法的其他条约义务密切相关，例如第六和第七条所载义务。这方面，委员会注意到，《刑法》第</w:t>
      </w:r>
      <w:r>
        <w:rPr>
          <w:rFonts w:hint="eastAsia"/>
        </w:rPr>
        <w:t>54</w:t>
      </w:r>
      <w:r>
        <w:rPr>
          <w:rFonts w:hint="eastAsia"/>
        </w:rPr>
        <w:t>条第</w:t>
      </w:r>
      <w:r>
        <w:rPr>
          <w:rFonts w:hint="eastAsia"/>
        </w:rPr>
        <w:t>1</w:t>
      </w:r>
      <w:r>
        <w:rPr>
          <w:rFonts w:hint="eastAsia"/>
        </w:rPr>
        <w:t>款第</w:t>
      </w:r>
      <w:r>
        <w:rPr>
          <w:rFonts w:hint="eastAsia"/>
        </w:rPr>
        <w:t>16</w:t>
      </w:r>
      <w:r>
        <w:rPr>
          <w:rFonts w:hint="eastAsia"/>
        </w:rPr>
        <w:t>项规定，执法或特殊国家机关的人员或法官利用官方身份犯下罪行的，视为加重情节，但委员会认为，《刑法》第</w:t>
      </w:r>
      <w:r>
        <w:rPr>
          <w:rFonts w:hint="eastAsia"/>
        </w:rPr>
        <w:t>414</w:t>
      </w:r>
      <w:r>
        <w:rPr>
          <w:rFonts w:hint="eastAsia"/>
        </w:rPr>
        <w:t>条并未考虑到强迫失踪的极端严重性而规定适当惩罚。委员会还认为，国家立法未按《公约》第五条规定的标准明文将强迫失踪定为危害人类罪</w:t>
      </w:r>
      <w:r>
        <w:rPr>
          <w:rFonts w:hint="eastAsia"/>
        </w:rPr>
        <w:t>(</w:t>
      </w:r>
      <w:r>
        <w:rPr>
          <w:rFonts w:hint="eastAsia"/>
        </w:rPr>
        <w:t>第二条和第四至第七条</w:t>
      </w:r>
      <w:r>
        <w:rPr>
          <w:rFonts w:hint="eastAsia"/>
        </w:rPr>
        <w:t>)</w:t>
      </w:r>
      <w:r>
        <w:rPr>
          <w:rFonts w:hint="eastAsia"/>
        </w:rPr>
        <w:t>。</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12.</w:t>
      </w:r>
      <w:r w:rsidRPr="00C535F0">
        <w:rPr>
          <w:rFonts w:ascii="Time New Roman" w:eastAsia="黑体" w:hAnsi="Time New Roman" w:hint="eastAsia"/>
        </w:rPr>
        <w:tab/>
      </w:r>
      <w:r w:rsidRPr="00C535F0">
        <w:rPr>
          <w:rFonts w:ascii="Time New Roman" w:eastAsia="黑体" w:hAnsi="Time New Roman" w:hint="eastAsia"/>
        </w:rPr>
        <w:t>委员会建议缔约国尽快采取必要法律措施，确保：</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ab/>
        <w:t>(a)</w:t>
      </w:r>
      <w:r w:rsidRPr="00C535F0">
        <w:rPr>
          <w:rFonts w:ascii="Time New Roman" w:eastAsia="黑体" w:hAnsi="Time New Roman" w:hint="eastAsia"/>
        </w:rPr>
        <w:tab/>
      </w:r>
      <w:r w:rsidRPr="00C535F0">
        <w:rPr>
          <w:rFonts w:ascii="Time New Roman" w:eastAsia="黑体" w:hAnsi="Time New Roman" w:hint="eastAsia"/>
        </w:rPr>
        <w:t>强迫失踪依第《公约》第二条所载定义作为单列罪行纳入国内法律，考虑强迫失踪的极端严重性对该罪名处以适当惩罚，但避免判处死刑；</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ab/>
        <w:t>(b)</w:t>
      </w:r>
      <w:r w:rsidRPr="00C535F0">
        <w:rPr>
          <w:rFonts w:ascii="Time New Roman" w:eastAsia="黑体" w:hAnsi="Time New Roman" w:hint="eastAsia"/>
        </w:rPr>
        <w:tab/>
      </w:r>
      <w:r w:rsidRPr="00C535F0">
        <w:rPr>
          <w:rFonts w:ascii="Time New Roman" w:eastAsia="黑体" w:hAnsi="Time New Roman" w:hint="eastAsia"/>
        </w:rPr>
        <w:t>按照《公约》第五条规定的标准将强迫失踪定为危害人类罪。</w:t>
      </w:r>
    </w:p>
    <w:p w:rsidR="00E208F9" w:rsidRDefault="00E208F9" w:rsidP="00437EF7">
      <w:pPr>
        <w:pStyle w:val="H1GC"/>
      </w:pPr>
      <w:r>
        <w:rPr>
          <w:rFonts w:hint="eastAsia"/>
        </w:rPr>
        <w:tab/>
      </w:r>
      <w:r>
        <w:rPr>
          <w:rFonts w:hint="eastAsia"/>
        </w:rPr>
        <w:tab/>
      </w:r>
      <w:r>
        <w:rPr>
          <w:rFonts w:hint="eastAsia"/>
        </w:rPr>
        <w:t>与强迫失踪相关的刑事责任及司法合作</w:t>
      </w:r>
      <w:r>
        <w:rPr>
          <w:rFonts w:hint="eastAsia"/>
        </w:rPr>
        <w:t>(</w:t>
      </w:r>
      <w:r>
        <w:rPr>
          <w:rFonts w:hint="eastAsia"/>
        </w:rPr>
        <w:t>第八至第十五条</w:t>
      </w:r>
      <w:r>
        <w:rPr>
          <w:rFonts w:hint="eastAsia"/>
        </w:rPr>
        <w:t>)</w:t>
      </w:r>
    </w:p>
    <w:p w:rsidR="00E208F9" w:rsidRDefault="00E208F9" w:rsidP="00437EF7">
      <w:pPr>
        <w:pStyle w:val="H23GC"/>
      </w:pPr>
      <w:r>
        <w:rPr>
          <w:rFonts w:hint="eastAsia"/>
        </w:rPr>
        <w:tab/>
      </w:r>
      <w:r>
        <w:rPr>
          <w:rFonts w:hint="eastAsia"/>
        </w:rPr>
        <w:tab/>
      </w:r>
      <w:r>
        <w:rPr>
          <w:rFonts w:hint="eastAsia"/>
        </w:rPr>
        <w:t>追诉时效</w:t>
      </w:r>
    </w:p>
    <w:p w:rsidR="00E208F9" w:rsidRDefault="00E208F9" w:rsidP="00E208F9">
      <w:pPr>
        <w:pStyle w:val="SingleTxtGC"/>
      </w:pPr>
      <w:r>
        <w:rPr>
          <w:rFonts w:hint="eastAsia"/>
        </w:rPr>
        <w:t>13.</w:t>
      </w:r>
      <w:r>
        <w:rPr>
          <w:rFonts w:hint="eastAsia"/>
        </w:rPr>
        <w:tab/>
      </w:r>
      <w:r>
        <w:rPr>
          <w:rFonts w:hint="eastAsia"/>
        </w:rPr>
        <w:t>委员会感兴趣地注意到，按国内法律，酷刑等特定罪行无追诉时效限制。但注意到，《刑法》第</w:t>
      </w:r>
      <w:r>
        <w:rPr>
          <w:rFonts w:hint="eastAsia"/>
        </w:rPr>
        <w:t>71</w:t>
      </w:r>
      <w:r>
        <w:rPr>
          <w:rFonts w:hint="eastAsia"/>
        </w:rPr>
        <w:t>条规定，追诉时效从犯罪开始而不是结束之日开始计算；同时表示关切的是，国内法律似乎未对强迫失踪案件中可能发生的持续犯罪</w:t>
      </w:r>
      <w:proofErr w:type="gramStart"/>
      <w:r>
        <w:rPr>
          <w:rFonts w:hint="eastAsia"/>
        </w:rPr>
        <w:t>作出</w:t>
      </w:r>
      <w:proofErr w:type="gramEnd"/>
      <w:r>
        <w:rPr>
          <w:rFonts w:hint="eastAsia"/>
        </w:rPr>
        <w:t>任何例外规定</w:t>
      </w:r>
      <w:r>
        <w:rPr>
          <w:rFonts w:hint="eastAsia"/>
        </w:rPr>
        <w:t>(</w:t>
      </w:r>
      <w:r>
        <w:rPr>
          <w:rFonts w:hint="eastAsia"/>
        </w:rPr>
        <w:t>第八条</w:t>
      </w:r>
      <w:r>
        <w:rPr>
          <w:rFonts w:hint="eastAsia"/>
        </w:rPr>
        <w:t>)</w:t>
      </w:r>
      <w:r>
        <w:rPr>
          <w:rFonts w:hint="eastAsia"/>
        </w:rPr>
        <w:t>。</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14.</w:t>
      </w:r>
      <w:r w:rsidRPr="00C535F0">
        <w:rPr>
          <w:rFonts w:ascii="Time New Roman" w:eastAsia="黑体" w:hAnsi="Time New Roman" w:hint="eastAsia"/>
        </w:rPr>
        <w:tab/>
      </w:r>
      <w:r w:rsidRPr="00C535F0">
        <w:rPr>
          <w:rFonts w:ascii="Time New Roman" w:eastAsia="黑体" w:hAnsi="Time New Roman" w:hint="eastAsia"/>
        </w:rPr>
        <w:t>委员会强调强迫失踪的持续性，同时建议缔约国采取必要措施，确保按照《公约》第八条第一款第</w:t>
      </w:r>
      <w:r w:rsidRPr="00C535F0">
        <w:rPr>
          <w:rFonts w:ascii="Time New Roman" w:eastAsia="黑体" w:hAnsi="Time New Roman" w:hint="eastAsia"/>
        </w:rPr>
        <w:t>(</w:t>
      </w:r>
      <w:r w:rsidRPr="00C535F0">
        <w:rPr>
          <w:rFonts w:ascii="Time New Roman" w:eastAsia="黑体" w:hAnsi="Time New Roman" w:hint="eastAsia"/>
        </w:rPr>
        <w:t>二</w:t>
      </w:r>
      <w:r w:rsidRPr="00C535F0">
        <w:rPr>
          <w:rFonts w:ascii="Time New Roman" w:eastAsia="黑体" w:hAnsi="Time New Roman" w:hint="eastAsia"/>
        </w:rPr>
        <w:t>)</w:t>
      </w:r>
      <w:r w:rsidRPr="00C535F0">
        <w:rPr>
          <w:rFonts w:ascii="Time New Roman" w:eastAsia="黑体" w:hAnsi="Time New Roman" w:hint="eastAsia"/>
        </w:rPr>
        <w:t>项的规定，对于强迫失踪，或在强迫失踪未明确定罪的情况下替代适用的其他持续犯罪，刑事诉讼追诉时效自强迫失踪结束开始计算</w:t>
      </w:r>
      <w:r w:rsidRPr="00C535F0">
        <w:rPr>
          <w:rFonts w:ascii="Time New Roman" w:eastAsia="黑体" w:hAnsi="Time New Roman" w:hint="eastAsia"/>
        </w:rPr>
        <w:t>(</w:t>
      </w:r>
      <w:r w:rsidRPr="00C535F0">
        <w:rPr>
          <w:rFonts w:ascii="Time New Roman" w:eastAsia="黑体" w:hAnsi="Time New Roman" w:hint="eastAsia"/>
        </w:rPr>
        <w:t>自失踪人员生还之时开始计算；失踪人员死亡的，自发现遗体并经指认后开始计算；遭非法劫持的儿童，自恢复身份之时开始计算</w:t>
      </w:r>
      <w:r w:rsidRPr="00C535F0">
        <w:rPr>
          <w:rFonts w:ascii="Time New Roman" w:eastAsia="黑体" w:hAnsi="Time New Roman" w:hint="eastAsia"/>
        </w:rPr>
        <w:t>)</w:t>
      </w:r>
      <w:r w:rsidRPr="00C535F0">
        <w:rPr>
          <w:rFonts w:ascii="Time New Roman" w:eastAsia="黑体" w:hAnsi="Time New Roman" w:hint="eastAsia"/>
        </w:rPr>
        <w:t>。委员会请缔约国在将强迫失踪定为单列罪行时规定该罪行不受任何追诉时效限制。</w:t>
      </w:r>
    </w:p>
    <w:p w:rsidR="00E208F9" w:rsidRDefault="00E208F9" w:rsidP="00B30AEC">
      <w:pPr>
        <w:pStyle w:val="H23GC"/>
      </w:pPr>
      <w:r>
        <w:rPr>
          <w:rFonts w:hint="eastAsia"/>
        </w:rPr>
        <w:tab/>
      </w:r>
      <w:r>
        <w:rPr>
          <w:rFonts w:hint="eastAsia"/>
        </w:rPr>
        <w:tab/>
      </w:r>
      <w:r>
        <w:rPr>
          <w:rFonts w:hint="eastAsia"/>
        </w:rPr>
        <w:t>防止和惩处可能阻碍调查工作的行为</w:t>
      </w:r>
    </w:p>
    <w:p w:rsidR="00E208F9" w:rsidRDefault="00E208F9" w:rsidP="00E208F9">
      <w:pPr>
        <w:pStyle w:val="SingleTxtGC"/>
      </w:pPr>
      <w:r>
        <w:rPr>
          <w:rFonts w:hint="eastAsia"/>
        </w:rPr>
        <w:t>15.</w:t>
      </w:r>
      <w:r>
        <w:rPr>
          <w:rFonts w:hint="eastAsia"/>
        </w:rPr>
        <w:tab/>
      </w:r>
      <w:r>
        <w:rPr>
          <w:rFonts w:hint="eastAsia"/>
        </w:rPr>
        <w:t>委员会欢迎缔约国提供资料，说明为确保对国家官员的刑事调查之公正独立采取的措施，例如设立</w:t>
      </w:r>
      <w:proofErr w:type="gramStart"/>
      <w:r>
        <w:rPr>
          <w:rFonts w:hint="eastAsia"/>
        </w:rPr>
        <w:t>特别</w:t>
      </w:r>
      <w:proofErr w:type="gramEnd"/>
      <w:r>
        <w:rPr>
          <w:rFonts w:hint="eastAsia"/>
        </w:rPr>
        <w:t>检察厅。但委员会关切的是，掌握的资料表明，执法或安全部队内部安全或内部调查厅的官员在受指控犯有某项罪行的情况下仍可参与最初阶段调查</w:t>
      </w:r>
      <w:r>
        <w:rPr>
          <w:rFonts w:hint="eastAsia"/>
        </w:rPr>
        <w:t>(</w:t>
      </w:r>
      <w:r>
        <w:rPr>
          <w:rFonts w:hint="eastAsia"/>
        </w:rPr>
        <w:t>第十二条</w:t>
      </w:r>
      <w:r>
        <w:rPr>
          <w:rFonts w:hint="eastAsia"/>
        </w:rPr>
        <w:t>)</w:t>
      </w:r>
      <w:r>
        <w:rPr>
          <w:rFonts w:hint="eastAsia"/>
        </w:rPr>
        <w:t>。</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16.</w:t>
      </w:r>
      <w:r w:rsidRPr="00C535F0">
        <w:rPr>
          <w:rFonts w:ascii="Time New Roman" w:eastAsia="黑体" w:hAnsi="Time New Roman" w:hint="eastAsia"/>
        </w:rPr>
        <w:tab/>
      </w:r>
      <w:r w:rsidRPr="00C535F0">
        <w:rPr>
          <w:rFonts w:ascii="Time New Roman" w:eastAsia="黑体" w:hAnsi="Time New Roman" w:hint="eastAsia"/>
        </w:rPr>
        <w:t>委员会建议缔约国采取一切必要措施，防止可能阻碍或影响强迫失踪案件调查的行为，特别是保证在实际工作中，与被控犯有强迫失踪罪行人员同属一个执法或安全机构的官员不参与调查。</w:t>
      </w:r>
    </w:p>
    <w:p w:rsidR="00E208F9" w:rsidRDefault="00676BD5" w:rsidP="00437EF7">
      <w:pPr>
        <w:pStyle w:val="H1GC"/>
      </w:pPr>
      <w:r>
        <w:lastRenderedPageBreak/>
        <w:tab/>
      </w:r>
      <w:r>
        <w:tab/>
      </w:r>
      <w:r w:rsidR="00E208F9">
        <w:rPr>
          <w:rFonts w:hint="eastAsia"/>
        </w:rPr>
        <w:t>防止强迫失踪的措施</w:t>
      </w:r>
      <w:r w:rsidR="00E208F9">
        <w:rPr>
          <w:rFonts w:hint="eastAsia"/>
        </w:rPr>
        <w:t>(</w:t>
      </w:r>
      <w:r w:rsidR="00E208F9">
        <w:rPr>
          <w:rFonts w:hint="eastAsia"/>
        </w:rPr>
        <w:t>第十六至第二十三条</w:t>
      </w:r>
      <w:r w:rsidR="00E208F9">
        <w:rPr>
          <w:rFonts w:hint="eastAsia"/>
        </w:rPr>
        <w:t>)</w:t>
      </w:r>
    </w:p>
    <w:p w:rsidR="00E208F9" w:rsidRDefault="00E208F9" w:rsidP="00437EF7">
      <w:pPr>
        <w:pStyle w:val="H23GC"/>
      </w:pPr>
      <w:r>
        <w:rPr>
          <w:rFonts w:hint="eastAsia"/>
        </w:rPr>
        <w:tab/>
      </w:r>
      <w:r>
        <w:rPr>
          <w:rFonts w:hint="eastAsia"/>
        </w:rPr>
        <w:tab/>
      </w:r>
      <w:r>
        <w:rPr>
          <w:rFonts w:hint="eastAsia"/>
        </w:rPr>
        <w:t>不驱回</w:t>
      </w:r>
    </w:p>
    <w:p w:rsidR="00E208F9" w:rsidRDefault="00E208F9" w:rsidP="00E208F9">
      <w:pPr>
        <w:pStyle w:val="SingleTxtGC"/>
      </w:pPr>
      <w:r>
        <w:rPr>
          <w:rFonts w:hint="eastAsia"/>
        </w:rPr>
        <w:t>17.</w:t>
      </w:r>
      <w:r>
        <w:rPr>
          <w:rFonts w:hint="eastAsia"/>
        </w:rPr>
        <w:tab/>
      </w:r>
      <w:r>
        <w:rPr>
          <w:rFonts w:hint="eastAsia"/>
        </w:rPr>
        <w:t>委员会注意到缔约国就引渡和庇护方面为确保遵守不驱回原则采取的立法和其他措施提供的资料。但对以下情况的指控表示关切：</w:t>
      </w:r>
      <w:r>
        <w:rPr>
          <w:rFonts w:hint="eastAsia"/>
        </w:rPr>
        <w:t>(a)</w:t>
      </w:r>
      <w:r>
        <w:rPr>
          <w:rFonts w:hint="eastAsia"/>
        </w:rPr>
        <w:t>无有效旅行证件或签证的寻求庇护者不得入境缔约国或申请庇护，尽管《难民法》有相反规定；</w:t>
      </w:r>
      <w:r>
        <w:rPr>
          <w:rFonts w:hint="eastAsia"/>
        </w:rPr>
        <w:t>(b)</w:t>
      </w:r>
      <w:r>
        <w:rPr>
          <w:rFonts w:hint="eastAsia"/>
        </w:rPr>
        <w:t>在庇护申请的最终决定下达之前将寻求庇护者强行遣返原籍国。委员会注意到，缔约国声称，当事人可能遭受强迫失踪的，不接受请求引渡的国家的外交保证作为仅有保证</w:t>
      </w:r>
      <w:r>
        <w:rPr>
          <w:rFonts w:hint="eastAsia"/>
        </w:rPr>
        <w:t>(</w:t>
      </w:r>
      <w:r>
        <w:rPr>
          <w:rFonts w:hint="eastAsia"/>
        </w:rPr>
        <w:t>第十六条</w:t>
      </w:r>
      <w:r>
        <w:rPr>
          <w:rFonts w:hint="eastAsia"/>
        </w:rPr>
        <w:t>)</w:t>
      </w:r>
      <w:r>
        <w:rPr>
          <w:rFonts w:hint="eastAsia"/>
        </w:rPr>
        <w:t>。</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18.</w:t>
      </w:r>
      <w:r w:rsidRPr="00C535F0">
        <w:rPr>
          <w:rFonts w:ascii="Time New Roman" w:eastAsia="黑体" w:hAnsi="Time New Roman" w:hint="eastAsia"/>
        </w:rPr>
        <w:tab/>
      </w:r>
      <w:r w:rsidRPr="00C535F0">
        <w:rPr>
          <w:rFonts w:ascii="Time New Roman" w:eastAsia="黑体" w:hAnsi="Time New Roman" w:hint="eastAsia"/>
        </w:rPr>
        <w:t>委员会建议缔约国确保一切情况下均严格遵守《公约》第十六条第一款所载不驱回原则。具体而言，委员会建议缔约国采取必要措施，确保实际上：</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ab/>
        <w:t>(a)</w:t>
      </w:r>
      <w:r w:rsidRPr="00C535F0">
        <w:rPr>
          <w:rFonts w:ascii="Time New Roman" w:eastAsia="黑体" w:hAnsi="Time New Roman" w:hint="eastAsia"/>
        </w:rPr>
        <w:tab/>
      </w:r>
      <w:r w:rsidRPr="00C535F0">
        <w:rPr>
          <w:rFonts w:ascii="Time New Roman" w:eastAsia="黑体" w:hAnsi="Time New Roman" w:hint="eastAsia"/>
        </w:rPr>
        <w:t>所有寻求庇护者，包括无有效旅行证件或签证的，均可</w:t>
      </w:r>
      <w:proofErr w:type="gramStart"/>
      <w:r w:rsidRPr="00C535F0">
        <w:rPr>
          <w:rFonts w:ascii="Time New Roman" w:eastAsia="黑体" w:hAnsi="Time New Roman" w:hint="eastAsia"/>
        </w:rPr>
        <w:t>自由利用</w:t>
      </w:r>
      <w:proofErr w:type="gramEnd"/>
      <w:r w:rsidRPr="00C535F0">
        <w:rPr>
          <w:rFonts w:ascii="Time New Roman" w:eastAsia="黑体" w:hAnsi="Time New Roman" w:hint="eastAsia"/>
        </w:rPr>
        <w:t>完全符合《公约》第十六条所载义务的有效的难民身份确定程序；</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ab/>
        <w:t>(b)</w:t>
      </w:r>
      <w:r w:rsidRPr="00C535F0">
        <w:rPr>
          <w:rFonts w:ascii="Time New Roman" w:eastAsia="黑体" w:hAnsi="Time New Roman" w:hint="eastAsia"/>
        </w:rPr>
        <w:tab/>
      </w:r>
      <w:r w:rsidRPr="00C535F0">
        <w:rPr>
          <w:rFonts w:ascii="Time New Roman" w:eastAsia="黑体" w:hAnsi="Time New Roman" w:hint="eastAsia"/>
        </w:rPr>
        <w:t>驱逐、遣返或引渡之前，应用尽所有相关程序，逐个案件彻底审查，确定是否有充分依据认为相关人员有遭到强迫失踪的危险，有充分依据的，不得驱逐、引渡或遣返当事人；</w:t>
      </w:r>
    </w:p>
    <w:p w:rsidR="00E208F9" w:rsidRPr="00C535F0" w:rsidRDefault="00E208F9" w:rsidP="00E208F9">
      <w:pPr>
        <w:pStyle w:val="SingleTxtGC"/>
        <w:rPr>
          <w:rFonts w:ascii="Time New Roman" w:eastAsia="黑体" w:hAnsi="Time New Roman" w:hint="eastAsia"/>
        </w:rPr>
      </w:pPr>
      <w:r w:rsidRPr="00C535F0">
        <w:rPr>
          <w:rFonts w:ascii="Time New Roman" w:eastAsia="黑体" w:hAnsi="Time New Roman" w:hint="eastAsia"/>
        </w:rPr>
        <w:tab/>
        <w:t>(c)</w:t>
      </w:r>
      <w:r w:rsidRPr="00C535F0">
        <w:rPr>
          <w:rFonts w:ascii="Time New Roman" w:eastAsia="黑体" w:hAnsi="Time New Roman" w:hint="eastAsia"/>
        </w:rPr>
        <w:tab/>
      </w:r>
      <w:r w:rsidRPr="00C535F0">
        <w:rPr>
          <w:rFonts w:ascii="Time New Roman" w:eastAsia="黑体" w:hAnsi="Time New Roman" w:hint="eastAsia"/>
        </w:rPr>
        <w:t>对外交保证进行极其认真的评估，凡有充分理由相信当事人将面临遭受强迫失踪的危险时，绝不接受这种保证。</w:t>
      </w:r>
    </w:p>
    <w:p w:rsidR="00E208F9" w:rsidRDefault="00E208F9" w:rsidP="00676BD5">
      <w:pPr>
        <w:pStyle w:val="H23GC"/>
      </w:pPr>
      <w:r>
        <w:rPr>
          <w:rFonts w:hint="eastAsia"/>
        </w:rPr>
        <w:tab/>
      </w:r>
      <w:r>
        <w:rPr>
          <w:rFonts w:hint="eastAsia"/>
        </w:rPr>
        <w:tab/>
      </w:r>
      <w:r>
        <w:rPr>
          <w:rFonts w:hint="eastAsia"/>
        </w:rPr>
        <w:t>被剥夺自由者的通报</w:t>
      </w:r>
    </w:p>
    <w:p w:rsidR="00E208F9" w:rsidRDefault="00E208F9" w:rsidP="00E208F9">
      <w:pPr>
        <w:pStyle w:val="SingleTxtGC"/>
      </w:pPr>
      <w:r>
        <w:rPr>
          <w:rFonts w:hint="eastAsia"/>
        </w:rPr>
        <w:t>19.</w:t>
      </w:r>
      <w:r>
        <w:rPr>
          <w:rFonts w:hint="eastAsia"/>
        </w:rPr>
        <w:tab/>
      </w:r>
      <w:r>
        <w:rPr>
          <w:rFonts w:hint="eastAsia"/>
        </w:rPr>
        <w:t>委员会欣见《刑法》第</w:t>
      </w:r>
      <w:r>
        <w:rPr>
          <w:rFonts w:hint="eastAsia"/>
        </w:rPr>
        <w:t>414</w:t>
      </w:r>
      <w:r>
        <w:rPr>
          <w:rFonts w:hint="eastAsia"/>
        </w:rPr>
        <w:t>条规定，不将嫌犯的拘留及下落通报亲属、非法拒绝将当事人拘押地点告知有权获悉的公民的，均属犯罪行为。委员会还注意到，缔约国提交的资料表明，未收到关于违反下列法律规定的申诉：审前调查负责人有义务立即将当事人的逮捕及下落告知亲属或其他关系密切者，或给当事人机会亲自告知；立即将外籍人员被捕的情况通报该国有关代表；当事人自拘留之时即有权面见律师。但委员会关切的是，有指控称，被剥夺自由者无法立即面见律师或将剥夺自由一事通知自己指定的人员</w:t>
      </w:r>
      <w:r>
        <w:rPr>
          <w:rFonts w:hint="eastAsia"/>
        </w:rPr>
        <w:t>(</w:t>
      </w:r>
      <w:r>
        <w:rPr>
          <w:rFonts w:hint="eastAsia"/>
        </w:rPr>
        <w:t>第十七至第十八条和第二十二条</w:t>
      </w:r>
      <w:r>
        <w:rPr>
          <w:rFonts w:hint="eastAsia"/>
        </w:rPr>
        <w:t>)</w:t>
      </w:r>
      <w:r>
        <w:rPr>
          <w:rFonts w:hint="eastAsia"/>
        </w:rPr>
        <w:t>。</w:t>
      </w:r>
    </w:p>
    <w:p w:rsidR="00E208F9" w:rsidRPr="00E7169D" w:rsidRDefault="00E208F9" w:rsidP="00E208F9">
      <w:pPr>
        <w:pStyle w:val="SingleTxtGC"/>
        <w:rPr>
          <w:rFonts w:ascii="Time New Roman" w:eastAsia="黑体" w:hAnsi="Time New Roman" w:hint="eastAsia"/>
        </w:rPr>
      </w:pPr>
      <w:r w:rsidRPr="00E7169D">
        <w:rPr>
          <w:rFonts w:ascii="Time New Roman" w:eastAsia="黑体" w:hAnsi="Time New Roman" w:hint="eastAsia"/>
        </w:rPr>
        <w:t>20.</w:t>
      </w:r>
      <w:r w:rsidRPr="00E7169D">
        <w:rPr>
          <w:rFonts w:ascii="Time New Roman" w:eastAsia="黑体" w:hAnsi="Time New Roman" w:hint="eastAsia"/>
        </w:rPr>
        <w:tab/>
      </w:r>
      <w:r w:rsidRPr="00E7169D">
        <w:rPr>
          <w:rFonts w:ascii="Time New Roman" w:eastAsia="黑体" w:hAnsi="Time New Roman" w:hint="eastAsia"/>
        </w:rPr>
        <w:t>委员会建议缔约国采取必要措施，保证在实际上，所有人员自剥夺自由之初即可接触律师，当事人的亲属或他们指定的任何其他人获知其被剥夺自由及拘押地点，外国人则应通知领事机关。委员会还建议缔约国同时保证在实际上，凡阻碍实现这些权利的行为均应受到适当惩处。</w:t>
      </w:r>
    </w:p>
    <w:p w:rsidR="00E208F9" w:rsidRDefault="00E208F9" w:rsidP="00676BD5">
      <w:pPr>
        <w:pStyle w:val="H23GC"/>
      </w:pPr>
      <w:r>
        <w:rPr>
          <w:rFonts w:hint="eastAsia"/>
        </w:rPr>
        <w:tab/>
      </w:r>
      <w:r>
        <w:rPr>
          <w:rFonts w:hint="eastAsia"/>
        </w:rPr>
        <w:tab/>
      </w:r>
      <w:r>
        <w:rPr>
          <w:rFonts w:hint="eastAsia"/>
        </w:rPr>
        <w:t>被剥夺自由者登记簿</w:t>
      </w:r>
    </w:p>
    <w:p w:rsidR="00E208F9" w:rsidRDefault="00E208F9" w:rsidP="00E208F9">
      <w:pPr>
        <w:pStyle w:val="SingleTxtGC"/>
      </w:pPr>
      <w:r>
        <w:rPr>
          <w:rFonts w:hint="eastAsia"/>
        </w:rPr>
        <w:t>21.</w:t>
      </w:r>
      <w:r>
        <w:rPr>
          <w:rFonts w:hint="eastAsia"/>
        </w:rPr>
        <w:tab/>
      </w:r>
      <w:r>
        <w:rPr>
          <w:rFonts w:hint="eastAsia"/>
        </w:rPr>
        <w:t>委员会欢迎缔约国提供资料介绍载有特殊临时拘留场所在押人员及服刑场所信息的电子数据库的情况，并欢迎缔约国将该数据库纳入其他国家机构的数据库。但遗憾的是，缔约国未澄清是否所有可能有人被剥夺自由</w:t>
      </w:r>
      <w:r>
        <w:rPr>
          <w:rFonts w:hint="eastAsia"/>
        </w:rPr>
        <w:t>(</w:t>
      </w:r>
      <w:r>
        <w:rPr>
          <w:rFonts w:hint="eastAsia"/>
        </w:rPr>
        <w:t>无论何种形式</w:t>
      </w:r>
      <w:r>
        <w:rPr>
          <w:rFonts w:hint="eastAsia"/>
        </w:rPr>
        <w:t>)</w:t>
      </w:r>
      <w:r>
        <w:rPr>
          <w:rFonts w:hint="eastAsia"/>
        </w:rPr>
        <w:t>场所设置的登记簿都载录了《公约》第十七条第三款列出的所有资料。委员会欢迎</w:t>
      </w:r>
      <w:r>
        <w:rPr>
          <w:rFonts w:hint="eastAsia"/>
        </w:rPr>
        <w:lastRenderedPageBreak/>
        <w:t>《刑法》第</w:t>
      </w:r>
      <w:r>
        <w:rPr>
          <w:rFonts w:hint="eastAsia"/>
        </w:rPr>
        <w:t>414</w:t>
      </w:r>
      <w:r>
        <w:rPr>
          <w:rFonts w:hint="eastAsia"/>
        </w:rPr>
        <w:t>条惩处伪造逮捕登记时间或实际逮捕时间，并注意到，缔约国声称，未收到关于剥夺自由登记不妥的申诉；但委员会仍关切的是，有报告显示，据称执法人员有时不能准确记录逮捕的时间</w:t>
      </w:r>
      <w:r>
        <w:rPr>
          <w:rFonts w:hint="eastAsia"/>
        </w:rPr>
        <w:t>(</w:t>
      </w:r>
      <w:r>
        <w:rPr>
          <w:rFonts w:hint="eastAsia"/>
        </w:rPr>
        <w:t>第十七和第二十二条</w:t>
      </w:r>
      <w:r>
        <w:rPr>
          <w:rFonts w:hint="eastAsia"/>
        </w:rPr>
        <w:t>)</w:t>
      </w:r>
      <w:r>
        <w:rPr>
          <w:rFonts w:hint="eastAsia"/>
        </w:rPr>
        <w:t>。</w:t>
      </w:r>
    </w:p>
    <w:p w:rsidR="00E208F9" w:rsidRPr="00E7169D" w:rsidRDefault="00E208F9" w:rsidP="00E208F9">
      <w:pPr>
        <w:pStyle w:val="SingleTxtGC"/>
        <w:rPr>
          <w:rFonts w:ascii="Time New Roman" w:eastAsia="黑体" w:hAnsi="Time New Roman" w:hint="eastAsia"/>
        </w:rPr>
      </w:pPr>
      <w:r w:rsidRPr="00E7169D">
        <w:rPr>
          <w:rFonts w:ascii="Time New Roman" w:eastAsia="黑体" w:hAnsi="Time New Roman" w:hint="eastAsia"/>
        </w:rPr>
        <w:t>22.</w:t>
      </w:r>
      <w:r w:rsidRPr="00E7169D">
        <w:rPr>
          <w:rFonts w:ascii="Time New Roman" w:eastAsia="黑体" w:hAnsi="Time New Roman" w:hint="eastAsia"/>
        </w:rPr>
        <w:tab/>
      </w:r>
      <w:r w:rsidRPr="00E7169D">
        <w:rPr>
          <w:rFonts w:ascii="Time New Roman" w:eastAsia="黑体" w:hAnsi="Time New Roman" w:hint="eastAsia"/>
        </w:rPr>
        <w:t>委员会建议缔约国采取必要措施，确保：</w:t>
      </w:r>
    </w:p>
    <w:p w:rsidR="00E208F9" w:rsidRPr="00E7169D" w:rsidRDefault="00E208F9" w:rsidP="00E208F9">
      <w:pPr>
        <w:pStyle w:val="SingleTxtGC"/>
        <w:rPr>
          <w:rFonts w:ascii="Time New Roman" w:eastAsia="黑体" w:hAnsi="Time New Roman" w:hint="eastAsia"/>
        </w:rPr>
      </w:pPr>
      <w:r w:rsidRPr="00E7169D">
        <w:rPr>
          <w:rFonts w:ascii="Time New Roman" w:eastAsia="黑体" w:hAnsi="Time New Roman" w:hint="eastAsia"/>
        </w:rPr>
        <w:tab/>
        <w:t>(a)</w:t>
      </w:r>
      <w:r w:rsidRPr="00E7169D">
        <w:rPr>
          <w:rFonts w:ascii="Time New Roman" w:eastAsia="黑体" w:hAnsi="Time New Roman" w:hint="eastAsia"/>
        </w:rPr>
        <w:tab/>
      </w:r>
      <w:r w:rsidRPr="00E7169D">
        <w:rPr>
          <w:rFonts w:ascii="Time New Roman" w:eastAsia="黑体" w:hAnsi="Time New Roman" w:hint="eastAsia"/>
        </w:rPr>
        <w:t>所有剥夺自由均录入统一的登记簿和</w:t>
      </w:r>
      <w:r w:rsidRPr="00E7169D">
        <w:rPr>
          <w:rFonts w:ascii="Time New Roman" w:eastAsia="黑体" w:hAnsi="Time New Roman" w:hint="eastAsia"/>
        </w:rPr>
        <w:t>/</w:t>
      </w:r>
      <w:r w:rsidRPr="00E7169D">
        <w:rPr>
          <w:rFonts w:ascii="Time New Roman" w:eastAsia="黑体" w:hAnsi="Time New Roman" w:hint="eastAsia"/>
        </w:rPr>
        <w:t>或记录，至少应登记《公约》第十七条第三款要求的信息；</w:t>
      </w:r>
    </w:p>
    <w:p w:rsidR="00E208F9" w:rsidRPr="00E7169D" w:rsidRDefault="00E208F9" w:rsidP="00E208F9">
      <w:pPr>
        <w:pStyle w:val="SingleTxtGC"/>
        <w:rPr>
          <w:rFonts w:ascii="Time New Roman" w:eastAsia="黑体" w:hAnsi="Time New Roman" w:hint="eastAsia"/>
        </w:rPr>
      </w:pPr>
      <w:r w:rsidRPr="00E7169D">
        <w:rPr>
          <w:rFonts w:ascii="Time New Roman" w:eastAsia="黑体" w:hAnsi="Time New Roman" w:hint="eastAsia"/>
        </w:rPr>
        <w:tab/>
        <w:t>(b)</w:t>
      </w:r>
      <w:r w:rsidRPr="00E7169D">
        <w:rPr>
          <w:rFonts w:ascii="Time New Roman" w:eastAsia="黑体" w:hAnsi="Time New Roman" w:hint="eastAsia"/>
        </w:rPr>
        <w:tab/>
      </w:r>
      <w:r w:rsidRPr="00E7169D">
        <w:rPr>
          <w:rFonts w:ascii="Time New Roman" w:eastAsia="黑体" w:hAnsi="Time New Roman" w:hint="eastAsia"/>
        </w:rPr>
        <w:t>及时准确地填写和更新被剥夺自由者登记簿和</w:t>
      </w:r>
      <w:r w:rsidRPr="00E7169D">
        <w:rPr>
          <w:rFonts w:ascii="Time New Roman" w:eastAsia="黑体" w:hAnsi="Time New Roman" w:hint="eastAsia"/>
        </w:rPr>
        <w:t>/</w:t>
      </w:r>
      <w:r w:rsidRPr="00E7169D">
        <w:rPr>
          <w:rFonts w:ascii="Time New Roman" w:eastAsia="黑体" w:hAnsi="Time New Roman" w:hint="eastAsia"/>
        </w:rPr>
        <w:t>或记录，并定期检查，遇违规情况应充分惩处责任官员。</w:t>
      </w:r>
    </w:p>
    <w:p w:rsidR="00E208F9" w:rsidRDefault="00E208F9" w:rsidP="00676BD5">
      <w:pPr>
        <w:pStyle w:val="H23GC"/>
      </w:pPr>
      <w:r>
        <w:rPr>
          <w:rFonts w:hint="eastAsia"/>
        </w:rPr>
        <w:tab/>
      </w:r>
      <w:r>
        <w:rPr>
          <w:rFonts w:hint="eastAsia"/>
        </w:rPr>
        <w:tab/>
      </w:r>
      <w:r>
        <w:rPr>
          <w:rFonts w:hint="eastAsia"/>
        </w:rPr>
        <w:t>国家防范机制</w:t>
      </w:r>
    </w:p>
    <w:p w:rsidR="00E208F9" w:rsidRDefault="00E208F9" w:rsidP="00E208F9">
      <w:pPr>
        <w:pStyle w:val="SingleTxtGC"/>
      </w:pPr>
      <w:r>
        <w:rPr>
          <w:rFonts w:hint="eastAsia"/>
        </w:rPr>
        <w:t>23.</w:t>
      </w:r>
      <w:r>
        <w:rPr>
          <w:rFonts w:hint="eastAsia"/>
        </w:rPr>
        <w:tab/>
      </w:r>
      <w:r>
        <w:rPr>
          <w:rFonts w:hint="eastAsia"/>
        </w:rPr>
        <w:t>委员会欢迎缔约国批准了《禁止酷刑和其他残忍、不人道或有辱人格的待遇或处罚公约任择议定书》，通过了修订关于设立防止酷刑和其他残忍，不人道或有辱人格的待遇或处罚的国家人权机制的法律，并任命了人权专员作为国家防范机制，认为这些措施有助于防止强迫失踪和其他违反《公约》所载权利和义务的行为。委员会注意到国家防范机制访问了各类场所，但关切的是，有资料显示，一些可能有人被剥夺自由的场所处于相关立法的职权之外。这方面，委员会感兴趣地注意到，</w:t>
      </w:r>
      <w:r>
        <w:rPr>
          <w:rFonts w:hint="eastAsia"/>
        </w:rPr>
        <w:t xml:space="preserve"> </w:t>
      </w:r>
      <w:r>
        <w:rPr>
          <w:rFonts w:hint="eastAsia"/>
        </w:rPr>
        <w:t>缔约国提交的资料表明，正在开展工作，修订相关法律，以扩大国家防范机制访问场所的范围。委员会注意到，缔约国声称国家防范机制在事先不通知的情况下紧急访问的能力不受限制，但关切的是，有报告称，该机制受到一些官僚主义阻碍，实际上限制了其进行此类访问的能力</w:t>
      </w:r>
      <w:r>
        <w:rPr>
          <w:rFonts w:hint="eastAsia"/>
        </w:rPr>
        <w:t>(</w:t>
      </w:r>
      <w:r>
        <w:rPr>
          <w:rFonts w:hint="eastAsia"/>
        </w:rPr>
        <w:t>第十七条</w:t>
      </w:r>
      <w:r>
        <w:rPr>
          <w:rFonts w:hint="eastAsia"/>
        </w:rPr>
        <w:t>)</w:t>
      </w:r>
      <w:r>
        <w:rPr>
          <w:rFonts w:hint="eastAsia"/>
        </w:rPr>
        <w:t>。</w:t>
      </w:r>
    </w:p>
    <w:p w:rsidR="00E208F9" w:rsidRPr="00E7169D" w:rsidRDefault="00E208F9" w:rsidP="00E208F9">
      <w:pPr>
        <w:pStyle w:val="SingleTxtGC"/>
        <w:rPr>
          <w:rFonts w:ascii="Time New Roman" w:eastAsia="黑体" w:hAnsi="Time New Roman" w:hint="eastAsia"/>
        </w:rPr>
      </w:pPr>
      <w:r w:rsidRPr="00E7169D">
        <w:rPr>
          <w:rFonts w:ascii="Time New Roman" w:eastAsia="黑体" w:hAnsi="Time New Roman" w:hint="eastAsia"/>
        </w:rPr>
        <w:t>24.</w:t>
      </w:r>
      <w:r w:rsidRPr="00E7169D">
        <w:rPr>
          <w:rFonts w:ascii="Time New Roman" w:eastAsia="黑体" w:hAnsi="Time New Roman" w:hint="eastAsia"/>
        </w:rPr>
        <w:tab/>
      </w:r>
      <w:r w:rsidRPr="00E7169D">
        <w:rPr>
          <w:rFonts w:ascii="Time New Roman" w:eastAsia="黑体" w:hAnsi="Time New Roman" w:hint="eastAsia"/>
        </w:rPr>
        <w:t>委员会建议缔约国加快修订有关国家防范机制的法律的进程，以确保法律上该机制的职权覆盖可能有人被剥夺自由的全部场所。委员会还建议缔约国采取必要措施，保证实际上国家防范机制能够在</w:t>
      </w:r>
      <w:proofErr w:type="gramStart"/>
      <w:r w:rsidRPr="00E7169D">
        <w:rPr>
          <w:rFonts w:ascii="Time New Roman" w:eastAsia="黑体" w:hAnsi="Time New Roman" w:hint="eastAsia"/>
        </w:rPr>
        <w:t>预先无</w:t>
      </w:r>
      <w:proofErr w:type="gramEnd"/>
      <w:r w:rsidRPr="00E7169D">
        <w:rPr>
          <w:rFonts w:ascii="Time New Roman" w:eastAsia="黑体" w:hAnsi="Time New Roman" w:hint="eastAsia"/>
        </w:rPr>
        <w:t>计划、事先不通知的情况下紧急访问任何剥夺自由的场所而不受任何形式的阻碍。</w:t>
      </w:r>
    </w:p>
    <w:p w:rsidR="00E208F9" w:rsidRDefault="00E208F9" w:rsidP="00676BD5">
      <w:pPr>
        <w:pStyle w:val="H23GC"/>
      </w:pPr>
      <w:r>
        <w:rPr>
          <w:rFonts w:hint="eastAsia"/>
        </w:rPr>
        <w:tab/>
      </w:r>
      <w:r>
        <w:rPr>
          <w:rFonts w:hint="eastAsia"/>
        </w:rPr>
        <w:tab/>
      </w:r>
      <w:r>
        <w:rPr>
          <w:rFonts w:hint="eastAsia"/>
        </w:rPr>
        <w:t>关于《公约》的培训</w:t>
      </w:r>
    </w:p>
    <w:p w:rsidR="00E208F9" w:rsidRDefault="00E208F9" w:rsidP="00E208F9">
      <w:pPr>
        <w:pStyle w:val="SingleTxtGC"/>
      </w:pPr>
      <w:r>
        <w:rPr>
          <w:rFonts w:hint="eastAsia"/>
        </w:rPr>
        <w:t>25.</w:t>
      </w:r>
      <w:r>
        <w:rPr>
          <w:rFonts w:hint="eastAsia"/>
        </w:rPr>
        <w:tab/>
      </w:r>
      <w:r>
        <w:rPr>
          <w:rFonts w:hint="eastAsia"/>
        </w:rPr>
        <w:t>委员会欣见缔约国就法官、军事人员和内务人员定期培训，包括国际人权法培训提供的资料，主要是关于培训执法人员如何处理人员失踪等《公约》相关问题的资料。但委员会注意到，缔约国未按《公约》第二十三条第一款的内容就《公约》相关规定对所有国家官员进行专门定期培训</w:t>
      </w:r>
      <w:r>
        <w:rPr>
          <w:rFonts w:hint="eastAsia"/>
        </w:rPr>
        <w:t>(</w:t>
      </w:r>
      <w:r>
        <w:rPr>
          <w:rFonts w:hint="eastAsia"/>
        </w:rPr>
        <w:t>第二十三条</w:t>
      </w:r>
      <w:r>
        <w:rPr>
          <w:rFonts w:hint="eastAsia"/>
        </w:rPr>
        <w:t>)</w:t>
      </w:r>
      <w:r>
        <w:rPr>
          <w:rFonts w:hint="eastAsia"/>
        </w:rPr>
        <w:t>。</w:t>
      </w:r>
    </w:p>
    <w:p w:rsidR="00E208F9" w:rsidRPr="00E7169D" w:rsidRDefault="00E208F9" w:rsidP="00E7169D">
      <w:pPr>
        <w:pStyle w:val="SingleTxtGC"/>
        <w:rPr>
          <w:rFonts w:ascii="Time New Roman" w:eastAsia="黑体" w:hAnsi="Time New Roman" w:hint="eastAsia"/>
        </w:rPr>
      </w:pPr>
      <w:r w:rsidRPr="00E7169D">
        <w:rPr>
          <w:rFonts w:ascii="Time New Roman" w:eastAsia="黑体" w:hAnsi="Time New Roman" w:hint="eastAsia"/>
        </w:rPr>
        <w:t>26.</w:t>
      </w:r>
      <w:r w:rsidRPr="00E7169D">
        <w:rPr>
          <w:rFonts w:ascii="Time New Roman" w:eastAsia="黑体" w:hAnsi="Time New Roman" w:hint="eastAsia"/>
        </w:rPr>
        <w:tab/>
      </w:r>
      <w:r w:rsidRPr="00E7169D">
        <w:rPr>
          <w:rFonts w:ascii="Time New Roman" w:eastAsia="黑体" w:hAnsi="Time New Roman" w:hint="eastAsia"/>
        </w:rPr>
        <w:t>委员会建议缔约国确保所有执法和安全人员</w:t>
      </w:r>
      <w:r w:rsidRPr="00E7169D">
        <w:rPr>
          <w:rFonts w:ascii="Time New Roman" w:eastAsia="黑体" w:hAnsi="Time New Roman" w:hint="eastAsia"/>
        </w:rPr>
        <w:t>(</w:t>
      </w:r>
      <w:r w:rsidRPr="00E7169D">
        <w:rPr>
          <w:rFonts w:ascii="Time New Roman" w:eastAsia="黑体" w:hAnsi="Time New Roman" w:hint="eastAsia"/>
        </w:rPr>
        <w:t>无论文职或军事人员</w:t>
      </w:r>
      <w:r w:rsidRPr="00E7169D">
        <w:rPr>
          <w:rFonts w:ascii="Time New Roman" w:eastAsia="黑体" w:hAnsi="Time New Roman" w:hint="eastAsia"/>
        </w:rPr>
        <w:t>)</w:t>
      </w:r>
      <w:r w:rsidRPr="00E7169D">
        <w:rPr>
          <w:rFonts w:ascii="Time New Roman" w:eastAsia="黑体" w:hAnsi="Time New Roman" w:hint="eastAsia"/>
        </w:rPr>
        <w:t>、医务人员、公职人员和其他可能参与监押或处置被剥夺自由者的人，包括法官、检察官以及其他负责司法的官员，按《公约》第二十三条第一款，定期接受关于《公约》规定的专门培训。</w:t>
      </w:r>
    </w:p>
    <w:p w:rsidR="00E208F9" w:rsidRDefault="00E208F9" w:rsidP="003917E9">
      <w:pPr>
        <w:pStyle w:val="H1GC"/>
      </w:pPr>
      <w:r>
        <w:rPr>
          <w:rFonts w:hint="eastAsia"/>
        </w:rPr>
        <w:lastRenderedPageBreak/>
        <w:tab/>
      </w:r>
      <w:r>
        <w:rPr>
          <w:rFonts w:hint="eastAsia"/>
        </w:rPr>
        <w:tab/>
      </w:r>
      <w:r>
        <w:rPr>
          <w:rFonts w:hint="eastAsia"/>
        </w:rPr>
        <w:t>赔偿措施和保护儿童免遭强迫失踪的措施</w:t>
      </w:r>
      <w:r>
        <w:rPr>
          <w:rFonts w:hint="eastAsia"/>
        </w:rPr>
        <w:t>(</w:t>
      </w:r>
      <w:r>
        <w:rPr>
          <w:rFonts w:hint="eastAsia"/>
        </w:rPr>
        <w:t>第二十四至第二十五条</w:t>
      </w:r>
      <w:r>
        <w:rPr>
          <w:rFonts w:hint="eastAsia"/>
        </w:rPr>
        <w:t>)</w:t>
      </w:r>
    </w:p>
    <w:p w:rsidR="00E208F9" w:rsidRDefault="00E208F9" w:rsidP="003917E9">
      <w:pPr>
        <w:pStyle w:val="H23GC"/>
      </w:pPr>
      <w:r>
        <w:rPr>
          <w:rFonts w:hint="eastAsia"/>
        </w:rPr>
        <w:tab/>
      </w:r>
      <w:r>
        <w:rPr>
          <w:rFonts w:hint="eastAsia"/>
        </w:rPr>
        <w:tab/>
      </w:r>
      <w:r>
        <w:rPr>
          <w:rFonts w:hint="eastAsia"/>
        </w:rPr>
        <w:t>受害人的定义以及获得补偿与及时、公正和充分赔偿的权利</w:t>
      </w:r>
    </w:p>
    <w:p w:rsidR="00E208F9" w:rsidRDefault="00E208F9" w:rsidP="00E208F9">
      <w:pPr>
        <w:pStyle w:val="SingleTxtGC"/>
      </w:pPr>
      <w:r>
        <w:rPr>
          <w:rFonts w:hint="eastAsia"/>
        </w:rPr>
        <w:t>27.</w:t>
      </w:r>
      <w:r>
        <w:rPr>
          <w:rFonts w:hint="eastAsia"/>
        </w:rPr>
        <w:tab/>
      </w:r>
      <w:r>
        <w:rPr>
          <w:rFonts w:hint="eastAsia"/>
        </w:rPr>
        <w:t>委员会注意到，国内法律中没有符合《公约》第二十四条第一款定义的受害人的定义，同时注意到，缔约国声称，《刑事诉讼法》第</w:t>
      </w:r>
      <w:r>
        <w:rPr>
          <w:rFonts w:hint="eastAsia"/>
        </w:rPr>
        <w:t>71</w:t>
      </w:r>
      <w:r>
        <w:rPr>
          <w:rFonts w:hint="eastAsia"/>
        </w:rPr>
        <w:t>条中受害方的概念涵盖了所有因刑事行为受到伤害者。委员会还注意到缔约国提供的关于赔偿和补偿方面立法的资料，具体包括《刑事诉讼法》第</w:t>
      </w:r>
      <w:r>
        <w:rPr>
          <w:rFonts w:hint="eastAsia"/>
        </w:rPr>
        <w:t>71</w:t>
      </w:r>
      <w:r>
        <w:rPr>
          <w:rFonts w:hint="eastAsia"/>
        </w:rPr>
        <w:t>条和关于特殊社会服务的法律，以及国家预算支付赔偿和补偿的情况。但委员会认为，国内法律未规定完全符合《公约》第二十四条第四和第五款要求的综合补偿体系</w:t>
      </w:r>
      <w:r>
        <w:rPr>
          <w:rFonts w:hint="eastAsia"/>
        </w:rPr>
        <w:t>(</w:t>
      </w:r>
      <w:r>
        <w:rPr>
          <w:rFonts w:hint="eastAsia"/>
        </w:rPr>
        <w:t>第二十四条</w:t>
      </w:r>
      <w:r>
        <w:rPr>
          <w:rFonts w:hint="eastAsia"/>
        </w:rPr>
        <w:t>)</w:t>
      </w:r>
      <w:r>
        <w:rPr>
          <w:rFonts w:hint="eastAsia"/>
        </w:rPr>
        <w:t>。</w:t>
      </w:r>
    </w:p>
    <w:p w:rsidR="00E208F9" w:rsidRPr="00EB0587" w:rsidRDefault="00E208F9" w:rsidP="00E208F9">
      <w:pPr>
        <w:pStyle w:val="SingleTxtGC"/>
        <w:rPr>
          <w:rFonts w:ascii="Time New Roman" w:eastAsia="黑体" w:hAnsi="Time New Roman" w:hint="eastAsia"/>
        </w:rPr>
      </w:pPr>
      <w:r w:rsidRPr="00EB0587">
        <w:rPr>
          <w:rFonts w:ascii="Time New Roman" w:eastAsia="黑体" w:hAnsi="Time New Roman" w:hint="eastAsia"/>
        </w:rPr>
        <w:t>28.</w:t>
      </w:r>
      <w:r w:rsidRPr="00EB0587">
        <w:rPr>
          <w:rFonts w:ascii="Time New Roman" w:eastAsia="黑体" w:hAnsi="Time New Roman" w:hint="eastAsia"/>
        </w:rPr>
        <w:tab/>
      </w:r>
      <w:r w:rsidRPr="00EB0587">
        <w:rPr>
          <w:rFonts w:ascii="Time New Roman" w:eastAsia="黑体" w:hAnsi="Time New Roman" w:hint="eastAsia"/>
        </w:rPr>
        <w:t>委员会建议缔约国采取适当措施，包括为司法人员提供适当培训，确保依照《公约》第二十四条第一款所载受害人定义适用《刑事诉讼法》第</w:t>
      </w:r>
      <w:r w:rsidRPr="00EB0587">
        <w:rPr>
          <w:rFonts w:ascii="Time New Roman" w:eastAsia="黑体" w:hAnsi="Time New Roman" w:hint="eastAsia"/>
        </w:rPr>
        <w:t>71</w:t>
      </w:r>
      <w:r w:rsidRPr="00EB0587">
        <w:rPr>
          <w:rFonts w:ascii="Time New Roman" w:eastAsia="黑体" w:hAnsi="Time New Roman" w:hint="eastAsia"/>
        </w:rPr>
        <w:t>条中受害方的概念。委员会还建议缔约国采取必要措施，确保凡因强迫失踪直接受到伤害的人员均按《公约》第二十四条第五款获充足补偿并及时获得公正充分的赔偿。为此，委员会建议缔约国完全按照《公约》第二十四条第四和第五款及其他相关国际标准，设立考虑性别的补偿和赔偿综合体制。</w:t>
      </w:r>
    </w:p>
    <w:p w:rsidR="00E208F9" w:rsidRDefault="00E208F9" w:rsidP="00676BD5">
      <w:pPr>
        <w:pStyle w:val="H23GC"/>
      </w:pPr>
      <w:r>
        <w:rPr>
          <w:rFonts w:hint="eastAsia"/>
        </w:rPr>
        <w:tab/>
      </w:r>
      <w:r>
        <w:rPr>
          <w:rFonts w:hint="eastAsia"/>
        </w:rPr>
        <w:tab/>
      </w:r>
      <w:r>
        <w:rPr>
          <w:rFonts w:hint="eastAsia"/>
        </w:rPr>
        <w:t>下落不明的失踪者及其亲属的法律地位</w:t>
      </w:r>
    </w:p>
    <w:p w:rsidR="00E208F9" w:rsidRDefault="00E208F9" w:rsidP="00E208F9">
      <w:pPr>
        <w:pStyle w:val="SingleTxtGC"/>
      </w:pPr>
      <w:r>
        <w:rPr>
          <w:rFonts w:hint="eastAsia"/>
        </w:rPr>
        <w:t>29.</w:t>
      </w:r>
      <w:r>
        <w:rPr>
          <w:rFonts w:hint="eastAsia"/>
        </w:rPr>
        <w:tab/>
      </w:r>
      <w:r>
        <w:rPr>
          <w:rFonts w:hint="eastAsia"/>
        </w:rPr>
        <w:t>委员会注意到，缔约国声称，国家法律确保维护失踪者及亲属的财产权。但遗憾的是，未收到充分资料，说明下落不明的失踪者及其亲属在社会福利和家庭法等领域法律地位所适用的法律</w:t>
      </w:r>
      <w:r>
        <w:rPr>
          <w:rFonts w:hint="eastAsia"/>
        </w:rPr>
        <w:t>(</w:t>
      </w:r>
      <w:r>
        <w:rPr>
          <w:rFonts w:hint="eastAsia"/>
        </w:rPr>
        <w:t>第二十四条</w:t>
      </w:r>
      <w:r>
        <w:rPr>
          <w:rFonts w:hint="eastAsia"/>
        </w:rPr>
        <w:t>)</w:t>
      </w:r>
      <w:r>
        <w:rPr>
          <w:rFonts w:hint="eastAsia"/>
        </w:rPr>
        <w:t>。</w:t>
      </w:r>
    </w:p>
    <w:p w:rsidR="00E208F9" w:rsidRPr="00EB0587" w:rsidRDefault="00E208F9" w:rsidP="00E208F9">
      <w:pPr>
        <w:pStyle w:val="SingleTxtGC"/>
        <w:rPr>
          <w:rFonts w:ascii="Time New Roman" w:eastAsia="黑体" w:hAnsi="Time New Roman" w:hint="eastAsia"/>
        </w:rPr>
      </w:pPr>
      <w:r w:rsidRPr="00EB0587">
        <w:rPr>
          <w:rFonts w:ascii="Time New Roman" w:eastAsia="黑体" w:hAnsi="Time New Roman" w:hint="eastAsia"/>
        </w:rPr>
        <w:t>30.</w:t>
      </w:r>
      <w:r w:rsidRPr="00EB0587">
        <w:rPr>
          <w:rFonts w:ascii="Time New Roman" w:eastAsia="黑体" w:hAnsi="Time New Roman" w:hint="eastAsia"/>
        </w:rPr>
        <w:tab/>
      </w:r>
      <w:r w:rsidRPr="00EB0587">
        <w:rPr>
          <w:rFonts w:ascii="Time New Roman" w:eastAsia="黑体" w:hAnsi="Time New Roman" w:hint="eastAsia"/>
        </w:rPr>
        <w:t>考虑到《公约》第二十四条第六款，委员会建议缔约国采取必要措施，保证国内法律在社会福利、金融事务、家庭法和财产权利等领域妥善处理下落不明的失踪者及其亲属的法律地位。为此，委员会鼓励缔约国设立一个程序，以取得因强迫失踪而下落不明的声明。</w:t>
      </w:r>
    </w:p>
    <w:p w:rsidR="00E208F9" w:rsidRDefault="00E208F9" w:rsidP="00676BD5">
      <w:pPr>
        <w:pStyle w:val="H23GC"/>
      </w:pPr>
      <w:r>
        <w:rPr>
          <w:rFonts w:hint="eastAsia"/>
        </w:rPr>
        <w:tab/>
      </w:r>
      <w:r>
        <w:rPr>
          <w:rFonts w:hint="eastAsia"/>
        </w:rPr>
        <w:tab/>
      </w:r>
      <w:r>
        <w:rPr>
          <w:rFonts w:hint="eastAsia"/>
        </w:rPr>
        <w:t>关于非法劫持儿童的立法</w:t>
      </w:r>
    </w:p>
    <w:p w:rsidR="00E208F9" w:rsidRDefault="00E208F9" w:rsidP="00E208F9">
      <w:pPr>
        <w:pStyle w:val="SingleTxtGC"/>
      </w:pPr>
      <w:r>
        <w:rPr>
          <w:rFonts w:hint="eastAsia"/>
        </w:rPr>
        <w:t>31.</w:t>
      </w:r>
      <w:r>
        <w:rPr>
          <w:rFonts w:hint="eastAsia"/>
        </w:rPr>
        <w:tab/>
      </w:r>
      <w:r>
        <w:rPr>
          <w:rFonts w:hint="eastAsia"/>
        </w:rPr>
        <w:t>委员会注意到缔约国提供的现行儿童权利法律保护机制的资料，并关切地注意到，现行法律未将《公约》第二十五条第一款所指非法劫持儿童的相关行动明文定为犯罪</w:t>
      </w:r>
      <w:r>
        <w:rPr>
          <w:rFonts w:hint="eastAsia"/>
        </w:rPr>
        <w:t>(</w:t>
      </w:r>
      <w:r>
        <w:rPr>
          <w:rFonts w:hint="eastAsia"/>
        </w:rPr>
        <w:t>第二十五条</w:t>
      </w:r>
      <w:r>
        <w:rPr>
          <w:rFonts w:hint="eastAsia"/>
        </w:rPr>
        <w:t>)</w:t>
      </w:r>
      <w:r>
        <w:rPr>
          <w:rFonts w:hint="eastAsia"/>
        </w:rPr>
        <w:t>。</w:t>
      </w:r>
    </w:p>
    <w:p w:rsidR="00E208F9" w:rsidRPr="00EB0587" w:rsidRDefault="00E208F9" w:rsidP="00E208F9">
      <w:pPr>
        <w:pStyle w:val="SingleTxtGC"/>
        <w:rPr>
          <w:rFonts w:ascii="Time New Roman" w:eastAsia="黑体" w:hAnsi="Time New Roman" w:hint="eastAsia"/>
        </w:rPr>
      </w:pPr>
      <w:r w:rsidRPr="00EB0587">
        <w:rPr>
          <w:rFonts w:ascii="Time New Roman" w:eastAsia="黑体" w:hAnsi="Time New Roman" w:hint="eastAsia"/>
        </w:rPr>
        <w:t>32.</w:t>
      </w:r>
      <w:r w:rsidRPr="00EB0587">
        <w:rPr>
          <w:rFonts w:ascii="Time New Roman" w:eastAsia="黑体" w:hAnsi="Time New Roman" w:hint="eastAsia"/>
        </w:rPr>
        <w:tab/>
      </w:r>
      <w:r w:rsidRPr="00EB0587">
        <w:rPr>
          <w:rFonts w:ascii="Time New Roman" w:eastAsia="黑体" w:hAnsi="Time New Roman" w:hint="eastAsia"/>
        </w:rPr>
        <w:t>委员会建议缔约国采取必要法律措施，将《公约》第二十五条第一款所指行动明文定为犯罪，并考虑这些行动的格外严重性，加以适当处罚。</w:t>
      </w:r>
    </w:p>
    <w:p w:rsidR="00E208F9" w:rsidRDefault="00E208F9" w:rsidP="003917E9">
      <w:pPr>
        <w:pStyle w:val="H1GC"/>
      </w:pPr>
      <w:r>
        <w:rPr>
          <w:rFonts w:hint="eastAsia"/>
        </w:rPr>
        <w:tab/>
        <w:t>D.</w:t>
      </w:r>
      <w:r>
        <w:rPr>
          <w:rFonts w:hint="eastAsia"/>
        </w:rPr>
        <w:tab/>
      </w:r>
      <w:r>
        <w:rPr>
          <w:rFonts w:hint="eastAsia"/>
        </w:rPr>
        <w:t>传播和后续行动</w:t>
      </w:r>
    </w:p>
    <w:p w:rsidR="00E208F9" w:rsidRDefault="00E208F9" w:rsidP="00E208F9">
      <w:pPr>
        <w:pStyle w:val="SingleTxtGC"/>
      </w:pPr>
      <w:r>
        <w:rPr>
          <w:rFonts w:hint="eastAsia"/>
        </w:rPr>
        <w:t>33.</w:t>
      </w:r>
      <w:r>
        <w:rPr>
          <w:rFonts w:hint="eastAsia"/>
        </w:rPr>
        <w:tab/>
      </w:r>
      <w:r>
        <w:rPr>
          <w:rFonts w:hint="eastAsia"/>
        </w:rPr>
        <w:t>委员会重申各国在加入《公约》时承担的义务，为此促请缔约国确保其采取的所有措施，无论性质和源自何种主管当局，均完全符合它在加入《公约》和其他有关国际文书时承担的义务。</w:t>
      </w:r>
    </w:p>
    <w:p w:rsidR="00E208F9" w:rsidRDefault="00E208F9" w:rsidP="00E208F9">
      <w:pPr>
        <w:pStyle w:val="SingleTxtGC"/>
      </w:pPr>
      <w:r>
        <w:rPr>
          <w:rFonts w:hint="eastAsia"/>
        </w:rPr>
        <w:lastRenderedPageBreak/>
        <w:t>34.</w:t>
      </w:r>
      <w:r>
        <w:rPr>
          <w:rFonts w:hint="eastAsia"/>
        </w:rPr>
        <w:tab/>
      </w:r>
      <w:r>
        <w:rPr>
          <w:rFonts w:hint="eastAsia"/>
        </w:rPr>
        <w:t>委员会强调，强迫失踪对妇女和儿童的人权影响特别严酷。遭受强迫失踪的妇女特别容易遭到性暴力和其他形式的性别暴力。作为失踪者亲属的妇女在努力寻找亲人下落时特别容易陷入严重的社会和经济困境，并遭到暴力、迫害和报复。作为强迫失踪受害者的儿童，要么因本人遭受失踪，要么因遭受亲人失踪的后果，特别容易遭受大量侵犯人权行为，包括身份置换。在这方面，委员会特别强调，缔约国需确保在实施《公约》规定的权利和义务时注重性别视角和采用体恤儿童的方法。</w:t>
      </w:r>
    </w:p>
    <w:p w:rsidR="00E208F9" w:rsidRDefault="00E208F9" w:rsidP="00E208F9">
      <w:pPr>
        <w:pStyle w:val="SingleTxtGC"/>
      </w:pPr>
      <w:r>
        <w:rPr>
          <w:rFonts w:hint="eastAsia"/>
        </w:rPr>
        <w:t>35.</w:t>
      </w:r>
      <w:r>
        <w:rPr>
          <w:rFonts w:hint="eastAsia"/>
        </w:rPr>
        <w:tab/>
      </w:r>
      <w:r>
        <w:rPr>
          <w:rFonts w:hint="eastAsia"/>
        </w:rPr>
        <w:t>委员会鼓励缔约国广泛宣传《公约》、根据第二十九条第一款提交的报告、对委员会所拟问题单的书面答复和本结论性意见，以提高司法、立法和行政机关、民间社会和在缔约国运作的非政府组织以及一般公众的认识。委员会还鼓励缔约国推动民间社会参与按照本结论性意见采取的行动。</w:t>
      </w:r>
    </w:p>
    <w:p w:rsidR="00E208F9" w:rsidRDefault="00E208F9" w:rsidP="00E208F9">
      <w:pPr>
        <w:pStyle w:val="SingleTxtGC"/>
      </w:pPr>
      <w:r>
        <w:rPr>
          <w:rFonts w:hint="eastAsia"/>
        </w:rPr>
        <w:t>36.</w:t>
      </w:r>
      <w:r>
        <w:rPr>
          <w:rFonts w:hint="eastAsia"/>
        </w:rPr>
        <w:tab/>
      </w:r>
      <w:r>
        <w:rPr>
          <w:rFonts w:hint="eastAsia"/>
        </w:rPr>
        <w:t>根据委员会议事规则，缔约国应最迟于</w:t>
      </w:r>
      <w:r>
        <w:rPr>
          <w:rFonts w:hint="eastAsia"/>
        </w:rPr>
        <w:t>2017</w:t>
      </w:r>
      <w:r>
        <w:rPr>
          <w:rFonts w:hint="eastAsia"/>
        </w:rPr>
        <w:t>年</w:t>
      </w:r>
      <w:r>
        <w:rPr>
          <w:rFonts w:hint="eastAsia"/>
        </w:rPr>
        <w:t>3</w:t>
      </w:r>
      <w:r>
        <w:rPr>
          <w:rFonts w:hint="eastAsia"/>
        </w:rPr>
        <w:t>月</w:t>
      </w:r>
      <w:r>
        <w:rPr>
          <w:rFonts w:hint="eastAsia"/>
        </w:rPr>
        <w:t>18</w:t>
      </w:r>
      <w:r>
        <w:rPr>
          <w:rFonts w:hint="eastAsia"/>
        </w:rPr>
        <w:t>日之前提交资料，说明第</w:t>
      </w:r>
      <w:r>
        <w:rPr>
          <w:rFonts w:hint="eastAsia"/>
        </w:rPr>
        <w:t>12</w:t>
      </w:r>
      <w:r>
        <w:rPr>
          <w:rFonts w:hint="eastAsia"/>
        </w:rPr>
        <w:t>、第</w:t>
      </w:r>
      <w:r>
        <w:rPr>
          <w:rFonts w:hint="eastAsia"/>
        </w:rPr>
        <w:t>20</w:t>
      </w:r>
      <w:r>
        <w:rPr>
          <w:rFonts w:hint="eastAsia"/>
        </w:rPr>
        <w:t>和第</w:t>
      </w:r>
      <w:r>
        <w:rPr>
          <w:rFonts w:hint="eastAsia"/>
        </w:rPr>
        <w:t>22</w:t>
      </w:r>
      <w:r>
        <w:rPr>
          <w:rFonts w:hint="eastAsia"/>
        </w:rPr>
        <w:t>段所载建议的落实情况。</w:t>
      </w:r>
    </w:p>
    <w:p w:rsidR="00E208F9" w:rsidRDefault="00E208F9" w:rsidP="00E208F9">
      <w:pPr>
        <w:pStyle w:val="SingleTxtGC"/>
      </w:pPr>
      <w:r>
        <w:rPr>
          <w:rFonts w:hint="eastAsia"/>
        </w:rPr>
        <w:t>37.</w:t>
      </w:r>
      <w:r>
        <w:rPr>
          <w:rFonts w:hint="eastAsia"/>
        </w:rPr>
        <w:tab/>
      </w:r>
      <w:r>
        <w:rPr>
          <w:rFonts w:hint="eastAsia"/>
        </w:rPr>
        <w:t>根据《公约》第二十九条第四款，委员会请缔约国最迟于</w:t>
      </w:r>
      <w:r>
        <w:rPr>
          <w:rFonts w:hint="eastAsia"/>
        </w:rPr>
        <w:t>2022</w:t>
      </w:r>
      <w:r>
        <w:rPr>
          <w:rFonts w:hint="eastAsia"/>
        </w:rPr>
        <w:t>年</w:t>
      </w:r>
      <w:r>
        <w:rPr>
          <w:rFonts w:hint="eastAsia"/>
        </w:rPr>
        <w:t>3</w:t>
      </w:r>
      <w:r>
        <w:rPr>
          <w:rFonts w:hint="eastAsia"/>
        </w:rPr>
        <w:t>月</w:t>
      </w:r>
      <w:r>
        <w:rPr>
          <w:rFonts w:hint="eastAsia"/>
        </w:rPr>
        <w:t>18</w:t>
      </w:r>
      <w:r>
        <w:rPr>
          <w:rFonts w:hint="eastAsia"/>
        </w:rPr>
        <w:t>日之前以文件形式提交所有建议落实情况的最新具体资料和履行《公约》义务情况的任何其他新资料，文件应按《公约》缔约国根据第二十九条提交报告的格式和内容准则撰写</w:t>
      </w:r>
      <w:r>
        <w:rPr>
          <w:rFonts w:hint="eastAsia"/>
        </w:rPr>
        <w:t>(</w:t>
      </w:r>
      <w:r>
        <w:rPr>
          <w:rFonts w:hint="eastAsia"/>
        </w:rPr>
        <w:t>见</w:t>
      </w:r>
      <w:proofErr w:type="spellStart"/>
      <w:r>
        <w:rPr>
          <w:rFonts w:hint="eastAsia"/>
        </w:rPr>
        <w:t>CED</w:t>
      </w:r>
      <w:proofErr w:type="spellEnd"/>
      <w:r>
        <w:rPr>
          <w:rFonts w:hint="eastAsia"/>
        </w:rPr>
        <w:t>/C/2,</w:t>
      </w:r>
      <w:r w:rsidR="00CC5485">
        <w:t xml:space="preserve"> </w:t>
      </w:r>
      <w:r>
        <w:rPr>
          <w:rFonts w:hint="eastAsia"/>
        </w:rPr>
        <w:t>第</w:t>
      </w:r>
      <w:r>
        <w:rPr>
          <w:rFonts w:hint="eastAsia"/>
        </w:rPr>
        <w:t>39</w:t>
      </w:r>
      <w:r>
        <w:rPr>
          <w:rFonts w:hint="eastAsia"/>
        </w:rPr>
        <w:t>段</w:t>
      </w:r>
      <w:r>
        <w:rPr>
          <w:rFonts w:hint="eastAsia"/>
        </w:rPr>
        <w:t>)</w:t>
      </w:r>
      <w:r>
        <w:rPr>
          <w:rFonts w:hint="eastAsia"/>
        </w:rPr>
        <w:t>。委员会鼓励缔约国促进和便利民间社会参与编写这一资料</w:t>
      </w:r>
      <w:r w:rsidR="00CC5485">
        <w:rPr>
          <w:rFonts w:hint="eastAsia"/>
        </w:rPr>
        <w:t>。</w:t>
      </w:r>
    </w:p>
    <w:p w:rsidR="00CC5485" w:rsidRPr="002D6A9C" w:rsidRDefault="00CC548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C5485" w:rsidRPr="00E208F9" w:rsidRDefault="00CC5485" w:rsidP="00E208F9">
      <w:pPr>
        <w:pStyle w:val="SingleTxtGC"/>
      </w:pPr>
    </w:p>
    <w:sectPr w:rsidR="00CC5485" w:rsidRPr="00E208F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4F90" w:rsidRPr="000D319F" w:rsidRDefault="00B84F90" w:rsidP="000D319F">
      <w:pPr>
        <w:pStyle w:val="ae"/>
        <w:spacing w:after="240"/>
        <w:ind w:left="907"/>
        <w:rPr>
          <w:rFonts w:asciiTheme="majorBidi" w:eastAsia="宋体" w:hAnsiTheme="majorBidi" w:cstheme="majorBidi"/>
          <w:sz w:val="21"/>
          <w:szCs w:val="21"/>
          <w:lang w:val="en-US"/>
        </w:rPr>
      </w:pPr>
    </w:p>
    <w:p w:rsidR="00B84F90" w:rsidRPr="000D319F" w:rsidRDefault="00B84F90"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84F90" w:rsidRPr="000D319F" w:rsidRDefault="00B84F90" w:rsidP="000D319F">
      <w:pPr>
        <w:pStyle w:val="ae"/>
      </w:pPr>
    </w:p>
  </w:endnote>
  <w:endnote w:type="continuationNotice" w:id="1">
    <w:p w:rsidR="00B84F90" w:rsidRDefault="00B84F9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208F9" w:rsidRDefault="00E208F9" w:rsidP="00E208F9">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A270B4">
      <w:rPr>
        <w:rStyle w:val="af"/>
        <w:noProof/>
      </w:rPr>
      <w:t>2</w:t>
    </w:r>
    <w:r>
      <w:rPr>
        <w:rStyle w:val="af"/>
      </w:rPr>
      <w:fldChar w:fldCharType="end"/>
    </w:r>
    <w:r>
      <w:rPr>
        <w:rStyle w:val="af"/>
      </w:rPr>
      <w:tab/>
    </w:r>
    <w:proofErr w:type="spellStart"/>
    <w:r w:rsidRPr="00E208F9">
      <w:rPr>
        <w:rStyle w:val="af"/>
        <w:b w:val="0"/>
        <w:snapToGrid w:val="0"/>
        <w:sz w:val="16"/>
      </w:rPr>
      <w:t>GE.16</w:t>
    </w:r>
    <w:proofErr w:type="spellEnd"/>
    <w:r w:rsidRPr="00E208F9">
      <w:rPr>
        <w:rStyle w:val="af"/>
        <w:b w:val="0"/>
        <w:snapToGrid w:val="0"/>
        <w:sz w:val="16"/>
      </w:rPr>
      <w:t>-08091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208F9" w:rsidRDefault="00E208F9" w:rsidP="00E208F9">
    <w:pPr>
      <w:pStyle w:val="ae"/>
      <w:tabs>
        <w:tab w:val="clear" w:pos="431"/>
        <w:tab w:val="right" w:pos="9638"/>
      </w:tabs>
      <w:rPr>
        <w:rStyle w:val="af"/>
      </w:rPr>
    </w:pPr>
    <w:proofErr w:type="spellStart"/>
    <w:r>
      <w:t>GE.16</w:t>
    </w:r>
    <w:proofErr w:type="spellEnd"/>
    <w:r>
      <w:t>-08091</w:t>
    </w:r>
    <w:r>
      <w:tab/>
    </w:r>
    <w:r>
      <w:rPr>
        <w:rStyle w:val="af"/>
      </w:rPr>
      <w:fldChar w:fldCharType="begin"/>
    </w:r>
    <w:r>
      <w:rPr>
        <w:rStyle w:val="af"/>
      </w:rPr>
      <w:instrText xml:space="preserve"> PAGE  \* MERGEFORMAT </w:instrText>
    </w:r>
    <w:r>
      <w:rPr>
        <w:rStyle w:val="af"/>
      </w:rPr>
      <w:fldChar w:fldCharType="separate"/>
    </w:r>
    <w:r w:rsidR="00A270B4">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466071" w:rsidRDefault="00E208F9" w:rsidP="00E208F9">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-08091</w:t>
    </w:r>
    <w:r w:rsidR="00731A42" w:rsidRPr="00EE277A">
      <w:rPr>
        <w:sz w:val="20"/>
        <w:lang w:eastAsia="zh-CN"/>
      </w:rPr>
      <w:t xml:space="preserve"> (C)</w:t>
    </w:r>
    <w:r w:rsidR="00466071">
      <w:rPr>
        <w:sz w:val="20"/>
        <w:lang w:eastAsia="zh-CN"/>
      </w:rPr>
      <w:tab/>
    </w:r>
    <w:r>
      <w:rPr>
        <w:sz w:val="20"/>
        <w:lang w:eastAsia="zh-CN"/>
      </w:rPr>
      <w:t>28</w:t>
    </w:r>
    <w:r w:rsidR="00466071">
      <w:rPr>
        <w:sz w:val="20"/>
        <w:lang w:eastAsia="zh-CN"/>
      </w:rPr>
      <w:t>0</w:t>
    </w:r>
    <w:r>
      <w:rPr>
        <w:sz w:val="20"/>
        <w:lang w:eastAsia="zh-CN"/>
      </w:rPr>
      <w:t>7</w:t>
    </w:r>
    <w:r w:rsidR="00466071">
      <w:rPr>
        <w:sz w:val="20"/>
        <w:lang w:eastAsia="zh-CN"/>
      </w:rPr>
      <w:t>1</w:t>
    </w:r>
    <w:r w:rsidR="00953301">
      <w:rPr>
        <w:rFonts w:eastAsiaTheme="minorEastAsia" w:hint="eastAsia"/>
        <w:sz w:val="20"/>
        <w:lang w:eastAsia="zh-CN"/>
      </w:rPr>
      <w:t>6</w:t>
    </w:r>
    <w:r w:rsidR="00731A42">
      <w:rPr>
        <w:sz w:val="20"/>
        <w:lang w:eastAsia="zh-CN"/>
      </w:rPr>
      <w:tab/>
    </w:r>
    <w:r w:rsidR="00731A42" w:rsidRPr="00EE277A">
      <w:rPr>
        <w:sz w:val="20"/>
        <w:lang w:eastAsia="zh-CN"/>
      </w:rPr>
      <w:t>0</w:t>
    </w:r>
    <w:r>
      <w:rPr>
        <w:sz w:val="20"/>
        <w:lang w:eastAsia="zh-CN"/>
      </w:rPr>
      <w:t>3</w:t>
    </w:r>
    <w:r w:rsidR="00731A42">
      <w:rPr>
        <w:sz w:val="20"/>
        <w:lang w:eastAsia="zh-CN"/>
      </w:rPr>
      <w:t>0</w:t>
    </w:r>
    <w:r>
      <w:rPr>
        <w:sz w:val="20"/>
        <w:lang w:eastAsia="zh-CN"/>
      </w:rPr>
      <w:t>8</w:t>
    </w:r>
    <w:r w:rsidR="00731A42">
      <w:rPr>
        <w:sz w:val="20"/>
        <w:lang w:eastAsia="zh-CN"/>
      </w:rPr>
      <w:t>1</w:t>
    </w:r>
    <w:r w:rsidR="00953301">
      <w:rPr>
        <w:rFonts w:eastAsiaTheme="minorEastAsia" w:hint="eastAsia"/>
        <w:sz w:val="20"/>
        <w:lang w:eastAsia="zh-CN"/>
      </w:rPr>
      <w:t>6</w:t>
    </w:r>
  </w:p>
  <w:p w:rsidR="00056632" w:rsidRPr="00487939" w:rsidRDefault="00E208F9"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ED/C/KAZ/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KAZ/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13B3FD9" wp14:editId="090D5A1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4F90" w:rsidRPr="000157B1" w:rsidRDefault="00B84F9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84F90" w:rsidRPr="000157B1" w:rsidRDefault="00B84F90"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84F90" w:rsidRDefault="00B84F90"/>
  </w:footnote>
  <w:footnote w:id="2">
    <w:p w:rsidR="00E208F9" w:rsidRDefault="00E208F9" w:rsidP="0075760A">
      <w:pPr>
        <w:pStyle w:val="a6"/>
      </w:pPr>
      <w:r>
        <w:tab/>
      </w:r>
      <w:r w:rsidRPr="00454BF3">
        <w:rPr>
          <w:rStyle w:val="a7"/>
          <w:rFonts w:eastAsia="宋体"/>
          <w:szCs w:val="21"/>
          <w:vertAlign w:val="baseline"/>
        </w:rPr>
        <w:t>*</w:t>
      </w:r>
      <w:r>
        <w:tab/>
      </w:r>
      <w:r>
        <w:rPr>
          <w:rFonts w:hint="eastAsia"/>
        </w:rPr>
        <w:t>委员会第十届会议通过</w:t>
      </w:r>
      <w:r w:rsidRPr="00966653">
        <w:rPr>
          <w:lang w:val="en-GB"/>
        </w:rPr>
        <w:t>(2016</w:t>
      </w:r>
      <w:r>
        <w:rPr>
          <w:rFonts w:hint="eastAsia"/>
          <w:lang w:val="en-GB"/>
        </w:rPr>
        <w:t>年</w:t>
      </w:r>
      <w:r>
        <w:rPr>
          <w:rFonts w:hint="eastAsia"/>
          <w:lang w:val="en-GB"/>
        </w:rPr>
        <w:t>3</w:t>
      </w:r>
      <w:r>
        <w:rPr>
          <w:rFonts w:hint="eastAsia"/>
          <w:lang w:val="en-GB"/>
        </w:rPr>
        <w:t>月</w:t>
      </w:r>
      <w:r>
        <w:rPr>
          <w:lang w:val="en-GB"/>
        </w:rPr>
        <w:t>7</w:t>
      </w:r>
      <w:r>
        <w:rPr>
          <w:rFonts w:hint="eastAsia"/>
          <w:lang w:val="en-GB"/>
        </w:rPr>
        <w:t>日至</w:t>
      </w:r>
      <w:r w:rsidRPr="00966653">
        <w:rPr>
          <w:lang w:val="en-GB"/>
        </w:rPr>
        <w:t>18</w:t>
      </w:r>
      <w:r>
        <w:rPr>
          <w:rFonts w:hint="eastAsia"/>
          <w:lang w:val="en-GB"/>
        </w:rPr>
        <w:t>日</w:t>
      </w:r>
      <w:r w:rsidRPr="00966653">
        <w:rPr>
          <w:lang w:val="en-GB"/>
        </w:rPr>
        <w:t>)</w:t>
      </w:r>
      <w:r>
        <w:rPr>
          <w:rFonts w:hint="eastAsia"/>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E208F9" w:rsidP="00E208F9">
    <w:pPr>
      <w:pStyle w:val="af0"/>
    </w:pPr>
    <w:proofErr w:type="spellStart"/>
    <w:r>
      <w:t>CED</w:t>
    </w:r>
    <w:proofErr w:type="spellEnd"/>
    <w:r>
      <w:t>/C/</w:t>
    </w:r>
    <w:proofErr w:type="spellStart"/>
    <w:r>
      <w:t>KAZ</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E208F9" w:rsidP="00E208F9">
    <w:pPr>
      <w:pStyle w:val="af0"/>
      <w:jc w:val="right"/>
    </w:pPr>
    <w:proofErr w:type="spellStart"/>
    <w:r>
      <w:t>CED</w:t>
    </w:r>
    <w:proofErr w:type="spellEnd"/>
    <w:r>
      <w:t>/C/</w:t>
    </w:r>
    <w:proofErr w:type="spellStart"/>
    <w:r>
      <w:t>KAZ</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80EE60A"/>
    <w:lvl w:ilvl="0">
      <w:start w:val="1"/>
      <w:numFmt w:val="decimal"/>
      <w:pStyle w:val="3"/>
      <w:lvlText w:val="%1."/>
      <w:lvlJc w:val="left"/>
      <w:pPr>
        <w:tabs>
          <w:tab w:val="num" w:pos="926"/>
        </w:tabs>
        <w:ind w:left="926"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EAA2A30"/>
    <w:multiLevelType w:val="hybridMultilevel"/>
    <w:tmpl w:val="36664C04"/>
    <w:lvl w:ilvl="0" w:tplc="B0923E30">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5">
    <w:nsid w:val="33DC3D4F"/>
    <w:multiLevelType w:val="hybridMultilevel"/>
    <w:tmpl w:val="614E6862"/>
    <w:lvl w:ilvl="0" w:tplc="AF7496E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6"/>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F90"/>
    <w:rsid w:val="00011483"/>
    <w:rsid w:val="000D319F"/>
    <w:rsid w:val="000E4D0E"/>
    <w:rsid w:val="0012373F"/>
    <w:rsid w:val="00144B69"/>
    <w:rsid w:val="00153E86"/>
    <w:rsid w:val="001A108D"/>
    <w:rsid w:val="001B1BD1"/>
    <w:rsid w:val="001C3EF2"/>
    <w:rsid w:val="001D17F6"/>
    <w:rsid w:val="00204B42"/>
    <w:rsid w:val="0021265F"/>
    <w:rsid w:val="002231C3"/>
    <w:rsid w:val="0024417F"/>
    <w:rsid w:val="00250F8D"/>
    <w:rsid w:val="002E1C97"/>
    <w:rsid w:val="002F5834"/>
    <w:rsid w:val="003006AB"/>
    <w:rsid w:val="00326EBF"/>
    <w:rsid w:val="00327FE4"/>
    <w:rsid w:val="003917E9"/>
    <w:rsid w:val="00407319"/>
    <w:rsid w:val="00427F63"/>
    <w:rsid w:val="00434D38"/>
    <w:rsid w:val="00437EF7"/>
    <w:rsid w:val="00454BF3"/>
    <w:rsid w:val="00466071"/>
    <w:rsid w:val="00494EB8"/>
    <w:rsid w:val="004C4A0A"/>
    <w:rsid w:val="004F2AA3"/>
    <w:rsid w:val="00501220"/>
    <w:rsid w:val="005E2415"/>
    <w:rsid w:val="005E403A"/>
    <w:rsid w:val="00676BD5"/>
    <w:rsid w:val="00680656"/>
    <w:rsid w:val="00683F1B"/>
    <w:rsid w:val="006B1119"/>
    <w:rsid w:val="006E3E46"/>
    <w:rsid w:val="006E71B1"/>
    <w:rsid w:val="006F1404"/>
    <w:rsid w:val="0070593B"/>
    <w:rsid w:val="00705D89"/>
    <w:rsid w:val="00731A42"/>
    <w:rsid w:val="00743016"/>
    <w:rsid w:val="0075760A"/>
    <w:rsid w:val="00767E69"/>
    <w:rsid w:val="0077079A"/>
    <w:rsid w:val="007A5599"/>
    <w:rsid w:val="00856233"/>
    <w:rsid w:val="00860F27"/>
    <w:rsid w:val="008B0560"/>
    <w:rsid w:val="008B2BFA"/>
    <w:rsid w:val="008E6A3F"/>
    <w:rsid w:val="00923557"/>
    <w:rsid w:val="00936F03"/>
    <w:rsid w:val="00943B69"/>
    <w:rsid w:val="00944CB3"/>
    <w:rsid w:val="00953301"/>
    <w:rsid w:val="00986624"/>
    <w:rsid w:val="009B09D7"/>
    <w:rsid w:val="009D35ED"/>
    <w:rsid w:val="009E356A"/>
    <w:rsid w:val="00A0008A"/>
    <w:rsid w:val="00A03CB6"/>
    <w:rsid w:val="00A1364C"/>
    <w:rsid w:val="00A21076"/>
    <w:rsid w:val="00A270B4"/>
    <w:rsid w:val="00A3739A"/>
    <w:rsid w:val="00A52DAF"/>
    <w:rsid w:val="00A84072"/>
    <w:rsid w:val="00B16570"/>
    <w:rsid w:val="00B23B03"/>
    <w:rsid w:val="00B30AEC"/>
    <w:rsid w:val="00B43EB7"/>
    <w:rsid w:val="00B53320"/>
    <w:rsid w:val="00B84F90"/>
    <w:rsid w:val="00BC6522"/>
    <w:rsid w:val="00C121D5"/>
    <w:rsid w:val="00C17349"/>
    <w:rsid w:val="00C351AA"/>
    <w:rsid w:val="00C535F0"/>
    <w:rsid w:val="00C7253F"/>
    <w:rsid w:val="00C90707"/>
    <w:rsid w:val="00C909C9"/>
    <w:rsid w:val="00CA796F"/>
    <w:rsid w:val="00CC5485"/>
    <w:rsid w:val="00D26A05"/>
    <w:rsid w:val="00D97B98"/>
    <w:rsid w:val="00DC671F"/>
    <w:rsid w:val="00DE4DA7"/>
    <w:rsid w:val="00E208F9"/>
    <w:rsid w:val="00E33B38"/>
    <w:rsid w:val="00E45DBE"/>
    <w:rsid w:val="00E47FE5"/>
    <w:rsid w:val="00E574AF"/>
    <w:rsid w:val="00E7169D"/>
    <w:rsid w:val="00E84276"/>
    <w:rsid w:val="00EA7FE0"/>
    <w:rsid w:val="00EB0587"/>
    <w:rsid w:val="00F24E6D"/>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List Number 3"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0">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0"/>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List Number 3"/>
    <w:basedOn w:val="a"/>
    <w:semiHidden/>
    <w:rsid w:val="00E208F9"/>
    <w:pPr>
      <w:numPr>
        <w:numId w:val="7"/>
      </w:numPr>
      <w:tabs>
        <w:tab w:val="clear" w:pos="431"/>
      </w:tabs>
      <w:suppressAutoHyphens/>
      <w:overflowPunct/>
      <w:adjustRightInd/>
      <w:snapToGrid/>
      <w:spacing w:line="240" w:lineRule="atLeast"/>
      <w:jc w:val="left"/>
    </w:pPr>
    <w:rPr>
      <w:rFonts w:eastAsiaTheme="minorEastAsia"/>
      <w:snapToGrid/>
      <w:sz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List Number 3" w:uiPriority="0"/>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0">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743016"/>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A7FE0"/>
    <w:pPr>
      <w:keepLines w:val="0"/>
      <w:spacing w:after="0"/>
    </w:pPr>
  </w:style>
  <w:style w:type="character" w:customStyle="1" w:styleId="Char0">
    <w:name w:val="尾注文本 Char"/>
    <w:basedOn w:val="a0"/>
    <w:link w:val="ab"/>
    <w:rsid w:val="00EA7FE0"/>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E2415"/>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E2415"/>
    <w:rPr>
      <w:rFonts w:eastAsia="Times New Roman"/>
      <w:snapToGrid w:val="0"/>
      <w:sz w:val="16"/>
      <w:szCs w:val="16"/>
      <w:lang w:val="en-GB" w:eastAsia="en-US"/>
    </w:rPr>
  </w:style>
  <w:style w:type="character" w:styleId="af">
    <w:name w:val="page number"/>
    <w:basedOn w:val="a0"/>
    <w:qFormat/>
    <w:rsid w:val="005E2415"/>
    <w:rPr>
      <w:rFonts w:ascii="Times New Roman" w:hAnsi="Times New Roman"/>
      <w:b/>
      <w:i w:val="0"/>
      <w:snapToGrid w:val="0"/>
      <w:spacing w:val="0"/>
      <w:kern w:val="0"/>
      <w:sz w:val="18"/>
      <w14:cntxtAlts w14:val="0"/>
    </w:rPr>
  </w:style>
  <w:style w:type="paragraph" w:styleId="af0">
    <w:name w:val="header"/>
    <w:basedOn w:val="a"/>
    <w:link w:val="Char2"/>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E2415"/>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0"/>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List Number 3"/>
    <w:basedOn w:val="a"/>
    <w:semiHidden/>
    <w:rsid w:val="00E208F9"/>
    <w:pPr>
      <w:numPr>
        <w:numId w:val="7"/>
      </w:numPr>
      <w:tabs>
        <w:tab w:val="clear" w:pos="431"/>
      </w:tabs>
      <w:suppressAutoHyphens/>
      <w:overflowPunct/>
      <w:adjustRightInd/>
      <w:snapToGrid/>
      <w:spacing w:line="240" w:lineRule="atLeast"/>
      <w:jc w:val="left"/>
    </w:pPr>
    <w:rPr>
      <w:rFonts w:eastAsiaTheme="minorEastAsia"/>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EE56D-4BEF-4B79-9B53-965D3E591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5347</Words>
  <Characters>5610</Characters>
  <Application>Microsoft Office Word</Application>
  <DocSecurity>0</DocSecurity>
  <Lines>208</Lines>
  <Paragraphs>78</Paragraphs>
  <ScaleCrop>false</ScaleCrop>
  <Company>DCM</Company>
  <LinksUpToDate>false</LinksUpToDate>
  <CharactersWithSpaces>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1608091</dc:title>
  <dc:subject>CED/C/KAZ/CO/1</dc:subject>
  <dc:creator>tian</dc:creator>
  <cp:keywords/>
  <dc:description/>
  <cp:lastModifiedBy>Tian H.</cp:lastModifiedBy>
  <cp:revision>2</cp:revision>
  <cp:lastPrinted>2014-05-09T11:28:00Z</cp:lastPrinted>
  <dcterms:created xsi:type="dcterms:W3CDTF">2016-08-03T08:29:00Z</dcterms:created>
  <dcterms:modified xsi:type="dcterms:W3CDTF">2016-08-03T08:29:00Z</dcterms:modified>
</cp:coreProperties>
</file>