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592" w:rsidRDefault="00BC7592" w:rsidP="00BC7592">
      <w:pPr>
        <w:pStyle w:val="Release"/>
        <w:spacing w:line="60" w:lineRule="exact"/>
        <w:rPr>
          <w:sz w:val="6"/>
        </w:rPr>
        <w:sectPr w:rsidR="00BC7592" w:rsidSect="00BC759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BC7592">
      <w:pPr>
        <w:pStyle w:val="Release"/>
        <w:spacing w:line="60" w:lineRule="exact"/>
        <w:rPr>
          <w:sz w:val="6"/>
        </w:rPr>
      </w:pPr>
    </w:p>
    <w:p w:rsidR="00BA1B0C" w:rsidRPr="00BA1B0C" w:rsidRDefault="00BA1B0C" w:rsidP="00BA1B0C">
      <w:pPr>
        <w:pStyle w:val="SingleTxt"/>
        <w:spacing w:after="60"/>
        <w:ind w:left="0"/>
        <w:rPr>
          <w:rFonts w:ascii="SimHei" w:eastAsia="SimHei" w:hAnsi="SimHei" w:hint="eastAsia"/>
          <w:sz w:val="24"/>
          <w:szCs w:val="24"/>
        </w:rPr>
      </w:pPr>
      <w:r w:rsidRPr="00BA1B0C">
        <w:rPr>
          <w:rFonts w:ascii="SimHei" w:eastAsia="SimHei" w:hAnsi="SimHei" w:hint="eastAsia"/>
          <w:sz w:val="24"/>
          <w:szCs w:val="24"/>
        </w:rPr>
        <w:t>消除对妇女歧视委员会</w:t>
      </w:r>
    </w:p>
    <w:p w:rsidR="00BA1B0C" w:rsidRPr="00BA1B0C" w:rsidRDefault="00BA1B0C" w:rsidP="00BA1B0C">
      <w:pPr>
        <w:pStyle w:val="SingleTxt"/>
        <w:spacing w:after="60"/>
        <w:ind w:left="0"/>
        <w:rPr>
          <w:rFonts w:ascii="SimHei" w:eastAsia="SimHei" w:hAnsi="SimHei" w:hint="eastAsia"/>
        </w:rPr>
      </w:pPr>
      <w:r w:rsidRPr="00BA1B0C">
        <w:rPr>
          <w:rFonts w:ascii="SimHei" w:eastAsia="SimHei" w:hAnsi="SimHei" w:hint="eastAsia"/>
        </w:rPr>
        <w:t>第六十二届会议</w:t>
      </w:r>
      <w:bookmarkStart w:id="1" w:name="TmpSave"/>
      <w:bookmarkEnd w:id="1"/>
    </w:p>
    <w:p w:rsidR="00BA1B0C" w:rsidRDefault="00BA1B0C" w:rsidP="00BA1B0C">
      <w:pPr>
        <w:pStyle w:val="SingleTxt"/>
        <w:spacing w:after="60"/>
        <w:ind w:left="0"/>
        <w:rPr>
          <w:rFonts w:hint="eastAsia"/>
        </w:rPr>
      </w:pPr>
      <w:r>
        <w:rPr>
          <w:rFonts w:hint="eastAsia"/>
        </w:rPr>
        <w:t>2015</w:t>
      </w:r>
      <w:r>
        <w:rPr>
          <w:rFonts w:hint="eastAsia"/>
        </w:rPr>
        <w:t>年</w:t>
      </w:r>
      <w:r>
        <w:rPr>
          <w:rFonts w:hint="eastAsia"/>
        </w:rPr>
        <w:t>10</w:t>
      </w:r>
      <w:r>
        <w:rPr>
          <w:rFonts w:hint="eastAsia"/>
        </w:rPr>
        <w:t>月</w:t>
      </w:r>
      <w:r>
        <w:rPr>
          <w:rFonts w:hint="eastAsia"/>
        </w:rPr>
        <w:t>26</w:t>
      </w:r>
      <w:r>
        <w:rPr>
          <w:rFonts w:hint="eastAsia"/>
        </w:rPr>
        <w:t>日至</w:t>
      </w:r>
      <w:r>
        <w:rPr>
          <w:rFonts w:hint="eastAsia"/>
        </w:rPr>
        <w:t>11</w:t>
      </w:r>
      <w:r>
        <w:rPr>
          <w:rFonts w:hint="eastAsia"/>
        </w:rPr>
        <w:t>月</w:t>
      </w:r>
      <w:r>
        <w:rPr>
          <w:rFonts w:hint="eastAsia"/>
        </w:rPr>
        <w:t>20</w:t>
      </w:r>
      <w:r>
        <w:rPr>
          <w:rFonts w:hint="eastAsia"/>
        </w:rPr>
        <w:t>日</w:t>
      </w:r>
    </w:p>
    <w:p w:rsidR="00BA1B0C" w:rsidRDefault="00BA1B0C" w:rsidP="00BA1B0C">
      <w:pPr>
        <w:pStyle w:val="SingleTxt"/>
        <w:spacing w:after="60"/>
        <w:ind w:left="0"/>
        <w:rPr>
          <w:rFonts w:hint="eastAsia"/>
        </w:rPr>
      </w:pPr>
      <w:r>
        <w:rPr>
          <w:rFonts w:hint="eastAsia"/>
        </w:rPr>
        <w:t>临时议程</w:t>
      </w:r>
      <w:r>
        <w:rPr>
          <w:rFonts w:hint="eastAsia"/>
        </w:rPr>
        <w:t xml:space="preserve">* </w:t>
      </w:r>
      <w:r>
        <w:rPr>
          <w:rFonts w:hint="eastAsia"/>
        </w:rPr>
        <w:t>项目</w:t>
      </w:r>
      <w:r>
        <w:rPr>
          <w:rFonts w:hint="eastAsia"/>
        </w:rPr>
        <w:t>4</w:t>
      </w:r>
    </w:p>
    <w:p w:rsidR="00BA1B0C" w:rsidRPr="00BA1B0C" w:rsidRDefault="00BA1B0C" w:rsidP="00BA1B0C">
      <w:pPr>
        <w:pStyle w:val="SingleTxt"/>
        <w:spacing w:after="360"/>
        <w:ind w:left="0"/>
        <w:rPr>
          <w:rFonts w:ascii="SimHei" w:eastAsia="SimHei" w:hAnsi="SimHei" w:hint="eastAsia"/>
        </w:rPr>
      </w:pPr>
      <w:r w:rsidRPr="00BA1B0C">
        <w:rPr>
          <w:rFonts w:ascii="SimHei" w:eastAsia="SimHei" w:hAnsi="SimHei" w:hint="eastAsia"/>
        </w:rPr>
        <w:t>审议缔约国根据《消除对妇女一切形式</w:t>
      </w:r>
      <w:r>
        <w:rPr>
          <w:rFonts w:ascii="SimHei" w:eastAsia="SimHei" w:hAnsi="SimHei"/>
        </w:rPr>
        <w:br/>
      </w:r>
      <w:r w:rsidRPr="00BA1B0C">
        <w:rPr>
          <w:rFonts w:ascii="SimHei" w:eastAsia="SimHei" w:hAnsi="SimHei" w:hint="eastAsia"/>
        </w:rPr>
        <w:t>歧视公约》第18条提交的报告</w:t>
      </w:r>
    </w:p>
    <w:p w:rsidR="00BA1B0C" w:rsidRDefault="00BA1B0C" w:rsidP="00BA1B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与乌兹别克斯坦第五次定期报告有关的议题和问题清单</w:t>
      </w:r>
    </w:p>
    <w:p w:rsidR="00BA1B0C" w:rsidRDefault="00BA1B0C" w:rsidP="00BA1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宪法和法律框架</w:t>
      </w:r>
    </w:p>
    <w:p w:rsidR="00BA1B0C" w:rsidRDefault="00BA1B0C" w:rsidP="00BA1B0C">
      <w:pPr>
        <w:pStyle w:val="SingleTxt"/>
        <w:rPr>
          <w:rFonts w:hint="eastAsia"/>
        </w:rPr>
      </w:pPr>
      <w:r>
        <w:rPr>
          <w:rFonts w:hint="eastAsia"/>
        </w:rPr>
        <w:t>1.</w:t>
      </w:r>
      <w:r>
        <w:rPr>
          <w:rFonts w:hint="eastAsia"/>
        </w:rPr>
        <w:tab/>
      </w:r>
      <w:r w:rsidRPr="00BA1B0C">
        <w:rPr>
          <w:rFonts w:hint="eastAsia"/>
          <w:spacing w:val="-4"/>
        </w:rPr>
        <w:t>委员会在此前的结论性意见</w:t>
      </w:r>
      <w:r w:rsidRPr="00BA1B0C">
        <w:rPr>
          <w:rFonts w:hint="eastAsia"/>
          <w:spacing w:val="-4"/>
        </w:rPr>
        <w:t>(</w:t>
      </w:r>
      <w:hyperlink r:id="rId14" w:history="1">
        <w:r w:rsidRPr="00BA1B0C">
          <w:rPr>
            <w:rStyle w:val="Hyperlink"/>
            <w:rFonts w:hint="eastAsia"/>
            <w:spacing w:val="-4"/>
          </w:rPr>
          <w:t>CEDAW/C/UZB/CO/4</w:t>
        </w:r>
      </w:hyperlink>
      <w:r w:rsidRPr="00BA1B0C">
        <w:rPr>
          <w:rFonts w:hint="eastAsia"/>
          <w:spacing w:val="-4"/>
        </w:rPr>
        <w:t>，第</w:t>
      </w:r>
      <w:r w:rsidRPr="00BA1B0C">
        <w:rPr>
          <w:rFonts w:hint="eastAsia"/>
          <w:spacing w:val="-4"/>
        </w:rPr>
        <w:t>10</w:t>
      </w:r>
      <w:r w:rsidRPr="00BA1B0C">
        <w:rPr>
          <w:rFonts w:hint="eastAsia"/>
          <w:spacing w:val="-4"/>
        </w:rPr>
        <w:t>段</w:t>
      </w:r>
      <w:r w:rsidRPr="00BA1B0C">
        <w:rPr>
          <w:rFonts w:hint="eastAsia"/>
          <w:spacing w:val="-4"/>
        </w:rPr>
        <w:t>)</w:t>
      </w:r>
      <w:r w:rsidRPr="00BA1B0C">
        <w:rPr>
          <w:rFonts w:hint="eastAsia"/>
          <w:spacing w:val="-4"/>
        </w:rPr>
        <w:t>中，敦促缔约国在一个清晰的时间框架内加紧通过男女权利和机会平等法。报告</w:t>
      </w:r>
      <w:r w:rsidRPr="00BA1B0C">
        <w:rPr>
          <w:rFonts w:hint="eastAsia"/>
          <w:spacing w:val="-4"/>
        </w:rPr>
        <w:t>(</w:t>
      </w:r>
      <w:hyperlink r:id="rId15" w:history="1">
        <w:r w:rsidRPr="00BA1B0C">
          <w:rPr>
            <w:rStyle w:val="Hyperlink"/>
            <w:rFonts w:hint="eastAsia"/>
            <w:spacing w:val="-4"/>
          </w:rPr>
          <w:t>CEDAW/C/UZB/5</w:t>
        </w:r>
      </w:hyperlink>
      <w:r w:rsidRPr="00BA1B0C">
        <w:rPr>
          <w:rFonts w:hint="eastAsia"/>
          <w:spacing w:val="-4"/>
        </w:rPr>
        <w:t>)</w:t>
      </w:r>
      <w:r>
        <w:rPr>
          <w:rFonts w:hint="eastAsia"/>
        </w:rPr>
        <w:t>指出，该法律草案已得到讨论和修订</w:t>
      </w:r>
      <w:r>
        <w:rPr>
          <w:rFonts w:hint="eastAsia"/>
        </w:rPr>
        <w:t>(</w:t>
      </w:r>
      <w:r>
        <w:rPr>
          <w:rFonts w:hint="eastAsia"/>
        </w:rPr>
        <w:t>第</w:t>
      </w:r>
      <w:r>
        <w:rPr>
          <w:rFonts w:hint="eastAsia"/>
        </w:rPr>
        <w:t>31</w:t>
      </w:r>
      <w:r>
        <w:rPr>
          <w:rFonts w:hint="eastAsia"/>
        </w:rPr>
        <w:t>和第</w:t>
      </w:r>
      <w:r>
        <w:rPr>
          <w:rFonts w:hint="eastAsia"/>
        </w:rPr>
        <w:t>32</w:t>
      </w:r>
      <w:r>
        <w:rPr>
          <w:rFonts w:hint="eastAsia"/>
        </w:rPr>
        <w:t>段</w:t>
      </w:r>
      <w:r>
        <w:rPr>
          <w:rFonts w:hint="eastAsia"/>
        </w:rPr>
        <w:t>)</w:t>
      </w:r>
      <w:r>
        <w:rPr>
          <w:rFonts w:hint="eastAsia"/>
        </w:rPr>
        <w:t>。</w:t>
      </w:r>
      <w:r>
        <w:rPr>
          <w:rStyle w:val="FootnoteReference"/>
        </w:rPr>
        <w:footnoteReference w:id="1"/>
      </w:r>
      <w:r>
        <w:rPr>
          <w:rFonts w:hint="eastAsia"/>
        </w:rPr>
        <w:t xml:space="preserve"> </w:t>
      </w:r>
      <w:r>
        <w:rPr>
          <w:rFonts w:hint="eastAsia"/>
        </w:rPr>
        <w:t>请提供最新资料，说明该法律草案的现状、内容和颁布的时间框架。</w:t>
      </w:r>
    </w:p>
    <w:p w:rsidR="00BA1B0C" w:rsidRDefault="00BA1B0C" w:rsidP="00BA1B0C">
      <w:pPr>
        <w:pStyle w:val="SingleTxt"/>
        <w:rPr>
          <w:rFonts w:hint="eastAsia"/>
        </w:rPr>
      </w:pPr>
      <w:r>
        <w:rPr>
          <w:rFonts w:hint="eastAsia"/>
        </w:rPr>
        <w:t>2.</w:t>
      </w:r>
      <w:r>
        <w:rPr>
          <w:rFonts w:hint="eastAsia"/>
        </w:rPr>
        <w:tab/>
      </w:r>
      <w:r w:rsidRPr="00BA1B0C">
        <w:rPr>
          <w:rFonts w:hint="eastAsia"/>
          <w:spacing w:val="-4"/>
        </w:rPr>
        <w:t>报告第</w:t>
      </w:r>
      <w:r w:rsidRPr="00BA1B0C">
        <w:rPr>
          <w:rFonts w:hint="eastAsia"/>
          <w:spacing w:val="-4"/>
        </w:rPr>
        <w:t>23</w:t>
      </w:r>
      <w:r w:rsidRPr="00BA1B0C">
        <w:rPr>
          <w:rFonts w:hint="eastAsia"/>
          <w:spacing w:val="-4"/>
        </w:rPr>
        <w:t>段指出，已编制一份旨在执行普遍定期审议工作组建议</w:t>
      </w:r>
      <w:r w:rsidRPr="00BA1B0C">
        <w:rPr>
          <w:rFonts w:hint="eastAsia"/>
          <w:spacing w:val="-4"/>
        </w:rPr>
        <w:t>(</w:t>
      </w:r>
      <w:hyperlink r:id="rId16" w:history="1">
        <w:r w:rsidRPr="00BA1B0C">
          <w:rPr>
            <w:rStyle w:val="Hyperlink"/>
            <w:rFonts w:hint="eastAsia"/>
            <w:spacing w:val="-4"/>
          </w:rPr>
          <w:t>A/HRC/27/7</w:t>
        </w:r>
      </w:hyperlink>
      <w:r w:rsidRPr="00BA1B0C">
        <w:rPr>
          <w:rFonts w:hint="eastAsia"/>
          <w:spacing w:val="-4"/>
        </w:rPr>
        <w:t>)</w:t>
      </w:r>
      <w:r>
        <w:rPr>
          <w:rFonts w:hint="eastAsia"/>
        </w:rPr>
        <w:t>的统一行动计划草案。请提供资料，说明该行动计划草案的现状，特别是针对工作组关于妇女权利的建议而采取的措施。另请澄清，是否已制定并通过一份旨在执行《公约》的行动计划。</w:t>
      </w:r>
    </w:p>
    <w:p w:rsidR="00BA1B0C" w:rsidRDefault="00BA1B0C" w:rsidP="00BA1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提高妇女地位国家机构</w:t>
      </w:r>
    </w:p>
    <w:p w:rsidR="00BA1B0C" w:rsidRDefault="00BA1B0C" w:rsidP="00BA1B0C">
      <w:pPr>
        <w:pStyle w:val="SingleTxt"/>
        <w:rPr>
          <w:rFonts w:hint="eastAsia"/>
        </w:rPr>
      </w:pPr>
      <w:r>
        <w:rPr>
          <w:rFonts w:hint="eastAsia"/>
        </w:rPr>
        <w:t>3.</w:t>
      </w:r>
      <w:r>
        <w:rPr>
          <w:rFonts w:hint="eastAsia"/>
        </w:rPr>
        <w:tab/>
      </w:r>
      <w:r>
        <w:rPr>
          <w:rFonts w:hint="eastAsia"/>
        </w:rPr>
        <w:t>委员会在此前的结论性意见</w:t>
      </w:r>
      <w:r>
        <w:rPr>
          <w:rFonts w:hint="eastAsia"/>
        </w:rPr>
        <w:t>(</w:t>
      </w:r>
      <w:hyperlink r:id="rId17" w:history="1">
        <w:r w:rsidRPr="00BA1B0C">
          <w:rPr>
            <w:rStyle w:val="Hyperlink"/>
            <w:rFonts w:hint="eastAsia"/>
          </w:rPr>
          <w:t>CEDAW/C/UZB/CO/4</w:t>
        </w:r>
      </w:hyperlink>
      <w:r>
        <w:rPr>
          <w:rFonts w:hint="eastAsia"/>
        </w:rPr>
        <w:t>，第</w:t>
      </w:r>
      <w:r>
        <w:rPr>
          <w:rFonts w:hint="eastAsia"/>
        </w:rPr>
        <w:t>15</w:t>
      </w:r>
      <w:r>
        <w:rPr>
          <w:rFonts w:hint="eastAsia"/>
        </w:rPr>
        <w:t>段</w:t>
      </w:r>
      <w:r>
        <w:rPr>
          <w:rFonts w:hint="eastAsia"/>
        </w:rPr>
        <w:t>)</w:t>
      </w:r>
      <w:r>
        <w:rPr>
          <w:rFonts w:hint="eastAsia"/>
        </w:rPr>
        <w:t>中，对乌兹别克斯坦妇女委员会这样一个非政府组织被指定为提高妇女地位国家机构表示关切。请提供资料，说明为建立一个在政府内拥有足够权力并能从国家预算中获得适足人力和财政资源以有效执行《公约》的提高妇女地位国家机构而采取的措施。</w:t>
      </w:r>
    </w:p>
    <w:p w:rsidR="00BA1B0C" w:rsidRDefault="00BA1B0C" w:rsidP="005A67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26" w:lineRule="exact"/>
        <w:ind w:left="1264" w:right="1259" w:hanging="1264"/>
        <w:rPr>
          <w:rFonts w:hint="eastAsia"/>
        </w:rPr>
      </w:pPr>
      <w:r>
        <w:rPr>
          <w:rFonts w:hint="eastAsia"/>
        </w:rPr>
        <w:tab/>
      </w:r>
      <w:r>
        <w:rPr>
          <w:rFonts w:hint="eastAsia"/>
        </w:rPr>
        <w:tab/>
        <w:t>非政府组织</w:t>
      </w:r>
    </w:p>
    <w:p w:rsidR="00BA1B0C" w:rsidRDefault="00BA1B0C" w:rsidP="005A67A6">
      <w:pPr>
        <w:pStyle w:val="SingleTxt"/>
        <w:spacing w:line="326" w:lineRule="exact"/>
        <w:rPr>
          <w:rFonts w:hint="eastAsia"/>
        </w:rPr>
      </w:pPr>
      <w:r>
        <w:rPr>
          <w:rFonts w:hint="eastAsia"/>
        </w:rPr>
        <w:t>4.</w:t>
      </w:r>
      <w:r>
        <w:rPr>
          <w:rFonts w:hint="eastAsia"/>
        </w:rPr>
        <w:tab/>
      </w:r>
      <w:r w:rsidRPr="005A67A6">
        <w:rPr>
          <w:rFonts w:hint="eastAsia"/>
          <w:spacing w:val="2"/>
        </w:rPr>
        <w:t>请提供资料说明于</w:t>
      </w:r>
      <w:r w:rsidRPr="005A67A6">
        <w:rPr>
          <w:rFonts w:hint="eastAsia"/>
          <w:spacing w:val="2"/>
        </w:rPr>
        <w:t>2013</w:t>
      </w:r>
      <w:r w:rsidRPr="005A67A6">
        <w:rPr>
          <w:rFonts w:hint="eastAsia"/>
          <w:spacing w:val="2"/>
        </w:rPr>
        <w:t>年通过一项总统令并于</w:t>
      </w:r>
      <w:r w:rsidRPr="005A67A6">
        <w:rPr>
          <w:rFonts w:hint="eastAsia"/>
          <w:spacing w:val="2"/>
        </w:rPr>
        <w:t>2014</w:t>
      </w:r>
      <w:r w:rsidRPr="005A67A6">
        <w:rPr>
          <w:rFonts w:hint="eastAsia"/>
          <w:spacing w:val="2"/>
        </w:rPr>
        <w:t>年通过一项部长内阁决议以促进非政府组织的注册和运作后，这些决定对妇女非政府组织的影响，特别是该国已注册妇女非政府组织的数量、它们收到的国家供资的水平以及其工作领域</w:t>
      </w:r>
      <w:r>
        <w:rPr>
          <w:rFonts w:hint="eastAsia"/>
        </w:rPr>
        <w:t>。</w:t>
      </w:r>
    </w:p>
    <w:p w:rsidR="00BA1B0C" w:rsidRDefault="00BA1B0C" w:rsidP="005A67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26" w:lineRule="exact"/>
        <w:ind w:left="1264" w:right="1259" w:hanging="1264"/>
        <w:rPr>
          <w:rFonts w:hint="eastAsia"/>
        </w:rPr>
      </w:pPr>
      <w:r>
        <w:rPr>
          <w:rFonts w:hint="eastAsia"/>
        </w:rPr>
        <w:tab/>
      </w:r>
      <w:r>
        <w:rPr>
          <w:rFonts w:hint="eastAsia"/>
        </w:rPr>
        <w:tab/>
        <w:t>暂行特别措施</w:t>
      </w:r>
    </w:p>
    <w:p w:rsidR="00BA1B0C" w:rsidRDefault="00BA1B0C" w:rsidP="005A67A6">
      <w:pPr>
        <w:pStyle w:val="SingleTxt"/>
        <w:spacing w:line="326" w:lineRule="exact"/>
        <w:rPr>
          <w:rFonts w:hint="eastAsia"/>
        </w:rPr>
      </w:pPr>
      <w:r>
        <w:rPr>
          <w:rFonts w:hint="eastAsia"/>
        </w:rPr>
        <w:t>5.</w:t>
      </w:r>
      <w:r>
        <w:rPr>
          <w:rFonts w:hint="eastAsia"/>
        </w:rPr>
        <w:tab/>
      </w:r>
      <w:r>
        <w:rPr>
          <w:rFonts w:hint="eastAsia"/>
        </w:rPr>
        <w:t>关于报告所述期间适用的暂行特别措施，报告未作记述。请提供具体实例，介绍此类措施、其被载入国家政策和方案的情况及其具体执行情况，以推动和加快实现男女实质性平等。</w:t>
      </w:r>
    </w:p>
    <w:p w:rsidR="00BA1B0C" w:rsidRDefault="00BA1B0C" w:rsidP="005A67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26" w:lineRule="exact"/>
        <w:ind w:left="1264" w:right="1259" w:hanging="1264"/>
        <w:rPr>
          <w:rFonts w:hint="eastAsia"/>
        </w:rPr>
      </w:pPr>
      <w:r>
        <w:rPr>
          <w:rFonts w:hint="eastAsia"/>
        </w:rPr>
        <w:tab/>
      </w:r>
      <w:r>
        <w:rPr>
          <w:rFonts w:hint="eastAsia"/>
        </w:rPr>
        <w:tab/>
        <w:t>性别陈规定型观念</w:t>
      </w:r>
    </w:p>
    <w:p w:rsidR="00BA1B0C" w:rsidRDefault="00BA1B0C" w:rsidP="005A67A6">
      <w:pPr>
        <w:pStyle w:val="SingleTxt"/>
        <w:spacing w:line="326" w:lineRule="exact"/>
        <w:rPr>
          <w:rFonts w:hint="eastAsia"/>
        </w:rPr>
      </w:pPr>
      <w:r>
        <w:rPr>
          <w:rFonts w:hint="eastAsia"/>
        </w:rPr>
        <w:t>6.</w:t>
      </w:r>
      <w:r>
        <w:rPr>
          <w:rFonts w:hint="eastAsia"/>
        </w:rPr>
        <w:tab/>
      </w:r>
      <w:r>
        <w:rPr>
          <w:rFonts w:hint="eastAsia"/>
        </w:rPr>
        <w:t>委员会在此前的结论性意见</w:t>
      </w:r>
      <w:r>
        <w:rPr>
          <w:rFonts w:hint="eastAsia"/>
        </w:rPr>
        <w:t>(</w:t>
      </w:r>
      <w:r>
        <w:rPr>
          <w:rFonts w:hint="eastAsia"/>
        </w:rPr>
        <w:t>同上，第</w:t>
      </w:r>
      <w:r>
        <w:rPr>
          <w:rFonts w:hint="eastAsia"/>
        </w:rPr>
        <w:t>19</w:t>
      </w:r>
      <w:r>
        <w:rPr>
          <w:rFonts w:hint="eastAsia"/>
        </w:rPr>
        <w:t>段</w:t>
      </w:r>
      <w:r>
        <w:rPr>
          <w:rFonts w:hint="eastAsia"/>
        </w:rPr>
        <w:t>)</w:t>
      </w:r>
      <w:r>
        <w:rPr>
          <w:rFonts w:hint="eastAsia"/>
        </w:rPr>
        <w:t>中对家庭和社会中持续存在家长制作风和有关男女作用的顽固定型观念表示关切。请提供资料，说明自提交报告以来，为打击对妇女和女童，包括那些因种族、年龄、残疾、性取向和其他特征而遭受多种形式歧视的妇女和女童的陈规定型态度而采取的各项现行措施的执行和监测情况。</w:t>
      </w:r>
    </w:p>
    <w:p w:rsidR="00BA1B0C" w:rsidRDefault="00BA1B0C" w:rsidP="005A67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26" w:lineRule="exact"/>
        <w:ind w:left="1264" w:right="1259" w:hanging="1264"/>
        <w:rPr>
          <w:rFonts w:hint="eastAsia"/>
        </w:rPr>
      </w:pPr>
      <w:r>
        <w:rPr>
          <w:rFonts w:hint="eastAsia"/>
        </w:rPr>
        <w:tab/>
      </w:r>
      <w:r>
        <w:rPr>
          <w:rFonts w:hint="eastAsia"/>
        </w:rPr>
        <w:tab/>
        <w:t>暴力侵害妇女行为</w:t>
      </w:r>
    </w:p>
    <w:p w:rsidR="00BA1B0C" w:rsidRDefault="00BA1B0C" w:rsidP="005A67A6">
      <w:pPr>
        <w:pStyle w:val="SingleTxt"/>
        <w:spacing w:line="326" w:lineRule="exact"/>
        <w:rPr>
          <w:rFonts w:hint="eastAsia"/>
        </w:rPr>
      </w:pPr>
      <w:r>
        <w:rPr>
          <w:rFonts w:hint="eastAsia"/>
        </w:rPr>
        <w:t>7.</w:t>
      </w:r>
      <w:r>
        <w:rPr>
          <w:rFonts w:hint="eastAsia"/>
        </w:rPr>
        <w:tab/>
      </w:r>
      <w:r>
        <w:rPr>
          <w:rFonts w:hint="eastAsia"/>
        </w:rPr>
        <w:t>报告指出，在编写报告期间，已制定并向议会提交了一份关于预防家庭暴力的法律框架</w:t>
      </w:r>
      <w:r>
        <w:rPr>
          <w:rFonts w:hint="eastAsia"/>
        </w:rPr>
        <w:t>(</w:t>
      </w:r>
      <w:r>
        <w:rPr>
          <w:rFonts w:hint="eastAsia"/>
        </w:rPr>
        <w:t>第</w:t>
      </w:r>
      <w:r>
        <w:rPr>
          <w:rFonts w:hint="eastAsia"/>
        </w:rPr>
        <w:t>95</w:t>
      </w:r>
      <w:r>
        <w:rPr>
          <w:rFonts w:hint="eastAsia"/>
        </w:rPr>
        <w:t>段</w:t>
      </w:r>
      <w:r>
        <w:rPr>
          <w:rFonts w:hint="eastAsia"/>
        </w:rPr>
        <w:t>)</w:t>
      </w:r>
      <w:r>
        <w:rPr>
          <w:rFonts w:hint="eastAsia"/>
        </w:rPr>
        <w:t>。请提供最新资料，说明该法案的现状和内容，特别是该法案有无述及婚内强奸罪，以及被控实施家庭暴力的个人是否将当然地受到起诉。</w:t>
      </w:r>
    </w:p>
    <w:p w:rsidR="00BA1B0C" w:rsidRDefault="00BA1B0C" w:rsidP="005A67A6">
      <w:pPr>
        <w:pStyle w:val="SingleTxt"/>
        <w:spacing w:line="326" w:lineRule="exact"/>
        <w:rPr>
          <w:rFonts w:hint="eastAsia"/>
        </w:rPr>
      </w:pPr>
      <w:r>
        <w:rPr>
          <w:rFonts w:hint="eastAsia"/>
        </w:rPr>
        <w:t>8.</w:t>
      </w:r>
      <w:r>
        <w:rPr>
          <w:rFonts w:hint="eastAsia"/>
        </w:rPr>
        <w:tab/>
      </w:r>
      <w:r w:rsidRPr="005A67A6">
        <w:rPr>
          <w:rFonts w:hint="eastAsia"/>
          <w:spacing w:val="-2"/>
        </w:rPr>
        <w:t>报告指出，根据</w:t>
      </w:r>
      <w:r w:rsidRPr="005A67A6">
        <w:rPr>
          <w:rFonts w:hint="eastAsia"/>
          <w:spacing w:val="-2"/>
        </w:rPr>
        <w:t>2011</w:t>
      </w:r>
      <w:r w:rsidRPr="005A67A6">
        <w:rPr>
          <w:rFonts w:hint="eastAsia"/>
          <w:spacing w:val="-2"/>
        </w:rPr>
        <w:t>年调查的结果，仅有</w:t>
      </w:r>
      <w:r w:rsidRPr="005A67A6">
        <w:rPr>
          <w:rFonts w:hint="eastAsia"/>
          <w:spacing w:val="-2"/>
        </w:rPr>
        <w:t>46.2%</w:t>
      </w:r>
      <w:r w:rsidRPr="005A67A6">
        <w:rPr>
          <w:rFonts w:hint="eastAsia"/>
          <w:spacing w:val="-2"/>
        </w:rPr>
        <w:t>的女性暴力行为受害者曾求助于执法机关，</w:t>
      </w:r>
      <w:r w:rsidRPr="005A67A6">
        <w:rPr>
          <w:rFonts w:hint="eastAsia"/>
          <w:spacing w:val="-2"/>
        </w:rPr>
        <w:t>27.7%</w:t>
      </w:r>
      <w:r w:rsidRPr="005A67A6">
        <w:rPr>
          <w:rFonts w:hint="eastAsia"/>
          <w:spacing w:val="-2"/>
        </w:rPr>
        <w:t>的妇女寻求亲戚的帮助，</w:t>
      </w:r>
      <w:r w:rsidRPr="005A67A6">
        <w:rPr>
          <w:rFonts w:hint="eastAsia"/>
          <w:spacing w:val="-2"/>
        </w:rPr>
        <w:t>17%</w:t>
      </w:r>
      <w:r w:rsidRPr="005A67A6">
        <w:rPr>
          <w:rFonts w:hint="eastAsia"/>
          <w:spacing w:val="-2"/>
        </w:rPr>
        <w:t>寻求公民自治机构</w:t>
      </w:r>
      <w:r w:rsidRPr="005A67A6">
        <w:rPr>
          <w:rFonts w:hint="eastAsia"/>
          <w:spacing w:val="-2"/>
        </w:rPr>
        <w:t>(</w:t>
      </w:r>
      <w:proofErr w:type="spellStart"/>
      <w:r w:rsidRPr="005A67A6">
        <w:rPr>
          <w:rFonts w:hint="eastAsia"/>
          <w:spacing w:val="-2"/>
        </w:rPr>
        <w:t>makhallya</w:t>
      </w:r>
      <w:proofErr w:type="spellEnd"/>
      <w:r w:rsidRPr="005A67A6">
        <w:rPr>
          <w:rFonts w:hint="eastAsia"/>
          <w:spacing w:val="-2"/>
        </w:rPr>
        <w:t>)</w:t>
      </w:r>
      <w:r>
        <w:rPr>
          <w:rFonts w:hint="eastAsia"/>
        </w:rPr>
        <w:t>的援助</w:t>
      </w:r>
      <w:r>
        <w:rPr>
          <w:rFonts w:hint="eastAsia"/>
        </w:rPr>
        <w:t>(</w:t>
      </w:r>
      <w:r>
        <w:rPr>
          <w:rFonts w:hint="eastAsia"/>
        </w:rPr>
        <w:t>第</w:t>
      </w:r>
      <w:r>
        <w:rPr>
          <w:rFonts w:hint="eastAsia"/>
        </w:rPr>
        <w:t>97</w:t>
      </w:r>
      <w:r>
        <w:rPr>
          <w:rFonts w:hint="eastAsia"/>
        </w:rPr>
        <w:t>段</w:t>
      </w:r>
      <w:r>
        <w:rPr>
          <w:rFonts w:hint="eastAsia"/>
        </w:rPr>
        <w:t>)</w:t>
      </w:r>
      <w:r>
        <w:rPr>
          <w:rFonts w:hint="eastAsia"/>
        </w:rPr>
        <w:t>。请提供资料和数据，说明在报告所涉期间提出的投诉的数量，以及起诉、定罪和判决的数量，并在其中表明受害者和犯罪人的关系。请提供资料，说明为消除女性暴力行为受害者在诉诸法律方面所面临障碍而采取的措施。另请提供资料，介绍缔约国的庇护所数量及其供资性质。</w:t>
      </w:r>
    </w:p>
    <w:p w:rsidR="00BA1B0C" w:rsidRDefault="00BA1B0C" w:rsidP="005A67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26" w:lineRule="exact"/>
        <w:ind w:left="1264" w:right="1259" w:hanging="1264"/>
        <w:rPr>
          <w:rFonts w:hint="eastAsia"/>
        </w:rPr>
      </w:pPr>
      <w:r>
        <w:rPr>
          <w:rFonts w:hint="eastAsia"/>
        </w:rPr>
        <w:tab/>
      </w:r>
      <w:r>
        <w:rPr>
          <w:rFonts w:hint="eastAsia"/>
        </w:rPr>
        <w:tab/>
        <w:t>贩运妇女和女童以及利用妇女卖淫营利</w:t>
      </w:r>
    </w:p>
    <w:p w:rsidR="00BA1B0C" w:rsidRDefault="00BA1B0C" w:rsidP="005A67A6">
      <w:pPr>
        <w:pStyle w:val="SingleTxt"/>
        <w:spacing w:line="326" w:lineRule="exact"/>
        <w:rPr>
          <w:rFonts w:hint="eastAsia"/>
        </w:rPr>
      </w:pPr>
      <w:r>
        <w:rPr>
          <w:rFonts w:hint="eastAsia"/>
        </w:rPr>
        <w:t>9.</w:t>
      </w:r>
      <w:r>
        <w:rPr>
          <w:rFonts w:hint="eastAsia"/>
        </w:rPr>
        <w:tab/>
      </w:r>
      <w:r>
        <w:rPr>
          <w:rFonts w:hint="eastAsia"/>
        </w:rPr>
        <w:t>报告指出，缔约国通过了</w:t>
      </w:r>
      <w:r>
        <w:rPr>
          <w:rFonts w:hint="eastAsia"/>
        </w:rPr>
        <w:t>2011-2012</w:t>
      </w:r>
      <w:r>
        <w:rPr>
          <w:rFonts w:hint="eastAsia"/>
        </w:rPr>
        <w:t>年和</w:t>
      </w:r>
      <w:r>
        <w:rPr>
          <w:rFonts w:hint="eastAsia"/>
        </w:rPr>
        <w:t>2013-2014</w:t>
      </w:r>
      <w:r>
        <w:rPr>
          <w:rFonts w:hint="eastAsia"/>
        </w:rPr>
        <w:t>年行动计划，以提高旨在禁止和打击人口贩运的行动的效力</w:t>
      </w:r>
      <w:r>
        <w:rPr>
          <w:rFonts w:hint="eastAsia"/>
        </w:rPr>
        <w:t>(</w:t>
      </w:r>
      <w:r>
        <w:rPr>
          <w:rFonts w:hint="eastAsia"/>
        </w:rPr>
        <w:t>第</w:t>
      </w:r>
      <w:r>
        <w:rPr>
          <w:rFonts w:hint="eastAsia"/>
        </w:rPr>
        <w:t>109</w:t>
      </w:r>
      <w:r>
        <w:rPr>
          <w:rFonts w:hint="eastAsia"/>
        </w:rPr>
        <w:t>段</w:t>
      </w:r>
      <w:r>
        <w:rPr>
          <w:rFonts w:hint="eastAsia"/>
        </w:rPr>
        <w:t>)</w:t>
      </w:r>
      <w:r>
        <w:rPr>
          <w:rFonts w:hint="eastAsia"/>
        </w:rPr>
        <w:t>。请提供最新资料，说明上述行动计划的执行情况，并指出是否已将这些计划续延至</w:t>
      </w:r>
      <w:r>
        <w:rPr>
          <w:rFonts w:hint="eastAsia"/>
        </w:rPr>
        <w:t>2014</w:t>
      </w:r>
      <w:r>
        <w:rPr>
          <w:rFonts w:hint="eastAsia"/>
        </w:rPr>
        <w:t>年以后。另请提供资料，说明报告第</w:t>
      </w:r>
      <w:r>
        <w:rPr>
          <w:rFonts w:hint="eastAsia"/>
        </w:rPr>
        <w:t>118</w:t>
      </w:r>
      <w:r>
        <w:rPr>
          <w:rFonts w:hint="eastAsia"/>
        </w:rPr>
        <w:t>段提到的、关于设立为犯罪受害者提供援助的基金的总统令草案的现状。此外，还请提供按年龄分列的资料和数据，说明贩运活动中妇女和女童受害者的情况，特别是贩运</w:t>
      </w:r>
      <w:r>
        <w:rPr>
          <w:rFonts w:hint="eastAsia"/>
        </w:rPr>
        <w:t>18</w:t>
      </w:r>
      <w:r>
        <w:rPr>
          <w:rFonts w:hint="eastAsia"/>
        </w:rPr>
        <w:t>岁以下女童的案例。另请说明适用于参与卖淫妇女的法律框架。</w:t>
      </w:r>
    </w:p>
    <w:p w:rsidR="00BA1B0C" w:rsidRDefault="00BA1B0C" w:rsidP="005A67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妇女参与政治和公共生活</w:t>
      </w:r>
    </w:p>
    <w:p w:rsidR="00BA1B0C" w:rsidRDefault="00BA1B0C" w:rsidP="00BA1B0C">
      <w:pPr>
        <w:pStyle w:val="SingleTxt"/>
        <w:rPr>
          <w:rFonts w:hint="eastAsia"/>
        </w:rPr>
      </w:pPr>
      <w:r>
        <w:rPr>
          <w:rFonts w:hint="eastAsia"/>
        </w:rPr>
        <w:t>10.</w:t>
      </w:r>
      <w:r>
        <w:rPr>
          <w:rFonts w:hint="eastAsia"/>
        </w:rPr>
        <w:tab/>
      </w:r>
      <w:r>
        <w:rPr>
          <w:rFonts w:hint="eastAsia"/>
        </w:rPr>
        <w:t>请提供资料，说明为在议会实现</w:t>
      </w:r>
      <w:r>
        <w:rPr>
          <w:rFonts w:hint="eastAsia"/>
        </w:rPr>
        <w:t>30%</w:t>
      </w:r>
      <w:r>
        <w:rPr>
          <w:rFonts w:hint="eastAsia"/>
        </w:rPr>
        <w:t>的妇女配额</w:t>
      </w:r>
      <w:r>
        <w:rPr>
          <w:rFonts w:hint="eastAsia"/>
        </w:rPr>
        <w:t>(2015</w:t>
      </w:r>
      <w:r>
        <w:rPr>
          <w:rFonts w:hint="eastAsia"/>
        </w:rPr>
        <w:t>年为</w:t>
      </w:r>
      <w:r>
        <w:rPr>
          <w:rFonts w:hint="eastAsia"/>
        </w:rPr>
        <w:t>16.5%)</w:t>
      </w:r>
      <w:r>
        <w:rPr>
          <w:rFonts w:hint="eastAsia"/>
        </w:rPr>
        <w:t>而采取的措施，以及在政党不遵守这些配额的情况下所采取的措施和制裁。请提供资料，说明为促使妇女在部长内阁</w:t>
      </w:r>
      <w:r>
        <w:rPr>
          <w:rFonts w:hint="eastAsia"/>
        </w:rPr>
        <w:t>(6.5%)</w:t>
      </w:r>
      <w:r>
        <w:rPr>
          <w:rFonts w:hint="eastAsia"/>
        </w:rPr>
        <w:t>、司法机构</w:t>
      </w:r>
      <w:r>
        <w:rPr>
          <w:rFonts w:hint="eastAsia"/>
        </w:rPr>
        <w:t>(13%)</w:t>
      </w:r>
      <w:r>
        <w:rPr>
          <w:rFonts w:hint="eastAsia"/>
        </w:rPr>
        <w:t>担任行政职务，以及促使妇女担任外交服务机构的高级职务</w:t>
      </w:r>
      <w:r>
        <w:rPr>
          <w:rFonts w:hint="eastAsia"/>
        </w:rPr>
        <w:t>(8.2%)</w:t>
      </w:r>
      <w:r>
        <w:rPr>
          <w:rFonts w:hint="eastAsia"/>
        </w:rPr>
        <w:t>，包括大使和驻外使团团长</w:t>
      </w:r>
      <w:r>
        <w:rPr>
          <w:rFonts w:hint="eastAsia"/>
        </w:rPr>
        <w:t>(3%)</w:t>
      </w:r>
      <w:r>
        <w:rPr>
          <w:rFonts w:hint="eastAsia"/>
        </w:rPr>
        <w:t>而采取的具体措施，包括暂行特别措施。另请提供资料，说明为推动妇女参与政治和公共生活而实施的具体方案和公务员培训。此外，还请提供资料，说明妇女作为投票者参加选举的程度。</w:t>
      </w:r>
    </w:p>
    <w:p w:rsidR="00BA1B0C" w:rsidRDefault="00BA1B0C" w:rsidP="005A67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教育</w:t>
      </w:r>
    </w:p>
    <w:p w:rsidR="00BA1B0C" w:rsidRDefault="00BA1B0C" w:rsidP="00BA1B0C">
      <w:pPr>
        <w:pStyle w:val="SingleTxt"/>
        <w:rPr>
          <w:rFonts w:hint="eastAsia"/>
        </w:rPr>
      </w:pPr>
      <w:r>
        <w:rPr>
          <w:rFonts w:hint="eastAsia"/>
        </w:rPr>
        <w:t>11.</w:t>
      </w:r>
      <w:r>
        <w:rPr>
          <w:rFonts w:hint="eastAsia"/>
        </w:rPr>
        <w:tab/>
      </w:r>
      <w:r w:rsidRPr="005A67A6">
        <w:rPr>
          <w:rFonts w:hint="eastAsia"/>
          <w:spacing w:val="-4"/>
        </w:rPr>
        <w:t>报告承认，男女生在不同类型的中专和职业培训机构中的比率，以及在高等教育、学士学位课程和硕士课程的入学率方面存在差异</w:t>
      </w:r>
      <w:r w:rsidRPr="005A67A6">
        <w:rPr>
          <w:rFonts w:hint="eastAsia"/>
          <w:spacing w:val="-4"/>
        </w:rPr>
        <w:t>(</w:t>
      </w:r>
      <w:r w:rsidRPr="005A67A6">
        <w:rPr>
          <w:rFonts w:hint="eastAsia"/>
          <w:spacing w:val="-4"/>
        </w:rPr>
        <w:t>第</w:t>
      </w:r>
      <w:r w:rsidRPr="005A67A6">
        <w:rPr>
          <w:rFonts w:hint="eastAsia"/>
          <w:spacing w:val="-4"/>
        </w:rPr>
        <w:t>189</w:t>
      </w:r>
      <w:r w:rsidRPr="005A67A6">
        <w:rPr>
          <w:rFonts w:hint="eastAsia"/>
          <w:spacing w:val="-4"/>
        </w:rPr>
        <w:t>和第</w:t>
      </w:r>
      <w:r w:rsidRPr="005A67A6">
        <w:rPr>
          <w:rFonts w:hint="eastAsia"/>
          <w:spacing w:val="-4"/>
        </w:rPr>
        <w:t>192</w:t>
      </w:r>
      <w:r w:rsidRPr="005A67A6">
        <w:rPr>
          <w:rFonts w:hint="eastAsia"/>
          <w:spacing w:val="-4"/>
        </w:rPr>
        <w:t>段</w:t>
      </w:r>
      <w:r w:rsidRPr="005A67A6">
        <w:rPr>
          <w:rFonts w:hint="eastAsia"/>
          <w:spacing w:val="-4"/>
        </w:rPr>
        <w:t>)</w:t>
      </w:r>
      <w:r w:rsidRPr="005A67A6">
        <w:rPr>
          <w:rFonts w:hint="eastAsia"/>
          <w:spacing w:val="-4"/>
        </w:rPr>
        <w:t>。请提供资料，说明为打击各级教育系统中的性别陈规定型观念而采取的措施。另请提供资料，说明早婚这一有害做法对女童辍学率的影响，以及为解决该问题而采取的措施</w:t>
      </w:r>
      <w:r>
        <w:rPr>
          <w:rFonts w:hint="eastAsia"/>
        </w:rPr>
        <w:t>。</w:t>
      </w:r>
    </w:p>
    <w:p w:rsidR="00BA1B0C" w:rsidRDefault="00BA1B0C" w:rsidP="00BA1B0C">
      <w:pPr>
        <w:pStyle w:val="SingleTxt"/>
        <w:rPr>
          <w:rFonts w:hint="eastAsia"/>
        </w:rPr>
      </w:pPr>
      <w:r>
        <w:rPr>
          <w:rFonts w:hint="eastAsia"/>
        </w:rPr>
        <w:t>12.</w:t>
      </w:r>
      <w:r>
        <w:rPr>
          <w:rFonts w:hint="eastAsia"/>
        </w:rPr>
        <w:tab/>
      </w:r>
      <w:r>
        <w:rPr>
          <w:rFonts w:hint="eastAsia"/>
        </w:rPr>
        <w:t>请提供资料，说明为解决妇女集中于教育这一传统女性化专业</w:t>
      </w:r>
      <w:r>
        <w:rPr>
          <w:rFonts w:hint="eastAsia"/>
        </w:rPr>
        <w:t>(</w:t>
      </w:r>
      <w:r>
        <w:rPr>
          <w:rFonts w:hint="eastAsia"/>
        </w:rPr>
        <w:t>第</w:t>
      </w:r>
      <w:r>
        <w:rPr>
          <w:rFonts w:hint="eastAsia"/>
        </w:rPr>
        <w:t>193</w:t>
      </w:r>
      <w:r>
        <w:rPr>
          <w:rFonts w:hint="eastAsia"/>
        </w:rPr>
        <w:t>段表明女学生占</w:t>
      </w:r>
      <w:r>
        <w:rPr>
          <w:rFonts w:hint="eastAsia"/>
        </w:rPr>
        <w:t>72.6%)</w:t>
      </w:r>
      <w:r>
        <w:rPr>
          <w:rFonts w:hint="eastAsia"/>
        </w:rPr>
        <w:t>的问题而采取的措施。鉴于报告载明，专业选择不仅受经济因素和家庭传统影响，而且也受到教育机构所处位置的影响</w:t>
      </w:r>
      <w:r>
        <w:rPr>
          <w:rFonts w:hint="eastAsia"/>
        </w:rPr>
        <w:t>(</w:t>
      </w:r>
      <w:r>
        <w:rPr>
          <w:rFonts w:hint="eastAsia"/>
        </w:rPr>
        <w:t>第</w:t>
      </w:r>
      <w:r>
        <w:rPr>
          <w:rFonts w:hint="eastAsia"/>
        </w:rPr>
        <w:t>189</w:t>
      </w:r>
      <w:r>
        <w:rPr>
          <w:rFonts w:hint="eastAsia"/>
        </w:rPr>
        <w:t>段</w:t>
      </w:r>
      <w:r>
        <w:rPr>
          <w:rFonts w:hint="eastAsia"/>
        </w:rPr>
        <w:t>)</w:t>
      </w:r>
      <w:r>
        <w:rPr>
          <w:rFonts w:hint="eastAsia"/>
        </w:rPr>
        <w:t>，请提供资料，说明为向妇女和女童提供教育设施而采取的措施。</w:t>
      </w:r>
    </w:p>
    <w:p w:rsidR="00BA1B0C" w:rsidRDefault="00BA1B0C" w:rsidP="005A67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就业</w:t>
      </w:r>
    </w:p>
    <w:p w:rsidR="00BA1B0C" w:rsidRDefault="00BA1B0C" w:rsidP="00BA1B0C">
      <w:pPr>
        <w:pStyle w:val="SingleTxt"/>
        <w:rPr>
          <w:rFonts w:hint="eastAsia"/>
        </w:rPr>
      </w:pPr>
      <w:r>
        <w:rPr>
          <w:rFonts w:hint="eastAsia"/>
        </w:rPr>
        <w:t>13.</w:t>
      </w:r>
      <w:r>
        <w:rPr>
          <w:rFonts w:hint="eastAsia"/>
        </w:rPr>
        <w:tab/>
      </w:r>
      <w:r w:rsidRPr="005A67A6">
        <w:rPr>
          <w:rFonts w:hint="eastAsia"/>
          <w:spacing w:val="-2"/>
        </w:rPr>
        <w:t>报告指出，在缔约国所有的职位空缺中，只有</w:t>
      </w:r>
      <w:r w:rsidRPr="005A67A6">
        <w:rPr>
          <w:rFonts w:hint="eastAsia"/>
          <w:spacing w:val="-2"/>
        </w:rPr>
        <w:t>40%</w:t>
      </w:r>
      <w:r w:rsidRPr="005A67A6">
        <w:rPr>
          <w:rFonts w:hint="eastAsia"/>
          <w:spacing w:val="-2"/>
        </w:rPr>
        <w:t>是为妇女提供的</w:t>
      </w:r>
      <w:r w:rsidRPr="005A67A6">
        <w:rPr>
          <w:rFonts w:hint="eastAsia"/>
          <w:spacing w:val="-2"/>
        </w:rPr>
        <w:t>(</w:t>
      </w:r>
      <w:r w:rsidRPr="005A67A6">
        <w:rPr>
          <w:rFonts w:hint="eastAsia"/>
          <w:spacing w:val="-2"/>
        </w:rPr>
        <w:t>第</w:t>
      </w:r>
      <w:r w:rsidRPr="005A67A6">
        <w:rPr>
          <w:rFonts w:hint="eastAsia"/>
          <w:spacing w:val="-2"/>
        </w:rPr>
        <w:t>194</w:t>
      </w:r>
      <w:r w:rsidRPr="005A67A6">
        <w:rPr>
          <w:rFonts w:hint="eastAsia"/>
          <w:spacing w:val="-2"/>
        </w:rPr>
        <w:t>段</w:t>
      </w:r>
      <w:r w:rsidRPr="005A67A6">
        <w:rPr>
          <w:rFonts w:hint="eastAsia"/>
          <w:spacing w:val="-2"/>
        </w:rPr>
        <w:t>)</w:t>
      </w:r>
      <w:r w:rsidRPr="005A67A6">
        <w:rPr>
          <w:rFonts w:hint="eastAsia"/>
          <w:spacing w:val="-2"/>
        </w:rPr>
        <w:t>。报告还载明，</w:t>
      </w:r>
      <w:r w:rsidRPr="005A67A6">
        <w:rPr>
          <w:rFonts w:hint="eastAsia"/>
          <w:spacing w:val="-2"/>
        </w:rPr>
        <w:t>2012</w:t>
      </w:r>
      <w:r w:rsidRPr="005A67A6">
        <w:rPr>
          <w:rFonts w:hint="eastAsia"/>
          <w:spacing w:val="-2"/>
        </w:rPr>
        <w:t>年，</w:t>
      </w:r>
      <w:r w:rsidRPr="005A67A6">
        <w:rPr>
          <w:rFonts w:hint="eastAsia"/>
          <w:spacing w:val="-2"/>
        </w:rPr>
        <w:t>40.4%</w:t>
      </w:r>
      <w:r w:rsidRPr="005A67A6">
        <w:rPr>
          <w:rFonts w:hint="eastAsia"/>
          <w:spacing w:val="-2"/>
        </w:rPr>
        <w:t>的小型企业由妇女经营，而微型企业的这一比例仅为</w:t>
      </w:r>
      <w:r w:rsidRPr="005A67A6">
        <w:rPr>
          <w:rFonts w:hint="eastAsia"/>
          <w:spacing w:val="-2"/>
        </w:rPr>
        <w:t>13.7%(</w:t>
      </w:r>
      <w:r w:rsidRPr="005A67A6">
        <w:rPr>
          <w:rFonts w:hint="eastAsia"/>
          <w:spacing w:val="-2"/>
        </w:rPr>
        <w:t>第</w:t>
      </w:r>
      <w:r w:rsidRPr="005A67A6">
        <w:rPr>
          <w:rFonts w:hint="eastAsia"/>
          <w:spacing w:val="-2"/>
        </w:rPr>
        <w:t>197</w:t>
      </w:r>
      <w:r w:rsidRPr="005A67A6">
        <w:rPr>
          <w:rFonts w:hint="eastAsia"/>
          <w:spacing w:val="-2"/>
        </w:rPr>
        <w:t>段</w:t>
      </w:r>
      <w:r w:rsidRPr="005A67A6">
        <w:rPr>
          <w:rFonts w:hint="eastAsia"/>
          <w:spacing w:val="-2"/>
        </w:rPr>
        <w:t>)</w:t>
      </w:r>
      <w:r w:rsidRPr="005A67A6">
        <w:rPr>
          <w:rFonts w:hint="eastAsia"/>
          <w:spacing w:val="-2"/>
        </w:rPr>
        <w:t>。请说明缔约国是否存在有关妇女就业的禁令或限制。请提供资料，说明采取了哪些措施来解决妇女在企业家中代表性不足的问题。另请提供资料，说明便于妇女协调工作和家庭生活的托儿设施的可得性和可承受性</w:t>
      </w:r>
      <w:r>
        <w:rPr>
          <w:rFonts w:hint="eastAsia"/>
        </w:rPr>
        <w:t>。</w:t>
      </w:r>
    </w:p>
    <w:p w:rsidR="00BA1B0C" w:rsidRDefault="00BA1B0C" w:rsidP="00BA1B0C">
      <w:pPr>
        <w:pStyle w:val="SingleTxt"/>
        <w:rPr>
          <w:rFonts w:hint="eastAsia"/>
        </w:rPr>
      </w:pPr>
      <w:r>
        <w:rPr>
          <w:rFonts w:hint="eastAsia"/>
        </w:rPr>
        <w:t>14.</w:t>
      </w:r>
      <w:r>
        <w:rPr>
          <w:rFonts w:hint="eastAsia"/>
        </w:rPr>
        <w:tab/>
      </w:r>
      <w:r>
        <w:rPr>
          <w:rFonts w:hint="eastAsia"/>
        </w:rPr>
        <w:t>请提供资料，说明依照委员会此前的结论性意见</w:t>
      </w:r>
      <w:r>
        <w:rPr>
          <w:rFonts w:hint="eastAsia"/>
        </w:rPr>
        <w:t>(</w:t>
      </w:r>
      <w:hyperlink r:id="rId18" w:history="1">
        <w:r w:rsidRPr="00BA1B0C">
          <w:rPr>
            <w:rStyle w:val="Hyperlink"/>
            <w:rFonts w:hint="eastAsia"/>
          </w:rPr>
          <w:t>CEDAW/C/UZB/CO/4</w:t>
        </w:r>
      </w:hyperlink>
      <w:r>
        <w:rPr>
          <w:rFonts w:hint="eastAsia"/>
        </w:rPr>
        <w:t>，第</w:t>
      </w:r>
      <w:r>
        <w:rPr>
          <w:rFonts w:hint="eastAsia"/>
        </w:rPr>
        <w:t>33</w:t>
      </w:r>
      <w:r>
        <w:rPr>
          <w:rFonts w:hint="eastAsia"/>
        </w:rPr>
        <w:t>段</w:t>
      </w:r>
      <w:r>
        <w:rPr>
          <w:rFonts w:hint="eastAsia"/>
        </w:rPr>
        <w:t>)</w:t>
      </w:r>
      <w:r>
        <w:rPr>
          <w:rFonts w:hint="eastAsia"/>
        </w:rPr>
        <w:t>中的建议，为赋予同工同酬原则完全的法律效力而采取的步骤，并提供详细资料说明禁止工作场所性骚扰的具体立法。另请提供详细资料，说明为支持和保护为数众多的在非正规部门就业的妇女而采取的措施。</w:t>
      </w:r>
    </w:p>
    <w:p w:rsidR="00BA1B0C" w:rsidRDefault="00BA1B0C" w:rsidP="00BA1B0C">
      <w:pPr>
        <w:pStyle w:val="SingleTxt"/>
        <w:rPr>
          <w:rFonts w:hint="eastAsia"/>
        </w:rPr>
      </w:pPr>
      <w:r>
        <w:rPr>
          <w:rFonts w:hint="eastAsia"/>
        </w:rPr>
        <w:t>15.</w:t>
      </w:r>
      <w:r>
        <w:rPr>
          <w:rFonts w:hint="eastAsia"/>
        </w:rPr>
        <w:tab/>
      </w:r>
      <w:r>
        <w:rPr>
          <w:rFonts w:hint="eastAsia"/>
        </w:rPr>
        <w:t>报告指出，已向部长内阁提交《移民法》供其审议，而且缔约国认为在通过该法律之前，加入《保护所有移徙工人及其家庭成员权利国际公约》的条件尚不成熟</w:t>
      </w:r>
      <w:r>
        <w:rPr>
          <w:rFonts w:hint="eastAsia"/>
        </w:rPr>
        <w:t>(</w:t>
      </w:r>
      <w:r>
        <w:rPr>
          <w:rFonts w:hint="eastAsia"/>
        </w:rPr>
        <w:t>第</w:t>
      </w:r>
      <w:r>
        <w:rPr>
          <w:rFonts w:hint="eastAsia"/>
        </w:rPr>
        <w:t>212</w:t>
      </w:r>
      <w:r>
        <w:rPr>
          <w:rFonts w:hint="eastAsia"/>
        </w:rPr>
        <w:t>段</w:t>
      </w:r>
      <w:r>
        <w:rPr>
          <w:rFonts w:hint="eastAsia"/>
        </w:rPr>
        <w:t>)</w:t>
      </w:r>
      <w:r>
        <w:rPr>
          <w:rFonts w:hint="eastAsia"/>
        </w:rPr>
        <w:t>。请提供最新资料，说明该项法律的现状，以及为保护女性移徙工人权利而采取的措施。</w:t>
      </w:r>
    </w:p>
    <w:p w:rsidR="00BA1B0C" w:rsidRDefault="00BA1B0C" w:rsidP="005A67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健康</w:t>
      </w:r>
    </w:p>
    <w:p w:rsidR="00BA1B0C" w:rsidRDefault="00BA1B0C" w:rsidP="00BA1B0C">
      <w:pPr>
        <w:pStyle w:val="SingleTxt"/>
        <w:rPr>
          <w:rFonts w:hint="eastAsia"/>
        </w:rPr>
      </w:pPr>
      <w:r>
        <w:rPr>
          <w:rFonts w:hint="eastAsia"/>
        </w:rPr>
        <w:t>16.</w:t>
      </w:r>
      <w:r>
        <w:rPr>
          <w:rFonts w:hint="eastAsia"/>
        </w:rPr>
        <w:tab/>
      </w:r>
      <w:r>
        <w:rPr>
          <w:rFonts w:hint="eastAsia"/>
        </w:rPr>
        <w:t>根据委员会收到的资料，缔约国存在着在妇女不知情的情况下，对其实施强迫绝育的指控，而且</w:t>
      </w:r>
      <w:r>
        <w:rPr>
          <w:rFonts w:hint="eastAsia"/>
        </w:rPr>
        <w:t>2013</w:t>
      </w:r>
      <w:r>
        <w:rPr>
          <w:rFonts w:hint="eastAsia"/>
        </w:rPr>
        <w:t>年普遍定期审议工作组审议缔约国报告期间就该问题提出的建议并未得到缔约国的支持。请提供资料，说明为消除强迫绝育和确保安全避孕而采取的措施。另请提供资料，说明缔约国有关堕胎的法律框架。</w:t>
      </w:r>
    </w:p>
    <w:p w:rsidR="00BA1B0C" w:rsidRDefault="00BA1B0C" w:rsidP="00BA1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农村妇女</w:t>
      </w:r>
    </w:p>
    <w:p w:rsidR="00BA1B0C" w:rsidRDefault="00BA1B0C" w:rsidP="00BA1B0C">
      <w:pPr>
        <w:pStyle w:val="SingleTxt"/>
        <w:rPr>
          <w:rFonts w:hint="eastAsia"/>
        </w:rPr>
      </w:pPr>
      <w:r>
        <w:rPr>
          <w:rFonts w:hint="eastAsia"/>
        </w:rPr>
        <w:t>17.</w:t>
      </w:r>
      <w:r>
        <w:rPr>
          <w:rFonts w:hint="eastAsia"/>
        </w:rPr>
        <w:tab/>
      </w:r>
      <w:r>
        <w:rPr>
          <w:rFonts w:hint="eastAsia"/>
        </w:rPr>
        <w:t>报告指出，截至</w:t>
      </w:r>
      <w:r>
        <w:rPr>
          <w:rFonts w:hint="eastAsia"/>
        </w:rPr>
        <w:t>2013</w:t>
      </w:r>
      <w:r>
        <w:rPr>
          <w:rFonts w:hint="eastAsia"/>
        </w:rPr>
        <w:t>年</w:t>
      </w:r>
      <w:r>
        <w:rPr>
          <w:rFonts w:hint="eastAsia"/>
        </w:rPr>
        <w:t>1</w:t>
      </w:r>
      <w:r>
        <w:rPr>
          <w:rFonts w:hint="eastAsia"/>
        </w:rPr>
        <w:t>月，由妇女经营的农场仅占缔约国所有注册农场的</w:t>
      </w:r>
      <w:r>
        <w:rPr>
          <w:rFonts w:hint="eastAsia"/>
        </w:rPr>
        <w:t>9%(</w:t>
      </w:r>
      <w:r>
        <w:rPr>
          <w:rFonts w:hint="eastAsia"/>
        </w:rPr>
        <w:t>第</w:t>
      </w:r>
      <w:r>
        <w:rPr>
          <w:rFonts w:hint="eastAsia"/>
        </w:rPr>
        <w:t>249</w:t>
      </w:r>
      <w:r>
        <w:rPr>
          <w:rFonts w:hint="eastAsia"/>
        </w:rPr>
        <w:t>段</w:t>
      </w:r>
      <w:r>
        <w:rPr>
          <w:rFonts w:hint="eastAsia"/>
        </w:rPr>
        <w:t>)</w:t>
      </w:r>
      <w:r>
        <w:rPr>
          <w:rFonts w:hint="eastAsia"/>
        </w:rPr>
        <w:t>。请提供资料，说明为加强农村妇女作为农场主的作用和能力，提高农村妇女参与政治和公共生活的程度，以及增强他们诉诸法律、实行管理和参与经济的机会而采取的措施。另请提供最新资料，说明与联合国促进性别平等和增强妇女权能署合作、在六个试点地区实施的</w:t>
      </w:r>
      <w:r>
        <w:rPr>
          <w:rFonts w:hint="eastAsia"/>
        </w:rPr>
        <w:t xml:space="preserve"> </w:t>
      </w:r>
      <w:r>
        <w:rPr>
          <w:rFonts w:hint="eastAsia"/>
        </w:rPr>
        <w:t>“促进乌兹别克斯坦妇女经济权利”项目的成果</w:t>
      </w:r>
      <w:r>
        <w:rPr>
          <w:rFonts w:hint="eastAsia"/>
        </w:rPr>
        <w:t>(</w:t>
      </w:r>
      <w:r>
        <w:rPr>
          <w:rFonts w:hint="eastAsia"/>
        </w:rPr>
        <w:t>第</w:t>
      </w:r>
      <w:r>
        <w:rPr>
          <w:rFonts w:hint="eastAsia"/>
        </w:rPr>
        <w:t>250</w:t>
      </w:r>
      <w:r>
        <w:rPr>
          <w:rFonts w:hint="eastAsia"/>
        </w:rPr>
        <w:t>段</w:t>
      </w:r>
      <w:r>
        <w:rPr>
          <w:rFonts w:hint="eastAsia"/>
        </w:rPr>
        <w:t>)</w:t>
      </w:r>
      <w:r>
        <w:rPr>
          <w:rFonts w:hint="eastAsia"/>
        </w:rPr>
        <w:t>。</w:t>
      </w:r>
    </w:p>
    <w:p w:rsidR="00BA1B0C" w:rsidRDefault="00BA1B0C" w:rsidP="00BA1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被拘留妇女</w:t>
      </w:r>
    </w:p>
    <w:p w:rsidR="00BA1B0C" w:rsidRDefault="00BA1B0C" w:rsidP="00BA1B0C">
      <w:pPr>
        <w:pStyle w:val="SingleTxt"/>
        <w:rPr>
          <w:rFonts w:hint="eastAsia"/>
        </w:rPr>
      </w:pPr>
      <w:r>
        <w:rPr>
          <w:rFonts w:hint="eastAsia"/>
        </w:rPr>
        <w:t>18.</w:t>
      </w:r>
      <w:r>
        <w:rPr>
          <w:rFonts w:hint="eastAsia"/>
        </w:rPr>
        <w:tab/>
      </w:r>
      <w:r>
        <w:rPr>
          <w:rFonts w:hint="eastAsia"/>
        </w:rPr>
        <w:t>报告指出，作为试验，监狱管理总局在布哈拉拘留所设立了一个负责未成年人和女囚犯权利的监察员职位</w:t>
      </w:r>
      <w:r>
        <w:rPr>
          <w:rFonts w:hint="eastAsia"/>
        </w:rPr>
        <w:t>(</w:t>
      </w:r>
      <w:r>
        <w:rPr>
          <w:rFonts w:hint="eastAsia"/>
        </w:rPr>
        <w:t>第</w:t>
      </w:r>
      <w:r>
        <w:rPr>
          <w:rFonts w:hint="eastAsia"/>
        </w:rPr>
        <w:t>99</w:t>
      </w:r>
      <w:r>
        <w:rPr>
          <w:rFonts w:hint="eastAsia"/>
        </w:rPr>
        <w:t>段</w:t>
      </w:r>
      <w:r>
        <w:rPr>
          <w:rFonts w:hint="eastAsia"/>
        </w:rPr>
        <w:t>)</w:t>
      </w:r>
      <w:r>
        <w:rPr>
          <w:rFonts w:hint="eastAsia"/>
        </w:rPr>
        <w:t>。请提供最新资料，说明该举措取得的成果。请说明监狱的条件是否符合《联合国女性囚犯待遇和女性罪犯非拘禁措施规则》</w:t>
      </w:r>
      <w:r>
        <w:rPr>
          <w:rFonts w:hint="eastAsia"/>
        </w:rPr>
        <w:t>(</w:t>
      </w:r>
      <w:r>
        <w:rPr>
          <w:rFonts w:hint="eastAsia"/>
        </w:rPr>
        <w:t>《曼谷规则》</w:t>
      </w:r>
      <w:r>
        <w:rPr>
          <w:rFonts w:hint="eastAsia"/>
        </w:rPr>
        <w:t>)</w:t>
      </w:r>
      <w:r>
        <w:rPr>
          <w:rFonts w:hint="eastAsia"/>
        </w:rPr>
        <w:t>的要求。</w:t>
      </w:r>
    </w:p>
    <w:p w:rsidR="00BA1B0C" w:rsidRDefault="00BA1B0C" w:rsidP="00BA1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婚姻和家庭关系</w:t>
      </w:r>
    </w:p>
    <w:p w:rsidR="00BA1B0C" w:rsidRDefault="00BA1B0C" w:rsidP="00BA1B0C">
      <w:pPr>
        <w:pStyle w:val="SingleTxt"/>
        <w:rPr>
          <w:rFonts w:hint="eastAsia"/>
        </w:rPr>
      </w:pPr>
      <w:r>
        <w:rPr>
          <w:rFonts w:hint="eastAsia"/>
        </w:rPr>
        <w:t>19.</w:t>
      </w:r>
      <w:r>
        <w:rPr>
          <w:rFonts w:hint="eastAsia"/>
        </w:rPr>
        <w:tab/>
      </w:r>
      <w:r>
        <w:rPr>
          <w:rFonts w:hint="eastAsia"/>
        </w:rPr>
        <w:t>报告指出，《家庭法典》第</w:t>
      </w:r>
      <w:r>
        <w:rPr>
          <w:rFonts w:hint="eastAsia"/>
        </w:rPr>
        <w:t>15</w:t>
      </w:r>
      <w:r>
        <w:rPr>
          <w:rFonts w:hint="eastAsia"/>
        </w:rPr>
        <w:t>条规定，男子的最低结婚年龄为</w:t>
      </w:r>
      <w:r>
        <w:rPr>
          <w:rFonts w:hint="eastAsia"/>
        </w:rPr>
        <w:t>18</w:t>
      </w:r>
      <w:r>
        <w:rPr>
          <w:rFonts w:hint="eastAsia"/>
        </w:rPr>
        <w:t>岁，女性为</w:t>
      </w:r>
      <w:r>
        <w:rPr>
          <w:rFonts w:hint="eastAsia"/>
        </w:rPr>
        <w:t>17</w:t>
      </w:r>
      <w:r>
        <w:rPr>
          <w:rFonts w:hint="eastAsia"/>
        </w:rPr>
        <w:t>岁，且在特殊情况下，该年龄规定可降低</w:t>
      </w:r>
      <w:r>
        <w:rPr>
          <w:rFonts w:hint="eastAsia"/>
        </w:rPr>
        <w:t>1</w:t>
      </w:r>
      <w:r>
        <w:rPr>
          <w:rFonts w:hint="eastAsia"/>
        </w:rPr>
        <w:t>岁</w:t>
      </w:r>
      <w:r>
        <w:rPr>
          <w:rFonts w:hint="eastAsia"/>
        </w:rPr>
        <w:t>(</w:t>
      </w:r>
      <w:r>
        <w:rPr>
          <w:rFonts w:hint="eastAsia"/>
        </w:rPr>
        <w:t>第</w:t>
      </w:r>
      <w:r>
        <w:rPr>
          <w:rFonts w:hint="eastAsia"/>
        </w:rPr>
        <w:t>270</w:t>
      </w:r>
      <w:r>
        <w:rPr>
          <w:rFonts w:hint="eastAsia"/>
        </w:rPr>
        <w:t>段</w:t>
      </w:r>
      <w:r>
        <w:rPr>
          <w:rFonts w:hint="eastAsia"/>
        </w:rPr>
        <w:t>)</w:t>
      </w:r>
      <w:r>
        <w:rPr>
          <w:rFonts w:hint="eastAsia"/>
        </w:rPr>
        <w:t>。请提供资料，说明为将女孩的法定结婚年龄提高到</w:t>
      </w:r>
      <w:r>
        <w:rPr>
          <w:rFonts w:hint="eastAsia"/>
        </w:rPr>
        <w:t>18</w:t>
      </w:r>
      <w:r>
        <w:rPr>
          <w:rFonts w:hint="eastAsia"/>
        </w:rPr>
        <w:t>岁以符合国际标准而采取的措施。</w:t>
      </w:r>
    </w:p>
    <w:p w:rsidR="00BA1B0C" w:rsidRDefault="00BA1B0C" w:rsidP="00BA1B0C">
      <w:pPr>
        <w:pStyle w:val="SingleTxt"/>
        <w:rPr>
          <w:rFonts w:hint="eastAsia"/>
        </w:rPr>
      </w:pPr>
      <w:r>
        <w:rPr>
          <w:rFonts w:hint="eastAsia"/>
        </w:rPr>
        <w:t>20.</w:t>
      </w:r>
      <w:r>
        <w:rPr>
          <w:rFonts w:hint="eastAsia"/>
        </w:rPr>
        <w:tab/>
      </w:r>
      <w:r>
        <w:rPr>
          <w:rFonts w:hint="eastAsia"/>
        </w:rPr>
        <w:t>报告提到的数据指出，犯下《刑法典》第</w:t>
      </w:r>
      <w:r>
        <w:rPr>
          <w:rFonts w:hint="eastAsia"/>
        </w:rPr>
        <w:t>126</w:t>
      </w:r>
      <w:r>
        <w:rPr>
          <w:rFonts w:hint="eastAsia"/>
        </w:rPr>
        <w:t>条规定罪行</w:t>
      </w:r>
      <w:r>
        <w:rPr>
          <w:rFonts w:hint="eastAsia"/>
        </w:rPr>
        <w:t>(</w:t>
      </w:r>
      <w:r>
        <w:rPr>
          <w:rFonts w:hint="eastAsia"/>
        </w:rPr>
        <w:t>关于一夫多妻</w:t>
      </w:r>
      <w:r>
        <w:rPr>
          <w:rFonts w:hint="eastAsia"/>
        </w:rPr>
        <w:t>)</w:t>
      </w:r>
      <w:r>
        <w:rPr>
          <w:rFonts w:hint="eastAsia"/>
        </w:rPr>
        <w:t>的人数从</w:t>
      </w:r>
      <w:r>
        <w:rPr>
          <w:rFonts w:hint="eastAsia"/>
        </w:rPr>
        <w:t>2010</w:t>
      </w:r>
      <w:r>
        <w:rPr>
          <w:rFonts w:hint="eastAsia"/>
        </w:rPr>
        <w:t>年的</w:t>
      </w:r>
      <w:r>
        <w:rPr>
          <w:rFonts w:hint="eastAsia"/>
        </w:rPr>
        <w:t>15</w:t>
      </w:r>
      <w:r>
        <w:rPr>
          <w:rFonts w:hint="eastAsia"/>
        </w:rPr>
        <w:t>人增加到了</w:t>
      </w:r>
      <w:r>
        <w:rPr>
          <w:rFonts w:hint="eastAsia"/>
        </w:rPr>
        <w:t>2013</w:t>
      </w:r>
      <w:r>
        <w:rPr>
          <w:rFonts w:hint="eastAsia"/>
        </w:rPr>
        <w:t>年的</w:t>
      </w:r>
      <w:r>
        <w:rPr>
          <w:rFonts w:hint="eastAsia"/>
        </w:rPr>
        <w:t>23</w:t>
      </w:r>
      <w:r>
        <w:rPr>
          <w:rFonts w:hint="eastAsia"/>
        </w:rPr>
        <w:t>人</w:t>
      </w:r>
      <w:r>
        <w:rPr>
          <w:rFonts w:hint="eastAsia"/>
        </w:rPr>
        <w:t>(</w:t>
      </w:r>
      <w:r>
        <w:rPr>
          <w:rFonts w:hint="eastAsia"/>
        </w:rPr>
        <w:t>第</w:t>
      </w:r>
      <w:r>
        <w:rPr>
          <w:rFonts w:hint="eastAsia"/>
        </w:rPr>
        <w:t>274</w:t>
      </w:r>
      <w:r>
        <w:rPr>
          <w:rFonts w:hint="eastAsia"/>
        </w:rPr>
        <w:t>段</w:t>
      </w:r>
      <w:r>
        <w:rPr>
          <w:rFonts w:hint="eastAsia"/>
        </w:rPr>
        <w:t>)</w:t>
      </w:r>
      <w:r>
        <w:rPr>
          <w:rFonts w:hint="eastAsia"/>
        </w:rPr>
        <w:t>。请提供资料，说明缔约国长期存在一夫多妻案例且数量有所增加的根本原因，以及为消除这一有害做法和保护妇女在这些关系中的权利而采取的措施。</w:t>
      </w:r>
    </w:p>
    <w:p w:rsidR="00BA1B0C" w:rsidRDefault="00BA1B0C" w:rsidP="00BA1B0C">
      <w:pPr>
        <w:pStyle w:val="SingleTxt"/>
        <w:rPr>
          <w:rFonts w:hint="eastAsia"/>
        </w:rPr>
      </w:pPr>
      <w:r>
        <w:rPr>
          <w:rFonts w:hint="eastAsia"/>
        </w:rPr>
        <w:t>21.</w:t>
      </w:r>
      <w:r>
        <w:rPr>
          <w:rFonts w:hint="eastAsia"/>
        </w:rPr>
        <w:tab/>
      </w:r>
      <w:r>
        <w:rPr>
          <w:rFonts w:hint="eastAsia"/>
        </w:rPr>
        <w:t>报告提到了缔约国关于夫妻财产的现行法规、婚前协议以及解除婚姻关系时的财产分割</w:t>
      </w:r>
      <w:r>
        <w:rPr>
          <w:rFonts w:hint="eastAsia"/>
        </w:rPr>
        <w:t>(</w:t>
      </w:r>
      <w:r>
        <w:rPr>
          <w:rFonts w:hint="eastAsia"/>
        </w:rPr>
        <w:t>第</w:t>
      </w:r>
      <w:r>
        <w:rPr>
          <w:rFonts w:hint="eastAsia"/>
        </w:rPr>
        <w:t>257</w:t>
      </w:r>
      <w:r>
        <w:rPr>
          <w:rFonts w:hint="eastAsia"/>
        </w:rPr>
        <w:t>至</w:t>
      </w:r>
      <w:r>
        <w:rPr>
          <w:rFonts w:hint="eastAsia"/>
        </w:rPr>
        <w:t>267</w:t>
      </w:r>
      <w:r>
        <w:rPr>
          <w:rFonts w:hint="eastAsia"/>
        </w:rPr>
        <w:t>段</w:t>
      </w:r>
      <w:r>
        <w:rPr>
          <w:rFonts w:hint="eastAsia"/>
        </w:rPr>
        <w:t>)</w:t>
      </w:r>
      <w:r>
        <w:rPr>
          <w:rFonts w:hint="eastAsia"/>
        </w:rPr>
        <w:t>。不过，关于事实上的结合情况下适用的法规，报告未作记述。请提供资料，说明依照委员会关于《公约》第</w:t>
      </w:r>
      <w:r>
        <w:rPr>
          <w:rFonts w:hint="eastAsia"/>
        </w:rPr>
        <w:t>16</w:t>
      </w:r>
      <w:r>
        <w:rPr>
          <w:rFonts w:hint="eastAsia"/>
        </w:rPr>
        <w:t>条的第</w:t>
      </w:r>
      <w:r>
        <w:rPr>
          <w:rFonts w:hint="eastAsia"/>
        </w:rPr>
        <w:t>29</w:t>
      </w:r>
      <w:r>
        <w:rPr>
          <w:rFonts w:hint="eastAsia"/>
        </w:rPr>
        <w:t>号一般性建议</w:t>
      </w:r>
      <w:r>
        <w:rPr>
          <w:rFonts w:hint="eastAsia"/>
        </w:rPr>
        <w:t>(</w:t>
      </w:r>
      <w:r>
        <w:rPr>
          <w:rFonts w:hint="eastAsia"/>
        </w:rPr>
        <w:t>婚姻、家庭关系及其解除的经济后果</w:t>
      </w:r>
      <w:r>
        <w:rPr>
          <w:rFonts w:hint="eastAsia"/>
        </w:rPr>
        <w:t>)</w:t>
      </w:r>
      <w:r>
        <w:rPr>
          <w:rFonts w:hint="eastAsia"/>
        </w:rPr>
        <w:t>，为了在事实上的结合关系</w:t>
      </w:r>
      <w:r>
        <w:rPr>
          <w:rFonts w:hint="eastAsia"/>
        </w:rPr>
        <w:t>(</w:t>
      </w:r>
      <w:r>
        <w:rPr>
          <w:rFonts w:hint="eastAsia"/>
        </w:rPr>
        <w:t>无论登记状况如何</w:t>
      </w:r>
      <w:r>
        <w:rPr>
          <w:rFonts w:hint="eastAsia"/>
        </w:rPr>
        <w:t>)</w:t>
      </w:r>
      <w:r>
        <w:rPr>
          <w:rFonts w:hint="eastAsia"/>
        </w:rPr>
        <w:t>解除时保护妇女权利而采取的立法措施。</w:t>
      </w:r>
    </w:p>
    <w:p w:rsidR="00BA1B0C" w:rsidRDefault="00BA1B0C" w:rsidP="00BA1B0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《任择议定书》和对《公约》第20条第1款的修正案</w:t>
      </w:r>
    </w:p>
    <w:p w:rsidR="00BC7592" w:rsidRDefault="00BA1B0C" w:rsidP="00BA1B0C">
      <w:pPr>
        <w:pStyle w:val="SingleTxt"/>
        <w:rPr>
          <w:rFonts w:hint="eastAsia"/>
        </w:rPr>
      </w:pPr>
      <w:r>
        <w:rPr>
          <w:rFonts w:hint="eastAsia"/>
        </w:rPr>
        <w:t>22.</w:t>
      </w:r>
      <w:r>
        <w:rPr>
          <w:rFonts w:hint="eastAsia"/>
        </w:rPr>
        <w:tab/>
      </w:r>
      <w:r>
        <w:rPr>
          <w:rFonts w:hint="eastAsia"/>
        </w:rPr>
        <w:t>请说明在批准《公约》的《任择议定书》及接受对关于委员会会议时间的《公约》第</w:t>
      </w:r>
      <w:r>
        <w:rPr>
          <w:rFonts w:hint="eastAsia"/>
        </w:rPr>
        <w:t>20</w:t>
      </w:r>
      <w:r>
        <w:rPr>
          <w:rFonts w:hint="eastAsia"/>
        </w:rPr>
        <w:t>条第</w:t>
      </w:r>
      <w:r>
        <w:rPr>
          <w:rFonts w:hint="eastAsia"/>
        </w:rPr>
        <w:t>1</w:t>
      </w:r>
      <w:r>
        <w:rPr>
          <w:rFonts w:hint="eastAsia"/>
        </w:rPr>
        <w:t>款的修正案方面取得了何种进展。</w:t>
      </w:r>
    </w:p>
    <w:p w:rsidR="00BA1B0C" w:rsidRPr="005A67A6" w:rsidRDefault="005A67A6" w:rsidP="005A67A6">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BA1B0C" w:rsidRPr="005A67A6" w:rsidSect="00BC7592">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6T09:44:00Z" w:initials="Start">
    <w:p w:rsidR="00BC7592" w:rsidRDefault="00BC7592">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C9772A">
        <w:fldChar w:fldCharType="separate"/>
      </w:r>
      <w:r w:rsidR="00C9772A">
        <w:rPr>
          <w:rFonts w:hint="eastAsia"/>
          <w:noProof/>
        </w:rPr>
        <w:t>页</w:t>
      </w:r>
      <w:r w:rsidR="00C9772A">
        <w:rPr>
          <w:rFonts w:hint="eastAsia"/>
          <w:noProof/>
        </w:rPr>
        <w:t xml:space="preserve">: </w:t>
      </w:r>
      <w:r w:rsidR="00C9772A">
        <w:rPr>
          <w:noProof/>
        </w:rPr>
        <w:t>1</w:t>
      </w:r>
      <w:r w:rsidR="00C9772A">
        <w:rPr>
          <w:rFonts w:hint="eastAsia"/>
          <w:noProof/>
        </w:rPr>
        <w:br/>
      </w:r>
      <w:r>
        <w:fldChar w:fldCharType="end"/>
      </w:r>
      <w:r>
        <w:rPr>
          <w:rStyle w:val="CommentReference"/>
        </w:rPr>
        <w:annotationRef/>
      </w:r>
      <w:r>
        <w:t>&lt;&lt;ODS JOB NO&gt;&gt;N1507282C&lt;&lt;ODS JOB NO&gt;&gt;</w:t>
      </w:r>
    </w:p>
    <w:p w:rsidR="00BC7592" w:rsidRDefault="00BC7592">
      <w:pPr>
        <w:pStyle w:val="CommentText"/>
      </w:pPr>
      <w:r>
        <w:t>&lt;&lt;ODS DOC SYMBOL1&gt;&gt;CEDAW/C/UZB/Q/5&lt;&lt;ODS DOC SYMBOL1&gt;&gt;</w:t>
      </w:r>
    </w:p>
    <w:p w:rsidR="00BC7592" w:rsidRDefault="00BC759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F78" w:rsidRDefault="003F2F78">
      <w:r>
        <w:separator/>
      </w:r>
    </w:p>
  </w:endnote>
  <w:endnote w:type="continuationSeparator" w:id="0">
    <w:p w:rsidR="003F2F78" w:rsidRDefault="003F2F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C7592" w:rsidTr="00BC7592">
      <w:tblPrEx>
        <w:tblCellMar>
          <w:top w:w="0" w:type="dxa"/>
          <w:bottom w:w="0" w:type="dxa"/>
        </w:tblCellMar>
      </w:tblPrEx>
      <w:tc>
        <w:tcPr>
          <w:tcW w:w="5028" w:type="dxa"/>
          <w:shd w:val="clear" w:color="auto" w:fill="auto"/>
        </w:tcPr>
        <w:p w:rsidR="00BC7592" w:rsidRPr="00BC7592" w:rsidRDefault="00BC7592" w:rsidP="00BC7592">
          <w:pPr>
            <w:pStyle w:val="Footer"/>
            <w:jc w:val="right"/>
            <w:rPr>
              <w:b w:val="0"/>
              <w:w w:val="103"/>
              <w:sz w:val="14"/>
            </w:rPr>
          </w:pPr>
          <w:fldSimple w:instr=" DOCVARIABLE &quot;FooterJN&quot; \* MERGEFORMAT ">
            <w:r w:rsidR="00C9772A">
              <w:rPr>
                <w:b w:val="0"/>
                <w:w w:val="103"/>
                <w:sz w:val="14"/>
              </w:rPr>
              <w:t>15-04044 (C)</w:t>
            </w:r>
          </w:fldSimple>
        </w:p>
      </w:tc>
      <w:tc>
        <w:tcPr>
          <w:tcW w:w="5028" w:type="dxa"/>
          <w:shd w:val="clear" w:color="auto" w:fill="auto"/>
        </w:tcPr>
        <w:p w:rsidR="00BC7592" w:rsidRPr="00BC7592" w:rsidRDefault="00BC7592" w:rsidP="00BC7592">
          <w:pPr>
            <w:pStyle w:val="Footer"/>
            <w:jc w:val="left"/>
            <w:rPr>
              <w:w w:val="103"/>
            </w:rPr>
          </w:pPr>
          <w:r>
            <w:rPr>
              <w:w w:val="103"/>
            </w:rPr>
            <w:fldChar w:fldCharType="begin"/>
          </w:r>
          <w:r>
            <w:rPr>
              <w:w w:val="103"/>
            </w:rPr>
            <w:instrText xml:space="preserve"> PAGE  \* Arabic  \* MERGEFORMAT </w:instrText>
          </w:r>
          <w:r>
            <w:rPr>
              <w:w w:val="103"/>
            </w:rPr>
            <w:fldChar w:fldCharType="separate"/>
          </w:r>
          <w:r w:rsidR="00C9772A">
            <w:rPr>
              <w:w w:val="103"/>
            </w:rPr>
            <w:t>3</w:t>
          </w:r>
          <w:r>
            <w:rPr>
              <w:w w:val="103"/>
            </w:rPr>
            <w:fldChar w:fldCharType="end"/>
          </w:r>
          <w:r>
            <w:rPr>
              <w:w w:val="103"/>
            </w:rPr>
            <w:t>/</w:t>
          </w:r>
          <w:fldSimple w:instr=" NUMPAGES  \* Arabic  \* MERGEFORMAT ">
            <w:r w:rsidR="00C9772A">
              <w:rPr>
                <w:w w:val="103"/>
              </w:rPr>
              <w:t>4</w:t>
            </w:r>
          </w:fldSimple>
        </w:p>
      </w:tc>
    </w:tr>
  </w:tbl>
  <w:p w:rsidR="00BC7592" w:rsidRPr="00BC7592" w:rsidRDefault="00BC7592" w:rsidP="00BC75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C7592" w:rsidTr="00BC7592">
      <w:tblPrEx>
        <w:tblCellMar>
          <w:top w:w="0" w:type="dxa"/>
          <w:bottom w:w="0" w:type="dxa"/>
        </w:tblCellMar>
      </w:tblPrEx>
      <w:tc>
        <w:tcPr>
          <w:tcW w:w="5028" w:type="dxa"/>
          <w:shd w:val="clear" w:color="auto" w:fill="auto"/>
        </w:tcPr>
        <w:p w:rsidR="00BC7592" w:rsidRPr="00BC7592" w:rsidRDefault="00BC7592" w:rsidP="00BC7592">
          <w:pPr>
            <w:pStyle w:val="Footer"/>
            <w:jc w:val="right"/>
          </w:pPr>
          <w:fldSimple w:instr=" PAGE  \* Arabic  \* MERGEFORMAT ">
            <w:r w:rsidR="00C9772A">
              <w:t>3</w:t>
            </w:r>
          </w:fldSimple>
          <w:r>
            <w:t>/</w:t>
          </w:r>
          <w:fldSimple w:instr=" NUMPAGES  \* Arabic  \* MERGEFORMAT ">
            <w:r w:rsidR="00C9772A">
              <w:t>4</w:t>
            </w:r>
          </w:fldSimple>
        </w:p>
      </w:tc>
      <w:tc>
        <w:tcPr>
          <w:tcW w:w="5028" w:type="dxa"/>
          <w:shd w:val="clear" w:color="auto" w:fill="auto"/>
        </w:tcPr>
        <w:p w:rsidR="00BC7592" w:rsidRPr="00BC7592" w:rsidRDefault="00BC7592" w:rsidP="00BC7592">
          <w:pPr>
            <w:pStyle w:val="Footer"/>
            <w:jc w:val="left"/>
            <w:rPr>
              <w:b w:val="0"/>
              <w:w w:val="103"/>
              <w:sz w:val="14"/>
            </w:rPr>
          </w:pPr>
          <w:fldSimple w:instr=" DOCVARIABLE &quot;FooterJN&quot; \* MERGEFORMAT ">
            <w:r w:rsidR="00C9772A">
              <w:rPr>
                <w:b w:val="0"/>
                <w:w w:val="103"/>
                <w:sz w:val="14"/>
              </w:rPr>
              <w:t>15-04044 (C)</w:t>
            </w:r>
          </w:fldSimple>
        </w:p>
      </w:tc>
    </w:tr>
  </w:tbl>
  <w:p w:rsidR="00BC7592" w:rsidRPr="00BC7592" w:rsidRDefault="00BC7592" w:rsidP="00BC759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BC7592" w:rsidTr="00BC7592">
      <w:tblPrEx>
        <w:tblCellMar>
          <w:top w:w="0" w:type="dxa"/>
          <w:bottom w:w="0" w:type="dxa"/>
        </w:tblCellMar>
      </w:tblPrEx>
      <w:tc>
        <w:tcPr>
          <w:tcW w:w="3744" w:type="dxa"/>
        </w:tcPr>
        <w:p w:rsidR="00BC7592" w:rsidRDefault="00BC7592" w:rsidP="00BC7592">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5Size =1Lang = C"/>
                <w10:wrap anchorx="page" anchory="page"/>
              </v:shape>
            </w:pict>
          </w:r>
          <w:r w:rsidR="00BA1B0C" w:rsidRPr="00BA1B0C">
            <w:t xml:space="preserve">15-04044 </w:t>
          </w:r>
          <w:r w:rsidR="00BA1B0C">
            <w:rPr>
              <w:rFonts w:hint="eastAsia"/>
            </w:rPr>
            <w:t xml:space="preserve">X </w:t>
          </w:r>
          <w:r w:rsidR="00BA1B0C" w:rsidRPr="00BA1B0C">
            <w:t>(C)</w:t>
          </w:r>
          <w:r>
            <w:t xml:space="preserve">    0</w:t>
          </w:r>
          <w:r w:rsidR="00BA1B0C">
            <w:rPr>
              <w:rFonts w:hint="eastAsia"/>
            </w:rPr>
            <w:t>2</w:t>
          </w:r>
          <w:r>
            <w:t>0415    060415</w:t>
          </w:r>
        </w:p>
        <w:p w:rsidR="00BC7592" w:rsidRPr="00BC7592" w:rsidRDefault="00BC7592" w:rsidP="00BC7592">
          <w:pPr>
            <w:spacing w:before="80" w:line="210" w:lineRule="exact"/>
            <w:rPr>
              <w:rFonts w:ascii="Barcode 3 of 9 by request" w:hAnsi="Barcode 3 of 9 by request"/>
              <w:sz w:val="24"/>
            </w:rPr>
          </w:pPr>
          <w:r>
            <w:rPr>
              <w:rFonts w:ascii="Barcode 3 of 9 by request" w:hAnsi="Barcode 3 of 9 by request"/>
              <w:sz w:val="24"/>
            </w:rPr>
            <w:t>*1504044*</w:t>
          </w:r>
        </w:p>
      </w:tc>
      <w:tc>
        <w:tcPr>
          <w:tcW w:w="5028" w:type="dxa"/>
        </w:tcPr>
        <w:p w:rsidR="00BC7592" w:rsidRDefault="00BC7592" w:rsidP="00BC7592">
          <w:pPr>
            <w:pStyle w:val="Footer"/>
            <w:jc w:val="right"/>
            <w:rPr>
              <w:b w:val="0"/>
              <w:sz w:val="21"/>
            </w:rPr>
          </w:pPr>
          <w:r>
            <w:rPr>
              <w:b w:val="0"/>
              <w:sz w:val="21"/>
            </w:rPr>
            <w:pict>
              <v:shape id="_x0000_i1026" type="#_x0000_t75" style="width:48.75pt;height:18pt">
                <v:imagedata r:id="rId2" o:title="recycle_Chinese"/>
              </v:shape>
            </w:pict>
          </w:r>
        </w:p>
      </w:tc>
    </w:tr>
  </w:tbl>
  <w:p w:rsidR="00BC7592" w:rsidRPr="00BC7592" w:rsidRDefault="00BC7592" w:rsidP="00BC759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F78" w:rsidRPr="00BA1B0C" w:rsidRDefault="003F2F78" w:rsidP="00BA1B0C">
      <w:pPr>
        <w:pStyle w:val="Footer"/>
        <w:spacing w:after="80"/>
        <w:ind w:left="792"/>
        <w:rPr>
          <w:sz w:val="16"/>
        </w:rPr>
      </w:pPr>
      <w:r w:rsidRPr="00BA1B0C">
        <w:rPr>
          <w:sz w:val="16"/>
        </w:rPr>
        <w:t>__________________</w:t>
      </w:r>
    </w:p>
  </w:footnote>
  <w:footnote w:type="continuationSeparator" w:id="0">
    <w:p w:rsidR="003F2F78" w:rsidRPr="00BA1B0C" w:rsidRDefault="003F2F78" w:rsidP="00BA1B0C">
      <w:pPr>
        <w:pStyle w:val="Footer"/>
        <w:spacing w:after="80"/>
        <w:ind w:left="792"/>
        <w:rPr>
          <w:sz w:val="16"/>
        </w:rPr>
      </w:pPr>
      <w:r w:rsidRPr="00BA1B0C">
        <w:rPr>
          <w:sz w:val="16"/>
        </w:rPr>
        <w:t>__________________</w:t>
      </w:r>
    </w:p>
  </w:footnote>
  <w:footnote w:id="1">
    <w:p w:rsidR="00BA1B0C" w:rsidRDefault="00BA1B0C" w:rsidP="00BA1B0C">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BA1B0C">
        <w:rPr>
          <w:rFonts w:hint="eastAsia"/>
          <w:sz w:val="21"/>
          <w:szCs w:val="21"/>
          <w:vertAlign w:val="superscript"/>
        </w:rPr>
        <w:t>*</w:t>
      </w:r>
      <w:r>
        <w:rPr>
          <w:rFonts w:hint="eastAsia"/>
        </w:rPr>
        <w:tab/>
      </w:r>
      <w:hyperlink r:id="rId1" w:history="1">
        <w:r w:rsidRPr="00BA1B0C">
          <w:rPr>
            <w:rStyle w:val="Hyperlink"/>
            <w:rFonts w:hint="eastAsia"/>
          </w:rPr>
          <w:t>CEDAW/C/62/1</w:t>
        </w:r>
      </w:hyperlink>
      <w:r>
        <w:rPr>
          <w:rFonts w:hint="eastAsia"/>
        </w:rPr>
        <w:t>。</w:t>
      </w:r>
    </w:p>
    <w:p w:rsidR="00BA1B0C" w:rsidRDefault="00BA1B0C" w:rsidP="00BA1B0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除非另有说明，段落序号是指乌兹别克斯坦第五次定期报告的段落。</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C7592" w:rsidTr="00BC7592">
      <w:tblPrEx>
        <w:tblCellMar>
          <w:top w:w="0" w:type="dxa"/>
          <w:bottom w:w="0" w:type="dxa"/>
        </w:tblCellMar>
      </w:tblPrEx>
      <w:trPr>
        <w:trHeight w:hRule="exact" w:val="864"/>
      </w:trPr>
      <w:tc>
        <w:tcPr>
          <w:tcW w:w="4838" w:type="dxa"/>
          <w:shd w:val="clear" w:color="auto" w:fill="auto"/>
          <w:vAlign w:val="bottom"/>
        </w:tcPr>
        <w:p w:rsidR="00BC7592" w:rsidRPr="00BC7592" w:rsidRDefault="00BC7592" w:rsidP="00BC7592">
          <w:pPr>
            <w:pStyle w:val="Header"/>
            <w:spacing w:after="80"/>
            <w:jc w:val="left"/>
            <w:rPr>
              <w:b/>
              <w:sz w:val="17"/>
            </w:rPr>
          </w:pPr>
          <w:fldSimple w:instr=" DOCVARIABLE &quot;sss1&quot; \* MERGEFORMAT ">
            <w:r w:rsidR="00C9772A">
              <w:rPr>
                <w:b/>
                <w:sz w:val="17"/>
              </w:rPr>
              <w:t>CEDAW/C/UZB/Q/5</w:t>
            </w:r>
          </w:fldSimple>
        </w:p>
      </w:tc>
      <w:tc>
        <w:tcPr>
          <w:tcW w:w="5028" w:type="dxa"/>
          <w:shd w:val="clear" w:color="auto" w:fill="auto"/>
          <w:vAlign w:val="bottom"/>
        </w:tcPr>
        <w:p w:rsidR="00BC7592" w:rsidRDefault="00BC7592" w:rsidP="00BC7592">
          <w:pPr>
            <w:pStyle w:val="Header"/>
          </w:pPr>
        </w:p>
      </w:tc>
    </w:tr>
  </w:tbl>
  <w:p w:rsidR="00BC7592" w:rsidRPr="00BC7592" w:rsidRDefault="00BC7592" w:rsidP="00BC759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C7592" w:rsidTr="00BC7592">
      <w:tblPrEx>
        <w:tblCellMar>
          <w:top w:w="0" w:type="dxa"/>
          <w:bottom w:w="0" w:type="dxa"/>
        </w:tblCellMar>
      </w:tblPrEx>
      <w:trPr>
        <w:trHeight w:hRule="exact" w:val="864"/>
      </w:trPr>
      <w:tc>
        <w:tcPr>
          <w:tcW w:w="4838" w:type="dxa"/>
          <w:shd w:val="clear" w:color="auto" w:fill="auto"/>
          <w:vAlign w:val="bottom"/>
        </w:tcPr>
        <w:p w:rsidR="00BC7592" w:rsidRDefault="00BC7592" w:rsidP="00BC7592">
          <w:pPr>
            <w:pStyle w:val="Header"/>
          </w:pPr>
        </w:p>
      </w:tc>
      <w:tc>
        <w:tcPr>
          <w:tcW w:w="5028" w:type="dxa"/>
          <w:shd w:val="clear" w:color="auto" w:fill="auto"/>
          <w:vAlign w:val="bottom"/>
        </w:tcPr>
        <w:p w:rsidR="00BC7592" w:rsidRPr="00BC7592" w:rsidRDefault="00BC7592" w:rsidP="00BC7592">
          <w:pPr>
            <w:pStyle w:val="Header"/>
            <w:spacing w:after="80"/>
            <w:jc w:val="right"/>
            <w:rPr>
              <w:b/>
              <w:sz w:val="17"/>
            </w:rPr>
          </w:pPr>
          <w:fldSimple w:instr=" DOCVARIABLE &quot;sss1&quot; \* MERGEFORMAT ">
            <w:r w:rsidR="00C9772A">
              <w:rPr>
                <w:b/>
                <w:sz w:val="17"/>
              </w:rPr>
              <w:t>CEDAW/C/UZB/Q/5</w:t>
            </w:r>
          </w:fldSimple>
        </w:p>
      </w:tc>
    </w:tr>
  </w:tbl>
  <w:p w:rsidR="00BC7592" w:rsidRPr="00BC7592" w:rsidRDefault="00BC7592" w:rsidP="00BC759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C7592" w:rsidTr="00BC759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7592" w:rsidRDefault="00BC7592" w:rsidP="00BC7592">
          <w:pPr>
            <w:pStyle w:val="Header"/>
            <w:spacing w:after="120"/>
          </w:pPr>
        </w:p>
      </w:tc>
      <w:tc>
        <w:tcPr>
          <w:tcW w:w="1872" w:type="dxa"/>
          <w:tcBorders>
            <w:bottom w:val="single" w:sz="4" w:space="0" w:color="auto"/>
          </w:tcBorders>
          <w:shd w:val="clear" w:color="auto" w:fill="auto"/>
          <w:vAlign w:val="bottom"/>
        </w:tcPr>
        <w:p w:rsidR="00BC7592" w:rsidRPr="00BC7592" w:rsidRDefault="00BC7592" w:rsidP="00BC759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C7592" w:rsidRDefault="00BC7592" w:rsidP="00BC7592">
          <w:pPr>
            <w:pStyle w:val="Header"/>
            <w:spacing w:after="120"/>
          </w:pPr>
        </w:p>
      </w:tc>
      <w:tc>
        <w:tcPr>
          <w:tcW w:w="6523" w:type="dxa"/>
          <w:gridSpan w:val="3"/>
          <w:tcBorders>
            <w:bottom w:val="single" w:sz="4" w:space="0" w:color="auto"/>
          </w:tcBorders>
          <w:shd w:val="clear" w:color="auto" w:fill="auto"/>
          <w:vAlign w:val="bottom"/>
        </w:tcPr>
        <w:p w:rsidR="00BC7592" w:rsidRPr="00BC7592" w:rsidRDefault="00BC7592" w:rsidP="00BC7592">
          <w:pPr>
            <w:spacing w:after="80" w:line="240" w:lineRule="auto"/>
            <w:jc w:val="right"/>
            <w:rPr>
              <w:position w:val="-4"/>
            </w:rPr>
          </w:pPr>
          <w:r>
            <w:rPr>
              <w:position w:val="-4"/>
              <w:sz w:val="40"/>
            </w:rPr>
            <w:t>CEDAW</w:t>
          </w:r>
          <w:r>
            <w:rPr>
              <w:position w:val="-4"/>
            </w:rPr>
            <w:t>/C/UZB/Q/5</w:t>
          </w:r>
        </w:p>
      </w:tc>
    </w:tr>
    <w:tr w:rsidR="00BC7592" w:rsidRPr="00BC7592" w:rsidTr="00BC759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7592" w:rsidRPr="00BC7592" w:rsidRDefault="00BC7592" w:rsidP="00BC759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C7592" w:rsidRPr="00BC7592" w:rsidRDefault="00BC7592" w:rsidP="00BC759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C7592" w:rsidRPr="00BC7592" w:rsidRDefault="00BC7592" w:rsidP="00BC7592">
          <w:pPr>
            <w:pStyle w:val="Header"/>
            <w:spacing w:before="109"/>
          </w:pPr>
        </w:p>
      </w:tc>
      <w:tc>
        <w:tcPr>
          <w:tcW w:w="3180" w:type="dxa"/>
          <w:gridSpan w:val="2"/>
          <w:tcBorders>
            <w:top w:val="single" w:sz="4" w:space="0" w:color="auto"/>
            <w:bottom w:val="single" w:sz="12" w:space="0" w:color="auto"/>
          </w:tcBorders>
          <w:shd w:val="clear" w:color="auto" w:fill="auto"/>
        </w:tcPr>
        <w:p w:rsidR="00BC7592" w:rsidRDefault="00BC7592" w:rsidP="00BC7592">
          <w:pPr>
            <w:pStyle w:val="Distr"/>
          </w:pPr>
          <w:r>
            <w:t>Distr.: General</w:t>
          </w:r>
        </w:p>
        <w:p w:rsidR="00BC7592" w:rsidRDefault="00BC7592" w:rsidP="00BC7592">
          <w:pPr>
            <w:pStyle w:val="Publication"/>
          </w:pPr>
          <w:r>
            <w:t>17 March 2015</w:t>
          </w:r>
        </w:p>
        <w:p w:rsidR="00BC7592" w:rsidRDefault="00BC7592" w:rsidP="00BC7592">
          <w:pPr>
            <w:spacing w:line="240" w:lineRule="exact"/>
          </w:pPr>
          <w:r>
            <w:t>Chinese</w:t>
          </w:r>
        </w:p>
        <w:p w:rsidR="00BC7592" w:rsidRDefault="00BC7592" w:rsidP="00BC7592">
          <w:pPr>
            <w:pStyle w:val="Original"/>
          </w:pPr>
          <w:r>
            <w:t>Original: English</w:t>
          </w:r>
        </w:p>
        <w:p w:rsidR="00BC7592" w:rsidRPr="00BC7592" w:rsidRDefault="00BC7592" w:rsidP="00BC7592"/>
      </w:tc>
    </w:tr>
  </w:tbl>
  <w:p w:rsidR="00BC7592" w:rsidRPr="00BC7592" w:rsidRDefault="00BC7592" w:rsidP="00BC759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4*"/>
    <w:docVar w:name="CreationDt" w:val="06/04/2015 09:24:31"/>
    <w:docVar w:name="DocCategory" w:val="Doc"/>
    <w:docVar w:name="DocType" w:val="Final"/>
    <w:docVar w:name="DutyStation" w:val="New York"/>
    <w:docVar w:name="FooterJN" w:val="15-04044 (C)"/>
    <w:docVar w:name="jobn" w:val="15-04044 (C)"/>
    <w:docVar w:name="jobnDT" w:val="15-04044 (C)   060415"/>
    <w:docVar w:name="jobnDTDT" w:val="15-04044 (C)   060415   060415"/>
    <w:docVar w:name="JobNo" w:val="1504044C"/>
    <w:docVar w:name="OandT" w:val="sheng"/>
    <w:docVar w:name="PaperSize" w:val="Letter"/>
    <w:docVar w:name="sss1" w:val="CEDAW/C/UZB/Q/5"/>
    <w:docVar w:name="sss2" w:val="-"/>
    <w:docVar w:name="Symbol1" w:val="CEDAW/C/UZB/Q/5"/>
    <w:docVar w:name="Symbol2" w:val="-"/>
  </w:docVars>
  <w:rsids>
    <w:rsidRoot w:val="002B0CE3"/>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3F4B"/>
    <w:rsid w:val="00174233"/>
    <w:rsid w:val="001746A8"/>
    <w:rsid w:val="0017506F"/>
    <w:rsid w:val="001873A2"/>
    <w:rsid w:val="001944A4"/>
    <w:rsid w:val="001A495E"/>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0CE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2F78"/>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67A6"/>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4344"/>
    <w:rsid w:val="006E7A26"/>
    <w:rsid w:val="006F04EF"/>
    <w:rsid w:val="006F2B3D"/>
    <w:rsid w:val="006F6A4F"/>
    <w:rsid w:val="006F761A"/>
    <w:rsid w:val="006F7749"/>
    <w:rsid w:val="007016DF"/>
    <w:rsid w:val="007038D4"/>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2622B"/>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5C92"/>
    <w:rsid w:val="00B8025A"/>
    <w:rsid w:val="00B827B1"/>
    <w:rsid w:val="00B9116F"/>
    <w:rsid w:val="00B9408D"/>
    <w:rsid w:val="00B94698"/>
    <w:rsid w:val="00BA1B0C"/>
    <w:rsid w:val="00BB23A4"/>
    <w:rsid w:val="00BB6332"/>
    <w:rsid w:val="00BC0F5C"/>
    <w:rsid w:val="00BC2276"/>
    <w:rsid w:val="00BC7592"/>
    <w:rsid w:val="00BD1B08"/>
    <w:rsid w:val="00BD1BFF"/>
    <w:rsid w:val="00BD2150"/>
    <w:rsid w:val="00BE1CC3"/>
    <w:rsid w:val="00BE1CDE"/>
    <w:rsid w:val="00BE365A"/>
    <w:rsid w:val="00BE47C4"/>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87E72"/>
    <w:rsid w:val="00C900C5"/>
    <w:rsid w:val="00C92AE0"/>
    <w:rsid w:val="00C93BC6"/>
    <w:rsid w:val="00C943B4"/>
    <w:rsid w:val="00C9772A"/>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singl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UZB/CO/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UZB/CO/4" TargetMode="External"/><Relationship Id="rId2" Type="http://schemas.openxmlformats.org/officeDocument/2006/relationships/styles" Target="styles.xml"/><Relationship Id="rId16" Type="http://schemas.openxmlformats.org/officeDocument/2006/relationships/hyperlink" Target="http://undocs.org/ch/A/HRC/27/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UZB/5"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UZB/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4</Pages>
  <Words>1825</Words>
  <Characters>1972</Characters>
  <Application>Microsoft Office Outlook</Application>
  <DocSecurity>4</DocSecurity>
  <Lines>70</Lines>
  <Paragraphs>47</Paragraphs>
  <ScaleCrop>false</ScaleCrop>
  <Company>United Nations</Company>
  <LinksUpToDate>false</LinksUpToDate>
  <CharactersWithSpaces>3750</CharactersWithSpaces>
  <SharedDoc>false</SharedDoc>
  <HLinks>
    <vt:vector size="36" baseType="variant">
      <vt:variant>
        <vt:i4>655361</vt:i4>
      </vt:variant>
      <vt:variant>
        <vt:i4>12</vt:i4>
      </vt:variant>
      <vt:variant>
        <vt:i4>0</vt:i4>
      </vt:variant>
      <vt:variant>
        <vt:i4>5</vt:i4>
      </vt:variant>
      <vt:variant>
        <vt:lpwstr>http://undocs.org/ch/CEDAW/C/UZB/CO/4</vt:lpwstr>
      </vt:variant>
      <vt:variant>
        <vt:lpwstr/>
      </vt:variant>
      <vt:variant>
        <vt:i4>655361</vt:i4>
      </vt:variant>
      <vt:variant>
        <vt:i4>9</vt:i4>
      </vt:variant>
      <vt:variant>
        <vt:i4>0</vt:i4>
      </vt:variant>
      <vt:variant>
        <vt:i4>5</vt:i4>
      </vt:variant>
      <vt:variant>
        <vt:lpwstr>http://undocs.org/ch/CEDAW/C/UZB/CO/4</vt:lpwstr>
      </vt:variant>
      <vt:variant>
        <vt:lpwstr/>
      </vt:variant>
      <vt:variant>
        <vt:i4>3473530</vt:i4>
      </vt:variant>
      <vt:variant>
        <vt:i4>6</vt:i4>
      </vt:variant>
      <vt:variant>
        <vt:i4>0</vt:i4>
      </vt:variant>
      <vt:variant>
        <vt:i4>5</vt:i4>
      </vt:variant>
      <vt:variant>
        <vt:lpwstr>http://undocs.org/ch/A/HRC/27/7</vt:lpwstr>
      </vt:variant>
      <vt:variant>
        <vt:lpwstr/>
      </vt:variant>
      <vt:variant>
        <vt:i4>7536750</vt:i4>
      </vt:variant>
      <vt:variant>
        <vt:i4>3</vt:i4>
      </vt:variant>
      <vt:variant>
        <vt:i4>0</vt:i4>
      </vt:variant>
      <vt:variant>
        <vt:i4>5</vt:i4>
      </vt:variant>
      <vt:variant>
        <vt:lpwstr>http://undocs.org/ch/CEDAW/C/UZB/5</vt:lpwstr>
      </vt:variant>
      <vt:variant>
        <vt:lpwstr/>
      </vt:variant>
      <vt:variant>
        <vt:i4>655361</vt:i4>
      </vt:variant>
      <vt:variant>
        <vt:i4>0</vt:i4>
      </vt:variant>
      <vt:variant>
        <vt:i4>0</vt:i4>
      </vt:variant>
      <vt:variant>
        <vt:i4>5</vt:i4>
      </vt:variant>
      <vt:variant>
        <vt:lpwstr>http://undocs.org/ch/CEDAW/C/UZB/CO/4</vt:lpwstr>
      </vt:variant>
      <vt:variant>
        <vt:lpwstr/>
      </vt:variant>
      <vt:variant>
        <vt:i4>4718601</vt:i4>
      </vt:variant>
      <vt:variant>
        <vt:i4>0</vt:i4>
      </vt:variant>
      <vt:variant>
        <vt:i4>0</vt:i4>
      </vt:variant>
      <vt:variant>
        <vt:i4>5</vt:i4>
      </vt:variant>
      <vt:variant>
        <vt:lpwstr>http://undocs.org/ch/CEDAW/C/62/1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Zhenxue Sheng</cp:lastModifiedBy>
  <cp:revision>6</cp:revision>
  <cp:lastPrinted>2015-04-06T07:44:00Z</cp:lastPrinted>
  <dcterms:created xsi:type="dcterms:W3CDTF">2015-04-06T07:23:00Z</dcterms:created>
  <dcterms:modified xsi:type="dcterms:W3CDTF">2015-04-06T07:45:00Z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1504044</vt:lpwstr>
  </property>
  <property fmtid="{D5CDD505-2E9C-101B-9397-08002B2CF9AE}" pid="3" name="ODSRefJobNo">
    <vt:lpwstr>1507282C</vt:lpwstr>
  </property>
  <property fmtid="{D5CDD505-2E9C-101B-9397-08002B2CF9AE}" pid="4" name="Symbol1">
    <vt:lpwstr>CEDAW/C/UZB/Q/5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March 2015</vt:lpwstr>
  </property>
  <property fmtid="{D5CDD505-2E9C-101B-9397-08002B2CF9AE}" pid="9" name="Original">
    <vt:lpwstr>English</vt:lpwstr>
  </property>
  <property fmtid="{D5CDD505-2E9C-101B-9397-08002B2CF9AE}" pid="10" name="Release Date">
    <vt:lpwstr>060415</vt:lpwstr>
  </property>
  <property fmtid="{D5CDD505-2E9C-101B-9397-08002B2CF9AE}" pid="11" name="Comment">
    <vt:lpwstr/>
  </property>
  <property fmtid="{D5CDD505-2E9C-101B-9397-08002B2CF9AE}" pid="12" name="DraftPages">
    <vt:lpwstr> </vt:lpwstr>
  </property>
  <property fmtid="{D5CDD505-2E9C-101B-9397-08002B2CF9AE}" pid="13" name="Operator">
    <vt:lpwstr>sheng</vt:lpwstr>
  </property>
</Properties>
</file>