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ED7442" w:rsidTr="0054149D">
        <w:trPr>
          <w:trHeight w:hRule="exact" w:val="851"/>
        </w:trPr>
        <w:tc>
          <w:tcPr>
            <w:tcW w:w="1274" w:type="dxa"/>
            <w:tcBorders>
              <w:bottom w:val="single" w:sz="4" w:space="0" w:color="auto"/>
            </w:tcBorders>
          </w:tcPr>
          <w:p w:rsidR="006B3E27" w:rsidRPr="00A54442" w:rsidRDefault="006B3E27" w:rsidP="0054149D">
            <w:pPr>
              <w:bidi w:val="0"/>
              <w:jc w:val="right"/>
              <w:rPr>
                <w:szCs w:val="20"/>
              </w:rPr>
            </w:pPr>
          </w:p>
        </w:tc>
        <w:tc>
          <w:tcPr>
            <w:tcW w:w="4254" w:type="dxa"/>
            <w:tcBorders>
              <w:bottom w:val="single" w:sz="4" w:space="0" w:color="auto"/>
            </w:tcBorders>
            <w:vAlign w:val="bottom"/>
          </w:tcPr>
          <w:p w:rsidR="006B3E27" w:rsidRPr="00517BC9" w:rsidRDefault="006B3E27" w:rsidP="0054149D">
            <w:pPr>
              <w:spacing w:after="80" w:line="480" w:lineRule="exact"/>
              <w:jc w:val="left"/>
              <w:rPr>
                <w:sz w:val="40"/>
                <w:szCs w:val="40"/>
                <w:rtl/>
              </w:rPr>
            </w:pPr>
            <w:r w:rsidRPr="00517BC9">
              <w:rPr>
                <w:rFonts w:hint="cs"/>
                <w:sz w:val="40"/>
                <w:szCs w:val="40"/>
                <w:rtl/>
              </w:rPr>
              <w:t>الأمم المتحدة</w:t>
            </w:r>
          </w:p>
        </w:tc>
        <w:tc>
          <w:tcPr>
            <w:tcW w:w="4111" w:type="dxa"/>
            <w:tcBorders>
              <w:bottom w:val="single" w:sz="4" w:space="0" w:color="auto"/>
            </w:tcBorders>
            <w:vAlign w:val="bottom"/>
          </w:tcPr>
          <w:p w:rsidR="006B3E27" w:rsidRPr="00A54442" w:rsidRDefault="008D6DC1" w:rsidP="007706E3">
            <w:pPr>
              <w:bidi w:val="0"/>
              <w:spacing w:after="20"/>
              <w:jc w:val="left"/>
              <w:rPr>
                <w:szCs w:val="20"/>
              </w:rPr>
            </w:pPr>
            <w:r w:rsidRPr="008D6DC1">
              <w:rPr>
                <w:sz w:val="40"/>
                <w:szCs w:val="20"/>
              </w:rPr>
              <w:t>CRPD</w:t>
            </w:r>
            <w:r>
              <w:rPr>
                <w:szCs w:val="20"/>
              </w:rPr>
              <w:t>/C/19/3</w:t>
            </w:r>
          </w:p>
        </w:tc>
      </w:tr>
      <w:tr w:rsidR="006B3E27" w:rsidRPr="00ED7442" w:rsidTr="0054149D">
        <w:trPr>
          <w:trHeight w:hRule="exact" w:val="2835"/>
        </w:trPr>
        <w:tc>
          <w:tcPr>
            <w:tcW w:w="1274" w:type="dxa"/>
            <w:tcBorders>
              <w:top w:val="single" w:sz="4" w:space="0" w:color="auto"/>
              <w:bottom w:val="single" w:sz="12" w:space="0" w:color="auto"/>
            </w:tcBorders>
          </w:tcPr>
          <w:p w:rsidR="006B3E27" w:rsidRPr="00ED7442" w:rsidRDefault="0059622A" w:rsidP="0054149D">
            <w:pPr>
              <w:jc w:val="center"/>
              <w:rPr>
                <w:sz w:val="56"/>
                <w:szCs w:val="56"/>
                <w:rtl/>
              </w:rPr>
            </w:pPr>
            <w:r w:rsidRPr="00ED7442">
              <w:rPr>
                <w:noProof/>
                <w:sz w:val="56"/>
                <w:szCs w:val="56"/>
                <w:lang w:eastAsia="zh-CN"/>
              </w:rPr>
              <w:drawing>
                <wp:inline distT="0" distB="0" distL="0" distR="0" wp14:anchorId="22033B1A" wp14:editId="70FF181A">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rsidR="006B3E27" w:rsidRPr="00ED7442" w:rsidRDefault="00606EDF" w:rsidP="0054149D">
            <w:pPr>
              <w:spacing w:before="120" w:after="40" w:line="640" w:lineRule="exact"/>
              <w:jc w:val="left"/>
              <w:rPr>
                <w:b/>
                <w:bCs/>
                <w:sz w:val="56"/>
                <w:szCs w:val="56"/>
              </w:rPr>
            </w:pPr>
            <w:r>
              <w:rPr>
                <w:rFonts w:hint="cs"/>
                <w:b/>
                <w:bCs/>
                <w:sz w:val="56"/>
                <w:szCs w:val="56"/>
                <w:rtl/>
              </w:rPr>
              <w:t>اتفاق</w:t>
            </w:r>
            <w:r w:rsidR="007541BA">
              <w:rPr>
                <w:rFonts w:hint="cs"/>
                <w:b/>
                <w:bCs/>
                <w:sz w:val="56"/>
                <w:szCs w:val="56"/>
                <w:rtl/>
              </w:rPr>
              <w:t>ية</w:t>
            </w:r>
            <w:r>
              <w:rPr>
                <w:rFonts w:hint="cs"/>
                <w:b/>
                <w:bCs/>
                <w:sz w:val="56"/>
                <w:szCs w:val="56"/>
                <w:rtl/>
              </w:rPr>
              <w:t xml:space="preserve"> حقوق الأشخاص ذوي الإعاقة</w:t>
            </w:r>
          </w:p>
        </w:tc>
        <w:tc>
          <w:tcPr>
            <w:tcW w:w="4111" w:type="dxa"/>
            <w:tcBorders>
              <w:top w:val="single" w:sz="4" w:space="0" w:color="auto"/>
              <w:bottom w:val="single" w:sz="12" w:space="0" w:color="auto"/>
            </w:tcBorders>
          </w:tcPr>
          <w:p w:rsidR="006B3E27" w:rsidRDefault="007706E3" w:rsidP="007706E3">
            <w:pPr>
              <w:bidi w:val="0"/>
              <w:spacing w:before="240"/>
              <w:jc w:val="left"/>
              <w:rPr>
                <w:szCs w:val="20"/>
              </w:rPr>
            </w:pPr>
            <w:r>
              <w:rPr>
                <w:szCs w:val="20"/>
              </w:rPr>
              <w:t>Distr.: General</w:t>
            </w:r>
          </w:p>
          <w:p w:rsidR="007706E3" w:rsidRDefault="007706E3" w:rsidP="007706E3">
            <w:pPr>
              <w:bidi w:val="0"/>
              <w:jc w:val="left"/>
              <w:rPr>
                <w:szCs w:val="20"/>
              </w:rPr>
            </w:pPr>
            <w:r>
              <w:rPr>
                <w:szCs w:val="20"/>
              </w:rPr>
              <w:t>19 April 2018</w:t>
            </w:r>
          </w:p>
          <w:p w:rsidR="007706E3" w:rsidRDefault="007706E3" w:rsidP="007706E3">
            <w:pPr>
              <w:bidi w:val="0"/>
              <w:jc w:val="left"/>
              <w:rPr>
                <w:szCs w:val="20"/>
              </w:rPr>
            </w:pPr>
            <w:r>
              <w:rPr>
                <w:szCs w:val="20"/>
              </w:rPr>
              <w:t>Arabic</w:t>
            </w:r>
          </w:p>
          <w:p w:rsidR="007706E3" w:rsidRPr="00A54442" w:rsidRDefault="007706E3" w:rsidP="007706E3">
            <w:pPr>
              <w:bidi w:val="0"/>
              <w:jc w:val="left"/>
              <w:rPr>
                <w:szCs w:val="20"/>
              </w:rPr>
            </w:pPr>
            <w:r>
              <w:rPr>
                <w:szCs w:val="20"/>
              </w:rPr>
              <w:t>Original: English</w:t>
            </w:r>
          </w:p>
        </w:tc>
      </w:tr>
    </w:tbl>
    <w:p w:rsidR="007706E3" w:rsidRPr="007706E3" w:rsidRDefault="007706E3" w:rsidP="007706E3">
      <w:pPr>
        <w:spacing w:before="120" w:line="380" w:lineRule="exact"/>
        <w:textDirection w:val="tbRlV"/>
        <w:rPr>
          <w:b/>
          <w:bCs/>
          <w:sz w:val="30"/>
          <w:szCs w:val="36"/>
          <w:rtl/>
          <w:lang w:eastAsia="zh-TW" w:bidi="ar-DZ"/>
        </w:rPr>
      </w:pPr>
      <w:r w:rsidRPr="007706E3">
        <w:rPr>
          <w:b/>
          <w:bCs/>
          <w:sz w:val="26"/>
          <w:szCs w:val="36"/>
          <w:rtl/>
          <w:lang w:eastAsia="zh-TW"/>
        </w:rPr>
        <w:t>اللجنة المعنية بحقوق الأشخاص ذوي الإعاقة</w:t>
      </w:r>
    </w:p>
    <w:p w:rsidR="007706E3" w:rsidRPr="00DE0D2E" w:rsidRDefault="007706E3" w:rsidP="00E55BEC">
      <w:pPr>
        <w:pStyle w:val="HChGA"/>
        <w:rPr>
          <w:rtl/>
          <w:lang w:eastAsia="zh-TW"/>
        </w:rPr>
      </w:pPr>
      <w:r>
        <w:rPr>
          <w:rtl/>
          <w:lang w:eastAsia="zh-TW"/>
        </w:rPr>
        <w:tab/>
      </w:r>
      <w:r>
        <w:rPr>
          <w:rtl/>
          <w:lang w:eastAsia="zh-TW"/>
        </w:rPr>
        <w:tab/>
        <w:t xml:space="preserve">متابعة الملاحظات </w:t>
      </w:r>
      <w:bookmarkStart w:id="0" w:name="_GoBack"/>
      <w:bookmarkEnd w:id="0"/>
      <w:r>
        <w:rPr>
          <w:rtl/>
          <w:lang w:eastAsia="zh-TW"/>
        </w:rPr>
        <w:t>الختامية المتعلقة بتقارير الدول الأطراف</w:t>
      </w:r>
      <w:r w:rsidRPr="007706E3">
        <w:rPr>
          <w:sz w:val="30"/>
          <w:szCs w:val="30"/>
          <w:rtl/>
          <w:lang w:eastAsia="zh-TW"/>
        </w:rPr>
        <w:footnoteReference w:customMarkFollows="1" w:id="1"/>
        <w:t>*</w:t>
      </w:r>
      <w:bookmarkStart w:id="1" w:name="_Toc511913566"/>
      <w:bookmarkEnd w:id="1"/>
    </w:p>
    <w:p w:rsidR="007706E3" w:rsidRPr="00DE0D2E" w:rsidRDefault="007706E3" w:rsidP="00E55BEC">
      <w:pPr>
        <w:pStyle w:val="HChGA"/>
        <w:rPr>
          <w:rtl/>
          <w:lang w:eastAsia="zh-TW"/>
        </w:rPr>
      </w:pPr>
      <w:r>
        <w:rPr>
          <w:rtl/>
          <w:lang w:eastAsia="zh-TW"/>
        </w:rPr>
        <w:tab/>
        <w:t>أولا</w:t>
      </w:r>
      <w:r>
        <w:rPr>
          <w:rFonts w:hint="cs"/>
          <w:rtl/>
          <w:lang w:eastAsia="zh-TW"/>
        </w:rPr>
        <w:t>ً</w:t>
      </w:r>
      <w:r>
        <w:rPr>
          <w:rtl/>
          <w:lang w:eastAsia="zh-TW"/>
        </w:rPr>
        <w:t>-</w:t>
      </w:r>
      <w:r>
        <w:rPr>
          <w:rtl/>
          <w:lang w:eastAsia="zh-TW"/>
        </w:rPr>
        <w:tab/>
        <w:t>مقد</w:t>
      </w:r>
      <w:bookmarkStart w:id="2" w:name="_Toc511913567"/>
      <w:bookmarkEnd w:id="2"/>
      <w:r w:rsidR="00AF287D">
        <w:rPr>
          <w:rFonts w:hint="cs"/>
          <w:rtl/>
          <w:lang w:eastAsia="zh-TW"/>
        </w:rPr>
        <w:t>مة</w:t>
      </w:r>
    </w:p>
    <w:p w:rsidR="007706E3" w:rsidRPr="00DE0D2E" w:rsidRDefault="007706E3" w:rsidP="007706E3">
      <w:pPr>
        <w:pStyle w:val="SingleTxtGA"/>
        <w:rPr>
          <w:rtl/>
          <w:lang w:eastAsia="zh-TW"/>
        </w:rPr>
      </w:pPr>
      <w:r>
        <w:rPr>
          <w:rtl/>
          <w:lang w:eastAsia="zh-TW"/>
        </w:rPr>
        <w:t>١-</w:t>
      </w:r>
      <w:r>
        <w:rPr>
          <w:rtl/>
          <w:lang w:eastAsia="zh-TW"/>
        </w:rPr>
        <w:tab/>
        <w:t>يتضمن هذا التقرير موجز</w:t>
      </w:r>
      <w:r w:rsidR="005A0EC8">
        <w:rPr>
          <w:rtl/>
          <w:lang w:eastAsia="zh-TW"/>
        </w:rPr>
        <w:t xml:space="preserve">اً </w:t>
      </w:r>
      <w:r>
        <w:rPr>
          <w:rtl/>
          <w:lang w:eastAsia="zh-TW"/>
        </w:rPr>
        <w:t xml:space="preserve">للأنشطة التي اضطلعت بها اللجنة فيما يتصل بإجراء متابعة التوصيات الواردة في الملاحظات الختامية. </w:t>
      </w:r>
    </w:p>
    <w:p w:rsidR="007706E3" w:rsidRPr="00DE0D2E" w:rsidRDefault="007706E3" w:rsidP="007706E3">
      <w:pPr>
        <w:pStyle w:val="SingleTxtGA"/>
        <w:rPr>
          <w:rtl/>
          <w:lang w:eastAsia="zh-TW"/>
        </w:rPr>
      </w:pPr>
      <w:r>
        <w:rPr>
          <w:rtl/>
          <w:lang w:eastAsia="zh-TW"/>
        </w:rPr>
        <w:t>٢-</w:t>
      </w:r>
      <w:r>
        <w:rPr>
          <w:rtl/>
          <w:lang w:eastAsia="zh-TW"/>
        </w:rPr>
        <w:tab/>
        <w:t>ويحاكي الإجراء إجراءات مماثلة معتمدة في إطار هيئات معاهدات حقوق الإنسان لتتبع تنفيذ التوصيات التي اعتبر تنفيذ</w:t>
      </w:r>
      <w:r w:rsidR="007D1EEA">
        <w:rPr>
          <w:rtl/>
          <w:lang w:eastAsia="zh-TW"/>
        </w:rPr>
        <w:t>ها من جانب الدول الأطراف أولوية</w:t>
      </w:r>
      <w:r w:rsidR="007D1EEA">
        <w:rPr>
          <w:rFonts w:hint="cs"/>
          <w:rtl/>
          <w:lang w:eastAsia="zh-TW"/>
        </w:rPr>
        <w:t>.</w:t>
      </w:r>
    </w:p>
    <w:p w:rsidR="007706E3" w:rsidRPr="00DE0D2E" w:rsidRDefault="00E55BEC" w:rsidP="00E55BEC">
      <w:pPr>
        <w:pStyle w:val="HChGA"/>
        <w:rPr>
          <w:rtl/>
          <w:lang w:eastAsia="zh-TW"/>
        </w:rPr>
      </w:pPr>
      <w:r>
        <w:rPr>
          <w:rtl/>
          <w:lang w:eastAsia="zh-TW"/>
        </w:rPr>
        <w:tab/>
      </w:r>
      <w:r w:rsidR="007706E3">
        <w:rPr>
          <w:rtl/>
          <w:lang w:eastAsia="zh-TW"/>
        </w:rPr>
        <w:t>ثانيا</w:t>
      </w:r>
      <w:r>
        <w:rPr>
          <w:rFonts w:hint="cs"/>
          <w:rtl/>
          <w:lang w:eastAsia="zh-TW"/>
        </w:rPr>
        <w:t>ً</w:t>
      </w:r>
      <w:r w:rsidR="007706E3">
        <w:rPr>
          <w:rtl/>
          <w:lang w:eastAsia="zh-TW"/>
        </w:rPr>
        <w:t>-</w:t>
      </w:r>
      <w:r w:rsidR="007706E3">
        <w:rPr>
          <w:rtl/>
          <w:lang w:eastAsia="zh-TW"/>
        </w:rPr>
        <w:tab/>
        <w:t>أنشطة المتابعة وفق</w:t>
      </w:r>
      <w:r w:rsidR="005A0EC8">
        <w:rPr>
          <w:rtl/>
          <w:lang w:eastAsia="zh-TW"/>
        </w:rPr>
        <w:t xml:space="preserve">اً </w:t>
      </w:r>
      <w:r w:rsidR="007706E3">
        <w:rPr>
          <w:rtl/>
          <w:lang w:eastAsia="zh-TW"/>
        </w:rPr>
        <w:t xml:space="preserve">للاتفاقية وأساليب عمل اللجنة </w:t>
      </w:r>
      <w:bookmarkStart w:id="3" w:name="_Toc511913568"/>
      <w:bookmarkEnd w:id="3"/>
    </w:p>
    <w:p w:rsidR="007706E3" w:rsidRPr="00DE0D2E" w:rsidRDefault="007706E3" w:rsidP="007706E3">
      <w:pPr>
        <w:pStyle w:val="SingleTxtGA"/>
        <w:rPr>
          <w:rtl/>
          <w:lang w:eastAsia="zh-TW"/>
        </w:rPr>
      </w:pPr>
      <w:r>
        <w:rPr>
          <w:rtl/>
          <w:lang w:eastAsia="zh-TW"/>
        </w:rPr>
        <w:t>٣-</w:t>
      </w:r>
      <w:r>
        <w:rPr>
          <w:rtl/>
          <w:lang w:eastAsia="zh-TW"/>
        </w:rPr>
        <w:tab/>
        <w:t>يجوز للجنة، بموجب المادة 35(2) من الاتفاقية، أن تطلب إلى الدول الأطراف تقديم تقارير كلما اعتبرت اللجنة ذلك مناسب</w:t>
      </w:r>
      <w:r w:rsidR="005A0EC8">
        <w:rPr>
          <w:rtl/>
          <w:lang w:eastAsia="zh-TW"/>
        </w:rPr>
        <w:t xml:space="preserve">اً. </w:t>
      </w:r>
    </w:p>
    <w:p w:rsidR="007706E3" w:rsidRPr="00DE0D2E" w:rsidRDefault="007706E3" w:rsidP="007706E3">
      <w:pPr>
        <w:pStyle w:val="SingleTxtGA"/>
        <w:rPr>
          <w:rtl/>
          <w:lang w:eastAsia="zh-TW"/>
        </w:rPr>
      </w:pPr>
      <w:r>
        <w:rPr>
          <w:rtl/>
          <w:lang w:eastAsia="zh-TW"/>
        </w:rPr>
        <w:t>٤-</w:t>
      </w:r>
      <w:r>
        <w:rPr>
          <w:rtl/>
          <w:lang w:eastAsia="zh-TW"/>
        </w:rPr>
        <w:tab/>
        <w:t>وتنص الفقرات من ١٩ إلى ٢٢ من أساليب عمل اللجنة (</w:t>
      </w:r>
      <w:r>
        <w:rPr>
          <w:lang w:eastAsia="zh-TW"/>
        </w:rPr>
        <w:t>CRPD/C/5/4</w:t>
      </w:r>
      <w:r>
        <w:rPr>
          <w:rtl/>
          <w:lang w:eastAsia="zh-TW"/>
        </w:rPr>
        <w:t>) على أنه سيطلب إلى الدول الأطراف أن تركز اهتمامها بالتفصيل على المواضيع المثيرة للقلق التي حددتها اللجنة في ملاحظاتها الختامية. ويجوز للجنة أن تعين أحد أعضائها مقرر</w:t>
      </w:r>
      <w:r w:rsidR="005A0EC8">
        <w:rPr>
          <w:rtl/>
          <w:lang w:eastAsia="zh-TW"/>
        </w:rPr>
        <w:t xml:space="preserve">اً </w:t>
      </w:r>
      <w:r>
        <w:rPr>
          <w:rtl/>
          <w:lang w:eastAsia="zh-TW"/>
        </w:rPr>
        <w:t>معني</w:t>
      </w:r>
      <w:r w:rsidR="005A0EC8">
        <w:rPr>
          <w:rtl/>
          <w:lang w:eastAsia="zh-TW"/>
        </w:rPr>
        <w:t xml:space="preserve">اً </w:t>
      </w:r>
      <w:r>
        <w:rPr>
          <w:rtl/>
          <w:lang w:eastAsia="zh-TW"/>
        </w:rPr>
        <w:t>بمتابعة الملاحظات الختامية، وستتاح للدول الأطراف مهلة أقصاها ١٢ شهر</w:t>
      </w:r>
      <w:r w:rsidR="005A0EC8">
        <w:rPr>
          <w:rtl/>
          <w:lang w:eastAsia="zh-TW"/>
        </w:rPr>
        <w:t xml:space="preserve">اً </w:t>
      </w:r>
      <w:r>
        <w:rPr>
          <w:rtl/>
          <w:lang w:eastAsia="zh-TW"/>
        </w:rPr>
        <w:t>من تاريخ الإخطار لتقديم المعلومات المطلوبة.</w:t>
      </w:r>
    </w:p>
    <w:p w:rsidR="007706E3" w:rsidRPr="00DE0D2E" w:rsidRDefault="007706E3" w:rsidP="007706E3">
      <w:pPr>
        <w:pStyle w:val="H1GA"/>
        <w:rPr>
          <w:rtl/>
        </w:rPr>
      </w:pPr>
      <w:r>
        <w:rPr>
          <w:rtl/>
        </w:rPr>
        <w:tab/>
        <w:t>ألف-</w:t>
      </w:r>
      <w:r>
        <w:rPr>
          <w:rtl/>
        </w:rPr>
        <w:tab/>
        <w:t xml:space="preserve">إقرار إجراء المتابعة </w:t>
      </w:r>
      <w:bookmarkStart w:id="4" w:name="_Toc511913569"/>
      <w:bookmarkEnd w:id="4"/>
    </w:p>
    <w:p w:rsidR="007706E3" w:rsidRPr="00E55BEC" w:rsidRDefault="007706E3" w:rsidP="007706E3">
      <w:pPr>
        <w:pStyle w:val="SingleTxtGA"/>
        <w:rPr>
          <w:spacing w:val="-1"/>
          <w:rtl/>
          <w:lang w:eastAsia="zh-TW" w:bidi="ar-DZ"/>
        </w:rPr>
      </w:pPr>
      <w:r>
        <w:rPr>
          <w:rtl/>
          <w:lang w:eastAsia="zh-TW"/>
        </w:rPr>
        <w:t>٥-</w:t>
      </w:r>
      <w:r>
        <w:rPr>
          <w:rtl/>
          <w:lang w:eastAsia="zh-TW"/>
        </w:rPr>
        <w:tab/>
      </w:r>
      <w:r w:rsidRPr="00E55BEC">
        <w:rPr>
          <w:spacing w:val="-1"/>
          <w:rtl/>
          <w:lang w:eastAsia="zh-TW"/>
        </w:rPr>
        <w:t>وفي نيسان/أبريل ٢٠١٢، اعتمدت اللجنة، في دورتها السابعة، إجراء متابعة الملاحظات الختامية وعينت مقرر</w:t>
      </w:r>
      <w:r w:rsidR="005A0EC8" w:rsidRPr="00E55BEC">
        <w:rPr>
          <w:spacing w:val="-1"/>
          <w:rtl/>
          <w:lang w:eastAsia="zh-TW"/>
        </w:rPr>
        <w:t xml:space="preserve">اً </w:t>
      </w:r>
      <w:r w:rsidRPr="00E55BEC">
        <w:rPr>
          <w:spacing w:val="-1"/>
          <w:rtl/>
          <w:lang w:eastAsia="zh-TW"/>
        </w:rPr>
        <w:t>معني</w:t>
      </w:r>
      <w:r w:rsidR="005A0EC8" w:rsidRPr="00E55BEC">
        <w:rPr>
          <w:spacing w:val="-1"/>
          <w:rtl/>
          <w:lang w:eastAsia="zh-TW"/>
        </w:rPr>
        <w:t xml:space="preserve">اً </w:t>
      </w:r>
      <w:r w:rsidRPr="00E55BEC">
        <w:rPr>
          <w:spacing w:val="-1"/>
          <w:rtl/>
          <w:lang w:eastAsia="zh-TW"/>
        </w:rPr>
        <w:t>بمتابعة الملاحظات الختامية، وكلفته بإعداد مبادئ توجيهية للإجراءات. وفي نيسان/أبريل ٢٠١٧، عينت اللجنة، في دورتها السابعة عشرة، مقرر</w:t>
      </w:r>
      <w:r w:rsidR="005A0EC8" w:rsidRPr="00E55BEC">
        <w:rPr>
          <w:spacing w:val="-1"/>
          <w:rtl/>
          <w:lang w:eastAsia="zh-TW"/>
        </w:rPr>
        <w:t xml:space="preserve">اً </w:t>
      </w:r>
      <w:r w:rsidRPr="00E55BEC">
        <w:rPr>
          <w:spacing w:val="-1"/>
          <w:rtl/>
          <w:lang w:eastAsia="zh-TW"/>
        </w:rPr>
        <w:t>جديدا</w:t>
      </w:r>
      <w:r w:rsidRPr="00E55BEC">
        <w:rPr>
          <w:rFonts w:hint="cs"/>
          <w:spacing w:val="-1"/>
          <w:rtl/>
          <w:lang w:eastAsia="zh-TW"/>
        </w:rPr>
        <w:t>ً</w:t>
      </w:r>
      <w:r w:rsidR="00BC2FFB" w:rsidRPr="00E55BEC">
        <w:rPr>
          <w:spacing w:val="-1"/>
          <w:rtl/>
          <w:lang w:eastAsia="zh-TW"/>
        </w:rPr>
        <w:t>.</w:t>
      </w:r>
      <w:r w:rsidR="00BC2FFB" w:rsidRPr="00E55BEC">
        <w:rPr>
          <w:rFonts w:hint="cs"/>
          <w:spacing w:val="-1"/>
          <w:rtl/>
          <w:lang w:eastAsia="zh-TW"/>
        </w:rPr>
        <w:t xml:space="preserve"> </w:t>
      </w:r>
    </w:p>
    <w:p w:rsidR="007706E3" w:rsidRPr="00DE0D2E" w:rsidRDefault="007706E3" w:rsidP="00ED5C5C">
      <w:pPr>
        <w:pStyle w:val="H1GA"/>
        <w:spacing w:before="120"/>
        <w:rPr>
          <w:rtl/>
          <w:lang w:eastAsia="zh-TW"/>
        </w:rPr>
      </w:pPr>
      <w:r>
        <w:rPr>
          <w:rtl/>
          <w:lang w:eastAsia="zh-TW"/>
        </w:rPr>
        <w:lastRenderedPageBreak/>
        <w:tab/>
        <w:t>باء-</w:t>
      </w:r>
      <w:r>
        <w:rPr>
          <w:rtl/>
          <w:lang w:eastAsia="zh-TW"/>
        </w:rPr>
        <w:tab/>
        <w:t>المبادئ التوجيهية المتعلقة بإجراء المتابعة</w:t>
      </w:r>
      <w:bookmarkStart w:id="5" w:name="_Toc511913570"/>
      <w:bookmarkEnd w:id="5"/>
    </w:p>
    <w:p w:rsidR="007706E3" w:rsidRPr="00DE0D2E" w:rsidRDefault="007706E3" w:rsidP="007706E3">
      <w:pPr>
        <w:pStyle w:val="SingleTxtGA"/>
        <w:rPr>
          <w:rtl/>
          <w:lang w:eastAsia="zh-TW"/>
        </w:rPr>
      </w:pPr>
      <w:r>
        <w:rPr>
          <w:rtl/>
          <w:lang w:eastAsia="zh-TW"/>
        </w:rPr>
        <w:t>٦-</w:t>
      </w:r>
      <w:r>
        <w:rPr>
          <w:rtl/>
          <w:lang w:eastAsia="zh-TW"/>
        </w:rPr>
        <w:tab/>
        <w:t>في نيسان/أبريل ٢٠١٤، اقترح المقرر المعني بالمتابعة مبادئ توجيهية محددة بشأن إجراء المتابعة. وفي أيلول/سبتمبر ٢٠١٤، اعتمدت اللجنة، في دورتها الثانية عشرة، المبادئ التوجيهية وأدرجتها في تقرير تلك الدورة (</w:t>
      </w:r>
      <w:r>
        <w:rPr>
          <w:lang w:eastAsia="zh-TW"/>
        </w:rPr>
        <w:t>CRPD/C/12/2</w:t>
      </w:r>
      <w:r>
        <w:rPr>
          <w:rtl/>
          <w:lang w:eastAsia="zh-TW"/>
        </w:rPr>
        <w:t xml:space="preserve">، المرفق الثاني). </w:t>
      </w:r>
    </w:p>
    <w:p w:rsidR="007706E3" w:rsidRPr="00DE0D2E" w:rsidRDefault="007706E3" w:rsidP="007706E3">
      <w:pPr>
        <w:pStyle w:val="SingleTxtGA"/>
        <w:rPr>
          <w:rtl/>
          <w:lang w:eastAsia="zh-TW"/>
        </w:rPr>
      </w:pPr>
      <w:r>
        <w:rPr>
          <w:rtl/>
          <w:lang w:eastAsia="zh-TW"/>
        </w:rPr>
        <w:t>٧-</w:t>
      </w:r>
      <w:r>
        <w:rPr>
          <w:rtl/>
          <w:lang w:eastAsia="zh-TW"/>
        </w:rPr>
        <w:tab/>
        <w:t>وتتناول المبادئ التوجيهية دور المقرر القطري تجاه المقرر المعني بالمتابعة، وتضع معايير تحديد التوصيات الواجب متابعتها، وتصف معايير تقييم الردود الواردة من الدول الأطراف. ويجوز للجنة أن تعتبر الردود "مرضية" أو "مرضية جزئيا</w:t>
      </w:r>
      <w:r w:rsidR="00E55BEC">
        <w:rPr>
          <w:rFonts w:hint="cs"/>
          <w:rtl/>
          <w:lang w:eastAsia="zh-TW"/>
        </w:rPr>
        <w:t>ً</w:t>
      </w:r>
      <w:r>
        <w:rPr>
          <w:rtl/>
          <w:lang w:eastAsia="zh-TW"/>
        </w:rPr>
        <w:t>" أو "غير مرضية".</w:t>
      </w:r>
    </w:p>
    <w:p w:rsidR="007706E3" w:rsidRPr="00DE0D2E" w:rsidRDefault="007706E3" w:rsidP="007706E3">
      <w:pPr>
        <w:pStyle w:val="H1GA"/>
        <w:rPr>
          <w:rtl/>
          <w:lang w:eastAsia="zh-TW"/>
        </w:rPr>
      </w:pPr>
      <w:r>
        <w:rPr>
          <w:rtl/>
          <w:lang w:eastAsia="zh-TW"/>
        </w:rPr>
        <w:tab/>
        <w:t>جيم-</w:t>
      </w:r>
      <w:r>
        <w:rPr>
          <w:rtl/>
          <w:lang w:eastAsia="zh-TW"/>
        </w:rPr>
        <w:tab/>
        <w:t xml:space="preserve">تنفيذ إجراء المتابعة </w:t>
      </w:r>
      <w:bookmarkStart w:id="6" w:name="_Toc511913571"/>
      <w:bookmarkEnd w:id="6"/>
    </w:p>
    <w:p w:rsidR="007706E3" w:rsidRPr="00DE0D2E" w:rsidRDefault="007706E3" w:rsidP="005A0EC8">
      <w:pPr>
        <w:pStyle w:val="H23GA"/>
        <w:spacing w:before="240"/>
        <w:rPr>
          <w:rtl/>
        </w:rPr>
      </w:pPr>
      <w:r>
        <w:rPr>
          <w:rtl/>
        </w:rPr>
        <w:tab/>
        <w:t>١-</w:t>
      </w:r>
      <w:r>
        <w:rPr>
          <w:rtl/>
        </w:rPr>
        <w:tab/>
        <w:t xml:space="preserve">الوقت </w:t>
      </w:r>
      <w:bookmarkStart w:id="7" w:name="_Toc511913572"/>
      <w:bookmarkEnd w:id="7"/>
    </w:p>
    <w:p w:rsidR="007706E3" w:rsidRPr="00E55BEC" w:rsidRDefault="007706E3" w:rsidP="00E55BEC">
      <w:pPr>
        <w:pStyle w:val="SingleTxtGA"/>
        <w:rPr>
          <w:spacing w:val="-2"/>
          <w:rtl/>
          <w:lang w:eastAsia="zh-TW"/>
        </w:rPr>
      </w:pPr>
      <w:r>
        <w:rPr>
          <w:rtl/>
          <w:lang w:eastAsia="zh-TW"/>
        </w:rPr>
        <w:t>٨-</w:t>
      </w:r>
      <w:r>
        <w:rPr>
          <w:rtl/>
          <w:lang w:eastAsia="zh-TW"/>
        </w:rPr>
        <w:tab/>
      </w:r>
      <w:r w:rsidRPr="00E55BEC">
        <w:rPr>
          <w:spacing w:val="-2"/>
          <w:rtl/>
          <w:lang w:eastAsia="zh-TW"/>
        </w:rPr>
        <w:t>استخدمت اللجنة ما خصصته لها الجمعية العامة من وقت الاجتماعات وموارد الميزانية وملاك الموظفين، بالأساس، للنظر في التقارير المقدمة من الدول الأطراف وكذلك البلاغات المقدمة من أفراد أو مجموعات أفراد يدعون أن حقوقهم بموجب الاتفاقية قد انتهكت من جانب دولة طرف. ومن أجل التصدي لهذه الأولويات، لم تتناول اللجنة أنشطة المتابعة إلا في مناسبتين: في نيسان/أبريل ٢٠١٥، نظرت اللجنة، في دورتها الثالثة عشرة، في جلسة خاصة، في الردود المقدمة من بعض الدول الأطراف في إطار متابعة الملاحظات الختامية؛ وفي شباط/فبراير ٢٠١٨، نظرت اللجنة، في دورتها التاسعة عشرة، في هذا التقرير المتعلق بمتابعة الملاحظات الختامية.</w:t>
      </w:r>
    </w:p>
    <w:p w:rsidR="007706E3" w:rsidRPr="00DE0D2E" w:rsidRDefault="007706E3" w:rsidP="007706E3">
      <w:pPr>
        <w:pStyle w:val="SingleTxtGA"/>
        <w:rPr>
          <w:rtl/>
          <w:lang w:eastAsia="zh-TW"/>
        </w:rPr>
      </w:pPr>
      <w:r>
        <w:rPr>
          <w:rtl/>
          <w:lang w:eastAsia="zh-TW"/>
        </w:rPr>
        <w:t>٩-</w:t>
      </w:r>
      <w:r>
        <w:rPr>
          <w:rtl/>
          <w:lang w:eastAsia="zh-TW"/>
        </w:rPr>
        <w:tab/>
        <w:t>وعلى الرغم من الجهود التي بذلتها اللجنة، لم يتقلص بقدر كبير كمّ التقارير الأولية المتراكمة التي لم يُنظر فيها بعد، ويعزى ذلك أساس</w:t>
      </w:r>
      <w:r w:rsidR="005A0EC8">
        <w:rPr>
          <w:rtl/>
          <w:lang w:eastAsia="zh-TW"/>
        </w:rPr>
        <w:t xml:space="preserve">اً </w:t>
      </w:r>
      <w:r>
        <w:rPr>
          <w:rtl/>
          <w:lang w:eastAsia="zh-TW"/>
        </w:rPr>
        <w:t>إلى زيادة عدد حالات التصديق على الاتفاقية وبروتوكولها الاختياري وعدد التقارير المقدمة كل سنة. لذا تتوقع اللجنة أن يستمرّ ضيق الوقت المخصص للنظر في الأنشطة التي اضطلعت بها الدول الأطراف في إطار متابعة الملاحظات الختامية.</w:t>
      </w:r>
    </w:p>
    <w:p w:rsidR="007706E3" w:rsidRPr="00DE0D2E" w:rsidRDefault="007706E3" w:rsidP="005A0EC8">
      <w:pPr>
        <w:pStyle w:val="H23GA"/>
        <w:spacing w:before="240"/>
        <w:rPr>
          <w:rtl/>
        </w:rPr>
      </w:pPr>
      <w:r>
        <w:rPr>
          <w:rtl/>
        </w:rPr>
        <w:tab/>
        <w:t>٢-</w:t>
      </w:r>
      <w:r>
        <w:rPr>
          <w:rtl/>
        </w:rPr>
        <w:tab/>
      </w:r>
      <w:dir w:val="rtl">
        <w:r>
          <w:rPr>
            <w:rtl/>
          </w:rPr>
          <w:t>البلدان والتوصيات المحددة للمتابعة</w:t>
        </w:r>
        <w:r>
          <w:rPr>
            <w:rFonts w:cs="Times New Roman" w:hint="cs"/>
            <w:rtl/>
          </w:rPr>
          <w:t>‬</w:t>
        </w:r>
        <w:r>
          <w:t>‬</w:t>
        </w:r>
        <w:r w:rsidR="007D39D3">
          <w:t>‬</w:t>
        </w:r>
        <w:r w:rsidR="002D21C4">
          <w:t>‬</w:t>
        </w:r>
      </w:dir>
    </w:p>
    <w:p w:rsidR="007706E3" w:rsidRPr="00DE0D2E" w:rsidRDefault="007706E3" w:rsidP="007706E3">
      <w:pPr>
        <w:pStyle w:val="SingleTxtGA"/>
        <w:rPr>
          <w:rtl/>
          <w:lang w:eastAsia="zh-TW"/>
        </w:rPr>
      </w:pPr>
      <w:r>
        <w:rPr>
          <w:rtl/>
          <w:lang w:eastAsia="zh-TW"/>
        </w:rPr>
        <w:t>١٠-</w:t>
      </w:r>
      <w:r>
        <w:rPr>
          <w:rtl/>
          <w:lang w:eastAsia="zh-TW"/>
        </w:rPr>
        <w:tab/>
        <w:t>حتى كانون الأول/ديسمبر ٢٠١٧، كانت اللجنة قد نظرت في 60 تقرير</w:t>
      </w:r>
      <w:r w:rsidR="005A0EC8">
        <w:rPr>
          <w:rtl/>
          <w:lang w:eastAsia="zh-TW"/>
        </w:rPr>
        <w:t xml:space="preserve">اً </w:t>
      </w:r>
      <w:r>
        <w:rPr>
          <w:rtl/>
          <w:lang w:eastAsia="zh-TW"/>
        </w:rPr>
        <w:t>أولي</w:t>
      </w:r>
      <w:r w:rsidR="005A0EC8">
        <w:rPr>
          <w:rtl/>
          <w:lang w:eastAsia="zh-TW"/>
        </w:rPr>
        <w:t xml:space="preserve">اً </w:t>
      </w:r>
      <w:r>
        <w:rPr>
          <w:rtl/>
          <w:lang w:eastAsia="zh-TW"/>
        </w:rPr>
        <w:t xml:space="preserve">للدول الأطراف وتقرير أولي واحد لمنظمة التكامل الإقليمي. وحددت اللجنة توصيات للمتابعة في 50 من أصل 61 (81 في المائة) من الملاحظات الختامية المعتمدة فيما يتعلق بالتقارير الأولية. </w:t>
      </w:r>
    </w:p>
    <w:p w:rsidR="007706E3" w:rsidRPr="00DE0D2E" w:rsidRDefault="007706E3" w:rsidP="007706E3">
      <w:pPr>
        <w:pStyle w:val="SingleTxtGA"/>
        <w:rPr>
          <w:rtl/>
          <w:lang w:eastAsia="zh-TW"/>
        </w:rPr>
      </w:pPr>
      <w:r>
        <w:rPr>
          <w:rtl/>
          <w:lang w:eastAsia="zh-TW"/>
        </w:rPr>
        <w:t>١١-</w:t>
      </w:r>
      <w:r>
        <w:rPr>
          <w:rtl/>
          <w:lang w:eastAsia="zh-TW"/>
        </w:rPr>
        <w:tab/>
        <w:t xml:space="preserve">وازداد عدد التوصيات المحددة للمتابعة من ٧ توصيات في عام ٢٠١٢ إلى 94 توصية في عام ٢٠١٧. </w:t>
      </w:r>
    </w:p>
    <w:p w:rsidR="007706E3" w:rsidRPr="00DE0D2E" w:rsidRDefault="007706E3" w:rsidP="007706E3">
      <w:pPr>
        <w:pStyle w:val="SingleTxtGA"/>
        <w:rPr>
          <w:rtl/>
          <w:lang w:eastAsia="zh-TW"/>
        </w:rPr>
      </w:pPr>
      <w:r>
        <w:rPr>
          <w:rtl/>
          <w:lang w:eastAsia="zh-TW"/>
        </w:rPr>
        <w:t>١٢-</w:t>
      </w:r>
      <w:r>
        <w:rPr>
          <w:rtl/>
          <w:lang w:eastAsia="zh-TW"/>
        </w:rPr>
        <w:tab/>
        <w:t>وحتى كانون الأول/ديسمبر ٢٠١٧، قُدّم 38 ردّ</w:t>
      </w:r>
      <w:r w:rsidR="005A0EC8">
        <w:rPr>
          <w:rtl/>
          <w:lang w:eastAsia="zh-TW"/>
        </w:rPr>
        <w:t xml:space="preserve">اً </w:t>
      </w:r>
      <w:r>
        <w:rPr>
          <w:rtl/>
          <w:lang w:eastAsia="zh-TW"/>
        </w:rPr>
        <w:t xml:space="preserve">من أصل 67 حل موعد تقديمها، ما يشكل معدل امتثال متواضع إلى حد ما يساوي ٥٦ في المائة. </w:t>
      </w:r>
    </w:p>
    <w:p w:rsidR="007706E3" w:rsidRPr="00DE0D2E" w:rsidRDefault="00ED5C5C" w:rsidP="007D39D3">
      <w:pPr>
        <w:pStyle w:val="H23GA"/>
        <w:keepNext/>
        <w:rPr>
          <w:rtl/>
          <w:lang w:eastAsia="zh-TW"/>
        </w:rPr>
      </w:pPr>
      <w:r>
        <w:rPr>
          <w:rtl/>
          <w:lang w:eastAsia="zh-TW"/>
        </w:rPr>
        <w:lastRenderedPageBreak/>
        <w:tab/>
      </w:r>
      <w:r w:rsidR="007706E3">
        <w:rPr>
          <w:rtl/>
          <w:lang w:eastAsia="zh-TW"/>
        </w:rPr>
        <w:t>٣-</w:t>
      </w:r>
      <w:r>
        <w:rPr>
          <w:rtl/>
          <w:lang w:eastAsia="zh-TW"/>
        </w:rPr>
        <w:tab/>
      </w:r>
      <w:r w:rsidR="007706E3">
        <w:rPr>
          <w:rtl/>
          <w:lang w:eastAsia="zh-TW"/>
        </w:rPr>
        <w:t xml:space="preserve">الآراء </w:t>
      </w:r>
      <w:r w:rsidR="007706E3">
        <w:rPr>
          <w:rtl/>
        </w:rPr>
        <w:t>المتعلق</w:t>
      </w:r>
      <w:r w:rsidR="00E55BEC">
        <w:rPr>
          <w:rFonts w:hint="cs"/>
          <w:rtl/>
        </w:rPr>
        <w:t>ة</w:t>
      </w:r>
      <w:r w:rsidR="007706E3">
        <w:rPr>
          <w:rtl/>
          <w:lang w:eastAsia="zh-TW"/>
        </w:rPr>
        <w:t xml:space="preserve"> بالمتابعة والمقدمة من جهات معنية من غير الدول الأطراف في الاتفاقية</w:t>
      </w:r>
    </w:p>
    <w:p w:rsidR="007706E3" w:rsidRPr="007D39D3" w:rsidRDefault="007706E3" w:rsidP="00BC2FFB">
      <w:pPr>
        <w:pStyle w:val="SingleTxtGA"/>
        <w:rPr>
          <w:spacing w:val="-2"/>
          <w:rtl/>
          <w:lang w:eastAsia="zh-TW"/>
        </w:rPr>
      </w:pPr>
      <w:r>
        <w:rPr>
          <w:rtl/>
          <w:lang w:eastAsia="zh-TW"/>
        </w:rPr>
        <w:t>١٣-</w:t>
      </w:r>
      <w:r>
        <w:rPr>
          <w:rtl/>
          <w:lang w:eastAsia="zh-TW"/>
        </w:rPr>
        <w:tab/>
      </w:r>
      <w:r w:rsidRPr="007D39D3">
        <w:rPr>
          <w:spacing w:val="-2"/>
          <w:rtl/>
          <w:lang w:eastAsia="zh-TW"/>
        </w:rPr>
        <w:t>لم تتلق اللجنة سوى عدد قليل جد</w:t>
      </w:r>
      <w:r w:rsidR="005A0EC8" w:rsidRPr="007D39D3">
        <w:rPr>
          <w:spacing w:val="-2"/>
          <w:rtl/>
          <w:lang w:eastAsia="zh-TW"/>
        </w:rPr>
        <w:t xml:space="preserve">اً </w:t>
      </w:r>
      <w:r w:rsidRPr="007D39D3">
        <w:rPr>
          <w:spacing w:val="-2"/>
          <w:rtl/>
          <w:lang w:eastAsia="zh-TW"/>
        </w:rPr>
        <w:t>من الإسهامات المقدمة من جهات معنية أخرى، منها منظمات الأشخاص ذوي الإعاقة أو المؤسسات الوطنية لحقوق الإنسان، فيما يتعلق بإجراء المتابعة. ولم تقدم تلك الجهات المعنية سوى أربعة إسهامات كتابية فيما يتعلق بأربعة بلدان مختلف</w:t>
      </w:r>
      <w:r w:rsidR="00BC2FFB" w:rsidRPr="007D39D3">
        <w:rPr>
          <w:rFonts w:hint="cs"/>
          <w:spacing w:val="-2"/>
          <w:rtl/>
          <w:lang w:eastAsia="zh-TW"/>
        </w:rPr>
        <w:t>ة</w:t>
      </w:r>
      <w:r w:rsidRPr="007D39D3">
        <w:rPr>
          <w:spacing w:val="-2"/>
          <w:rtl/>
          <w:lang w:eastAsia="zh-TW"/>
        </w:rPr>
        <w:t>.</w:t>
      </w:r>
    </w:p>
    <w:p w:rsidR="007706E3" w:rsidRPr="00DE0D2E" w:rsidRDefault="007706E3" w:rsidP="005A0EC8">
      <w:pPr>
        <w:pStyle w:val="H23GA"/>
        <w:spacing w:before="240"/>
        <w:rPr>
          <w:rtl/>
        </w:rPr>
      </w:pPr>
      <w:r>
        <w:rPr>
          <w:rtl/>
        </w:rPr>
        <w:tab/>
        <w:t>٤-</w:t>
      </w:r>
      <w:r>
        <w:rPr>
          <w:rtl/>
        </w:rPr>
        <w:tab/>
        <w:t>موضوع التوصيات المحددة للمتابعة</w:t>
      </w:r>
      <w:r>
        <w:rPr>
          <w:rFonts w:cs="Times New Roman" w:hint="cs"/>
          <w:rtl/>
        </w:rPr>
        <w:t>‬</w:t>
      </w:r>
      <w:bookmarkStart w:id="8" w:name="_Toc511913573"/>
      <w:bookmarkEnd w:id="8"/>
    </w:p>
    <w:p w:rsidR="007706E3" w:rsidRPr="00DE0D2E" w:rsidRDefault="007706E3" w:rsidP="007706E3">
      <w:pPr>
        <w:pStyle w:val="SingleTxtGA"/>
        <w:rPr>
          <w:rtl/>
          <w:lang w:eastAsia="zh-TW"/>
        </w:rPr>
      </w:pPr>
      <w:r>
        <w:rPr>
          <w:rtl/>
          <w:lang w:eastAsia="zh-TW"/>
        </w:rPr>
        <w:t>١٤-</w:t>
      </w:r>
      <w:r>
        <w:rPr>
          <w:rtl/>
          <w:lang w:eastAsia="zh-TW"/>
        </w:rPr>
        <w:tab/>
        <w:t xml:space="preserve">كانت أغلبية (54 في المائة) التوصيات المحددة للمتابعة، وعددها 94 توصية، تتعلق بالأحكام المحددة التالية من الاتفاقية: 17 توصية (أو 17.7 في المائة) بشأن احترام السلامة الجسدية والنفسية للأشخاص ذوي الإعاقة (المواد من ١٥ إلى ١٧)؛ و13 توصية (أو 13.5 في المائة) بشأن رصد تنفيذ الاتفاقية (المادة ٣٣)؛ و9 توصيات (أو 9.3 في المائة) بشأن تنفيذ الأحكام العامة (المواد من ١ إلى ٤)؛ و7 توصيات (أو 7.2 في المائة) بشأن الحق في المساواة وعدم التمييز (المادة ٥)؛ و5 توصيات (أو 5.3 في المائة) بشأن الحق في الاعتراف على قدم المساواة مع الآخرين أمام القانون (المادة 12). </w:t>
      </w:r>
    </w:p>
    <w:p w:rsidR="007706E3" w:rsidRPr="00DE0D2E" w:rsidRDefault="007706E3" w:rsidP="007706E3">
      <w:pPr>
        <w:pStyle w:val="SingleTxtGA"/>
        <w:rPr>
          <w:rtl/>
          <w:lang w:eastAsia="zh-TW"/>
        </w:rPr>
      </w:pPr>
      <w:r>
        <w:rPr>
          <w:rtl/>
          <w:lang w:eastAsia="zh-TW"/>
        </w:rPr>
        <w:t>١٥-</w:t>
      </w:r>
      <w:r>
        <w:rPr>
          <w:rtl/>
          <w:lang w:eastAsia="zh-TW"/>
        </w:rPr>
        <w:tab/>
        <w:t>وتشكل التوصيات المتعلقة بأحكام أخرى من الاتفاقية نسبة ٤٦ في المائة المتبقية من التوصيات. ولم تحدد أي توصية للمتابعة ف</w:t>
      </w:r>
      <w:r w:rsidR="005A0EC8">
        <w:rPr>
          <w:rtl/>
          <w:lang w:eastAsia="zh-TW"/>
        </w:rPr>
        <w:t>يما يتعلق بالمواد ٨ (التوعية) أ</w:t>
      </w:r>
      <w:r>
        <w:rPr>
          <w:rtl/>
          <w:lang w:eastAsia="zh-TW"/>
        </w:rPr>
        <w:t>و</w:t>
      </w:r>
      <w:r w:rsidR="005A0EC8">
        <w:rPr>
          <w:rFonts w:hint="cs"/>
          <w:rtl/>
          <w:lang w:eastAsia="zh-TW"/>
        </w:rPr>
        <w:t xml:space="preserve"> </w:t>
      </w:r>
      <w:r>
        <w:rPr>
          <w:rtl/>
          <w:lang w:eastAsia="zh-TW"/>
        </w:rPr>
        <w:t xml:space="preserve">٢٠ (التنقل الشخصي)، أو ٢٢ (الحق في الخصوصية)، أو ٢٣ (احترام البيت والأسرة)، أو ٢٥ (الصحة)، أو ٢٦ (التأهيل وإعادة التأهيل)، أو ٣٢ (التعاون الدولي). </w:t>
      </w:r>
    </w:p>
    <w:p w:rsidR="007706E3" w:rsidRPr="00DE0D2E" w:rsidRDefault="007706E3" w:rsidP="005A0EC8">
      <w:pPr>
        <w:pStyle w:val="H23GA"/>
        <w:spacing w:before="240"/>
        <w:rPr>
          <w:rtl/>
        </w:rPr>
      </w:pPr>
      <w:r>
        <w:rPr>
          <w:rtl/>
        </w:rPr>
        <w:tab/>
        <w:t>٥-</w:t>
      </w:r>
      <w:r>
        <w:rPr>
          <w:rtl/>
        </w:rPr>
        <w:tab/>
        <w:t xml:space="preserve">تقييم الردود </w:t>
      </w:r>
      <w:bookmarkStart w:id="9" w:name="_Toc511913574"/>
      <w:bookmarkEnd w:id="9"/>
    </w:p>
    <w:p w:rsidR="007706E3" w:rsidRPr="00DE0D2E" w:rsidRDefault="007706E3" w:rsidP="007706E3">
      <w:pPr>
        <w:pStyle w:val="SingleTxtGA"/>
        <w:rPr>
          <w:rtl/>
          <w:lang w:eastAsia="zh-TW"/>
        </w:rPr>
      </w:pPr>
      <w:r>
        <w:rPr>
          <w:rtl/>
          <w:lang w:eastAsia="zh-TW"/>
        </w:rPr>
        <w:t>١٦-</w:t>
      </w:r>
      <w:r>
        <w:rPr>
          <w:rtl/>
          <w:lang w:eastAsia="zh-TW"/>
        </w:rPr>
        <w:tab/>
        <w:t>أمكن اعتبار 28 رد</w:t>
      </w:r>
      <w:r w:rsidR="005A0EC8">
        <w:rPr>
          <w:rtl/>
          <w:lang w:eastAsia="zh-TW"/>
        </w:rPr>
        <w:t xml:space="preserve">اً </w:t>
      </w:r>
      <w:r>
        <w:rPr>
          <w:rtl/>
          <w:lang w:eastAsia="zh-TW"/>
        </w:rPr>
        <w:t>(أو ٧٤ في المائة) من أصل الردود الواردة، وعددها 38 رد</w:t>
      </w:r>
      <w:r w:rsidR="005A0EC8">
        <w:rPr>
          <w:rtl/>
          <w:lang w:eastAsia="zh-TW"/>
        </w:rPr>
        <w:t xml:space="preserve">اً، </w:t>
      </w:r>
      <w:r>
        <w:rPr>
          <w:rtl/>
          <w:lang w:eastAsia="zh-TW"/>
        </w:rPr>
        <w:t>ردود</w:t>
      </w:r>
      <w:r w:rsidR="005A0EC8">
        <w:rPr>
          <w:rtl/>
          <w:lang w:eastAsia="zh-TW"/>
        </w:rPr>
        <w:t xml:space="preserve">اً </w:t>
      </w:r>
      <w:r>
        <w:rPr>
          <w:rtl/>
          <w:lang w:eastAsia="zh-TW"/>
        </w:rPr>
        <w:t>مرضية أو مرضية جزئي</w:t>
      </w:r>
      <w:r w:rsidR="005A0EC8">
        <w:rPr>
          <w:rtl/>
          <w:lang w:eastAsia="zh-TW"/>
        </w:rPr>
        <w:t xml:space="preserve">اً، </w:t>
      </w:r>
      <w:r>
        <w:rPr>
          <w:rtl/>
          <w:lang w:eastAsia="zh-TW"/>
        </w:rPr>
        <w:t>بمعنى أن الدول الأطراف اتخذت فيما يبدو خطوات للمضي صوب تنفيذ التوصيات. وشملت التدابير اعتماد التشريعات أو إلغاءها أو تعديلها؛ أو تغيرات في السياسة العامة؛ أو إنشاء هيئات أو لجان لمعالجة المسائل التي أثارتها اللجنة.</w:t>
      </w:r>
    </w:p>
    <w:p w:rsidR="007706E3" w:rsidRPr="00DE0D2E" w:rsidRDefault="007706E3" w:rsidP="007706E3">
      <w:pPr>
        <w:pStyle w:val="SingleTxtGA"/>
        <w:rPr>
          <w:rtl/>
          <w:lang w:eastAsia="zh-TW"/>
        </w:rPr>
      </w:pPr>
      <w:r>
        <w:rPr>
          <w:rtl/>
          <w:lang w:eastAsia="zh-TW"/>
        </w:rPr>
        <w:t>١٧-</w:t>
      </w:r>
      <w:r>
        <w:rPr>
          <w:rtl/>
          <w:lang w:eastAsia="zh-TW"/>
        </w:rPr>
        <w:tab/>
        <w:t xml:space="preserve">أما الردود العشرة الأخرى (أو ٢٦ في المائة) فقد أمكن اعتبارها غير مرضية، بمعنى أنه إما لم يُعتمد أي تدبير لمعالجة الشواغل التي أثارتها اللجنة أو أن التدابير المعتمدة لم تكن متماشية مع مسار العمل الذي أوصت به اللجنة. </w:t>
      </w:r>
    </w:p>
    <w:p w:rsidR="007706E3" w:rsidRPr="00DE0D2E" w:rsidRDefault="007706E3" w:rsidP="007706E3">
      <w:pPr>
        <w:pStyle w:val="SingleTxtGA"/>
        <w:rPr>
          <w:rtl/>
          <w:lang w:eastAsia="zh-TW"/>
        </w:rPr>
      </w:pPr>
      <w:r>
        <w:rPr>
          <w:rtl/>
          <w:lang w:eastAsia="zh-TW"/>
        </w:rPr>
        <w:t>١٨-</w:t>
      </w:r>
      <w:r>
        <w:rPr>
          <w:rtl/>
          <w:lang w:eastAsia="zh-TW"/>
        </w:rPr>
        <w:tab/>
        <w:t>ومن الجدير بالذكر أن الردود المتعلقة بتنفيذ التوصيات المتصلة بالمادتين ١٢ و٣٣ شكلت أغلبية الردود غير المرضية. ويمكن أن يكون ذلك مؤشر</w:t>
      </w:r>
      <w:r w:rsidR="005A0EC8">
        <w:rPr>
          <w:rtl/>
          <w:lang w:eastAsia="zh-TW"/>
        </w:rPr>
        <w:t xml:space="preserve">اً </w:t>
      </w:r>
      <w:r>
        <w:rPr>
          <w:rtl/>
          <w:lang w:eastAsia="zh-TW"/>
        </w:rPr>
        <w:t>على التحديات المستمرة التي تواجهها الدول الأطراف في الانتقال على وجه السرعة من نظم الوكالة في اتخاذ القرارات إلى نظم المساعدة على اتخاذها. وبالمثل، أظهرت النتائج استمرار سوء الفهم لدى الأطراف في الاتفاقية فيما يتعلق بمطلب وضع أطر رصد مستقلة، إذ يستمر إدماج كيانات أو إدارات تشكل جزء</w:t>
      </w:r>
      <w:r w:rsidR="005A0EC8">
        <w:rPr>
          <w:rtl/>
          <w:lang w:eastAsia="zh-TW"/>
        </w:rPr>
        <w:t xml:space="preserve">اً </w:t>
      </w:r>
      <w:r>
        <w:rPr>
          <w:rtl/>
          <w:lang w:eastAsia="zh-TW"/>
        </w:rPr>
        <w:t>من جهاز الحكومة التنفيذي بوصفها هيئات مكونة داخل إطار الرصد.</w:t>
      </w:r>
    </w:p>
    <w:p w:rsidR="007706E3" w:rsidRPr="00DE0D2E" w:rsidRDefault="007706E3" w:rsidP="007D39D3">
      <w:pPr>
        <w:pStyle w:val="H23GA"/>
        <w:keepNext/>
        <w:rPr>
          <w:rtl/>
        </w:rPr>
      </w:pPr>
      <w:r>
        <w:rPr>
          <w:rtl/>
        </w:rPr>
        <w:lastRenderedPageBreak/>
        <w:tab/>
        <w:t>٦-</w:t>
      </w:r>
      <w:r>
        <w:rPr>
          <w:rtl/>
        </w:rPr>
        <w:tab/>
        <w:t>نتائج تقييم الردود على التوصيات المحددة للمتابعة وعددها 38 ردا</w:t>
      </w:r>
      <w:bookmarkStart w:id="10" w:name="_Toc511913575"/>
      <w:bookmarkEnd w:id="10"/>
      <w:r w:rsidR="00E55BEC">
        <w:rPr>
          <w:rFonts w:hint="cs"/>
          <w:rtl/>
        </w:rPr>
        <w:t>ً</w:t>
      </w:r>
    </w:p>
    <w:p w:rsidR="007706E3" w:rsidRPr="007D39D3" w:rsidRDefault="007706E3" w:rsidP="007706E3">
      <w:pPr>
        <w:pStyle w:val="SingleTxtGA"/>
        <w:rPr>
          <w:rtl/>
          <w:lang w:eastAsia="zh-TW"/>
        </w:rPr>
      </w:pPr>
      <w:r>
        <w:rPr>
          <w:rtl/>
          <w:lang w:eastAsia="zh-TW"/>
        </w:rPr>
        <w:t>١٩-</w:t>
      </w:r>
      <w:r>
        <w:rPr>
          <w:rtl/>
          <w:lang w:eastAsia="zh-TW"/>
        </w:rPr>
        <w:tab/>
      </w:r>
      <w:r w:rsidRPr="007D39D3">
        <w:rPr>
          <w:rtl/>
          <w:lang w:eastAsia="zh-TW"/>
        </w:rPr>
        <w:t xml:space="preserve">ليس من المقرر اتخاذ أي تدبير في إطار إجراء المتابعة بشأن 11 توصية متعلقة بستة بلدان سبق للجنة أن اعتمدت لها قائمة مسائل في إطار الإجراء المبسط لتقديم التقارير أو أنها بصدد اعتمادها. </w:t>
      </w:r>
    </w:p>
    <w:p w:rsidR="007706E3" w:rsidRPr="00DE0D2E" w:rsidRDefault="007706E3" w:rsidP="007706E3">
      <w:pPr>
        <w:pStyle w:val="SingleTxtGA"/>
        <w:rPr>
          <w:rtl/>
          <w:lang w:eastAsia="zh-TW"/>
        </w:rPr>
      </w:pPr>
      <w:r>
        <w:rPr>
          <w:rtl/>
          <w:lang w:eastAsia="zh-TW"/>
        </w:rPr>
        <w:t>٢٠-</w:t>
      </w:r>
      <w:r>
        <w:rPr>
          <w:rtl/>
          <w:lang w:eastAsia="zh-TW"/>
        </w:rPr>
        <w:tab/>
        <w:t>وبالمثل، فمن غير المقرر اتخاذ المزيد من التدابير بشأن ١١ رد</w:t>
      </w:r>
      <w:r w:rsidR="005A0EC8">
        <w:rPr>
          <w:rtl/>
          <w:lang w:eastAsia="zh-TW"/>
        </w:rPr>
        <w:t xml:space="preserve">اً </w:t>
      </w:r>
      <w:r>
        <w:rPr>
          <w:rtl/>
          <w:lang w:eastAsia="zh-TW"/>
        </w:rPr>
        <w:t>اعتبر مرضي</w:t>
      </w:r>
      <w:r w:rsidR="005A0EC8">
        <w:rPr>
          <w:rtl/>
          <w:lang w:eastAsia="zh-TW"/>
        </w:rPr>
        <w:t xml:space="preserve">اً. </w:t>
      </w:r>
    </w:p>
    <w:p w:rsidR="007706E3" w:rsidRPr="00DE0D2E" w:rsidRDefault="007706E3" w:rsidP="007706E3">
      <w:pPr>
        <w:pStyle w:val="SingleTxtGA"/>
        <w:rPr>
          <w:rtl/>
          <w:lang w:eastAsia="zh-TW"/>
        </w:rPr>
      </w:pPr>
      <w:r>
        <w:rPr>
          <w:rtl/>
          <w:lang w:eastAsia="zh-TW"/>
        </w:rPr>
        <w:t>٢١-</w:t>
      </w:r>
      <w:r>
        <w:rPr>
          <w:rtl/>
          <w:lang w:eastAsia="zh-TW"/>
        </w:rPr>
        <w:tab/>
        <w:t>وبخصوص سبعة ردود اعتبرت مرضية جزئي</w:t>
      </w:r>
      <w:r w:rsidR="005A0EC8">
        <w:rPr>
          <w:rtl/>
          <w:lang w:eastAsia="zh-TW"/>
        </w:rPr>
        <w:t xml:space="preserve">اً، </w:t>
      </w:r>
      <w:r>
        <w:rPr>
          <w:rtl/>
          <w:lang w:eastAsia="zh-TW"/>
        </w:rPr>
        <w:t>شجعت اللجنة الدول الأطراف المعنية على المضي قدم</w:t>
      </w:r>
      <w:r w:rsidR="005A0EC8">
        <w:rPr>
          <w:rtl/>
          <w:lang w:eastAsia="zh-TW"/>
        </w:rPr>
        <w:t xml:space="preserve">اً </w:t>
      </w:r>
      <w:r>
        <w:rPr>
          <w:rtl/>
          <w:lang w:eastAsia="zh-TW"/>
        </w:rPr>
        <w:t xml:space="preserve">في اتخاذ التدابير الملائمة لتنفيذ توصياتها وإشراك الأشخاص ذوي الإعاقة في هذا المسعى من خلال المنظمات التي تمثلهم. </w:t>
      </w:r>
    </w:p>
    <w:p w:rsidR="007706E3" w:rsidRPr="00DE0D2E" w:rsidRDefault="007706E3" w:rsidP="007706E3">
      <w:pPr>
        <w:pStyle w:val="SingleTxtGA"/>
        <w:rPr>
          <w:rtl/>
          <w:lang w:eastAsia="zh-TW"/>
        </w:rPr>
      </w:pPr>
      <w:r>
        <w:rPr>
          <w:rtl/>
          <w:lang w:eastAsia="zh-TW"/>
        </w:rPr>
        <w:t>٢٢-</w:t>
      </w:r>
      <w:r>
        <w:rPr>
          <w:rtl/>
          <w:lang w:eastAsia="zh-TW"/>
        </w:rPr>
        <w:tab/>
        <w:t>وبخصوص تسعة ردود اعتبرت غير مرضية، شجعت اللجنة كذلك الدول الأطراف المعنية على إعادة النظر في تشريعاتها وسياساتها وممارساتها لجعلها متفقة مع أحكام الاتفاقية وعلى النظر في إمكانية طلب المساعدة التقنية للجنة، عمل</w:t>
      </w:r>
      <w:r w:rsidR="005A0EC8">
        <w:rPr>
          <w:rtl/>
          <w:lang w:eastAsia="zh-TW"/>
        </w:rPr>
        <w:t>اً بالمادة 37</w:t>
      </w:r>
      <w:r>
        <w:rPr>
          <w:rtl/>
          <w:lang w:eastAsia="zh-TW"/>
        </w:rPr>
        <w:t xml:space="preserve">(2) من الاتفاقية. </w:t>
      </w:r>
    </w:p>
    <w:p w:rsidR="007706E3" w:rsidRPr="00DE0D2E" w:rsidRDefault="007706E3" w:rsidP="007706E3">
      <w:pPr>
        <w:pStyle w:val="SingleTxtGA"/>
        <w:rPr>
          <w:rtl/>
          <w:lang w:eastAsia="zh-TW"/>
        </w:rPr>
      </w:pPr>
      <w:r>
        <w:rPr>
          <w:rtl/>
          <w:lang w:eastAsia="zh-TW"/>
        </w:rPr>
        <w:t>٢٣-</w:t>
      </w:r>
      <w:r>
        <w:rPr>
          <w:rtl/>
          <w:lang w:eastAsia="zh-TW"/>
        </w:rPr>
        <w:tab/>
        <w:t>وبخصوص الدول الأطراف التي لم تقدم ردود</w:t>
      </w:r>
      <w:r w:rsidR="005A0EC8">
        <w:rPr>
          <w:rtl/>
          <w:lang w:eastAsia="zh-TW"/>
        </w:rPr>
        <w:t xml:space="preserve">اً، </w:t>
      </w:r>
      <w:r>
        <w:rPr>
          <w:rtl/>
          <w:lang w:eastAsia="zh-TW"/>
        </w:rPr>
        <w:t xml:space="preserve">شجعت اللجنة هذه الدول على مواصلة النظر في توصياتها واتخاذ جميع التدابير اللازمة لضمان تنفيذ التوصيات. وستعالج اللجنة المسائل المحددة للمتابعة في جولة الإبلاغ المقبلة للدول الأطراف. </w:t>
      </w:r>
    </w:p>
    <w:p w:rsidR="007706E3" w:rsidRPr="00DE0D2E" w:rsidRDefault="007706E3" w:rsidP="007706E3">
      <w:pPr>
        <w:pStyle w:val="SingleTxtGA"/>
        <w:rPr>
          <w:rtl/>
          <w:lang w:eastAsia="zh-TW"/>
        </w:rPr>
      </w:pPr>
      <w:r>
        <w:rPr>
          <w:rtl/>
          <w:lang w:eastAsia="zh-TW"/>
        </w:rPr>
        <w:t>٢٤-</w:t>
      </w:r>
      <w:r>
        <w:rPr>
          <w:rtl/>
          <w:lang w:eastAsia="zh-TW"/>
        </w:rPr>
        <w:tab/>
        <w:t xml:space="preserve">ويمكن الاطلاع على مذكرة توجز المعلومات الواردة في ردود الدول الأطراف والتقييم الذي أجرته اللجنة في الموقع الشبكي للجنة. </w:t>
      </w:r>
    </w:p>
    <w:p w:rsidR="007706E3" w:rsidRPr="00DE0D2E" w:rsidRDefault="007706E3" w:rsidP="007706E3">
      <w:pPr>
        <w:pStyle w:val="H1GA"/>
        <w:rPr>
          <w:rtl/>
          <w:lang w:eastAsia="zh-TW"/>
        </w:rPr>
      </w:pPr>
      <w:r>
        <w:rPr>
          <w:rtl/>
          <w:lang w:eastAsia="zh-TW"/>
        </w:rPr>
        <w:tab/>
        <w:t>دال-</w:t>
      </w:r>
      <w:r>
        <w:rPr>
          <w:rtl/>
          <w:lang w:eastAsia="zh-TW"/>
        </w:rPr>
        <w:tab/>
        <w:t>تنسيق أساليب العمل فيما يتعلق بإجراءات المتابعة</w:t>
      </w:r>
      <w:bookmarkStart w:id="11" w:name="_Toc511913576"/>
      <w:bookmarkEnd w:id="11"/>
    </w:p>
    <w:p w:rsidR="007706E3" w:rsidRPr="00DE0D2E" w:rsidRDefault="007706E3" w:rsidP="007706E3">
      <w:pPr>
        <w:pStyle w:val="SingleTxtGA"/>
        <w:rPr>
          <w:rtl/>
          <w:lang w:eastAsia="zh-TW"/>
        </w:rPr>
      </w:pPr>
      <w:r>
        <w:rPr>
          <w:rtl/>
          <w:lang w:eastAsia="zh-TW"/>
        </w:rPr>
        <w:t>٢٥-</w:t>
      </w:r>
      <w:r>
        <w:rPr>
          <w:rtl/>
          <w:lang w:eastAsia="zh-TW"/>
        </w:rPr>
        <w:tab/>
        <w:t>تعرب اللجنة عن تقديرها للمذكرة المذكورة أعلاه بشأن متابعة الملاحظات الختامية التي أعدها المقرر المعني بالمتابعة، وتشجعه على مواصلة تقديم المساعدة إلى اللجنة في مهمة التفاعل مع الدول الأطراف والجهات المعنية الأخرى في سياق أنشطة المتابعة، وتشجعه أيض</w:t>
      </w:r>
      <w:r w:rsidR="005A0EC8">
        <w:rPr>
          <w:rtl/>
          <w:lang w:eastAsia="zh-TW"/>
        </w:rPr>
        <w:t xml:space="preserve">اً </w:t>
      </w:r>
      <w:r>
        <w:rPr>
          <w:rtl/>
          <w:lang w:eastAsia="zh-TW"/>
        </w:rPr>
        <w:t>على أن يراعي أساليب عمل الهيئات الأخرى المنشأة بموجب معاهدات حقوق الإنسان بغية تنسيق أساليب العمل على نطاق أوسع بين هيئات المعاهدات فيما يتعلق بإجراءات المتابعة.</w:t>
      </w:r>
    </w:p>
    <w:p w:rsidR="007706E3" w:rsidRPr="00DE0D2E" w:rsidRDefault="007706E3" w:rsidP="007706E3">
      <w:pPr>
        <w:pStyle w:val="HChGA"/>
        <w:rPr>
          <w:rtl/>
          <w:lang w:eastAsia="zh-TW"/>
        </w:rPr>
      </w:pPr>
      <w:r>
        <w:rPr>
          <w:rtl/>
          <w:lang w:eastAsia="zh-TW"/>
        </w:rPr>
        <w:tab/>
        <w:t>ثالثا</w:t>
      </w:r>
      <w:r>
        <w:rPr>
          <w:rFonts w:hint="cs"/>
          <w:rtl/>
          <w:lang w:eastAsia="zh-TW"/>
        </w:rPr>
        <w:t>ً</w:t>
      </w:r>
      <w:r>
        <w:rPr>
          <w:rtl/>
          <w:lang w:eastAsia="zh-TW"/>
        </w:rPr>
        <w:t>-</w:t>
      </w:r>
      <w:r>
        <w:rPr>
          <w:rtl/>
          <w:lang w:eastAsia="zh-TW"/>
        </w:rPr>
        <w:tab/>
        <w:t>التقرير المقبل المتعلق بمتابعة الملاحظات الختامية</w:t>
      </w:r>
      <w:bookmarkStart w:id="12" w:name="_Toc511913577"/>
      <w:bookmarkEnd w:id="12"/>
    </w:p>
    <w:p w:rsidR="007706E3" w:rsidRPr="00DE0D2E" w:rsidRDefault="007706E3" w:rsidP="007706E3">
      <w:pPr>
        <w:pStyle w:val="SingleTxtGA"/>
        <w:rPr>
          <w:rtl/>
          <w:lang w:eastAsia="zh-TW"/>
        </w:rPr>
      </w:pPr>
      <w:r>
        <w:rPr>
          <w:rtl/>
          <w:lang w:eastAsia="zh-TW"/>
        </w:rPr>
        <w:t>٢٦</w:t>
      </w:r>
      <w:r w:rsidRPr="007706E3">
        <w:rPr>
          <w:spacing w:val="-4"/>
          <w:rtl/>
          <w:lang w:eastAsia="zh-TW"/>
        </w:rPr>
        <w:t>-</w:t>
      </w:r>
      <w:r w:rsidRPr="007706E3">
        <w:rPr>
          <w:spacing w:val="-4"/>
          <w:rtl/>
          <w:lang w:eastAsia="zh-TW"/>
        </w:rPr>
        <w:tab/>
        <w:t xml:space="preserve">قررت اللجنة، خلال دورتها التاسعة عشرة (14 شباط/فبراير </w:t>
      </w:r>
      <w:r w:rsidRPr="007706E3">
        <w:rPr>
          <w:rFonts w:hint="cs"/>
          <w:spacing w:val="-4"/>
          <w:rtl/>
          <w:lang w:eastAsia="zh-TW"/>
        </w:rPr>
        <w:t>-</w:t>
      </w:r>
      <w:r w:rsidRPr="007706E3">
        <w:rPr>
          <w:spacing w:val="-4"/>
          <w:rtl/>
          <w:lang w:eastAsia="zh-TW"/>
        </w:rPr>
        <w:t xml:space="preserve"> 9 آذار/مارس 2018)، تعليق</w:t>
      </w:r>
      <w:r>
        <w:rPr>
          <w:rtl/>
          <w:lang w:eastAsia="zh-TW"/>
        </w:rPr>
        <w:t xml:space="preserve"> إجراءات متابعة الملاحظات الختامية بالنظر إلى عدم توافر ما يكفي من الموارد من حيث ملاك الموظفين في الأمانة لدعم اللجنة. وبخصوص ردود الدول الأطراف المتعلقة بالمتابعة التي حل موعد تقديمها في عام ٢٠١٧ أو يتوقع أن يحل موعد تقديمها في عام ٢٠١٨، تشجع اللجنة المقرر المعني بالمتابعة على أن يقدم تقرير</w:t>
      </w:r>
      <w:r w:rsidR="005A0EC8">
        <w:rPr>
          <w:rtl/>
          <w:lang w:eastAsia="zh-TW"/>
        </w:rPr>
        <w:t xml:space="preserve">اً </w:t>
      </w:r>
      <w:r>
        <w:rPr>
          <w:rtl/>
          <w:lang w:eastAsia="zh-TW"/>
        </w:rPr>
        <w:t>ثاني</w:t>
      </w:r>
      <w:r w:rsidR="005A0EC8">
        <w:rPr>
          <w:rtl/>
          <w:lang w:eastAsia="zh-TW"/>
        </w:rPr>
        <w:t xml:space="preserve">اً </w:t>
      </w:r>
      <w:r>
        <w:rPr>
          <w:rtl/>
          <w:lang w:eastAsia="zh-TW"/>
        </w:rPr>
        <w:t>عن متابعة الملاحظات الختامية في أجل أقصاه موعد انعقاد الدورة السادسة والعشرين للجنة، أو في النصف الثاني من عام</w:t>
      </w:r>
      <w:r>
        <w:rPr>
          <w:rFonts w:hint="cs"/>
          <w:rtl/>
          <w:lang w:eastAsia="zh-TW"/>
        </w:rPr>
        <w:t> </w:t>
      </w:r>
      <w:r>
        <w:rPr>
          <w:rtl/>
          <w:lang w:eastAsia="zh-TW"/>
        </w:rPr>
        <w:t xml:space="preserve">٢٠٢١. </w:t>
      </w:r>
    </w:p>
    <w:p w:rsidR="007706E3" w:rsidRPr="00DE0D2E" w:rsidRDefault="007706E3" w:rsidP="007706E3">
      <w:pPr>
        <w:pStyle w:val="HChGA"/>
        <w:rPr>
          <w:rtl/>
          <w:lang w:eastAsia="zh-TW"/>
        </w:rPr>
      </w:pPr>
      <w:r>
        <w:rPr>
          <w:rtl/>
          <w:lang w:eastAsia="zh-TW"/>
        </w:rPr>
        <w:lastRenderedPageBreak/>
        <w:tab/>
        <w:t>رابعا</w:t>
      </w:r>
      <w:r>
        <w:rPr>
          <w:rFonts w:hint="cs"/>
          <w:rtl/>
          <w:lang w:eastAsia="zh-TW"/>
        </w:rPr>
        <w:t>ً</w:t>
      </w:r>
      <w:r>
        <w:rPr>
          <w:rtl/>
          <w:lang w:eastAsia="zh-TW"/>
        </w:rPr>
        <w:t>-</w:t>
      </w:r>
      <w:r>
        <w:rPr>
          <w:rtl/>
          <w:lang w:eastAsia="zh-TW"/>
        </w:rPr>
        <w:tab/>
        <w:t>الإشارة إلى هذا التقرير في تقرير اللجنة لفترة السنتين المقدَّم إلى الجمعية العامة والمجلس الاقتصادي والاجتماعي</w:t>
      </w:r>
      <w:r>
        <w:rPr>
          <w:rFonts w:cs="Times New Roman" w:hint="cs"/>
          <w:rtl/>
          <w:lang w:eastAsia="zh-TW"/>
        </w:rPr>
        <w:t>‬</w:t>
      </w:r>
      <w:r>
        <w:rPr>
          <w:rtl/>
          <w:lang w:eastAsia="zh-TW"/>
        </w:rPr>
        <w:t xml:space="preserve"> </w:t>
      </w:r>
      <w:bookmarkStart w:id="13" w:name="_Toc511913578"/>
      <w:bookmarkEnd w:id="13"/>
    </w:p>
    <w:p w:rsidR="007706E3" w:rsidRPr="00DE0D2E" w:rsidRDefault="007706E3" w:rsidP="007706E3">
      <w:pPr>
        <w:pStyle w:val="SingleTxtGA"/>
        <w:rPr>
          <w:rtl/>
          <w:lang w:eastAsia="zh-TW"/>
        </w:rPr>
      </w:pPr>
      <w:r>
        <w:rPr>
          <w:rtl/>
          <w:lang w:eastAsia="zh-TW"/>
        </w:rPr>
        <w:t>٢٧-</w:t>
      </w:r>
      <w:r>
        <w:rPr>
          <w:rtl/>
          <w:lang w:eastAsia="zh-TW"/>
        </w:rPr>
        <w:tab/>
        <w:t>ينبغي أن يتضمن تقرير اللجنة المقبل لفترة السنتين، المقرر تقديمه في أوائل عام ٢٠١٩، إشارة إلى هذا التقرير.</w:t>
      </w:r>
    </w:p>
    <w:p w:rsidR="00B54045" w:rsidRPr="007706E3" w:rsidRDefault="007706E3" w:rsidP="007706E3">
      <w:pPr>
        <w:spacing w:before="120"/>
        <w:jc w:val="center"/>
        <w:rPr>
          <w:u w:val="single"/>
          <w:rtl/>
          <w:lang w:bidi="ar-DZ"/>
        </w:rPr>
      </w:pPr>
      <w:r>
        <w:rPr>
          <w:u w:val="single"/>
          <w:rtl/>
          <w:lang w:bidi="ar-DZ"/>
        </w:rPr>
        <w:tab/>
      </w:r>
      <w:r>
        <w:rPr>
          <w:u w:val="single"/>
          <w:rtl/>
          <w:lang w:bidi="ar-DZ"/>
        </w:rPr>
        <w:tab/>
      </w:r>
      <w:r>
        <w:rPr>
          <w:u w:val="single"/>
          <w:rtl/>
          <w:lang w:bidi="ar-DZ"/>
        </w:rPr>
        <w:tab/>
      </w:r>
    </w:p>
    <w:sectPr w:rsidR="00B54045" w:rsidRPr="007706E3" w:rsidSect="008D6DC1">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0033" w:rsidRPr="002901D9" w:rsidRDefault="00480033" w:rsidP="002901D9">
      <w:pPr>
        <w:spacing w:after="60" w:line="240" w:lineRule="auto"/>
        <w:rPr>
          <w:i/>
          <w:iCs/>
        </w:rPr>
      </w:pPr>
      <w:r>
        <w:rPr>
          <w:rFonts w:hint="cs"/>
          <w:i/>
          <w:iCs/>
          <w:rtl/>
        </w:rPr>
        <w:t>الحواشي</w:t>
      </w:r>
    </w:p>
  </w:endnote>
  <w:endnote w:type="continuationSeparator" w:id="0">
    <w:p w:rsidR="00480033" w:rsidRDefault="0048003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6DC1" w:rsidRPr="007706E3" w:rsidRDefault="007706E3" w:rsidP="007706E3">
    <w:pPr>
      <w:pStyle w:val="Footer"/>
      <w:tabs>
        <w:tab w:val="right" w:pos="9598"/>
      </w:tabs>
      <w:rPr>
        <w:sz w:val="17"/>
      </w:rPr>
    </w:pPr>
    <w:r>
      <w:rPr>
        <w:sz w:val="17"/>
      </w:rPr>
      <w:t>GE.18-06286</w:t>
    </w:r>
    <w:r>
      <w:rPr>
        <w:sz w:val="17"/>
      </w:rPr>
      <w:tab/>
    </w:r>
    <w:r w:rsidRPr="007706E3">
      <w:rPr>
        <w:b/>
        <w:sz w:val="18"/>
      </w:rPr>
      <w:fldChar w:fldCharType="begin"/>
    </w:r>
    <w:r w:rsidRPr="007706E3">
      <w:rPr>
        <w:b/>
        <w:sz w:val="18"/>
      </w:rPr>
      <w:instrText xml:space="preserve"> PAGE  \* MERGEFORMAT </w:instrText>
    </w:r>
    <w:r w:rsidRPr="007706E3">
      <w:rPr>
        <w:b/>
        <w:sz w:val="18"/>
      </w:rPr>
      <w:fldChar w:fldCharType="separate"/>
    </w:r>
    <w:r w:rsidR="003927F1">
      <w:rPr>
        <w:b/>
        <w:noProof/>
        <w:sz w:val="18"/>
      </w:rPr>
      <w:t>4</w:t>
    </w:r>
    <w:r w:rsidRPr="007706E3">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7706E3" w:rsidRDefault="007706E3" w:rsidP="006959B0">
    <w:pPr>
      <w:pStyle w:val="Footer"/>
      <w:tabs>
        <w:tab w:val="right" w:pos="9599"/>
      </w:tabs>
      <w:jc w:val="left"/>
      <w:rPr>
        <w:b/>
        <w:sz w:val="18"/>
        <w:lang w:val="en-US"/>
      </w:rPr>
    </w:pPr>
    <w:r w:rsidRPr="007706E3">
      <w:rPr>
        <w:b/>
        <w:sz w:val="18"/>
        <w:lang w:val="en-US"/>
      </w:rPr>
      <w:fldChar w:fldCharType="begin"/>
    </w:r>
    <w:r w:rsidRPr="007706E3">
      <w:rPr>
        <w:b/>
        <w:sz w:val="18"/>
        <w:lang w:val="en-US"/>
      </w:rPr>
      <w:instrText xml:space="preserve"> PAGE  \* MERGEFORMAT </w:instrText>
    </w:r>
    <w:r w:rsidRPr="007706E3">
      <w:rPr>
        <w:b/>
        <w:sz w:val="18"/>
        <w:lang w:val="en-US"/>
      </w:rPr>
      <w:fldChar w:fldCharType="separate"/>
    </w:r>
    <w:r w:rsidR="003927F1">
      <w:rPr>
        <w:b/>
        <w:noProof/>
        <w:sz w:val="18"/>
        <w:lang w:val="en-US"/>
      </w:rPr>
      <w:t>5</w:t>
    </w:r>
    <w:r w:rsidRPr="007706E3">
      <w:rPr>
        <w:b/>
        <w:sz w:val="18"/>
        <w:lang w:val="en-US"/>
      </w:rPr>
      <w:fldChar w:fldCharType="end"/>
    </w:r>
    <w:r>
      <w:rPr>
        <w:b/>
        <w:sz w:val="18"/>
        <w:lang w:val="en-US"/>
      </w:rPr>
      <w:tab/>
    </w:r>
    <w:r>
      <w:rPr>
        <w:sz w:val="17"/>
        <w:lang w:val="en-US"/>
      </w:rPr>
      <w:t>GE.18-06286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4439" w:rsidRDefault="008D6DC1" w:rsidP="000B4CB3">
    <w:pPr>
      <w:pStyle w:val="Footer"/>
      <w:spacing w:before="360"/>
      <w:jc w:val="right"/>
      <w:rPr>
        <w:sz w:val="20"/>
        <w:szCs w:val="20"/>
      </w:rPr>
    </w:pPr>
    <w:r>
      <w:rPr>
        <w:sz w:val="20"/>
        <w:szCs w:val="20"/>
      </w:rPr>
      <w:t>GE.18</w:t>
    </w:r>
    <w:r w:rsidR="000B4CB3">
      <w:rPr>
        <w:sz w:val="20"/>
        <w:szCs w:val="20"/>
      </w:rPr>
      <w:t>-</w:t>
    </w:r>
    <w:r>
      <w:rPr>
        <w:sz w:val="20"/>
        <w:szCs w:val="20"/>
      </w:rPr>
      <w:t>06286</w:t>
    </w:r>
    <w:r w:rsidR="00114439">
      <w:rPr>
        <w:noProof/>
        <w:lang w:val="en-US" w:eastAsia="zh-CN"/>
      </w:rPr>
      <w:drawing>
        <wp:anchor distT="0" distB="0" distL="114300" distR="114300" simplePos="0" relativeHeight="251665408" behindDoc="1" locked="1" layoutInCell="0" allowOverlap="1" wp14:anchorId="5AE1C098" wp14:editId="21A668E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14439" w:rsidRPr="007A0286">
      <w:rPr>
        <w:sz w:val="20"/>
        <w:szCs w:val="20"/>
      </w:rPr>
      <w:t>(A)</w:t>
    </w:r>
  </w:p>
  <w:p w:rsidR="008D6DC1" w:rsidRPr="008D6DC1" w:rsidRDefault="008D6DC1" w:rsidP="008D6DC1">
    <w:pPr>
      <w:pStyle w:val="Footer"/>
      <w:jc w:val="right"/>
      <w:rPr>
        <w:rFonts w:ascii="C39T30Lfz" w:hAnsi="C39T30Lfz"/>
        <w:sz w:val="56"/>
        <w:szCs w:val="20"/>
        <w:lang w:val="fr-CH"/>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0033" w:rsidRDefault="00480033" w:rsidP="00AA3959">
      <w:pPr>
        <w:pStyle w:val="Footer"/>
        <w:bidi/>
        <w:spacing w:after="80" w:line="200" w:lineRule="exact"/>
        <w:ind w:left="680"/>
      </w:pPr>
      <w:r>
        <w:rPr>
          <w:rtl/>
        </w:rPr>
        <w:t>__________</w:t>
      </w:r>
    </w:p>
  </w:footnote>
  <w:footnote w:type="continuationSeparator" w:id="0">
    <w:p w:rsidR="00480033" w:rsidRDefault="00480033" w:rsidP="00656392">
      <w:pPr>
        <w:spacing w:line="240" w:lineRule="auto"/>
      </w:pPr>
      <w:r>
        <w:continuationSeparator/>
      </w:r>
    </w:p>
  </w:footnote>
  <w:footnote w:id="1">
    <w:p w:rsidR="007706E3" w:rsidRPr="007706E3" w:rsidRDefault="007706E3" w:rsidP="007706E3">
      <w:pPr>
        <w:pStyle w:val="FootnoteText1"/>
        <w:textDirection w:val="tbRlV"/>
        <w:rPr>
          <w:rtl/>
        </w:rPr>
      </w:pPr>
      <w:r>
        <w:t>*</w:t>
      </w:r>
      <w:r>
        <w:rPr>
          <w:rtl/>
        </w:rPr>
        <w:tab/>
        <w:t>اعتمدتها اللجنة في دورتها التاسعة عشرة (14 شباط/فبراير -</w:t>
      </w:r>
      <w:r>
        <w:rPr>
          <w:rFonts w:hint="cs"/>
          <w:rtl/>
        </w:rPr>
        <w:t xml:space="preserve"> </w:t>
      </w:r>
      <w:r>
        <w:rPr>
          <w:rtl/>
        </w:rPr>
        <w:t>9 آذار/مارس 2018</w:t>
      </w:r>
      <w:proofErr w:type="gramStart"/>
      <w:r>
        <w:rPr>
          <w:rtl/>
        </w:rPr>
        <w:t>).</w:t>
      </w:r>
      <w:r>
        <w:rPr>
          <w:rFonts w:cs="Times New Roman" w:hint="cs"/>
          <w:rtl/>
        </w:rPr>
        <w:t>‬</w:t>
      </w:r>
      <w:proofErr w:type="gramEnd"/>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6DC1" w:rsidRPr="007706E3" w:rsidRDefault="007706E3" w:rsidP="007706E3">
    <w:pPr>
      <w:pStyle w:val="Header"/>
      <w:jc w:val="right"/>
    </w:pPr>
    <w:r w:rsidRPr="007706E3">
      <w:t>CRPD/C/19/3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6DC1" w:rsidRPr="007706E3" w:rsidRDefault="007706E3" w:rsidP="007706E3">
    <w:pPr>
      <w:pStyle w:val="Header"/>
      <w:jc w:val="left"/>
    </w:pPr>
    <w:r w:rsidRPr="007706E3">
      <w:t>CRPD/C/19/3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attachedTemplate r:id="rId1"/>
  <w:defaultTabStop w:val="567"/>
  <w:hyphenationZone w:val="425"/>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480033"/>
    <w:rsid w:val="000076D5"/>
    <w:rsid w:val="00043663"/>
    <w:rsid w:val="000505CF"/>
    <w:rsid w:val="000B4CB3"/>
    <w:rsid w:val="000D701C"/>
    <w:rsid w:val="000E2A71"/>
    <w:rsid w:val="00114439"/>
    <w:rsid w:val="00160263"/>
    <w:rsid w:val="00181F96"/>
    <w:rsid w:val="001A1371"/>
    <w:rsid w:val="001B346A"/>
    <w:rsid w:val="001E1CAD"/>
    <w:rsid w:val="001E290D"/>
    <w:rsid w:val="002144FA"/>
    <w:rsid w:val="0023469A"/>
    <w:rsid w:val="00243C8A"/>
    <w:rsid w:val="00267A0E"/>
    <w:rsid w:val="002901D9"/>
    <w:rsid w:val="002976C2"/>
    <w:rsid w:val="003260FF"/>
    <w:rsid w:val="003414C2"/>
    <w:rsid w:val="00343D95"/>
    <w:rsid w:val="00374341"/>
    <w:rsid w:val="00377444"/>
    <w:rsid w:val="003927F1"/>
    <w:rsid w:val="003D1062"/>
    <w:rsid w:val="00420D7B"/>
    <w:rsid w:val="00426928"/>
    <w:rsid w:val="004337A3"/>
    <w:rsid w:val="00450B21"/>
    <w:rsid w:val="00453B63"/>
    <w:rsid w:val="00455780"/>
    <w:rsid w:val="00476CEF"/>
    <w:rsid w:val="00480033"/>
    <w:rsid w:val="004B0A1C"/>
    <w:rsid w:val="004D298E"/>
    <w:rsid w:val="00517BC9"/>
    <w:rsid w:val="0054149D"/>
    <w:rsid w:val="0054472E"/>
    <w:rsid w:val="005662A9"/>
    <w:rsid w:val="005827D4"/>
    <w:rsid w:val="0059622A"/>
    <w:rsid w:val="005A0EC8"/>
    <w:rsid w:val="005C5878"/>
    <w:rsid w:val="005C7CEA"/>
    <w:rsid w:val="005D3C0B"/>
    <w:rsid w:val="005E5217"/>
    <w:rsid w:val="005F0FA4"/>
    <w:rsid w:val="005F30EE"/>
    <w:rsid w:val="0060473A"/>
    <w:rsid w:val="00606EDF"/>
    <w:rsid w:val="00656392"/>
    <w:rsid w:val="0068781D"/>
    <w:rsid w:val="006959B0"/>
    <w:rsid w:val="006B3E27"/>
    <w:rsid w:val="006B6507"/>
    <w:rsid w:val="006C104C"/>
    <w:rsid w:val="00733704"/>
    <w:rsid w:val="007541BA"/>
    <w:rsid w:val="007706E3"/>
    <w:rsid w:val="0078071A"/>
    <w:rsid w:val="007D1EEA"/>
    <w:rsid w:val="007D39D3"/>
    <w:rsid w:val="00852A9A"/>
    <w:rsid w:val="008D6DC1"/>
    <w:rsid w:val="008F49E1"/>
    <w:rsid w:val="0090370F"/>
    <w:rsid w:val="009269D2"/>
    <w:rsid w:val="00940271"/>
    <w:rsid w:val="00942135"/>
    <w:rsid w:val="009521B0"/>
    <w:rsid w:val="009A7E9F"/>
    <w:rsid w:val="009B0CBA"/>
    <w:rsid w:val="009E5018"/>
    <w:rsid w:val="00A12B37"/>
    <w:rsid w:val="00A50EC0"/>
    <w:rsid w:val="00A54442"/>
    <w:rsid w:val="00AA3959"/>
    <w:rsid w:val="00AB6758"/>
    <w:rsid w:val="00AF287D"/>
    <w:rsid w:val="00B13763"/>
    <w:rsid w:val="00B477A4"/>
    <w:rsid w:val="00B54045"/>
    <w:rsid w:val="00BC2FFB"/>
    <w:rsid w:val="00C438D7"/>
    <w:rsid w:val="00C53FE8"/>
    <w:rsid w:val="00C81B50"/>
    <w:rsid w:val="00CD1801"/>
    <w:rsid w:val="00D10EF1"/>
    <w:rsid w:val="00D42810"/>
    <w:rsid w:val="00D914A7"/>
    <w:rsid w:val="00DD13C3"/>
    <w:rsid w:val="00DD596E"/>
    <w:rsid w:val="00DD621E"/>
    <w:rsid w:val="00DF0575"/>
    <w:rsid w:val="00E55BEC"/>
    <w:rsid w:val="00E70E04"/>
    <w:rsid w:val="00EC05A7"/>
    <w:rsid w:val="00EC4B6B"/>
    <w:rsid w:val="00ED5C5C"/>
    <w:rsid w:val="00ED7442"/>
    <w:rsid w:val="00EF1EE5"/>
    <w:rsid w:val="00F763B4"/>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5:docId w15:val="{3B385E1E-938E-4613-9B2B-00C110BDD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476CEF"/>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qFormat/>
    <w:rsid w:val="007706E3"/>
    <w:pPr>
      <w:keepNext/>
      <w:keepLines/>
      <w:tabs>
        <w:tab w:val="right" w:pos="851"/>
      </w:tabs>
      <w:bidi w:val="0"/>
      <w:spacing w:before="360" w:after="240" w:line="300" w:lineRule="exact"/>
      <w:ind w:left="1134" w:right="1134" w:hanging="1134"/>
      <w:jc w:val="left"/>
    </w:pPr>
    <w:rPr>
      <w:rFonts w:eastAsia="SimSun" w:hAnsi="Calibri" w:hint="cs"/>
      <w:b/>
      <w:sz w:val="28"/>
      <w:lang w:val="en-GB" w:eastAsia="zh-CN"/>
    </w:rPr>
  </w:style>
  <w:style w:type="paragraph" w:customStyle="1" w:styleId="H1G">
    <w:name w:val="_ H_1_G"/>
    <w:basedOn w:val="Normal"/>
    <w:next w:val="Normal"/>
    <w:qFormat/>
    <w:rsid w:val="007706E3"/>
    <w:pPr>
      <w:keepNext/>
      <w:keepLines/>
      <w:tabs>
        <w:tab w:val="right" w:pos="851"/>
      </w:tabs>
      <w:bidi w:val="0"/>
      <w:spacing w:before="360" w:after="240" w:line="270" w:lineRule="exact"/>
      <w:ind w:left="1134" w:right="1134" w:hanging="1134"/>
      <w:jc w:val="left"/>
    </w:pPr>
    <w:rPr>
      <w:rFonts w:eastAsia="SimSun" w:hAnsi="Calibri" w:hint="cs"/>
      <w:b/>
      <w:sz w:val="24"/>
      <w:lang w:val="en-GB" w:eastAsia="zh-CN"/>
    </w:rPr>
  </w:style>
  <w:style w:type="paragraph" w:customStyle="1" w:styleId="H23G">
    <w:name w:val="_ H_2/3_G"/>
    <w:basedOn w:val="Normal"/>
    <w:next w:val="Normal"/>
    <w:qFormat/>
    <w:rsid w:val="007706E3"/>
    <w:pPr>
      <w:keepNext/>
      <w:keepLines/>
      <w:tabs>
        <w:tab w:val="right" w:pos="851"/>
      </w:tabs>
      <w:bidi w:val="0"/>
      <w:spacing w:before="240" w:after="120" w:line="240" w:lineRule="exact"/>
      <w:ind w:left="1134" w:right="1134" w:hanging="1134"/>
      <w:jc w:val="left"/>
    </w:pPr>
    <w:rPr>
      <w:rFonts w:eastAsia="SimSun" w:hAnsi="Calibri" w:hint="cs"/>
      <w:b/>
      <w:lang w:val="en-GB" w:eastAsia="zh-CN"/>
    </w:rPr>
  </w:style>
  <w:style w:type="paragraph" w:customStyle="1" w:styleId="SingleTxtG">
    <w:name w:val="_ Single Txt_G"/>
    <w:basedOn w:val="Normal"/>
    <w:link w:val="SingleTxtGChar"/>
    <w:qFormat/>
    <w:rsid w:val="007706E3"/>
    <w:pPr>
      <w:bidi w:val="0"/>
      <w:spacing w:after="120"/>
      <w:ind w:left="1134" w:right="1134"/>
      <w:jc w:val="both"/>
    </w:pPr>
    <w:rPr>
      <w:rFonts w:eastAsia="SimSun" w:hAnsi="Calibri"/>
      <w:lang w:val="en-GB" w:eastAsia="zh-CN"/>
    </w:rPr>
  </w:style>
  <w:style w:type="character" w:customStyle="1" w:styleId="SingleTxtGChar">
    <w:name w:val="_ Single Txt_G Char"/>
    <w:link w:val="SingleTxtG"/>
    <w:rsid w:val="007706E3"/>
    <w:rPr>
      <w:rFonts w:ascii="Times New Roman" w:eastAsia="SimSun" w:hAnsi="Calibri" w:cs="Traditional Arabic"/>
      <w:sz w:val="20"/>
      <w:szCs w:val="3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34ADC9-1095-4E38-981B-B6F6AF58A8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5</Pages>
  <Words>1201</Words>
  <Characters>6848</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CRPD/C/19/3</vt:lpstr>
    </vt:vector>
  </TitlesOfParts>
  <Company>DCM</Company>
  <LinksUpToDate>false</LinksUpToDate>
  <CharactersWithSpaces>8033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CRPD/C/19/3</dc:title>
  <dc:subject>1806286</dc:subject>
  <dc:creator>MBU, ABE</dc:creator>
  <cp:keywords>1811490</cp:keywords>
  <dc:description>Distr.: General_x000d_
19 April 2018_x000d_
Arabic_x000d_
Original: English_x000d_
</dc:description>
  <cp:lastModifiedBy>Ibrahim Balan</cp:lastModifiedBy>
  <cp:revision>2</cp:revision>
  <cp:lastPrinted>2018-05-08T07:19:00Z</cp:lastPrinted>
  <dcterms:created xsi:type="dcterms:W3CDTF">2018-05-08T14:33:00Z</dcterms:created>
  <dcterms:modified xsi:type="dcterms:W3CDTF">2018-05-08T14:33:00Z</dcterms:modified>
</cp:coreProperties>
</file>