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CAT/C/SR.408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29 November 1999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  <w:lang w:val="en-US"/>
              </w:rPr>
              <w:t>FRENCH</w:t>
            </w:r>
          </w:p>
        </w:tc>
      </w:tr>
    </w:tbl>
    <w:p w:rsidR="00000000" w:rsidRDefault="00000000">
      <w:pPr>
        <w:pStyle w:val="16"/>
        <w:spacing w:line="240" w:lineRule="auto"/>
      </w:pPr>
    </w:p>
    <w:p w:rsidR="00000000" w:rsidRDefault="00000000">
      <w:pPr>
        <w:pStyle w:val="16"/>
        <w:spacing w:line="240" w:lineRule="auto"/>
      </w:pPr>
      <w:r>
        <w:t>КОМИТЕТ ПРОТИВ ПЫТОК</w:t>
      </w:r>
    </w:p>
    <w:p w:rsidR="00000000" w:rsidRDefault="00000000">
      <w:pPr>
        <w:pStyle w:val="16"/>
        <w:spacing w:line="240" w:lineRule="auto"/>
      </w:pPr>
    </w:p>
    <w:p w:rsidR="00000000" w:rsidRDefault="00000000">
      <w:pPr>
        <w:spacing w:line="240" w:lineRule="auto"/>
        <w:jc w:val="center"/>
      </w:pPr>
      <w:r>
        <w:t>Двадцать третья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408-го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 в четверг,</w:t>
      </w:r>
    </w:p>
    <w:p w:rsidR="00000000" w:rsidRDefault="00000000">
      <w:pPr>
        <w:spacing w:line="240" w:lineRule="auto"/>
        <w:jc w:val="center"/>
      </w:pPr>
      <w:r>
        <w:t>18 ноября 1999 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 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u w:val="single"/>
        </w:rPr>
        <w:t>Выводы и рекомендации по первоначальному докладу Кыргыстана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u w:val="single"/>
        </w:rPr>
        <w:t>Первоначальный доклад Узбекистана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rPr>
          <w:sz w:val="22"/>
        </w:rPr>
        <w:t>____________</w:t>
      </w:r>
    </w:p>
    <w:p w:rsidR="00000000" w:rsidRDefault="00000000">
      <w:pPr>
        <w:pStyle w:val="FootnoteText"/>
      </w:pPr>
    </w:p>
    <w:p w:rsidR="00000000" w:rsidRDefault="00000000">
      <w:pPr>
        <w:spacing w:line="240" w:lineRule="auto"/>
      </w:pPr>
      <w:r>
        <w:tab/>
        <w:t>*</w:t>
      </w:r>
      <w:r>
        <w:tab/>
        <w:t>Краткий отчет о второй (закрытой) части заседания содержится в документе CAT/C/SR.408</w:t>
      </w:r>
      <w:r>
        <w:rPr>
          <w:lang w:val="en-US"/>
        </w:rPr>
        <w:t>/Add.1</w:t>
      </w:r>
      <w:r>
        <w:t>.</w:t>
      </w:r>
    </w:p>
    <w:p w:rsidR="00000000" w:rsidRDefault="00000000">
      <w:pPr>
        <w:spacing w:line="240" w:lineRule="auto"/>
      </w:pPr>
      <w:r>
        <w:t>_____________________________________________________________________________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 xml:space="preserve">Поправки должны представляться на одном из рабочих языков.  Они должны изложены в пояснительной записке, а также внесены в один из экземпляров отчета.  Поправки следует направлять </w:t>
      </w:r>
      <w:r>
        <w:rPr>
          <w:sz w:val="22"/>
          <w:u w:val="single"/>
        </w:rPr>
        <w:t>в течение одной недели с момента выпуска настоящего документа</w:t>
      </w:r>
      <w:r>
        <w:rPr>
          <w:sz w:val="22"/>
        </w:rPr>
        <w:t xml:space="preserve"> в Секцию редактирования официальных отчетов, комната Е.4108, Дворец Наций, Женева.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sz w:val="22"/>
          <w:lang w:val="en-US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  <w:r>
        <w:rPr>
          <w:lang w:val="en-US"/>
        </w:rPr>
        <w:t>GE.99-45839   (R)</w:t>
      </w:r>
    </w:p>
    <w:p w:rsidR="00000000" w:rsidRDefault="00000000">
      <w:r>
        <w:br w:type="page"/>
        <w:t>РАССМОТРЕНИЕ ДОКЛАДОВ, ПРЕДСТАВЛЕННЫХ ГОСУДАРСТВАМИ-УЧАСТНИКАМИ В СООТВЕТСТВИИ СО СТАТЬЕЙ 19 КОНВЕНЦИИ (пункт 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Выводы и рекомендации по первоначальному докладу Кыргызстана</w:t>
      </w:r>
      <w:r>
        <w:t xml:space="preserve"> (САТ/С/42/</w:t>
      </w:r>
      <w:r>
        <w:rPr>
          <w:lang w:val="en-US"/>
        </w:rPr>
        <w:t>Add.</w:t>
      </w:r>
      <w:r>
        <w:t>1)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делегация Кыргызстана вновь занимает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(Докладчик по Кыргызстану) зачитывает на английском языке следующий текст выводов и рекомендаций Комитета по первоначальному докладу Кыргызстана:</w:t>
      </w:r>
    </w:p>
    <w:p w:rsidR="00000000" w:rsidRDefault="00000000"/>
    <w:p w:rsidR="00000000" w:rsidRDefault="00000000">
      <w:pPr>
        <w:ind w:left="567" w:hanging="567"/>
      </w:pPr>
      <w:r>
        <w:tab/>
        <w:t>"1.</w:t>
      </w:r>
      <w:r>
        <w:tab/>
        <w:t>Комитет рассмотрел первоначальный доклад Кыргызстана (</w:t>
      </w:r>
      <w:r>
        <w:rPr>
          <w:lang w:val="en-US"/>
        </w:rPr>
        <w:t>CAT/C/42/Add.1</w:t>
      </w:r>
      <w:r>
        <w:t>) на своих 403, 406 и 408-м заседаниях 16, 17 и 18 ноября 1999 года (</w:t>
      </w:r>
      <w:r>
        <w:rPr>
          <w:lang w:val="en-US"/>
        </w:rPr>
        <w:t>CAT/C/SR.403, 406 и 408</w:t>
      </w:r>
      <w:r>
        <w:t>) и утвердил нижеследующие выводы и рекомендации: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I.</w:t>
      </w:r>
      <w:r>
        <w:rPr>
          <w:lang w:val="en-US"/>
        </w:rP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ind w:left="567" w:hanging="567"/>
      </w:pPr>
      <w:r>
        <w:tab/>
        <w:t>2.</w:t>
      </w:r>
      <w:r>
        <w:tab/>
        <w:t>Комитет приветствует первоначальный доклад Кыргызстана, который был представлен в установленные сроки и в целом соответствует руководящим принципам Комитета в отношении подготовки первоначальных докладов.  Комитет приветствует также открытый диалог между высококвалифицированными представителями государства-участника и Комитетом.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II</w:t>
      </w:r>
      <w:r>
        <w:t>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ab/>
        <w:t>3.</w:t>
      </w:r>
      <w:r>
        <w:tab/>
        <w:t>Комитет с удовлетворением отмечает следующее: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а)</w:t>
      </w:r>
      <w:r>
        <w:tab/>
        <w:t>продолжающиеся усилия по созданию правовых рамок на основе универсальных человеческих ценностей для обеспечения основополагающих прав человека, в том числе права не подвергаться пыткам и другим жестоким, бесчеловечным или унижающим достоинство видам обращения или наказания;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lang w:val="en-US"/>
        </w:rPr>
        <w:tab/>
        <w:t>b</w:t>
      </w:r>
      <w:r>
        <w:t>)</w:t>
      </w:r>
      <w:r>
        <w:tab/>
        <w:t>мораторий на приведение в исполнение смертной казни на двухлетний период и, в любом случае, ее применение только в отношении нескольких тяжких преступлений;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с)</w:t>
      </w:r>
      <w:r>
        <w:tab/>
        <w:t>отмену "надзорной" роли прокурора в уголовном судопроизводстве;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lang w:val="en-US"/>
        </w:rPr>
        <w:tab/>
        <w:t>d</w:t>
      </w:r>
      <w:r>
        <w:t>)</w:t>
      </w:r>
      <w:r>
        <w:tab/>
        <w:t>положения нового Уголовно-процессуального кодекса, в соответствии с которыми задержанное лицо имеет доступ к адвокату по своему выбору с момента задержания, а следователь обязан уведомлять его семью о его аресте с момента ареста;</w:t>
      </w:r>
    </w:p>
    <w:p w:rsidR="00000000" w:rsidRDefault="00000000"/>
    <w:p w:rsidR="00000000" w:rsidRDefault="00000000">
      <w:pPr>
        <w:ind w:left="567"/>
      </w:pPr>
      <w:bookmarkStart w:id="1" w:name="_Hlt480787682"/>
      <w:bookmarkEnd w:id="1"/>
      <w:r>
        <w:tab/>
        <w:t>e)</w:t>
      </w:r>
      <w:r>
        <w:tab/>
        <w:t>назначение cпециального прокурора для инспектирования мест заключения и следственных изоляторов с целью обеспечения их соответствия надлежащим нормам обращения с заключенными;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f)</w:t>
      </w:r>
      <w:r>
        <w:tab/>
        <w:t>уголовное преследование различных лиц в связи с действиями, которые рассматриваются как нарушение Конвенции;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g)</w:t>
      </w:r>
      <w:r>
        <w:tab/>
        <w:t>создание Национальной комиссии по правам человека с широким мандатом изучать и содействовать улучшению условий соблюдения прав человека в Кыргызстане, в том числе с полномочиями вести в отдельных случаях расследование и наблюдать за условиями содержания в тюрьмах;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h)</w:t>
      </w:r>
      <w:r>
        <w:tab/>
        <w:t>инициативы государства-участника в области просвещения для обеспечения правильного понимания персоналом, занятым в уголовном судопроизводстве, его обязанности в области прав человека.</w:t>
      </w:r>
    </w:p>
    <w:p w:rsidR="00000000" w:rsidRDefault="00000000">
      <w:pPr>
        <w:ind w:left="567"/>
      </w:pPr>
    </w:p>
    <w:p w:rsidR="00000000" w:rsidRDefault="00000000">
      <w:pPr>
        <w:jc w:val="center"/>
        <w:rPr>
          <w:u w:val="single"/>
        </w:rPr>
      </w:pPr>
      <w:r>
        <w:t>III.</w:t>
      </w:r>
      <w:r>
        <w:tab/>
      </w:r>
      <w:r>
        <w:rPr>
          <w:u w:val="single"/>
        </w:rPr>
        <w:t>Факторы и трудности, препятствующие осуществлению</w:t>
      </w:r>
    </w:p>
    <w:p w:rsidR="00000000" w:rsidRDefault="00000000">
      <w:pPr>
        <w:jc w:val="center"/>
      </w:pPr>
      <w:r>
        <w:rPr>
          <w:u w:val="single"/>
        </w:rPr>
        <w:t>положений Конвенции</w:t>
      </w:r>
    </w:p>
    <w:p w:rsidR="00000000" w:rsidRDefault="00000000">
      <w:pPr>
        <w:jc w:val="center"/>
      </w:pPr>
    </w:p>
    <w:p w:rsidR="00000000" w:rsidRDefault="00000000">
      <w:pPr>
        <w:ind w:left="567" w:hanging="567"/>
      </w:pPr>
      <w:r>
        <w:tab/>
        <w:t>4.</w:t>
      </w:r>
      <w:r>
        <w:tab/>
        <w:t>Комитет принимает к сведению проблемы переходного периода, с которыми столкнулось в настоящее время государство-участник.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u w:val="single"/>
        </w:rPr>
      </w:pPr>
      <w:r>
        <w:t>IV.</w:t>
      </w:r>
      <w:r>
        <w:tab/>
      </w:r>
      <w:r>
        <w:rPr>
          <w:u w:val="single"/>
        </w:rPr>
        <w:t>Проблемы,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ab/>
        <w:t>5.</w:t>
      </w:r>
      <w:r>
        <w:tab/>
        <w:t>Комитет выражает свою озабоченность в отношении следующего:</w:t>
      </w:r>
    </w:p>
    <w:p w:rsidR="00000000" w:rsidRDefault="00000000"/>
    <w:p w:rsidR="00000000" w:rsidRDefault="00000000">
      <w:pPr>
        <w:ind w:left="567"/>
      </w:pPr>
      <w:r>
        <w:tab/>
        <w:t>a)</w:t>
      </w:r>
      <w:r>
        <w:tab/>
        <w:t>отсутствия в действующем уголовном законодательстве государства-участника определения пытки в том виде, как оно предусмотрено в статье 1 Конвенции, в результате чего за конкретное преступление пытки не устанавливается соответствующего наказания, как этого требует пункт 2 статьи 4 Конвенции;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b)</w:t>
      </w:r>
      <w:r>
        <w:tab/>
        <w:t>многочисленных и продолжающих поступать утверждений о применении пыток в нарушение статьи 1 Конвенции и других жестоких, бесчеловечных или унижающих достоинство видах обращения или наказания (в том числе иногда в отношении детей) со стороны сотрудников правоохранительных органов в нарушение статьи 16 Конвенции;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c)</w:t>
      </w:r>
      <w:r>
        <w:tab/>
        <w:t>хотя в некоторых случаях государство-участник реагировало соответствующим образом, представляется, что быстрое, беспристрастное и тщательное расследование предполагаемых случаев пыток и других жестоких, бесчеловечных или унижающих достоинство видов обращения и наказания не проводится, а виновные не привлекаются к ответственности, когда это необходимо;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d)</w:t>
      </w:r>
      <w:r>
        <w:tab/>
        <w:t>недостаточных гарантий независимости сотрудников судебных органов, в частности в отношении продления полномочий при назначениях президентом;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e)</w:t>
      </w:r>
      <w:r>
        <w:tab/>
        <w:t>применения законов об амнистии, которые могут распространяться в некоторых случаях на преступления пыток.</w:t>
      </w:r>
    </w:p>
    <w:p w:rsidR="00000000" w:rsidRDefault="00000000">
      <w:pPr>
        <w:ind w:left="567"/>
      </w:pPr>
    </w:p>
    <w:p w:rsidR="00000000" w:rsidRDefault="00000000">
      <w:pPr>
        <w:jc w:val="center"/>
        <w:rPr>
          <w:u w:val="single"/>
        </w:rPr>
      </w:pPr>
      <w:r>
        <w:t>V.</w:t>
      </w:r>
      <w:r>
        <w:tab/>
      </w:r>
      <w:r>
        <w:rPr>
          <w:u w:val="single"/>
        </w:rPr>
        <w:t>Рекомендации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ab/>
        <w:t>6.</w:t>
      </w:r>
      <w:r>
        <w:tab/>
        <w:t>Комитет рекомендует следующее:</w:t>
      </w:r>
    </w:p>
    <w:p w:rsidR="00000000" w:rsidRDefault="00000000"/>
    <w:p w:rsidR="00000000" w:rsidRDefault="00000000">
      <w:pPr>
        <w:ind w:left="567"/>
      </w:pPr>
      <w:r>
        <w:tab/>
        <w:t>a)</w:t>
      </w:r>
      <w:r>
        <w:tab/>
        <w:t>государству-участнику следует изменить свое внутреннее уголовное законодательство, включив в него преступление пытки в соответствии с определением, содержащимся в статье 1 Конвенции, а также установив соответствующее наказание за это преступление;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b)</w:t>
      </w:r>
      <w:r>
        <w:tab/>
        <w:t>с учетом многочисленных сообщений о предполагаемых пытках и жестоком обращении со стороны сотрудников правоохранительных органов государству-участнику следует предпринять все необходимые эффективные меры по предотвращению таких случаев в будущем;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c)</w:t>
      </w:r>
      <w:r>
        <w:tab/>
        <w:t>для того чтобы лица, совершавшие пытки или действия, связанные с жестоким обращением, не оставались безнаказанными, государству-участнику следует обеспечить проведение расследования и, когда это необходимо, привлекать к ответственности всех лиц, обвиняемых в совершении таких деяний, и следить за тем, чтобы законы об амнистии не распространялись на преступление, состоящее в применении пыток;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d)</w:t>
      </w:r>
      <w:r>
        <w:tab/>
        <w:t>государству-участнику следует продолжить проведение реформы своих полицейских и судебных органов, а также органов уголовного преследования для обеспечения того, чтобы каждый из них осознавал свои обязательства по Конвенции;  в частности, следует принять срочные меры по обеспечению ведущей роли и независимости судебных органов в системе уголовного судопроизводства, особенно в плане назначения на должности с ограниченным сроком полномочий и возможностью его продления, с тем чтобы привести судебную систему в соответствие с принятыми Организацией Объединенных Наций в 1985 году Основными принципами независимости судебных органов и с принятыми Организацией Объединенных Наций в 1990 году Руководящими принципами, касающимися роли лиц, осуществляющих судебное преследование;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e)</w:t>
      </w:r>
      <w:r>
        <w:tab/>
        <w:t>государству-участнику следует принять меры для улучшения условий содержания в тюрьмах с учетом принятых Организацией Объединенных Наций в 1955 году Минимальных стандартных правил обращения с заключенными;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f)</w:t>
      </w:r>
      <w:r>
        <w:tab/>
        <w:t>следует обеспечивать надзор за местами заключения и тюрьмами для военнослужащих в целях обеспечения того, чтобы заключенные не подвергались жестокому обращению и чтобы они, как и все другие лица, имели возможность быть представленным в суде адвокатами;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g)</w:t>
      </w:r>
      <w:r>
        <w:tab/>
        <w:t>государству-участнику следует рассмотреть вопрос об отмене смертной казни;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h)</w:t>
      </w:r>
      <w:r>
        <w:tab/>
        <w:t>к государству-участнику обращается призыв рассмотреть вопрос о том, чтобы сделать заявления, предусмотренные в статьях 21 и 22 Конвенции".</w:t>
      </w:r>
    </w:p>
    <w:p w:rsidR="00000000" w:rsidRDefault="00000000">
      <w:pPr>
        <w:ind w:left="567"/>
      </w:pP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ШАРШЕНАЛИЕВ</w:t>
      </w:r>
      <w:r>
        <w:t xml:space="preserve"> (Кыргызстан) благодарит членов Комитета за их многочисленные замечания и заверяет их в том, что правительство его страны учтет эти замечания должным образом.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Кыргызстана за представление исключительно подробных ответов и желает правительству этой страны успешно завершить начатые им реформы.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Делегация Кыргызстана покидает места за столом Комитета</w:t>
      </w:r>
      <w:r>
        <w:t>.</w:t>
      </w:r>
    </w:p>
    <w:p w:rsidR="00000000" w:rsidRDefault="00000000"/>
    <w:p w:rsidR="00000000" w:rsidRDefault="00000000">
      <w:r>
        <w:tab/>
      </w:r>
      <w:r>
        <w:rPr>
          <w:u w:val="single"/>
        </w:rPr>
        <w:t>Заседание прерывается в 15 час. 15 мин. и возобновляется в 15 час. 30 мин</w:t>
      </w:r>
      <w:r>
        <w:t>.</w:t>
      </w:r>
    </w:p>
    <w:p w:rsidR="00000000" w:rsidRDefault="00000000">
      <w:pPr>
        <w:pStyle w:val="Heading2"/>
        <w:rPr>
          <w:u w:val="none"/>
        </w:rPr>
      </w:pPr>
      <w:r>
        <w:t>Первоначальный доклад Узбекистана</w:t>
      </w:r>
      <w:r>
        <w:rPr>
          <w:u w:val="none"/>
        </w:rPr>
        <w:t xml:space="preserve"> (САТ/С/32/</w:t>
      </w:r>
      <w:r>
        <w:rPr>
          <w:u w:val="none"/>
          <w:lang w:val="en-US"/>
        </w:rPr>
        <w:t>Add.</w:t>
      </w:r>
      <w:r>
        <w:rPr>
          <w:u w:val="none"/>
        </w:rPr>
        <w:t>3)</w:t>
      </w:r>
    </w:p>
    <w:p w:rsidR="00000000" w:rsidRDefault="00000000">
      <w:pPr>
        <w:pStyle w:val="Heading2"/>
        <w:rPr>
          <w:u w:val="none"/>
        </w:rPr>
      </w:pPr>
    </w:p>
    <w:p w:rsidR="00000000" w:rsidRDefault="00000000">
      <w:r>
        <w:t>6.</w:t>
      </w:r>
      <w:r>
        <w:tab/>
      </w:r>
      <w:r>
        <w:rPr>
          <w:u w:val="single"/>
        </w:rPr>
        <w:t>По приглашению Председателя делегация Узбекистана вновь занимает места за столом Комитета</w:t>
      </w:r>
      <w:r>
        <w:t>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Узбекистана ответить на вопросы членов Комитета.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ВАХИДОВ</w:t>
      </w:r>
      <w:r>
        <w:t xml:space="preserve"> (Узбекистан) говорит, что члены Комитета задали слишком много вопросов, вследствие чего у делегации попросту не было времени все их изучить.  Те вопросы, по которым предлагалось представить статистические данные, были переданы в столицу страны, и соответствующая статистическая информация будет доведена до сведения Комитета.  Делегация выражает удовлетворение в связи с конструктивными замечаниями Комитета, которые помогут Узбекистану правильно ориентировать проводимые им реформы.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 УСМАНОВ</w:t>
      </w:r>
      <w:r>
        <w:t xml:space="preserve"> (Узбекистан) говорит, что он затронет прежде всего вопрос о статусе международных договоров в национальном законодательстве.  В соответствии с Конституцией в случае коллизии международные договоры имеют приоритет над национальным законодательством.  Узбекистан ратифицировал около 40 международных договоров, содержащих положения императивного характера.  Планируется присоединение Узбекистана еще к четырем договорам.  Все эти документы переведены на национальный язык.  В 1995 году был принят Закон о заключении международных договоров, который определяет порядок подписания, ратификации, присоединения и денонсации международных договоров.</w:t>
      </w:r>
    </w:p>
    <w:p w:rsidR="00000000" w:rsidRDefault="00000000"/>
    <w:p w:rsidR="00000000" w:rsidRDefault="00000000">
      <w:r>
        <w:t>10.</w:t>
      </w:r>
      <w:r>
        <w:tab/>
        <w:t>В 1996 году министерство внутренних дел получило 120 000 различных жалоб на действия государственных служащих.  По 11 делам были вынесены обвинительные приговоры за противозаконное задержание и получение признаний с применением принуждения.  Приняты меры для обеспечения наказания лиц, совершивших нарушения.  Так, в парламенте действует постоянная законодательная комиссия, которая учредила в текущем году Комитет по реформе судебного аппарата в целом.  Деятельность Уполномоченного по правам человека как правозащитной инстанции также оказывает влияние на порядок отправления правосудия.  Парламент принял Закон о правах человека и рассматривает законопроект о внесении изменений, в частности, в Уголовный кодекс, Уголовно-процессуальный кодекс и Закон об исполнении наказаний.  В 1996 году были приняты меры по повышению статуса и роли Уполномоченного по правам человека.  В период между 1995 и 1999 годами из приблизительно 8 700 направленных Уполномоченному жалоб около 6 000, т.е. 65%, касались случаев жестокого обращения.  Случаи получения признаний с помощью пыток становятся предметом расследования с санкции судьи суда первой инстанции, а затем рассматриваются специальным департаментом министерства юстиции.  Право подавать жалобу гарантируется Уголовно-процессуальным кодексом и Национальным законом о правах гражданина.  Обращаться с жалобами можно в различные инстанции:  в судебные органы, к Уполномоченному по правам человека и, наконец, к Президенту.  Корреспонденция любого заключенного, желающего направить апелляцию или жалобу, не подвергается цензуре и передается через его адвоката.  Хотя число жалоб, несомненно, растет, это явление следует квалифицировать как свидетельство того, что благодаря процессу демократизации население стало лучше сознавать свои права и пользоваться ими.  В этой связи следует отметить, что парламент принял национальную программу по ведению просветительской работы среди, в частности, работников учебных заведений, органов правопорядка, государственных учреждений и общественных ассоциаций.  Целый ряд учреждений и организаций занимаются поощрением прав человека, в частности Аппарат Уполномоченного по правам человека, Национальный центр по правам человека и более 2 000 неправительственных объединений и организаций.  Законопроект об ответственности государственных служащих, который находится сейчас в стадии разработки, является красноречивым примером инициатив, направленных на усиление защиты прав человека в Узбекистане.  Что касается эффективности системы рассмотрения жалоб, то г</w:t>
      </w:r>
      <w:r>
        <w:noBreakHyphen/>
        <w:t>н Усманов отмечает, что расследование должно проводиться в течение месяца.  Рассмотрение четверти полученных Уполномоченным жалоб завершается максимум через год после их направления.  На местах действуют представители Уполномоченного и министерства юстиции и, следовательно, истцам нет необходимости приезжать в столицу.  Планируется создание банка данных о жалобах, которые можно будет рассылать по электронной почте, а также единой компьютерной сети в Национальном центре по правам человека.  Уже действует Координационный совет по правам человека в составе представителей различных государственных органов, ряда неправительственных организаций, Уполномоченного по правам человека, Национального центра по правам человека и надзорных инстанций.  Уполномоченный ежегодно представляет в парламент доклад о рассмотренных им жалобах.  Его выводы имеют статус рекомендаций и распространяются среди государственных служащих и учреждений, сотрудников Прокуратуры, судебных и правоохранительных органов.</w:t>
      </w:r>
    </w:p>
    <w:p w:rsidR="00000000" w:rsidRDefault="00000000"/>
    <w:p w:rsidR="00000000" w:rsidRDefault="00000000">
      <w:r>
        <w:t>11.</w:t>
      </w:r>
      <w:r>
        <w:tab/>
        <w:t>Для решения возникших в Республике Каракалпакстан проблем, связанных с перенаселенностью тюрем, в ближайшее время будут переоборудованы исправительные центры и построены новые изоляторы, удовлетворяющие всем требованиям, в частности санитарным нормам.  Надзор за учреждениями по исполнению наказаний со стороны независимого органа был главным вопросом на заседаниях Рабочей группы, которая заседала осенью 1999 года по инициативе Уполномоченного и в состав которой вошли представители неправительственных организаций, врачи, сотрудники правоохранительных органов, члены парламента, а также представители районных пенитенциарных центров для мужчин, женщин и несовершеннолетних.</w:t>
      </w:r>
    </w:p>
    <w:p w:rsidR="00000000" w:rsidRDefault="00000000"/>
    <w:p w:rsidR="00000000" w:rsidRDefault="00000000">
      <w:r>
        <w:t>12.</w:t>
      </w:r>
      <w:r>
        <w:tab/>
        <w:t>Что касается тех трудностей, которые возникают в Узбекистане в процессе создания подлинной культуры прав человека, то следует учесть тот факт, что после падения тоталитарного режима и приобретения страной независимости был принят целый ряд болезненных мер по реформированию судебной системы и правоохранительных органов.  Эти реформы не всегда были успешными, поскольку изменить сознание людей очень трудно.  Соответствующую деятельность проводят различные неправительственные организации, судебные и адвокатские ассоциации, службы Национального центра по правам человека и министерства юстиции, а также средние и высшие учебные заведения.  Кроме того, во всех школах проводятся специальные занятия и распространяется информация по правам человека, начато осуществление национальной программы по юридическому просвещению населения и, наконец, создан Центр повышения квалификации юристов.</w:t>
      </w:r>
    </w:p>
    <w:p w:rsidR="00000000" w:rsidRDefault="00000000"/>
    <w:p w:rsidR="00000000" w:rsidRDefault="00000000">
      <w:r>
        <w:t>13.</w:t>
      </w:r>
      <w:r>
        <w:tab/>
        <w:t>Узбекистан обязался реформировать свое законодательство, и в частности свой Уголовно-процессуальный кодекс, чтобы исключить все возможности для нарушений прав человека.  В конце недавней сессии парламента было принято постановление об учреждении Комиссии по судебной реформе;  помимо членов парламента, в состав этой Комиссии вошли представители правоохранительных и судебных органов, научных кругов, неправительственных организаций и различных центров юридических исследований.  Комиссии было поручено реорганизовать судебную систему.  Кроме того, недавно приняты нормативные документы о предоставлении гарантий работникам судебных органов, в частности, для того, чтобы все адвокаты имели равный статус в процессе судопроизводства.  В новом Законе о Прокуратуре и судебных органах установлены процессуальные нормы, которые в полной мере обеспечивают транспарентность.  Следует, однако, признать, что вследствие некомпетентности и невежества некоторых сотрудников министерства юстиции действительно имели место случаи, когда судебное разбирательство проходило в отсутствие адвокатов защиты.</w:t>
      </w:r>
    </w:p>
    <w:p w:rsidR="00000000" w:rsidRDefault="00000000"/>
    <w:p w:rsidR="00000000" w:rsidRDefault="00000000">
      <w:r>
        <w:t>14.</w:t>
      </w:r>
      <w:r>
        <w:tab/>
        <w:t>Был задан вопрос о порядке ареста подозреваемых лиц.  Законодательство и Уголовный кодекс Узбекистана предусматривают, что какое-либо лицо может быть подвергнуто кратковременному задержанию в течение трех часов, но по истечении этого срока оно должно быть либо освобождено, либо ему должно быть предъявлено обвинение.  Во втором случае упомянутое лицо вправе установить контакт с адвокатом, своей семьей и врачом.  Что касается дипломатов и иностранцев, то применительно к ним действуют особые законодательные положения.  Срок задержания, осуществляемого по решению Прокуратуры, не может превышать 18 месяцев, и в течение этого периода задержанное лицо пользуется теми же правами, что и другие граждане.</w:t>
      </w:r>
    </w:p>
    <w:p w:rsidR="00000000" w:rsidRDefault="00000000"/>
    <w:p w:rsidR="00000000" w:rsidRDefault="00000000">
      <w:r>
        <w:t>15.</w:t>
      </w:r>
      <w:r>
        <w:tab/>
        <w:t>Что касается регистрации партий и политических организаций, то действовавшие ранее законы, принятые в 1991 году, т.е. еще во времена Советского Союза, абсолютно не соответствовали потребностям узбекского общества, и поэтому в 1996 году был принят новый Закон о политических партиях.  В 1999 году с помощью экспертов Организации Объединенных Наций, Организации по безопасности и сотрудничеству в Европе (ОБСЕ) и Ассоциации американских юристов и других международных специалистов был также разработан Закон о неправительственных и некоммерческих организациях.  В настоящее время в министерстве юстиции зарегистрировано более 2 300 организаций и объединений, а также пять политических партий различной ориентации.</w:t>
      </w:r>
    </w:p>
    <w:p w:rsidR="00000000" w:rsidRDefault="00000000"/>
    <w:p w:rsidR="00000000" w:rsidRDefault="00000000">
      <w:r>
        <w:t>16.</w:t>
      </w:r>
      <w:r>
        <w:tab/>
        <w:t>Узбекское законодательство гарантирует возмещение ущерба жертвам в соответствии с порядком, который четко определен в Уголовно-процессуальном кодексе.  Когда возник вопрос об изменении механизма оказания помощи жертвам для приведения его в соответствие с международными нормами, Узбекистан принял меры по возмещению в полном объеме ущерба всем жертвам тоталитаризма и по установлению истины;  планируется принятие мер, в частности, для предоставления таким лицам компенсации, возвращения их имущества и оказания им социальной и иной помощи, в которой они нуждаются.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БУЛАТОВ</w:t>
      </w:r>
      <w:r>
        <w:t xml:space="preserve"> (Узбекистан) заявляет, что судебная власть, которая абсолютно независима от других ветвей власти, играет в Узбекистане ключевую роль в защите прав человека и основных свобод.  Суды принимают решения на основе общих принципов права, руководствуясь не только буквой, но и духом закона.  В соответствии с Национальным законодательством узбекская судебная система действует на всей территории Республики, и закон "О судах" регулирует все конкретные вопросы в целях защиты интересов и прав граждан.  Этот Закон направлен на то, чтобы суды, в соответствии с Конституцией, осуществляли правосудие эффективно и полностью независимо.</w:t>
      </w:r>
    </w:p>
    <w:p w:rsidR="00000000" w:rsidRDefault="00000000"/>
    <w:p w:rsidR="00000000" w:rsidRDefault="00000000">
      <w:r>
        <w:t>18.</w:t>
      </w:r>
      <w:r>
        <w:tab/>
        <w:t>Подготовкой профессиональных работников судебных органов занимаются специальные высшие учебные заведения;  кандидатов отбирают по таким критериям, как профессиональный опыт, компетенция, глубокие юридические познания, честность и лояльность.  Учрежденная парламентом Комиссия по вопросу о реформе судебной системы, в состав которой входит, в частности, видные юристы и правоведы, начала готовить предложения по коренной реструктуризации судебной системы Узбекистана.  Профессиональная подготовка, обучение и повышение квалификации судебных работников и сотрудников правоохранительных органов возложены на высшие учебные заведения </w:t>
      </w:r>
      <w:r>
        <w:noBreakHyphen/>
        <w:t xml:space="preserve"> институты права, юридические факультеты и другие центры по подготовке юристов;  в соответствии с руководящими принципами, разработанными Академией министерства внутренних дел и другими компетентными инстанциями, такими, как Центр повышения квалификации сотрудников прокуратур и Военная академия, была составлена специальная учебная программа.  Конференции, семинары и "круглые столы" по тематике прав человека регулярно проводятся в различных регионах страны;  в сотрудничестве с проектом ПРООН "Демократизация прав человека и совершенствование системы управления в Узбекстане" Национальный центр по правам человека организовал для работников судебных органов, судей и адвокатов приблизительно 30 семинаров по правам человека, международным нормам и их осуществлению в Узбекистане, в которых приняли участие видные международные эксперты.  Кроме того, подготовлены новые учебные пособия для школ и университетов и организованы курсы повышения квалификации за границей.  В сотрудничестве с ОБСЕ в Ташкенте в 1998 году и в Варшаве в 1999 году были организованы две учебные стажировки для персонала таможенной и пограничной служб.  И наконец, совместно с Ассоциацией американских юристов Национальный центр по правам человека провел семинары и "круглые столы" по вопросу о независимости судей.  Власти страны придают большое внимание тому, чтобы кандидаты на работу в судебных органах обладали безупречной репутацией, высокой квалификацией и глубокими познаниями в области национального и международного права.  В этой связи г-н Булатов принял к сведению высказанное одним из членов Комитета предложение о распространении на узбекском и русском языках пособий для сотрудников полиции.</w:t>
      </w:r>
    </w:p>
    <w:p w:rsidR="00000000" w:rsidRDefault="00000000"/>
    <w:p w:rsidR="00000000" w:rsidRDefault="00000000">
      <w:r>
        <w:t>19.</w:t>
      </w:r>
      <w:r>
        <w:tab/>
        <w:t>Хотя в Узбекистане по</w:t>
      </w:r>
      <w:r>
        <w:noBreakHyphen/>
        <w:t>прежнему применяется смертная казнь, число правонарушений, караемых этой мерой наказания, уменьшено.  До принятия нового Уголовного кодекса в 1994 году действовал Уголовный кодекс бывшей Советской Социалистической Республики Узбекистан, который предусматривал вынесение смертного приговора за совершение 35 видов правонарушений.  В соответствии с новым Уголовным кодексом смертный приговор может быть вынесен в случае совершения лишь 13 видов правонарушений, а принятый в августе 1998 года Закон сократил их число до восьми.  В настоящее время к преступлениям, караемым этой мерой наказания, относятся изнасилование, умышленное убийство при отягчающих обстоятельствах, умышленное причинение тяжкого вреда здоровью, геноцид, терроризм, измена Родине, создание преступного сообщества и, наконец, противозаконная деятельность, связанная с оборотом наркотиков и психотропных веществ.  Что касается экономических преступлений, то смертной казнью они не караются.  Следует отметить, что смертная казнь не применяется в отношении женщин и несовершеннолетних моложе 18 лет.  Приговоренный к смертной казни может быть помилован и тогда его наказание заменяется 25</w:t>
      </w:r>
      <w:r>
        <w:noBreakHyphen/>
        <w:t>летним тюремным заключением.  В ином случае его расстреливают в присутствии представителей компетентных органов, но не публично.</w:t>
      </w:r>
    </w:p>
    <w:p w:rsidR="00000000" w:rsidRDefault="00000000"/>
    <w:p w:rsidR="00000000" w:rsidRDefault="00000000">
      <w:r>
        <w:t>20.</w:t>
      </w:r>
      <w:r>
        <w:tab/>
        <w:t>Что касается правовой помощи, то Национальный центр по правам человека оказывает населению разные виды бесплатной консультативной помощи посредством двух общественных консультативных служб, одна из которых специализируется на проблемах детей:  работающие там судьи и адвокаты оказывают пострадавшим лицам правовую помощь в устной и письменной форме и, и в случае необходимости, направляют свои рекомендации компетентным органам.  Кроме того, в рамках осуществления проекта ПРООН "Демократизация прав человека" создана служба по оказанию правовой помощи, в которой работают адвокаты и юристы, желающие помогать населению.</w:t>
      </w:r>
    </w:p>
    <w:p w:rsidR="00000000" w:rsidRDefault="00000000"/>
    <w:p w:rsidR="00000000" w:rsidRDefault="00000000">
      <w:r>
        <w:t>21.</w:t>
      </w:r>
      <w:r>
        <w:tab/>
        <w:t>В целях повышения юридической грамотности населения в целом и государственных служащих в частности парламент разработал и принял в 1997 году Национальную программу повышения правовой культуры в обществе.  В реализации этой программы принимают участие все национальные правозащитные институты, а также Центр повышения квалификации юристов при министерстве юстиции, Центр распространения юридической информации и Центр повышения квалификации сотрудников прокуратур.  Кроме того, по инициативе Президента Республики в 1997 году в школьную программу был включен учебный курс о правах человека.  В этой связи были изданы соответствующие школьные учебники на узбекском языке, а Международный билль о правах человека был опубликован на русском и узбекском языках.  Национальный центр по правам человека издал книгу "Узбекистан и международные договоры по правам человека", где содержатся тексты 37 международных договоров, участником которых является Узбекистан.  Всеобщая декларация прав человека, изданная на узбекском языке тиражом в более 130 000 экземпляров, была распространена среди школ, а с помощью Центра Организации Объединенных Наций по правам человека издано 15 информационных брошюр.  Другие аналогичные публикации были подготовлены на узбекском и в ряде случаев на русском языках при поддержке ПРООН, а в рамках празднования 50</w:t>
      </w:r>
      <w:r>
        <w:noBreakHyphen/>
        <w:t>летней годовщины принятия Всеобщей декларации прав человека, годовщины принятия Конвенции о правах ребенка и Декларации о ликвидации дискриминации в отношении женщин была подготовлена серия плакатов для средних и высших учебных заведений.  Вопросы демократизации и прав человека освещаются в ряде журналов и информационных бюллетеней.  С помощью ПРООН и при участии международных экспертов государственные органы, занимающиеся вопросами образования, организуют для преподавателей учебные курсы по конкретным темам, таким, как образование в области прав человека на переходном этапе.  И наконец, по инициативе Академии министерства внутренних дел были учреждены две кафедры – кафедра теории и практики прав человека и кафедра международного права.</w:t>
      </w:r>
    </w:p>
    <w:p w:rsidR="00000000" w:rsidRDefault="00000000">
      <w:r>
        <w:t>22.</w:t>
      </w:r>
      <w:r>
        <w:tab/>
      </w:r>
      <w:r>
        <w:rPr>
          <w:u w:val="single"/>
        </w:rPr>
        <w:t>Г-н КАРИМОВ</w:t>
      </w:r>
      <w:r>
        <w:t xml:space="preserve"> (Узбекистан) говорит, что определение пытки содержится в статье 42 Уголовного кодекса и что, в частности, лицу, виновному в получении признаний с помощью пытки, определяются различные меры наказания:  от ограничения некоторых его прав до лишения свободы.  Эти меры наказания направлены на то, чтобы воспрепятствовать совершению упомянутым лицом новых подобных деяний и одновременно обеспечить его перевоспитание.  В узбекском законодательстве каждому совершенному правонарушению или преступлению соответствует четко установленное наказание:  от простого штрафа до смертной казни.  Кроме того, военнослужащие могут быть понижены в звании или направлены в штрафные подразделения.  После того как собраны достаточные доказательства, выносимые судами приговоры зависят от характера совершенного преступления, личности обвиняемого лица, мотивов и сопутствующих обстоятельств, возможного соучастия и тяжести нанесенного ущерба.</w:t>
      </w:r>
    </w:p>
    <w:p w:rsidR="00000000" w:rsidRDefault="00000000"/>
    <w:p w:rsidR="00000000" w:rsidRDefault="00000000">
      <w:r>
        <w:t>23.</w:t>
      </w:r>
      <w:r>
        <w:tab/>
        <w:t>Касаясь уголовного преследования государственных служащих, совершивших акт пытки, г</w:t>
      </w:r>
      <w:r>
        <w:noBreakHyphen/>
        <w:t>н Каримов уточняет, что статья 27 Уголовного кодекса применяется в отношении всех преднамеренно совершенных преступлений, а статья 30 – в отношении неумышленных деяний, влекущих за собой, однако, ответственность виновных лиц.  Уголовный кодекс предусматривает также, что входящее в преступное сообщество лицо несет ответственность за все преступления, совершенное членами этого сообщества.  Такое лицо может быть приговорено к лишению свободы на срок до 20 лет.  Подлежит наказанию также покушение на применение пыток в соответствии со статьей 25 Уголовного кодекса, которая карает преступления, не оконченные по независящим от соответствующих лиц обстоятельствам.</w:t>
      </w:r>
    </w:p>
    <w:p w:rsidR="00000000" w:rsidRDefault="00000000"/>
    <w:p w:rsidR="00000000" w:rsidRDefault="00000000">
      <w:r>
        <w:t>24.</w:t>
      </w:r>
      <w:r>
        <w:tab/>
        <w:t>Решения судебных органов подлежат неукоснительному исполнению.  Подлежащие пересмотру дела направляются Прокурору;  осужденное лицо и сотрудники пенитенциарной администрации получают копию приговора.  Все эти процедуры регулируются Уголовным кодексом.  Порядок исполнения приговоров определен в статье 4 Уголовно</w:t>
      </w:r>
      <w:r>
        <w:noBreakHyphen/>
        <w:t>процессуального кодекса.  Предусматривается, в частности, что международные договоры, ратифицированные Узбекистаном, имеют преимущественную силу перед национальным законодательством.  В соответствии со статьей 395 Уголовно</w:t>
      </w:r>
      <w:r>
        <w:noBreakHyphen/>
        <w:t>процессуального кодекса судья обязан принять постановление о проведении судебного разбирательства в течение максимум семи дней после получения материалов дела.  Совершившие акты пытки лица, в отношении которых не может быть возбуждено преследование в Узбекистане, выдаются другому государству, как это предусмотрено соответствующим положением Уголовно</w:t>
      </w:r>
      <w:r>
        <w:noBreakHyphen/>
        <w:t>процессуального кодекса.  Судебные органы, занимающиеся рассмотрением дел о преступном применении пыток, руководствуются целым комплексом уголовных и конституционных положений, где закреплены такие основополагающие принципы, как равенство, демократия, ответственность виновных лиц и неотвратимость наказания за совершенные преступления.  В своей деятельности судебные органы опираются исключительно на принципы права, а кассационные инстанции вправе отменить вынесенный приговор.  Судопроизводство в Узбекистане носит состязательный характер.  Завершая свое выступление, г</w:t>
      </w:r>
      <w:r>
        <w:noBreakHyphen/>
        <w:t>н Каримов благодарит членов Комитета за внимание.</w:t>
      </w:r>
    </w:p>
    <w:p w:rsidR="00000000" w:rsidRDefault="00000000"/>
    <w:p w:rsidR="00000000" w:rsidRDefault="00000000">
      <w:r>
        <w:t>25.</w:t>
      </w:r>
      <w:r>
        <w:tab/>
        <w:t>В заключение г</w:t>
      </w:r>
      <w:r>
        <w:noBreakHyphen/>
        <w:t>н Каримов уточняет, что введение чрезвычайного положения никоим образом не повлияло на осуществление прав, предусмотренных в Конвенции, как, впрочем, и других прав, закрепленных в национальном законодательстве.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ЯКОВЛЕВ</w:t>
      </w:r>
      <w:r>
        <w:t xml:space="preserve"> (Докладчик по Узбекистану) благодарит делегацию Узбекистана за представленную информацию, выражая, однако, удивление в связи тем, что не был упомянут Декрет о борьбе с терроризмом, принятый в феврале 1999 года.  Он хотел бы получить уточнения на этот счет.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ВАХИДОВ</w:t>
      </w:r>
      <w:r>
        <w:t xml:space="preserve"> (Узбекистан) говорит, что принятие этого Декрета было обусловлено трагическими событиями в соседнем Таджикистане, в результате которых погибли более 40 000 человек среди населения, в шесть раз меньшего, чем население Узбекистана.  Поскольку возникла угроза распространения этих событий на Узбекистан, власти приняли специальный законодательный акт для обеспечения безопасности граждан.  Г</w:t>
      </w:r>
      <w:r>
        <w:noBreakHyphen/>
        <w:t>н Вахидов заверяет Комитет в том, что ему будут представлены в письменном виде дополнительные сведения по данному вопросу, как и по другим вопросам, по которым изложенная на заседании информация могла оказаться неполной.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ПРЕДСЕДАТЕЛЬ</w:t>
      </w:r>
      <w:r>
        <w:t xml:space="preserve"> благодарит узбекскую делегацию за представленные ею ответы на вопросы Комитета и приглашает ее принять участие в одном из следующих  заседаний, где будут оглашены выводы и рекомендации Комитета по первоначальному докладу Узбекистана.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Делегация Узбекистана покидает места за столом Комитета</w:t>
      </w:r>
      <w:r>
        <w:t>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u w:val="single"/>
        </w:rPr>
        <w:t>Первая (открытая) часть заседания завершается в 17 час. 15 мин</w:t>
      </w:r>
      <w:r>
        <w:t>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/>
    <w:p w:rsidR="00000000" w:rsidRDefault="00000000"/>
    <w:sectPr w:rsidR="00000000">
      <w:headerReference w:type="even" r:id="rId8"/>
      <w:headerReference w:type="default" r:id="rId9"/>
      <w:type w:val="oddPage"/>
      <w:pgSz w:w="11907" w:h="16840" w:code="9"/>
      <w:pgMar w:top="851" w:right="851" w:bottom="1701" w:left="1701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CAT/C/SR.408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CAT/C/SR.408</w:t>
    </w:r>
  </w:p>
  <w:p w:rsidR="00000000" w:rsidRDefault="00000000">
    <w:pPr>
      <w:pStyle w:val="Header"/>
      <w:tabs>
        <w:tab w:val="left" w:pos="7088"/>
      </w:tabs>
      <w:rPr>
        <w:rStyle w:val="PageNumber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rPr>
        <w:rStyle w:val="PageNumber"/>
      </w:rPr>
    </w:pPr>
  </w:p>
  <w:p w:rsidR="00000000" w:rsidRDefault="00000000">
    <w:pPr>
      <w:pStyle w:val="Header"/>
      <w:tabs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ru-RU" w:vendorID="1" w:dllVersion="512" w:checkStyle="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4334</Words>
  <Characters>24705</Characters>
  <Application>Microsoft Office Word</Application>
  <DocSecurity>4</DocSecurity>
  <Lines>205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99-45839.doc</vt:lpstr>
    </vt:vector>
  </TitlesOfParts>
  <Company>ONU</Company>
  <LinksUpToDate>false</LinksUpToDate>
  <CharactersWithSpaces>30339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99-45839.doc</dc:title>
  <dc:subject/>
  <dc:creator>TPS</dc:creator>
  <cp:keywords/>
  <dc:description/>
  <cp:lastModifiedBy>odsdba</cp:lastModifiedBy>
  <cp:revision>3</cp:revision>
  <cp:lastPrinted>2002-05-17T07:45:00Z</cp:lastPrinted>
  <dcterms:created xsi:type="dcterms:W3CDTF">2002-03-24T08:29:00Z</dcterms:created>
  <dcterms:modified xsi:type="dcterms:W3CDTF">2002-05-17T07:46:00Z</dcterms:modified>
</cp:coreProperties>
</file>