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会前工作组</w:t>
      </w:r>
    </w:p>
    <w:p w:rsidR="00000000" w:rsidRDefault="00000000">
      <w:pPr>
        <w:rPr>
          <w:rFonts w:hint="eastAsia"/>
        </w:rPr>
      </w:pPr>
      <w:r>
        <w:rPr>
          <w:rFonts w:hint="eastAsia"/>
        </w:rPr>
        <w:t>2004</w:t>
      </w:r>
      <w:r>
        <w:rPr>
          <w:rFonts w:hint="eastAsia"/>
        </w:rPr>
        <w:t>年</w:t>
      </w:r>
      <w:r>
        <w:rPr>
          <w:rFonts w:hint="eastAsia"/>
        </w:rPr>
        <w:t>11</w:t>
      </w:r>
      <w:r>
        <w:rPr>
          <w:rFonts w:hint="eastAsia"/>
        </w:rPr>
        <w:t>月</w:t>
      </w:r>
      <w:r>
        <w:rPr>
          <w:rFonts w:hint="eastAsia"/>
        </w:rPr>
        <w:t>29</w:t>
      </w:r>
      <w:r>
        <w:rPr>
          <w:rFonts w:hint="eastAsia"/>
        </w:rPr>
        <w:t>日至</w:t>
      </w:r>
      <w:r>
        <w:rPr>
          <w:rFonts w:hint="eastAsia"/>
        </w:rPr>
        <w:t>12</w:t>
      </w:r>
      <w:r>
        <w:rPr>
          <w:rFonts w:hint="eastAsia"/>
        </w:rPr>
        <w:t>月</w:t>
      </w:r>
      <w:r>
        <w:rPr>
          <w:rFonts w:hint="eastAsia"/>
        </w:rPr>
        <w:t>3</w:t>
      </w:r>
      <w:r>
        <w:rPr>
          <w:rFonts w:hint="eastAsia"/>
        </w:rPr>
        <w:t>日</w:t>
      </w:r>
    </w:p>
    <w:p w:rsidR="00000000" w:rsidRDefault="00000000">
      <w:pPr>
        <w:rPr>
          <w:rFonts w:hint="eastAsia"/>
        </w:rPr>
      </w:pPr>
    </w:p>
    <w:p w:rsidR="00000000" w:rsidRDefault="00000000">
      <w:pPr>
        <w:pStyle w:val="Heading1"/>
        <w:rPr>
          <w:rFonts w:hint="eastAsia"/>
          <w:b w:val="0"/>
          <w:bCs/>
        </w:rPr>
      </w:pPr>
      <w:r>
        <w:rPr>
          <w:rFonts w:hint="eastAsia"/>
          <w:b w:val="0"/>
          <w:bCs/>
        </w:rPr>
        <w:t>《经济、社会、文化权利国际公约》执行情况</w:t>
      </w:r>
    </w:p>
    <w:p w:rsidR="00000000" w:rsidRDefault="00000000">
      <w:pPr>
        <w:pStyle w:val="Heading3"/>
        <w:rPr>
          <w:rFonts w:hint="eastAsia"/>
        </w:rPr>
      </w:pPr>
      <w:r>
        <w:rPr>
          <w:rFonts w:hint="eastAsia"/>
          <w:snapToGrid/>
          <w:kern w:val="0"/>
        </w:rPr>
        <w:t>审议阿拉伯利比亚民众国就《经济、社会、文化权利</w:t>
      </w:r>
      <w:r>
        <w:rPr>
          <w:snapToGrid/>
          <w:kern w:val="0"/>
        </w:rPr>
        <w:br/>
      </w:r>
      <w:r>
        <w:rPr>
          <w:rFonts w:hint="eastAsia"/>
          <w:snapToGrid/>
          <w:kern w:val="0"/>
        </w:rPr>
        <w:t>国际公约》第一至十五条所述权利执行情况</w:t>
      </w:r>
      <w:r>
        <w:rPr>
          <w:snapToGrid/>
          <w:kern w:val="0"/>
        </w:rPr>
        <w:br/>
      </w:r>
      <w:r>
        <w:rPr>
          <w:rFonts w:hint="eastAsia"/>
          <w:snapToGrid/>
          <w:kern w:val="0"/>
        </w:rPr>
        <w:t>提交的第二次定期报告（</w:t>
      </w:r>
      <w:r>
        <w:rPr>
          <w:snapToGrid/>
          <w:kern w:val="0"/>
        </w:rPr>
        <w:t>E/1990/6/Add.38</w:t>
      </w:r>
      <w:r>
        <w:rPr>
          <w:rFonts w:hint="eastAsia"/>
          <w:snapToGrid/>
          <w:kern w:val="0"/>
        </w:rPr>
        <w:t>）</w:t>
      </w:r>
      <w:r>
        <w:rPr>
          <w:snapToGrid/>
          <w:kern w:val="0"/>
        </w:rPr>
        <w:br/>
      </w:r>
      <w:r>
        <w:rPr>
          <w:rFonts w:hint="eastAsia"/>
        </w:rPr>
        <w:t>必须审理的问题清单</w:t>
      </w:r>
    </w:p>
    <w:p w:rsidR="00000000" w:rsidRDefault="00000000">
      <w:pPr>
        <w:pStyle w:val="Heading2"/>
      </w:pPr>
      <w:r>
        <w:rPr>
          <w:rFonts w:hint="eastAsia"/>
        </w:rPr>
        <w:t>一、执行《公约》的一般法律框架</w:t>
      </w:r>
    </w:p>
    <w:p w:rsidR="00000000" w:rsidRDefault="00000000">
      <w:pPr>
        <w:rPr>
          <w:rFonts w:hint="eastAsia"/>
        </w:rPr>
      </w:pPr>
      <w:r>
        <w:rPr>
          <w:rFonts w:hint="eastAsia"/>
        </w:rPr>
        <w:tab/>
        <w:t>1</w:t>
      </w:r>
      <w:r>
        <w:t xml:space="preserve">.  </w:t>
      </w:r>
      <w:r>
        <w:rPr>
          <w:rFonts w:hint="eastAsia"/>
        </w:rPr>
        <w:t>请表明缔约国是否准备根据</w:t>
      </w:r>
      <w:r>
        <w:rPr>
          <w:rFonts w:hint="eastAsia"/>
        </w:rPr>
        <w:t>1993</w:t>
      </w:r>
      <w:r>
        <w:rPr>
          <w:rFonts w:hint="eastAsia"/>
        </w:rPr>
        <w:t>年《维也纳宣言和行动纲领》，通过并执行全国人权行动计划。</w:t>
      </w:r>
    </w:p>
    <w:p w:rsidR="00000000" w:rsidRDefault="00000000">
      <w:pPr>
        <w:rPr>
          <w:rFonts w:hint="eastAsia"/>
        </w:rPr>
      </w:pPr>
      <w:r>
        <w:rPr>
          <w:rFonts w:hint="eastAsia"/>
        </w:rPr>
        <w:tab/>
      </w:r>
      <w:r>
        <w:t xml:space="preserve">2.  </w:t>
      </w:r>
      <w:r>
        <w:rPr>
          <w:rFonts w:hint="eastAsia"/>
        </w:rPr>
        <w:t>请详细说明国内法院在多大程度上应用</w:t>
      </w:r>
      <w:r>
        <w:rPr>
          <w:rFonts w:hint="eastAsia"/>
        </w:rPr>
        <w:t>1982</w:t>
      </w:r>
      <w:r>
        <w:rPr>
          <w:rFonts w:hint="eastAsia"/>
        </w:rPr>
        <w:t>年第</w:t>
      </w:r>
      <w:r>
        <w:rPr>
          <w:rFonts w:hint="eastAsia"/>
        </w:rPr>
        <w:t>6</w:t>
      </w:r>
      <w:r>
        <w:rPr>
          <w:rFonts w:hint="eastAsia"/>
        </w:rPr>
        <w:t>号法律确立的原则。根据这项法律原则，经阿拉伯利比亚民众国批准的国际条约即具有法律约束力，并拥有高于国内法的地位。</w:t>
      </w:r>
    </w:p>
    <w:p w:rsidR="00000000" w:rsidRDefault="00000000">
      <w:pPr>
        <w:rPr>
          <w:rFonts w:hint="eastAsia"/>
        </w:rPr>
      </w:pPr>
      <w:r>
        <w:tab/>
        <w:t xml:space="preserve">3.  </w:t>
      </w:r>
      <w:r>
        <w:rPr>
          <w:rFonts w:hint="eastAsia"/>
        </w:rPr>
        <w:t>请表明，缔约国是否准备依照《巴黎原则》（大会第</w:t>
      </w:r>
      <w:r>
        <w:rPr>
          <w:rFonts w:hint="eastAsia"/>
        </w:rPr>
        <w:t>48</w:t>
      </w:r>
      <w:r>
        <w:t>/134</w:t>
      </w:r>
      <w:r>
        <w:rPr>
          <w:rFonts w:hint="eastAsia"/>
        </w:rPr>
        <w:t>号决议附件），建立一个全国人权机构，承担增进和保护人权，包括经济、社会及文化权利的任务。</w:t>
      </w:r>
    </w:p>
    <w:p w:rsidR="00000000" w:rsidRDefault="00000000">
      <w:pPr>
        <w:rPr>
          <w:rFonts w:hint="eastAsia"/>
        </w:rPr>
      </w:pPr>
      <w:r>
        <w:tab/>
        <w:t xml:space="preserve">4.  </w:t>
      </w:r>
      <w:r>
        <w:rPr>
          <w:rFonts w:hint="eastAsia"/>
        </w:rPr>
        <w:t>请表明缔约国是否打算批准《保护所有移徙工人及其家庭成员权利国际公约》。</w:t>
      </w:r>
    </w:p>
    <w:p w:rsidR="00000000" w:rsidRDefault="00000000">
      <w:pPr>
        <w:pStyle w:val="Heading2"/>
        <w:rPr>
          <w:rFonts w:hint="eastAsia"/>
          <w:kern w:val="0"/>
        </w:rPr>
      </w:pPr>
      <w:r>
        <w:rPr>
          <w:rFonts w:hint="eastAsia"/>
          <w:kern w:val="0"/>
        </w:rPr>
        <w:t>二、有关《公约》一般性条款的问题（第一至五条）</w:t>
      </w:r>
    </w:p>
    <w:p w:rsidR="00000000" w:rsidRDefault="00000000">
      <w:pPr>
        <w:pStyle w:val="Heading3"/>
        <w:rPr>
          <w:rFonts w:hint="eastAsia"/>
        </w:rPr>
      </w:pPr>
      <w:r>
        <w:rPr>
          <w:rFonts w:hint="eastAsia"/>
        </w:rPr>
        <w:t>第二</w:t>
      </w:r>
      <w:r>
        <w:rPr>
          <w:rFonts w:hint="eastAsia"/>
        </w:rPr>
        <w:t>.</w:t>
      </w:r>
      <w:r>
        <w:rPr>
          <w:rFonts w:hint="eastAsia"/>
        </w:rPr>
        <w:t>二条：不歧视</w:t>
      </w:r>
    </w:p>
    <w:p w:rsidR="00000000" w:rsidRDefault="00000000">
      <w:pPr>
        <w:spacing w:after="320"/>
        <w:rPr>
          <w:rFonts w:hint="eastAsia"/>
        </w:rPr>
      </w:pPr>
      <w:r>
        <w:rPr>
          <w:rFonts w:hint="eastAsia"/>
        </w:rPr>
        <w:tab/>
      </w:r>
      <w:r>
        <w:t xml:space="preserve">5.  </w:t>
      </w:r>
      <w:r>
        <w:rPr>
          <w:rFonts w:hint="eastAsia"/>
        </w:rPr>
        <w:t>请表明缔约国在尚无全面禁止歧视立法情况下，如何保护属于少数民族的人和外籍工人，尤其是在就业、住房及保健服务和教育方面，享有不受歧视待遇的权利。</w:t>
      </w:r>
    </w:p>
    <w:p w:rsidR="00000000" w:rsidRDefault="00000000">
      <w:pPr>
        <w:pStyle w:val="Heading3"/>
        <w:rPr>
          <w:rFonts w:hint="eastAsia"/>
        </w:rPr>
      </w:pPr>
      <w:r>
        <w:rPr>
          <w:rFonts w:hint="eastAsia"/>
        </w:rPr>
        <w:t>第三条：男女平等</w:t>
      </w:r>
    </w:p>
    <w:p w:rsidR="00000000" w:rsidRDefault="00000000">
      <w:pPr>
        <w:rPr>
          <w:rFonts w:hint="eastAsia"/>
        </w:rPr>
      </w:pPr>
      <w:r>
        <w:tab/>
        <w:t xml:space="preserve">6.  </w:t>
      </w:r>
      <w:r>
        <w:rPr>
          <w:rFonts w:hint="eastAsia"/>
        </w:rPr>
        <w:t>请进一步解释缔约国的性别平等，并具体说明法院如何在享有经济、社会及文化权利方面，贯彻男女平等权的作用。</w:t>
      </w:r>
    </w:p>
    <w:p w:rsidR="00000000" w:rsidRDefault="00000000">
      <w:pPr>
        <w:spacing w:after="320"/>
        <w:rPr>
          <w:rFonts w:hint="eastAsia"/>
        </w:rPr>
      </w:pPr>
      <w:r>
        <w:tab/>
        <w:t xml:space="preserve">7.  </w:t>
      </w:r>
      <w:r>
        <w:rPr>
          <w:rFonts w:hint="eastAsia"/>
        </w:rPr>
        <w:t>请表明传统态度对妇女享有经济、社会及文化权利具有多大程度的影响。</w:t>
      </w:r>
    </w:p>
    <w:p w:rsidR="00000000" w:rsidRDefault="00000000">
      <w:pPr>
        <w:pStyle w:val="Heading2"/>
        <w:rPr>
          <w:rFonts w:hint="eastAsia"/>
          <w:kern w:val="0"/>
        </w:rPr>
      </w:pPr>
      <w:r>
        <w:rPr>
          <w:rFonts w:hint="eastAsia"/>
          <w:kern w:val="0"/>
        </w:rPr>
        <w:t>三、有关《公约》具体条款的问题（第六至十五条）</w:t>
      </w:r>
    </w:p>
    <w:p w:rsidR="00000000" w:rsidRDefault="00000000">
      <w:pPr>
        <w:pStyle w:val="Heading3"/>
        <w:rPr>
          <w:rFonts w:hint="eastAsia"/>
        </w:rPr>
      </w:pPr>
      <w:r>
        <w:rPr>
          <w:rFonts w:hint="eastAsia"/>
        </w:rPr>
        <w:t>第六条：工作权</w:t>
      </w:r>
    </w:p>
    <w:p w:rsidR="00000000" w:rsidRDefault="00000000">
      <w:pPr>
        <w:rPr>
          <w:rFonts w:hint="eastAsia"/>
        </w:rPr>
      </w:pPr>
      <w:r>
        <w:rPr>
          <w:rFonts w:hint="eastAsia"/>
        </w:rPr>
        <w:tab/>
      </w:r>
      <w:r>
        <w:t xml:space="preserve">8.  </w:t>
      </w:r>
      <w:r>
        <w:rPr>
          <w:rFonts w:hint="eastAsia"/>
        </w:rPr>
        <w:t>请表明缔约国如何尊重外籍移徙工人和难民依《公约》第六条规定应享有的工作权。</w:t>
      </w:r>
    </w:p>
    <w:p w:rsidR="00000000" w:rsidRDefault="00000000">
      <w:pPr>
        <w:rPr>
          <w:rFonts w:hint="eastAsia"/>
        </w:rPr>
      </w:pPr>
      <w:r>
        <w:tab/>
        <w:t xml:space="preserve">9.  </w:t>
      </w:r>
      <w:r>
        <w:rPr>
          <w:rFonts w:hint="eastAsia"/>
        </w:rPr>
        <w:t>鉴于缔约国奉行视工人为伙伴的体制，请表明缔约国如何确定工人的报酬。</w:t>
      </w:r>
    </w:p>
    <w:p w:rsidR="00000000" w:rsidRDefault="00000000">
      <w:pPr>
        <w:rPr>
          <w:rFonts w:hint="eastAsia"/>
        </w:rPr>
      </w:pPr>
      <w:r>
        <w:rPr>
          <w:rFonts w:hint="eastAsia"/>
        </w:rPr>
        <w:tab/>
      </w:r>
      <w:r>
        <w:t xml:space="preserve">10.  </w:t>
      </w:r>
      <w:r>
        <w:rPr>
          <w:rFonts w:hint="eastAsia"/>
        </w:rPr>
        <w:t>请表明缔约国境内的失业率幅度，以及如何协助利比亚公民、移徙工人和难民失业者寻找工作。</w:t>
      </w:r>
    </w:p>
    <w:p w:rsidR="00000000" w:rsidRDefault="00000000">
      <w:pPr>
        <w:spacing w:after="320"/>
        <w:rPr>
          <w:rFonts w:hint="eastAsia"/>
        </w:rPr>
      </w:pPr>
      <w:r>
        <w:tab/>
        <w:t xml:space="preserve">11.  </w:t>
      </w:r>
      <w:r>
        <w:rPr>
          <w:rFonts w:hint="eastAsia"/>
        </w:rPr>
        <w:t>请说明报告（第三部分关于第六条的章节）所述的工作介绍中心如何协助失业者寻找工作的情况。</w:t>
      </w:r>
    </w:p>
    <w:p w:rsidR="00000000" w:rsidRDefault="00000000">
      <w:pPr>
        <w:pStyle w:val="Heading3"/>
        <w:rPr>
          <w:rFonts w:hint="eastAsia"/>
        </w:rPr>
      </w:pPr>
      <w:r>
        <w:rPr>
          <w:rFonts w:hint="eastAsia"/>
        </w:rPr>
        <w:t>第八条：工会权</w:t>
      </w:r>
    </w:p>
    <w:p w:rsidR="00000000" w:rsidRDefault="00000000">
      <w:pPr>
        <w:rPr>
          <w:rFonts w:hint="eastAsia"/>
        </w:rPr>
      </w:pPr>
      <w:r>
        <w:rPr>
          <w:rFonts w:hint="eastAsia"/>
        </w:rPr>
        <w:tab/>
        <w:t>1</w:t>
      </w:r>
      <w:r>
        <w:t xml:space="preserve">2.  </w:t>
      </w:r>
      <w:r>
        <w:rPr>
          <w:rFonts w:hint="eastAsia"/>
        </w:rPr>
        <w:t>请解释缔约国如何保护每个人组建或参加工会的权利。</w:t>
      </w:r>
    </w:p>
    <w:p w:rsidR="00000000" w:rsidRDefault="00000000">
      <w:pPr>
        <w:spacing w:after="240"/>
        <w:rPr>
          <w:rFonts w:hint="eastAsia"/>
        </w:rPr>
      </w:pPr>
      <w:r>
        <w:rPr>
          <w:rFonts w:hint="eastAsia"/>
        </w:rPr>
        <w:tab/>
      </w:r>
      <w:r>
        <w:t xml:space="preserve">13.  </w:t>
      </w:r>
      <w:r>
        <w:rPr>
          <w:rFonts w:hint="eastAsia"/>
        </w:rPr>
        <w:t>请解释缔约国如何保护罢工权，以及事实上是否行使过这项权利。</w:t>
      </w:r>
    </w:p>
    <w:p w:rsidR="00000000" w:rsidRDefault="00000000">
      <w:pPr>
        <w:pStyle w:val="Heading3"/>
        <w:rPr>
          <w:rFonts w:hint="eastAsia"/>
        </w:rPr>
      </w:pPr>
      <w:r>
        <w:rPr>
          <w:rFonts w:hint="eastAsia"/>
        </w:rPr>
        <w:t>第九条：社会保障权</w:t>
      </w:r>
    </w:p>
    <w:p w:rsidR="00000000" w:rsidRDefault="00000000">
      <w:pPr>
        <w:rPr>
          <w:rFonts w:hint="eastAsia"/>
        </w:rPr>
      </w:pPr>
      <w:r>
        <w:rPr>
          <w:rFonts w:hint="eastAsia"/>
        </w:rPr>
        <w:tab/>
      </w:r>
      <w:r>
        <w:t xml:space="preserve">14.  </w:t>
      </w:r>
      <w:r>
        <w:rPr>
          <w:rFonts w:hint="eastAsia"/>
        </w:rPr>
        <w:t>报告称每位公民都有权得到社会保护和社会保障。请解释如何落实这项权利，并表明这项权利是否也适用于外籍移徙工人。</w:t>
      </w:r>
    </w:p>
    <w:p w:rsidR="00000000" w:rsidRDefault="00000000">
      <w:pPr>
        <w:rPr>
          <w:rFonts w:hint="eastAsia"/>
        </w:rPr>
      </w:pPr>
      <w:r>
        <w:rPr>
          <w:rFonts w:hint="eastAsia"/>
        </w:rPr>
        <w:tab/>
      </w:r>
      <w:r>
        <w:t xml:space="preserve">15.  </w:t>
      </w:r>
      <w:r>
        <w:rPr>
          <w:rFonts w:hint="eastAsia"/>
        </w:rPr>
        <w:t>请表明报告所述各项社会福利是否也适用于自营职业者以及从事手工艺和农业工作的人。</w:t>
      </w:r>
    </w:p>
    <w:p w:rsidR="00000000" w:rsidRDefault="00000000">
      <w:pPr>
        <w:spacing w:after="320"/>
        <w:rPr>
          <w:rFonts w:hint="eastAsia"/>
        </w:rPr>
      </w:pPr>
      <w:r>
        <w:tab/>
        <w:t xml:space="preserve">16.  </w:t>
      </w:r>
      <w:r>
        <w:rPr>
          <w:rFonts w:hint="eastAsia"/>
        </w:rPr>
        <w:t>请表明过去五年来，如何参照生活费的变化，调整社会福利。</w:t>
      </w:r>
    </w:p>
    <w:p w:rsidR="00000000" w:rsidRDefault="00000000">
      <w:pPr>
        <w:pStyle w:val="Heading3"/>
        <w:rPr>
          <w:rFonts w:hint="eastAsia"/>
        </w:rPr>
      </w:pPr>
      <w:r>
        <w:rPr>
          <w:rFonts w:hint="eastAsia"/>
        </w:rPr>
        <w:t>第十条：保护家庭、母亲和儿童</w:t>
      </w:r>
    </w:p>
    <w:p w:rsidR="00000000" w:rsidRDefault="00000000">
      <w:pPr>
        <w:rPr>
          <w:rFonts w:hint="eastAsia"/>
        </w:rPr>
      </w:pPr>
      <w:r>
        <w:tab/>
        <w:t xml:space="preserve">17.  </w:t>
      </w:r>
      <w:r>
        <w:rPr>
          <w:rFonts w:hint="eastAsia"/>
        </w:rPr>
        <w:t>请更详实表明依照《刑法》第二章标题三列为“侵犯家庭罪”的行为。</w:t>
      </w:r>
    </w:p>
    <w:p w:rsidR="00000000" w:rsidRDefault="00000000">
      <w:pPr>
        <w:rPr>
          <w:rFonts w:hint="eastAsia"/>
        </w:rPr>
      </w:pPr>
      <w:r>
        <w:rPr>
          <w:rFonts w:hint="eastAsia"/>
        </w:rPr>
        <w:tab/>
        <w:t>18</w:t>
      </w:r>
      <w:r>
        <w:t xml:space="preserve">.  </w:t>
      </w:r>
      <w:r>
        <w:rPr>
          <w:rFonts w:hint="eastAsia"/>
        </w:rPr>
        <w:t>请表明缔约国的离婚率，以及离婚妇女及其子女的权利是否得到切实保护。</w:t>
      </w:r>
    </w:p>
    <w:p w:rsidR="00000000" w:rsidRDefault="00000000">
      <w:pPr>
        <w:spacing w:after="320"/>
        <w:rPr>
          <w:rFonts w:hint="eastAsia"/>
        </w:rPr>
      </w:pPr>
      <w:r>
        <w:rPr>
          <w:rFonts w:hint="eastAsia"/>
        </w:rPr>
        <w:tab/>
      </w:r>
      <w:r>
        <w:t xml:space="preserve">19.  </w:t>
      </w:r>
      <w:r>
        <w:rPr>
          <w:rFonts w:hint="eastAsia"/>
        </w:rPr>
        <w:t>报告（第三部分，关于第九条的章节）称，社会保障基金照管并保护被剥夺了家庭保护的儿童。请表明这些儿童照管机构的性质及其照管质量的控制办法。</w:t>
      </w:r>
    </w:p>
    <w:p w:rsidR="00000000" w:rsidRDefault="00000000">
      <w:pPr>
        <w:pStyle w:val="Heading3"/>
        <w:rPr>
          <w:rFonts w:hint="eastAsia"/>
        </w:rPr>
      </w:pPr>
      <w:r>
        <w:rPr>
          <w:rFonts w:hint="eastAsia"/>
        </w:rPr>
        <w:t>第十一条：相当生活水准权</w:t>
      </w:r>
    </w:p>
    <w:p w:rsidR="00000000" w:rsidRDefault="00000000">
      <w:pPr>
        <w:rPr>
          <w:rFonts w:hint="eastAsia"/>
        </w:rPr>
      </w:pPr>
      <w:r>
        <w:rPr>
          <w:rFonts w:hint="eastAsia"/>
        </w:rPr>
        <w:tab/>
      </w:r>
      <w:r>
        <w:t xml:space="preserve">20.  </w:t>
      </w:r>
      <w:r>
        <w:rPr>
          <w:rFonts w:hint="eastAsia"/>
        </w:rPr>
        <w:t>请表明生活在缔约国所划定贫困线以下的人数。</w:t>
      </w:r>
    </w:p>
    <w:p w:rsidR="00000000" w:rsidRDefault="00000000">
      <w:pPr>
        <w:rPr>
          <w:rFonts w:hint="eastAsia"/>
        </w:rPr>
      </w:pPr>
      <w:r>
        <w:rPr>
          <w:rFonts w:hint="eastAsia"/>
        </w:rPr>
        <w:tab/>
        <w:t>21</w:t>
      </w:r>
      <w:r>
        <w:t xml:space="preserve">.  </w:t>
      </w:r>
      <w:r>
        <w:rPr>
          <w:rFonts w:hint="eastAsia"/>
        </w:rPr>
        <w:t>请表明缔约国如何参照生活费用的变化，调整人口的现款收入。</w:t>
      </w:r>
    </w:p>
    <w:p w:rsidR="00000000" w:rsidRDefault="00000000">
      <w:pPr>
        <w:rPr>
          <w:rFonts w:hint="eastAsia"/>
        </w:rPr>
      </w:pPr>
      <w:r>
        <w:rPr>
          <w:rFonts w:hint="eastAsia"/>
        </w:rPr>
        <w:tab/>
      </w:r>
      <w:r>
        <w:t xml:space="preserve">22.  </w:t>
      </w:r>
      <w:r>
        <w:rPr>
          <w:rFonts w:hint="eastAsia"/>
        </w:rPr>
        <w:t>请表明过去十年期间，相对于较贫困部分人口人均现金收入变化而言，粮食产品价格指数的变化情况。</w:t>
      </w:r>
    </w:p>
    <w:p w:rsidR="00000000" w:rsidRDefault="00000000">
      <w:pPr>
        <w:spacing w:after="240"/>
        <w:rPr>
          <w:rFonts w:hint="eastAsia"/>
        </w:rPr>
      </w:pPr>
      <w:r>
        <w:rPr>
          <w:rFonts w:hint="eastAsia"/>
        </w:rPr>
        <w:tab/>
      </w:r>
      <w:r>
        <w:t xml:space="preserve">23.  </w:t>
      </w:r>
      <w:r>
        <w:rPr>
          <w:rFonts w:hint="eastAsia"/>
        </w:rPr>
        <w:t>请提供进一步资料表明住房情况，尤其是外籍移徙工人和乡村人口的住房情况，并表明在这方面采取了哪些有效措施。</w:t>
      </w:r>
    </w:p>
    <w:p w:rsidR="00000000" w:rsidRDefault="00000000">
      <w:pPr>
        <w:pStyle w:val="Heading3"/>
        <w:rPr>
          <w:rFonts w:hint="eastAsia"/>
        </w:rPr>
      </w:pPr>
      <w:r>
        <w:rPr>
          <w:rFonts w:hint="eastAsia"/>
        </w:rPr>
        <w:t>第十二条：身心健康权</w:t>
      </w:r>
    </w:p>
    <w:p w:rsidR="00000000" w:rsidRDefault="00000000">
      <w:pPr>
        <w:rPr>
          <w:rFonts w:hint="eastAsia"/>
        </w:rPr>
      </w:pPr>
      <w:r>
        <w:rPr>
          <w:rFonts w:hint="eastAsia"/>
        </w:rPr>
        <w:tab/>
        <w:t>24</w:t>
      </w:r>
      <w:r>
        <w:t xml:space="preserve">.  </w:t>
      </w:r>
      <w:r>
        <w:rPr>
          <w:rFonts w:hint="eastAsia"/>
        </w:rPr>
        <w:t>请表明男女预期寿命演化情况，并提供婴儿和产妇的死亡率。</w:t>
      </w:r>
    </w:p>
    <w:p w:rsidR="00000000" w:rsidRDefault="00000000">
      <w:pPr>
        <w:rPr>
          <w:rFonts w:hint="eastAsia"/>
        </w:rPr>
      </w:pPr>
      <w:r>
        <w:tab/>
        <w:t xml:space="preserve">25.  </w:t>
      </w:r>
      <w:r>
        <w:rPr>
          <w:rFonts w:hint="eastAsia"/>
        </w:rPr>
        <w:t>报告所列数据表明（</w:t>
      </w:r>
      <w:r>
        <w:rPr>
          <w:rFonts w:hint="eastAsia"/>
        </w:rPr>
        <w:t>2001</w:t>
      </w:r>
      <w:r>
        <w:rPr>
          <w:rFonts w:hint="eastAsia"/>
        </w:rPr>
        <w:t>年）每</w:t>
      </w:r>
      <w:r>
        <w:rPr>
          <w:rFonts w:hint="eastAsia"/>
        </w:rPr>
        <w:t>1</w:t>
      </w:r>
      <w:r>
        <w:t>,</w:t>
      </w:r>
      <w:r>
        <w:rPr>
          <w:rFonts w:hint="eastAsia"/>
        </w:rPr>
        <w:t>000</w:t>
      </w:r>
      <w:r>
        <w:rPr>
          <w:rFonts w:hint="eastAsia"/>
        </w:rPr>
        <w:t>人有</w:t>
      </w:r>
      <w:r>
        <w:rPr>
          <w:rFonts w:hint="eastAsia"/>
        </w:rPr>
        <w:t>1.3</w:t>
      </w:r>
      <w:r>
        <w:rPr>
          <w:rFonts w:hint="eastAsia"/>
        </w:rPr>
        <w:t>名医生和</w:t>
      </w:r>
      <w:r>
        <w:t>4.3</w:t>
      </w:r>
      <w:r>
        <w:rPr>
          <w:rFonts w:hint="eastAsia"/>
        </w:rPr>
        <w:tab/>
      </w:r>
      <w:r>
        <w:rPr>
          <w:rFonts w:hint="eastAsia"/>
        </w:rPr>
        <w:t>名护士。请表明为改善上述低比例采取了哪些措施。</w:t>
      </w:r>
    </w:p>
    <w:p w:rsidR="00000000" w:rsidRDefault="00000000">
      <w:pPr>
        <w:rPr>
          <w:rFonts w:hint="eastAsia"/>
        </w:rPr>
      </w:pPr>
      <w:r>
        <w:rPr>
          <w:rFonts w:hint="eastAsia"/>
        </w:rPr>
        <w:tab/>
      </w:r>
      <w:r>
        <w:t xml:space="preserve">26.  </w:t>
      </w:r>
      <w:r>
        <w:rPr>
          <w:rFonts w:hint="eastAsia"/>
        </w:rPr>
        <w:t>请提供乡村地区保健服务以及乡村人口健康状况的资料。</w:t>
      </w:r>
    </w:p>
    <w:p w:rsidR="00000000" w:rsidRDefault="00000000">
      <w:pPr>
        <w:spacing w:after="320"/>
        <w:rPr>
          <w:rFonts w:hint="eastAsia"/>
        </w:rPr>
      </w:pPr>
      <w:r>
        <w:tab/>
        <w:t xml:space="preserve">27.  </w:t>
      </w:r>
      <w:r>
        <w:rPr>
          <w:rFonts w:hint="eastAsia"/>
        </w:rPr>
        <w:t>请阐明缔约国境内，尤其是相对较大数量移徙人口中艾滋病毒／艾滋病的蔓衍程度。</w:t>
      </w:r>
    </w:p>
    <w:p w:rsidR="00000000" w:rsidRDefault="00000000">
      <w:pPr>
        <w:pStyle w:val="Heading3"/>
        <w:rPr>
          <w:rFonts w:hint="eastAsia"/>
        </w:rPr>
      </w:pPr>
      <w:r>
        <w:rPr>
          <w:rFonts w:hint="eastAsia"/>
        </w:rPr>
        <w:t>第十三和十四条：受教育权</w:t>
      </w:r>
    </w:p>
    <w:p w:rsidR="00000000" w:rsidRDefault="00000000">
      <w:pPr>
        <w:rPr>
          <w:rFonts w:hint="eastAsia"/>
        </w:rPr>
      </w:pPr>
      <w:r>
        <w:rPr>
          <w:rFonts w:hint="eastAsia"/>
        </w:rPr>
        <w:tab/>
        <w:t>28</w:t>
      </w:r>
      <w:r>
        <w:t xml:space="preserve">.  </w:t>
      </w:r>
      <w:r>
        <w:rPr>
          <w:rFonts w:hint="eastAsia"/>
        </w:rPr>
        <w:t>请提供小学和中学各级儿童的入学百分比的资料，并请表明是否推行免费和义务基础教育。</w:t>
      </w:r>
    </w:p>
    <w:p w:rsidR="00000000" w:rsidRDefault="00000000">
      <w:pPr>
        <w:rPr>
          <w:rFonts w:hint="eastAsia"/>
        </w:rPr>
      </w:pPr>
      <w:r>
        <w:rPr>
          <w:rFonts w:hint="eastAsia"/>
        </w:rPr>
        <w:tab/>
        <w:t>29</w:t>
      </w:r>
      <w:r>
        <w:t xml:space="preserve">.  </w:t>
      </w:r>
      <w:r>
        <w:rPr>
          <w:rFonts w:hint="eastAsia"/>
        </w:rPr>
        <w:t>请表明过去五年期间学校基础（或义务）教育一级的辍学率。</w:t>
      </w:r>
    </w:p>
    <w:p w:rsidR="00000000" w:rsidRDefault="00000000">
      <w:pPr>
        <w:rPr>
          <w:rFonts w:hint="eastAsia"/>
        </w:rPr>
      </w:pPr>
      <w:r>
        <w:rPr>
          <w:rFonts w:hint="eastAsia"/>
        </w:rPr>
        <w:tab/>
        <w:t>30</w:t>
      </w:r>
      <w:r>
        <w:t xml:space="preserve">.  </w:t>
      </w:r>
      <w:r>
        <w:rPr>
          <w:rFonts w:hint="eastAsia"/>
        </w:rPr>
        <w:t>请表明青年（</w:t>
      </w:r>
      <w:r>
        <w:rPr>
          <w:rFonts w:hint="eastAsia"/>
        </w:rPr>
        <w:t>19</w:t>
      </w:r>
      <w:r>
        <w:rPr>
          <w:rFonts w:hint="eastAsia"/>
        </w:rPr>
        <w:t>至</w:t>
      </w:r>
      <w:r>
        <w:rPr>
          <w:rFonts w:hint="eastAsia"/>
        </w:rPr>
        <w:t>23</w:t>
      </w:r>
      <w:r>
        <w:rPr>
          <w:rFonts w:hint="eastAsia"/>
        </w:rPr>
        <w:t>岁）在本国或国外各所大学的入学比例，并表明收入是否是妨碍接受大学教育的因素。</w:t>
      </w:r>
    </w:p>
    <w:p w:rsidR="00000000" w:rsidRDefault="00000000">
      <w:pPr>
        <w:spacing w:after="320"/>
        <w:rPr>
          <w:rFonts w:hint="eastAsia"/>
        </w:rPr>
      </w:pPr>
      <w:r>
        <w:rPr>
          <w:rFonts w:hint="eastAsia"/>
        </w:rPr>
        <w:tab/>
      </w:r>
      <w:r>
        <w:t xml:space="preserve">31.  </w:t>
      </w:r>
      <w:r>
        <w:rPr>
          <w:rFonts w:hint="eastAsia"/>
        </w:rPr>
        <w:t>请提供缔约国为在教育体制中开展人权教育并向广大公众传播《公约》案文所采取措施的资料。</w:t>
      </w:r>
    </w:p>
    <w:p w:rsidR="00000000" w:rsidRDefault="00000000">
      <w:pPr>
        <w:pStyle w:val="Heading3"/>
        <w:rPr>
          <w:rFonts w:hint="eastAsia"/>
        </w:rPr>
      </w:pPr>
      <w:r>
        <w:rPr>
          <w:rFonts w:hint="eastAsia"/>
        </w:rPr>
        <w:t>第十五条：文化权</w:t>
      </w:r>
    </w:p>
    <w:p w:rsidR="00000000" w:rsidRDefault="00000000">
      <w:pPr>
        <w:rPr>
          <w:rFonts w:hint="eastAsia"/>
        </w:rPr>
      </w:pPr>
      <w:r>
        <w:tab/>
        <w:t xml:space="preserve">32.  </w:t>
      </w:r>
      <w:r>
        <w:rPr>
          <w:rFonts w:hint="eastAsia"/>
        </w:rPr>
        <w:t>请阐明，除了在的黎波里博物馆保存和展出的之外，正在采取哪些措施维护利比亚社会，尤其是少数民族即</w:t>
      </w:r>
      <w:r>
        <w:t>Amazigh</w:t>
      </w:r>
      <w:r>
        <w:rPr>
          <w:rFonts w:hint="eastAsia"/>
        </w:rPr>
        <w:t>族、</w:t>
      </w:r>
      <w:r>
        <w:t xml:space="preserve">Touareg </w:t>
      </w:r>
      <w:r>
        <w:rPr>
          <w:rFonts w:hint="eastAsia"/>
        </w:rPr>
        <w:t>族和</w:t>
      </w:r>
      <w:r>
        <w:t>Tebou</w:t>
      </w:r>
      <w:r>
        <w:rPr>
          <w:rFonts w:hint="eastAsia"/>
        </w:rPr>
        <w:t>族的文化遗产。</w:t>
      </w:r>
    </w:p>
    <w:p w:rsidR="00000000" w:rsidRDefault="00000000"/>
    <w:p w:rsidR="00000000" w:rsidRDefault="00000000"/>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04-45252(C)</w:t>
          </w:r>
        </w:p>
      </w:tc>
      <w:tc>
        <w:tcPr>
          <w:tcW w:w="1050" w:type="dxa"/>
        </w:tcPr>
        <w:p w:rsidR="00000000" w:rsidRDefault="00000000">
          <w:pPr>
            <w:pStyle w:val="Footer"/>
          </w:pPr>
          <w:r>
            <w:t>030205</w:t>
          </w:r>
        </w:p>
      </w:tc>
      <w:tc>
        <w:tcPr>
          <w:tcW w:w="6061" w:type="dxa"/>
        </w:tcPr>
        <w:p w:rsidR="00000000" w:rsidRDefault="00000000">
          <w:pPr>
            <w:pStyle w:val="Footer"/>
          </w:pPr>
          <w:r>
            <w:t>040205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E/C.12/Q/LBY/1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 xml:space="preserve">   E/C.12/Q/LBY/1</w:t>
    </w:r>
  </w:p>
  <w:p w:rsidR="00000000" w:rsidRDefault="00000000">
    <w:pPr>
      <w:pStyle w:val="Header"/>
    </w:pP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E/C.12/Q/LBY/1</w:t>
                </w:r>
              </w:p>
              <w:p w:rsidR="00000000" w:rsidRDefault="00000000">
                <w:pPr>
                  <w:pStyle w:val="Header"/>
                </w:pPr>
                <w:r>
                  <w:t>14 December 2004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3098F"/>
    <w:multiLevelType w:val="hybridMultilevel"/>
    <w:tmpl w:val="FE3CDC78"/>
    <w:lvl w:ilvl="0" w:tplc="4B68251C">
      <w:start w:val="27"/>
      <w:numFmt w:val="decimal"/>
      <w:lvlText w:val="%1."/>
      <w:lvlJc w:val="left"/>
      <w:pPr>
        <w:tabs>
          <w:tab w:val="num" w:pos="1125"/>
        </w:tabs>
        <w:ind w:left="1125" w:hanging="615"/>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58F1625F"/>
    <w:multiLevelType w:val="hybridMultilevel"/>
    <w:tmpl w:val="D67AC650"/>
    <w:lvl w:ilvl="0" w:tplc="DEAA9B86">
      <w:start w:val="1"/>
      <w:numFmt w:val="decimal"/>
      <w:lvlText w:val="%1."/>
      <w:lvlJc w:val="left"/>
      <w:pPr>
        <w:tabs>
          <w:tab w:val="num" w:pos="990"/>
        </w:tabs>
        <w:ind w:left="990" w:hanging="48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15</vt:i4>
      </vt:variant>
    </vt:vector>
  </HeadingPairs>
  <TitlesOfParts>
    <vt:vector size="16" baseType="lpstr">
      <vt:lpstr>经济、社会、文化权利委员会</vt:lpstr>
      <vt:lpstr>《经济、社会、文化权利国际公约》执行情况</vt:lpstr>
      <vt:lpstr>        审议阿拉伯利比亚民众国就《经济、社会、文化权利 国际公约》第一至十五条所述权利执行情况 提交的第二次定期报告（E/1990/6/Add.38） 必须审理的问题清</vt:lpstr>
      <vt:lpstr>    一、执行《公约》的一般法律框架</vt:lpstr>
      <vt:lpstr>    二、有关《公约》一般性条款的问题（第一至五条）</vt:lpstr>
      <vt:lpstr>        第二.二条：不歧视</vt:lpstr>
      <vt:lpstr>        第三条：男女平等</vt:lpstr>
      <vt:lpstr>    三、有关《公约》具体条款的问题（第六至十五条）</vt:lpstr>
      <vt:lpstr>        第六条：工作权</vt:lpstr>
      <vt:lpstr>        第八条：工会权</vt:lpstr>
      <vt:lpstr>        第九条：社会保障权</vt:lpstr>
      <vt:lpstr>        第十条：保护家庭、母亲和儿童</vt:lpstr>
      <vt:lpstr>        第十一条：相当生活水准权</vt:lpstr>
      <vt:lpstr>        第十二条：身心健康权</vt:lpstr>
      <vt:lpstr>        第十三和十四条：受教育权</vt:lpstr>
      <vt:lpstr>        第十五条：文化权</vt:lpstr>
    </vt:vector>
  </TitlesOfParts>
  <Company>Chinese Unit - GE</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Kong</cp:lastModifiedBy>
  <cp:revision>2</cp:revision>
  <cp:lastPrinted>2005-02-04T12:51:00Z</cp:lastPrinted>
  <dcterms:created xsi:type="dcterms:W3CDTF">2005-02-04T12:54:00Z</dcterms:created>
  <dcterms:modified xsi:type="dcterms:W3CDTF">2005-02-04T12:54:00Z</dcterms:modified>
  <cp:category>E</cp:category>
</cp:coreProperties>
</file>