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0C1F" w:rsidRDefault="005D0C1F" w:rsidP="005D0C1F">
      <w:pPr>
        <w:spacing w:line="240" w:lineRule="auto"/>
        <w:jc w:val="left"/>
        <w:rPr>
          <w:szCs w:val="6"/>
        </w:rPr>
        <w:sectPr w:rsidR="005D0C1F" w:rsidSect="005D0C1F">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3C1CD1" w:rsidRPr="003C1CD1" w:rsidRDefault="003C1CD1" w:rsidP="003C1CD1">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sidRPr="003C1CD1">
        <w:rPr>
          <w:rFonts w:hint="cs"/>
          <w:rtl/>
        </w:rPr>
        <w:t>اللجنة المعنية بالقضاء على التمييز ضد المرأة</w:t>
      </w:r>
    </w:p>
    <w:p w:rsidR="003C1CD1" w:rsidRPr="003C1CD1" w:rsidRDefault="003C1CD1" w:rsidP="003C1CD1">
      <w:pPr>
        <w:tabs>
          <w:tab w:val="left" w:pos="662"/>
          <w:tab w:val="left" w:pos="1267"/>
          <w:tab w:val="left" w:pos="1987"/>
          <w:tab w:val="left" w:pos="2650"/>
        </w:tabs>
        <w:rPr>
          <w:rFonts w:hint="cs"/>
          <w:b/>
          <w:bCs/>
          <w:rtl/>
        </w:rPr>
      </w:pPr>
      <w:r w:rsidRPr="003C1CD1">
        <w:rPr>
          <w:rFonts w:hint="cs"/>
          <w:b/>
          <w:bCs/>
          <w:rtl/>
        </w:rPr>
        <w:t>الفريق العامل لما قبل الدورة</w:t>
      </w:r>
    </w:p>
    <w:p w:rsidR="003C1CD1" w:rsidRPr="003C1CD1" w:rsidRDefault="003C1CD1" w:rsidP="003C1CD1">
      <w:pPr>
        <w:tabs>
          <w:tab w:val="left" w:pos="662"/>
          <w:tab w:val="left" w:pos="1267"/>
          <w:tab w:val="left" w:pos="1987"/>
          <w:tab w:val="left" w:pos="2650"/>
        </w:tabs>
        <w:rPr>
          <w:rFonts w:hint="cs"/>
          <w:b/>
          <w:bCs/>
          <w:rtl/>
        </w:rPr>
      </w:pPr>
      <w:r w:rsidRPr="003C1CD1">
        <w:rPr>
          <w:rFonts w:hint="cs"/>
          <w:b/>
          <w:bCs/>
          <w:rtl/>
        </w:rPr>
        <w:t>الدورة الرابعة والأربعون</w:t>
      </w:r>
    </w:p>
    <w:p w:rsidR="003C1CD1" w:rsidRPr="003C1CD1" w:rsidRDefault="003C1CD1" w:rsidP="003C1CD1">
      <w:pPr>
        <w:tabs>
          <w:tab w:val="left" w:pos="662"/>
          <w:tab w:val="left" w:pos="1267"/>
          <w:tab w:val="left" w:pos="1987"/>
          <w:tab w:val="left" w:pos="2650"/>
        </w:tabs>
        <w:rPr>
          <w:rFonts w:hint="cs"/>
          <w:rtl/>
        </w:rPr>
      </w:pPr>
      <w:r w:rsidRPr="003C1CD1">
        <w:rPr>
          <w:rFonts w:hint="cs"/>
          <w:rtl/>
        </w:rPr>
        <w:t>20 تموز/يوليه - 7 آب/أغسطس 2009</w:t>
      </w:r>
    </w:p>
    <w:p w:rsidR="00FE1879" w:rsidRPr="00FE1879" w:rsidRDefault="00FE1879" w:rsidP="00FE1879">
      <w:pPr>
        <w:pStyle w:val="SingleTxt"/>
        <w:spacing w:after="0" w:line="120" w:lineRule="exact"/>
        <w:rPr>
          <w:sz w:val="10"/>
          <w:rtl/>
        </w:rPr>
      </w:pPr>
    </w:p>
    <w:p w:rsidR="00FE1879" w:rsidRPr="00FE1879" w:rsidRDefault="00FE1879" w:rsidP="00FE1879">
      <w:pPr>
        <w:pStyle w:val="SingleTxt"/>
        <w:spacing w:after="0" w:line="120" w:lineRule="exact"/>
        <w:rPr>
          <w:sz w:val="10"/>
          <w:rtl/>
        </w:rPr>
      </w:pPr>
    </w:p>
    <w:p w:rsidR="00FE1879" w:rsidRPr="00FE1879" w:rsidRDefault="00FE1879" w:rsidP="00FE1879">
      <w:pPr>
        <w:pStyle w:val="SingleTxt"/>
        <w:spacing w:after="0" w:line="120" w:lineRule="exact"/>
        <w:rPr>
          <w:sz w:val="10"/>
          <w:rtl/>
        </w:rPr>
      </w:pPr>
    </w:p>
    <w:p w:rsidR="00D62E1B" w:rsidRPr="00D62E1B" w:rsidRDefault="003C1CD1" w:rsidP="00D62E1B">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sz w:val="10"/>
          <w:rtl/>
        </w:rPr>
      </w:pPr>
      <w:r w:rsidRPr="003C1CD1">
        <w:rPr>
          <w:rFonts w:hint="cs"/>
          <w:rtl/>
        </w:rPr>
        <w:tab/>
      </w:r>
      <w:r w:rsidRPr="003C1CD1">
        <w:rPr>
          <w:rFonts w:hint="cs"/>
          <w:rtl/>
        </w:rPr>
        <w:tab/>
        <w:t xml:space="preserve">قائمة </w:t>
      </w:r>
      <w:r>
        <w:rPr>
          <w:rFonts w:hint="cs"/>
          <w:rtl/>
        </w:rPr>
        <w:t xml:space="preserve">المواضيع والمسائل المتعلقة </w:t>
      </w:r>
      <w:r w:rsidRPr="003C1CD1">
        <w:rPr>
          <w:rFonts w:hint="cs"/>
          <w:rtl/>
        </w:rPr>
        <w:t xml:space="preserve">بالنظر في التقارير الدورية </w:t>
      </w:r>
    </w:p>
    <w:p w:rsidR="00D62E1B" w:rsidRPr="00D62E1B" w:rsidRDefault="00D62E1B" w:rsidP="00D62E1B">
      <w:pPr>
        <w:pStyle w:val="SingleTxt"/>
        <w:spacing w:after="0" w:line="120" w:lineRule="exact"/>
        <w:rPr>
          <w:rFonts w:hint="cs"/>
          <w:sz w:val="10"/>
          <w:rtl/>
        </w:rPr>
      </w:pPr>
    </w:p>
    <w:p w:rsidR="003C1CD1" w:rsidRPr="003C1CD1" w:rsidRDefault="003C1CD1" w:rsidP="00FE187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3C1CD1">
        <w:rPr>
          <w:rFonts w:hint="cs"/>
          <w:rtl/>
        </w:rPr>
        <w:tab/>
      </w:r>
      <w:r w:rsidRPr="003C1CD1">
        <w:rPr>
          <w:rFonts w:hint="cs"/>
          <w:rtl/>
        </w:rPr>
        <w:tab/>
        <w:t xml:space="preserve">توفالو </w:t>
      </w:r>
    </w:p>
    <w:p w:rsidR="003C1CD1" w:rsidRPr="00FE1879" w:rsidRDefault="00BE5E23" w:rsidP="00BE5E23">
      <w:pPr>
        <w:pStyle w:val="SingleTxt"/>
        <w:rPr>
          <w:rFonts w:hint="cs"/>
          <w:rtl/>
        </w:rPr>
      </w:pPr>
      <w:r>
        <w:rPr>
          <w:rtl/>
        </w:rPr>
        <w:tab/>
      </w:r>
      <w:r w:rsidR="003C1CD1" w:rsidRPr="00FE1879">
        <w:rPr>
          <w:rFonts w:hint="cs"/>
          <w:rtl/>
        </w:rPr>
        <w:t>نظر الفريق العامل لما قبل الدورة في التقرير الجامع للتقريرين الأوَّلي والثاني الدوريين لتوفالو (</w:t>
      </w:r>
      <w:r>
        <w:t>C</w:t>
      </w:r>
      <w:r w:rsidR="003C1CD1" w:rsidRPr="00FE1879">
        <w:t>EDAW/C/TUV/2</w:t>
      </w:r>
      <w:r w:rsidR="003C1CD1" w:rsidRPr="00FE1879">
        <w:rPr>
          <w:rFonts w:hint="cs"/>
          <w:rtl/>
        </w:rPr>
        <w:t>)</w:t>
      </w:r>
    </w:p>
    <w:p w:rsidR="00FE1879" w:rsidRPr="00FE1879" w:rsidRDefault="00FE1879" w:rsidP="00FE1879">
      <w:pPr>
        <w:pStyle w:val="SingleTxt"/>
        <w:spacing w:after="0" w:line="120" w:lineRule="exact"/>
        <w:rPr>
          <w:rFonts w:hint="cs"/>
          <w:sz w:val="10"/>
          <w:rtl/>
        </w:rPr>
      </w:pPr>
    </w:p>
    <w:p w:rsidR="003C1CD1" w:rsidRPr="003C1CD1" w:rsidRDefault="00FE1879" w:rsidP="00FE187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3C1CD1" w:rsidRPr="003C1CD1">
        <w:rPr>
          <w:rFonts w:hint="cs"/>
          <w:rtl/>
        </w:rPr>
        <w:t>المركز القانوني للاتفاقية</w:t>
      </w:r>
    </w:p>
    <w:p w:rsidR="003C1CD1" w:rsidRPr="003C1CD1" w:rsidRDefault="003C1CD1" w:rsidP="003C1CD1">
      <w:pPr>
        <w:pStyle w:val="SingleTxt"/>
        <w:rPr>
          <w:rFonts w:hint="cs"/>
          <w:rtl/>
        </w:rPr>
      </w:pPr>
      <w:r w:rsidRPr="003C1CD1">
        <w:rPr>
          <w:rFonts w:hint="cs"/>
          <w:rtl/>
        </w:rPr>
        <w:t>1 -</w:t>
      </w:r>
      <w:r w:rsidRPr="003C1CD1">
        <w:rPr>
          <w:rFonts w:hint="cs"/>
          <w:rtl/>
        </w:rPr>
        <w:tab/>
        <w:t xml:space="preserve">يذكر التقرير أنه لا بد من </w:t>
      </w:r>
      <w:r>
        <w:rPr>
          <w:rFonts w:hint="cs"/>
          <w:rtl/>
        </w:rPr>
        <w:t>إدماج</w:t>
      </w:r>
      <w:r w:rsidRPr="003C1CD1">
        <w:rPr>
          <w:rFonts w:hint="cs"/>
          <w:rtl/>
        </w:rPr>
        <w:t xml:space="preserve"> الاتفاقيات الدولية في القانون الوطني قبل </w:t>
      </w:r>
      <w:r>
        <w:rPr>
          <w:rFonts w:hint="cs"/>
          <w:rtl/>
        </w:rPr>
        <w:t>أن يتسنى إنفاذها</w:t>
      </w:r>
      <w:r w:rsidRPr="003C1CD1">
        <w:rPr>
          <w:rFonts w:hint="cs"/>
          <w:rtl/>
        </w:rPr>
        <w:t xml:space="preserve"> من خلال النظام القانوني الوطني، وأنه لم </w:t>
      </w:r>
      <w:r>
        <w:rPr>
          <w:rFonts w:hint="cs"/>
          <w:rtl/>
        </w:rPr>
        <w:t>يسن</w:t>
      </w:r>
      <w:r w:rsidRPr="003C1CD1">
        <w:rPr>
          <w:rFonts w:hint="cs"/>
          <w:rtl/>
        </w:rPr>
        <w:t xml:space="preserve"> حتى الآن </w:t>
      </w:r>
      <w:r>
        <w:rPr>
          <w:rFonts w:hint="cs"/>
          <w:rtl/>
        </w:rPr>
        <w:t>قانون لإدماج</w:t>
      </w:r>
      <w:r w:rsidRPr="003C1CD1">
        <w:rPr>
          <w:rFonts w:hint="cs"/>
          <w:rtl/>
        </w:rPr>
        <w:t xml:space="preserve"> اتفاقية القضاء على جميع أشكال التمييز ضد المرأة</w:t>
      </w:r>
      <w:r>
        <w:rPr>
          <w:rFonts w:hint="cs"/>
          <w:rtl/>
        </w:rPr>
        <w:t>.</w:t>
      </w:r>
      <w:r w:rsidRPr="003C1CD1">
        <w:rPr>
          <w:rFonts w:hint="cs"/>
          <w:rtl/>
        </w:rPr>
        <w:t xml:space="preserve"> و</w:t>
      </w:r>
      <w:r>
        <w:rPr>
          <w:rFonts w:hint="cs"/>
          <w:rtl/>
        </w:rPr>
        <w:t xml:space="preserve">يرجى إيضاح </w:t>
      </w:r>
      <w:r w:rsidRPr="003C1CD1">
        <w:rPr>
          <w:rFonts w:hint="cs"/>
          <w:rtl/>
        </w:rPr>
        <w:t>ما إذا كانت الحكومة تنوي اتخاذ تدابير تشريعية لإ</w:t>
      </w:r>
      <w:r>
        <w:rPr>
          <w:rFonts w:hint="cs"/>
          <w:rtl/>
        </w:rPr>
        <w:t>دماج</w:t>
      </w:r>
      <w:r w:rsidRPr="003C1CD1">
        <w:rPr>
          <w:rFonts w:hint="cs"/>
          <w:rtl/>
        </w:rPr>
        <w:t xml:space="preserve"> الاتفاقية في التشريع</w:t>
      </w:r>
      <w:r>
        <w:rPr>
          <w:rFonts w:hint="cs"/>
          <w:rtl/>
        </w:rPr>
        <w:t>ات</w:t>
      </w:r>
      <w:r w:rsidRPr="003C1CD1">
        <w:rPr>
          <w:rFonts w:hint="cs"/>
          <w:rtl/>
        </w:rPr>
        <w:t xml:space="preserve"> الوطني</w:t>
      </w:r>
      <w:r>
        <w:rPr>
          <w:rFonts w:hint="cs"/>
          <w:rtl/>
        </w:rPr>
        <w:t>ة</w:t>
      </w:r>
      <w:r w:rsidRPr="003C1CD1">
        <w:rPr>
          <w:rFonts w:hint="cs"/>
          <w:rtl/>
        </w:rPr>
        <w:t>.</w:t>
      </w:r>
    </w:p>
    <w:p w:rsidR="003C1CD1" w:rsidRPr="003C1CD1" w:rsidRDefault="003C1CD1" w:rsidP="00B43C16">
      <w:pPr>
        <w:pStyle w:val="SingleTxt"/>
        <w:rPr>
          <w:rFonts w:hint="cs"/>
          <w:rtl/>
        </w:rPr>
      </w:pPr>
      <w:r w:rsidRPr="003C1CD1">
        <w:rPr>
          <w:rFonts w:hint="cs"/>
          <w:rtl/>
        </w:rPr>
        <w:t>2 -</w:t>
      </w:r>
      <w:r w:rsidRPr="003C1CD1">
        <w:rPr>
          <w:rFonts w:hint="cs"/>
          <w:rtl/>
        </w:rPr>
        <w:tab/>
      </w:r>
      <w:r>
        <w:rPr>
          <w:rFonts w:hint="cs"/>
          <w:rtl/>
        </w:rPr>
        <w:t>ويرجى تقديم</w:t>
      </w:r>
      <w:r w:rsidRPr="003C1CD1">
        <w:rPr>
          <w:rFonts w:hint="cs"/>
          <w:rtl/>
        </w:rPr>
        <w:t xml:space="preserve"> معلومات تفصيلية بشأن وضع </w:t>
      </w:r>
      <w:r>
        <w:rPr>
          <w:rFonts w:hint="cs"/>
          <w:rtl/>
        </w:rPr>
        <w:t>القانون العرفي، وتأثيره، وتطبيقه</w:t>
      </w:r>
      <w:r w:rsidRPr="003C1CD1">
        <w:rPr>
          <w:rFonts w:hint="cs"/>
          <w:rtl/>
        </w:rPr>
        <w:t xml:space="preserve"> في المجال المحلي، مع </w:t>
      </w:r>
      <w:r>
        <w:rPr>
          <w:rFonts w:hint="cs"/>
          <w:rtl/>
        </w:rPr>
        <w:t>بيان أي قانون يؤخذ به إن</w:t>
      </w:r>
      <w:r w:rsidRPr="003C1CD1">
        <w:rPr>
          <w:rFonts w:hint="cs"/>
          <w:rtl/>
        </w:rPr>
        <w:t xml:space="preserve"> وجد تضارب بين القانون العرفي</w:t>
      </w:r>
      <w:r>
        <w:rPr>
          <w:rFonts w:hint="cs"/>
          <w:rtl/>
        </w:rPr>
        <w:t>،</w:t>
      </w:r>
      <w:r w:rsidRPr="003C1CD1">
        <w:rPr>
          <w:rFonts w:hint="cs"/>
          <w:rtl/>
        </w:rPr>
        <w:t xml:space="preserve"> والقانون الوطني</w:t>
      </w:r>
      <w:r>
        <w:rPr>
          <w:rFonts w:hint="cs"/>
          <w:rtl/>
        </w:rPr>
        <w:t>، والقواعد</w:t>
      </w:r>
      <w:r w:rsidRPr="003C1CD1">
        <w:rPr>
          <w:rFonts w:hint="cs"/>
          <w:rtl/>
        </w:rPr>
        <w:t xml:space="preserve"> الدولية لحقوق الإنسان، مع إعطاء أمثلة لأي قرارات</w:t>
      </w:r>
      <w:r>
        <w:rPr>
          <w:rFonts w:hint="cs"/>
          <w:rtl/>
        </w:rPr>
        <w:t xml:space="preserve"> ذات صلة اتخذتها</w:t>
      </w:r>
      <w:r w:rsidR="00B43C16">
        <w:rPr>
          <w:rFonts w:hint="eastAsia"/>
          <w:rtl/>
        </w:rPr>
        <w:t> </w:t>
      </w:r>
      <w:r>
        <w:rPr>
          <w:rFonts w:hint="cs"/>
          <w:rtl/>
        </w:rPr>
        <w:t>المحاكم.</w:t>
      </w:r>
    </w:p>
    <w:p w:rsidR="00D62E1B" w:rsidRPr="00D62E1B" w:rsidRDefault="00D62E1B" w:rsidP="00D62E1B">
      <w:pPr>
        <w:pStyle w:val="SingleTxt"/>
        <w:spacing w:after="0" w:line="120" w:lineRule="exact"/>
        <w:rPr>
          <w:rFonts w:hint="cs"/>
          <w:sz w:val="10"/>
          <w:rtl/>
        </w:rPr>
      </w:pPr>
    </w:p>
    <w:p w:rsidR="003C1CD1" w:rsidRPr="003C1CD1" w:rsidRDefault="00FE1879" w:rsidP="00FE187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3C1CD1" w:rsidRPr="003C1CD1">
        <w:rPr>
          <w:rFonts w:hint="cs"/>
          <w:rtl/>
        </w:rPr>
        <w:t>تعريف التمييز</w:t>
      </w:r>
    </w:p>
    <w:p w:rsidR="003C1CD1" w:rsidRPr="003C1CD1" w:rsidRDefault="003C1CD1" w:rsidP="00B43C16">
      <w:pPr>
        <w:pStyle w:val="SingleTxt"/>
        <w:rPr>
          <w:rFonts w:hint="cs"/>
          <w:rtl/>
        </w:rPr>
      </w:pPr>
      <w:r w:rsidRPr="003C1CD1">
        <w:rPr>
          <w:rFonts w:hint="cs"/>
          <w:rtl/>
        </w:rPr>
        <w:t>3 -</w:t>
      </w:r>
      <w:r w:rsidRPr="003C1CD1">
        <w:rPr>
          <w:rFonts w:hint="cs"/>
          <w:rtl/>
        </w:rPr>
        <w:tab/>
        <w:t xml:space="preserve">يشير التقرير إلى أن حظر التمييز المكرس في </w:t>
      </w:r>
      <w:r w:rsidR="00FD0077">
        <w:rPr>
          <w:rFonts w:hint="cs"/>
          <w:rtl/>
        </w:rPr>
        <w:t>الفرع</w:t>
      </w:r>
      <w:r w:rsidRPr="003C1CD1">
        <w:rPr>
          <w:rFonts w:hint="cs"/>
          <w:rtl/>
        </w:rPr>
        <w:t xml:space="preserve"> 27 (1) من الدستور، لا </w:t>
      </w:r>
      <w:r w:rsidR="00FD0077">
        <w:rPr>
          <w:rFonts w:hint="cs"/>
          <w:rtl/>
        </w:rPr>
        <w:t>يشمل ال</w:t>
      </w:r>
      <w:r w:rsidRPr="003C1CD1">
        <w:rPr>
          <w:rFonts w:hint="cs"/>
          <w:rtl/>
        </w:rPr>
        <w:t xml:space="preserve">تمييز على أساس نوع الجنس، وأن المحكمة العليا </w:t>
      </w:r>
      <w:r w:rsidR="00FD0077">
        <w:rPr>
          <w:rFonts w:hint="cs"/>
          <w:rtl/>
        </w:rPr>
        <w:t>ترى</w:t>
      </w:r>
      <w:r w:rsidRPr="003C1CD1">
        <w:rPr>
          <w:rFonts w:hint="cs"/>
          <w:rtl/>
        </w:rPr>
        <w:t xml:space="preserve"> أيضا أنه </w:t>
      </w:r>
      <w:r w:rsidRPr="003C1CD1">
        <w:rPr>
          <w:rFonts w:hint="eastAsia"/>
          <w:rtl/>
        </w:rPr>
        <w:t>”</w:t>
      </w:r>
      <w:r w:rsidRPr="003C1CD1">
        <w:rPr>
          <w:rFonts w:hint="cs"/>
          <w:rtl/>
        </w:rPr>
        <w:t xml:space="preserve">بموجب تعريف التمييز </w:t>
      </w:r>
      <w:r w:rsidR="00FD0077">
        <w:rPr>
          <w:rFonts w:hint="cs"/>
          <w:rtl/>
        </w:rPr>
        <w:t>الوارد</w:t>
      </w:r>
      <w:r w:rsidRPr="003C1CD1">
        <w:rPr>
          <w:rFonts w:hint="cs"/>
          <w:rtl/>
        </w:rPr>
        <w:t xml:space="preserve"> في المادة 27، فإن المعاملة غير المتساوية بسبب نوع الجنس لا تعتبر تمييزا</w:t>
      </w:r>
      <w:r w:rsidRPr="003C1CD1">
        <w:rPr>
          <w:rFonts w:hint="eastAsia"/>
          <w:rtl/>
        </w:rPr>
        <w:t xml:space="preserve">“. </w:t>
      </w:r>
      <w:r w:rsidRPr="003C1CD1">
        <w:rPr>
          <w:rFonts w:hint="cs"/>
          <w:rtl/>
        </w:rPr>
        <w:t xml:space="preserve">وحيث أن توفالو قد صدقت على الاتفاقية دون أي تحفظات، </w:t>
      </w:r>
      <w:r w:rsidR="00FD0077">
        <w:rPr>
          <w:rFonts w:hint="cs"/>
          <w:rtl/>
        </w:rPr>
        <w:t>فيرجى</w:t>
      </w:r>
      <w:r w:rsidRPr="003C1CD1">
        <w:rPr>
          <w:rFonts w:hint="cs"/>
          <w:rtl/>
        </w:rPr>
        <w:t xml:space="preserve"> تزويد اللجنة بمعلومات </w:t>
      </w:r>
      <w:r w:rsidR="00FD0077">
        <w:rPr>
          <w:rFonts w:hint="cs"/>
          <w:rtl/>
        </w:rPr>
        <w:t>مستوفاة</w:t>
      </w:r>
      <w:r w:rsidRPr="003C1CD1">
        <w:rPr>
          <w:rFonts w:hint="cs"/>
          <w:rtl/>
        </w:rPr>
        <w:t xml:space="preserve"> عن أي خطط لتعديل الدستور بحيث يشمل حظر التمييز على أساس نوع الجنس، بالإضافة إلى تعريف التمييز بما يتفق والمادة 1 من الاتفاقية، </w:t>
      </w:r>
      <w:r w:rsidR="00FD0077">
        <w:rPr>
          <w:rFonts w:hint="cs"/>
          <w:rtl/>
        </w:rPr>
        <w:t>بحيث يشمل</w:t>
      </w:r>
      <w:r w:rsidRPr="003C1CD1">
        <w:rPr>
          <w:rFonts w:hint="cs"/>
          <w:rtl/>
        </w:rPr>
        <w:t xml:space="preserve"> التمييز المباشر وغير المباشر</w:t>
      </w:r>
      <w:r w:rsidR="00B43C16">
        <w:rPr>
          <w:rFonts w:hint="eastAsia"/>
          <w:rtl/>
        </w:rPr>
        <w:t> </w:t>
      </w:r>
      <w:r w:rsidRPr="003C1CD1">
        <w:rPr>
          <w:rFonts w:hint="cs"/>
          <w:rtl/>
        </w:rPr>
        <w:t xml:space="preserve">معا. </w:t>
      </w:r>
    </w:p>
    <w:p w:rsidR="003C1CD1" w:rsidRPr="003C1CD1" w:rsidRDefault="003C1CD1" w:rsidP="00252BA7">
      <w:pPr>
        <w:pStyle w:val="SingleTxt"/>
        <w:rPr>
          <w:rFonts w:hint="cs"/>
          <w:rtl/>
        </w:rPr>
      </w:pPr>
      <w:r w:rsidRPr="003C1CD1">
        <w:rPr>
          <w:rFonts w:hint="cs"/>
          <w:rtl/>
        </w:rPr>
        <w:t>4 -</w:t>
      </w:r>
      <w:r w:rsidRPr="003C1CD1">
        <w:rPr>
          <w:rFonts w:hint="cs"/>
          <w:rtl/>
        </w:rPr>
        <w:tab/>
      </w:r>
      <w:r w:rsidR="00FD0077">
        <w:rPr>
          <w:rFonts w:hint="cs"/>
          <w:rtl/>
        </w:rPr>
        <w:t>و</w:t>
      </w:r>
      <w:r w:rsidRPr="003C1CD1">
        <w:rPr>
          <w:rFonts w:hint="cs"/>
          <w:rtl/>
        </w:rPr>
        <w:t>يذكر التقرير أن المساواة بين الرجل والمرأة ليست من بين الحقوق والحريات الأساسية التي يكفلها الدستور. فالمادة 27 (3) (د) تسمح بالتمييز في مجال</w:t>
      </w:r>
      <w:r w:rsidR="00FD0077">
        <w:rPr>
          <w:rFonts w:hint="cs"/>
          <w:rtl/>
        </w:rPr>
        <w:t>ات، من بينها</w:t>
      </w:r>
      <w:r w:rsidRPr="003C1CD1">
        <w:rPr>
          <w:rFonts w:hint="cs"/>
          <w:rtl/>
        </w:rPr>
        <w:t xml:space="preserve"> التبني، والزواج، والطلاق، والدفن، وامتلاك الأراضي (الفقرة 1-2)، فهل من </w:t>
      </w:r>
      <w:r w:rsidR="00252BA7">
        <w:rPr>
          <w:rFonts w:hint="cs"/>
          <w:rtl/>
        </w:rPr>
        <w:t>المتوخَّى</w:t>
      </w:r>
      <w:r w:rsidRPr="003C1CD1">
        <w:rPr>
          <w:rFonts w:hint="cs"/>
          <w:rtl/>
        </w:rPr>
        <w:t xml:space="preserve"> إدخال تعديل على الدستور وإلغاء </w:t>
      </w:r>
      <w:r w:rsidR="00252BA7">
        <w:rPr>
          <w:rFonts w:hint="cs"/>
          <w:rtl/>
        </w:rPr>
        <w:t>الفرع</w:t>
      </w:r>
      <w:r w:rsidRPr="003C1CD1">
        <w:rPr>
          <w:rFonts w:hint="cs"/>
          <w:rtl/>
        </w:rPr>
        <w:t xml:space="preserve"> 27 (3) (د)؟ </w:t>
      </w:r>
      <w:r w:rsidR="00252BA7">
        <w:rPr>
          <w:rFonts w:hint="cs"/>
          <w:rtl/>
        </w:rPr>
        <w:t>ويرجى</w:t>
      </w:r>
      <w:r w:rsidRPr="003C1CD1">
        <w:rPr>
          <w:rFonts w:hint="cs"/>
          <w:rtl/>
        </w:rPr>
        <w:t xml:space="preserve"> تزويد اللجنة بمعلومات </w:t>
      </w:r>
      <w:r w:rsidR="00252BA7">
        <w:rPr>
          <w:rFonts w:hint="cs"/>
          <w:rtl/>
        </w:rPr>
        <w:t>مستوفاة</w:t>
      </w:r>
      <w:r w:rsidRPr="003C1CD1">
        <w:rPr>
          <w:rFonts w:hint="cs"/>
          <w:rtl/>
        </w:rPr>
        <w:t xml:space="preserve"> عن أي خطط </w:t>
      </w:r>
      <w:r w:rsidR="00252BA7">
        <w:rPr>
          <w:rFonts w:hint="cs"/>
          <w:rtl/>
        </w:rPr>
        <w:t>لتجسيد</w:t>
      </w:r>
      <w:r w:rsidRPr="003C1CD1">
        <w:rPr>
          <w:rFonts w:hint="cs"/>
          <w:rtl/>
        </w:rPr>
        <w:t xml:space="preserve"> مبدأ المساواة بين الرجل والمرأة في الدستور أو في أي تشريع آخر </w:t>
      </w:r>
      <w:r w:rsidR="00252BA7">
        <w:rPr>
          <w:rFonts w:hint="cs"/>
          <w:rtl/>
        </w:rPr>
        <w:t xml:space="preserve">ملائم يتماشى مع المادة 2، </w:t>
      </w:r>
      <w:r w:rsidRPr="003C1CD1">
        <w:rPr>
          <w:rFonts w:hint="cs"/>
          <w:rtl/>
        </w:rPr>
        <w:t xml:space="preserve">الفقرة (أ) من الاتفاقية. </w:t>
      </w:r>
    </w:p>
    <w:p w:rsidR="00D62E1B" w:rsidRPr="00D62E1B" w:rsidRDefault="00D62E1B" w:rsidP="00D62E1B">
      <w:pPr>
        <w:pStyle w:val="SingleTxt"/>
        <w:spacing w:after="0" w:line="120" w:lineRule="exact"/>
        <w:rPr>
          <w:rFonts w:hint="cs"/>
          <w:sz w:val="10"/>
          <w:rtl/>
        </w:rPr>
      </w:pPr>
    </w:p>
    <w:p w:rsidR="003C1CD1" w:rsidRPr="003C1CD1" w:rsidRDefault="00FE1879" w:rsidP="00FE187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3C1CD1" w:rsidRPr="003C1CD1">
        <w:rPr>
          <w:rFonts w:hint="cs"/>
          <w:rtl/>
        </w:rPr>
        <w:t xml:space="preserve">القوانين والممارسات التمييزية </w:t>
      </w:r>
    </w:p>
    <w:p w:rsidR="003C1CD1" w:rsidRPr="003C1CD1" w:rsidRDefault="003C1CD1" w:rsidP="00285E1F">
      <w:pPr>
        <w:pStyle w:val="SingleTxt"/>
        <w:rPr>
          <w:rFonts w:hint="cs"/>
          <w:rtl/>
        </w:rPr>
      </w:pPr>
      <w:r w:rsidRPr="003C1CD1">
        <w:rPr>
          <w:rFonts w:hint="cs"/>
          <w:rtl/>
        </w:rPr>
        <w:t>5 -</w:t>
      </w:r>
      <w:r w:rsidRPr="003C1CD1">
        <w:rPr>
          <w:rFonts w:hint="cs"/>
          <w:rtl/>
        </w:rPr>
        <w:tab/>
        <w:t>يشير التقرير إلى عدد من القوانين التي تحتوي على أحكام تمييزية مباشرة أو غير مباشرة ضد المرأة، مثل قانون الأراضي الوطنية، وقانون الزواج، ومدو</w:t>
      </w:r>
      <w:r w:rsidR="00285E1F">
        <w:rPr>
          <w:rFonts w:hint="cs"/>
          <w:rtl/>
        </w:rPr>
        <w:t>نة أراضي توفالو، وقانون فاليكاو</w:t>
      </w:r>
      <w:r w:rsidRPr="003C1CD1">
        <w:rPr>
          <w:rFonts w:hint="cs"/>
          <w:rtl/>
        </w:rPr>
        <w:t>بولي</w:t>
      </w:r>
      <w:r w:rsidR="00285E1F">
        <w:rPr>
          <w:rFonts w:hint="cs"/>
          <w:rtl/>
        </w:rPr>
        <w:t xml:space="preserve"> (مجلس الاجتماع التقليدي) لعام</w:t>
      </w:r>
      <w:r w:rsidRPr="003C1CD1">
        <w:rPr>
          <w:rFonts w:hint="cs"/>
          <w:rtl/>
        </w:rPr>
        <w:t xml:space="preserve"> 1997، وقانون</w:t>
      </w:r>
      <w:r w:rsidR="00285E1F">
        <w:rPr>
          <w:rFonts w:hint="cs"/>
          <w:rtl/>
        </w:rPr>
        <w:t xml:space="preserve"> العمل </w:t>
      </w:r>
      <w:r w:rsidRPr="003C1CD1">
        <w:rPr>
          <w:rFonts w:hint="cs"/>
          <w:rtl/>
        </w:rPr>
        <w:t xml:space="preserve">لعام 1966. وبالإضافة إلى ذلك، فإن التقرير يشير إلى بعض الممارسات </w:t>
      </w:r>
      <w:r w:rsidR="00285E1F" w:rsidRPr="003C1CD1">
        <w:rPr>
          <w:rFonts w:hint="cs"/>
          <w:rtl/>
        </w:rPr>
        <w:t xml:space="preserve">التقليدية </w:t>
      </w:r>
      <w:r w:rsidRPr="003C1CD1">
        <w:rPr>
          <w:rFonts w:hint="cs"/>
          <w:rtl/>
        </w:rPr>
        <w:t xml:space="preserve">والعادات التي تفاقم من التمييز ضد المرأة. </w:t>
      </w:r>
      <w:r w:rsidR="00285E1F">
        <w:rPr>
          <w:rFonts w:hint="cs"/>
          <w:rtl/>
        </w:rPr>
        <w:t>ويرجى تقديم</w:t>
      </w:r>
      <w:r w:rsidRPr="003C1CD1">
        <w:rPr>
          <w:rFonts w:hint="cs"/>
          <w:rtl/>
        </w:rPr>
        <w:t xml:space="preserve"> معلومات تفصيلية عن التدابير التي </w:t>
      </w:r>
      <w:r w:rsidR="00285E1F">
        <w:rPr>
          <w:rFonts w:hint="cs"/>
          <w:rtl/>
        </w:rPr>
        <w:t xml:space="preserve">تتوخى </w:t>
      </w:r>
      <w:r w:rsidRPr="003C1CD1">
        <w:rPr>
          <w:rFonts w:hint="cs"/>
          <w:rtl/>
        </w:rPr>
        <w:t xml:space="preserve">الحكومة </w:t>
      </w:r>
      <w:r w:rsidR="00285E1F">
        <w:rPr>
          <w:rFonts w:hint="cs"/>
          <w:rtl/>
        </w:rPr>
        <w:t xml:space="preserve">اتخاذها </w:t>
      </w:r>
      <w:r w:rsidRPr="003C1CD1">
        <w:rPr>
          <w:rFonts w:hint="cs"/>
          <w:rtl/>
        </w:rPr>
        <w:t>لتعديل مثل هذه الأحكام أو إلغائها</w:t>
      </w:r>
      <w:r w:rsidR="00285E1F">
        <w:rPr>
          <w:rFonts w:hint="cs"/>
          <w:rtl/>
        </w:rPr>
        <w:t>،</w:t>
      </w:r>
      <w:r w:rsidRPr="003C1CD1">
        <w:rPr>
          <w:rFonts w:hint="cs"/>
          <w:rtl/>
        </w:rPr>
        <w:t xml:space="preserve"> والقضاء على مثل هذه العادات والممارسات أو تعديلها من خلال تشريعات أو برامج أخرى، بحيث تتسق مع المادة 2 (و) من الاتفاقية. </w:t>
      </w:r>
    </w:p>
    <w:p w:rsidR="00D62E1B" w:rsidRPr="00D62E1B" w:rsidRDefault="00D62E1B" w:rsidP="00D62E1B">
      <w:pPr>
        <w:pStyle w:val="SingleTxt"/>
        <w:spacing w:after="0" w:line="120" w:lineRule="exact"/>
        <w:rPr>
          <w:rFonts w:hint="cs"/>
          <w:sz w:val="10"/>
          <w:rtl/>
        </w:rPr>
      </w:pPr>
    </w:p>
    <w:p w:rsidR="003C1CD1" w:rsidRPr="003C1CD1" w:rsidRDefault="00FE1879" w:rsidP="00FE187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285E1F">
        <w:rPr>
          <w:rFonts w:hint="cs"/>
          <w:rtl/>
        </w:rPr>
        <w:t>التعريف</w:t>
      </w:r>
      <w:r w:rsidR="003C1CD1" w:rsidRPr="003C1CD1">
        <w:rPr>
          <w:rFonts w:hint="cs"/>
          <w:rtl/>
        </w:rPr>
        <w:t xml:space="preserve"> </w:t>
      </w:r>
      <w:r w:rsidR="00285E1F">
        <w:rPr>
          <w:rFonts w:hint="cs"/>
          <w:rtl/>
        </w:rPr>
        <w:t>ب</w:t>
      </w:r>
      <w:r w:rsidR="003C1CD1" w:rsidRPr="003C1CD1">
        <w:rPr>
          <w:rFonts w:hint="cs"/>
          <w:rtl/>
        </w:rPr>
        <w:t xml:space="preserve">الاتفاقية </w:t>
      </w:r>
    </w:p>
    <w:p w:rsidR="00D62E1B" w:rsidRPr="00D62E1B" w:rsidRDefault="003C1CD1" w:rsidP="00D62E1B">
      <w:pPr>
        <w:pStyle w:val="SingleTxt"/>
        <w:rPr>
          <w:rFonts w:hint="cs"/>
          <w:sz w:val="10"/>
          <w:rtl/>
        </w:rPr>
      </w:pPr>
      <w:r w:rsidRPr="003C1CD1">
        <w:rPr>
          <w:rFonts w:hint="cs"/>
          <w:rtl/>
        </w:rPr>
        <w:t>6 -</w:t>
      </w:r>
      <w:r w:rsidRPr="003C1CD1">
        <w:rPr>
          <w:rFonts w:hint="cs"/>
          <w:rtl/>
        </w:rPr>
        <w:tab/>
      </w:r>
      <w:r w:rsidR="0052333D">
        <w:rPr>
          <w:rFonts w:hint="cs"/>
          <w:rtl/>
        </w:rPr>
        <w:t>يسلِّم</w:t>
      </w:r>
      <w:r w:rsidRPr="003C1CD1">
        <w:rPr>
          <w:rFonts w:hint="cs"/>
          <w:rtl/>
        </w:rPr>
        <w:t xml:space="preserve"> التقرير </w:t>
      </w:r>
      <w:r w:rsidR="0052333D">
        <w:rPr>
          <w:rFonts w:hint="cs"/>
          <w:rtl/>
        </w:rPr>
        <w:t>ب</w:t>
      </w:r>
      <w:r w:rsidRPr="003C1CD1">
        <w:rPr>
          <w:rFonts w:hint="cs"/>
          <w:rtl/>
        </w:rPr>
        <w:t xml:space="preserve">أهمية تعزيز وبناء قدرة </w:t>
      </w:r>
      <w:r w:rsidR="0052333D">
        <w:rPr>
          <w:rFonts w:hint="cs"/>
          <w:rtl/>
        </w:rPr>
        <w:t>السلطة</w:t>
      </w:r>
      <w:r w:rsidRPr="003C1CD1">
        <w:rPr>
          <w:rFonts w:hint="cs"/>
          <w:rtl/>
        </w:rPr>
        <w:t xml:space="preserve"> القضائية، لا سيما</w:t>
      </w:r>
      <w:r w:rsidR="0052333D">
        <w:rPr>
          <w:rFonts w:hint="cs"/>
          <w:rtl/>
        </w:rPr>
        <w:t xml:space="preserve"> في ال</w:t>
      </w:r>
      <w:r w:rsidRPr="003C1CD1">
        <w:rPr>
          <w:rFonts w:hint="cs"/>
          <w:rtl/>
        </w:rPr>
        <w:t xml:space="preserve">محاكم </w:t>
      </w:r>
      <w:r w:rsidR="0052333D">
        <w:rPr>
          <w:rFonts w:hint="cs"/>
          <w:rtl/>
        </w:rPr>
        <w:t>الابتدائية</w:t>
      </w:r>
      <w:r w:rsidRPr="003C1CD1">
        <w:rPr>
          <w:rFonts w:hint="cs"/>
          <w:rtl/>
        </w:rPr>
        <w:t xml:space="preserve">، فيما يتعلق بمسائل الجنسين </w:t>
      </w:r>
      <w:r w:rsidR="0052333D">
        <w:rPr>
          <w:rFonts w:hint="cs"/>
          <w:rtl/>
        </w:rPr>
        <w:t>و</w:t>
      </w:r>
      <w:r w:rsidRPr="003C1CD1">
        <w:rPr>
          <w:rFonts w:hint="cs"/>
          <w:rtl/>
        </w:rPr>
        <w:t xml:space="preserve">حقوق الإنسان، ويلاحظ أن </w:t>
      </w:r>
      <w:r w:rsidR="0052333D">
        <w:rPr>
          <w:rFonts w:hint="cs"/>
          <w:rtl/>
        </w:rPr>
        <w:t xml:space="preserve">الحكومة تولي </w:t>
      </w:r>
      <w:r w:rsidRPr="003C1CD1">
        <w:rPr>
          <w:rFonts w:hint="cs"/>
          <w:rtl/>
        </w:rPr>
        <w:t xml:space="preserve">تعزيز </w:t>
      </w:r>
      <w:r w:rsidR="0052333D">
        <w:rPr>
          <w:rFonts w:hint="cs"/>
          <w:rtl/>
        </w:rPr>
        <w:t>السلطة</w:t>
      </w:r>
      <w:r w:rsidRPr="003C1CD1">
        <w:rPr>
          <w:rFonts w:hint="cs"/>
          <w:rtl/>
        </w:rPr>
        <w:t xml:space="preserve"> القضائية </w:t>
      </w:r>
      <w:r w:rsidR="0052333D">
        <w:rPr>
          <w:rFonts w:hint="cs"/>
          <w:rtl/>
        </w:rPr>
        <w:t xml:space="preserve">أولوية منذ بضع </w:t>
      </w:r>
      <w:r w:rsidRPr="003C1CD1">
        <w:rPr>
          <w:rFonts w:hint="cs"/>
          <w:rtl/>
        </w:rPr>
        <w:t xml:space="preserve">سنوات (الفقرة 1-3). </w:t>
      </w:r>
      <w:r w:rsidR="0052333D">
        <w:rPr>
          <w:rFonts w:hint="cs"/>
          <w:rtl/>
        </w:rPr>
        <w:t>ويرجى</w:t>
      </w:r>
      <w:r w:rsidRPr="003C1CD1">
        <w:rPr>
          <w:rFonts w:hint="cs"/>
          <w:rtl/>
        </w:rPr>
        <w:t xml:space="preserve"> تقديم معلومات تفصيلية عن برامج التدريب - إن وجدت - أو كان من المقرر </w:t>
      </w:r>
      <w:r w:rsidR="0052333D">
        <w:rPr>
          <w:rFonts w:hint="cs"/>
          <w:rtl/>
        </w:rPr>
        <w:t>تنظيمها</w:t>
      </w:r>
      <w:r w:rsidRPr="003C1CD1">
        <w:rPr>
          <w:rFonts w:hint="cs"/>
          <w:rtl/>
        </w:rPr>
        <w:t xml:space="preserve"> للقضاة، والمحامين والمسؤولين عن إنفاذ القوانين المتعلقة بالاتفاقية.</w:t>
      </w:r>
    </w:p>
    <w:p w:rsidR="003C1CD1" w:rsidRPr="003C1CD1" w:rsidRDefault="00FE1879" w:rsidP="00FE187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3C1CD1" w:rsidRPr="003C1CD1">
        <w:rPr>
          <w:rFonts w:hint="cs"/>
          <w:rtl/>
        </w:rPr>
        <w:t xml:space="preserve">خطط العمل </w:t>
      </w:r>
    </w:p>
    <w:p w:rsidR="003C1CD1" w:rsidRPr="003C1CD1" w:rsidRDefault="003C1CD1" w:rsidP="0052333D">
      <w:pPr>
        <w:pStyle w:val="SingleTxt"/>
        <w:rPr>
          <w:rFonts w:hint="cs"/>
          <w:rtl/>
        </w:rPr>
      </w:pPr>
      <w:r w:rsidRPr="003C1CD1">
        <w:rPr>
          <w:rFonts w:hint="cs"/>
          <w:rtl/>
        </w:rPr>
        <w:t>7 -</w:t>
      </w:r>
      <w:r w:rsidRPr="003C1CD1">
        <w:rPr>
          <w:rFonts w:hint="cs"/>
          <w:rtl/>
        </w:rPr>
        <w:tab/>
        <w:t xml:space="preserve">يشير التقرير إلى </w:t>
      </w:r>
      <w:r w:rsidR="0052333D">
        <w:rPr>
          <w:rFonts w:hint="cs"/>
          <w:rtl/>
        </w:rPr>
        <w:t>سياسة</w:t>
      </w:r>
      <w:r w:rsidRPr="003C1CD1">
        <w:rPr>
          <w:rFonts w:hint="cs"/>
          <w:rtl/>
        </w:rPr>
        <w:t xml:space="preserve"> توفالو الوطنية </w:t>
      </w:r>
      <w:r w:rsidR="0052333D">
        <w:rPr>
          <w:rFonts w:hint="cs"/>
          <w:rtl/>
        </w:rPr>
        <w:t>المنقحة الخاصة با</w:t>
      </w:r>
      <w:r w:rsidRPr="003C1CD1">
        <w:rPr>
          <w:rFonts w:hint="cs"/>
          <w:rtl/>
        </w:rPr>
        <w:t xml:space="preserve">لمرأة لعام 2006، وإلى الخطة </w:t>
      </w:r>
      <w:r w:rsidR="0052333D">
        <w:rPr>
          <w:rFonts w:hint="cs"/>
          <w:rtl/>
        </w:rPr>
        <w:t>العامة</w:t>
      </w:r>
      <w:r w:rsidRPr="003C1CD1">
        <w:rPr>
          <w:rFonts w:hint="cs"/>
          <w:rtl/>
        </w:rPr>
        <w:t xml:space="preserve"> للفترة 2007-2009 التي ستنفذ السياسة من خلالها (الفقرتان 40 و 42). </w:t>
      </w:r>
      <w:r w:rsidR="0052333D">
        <w:rPr>
          <w:rFonts w:hint="cs"/>
          <w:rtl/>
        </w:rPr>
        <w:t>ويرجى تفصيل</w:t>
      </w:r>
      <w:r w:rsidRPr="003C1CD1">
        <w:rPr>
          <w:rFonts w:hint="cs"/>
          <w:rtl/>
        </w:rPr>
        <w:t xml:space="preserve"> التدابير الملموسة التي اتخذت لتطبيق هذه الخطط، والنتائج المتوقعة لها، </w:t>
      </w:r>
      <w:r w:rsidR="0052333D">
        <w:rPr>
          <w:rFonts w:hint="cs"/>
          <w:rtl/>
        </w:rPr>
        <w:t>و</w:t>
      </w:r>
      <w:r w:rsidRPr="003C1CD1">
        <w:rPr>
          <w:rFonts w:hint="cs"/>
          <w:rtl/>
        </w:rPr>
        <w:t xml:space="preserve">النتائج التي تحققت بالفعل، والتي تعكس بشكل خاص التقارير المرحلية </w:t>
      </w:r>
      <w:r w:rsidR="0052333D">
        <w:rPr>
          <w:rFonts w:hint="cs"/>
          <w:rtl/>
        </w:rPr>
        <w:t>الفصليّة</w:t>
      </w:r>
      <w:r w:rsidRPr="003C1CD1">
        <w:rPr>
          <w:rFonts w:hint="cs"/>
          <w:rtl/>
        </w:rPr>
        <w:t xml:space="preserve"> عن تنفيذ الخطط التي تقدمها إدار</w:t>
      </w:r>
      <w:r w:rsidR="0052333D">
        <w:rPr>
          <w:rFonts w:hint="cs"/>
          <w:rtl/>
        </w:rPr>
        <w:t>ة شؤون المرأة إلى مجلس الوزراء. كما يرجى تقديم</w:t>
      </w:r>
      <w:r w:rsidRPr="003C1CD1">
        <w:rPr>
          <w:rFonts w:hint="cs"/>
          <w:rtl/>
        </w:rPr>
        <w:t xml:space="preserve"> معلومات عن الموارد المالية والبشرية المتوافرة لتنفيذ السياسة. </w:t>
      </w:r>
    </w:p>
    <w:p w:rsidR="00D62E1B" w:rsidRPr="00D62E1B" w:rsidRDefault="00D62E1B" w:rsidP="00D62E1B">
      <w:pPr>
        <w:pStyle w:val="SingleTxt"/>
        <w:spacing w:after="0" w:line="120" w:lineRule="exact"/>
        <w:rPr>
          <w:rFonts w:hint="cs"/>
          <w:sz w:val="10"/>
          <w:rtl/>
        </w:rPr>
      </w:pPr>
    </w:p>
    <w:p w:rsidR="003C1CD1" w:rsidRPr="003C1CD1" w:rsidRDefault="00FE1879" w:rsidP="00FE187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3C1CD1" w:rsidRPr="003C1CD1">
        <w:rPr>
          <w:rFonts w:hint="cs"/>
          <w:rtl/>
        </w:rPr>
        <w:t>التدابير الخاصة المؤقتة</w:t>
      </w:r>
    </w:p>
    <w:p w:rsidR="003C1CD1" w:rsidRPr="003C1CD1" w:rsidRDefault="003C1CD1" w:rsidP="00B43C16">
      <w:pPr>
        <w:pStyle w:val="SingleTxt"/>
        <w:rPr>
          <w:rFonts w:hint="cs"/>
          <w:rtl/>
        </w:rPr>
      </w:pPr>
      <w:r w:rsidRPr="003C1CD1">
        <w:rPr>
          <w:rFonts w:hint="cs"/>
          <w:rtl/>
        </w:rPr>
        <w:t>8 -</w:t>
      </w:r>
      <w:r w:rsidRPr="003C1CD1">
        <w:rPr>
          <w:rFonts w:hint="cs"/>
          <w:rtl/>
        </w:rPr>
        <w:tab/>
        <w:t>يعترف التقرير بأن هناك العديد من المجالات التي يحتا</w:t>
      </w:r>
      <w:r w:rsidR="00A636A5">
        <w:rPr>
          <w:rFonts w:hint="cs"/>
          <w:rtl/>
        </w:rPr>
        <w:t xml:space="preserve">ج الأمر فيها إلى اتخاذ الحكومة </w:t>
      </w:r>
      <w:r w:rsidRPr="003C1CD1">
        <w:rPr>
          <w:rFonts w:hint="cs"/>
          <w:rtl/>
        </w:rPr>
        <w:t xml:space="preserve">تدابير خاصة مؤقتة للإسراع بتحقيق المساواة بين الرجل والمرأة. ورغم أحكام </w:t>
      </w:r>
      <w:r w:rsidR="00A636A5">
        <w:rPr>
          <w:rFonts w:hint="cs"/>
          <w:rtl/>
        </w:rPr>
        <w:t>الفرع</w:t>
      </w:r>
      <w:r w:rsidRPr="003C1CD1">
        <w:rPr>
          <w:rFonts w:hint="cs"/>
          <w:rtl/>
        </w:rPr>
        <w:t xml:space="preserve"> 27</w:t>
      </w:r>
      <w:r w:rsidR="00B43C16">
        <w:rPr>
          <w:rFonts w:hint="eastAsia"/>
          <w:rtl/>
        </w:rPr>
        <w:t> </w:t>
      </w:r>
      <w:r w:rsidRPr="003C1CD1">
        <w:rPr>
          <w:rFonts w:hint="cs"/>
          <w:rtl/>
        </w:rPr>
        <w:t xml:space="preserve">(3) (و) من الدستور </w:t>
      </w:r>
      <w:r w:rsidR="00A636A5">
        <w:rPr>
          <w:rFonts w:hint="cs"/>
          <w:rtl/>
        </w:rPr>
        <w:t>الذي ي</w:t>
      </w:r>
      <w:r w:rsidRPr="003C1CD1">
        <w:rPr>
          <w:rFonts w:hint="cs"/>
          <w:rtl/>
        </w:rPr>
        <w:t xml:space="preserve">سمح باتخاذ تدابير خاصة مؤقتة، فإن الحكومة لم تتخذ أيا من هذه التدابير منذ التصديق على الاتفاقية (الفقرة 4-2). </w:t>
      </w:r>
      <w:r w:rsidR="00A636A5">
        <w:rPr>
          <w:rFonts w:hint="cs"/>
          <w:rtl/>
        </w:rPr>
        <w:t>ويرجى</w:t>
      </w:r>
      <w:r w:rsidRPr="003C1CD1">
        <w:rPr>
          <w:rFonts w:hint="cs"/>
          <w:rtl/>
        </w:rPr>
        <w:t xml:space="preserve"> تقديم معلومات </w:t>
      </w:r>
      <w:r w:rsidR="00A636A5">
        <w:rPr>
          <w:rFonts w:hint="cs"/>
          <w:rtl/>
        </w:rPr>
        <w:t>بشأن ما</w:t>
      </w:r>
      <w:r w:rsidR="00B43C16">
        <w:rPr>
          <w:rFonts w:hint="eastAsia"/>
          <w:rtl/>
        </w:rPr>
        <w:t> </w:t>
      </w:r>
      <w:r w:rsidRPr="003C1CD1">
        <w:rPr>
          <w:rFonts w:hint="cs"/>
          <w:rtl/>
        </w:rPr>
        <w:t xml:space="preserve">إذا كانت الحكومة </w:t>
      </w:r>
      <w:r w:rsidR="00A636A5">
        <w:rPr>
          <w:rFonts w:hint="cs"/>
          <w:rtl/>
        </w:rPr>
        <w:t>تعتزم اتخاذ تدابير</w:t>
      </w:r>
      <w:r w:rsidRPr="003C1CD1">
        <w:rPr>
          <w:rFonts w:hint="cs"/>
          <w:rtl/>
        </w:rPr>
        <w:t xml:space="preserve"> خاصة مؤقتة للإسراع بتحقيق المساواة الفعلية بين الرجل والمرأة بما يتم</w:t>
      </w:r>
      <w:r w:rsidR="00A636A5">
        <w:rPr>
          <w:rFonts w:hint="cs"/>
          <w:rtl/>
        </w:rPr>
        <w:t>ا</w:t>
      </w:r>
      <w:r w:rsidRPr="003C1CD1">
        <w:rPr>
          <w:rFonts w:hint="cs"/>
          <w:rtl/>
        </w:rPr>
        <w:t xml:space="preserve">شى مع الفقرة 1 من المادة 4 من الاتفاقية، والتوصية العامة رقم 25. </w:t>
      </w:r>
    </w:p>
    <w:p w:rsidR="00D62E1B" w:rsidRPr="00D62E1B" w:rsidRDefault="00D62E1B" w:rsidP="00D62E1B">
      <w:pPr>
        <w:pStyle w:val="SingleTxt"/>
        <w:spacing w:after="0" w:line="120" w:lineRule="exact"/>
        <w:rPr>
          <w:rFonts w:hint="cs"/>
          <w:sz w:val="10"/>
          <w:rtl/>
        </w:rPr>
      </w:pPr>
    </w:p>
    <w:p w:rsidR="003C1CD1" w:rsidRPr="003C1CD1" w:rsidRDefault="00FE1879" w:rsidP="00FE187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EC5420">
        <w:rPr>
          <w:rFonts w:hint="cs"/>
          <w:rtl/>
        </w:rPr>
        <w:t>القوالب</w:t>
      </w:r>
      <w:r w:rsidR="003C1CD1" w:rsidRPr="003C1CD1">
        <w:rPr>
          <w:rFonts w:hint="cs"/>
          <w:rtl/>
        </w:rPr>
        <w:t xml:space="preserve"> النمطية والممارسات الثقافية</w:t>
      </w:r>
    </w:p>
    <w:p w:rsidR="003C1CD1" w:rsidRPr="003C1CD1" w:rsidRDefault="003C1CD1" w:rsidP="00EC5420">
      <w:pPr>
        <w:pStyle w:val="SingleTxt"/>
        <w:rPr>
          <w:rFonts w:hint="cs"/>
          <w:rtl/>
        </w:rPr>
      </w:pPr>
      <w:r w:rsidRPr="003C1CD1">
        <w:rPr>
          <w:rFonts w:hint="cs"/>
          <w:rtl/>
        </w:rPr>
        <w:t>9 -</w:t>
      </w:r>
      <w:r w:rsidRPr="003C1CD1">
        <w:rPr>
          <w:rFonts w:hint="cs"/>
          <w:rtl/>
        </w:rPr>
        <w:tab/>
      </w:r>
      <w:r w:rsidR="00EC5420">
        <w:rPr>
          <w:rFonts w:hint="cs"/>
          <w:rtl/>
        </w:rPr>
        <w:t>يُشار هنا وهناك في</w:t>
      </w:r>
      <w:r w:rsidRPr="003C1CD1">
        <w:rPr>
          <w:rFonts w:hint="cs"/>
          <w:rtl/>
        </w:rPr>
        <w:t xml:space="preserve"> التقرير إلى </w:t>
      </w:r>
      <w:r w:rsidR="00EC5420">
        <w:rPr>
          <w:rFonts w:hint="cs"/>
          <w:rtl/>
        </w:rPr>
        <w:t>الأنماط</w:t>
      </w:r>
      <w:r w:rsidRPr="003C1CD1">
        <w:rPr>
          <w:rFonts w:hint="cs"/>
          <w:rtl/>
        </w:rPr>
        <w:t xml:space="preserve"> والمواقف </w:t>
      </w:r>
      <w:r w:rsidR="00EC5420">
        <w:rPr>
          <w:rFonts w:hint="cs"/>
          <w:rtl/>
        </w:rPr>
        <w:t>والقواعد</w:t>
      </w:r>
      <w:r w:rsidRPr="003C1CD1">
        <w:rPr>
          <w:rFonts w:hint="cs"/>
          <w:rtl/>
        </w:rPr>
        <w:t xml:space="preserve"> النمطية الاجتماعية </w:t>
      </w:r>
      <w:r w:rsidR="00EC5420">
        <w:rPr>
          <w:rFonts w:hint="cs"/>
          <w:rtl/>
        </w:rPr>
        <w:t xml:space="preserve">التقليدية </w:t>
      </w:r>
      <w:r w:rsidR="00BE5E23">
        <w:rPr>
          <w:rFonts w:hint="cs"/>
          <w:rtl/>
        </w:rPr>
        <w:t>و</w:t>
      </w:r>
      <w:r w:rsidRPr="003C1CD1">
        <w:rPr>
          <w:rFonts w:hint="cs"/>
          <w:rtl/>
        </w:rPr>
        <w:t xml:space="preserve">العرفية </w:t>
      </w:r>
      <w:proofErr w:type="spellStart"/>
      <w:r w:rsidRPr="003C1CD1">
        <w:rPr>
          <w:rFonts w:hint="cs"/>
          <w:rtl/>
        </w:rPr>
        <w:t>المتجذرة</w:t>
      </w:r>
      <w:proofErr w:type="spellEnd"/>
      <w:r w:rsidRPr="003C1CD1">
        <w:rPr>
          <w:rFonts w:hint="cs"/>
          <w:rtl/>
        </w:rPr>
        <w:t xml:space="preserve"> </w:t>
      </w:r>
      <w:r w:rsidR="00EC5420">
        <w:rPr>
          <w:rFonts w:hint="cs"/>
          <w:rtl/>
        </w:rPr>
        <w:t>التي تسهم في التمييز بين الجنسين و</w:t>
      </w:r>
      <w:r w:rsidRPr="003C1CD1">
        <w:rPr>
          <w:rFonts w:hint="cs"/>
          <w:rtl/>
        </w:rPr>
        <w:t xml:space="preserve">تبقي على الصور النمطية </w:t>
      </w:r>
      <w:r w:rsidR="00EC5420">
        <w:rPr>
          <w:rFonts w:hint="cs"/>
          <w:rtl/>
        </w:rPr>
        <w:t>ل</w:t>
      </w:r>
      <w:r w:rsidRPr="003C1CD1">
        <w:rPr>
          <w:rFonts w:hint="cs"/>
          <w:rtl/>
        </w:rPr>
        <w:t xml:space="preserve">دور المرأة في المجتمع. </w:t>
      </w:r>
      <w:r w:rsidR="00EC5420">
        <w:rPr>
          <w:rFonts w:hint="cs"/>
          <w:rtl/>
        </w:rPr>
        <w:t>ويرجى تقديم تفا</w:t>
      </w:r>
      <w:r w:rsidRPr="003C1CD1">
        <w:rPr>
          <w:rFonts w:hint="cs"/>
          <w:rtl/>
        </w:rPr>
        <w:t xml:space="preserve">صيل عن التدريب على مراعاة المنظور الجنساني وبرامج التوعية باتفاقية </w:t>
      </w:r>
      <w:r w:rsidR="00EC5420">
        <w:rPr>
          <w:rFonts w:hint="cs"/>
          <w:rtl/>
        </w:rPr>
        <w:t xml:space="preserve">القضاء </w:t>
      </w:r>
      <w:r w:rsidRPr="003C1CD1">
        <w:rPr>
          <w:rFonts w:hint="cs"/>
          <w:rtl/>
        </w:rPr>
        <w:t xml:space="preserve">على جميع أشكال التمييز ضد المرأة التي تطبقها الحكومة في العاصمة فونافوتي وفي الجزر </w:t>
      </w:r>
      <w:r w:rsidR="00EC5420">
        <w:rPr>
          <w:rFonts w:hint="cs"/>
          <w:rtl/>
        </w:rPr>
        <w:t>الخارجية</w:t>
      </w:r>
      <w:r w:rsidRPr="003C1CD1">
        <w:rPr>
          <w:rFonts w:hint="cs"/>
          <w:rtl/>
        </w:rPr>
        <w:t xml:space="preserve">. كما </w:t>
      </w:r>
      <w:r w:rsidR="00EC5420">
        <w:rPr>
          <w:rFonts w:hint="cs"/>
          <w:rtl/>
        </w:rPr>
        <w:t>يرجى بيان التدابير</w:t>
      </w:r>
      <w:r w:rsidRPr="003C1CD1">
        <w:rPr>
          <w:rFonts w:hint="cs"/>
          <w:rtl/>
        </w:rPr>
        <w:t xml:space="preserve"> الملموسة التي اتخذت أو التي </w:t>
      </w:r>
      <w:r w:rsidR="00EC5420">
        <w:rPr>
          <w:rFonts w:hint="cs"/>
          <w:rtl/>
        </w:rPr>
        <w:t>يُعتزم</w:t>
      </w:r>
      <w:r w:rsidRPr="003C1CD1">
        <w:rPr>
          <w:rFonts w:hint="cs"/>
          <w:rtl/>
        </w:rPr>
        <w:t xml:space="preserve"> اتخاذها لتعديل أو تغيير أنماط السلوك الثقافية هذه للرجل والمرأة، بما يتم</w:t>
      </w:r>
      <w:r w:rsidR="00EC5420">
        <w:rPr>
          <w:rFonts w:hint="cs"/>
          <w:rtl/>
        </w:rPr>
        <w:t>ا</w:t>
      </w:r>
      <w:r w:rsidRPr="003C1CD1">
        <w:rPr>
          <w:rFonts w:hint="cs"/>
          <w:rtl/>
        </w:rPr>
        <w:t xml:space="preserve">شى مع المادة 5 (أ) من الاتفاقية، </w:t>
      </w:r>
      <w:r w:rsidR="00EC5420">
        <w:rPr>
          <w:rFonts w:hint="cs"/>
          <w:rtl/>
        </w:rPr>
        <w:t>و</w:t>
      </w:r>
      <w:r w:rsidRPr="003C1CD1">
        <w:rPr>
          <w:rFonts w:hint="cs"/>
          <w:rtl/>
        </w:rPr>
        <w:t xml:space="preserve">أي تقدم محرز في تنفيذها. </w:t>
      </w:r>
    </w:p>
    <w:p w:rsidR="00D62E1B" w:rsidRPr="00D62E1B" w:rsidRDefault="00D62E1B" w:rsidP="00D62E1B">
      <w:pPr>
        <w:pStyle w:val="SingleTxt"/>
        <w:spacing w:after="0" w:line="120" w:lineRule="exact"/>
        <w:rPr>
          <w:rFonts w:hint="cs"/>
          <w:sz w:val="10"/>
          <w:rtl/>
        </w:rPr>
      </w:pPr>
    </w:p>
    <w:p w:rsidR="003C1CD1" w:rsidRPr="003C1CD1" w:rsidRDefault="00FE1879" w:rsidP="00FE187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3C1CD1" w:rsidRPr="003C1CD1">
        <w:rPr>
          <w:rFonts w:hint="cs"/>
          <w:rtl/>
        </w:rPr>
        <w:t>العنف ضد المرأة</w:t>
      </w:r>
    </w:p>
    <w:p w:rsidR="00EC5420" w:rsidRDefault="00EC5420" w:rsidP="003C1CD1">
      <w:pPr>
        <w:pStyle w:val="SingleTxt"/>
        <w:rPr>
          <w:rFonts w:hint="cs"/>
          <w:rtl/>
        </w:rPr>
      </w:pPr>
      <w:r>
        <w:rPr>
          <w:rFonts w:hint="cs"/>
          <w:rtl/>
        </w:rPr>
        <w:t>10 -</w:t>
      </w:r>
      <w:r>
        <w:rPr>
          <w:rFonts w:hint="cs"/>
          <w:rtl/>
        </w:rPr>
        <w:tab/>
        <w:t xml:space="preserve">يذكر التقرير أن العنف ضد المرأة أمر شائع، ولكن لا يُبلّغ عنه، لأنه </w:t>
      </w:r>
      <w:r>
        <w:rPr>
          <w:rFonts w:hint="eastAsia"/>
          <w:rtl/>
        </w:rPr>
        <w:t>ي</w:t>
      </w:r>
      <w:r>
        <w:rPr>
          <w:rFonts w:hint="cs"/>
          <w:rtl/>
        </w:rPr>
        <w:t>ُ</w:t>
      </w:r>
      <w:r>
        <w:rPr>
          <w:rFonts w:hint="eastAsia"/>
          <w:rtl/>
        </w:rPr>
        <w:t xml:space="preserve">نظر إليه سواء من جانب عامة الناس أو الشرطة </w:t>
      </w:r>
      <w:r w:rsidR="00BE5E23">
        <w:rPr>
          <w:rFonts w:hint="eastAsia"/>
          <w:rtl/>
        </w:rPr>
        <w:t>على أنه أمر عائلي خاص (الفقرة 5-</w:t>
      </w:r>
      <w:r>
        <w:rPr>
          <w:rFonts w:hint="eastAsia"/>
          <w:rtl/>
        </w:rPr>
        <w:t xml:space="preserve">12). </w:t>
      </w:r>
      <w:r>
        <w:rPr>
          <w:rFonts w:hint="cs"/>
          <w:rtl/>
        </w:rPr>
        <w:t>فيرجى تقديم المزيد من المعلومات عن أي خطط أو إجراءات معيّنة تنظر الحكومة في اتخاذها لتوعية الشرطة والسلطة القضائية، وعامة الناس بشأن مسألة العنف ضد المرأة. كما يرجى تقديم معلومات بشأن أي تدابير معيّنة اتُخذت لتشجيع المرأة على الإبلاغ عما يرتكب ضده</w:t>
      </w:r>
      <w:r w:rsidR="00BE5E23">
        <w:rPr>
          <w:rFonts w:hint="cs"/>
          <w:rtl/>
        </w:rPr>
        <w:t>ا من عنف، وإعطاء تفاصيل عن سياس</w:t>
      </w:r>
      <w:r>
        <w:rPr>
          <w:rFonts w:hint="cs"/>
          <w:rtl/>
        </w:rPr>
        <w:t xml:space="preserve">ة </w:t>
      </w:r>
      <w:r>
        <w:rPr>
          <w:rFonts w:hint="eastAsia"/>
          <w:rtl/>
        </w:rPr>
        <w:t>”عدم إسقاط الحق</w:t>
      </w:r>
      <w:r>
        <w:rPr>
          <w:rFonts w:hint="cs"/>
          <w:rtl/>
        </w:rPr>
        <w:t>“ التي وض</w:t>
      </w:r>
      <w:r w:rsidR="00BE5E23">
        <w:rPr>
          <w:rFonts w:hint="cs"/>
          <w:rtl/>
        </w:rPr>
        <w:t>عتها الشرطة، وتأثيرها (الفقرة 1-</w:t>
      </w:r>
      <w:r>
        <w:rPr>
          <w:rFonts w:hint="cs"/>
          <w:rtl/>
        </w:rPr>
        <w:t>4).</w:t>
      </w:r>
    </w:p>
    <w:p w:rsidR="003C1CD1" w:rsidRPr="003C1CD1" w:rsidRDefault="00EC5420" w:rsidP="00131540">
      <w:pPr>
        <w:pStyle w:val="SingleTxt"/>
        <w:rPr>
          <w:rFonts w:hint="cs"/>
          <w:rtl/>
        </w:rPr>
      </w:pPr>
      <w:r>
        <w:rPr>
          <w:rFonts w:hint="cs"/>
          <w:rtl/>
        </w:rPr>
        <w:t>11</w:t>
      </w:r>
      <w:r w:rsidR="003C1CD1" w:rsidRPr="003C1CD1">
        <w:rPr>
          <w:rFonts w:hint="cs"/>
          <w:rtl/>
        </w:rPr>
        <w:t xml:space="preserve"> -</w:t>
      </w:r>
      <w:r w:rsidR="003C1CD1" w:rsidRPr="003C1CD1">
        <w:rPr>
          <w:rFonts w:hint="cs"/>
          <w:rtl/>
        </w:rPr>
        <w:tab/>
      </w:r>
      <w:r w:rsidR="00131540">
        <w:rPr>
          <w:rFonts w:hint="cs"/>
          <w:rtl/>
        </w:rPr>
        <w:t>ويرجى ت</w:t>
      </w:r>
      <w:r w:rsidR="003C1CD1" w:rsidRPr="003C1CD1">
        <w:rPr>
          <w:rFonts w:hint="cs"/>
          <w:rtl/>
        </w:rPr>
        <w:t>و</w:t>
      </w:r>
      <w:r w:rsidR="00131540">
        <w:rPr>
          <w:rFonts w:hint="cs"/>
          <w:rtl/>
        </w:rPr>
        <w:t xml:space="preserve">ضيح </w:t>
      </w:r>
      <w:r w:rsidR="003C1CD1" w:rsidRPr="003C1CD1">
        <w:rPr>
          <w:rFonts w:hint="cs"/>
          <w:rtl/>
        </w:rPr>
        <w:t xml:space="preserve">ما إذا كان العنف المنزلي محظورا صراحة بحكم القانون. وإذا لم يكن الأمر كذلك، </w:t>
      </w:r>
      <w:r w:rsidR="00131540">
        <w:rPr>
          <w:rFonts w:hint="cs"/>
          <w:rtl/>
        </w:rPr>
        <w:t>فيرجى تقديم</w:t>
      </w:r>
      <w:r w:rsidR="003C1CD1" w:rsidRPr="003C1CD1">
        <w:rPr>
          <w:rFonts w:hint="cs"/>
          <w:rtl/>
        </w:rPr>
        <w:t xml:space="preserve"> معلومات عن الأحكام التشريعية التي ي</w:t>
      </w:r>
      <w:r w:rsidR="00131540">
        <w:rPr>
          <w:rFonts w:hint="cs"/>
          <w:rtl/>
        </w:rPr>
        <w:t>ُ</w:t>
      </w:r>
      <w:r w:rsidR="003C1CD1" w:rsidRPr="003C1CD1">
        <w:rPr>
          <w:rFonts w:hint="cs"/>
          <w:rtl/>
        </w:rPr>
        <w:t xml:space="preserve">حاكم </w:t>
      </w:r>
      <w:r w:rsidR="00131540">
        <w:rPr>
          <w:rFonts w:hint="cs"/>
          <w:rtl/>
        </w:rPr>
        <w:t xml:space="preserve">ويُعاقب </w:t>
      </w:r>
      <w:r w:rsidR="003C1CD1" w:rsidRPr="003C1CD1">
        <w:rPr>
          <w:rFonts w:hint="cs"/>
          <w:rtl/>
        </w:rPr>
        <w:t>بمقتضاها</w:t>
      </w:r>
      <w:r w:rsidR="00131540">
        <w:rPr>
          <w:rFonts w:hint="cs"/>
          <w:rtl/>
        </w:rPr>
        <w:t xml:space="preserve"> حاليا</w:t>
      </w:r>
      <w:r w:rsidR="003C1CD1" w:rsidRPr="003C1CD1">
        <w:rPr>
          <w:rFonts w:hint="cs"/>
          <w:rtl/>
        </w:rPr>
        <w:t xml:space="preserve"> من يرتكبون </w:t>
      </w:r>
      <w:r w:rsidR="00131540">
        <w:rPr>
          <w:rFonts w:hint="cs"/>
          <w:rtl/>
        </w:rPr>
        <w:t>أعمال عنف ضد المرأة</w:t>
      </w:r>
      <w:r w:rsidR="003C1CD1" w:rsidRPr="003C1CD1">
        <w:rPr>
          <w:rFonts w:hint="cs"/>
          <w:rtl/>
        </w:rPr>
        <w:t xml:space="preserve">، وبيان ما إذا كانت هناك أي خطط </w:t>
      </w:r>
      <w:r w:rsidR="00131540">
        <w:rPr>
          <w:rFonts w:hint="cs"/>
          <w:rtl/>
        </w:rPr>
        <w:t>لاعتماد</w:t>
      </w:r>
      <w:r w:rsidR="003C1CD1" w:rsidRPr="003C1CD1">
        <w:rPr>
          <w:rFonts w:hint="cs"/>
          <w:rtl/>
        </w:rPr>
        <w:t xml:space="preserve"> تشريعات محددة بشأن العنف المنزلي، وتجريم جميع </w:t>
      </w:r>
      <w:r w:rsidR="00131540">
        <w:rPr>
          <w:rFonts w:hint="cs"/>
          <w:rtl/>
        </w:rPr>
        <w:t>أعمال</w:t>
      </w:r>
      <w:r w:rsidR="003C1CD1" w:rsidRPr="003C1CD1">
        <w:rPr>
          <w:rFonts w:hint="cs"/>
          <w:rtl/>
        </w:rPr>
        <w:t xml:space="preserve"> العنف ضد المرأة، بما في ذلك الاغتصاب </w:t>
      </w:r>
      <w:r w:rsidR="00131540">
        <w:rPr>
          <w:rFonts w:hint="cs"/>
          <w:rtl/>
        </w:rPr>
        <w:t>بين الأزواج</w:t>
      </w:r>
      <w:r w:rsidR="003C1CD1" w:rsidRPr="003C1CD1">
        <w:rPr>
          <w:rFonts w:hint="cs"/>
          <w:rtl/>
        </w:rPr>
        <w:t xml:space="preserve"> والتحرش الجنسي. </w:t>
      </w:r>
    </w:p>
    <w:p w:rsidR="003C1CD1" w:rsidRPr="003C1CD1" w:rsidRDefault="003C1CD1" w:rsidP="00BE5E23">
      <w:pPr>
        <w:pStyle w:val="SingleTxt"/>
        <w:rPr>
          <w:rFonts w:hint="cs"/>
          <w:rtl/>
        </w:rPr>
      </w:pPr>
      <w:r w:rsidRPr="003C1CD1">
        <w:rPr>
          <w:rFonts w:hint="cs"/>
          <w:rtl/>
        </w:rPr>
        <w:t>1</w:t>
      </w:r>
      <w:r w:rsidR="00BE5E23">
        <w:rPr>
          <w:rFonts w:hint="cs"/>
          <w:rtl/>
        </w:rPr>
        <w:t>2</w:t>
      </w:r>
      <w:r w:rsidRPr="003C1CD1">
        <w:rPr>
          <w:rFonts w:hint="cs"/>
          <w:rtl/>
        </w:rPr>
        <w:t xml:space="preserve"> -</w:t>
      </w:r>
      <w:r w:rsidRPr="003C1CD1">
        <w:rPr>
          <w:rFonts w:hint="cs"/>
          <w:rtl/>
        </w:rPr>
        <w:tab/>
      </w:r>
      <w:r w:rsidR="00131540">
        <w:rPr>
          <w:rFonts w:hint="cs"/>
          <w:rtl/>
        </w:rPr>
        <w:t>يذكر</w:t>
      </w:r>
      <w:r w:rsidRPr="003C1CD1">
        <w:rPr>
          <w:rFonts w:hint="cs"/>
          <w:rtl/>
        </w:rPr>
        <w:t xml:space="preserve"> التقرير أن </w:t>
      </w:r>
      <w:r w:rsidR="00131540">
        <w:rPr>
          <w:rFonts w:hint="cs"/>
          <w:rtl/>
        </w:rPr>
        <w:t>الفرع</w:t>
      </w:r>
      <w:r w:rsidRPr="003C1CD1">
        <w:rPr>
          <w:rFonts w:hint="cs"/>
          <w:rtl/>
        </w:rPr>
        <w:t xml:space="preserve"> 156 (5) من قانون العقوبات، </w:t>
      </w:r>
      <w:r w:rsidR="00131540">
        <w:rPr>
          <w:rFonts w:hint="cs"/>
          <w:rtl/>
        </w:rPr>
        <w:t>ي</w:t>
      </w:r>
      <w:r w:rsidRPr="003C1CD1">
        <w:rPr>
          <w:rFonts w:hint="cs"/>
          <w:rtl/>
        </w:rPr>
        <w:t xml:space="preserve">نص على أن أي أنثى فوق الخامسة عشرة من العمر تسمح لجدها أو أبيها أو أخيها أو ابنها بممارسة الجنس معها، تعتبر مرتكبة لجناية (الفقرة 2-11). </w:t>
      </w:r>
      <w:r w:rsidR="00131540">
        <w:rPr>
          <w:rFonts w:hint="cs"/>
          <w:rtl/>
        </w:rPr>
        <w:t>ويرجى</w:t>
      </w:r>
      <w:r w:rsidRPr="003C1CD1">
        <w:rPr>
          <w:rFonts w:hint="cs"/>
          <w:rtl/>
        </w:rPr>
        <w:t xml:space="preserve"> توضيح ما إذا </w:t>
      </w:r>
      <w:r w:rsidR="00131540">
        <w:rPr>
          <w:rFonts w:hint="cs"/>
          <w:rtl/>
        </w:rPr>
        <w:t xml:space="preserve">كان هذا الفرع قد طبق من قبل </w:t>
      </w:r>
      <w:r w:rsidRPr="003C1CD1">
        <w:rPr>
          <w:rFonts w:hint="cs"/>
          <w:rtl/>
        </w:rPr>
        <w:t xml:space="preserve">إحدى المحاكم </w:t>
      </w:r>
      <w:r w:rsidR="00131540">
        <w:rPr>
          <w:rFonts w:hint="cs"/>
          <w:rtl/>
        </w:rPr>
        <w:t>وتأثيره</w:t>
      </w:r>
      <w:r w:rsidRPr="003C1CD1">
        <w:rPr>
          <w:rFonts w:hint="cs"/>
          <w:rtl/>
        </w:rPr>
        <w:t xml:space="preserve">. كما </w:t>
      </w:r>
      <w:r w:rsidR="00131540">
        <w:rPr>
          <w:rFonts w:hint="cs"/>
          <w:rtl/>
        </w:rPr>
        <w:t>يُرجى</w:t>
      </w:r>
      <w:r w:rsidRPr="003C1CD1">
        <w:rPr>
          <w:rFonts w:hint="cs"/>
          <w:rtl/>
        </w:rPr>
        <w:t xml:space="preserve"> توضيح ما إذا كان </w:t>
      </w:r>
      <w:r w:rsidR="00131540">
        <w:rPr>
          <w:rFonts w:hint="cs"/>
          <w:rtl/>
        </w:rPr>
        <w:t xml:space="preserve">قد اتخذت </w:t>
      </w:r>
      <w:r w:rsidRPr="003C1CD1">
        <w:rPr>
          <w:rFonts w:hint="cs"/>
          <w:rtl/>
        </w:rPr>
        <w:t>أي تد</w:t>
      </w:r>
      <w:r w:rsidR="00131540">
        <w:rPr>
          <w:rFonts w:hint="cs"/>
          <w:rtl/>
        </w:rPr>
        <w:t>ا</w:t>
      </w:r>
      <w:r w:rsidRPr="003C1CD1">
        <w:rPr>
          <w:rFonts w:hint="cs"/>
          <w:rtl/>
        </w:rPr>
        <w:t xml:space="preserve">بير أو </w:t>
      </w:r>
      <w:r w:rsidR="00131540">
        <w:rPr>
          <w:rFonts w:hint="cs"/>
          <w:rtl/>
        </w:rPr>
        <w:t>يُتوخى اتخاذها لإلغاء هذا الحكم بحيث لا يُنظر لمثل هذه المرأة، وخاصة المرأة القاصر باعتبارها مرتكبة لجريمة.</w:t>
      </w:r>
    </w:p>
    <w:p w:rsidR="00D62E1B" w:rsidRPr="00D62E1B" w:rsidRDefault="00D62E1B" w:rsidP="00D62E1B">
      <w:pPr>
        <w:pStyle w:val="SingleTxt"/>
        <w:spacing w:after="0" w:line="120" w:lineRule="exact"/>
        <w:rPr>
          <w:rFonts w:hint="cs"/>
          <w:sz w:val="10"/>
          <w:rtl/>
        </w:rPr>
      </w:pPr>
    </w:p>
    <w:p w:rsidR="003C1CD1" w:rsidRPr="003C1CD1" w:rsidRDefault="00FE1879" w:rsidP="00FE187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3C1CD1" w:rsidRPr="003C1CD1">
        <w:rPr>
          <w:rFonts w:hint="cs"/>
          <w:rtl/>
        </w:rPr>
        <w:t>استغلال البغاء</w:t>
      </w:r>
    </w:p>
    <w:p w:rsidR="003C1CD1" w:rsidRPr="003C1CD1" w:rsidRDefault="003C1CD1" w:rsidP="00C03555">
      <w:pPr>
        <w:pStyle w:val="SingleTxt"/>
        <w:rPr>
          <w:rFonts w:hint="cs"/>
          <w:rtl/>
        </w:rPr>
      </w:pPr>
      <w:r w:rsidRPr="003C1CD1">
        <w:rPr>
          <w:rFonts w:hint="cs"/>
          <w:rtl/>
        </w:rPr>
        <w:t>13 -</w:t>
      </w:r>
      <w:r w:rsidRPr="003C1CD1">
        <w:rPr>
          <w:rFonts w:hint="cs"/>
          <w:rtl/>
        </w:rPr>
        <w:tab/>
        <w:t xml:space="preserve">يذكر التقرير </w:t>
      </w:r>
      <w:r w:rsidR="00C638A3">
        <w:rPr>
          <w:rFonts w:hint="cs"/>
          <w:rtl/>
        </w:rPr>
        <w:t>أن</w:t>
      </w:r>
      <w:r w:rsidRPr="003C1CD1">
        <w:rPr>
          <w:rFonts w:hint="cs"/>
          <w:rtl/>
        </w:rPr>
        <w:t xml:space="preserve"> </w:t>
      </w:r>
      <w:r w:rsidRPr="003C1CD1">
        <w:rPr>
          <w:rFonts w:hint="eastAsia"/>
          <w:rtl/>
        </w:rPr>
        <w:t>”</w:t>
      </w:r>
      <w:r w:rsidR="00C638A3">
        <w:rPr>
          <w:rFonts w:hint="cs"/>
          <w:rtl/>
        </w:rPr>
        <w:t>من المرجح</w:t>
      </w:r>
      <w:r w:rsidR="00C638A3">
        <w:rPr>
          <w:rFonts w:hint="eastAsia"/>
          <w:rtl/>
        </w:rPr>
        <w:t xml:space="preserve"> أن ت</w:t>
      </w:r>
      <w:r w:rsidR="00C638A3">
        <w:rPr>
          <w:rFonts w:hint="cs"/>
          <w:rtl/>
        </w:rPr>
        <w:t xml:space="preserve">واجه الفتيات والشابات اللواتي ينغمسن في </w:t>
      </w:r>
      <w:r w:rsidRPr="003C1CD1">
        <w:rPr>
          <w:rFonts w:hint="cs"/>
          <w:rtl/>
        </w:rPr>
        <w:t xml:space="preserve">علاقات جنسية غير </w:t>
      </w:r>
      <w:r w:rsidR="00C638A3">
        <w:rPr>
          <w:rFonts w:hint="cs"/>
          <w:rtl/>
        </w:rPr>
        <w:t>شرعية</w:t>
      </w:r>
      <w:r w:rsidRPr="003C1CD1">
        <w:rPr>
          <w:rFonts w:hint="cs"/>
          <w:rtl/>
        </w:rPr>
        <w:t xml:space="preserve"> إجراء </w:t>
      </w:r>
      <w:r w:rsidR="00C638A3">
        <w:rPr>
          <w:rFonts w:hint="cs"/>
          <w:rtl/>
        </w:rPr>
        <w:t xml:space="preserve">(تأديبيا) على هيئة اعتداء جسدي من إخوانهن وأبناء أعمامهن أو أبناء أخوالهن أو حتى من </w:t>
      </w:r>
      <w:r w:rsidRPr="003C1CD1">
        <w:rPr>
          <w:rFonts w:hint="cs"/>
          <w:rtl/>
        </w:rPr>
        <w:t>الوالدين</w:t>
      </w:r>
      <w:r w:rsidRPr="003C1CD1">
        <w:rPr>
          <w:rFonts w:hint="eastAsia"/>
          <w:rtl/>
        </w:rPr>
        <w:t xml:space="preserve">“. </w:t>
      </w:r>
      <w:r w:rsidR="00C638A3">
        <w:rPr>
          <w:rFonts w:hint="cs"/>
          <w:rtl/>
        </w:rPr>
        <w:t>فيرجى</w:t>
      </w:r>
      <w:r w:rsidRPr="003C1CD1">
        <w:rPr>
          <w:rFonts w:hint="cs"/>
          <w:rtl/>
        </w:rPr>
        <w:t xml:space="preserve"> بيان مدى انتشار </w:t>
      </w:r>
      <w:r w:rsidR="00C638A3">
        <w:rPr>
          <w:rFonts w:hint="cs"/>
          <w:rtl/>
        </w:rPr>
        <w:t>تلك</w:t>
      </w:r>
      <w:r w:rsidRPr="003C1CD1">
        <w:rPr>
          <w:rFonts w:hint="cs"/>
          <w:rtl/>
        </w:rPr>
        <w:t xml:space="preserve"> الممارسة، وكيف تعالج سلطات إنفاذ القانون </w:t>
      </w:r>
      <w:r w:rsidR="00C638A3">
        <w:rPr>
          <w:rFonts w:hint="cs"/>
          <w:rtl/>
        </w:rPr>
        <w:t>هذا الاعتداء الجسدي</w:t>
      </w:r>
      <w:r w:rsidRPr="003C1CD1">
        <w:rPr>
          <w:rFonts w:hint="cs"/>
          <w:rtl/>
        </w:rPr>
        <w:t xml:space="preserve"> الذي ينزل </w:t>
      </w:r>
      <w:r w:rsidR="00C638A3">
        <w:rPr>
          <w:rFonts w:hint="cs"/>
          <w:rtl/>
        </w:rPr>
        <w:t>ب</w:t>
      </w:r>
      <w:r w:rsidRPr="003C1CD1">
        <w:rPr>
          <w:rFonts w:hint="cs"/>
          <w:rtl/>
        </w:rPr>
        <w:t>الفتيات</w:t>
      </w:r>
      <w:r w:rsidR="00C638A3">
        <w:rPr>
          <w:rFonts w:hint="cs"/>
          <w:rtl/>
        </w:rPr>
        <w:t xml:space="preserve"> والشابات</w:t>
      </w:r>
      <w:r w:rsidRPr="003C1CD1">
        <w:rPr>
          <w:rFonts w:hint="cs"/>
          <w:rtl/>
        </w:rPr>
        <w:t>. كما يذكر التقرير أن البغاء لا يرى بوضوح في توفالو ولا يعتبر مشكلة، لأنه ليست هناك تقارير رسمية حول هذه المسألة (</w:t>
      </w:r>
      <w:r w:rsidR="00C03555">
        <w:rPr>
          <w:rFonts w:hint="cs"/>
          <w:rtl/>
        </w:rPr>
        <w:t xml:space="preserve">الفقرة </w:t>
      </w:r>
      <w:r w:rsidRPr="003C1CD1">
        <w:rPr>
          <w:rFonts w:hint="cs"/>
          <w:rtl/>
        </w:rPr>
        <w:t xml:space="preserve">6-5)، ولكنه يشير أيضا إلى أنه مع زيادة حركة السفر وانتقال الأيدي العاملة عبر الدول، بالإضافة إلى زيادة عدد الأمراض التي تنتقل عن طريق الجنس، فربما </w:t>
      </w:r>
      <w:r w:rsidR="00C03555">
        <w:rPr>
          <w:rFonts w:hint="cs"/>
          <w:rtl/>
        </w:rPr>
        <w:t>من الممكن أن يكون</w:t>
      </w:r>
      <w:r w:rsidRPr="003C1CD1">
        <w:rPr>
          <w:rFonts w:hint="cs"/>
          <w:rtl/>
        </w:rPr>
        <w:t xml:space="preserve"> هناك بغاء غير رسمي في توفالو. </w:t>
      </w:r>
      <w:r w:rsidR="00C03555">
        <w:rPr>
          <w:rFonts w:hint="cs"/>
          <w:rtl/>
        </w:rPr>
        <w:t>فيرجى</w:t>
      </w:r>
      <w:r w:rsidR="00BE5E23">
        <w:rPr>
          <w:rFonts w:hint="cs"/>
          <w:rtl/>
        </w:rPr>
        <w:t xml:space="preserve"> توضيح ما</w:t>
      </w:r>
      <w:r w:rsidR="00BE5E23">
        <w:rPr>
          <w:rFonts w:hint="eastAsia"/>
          <w:rtl/>
        </w:rPr>
        <w:t> </w:t>
      </w:r>
      <w:r w:rsidRPr="003C1CD1">
        <w:rPr>
          <w:rFonts w:hint="cs"/>
          <w:rtl/>
        </w:rPr>
        <w:t xml:space="preserve">إذا كانت هناك أية خطط لإجراء بحوث عن استغلال البغاء </w:t>
      </w:r>
      <w:r w:rsidR="00C03555">
        <w:rPr>
          <w:rFonts w:hint="cs"/>
          <w:rtl/>
        </w:rPr>
        <w:t>في توفالو وعن وضع النساء المشتغلات ب</w:t>
      </w:r>
      <w:r w:rsidRPr="003C1CD1">
        <w:rPr>
          <w:rFonts w:hint="cs"/>
          <w:rtl/>
        </w:rPr>
        <w:t xml:space="preserve">البغاء. وما هي الجهود المبذولة لتشجيع </w:t>
      </w:r>
      <w:r w:rsidR="00C03555">
        <w:rPr>
          <w:rFonts w:hint="cs"/>
          <w:rtl/>
        </w:rPr>
        <w:t>تغيير الموقف السائد</w:t>
      </w:r>
      <w:r w:rsidRPr="003C1CD1">
        <w:rPr>
          <w:rFonts w:hint="cs"/>
          <w:rtl/>
        </w:rPr>
        <w:t xml:space="preserve"> تجاه النساء والفتيات</w:t>
      </w:r>
      <w:r w:rsidR="00C03555">
        <w:rPr>
          <w:rFonts w:hint="cs"/>
          <w:rtl/>
        </w:rPr>
        <w:t xml:space="preserve"> المشتغلات بالبغاء</w:t>
      </w:r>
      <w:r w:rsidRPr="003C1CD1">
        <w:rPr>
          <w:rFonts w:hint="cs"/>
          <w:rtl/>
        </w:rPr>
        <w:t xml:space="preserve">؟ </w:t>
      </w:r>
    </w:p>
    <w:p w:rsidR="00D62E1B" w:rsidRPr="00D62E1B" w:rsidRDefault="00D62E1B" w:rsidP="00D62E1B">
      <w:pPr>
        <w:pStyle w:val="SingleTxt"/>
        <w:spacing w:after="0" w:line="120" w:lineRule="exact"/>
        <w:rPr>
          <w:rFonts w:hint="cs"/>
          <w:sz w:val="10"/>
          <w:rtl/>
        </w:rPr>
      </w:pPr>
    </w:p>
    <w:p w:rsidR="003C1CD1" w:rsidRPr="003C1CD1" w:rsidRDefault="00FE1879" w:rsidP="00FE187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3C1CD1" w:rsidRPr="003C1CD1">
        <w:rPr>
          <w:rFonts w:hint="cs"/>
          <w:rtl/>
        </w:rPr>
        <w:t>المشاركة في الحياة السياسية وفي الحياة العامة</w:t>
      </w:r>
    </w:p>
    <w:p w:rsidR="003C1CD1" w:rsidRPr="003C1CD1" w:rsidRDefault="003C1CD1" w:rsidP="00C03555">
      <w:pPr>
        <w:pStyle w:val="SingleTxt"/>
        <w:rPr>
          <w:rFonts w:hint="cs"/>
          <w:rtl/>
        </w:rPr>
      </w:pPr>
      <w:r w:rsidRPr="003C1CD1">
        <w:rPr>
          <w:rFonts w:hint="cs"/>
          <w:rtl/>
        </w:rPr>
        <w:t>14 -</w:t>
      </w:r>
      <w:r w:rsidRPr="003C1CD1">
        <w:rPr>
          <w:rFonts w:hint="cs"/>
          <w:rtl/>
        </w:rPr>
        <w:tab/>
      </w:r>
      <w:r w:rsidR="00C03555">
        <w:rPr>
          <w:rFonts w:hint="cs"/>
          <w:rtl/>
        </w:rPr>
        <w:t>يلاحظ</w:t>
      </w:r>
      <w:r w:rsidRPr="003C1CD1">
        <w:rPr>
          <w:rFonts w:hint="cs"/>
          <w:rtl/>
        </w:rPr>
        <w:t xml:space="preserve"> التقرير </w:t>
      </w:r>
      <w:r w:rsidR="00C03555">
        <w:rPr>
          <w:rFonts w:hint="cs"/>
          <w:rtl/>
        </w:rPr>
        <w:t>أن</w:t>
      </w:r>
      <w:r w:rsidRPr="003C1CD1">
        <w:rPr>
          <w:rFonts w:hint="cs"/>
          <w:rtl/>
        </w:rPr>
        <w:t xml:space="preserve"> الأدوار التقليدية النمطية للرجل والمرأة تؤثر على مشاركتهما في عمليات صنع القرار الرسمية، بما في ذلك المشاركة السياسية. </w:t>
      </w:r>
      <w:r w:rsidR="00C03555">
        <w:rPr>
          <w:rFonts w:hint="cs"/>
          <w:rtl/>
        </w:rPr>
        <w:t>فيرجى</w:t>
      </w:r>
      <w:r w:rsidRPr="003C1CD1">
        <w:rPr>
          <w:rFonts w:hint="cs"/>
          <w:rtl/>
        </w:rPr>
        <w:t xml:space="preserve"> تقديم المزيد من المعلومات عن برامج </w:t>
      </w:r>
      <w:r w:rsidRPr="003C1CD1">
        <w:rPr>
          <w:rFonts w:hint="eastAsia"/>
          <w:rtl/>
        </w:rPr>
        <w:t>”</w:t>
      </w:r>
      <w:r w:rsidR="00C03555">
        <w:rPr>
          <w:rFonts w:hint="cs"/>
          <w:rtl/>
        </w:rPr>
        <w:t xml:space="preserve">دَوْر </w:t>
      </w:r>
      <w:r w:rsidRPr="003C1CD1">
        <w:rPr>
          <w:rFonts w:hint="eastAsia"/>
          <w:rtl/>
        </w:rPr>
        <w:t>المرأة في</w:t>
      </w:r>
      <w:r w:rsidR="00C03555">
        <w:rPr>
          <w:rFonts w:hint="cs"/>
          <w:rtl/>
        </w:rPr>
        <w:t xml:space="preserve"> مجال</w:t>
      </w:r>
      <w:r w:rsidRPr="003C1CD1">
        <w:rPr>
          <w:rFonts w:hint="eastAsia"/>
          <w:rtl/>
        </w:rPr>
        <w:t xml:space="preserve"> السياسة</w:t>
      </w:r>
      <w:r w:rsidRPr="003C1CD1">
        <w:rPr>
          <w:rFonts w:hint="cs"/>
          <w:rtl/>
        </w:rPr>
        <w:t xml:space="preserve">“ وأي تدابير أخرى تتخذ أو </w:t>
      </w:r>
      <w:r w:rsidR="00C03555">
        <w:rPr>
          <w:rFonts w:hint="cs"/>
          <w:rtl/>
        </w:rPr>
        <w:t xml:space="preserve">يُتوخى اتخاذها </w:t>
      </w:r>
      <w:r w:rsidRPr="003C1CD1">
        <w:rPr>
          <w:rFonts w:hint="cs"/>
          <w:rtl/>
        </w:rPr>
        <w:t xml:space="preserve">لتشجيع مشاركة المرأة في </w:t>
      </w:r>
      <w:r w:rsidR="00C03555">
        <w:rPr>
          <w:rFonts w:hint="cs"/>
          <w:rtl/>
        </w:rPr>
        <w:t>ال</w:t>
      </w:r>
      <w:r w:rsidRPr="003C1CD1">
        <w:rPr>
          <w:rFonts w:hint="cs"/>
          <w:rtl/>
        </w:rPr>
        <w:t>وظائف</w:t>
      </w:r>
      <w:r w:rsidR="00C03555">
        <w:rPr>
          <w:rFonts w:hint="cs"/>
          <w:rtl/>
        </w:rPr>
        <w:t xml:space="preserve"> السياسية و</w:t>
      </w:r>
      <w:r w:rsidRPr="003C1CD1">
        <w:rPr>
          <w:rFonts w:hint="cs"/>
          <w:rtl/>
        </w:rPr>
        <w:t>صنع القرارات العامة،</w:t>
      </w:r>
      <w:r w:rsidR="00C03555">
        <w:rPr>
          <w:rFonts w:hint="cs"/>
          <w:rtl/>
        </w:rPr>
        <w:t xml:space="preserve"> بما في ذلك الخدمة</w:t>
      </w:r>
      <w:r w:rsidRPr="003C1CD1">
        <w:rPr>
          <w:rFonts w:hint="cs"/>
          <w:rtl/>
        </w:rPr>
        <w:t xml:space="preserve"> العامة، والإدارة العامة، وعضوية المجالس والهيئات العامة، بما فيها تلك التي تهدف إلى تمكين </w:t>
      </w:r>
      <w:r w:rsidR="00C03555">
        <w:rPr>
          <w:rFonts w:hint="cs"/>
          <w:rtl/>
        </w:rPr>
        <w:t>المرأة نفسها</w:t>
      </w:r>
      <w:r w:rsidRPr="003C1CD1">
        <w:rPr>
          <w:rFonts w:hint="cs"/>
          <w:rtl/>
        </w:rPr>
        <w:t xml:space="preserve"> (الفقرتان 4-4 و 4-5).</w:t>
      </w:r>
    </w:p>
    <w:p w:rsidR="003C1CD1" w:rsidRPr="003C1CD1" w:rsidRDefault="003C1CD1" w:rsidP="00BE5E23">
      <w:pPr>
        <w:pStyle w:val="SingleTxt"/>
        <w:rPr>
          <w:rFonts w:hint="cs"/>
          <w:rtl/>
        </w:rPr>
      </w:pPr>
      <w:r w:rsidRPr="003C1CD1">
        <w:rPr>
          <w:rFonts w:hint="cs"/>
          <w:rtl/>
        </w:rPr>
        <w:t>15 -</w:t>
      </w:r>
      <w:r w:rsidRPr="003C1CD1">
        <w:rPr>
          <w:rFonts w:hint="cs"/>
          <w:rtl/>
        </w:rPr>
        <w:tab/>
      </w:r>
      <w:r w:rsidR="00C03555">
        <w:rPr>
          <w:rFonts w:hint="cs"/>
          <w:rtl/>
        </w:rPr>
        <w:t xml:space="preserve">ويشير التقرير هنا وهناك إلى أن </w:t>
      </w:r>
      <w:r w:rsidRPr="003C1CD1">
        <w:rPr>
          <w:rFonts w:hint="cs"/>
          <w:rtl/>
        </w:rPr>
        <w:t xml:space="preserve">غياب المرأة عن اجتماعات </w:t>
      </w:r>
      <w:r w:rsidR="00BE124F">
        <w:rPr>
          <w:rFonts w:hint="cs"/>
          <w:rtl/>
        </w:rPr>
        <w:t>مجلس الاجتماع التقليدي (فاليكاوبولي)</w:t>
      </w:r>
      <w:r w:rsidRPr="003C1CD1">
        <w:rPr>
          <w:rFonts w:hint="cs"/>
          <w:rtl/>
        </w:rPr>
        <w:t xml:space="preserve"> </w:t>
      </w:r>
      <w:r w:rsidR="00BE5E23">
        <w:rPr>
          <w:rFonts w:hint="cs"/>
          <w:rtl/>
        </w:rPr>
        <w:t>ي</w:t>
      </w:r>
      <w:r w:rsidRPr="003C1CD1">
        <w:rPr>
          <w:rFonts w:hint="cs"/>
          <w:rtl/>
        </w:rPr>
        <w:t xml:space="preserve">حول دون </w:t>
      </w:r>
      <w:r w:rsidR="00BE124F">
        <w:rPr>
          <w:rFonts w:hint="cs"/>
          <w:rtl/>
        </w:rPr>
        <w:t xml:space="preserve">مشاركتها </w:t>
      </w:r>
      <w:r w:rsidRPr="003C1CD1">
        <w:rPr>
          <w:rFonts w:hint="cs"/>
          <w:rtl/>
        </w:rPr>
        <w:t xml:space="preserve">مشاركة كاملة في عملية صنع القرار على الصعيد المحلي. </w:t>
      </w:r>
      <w:r w:rsidR="00BE124F">
        <w:rPr>
          <w:rFonts w:hint="cs"/>
          <w:rtl/>
        </w:rPr>
        <w:t xml:space="preserve">فيرجى بيان </w:t>
      </w:r>
      <w:r w:rsidRPr="003C1CD1">
        <w:rPr>
          <w:rFonts w:hint="cs"/>
          <w:rtl/>
        </w:rPr>
        <w:t>التدابير</w:t>
      </w:r>
      <w:r w:rsidR="00BE124F">
        <w:rPr>
          <w:rFonts w:hint="cs"/>
          <w:rtl/>
        </w:rPr>
        <w:t xml:space="preserve"> ا</w:t>
      </w:r>
      <w:r w:rsidRPr="003C1CD1">
        <w:rPr>
          <w:rFonts w:hint="cs"/>
          <w:rtl/>
        </w:rPr>
        <w:t xml:space="preserve">لتي </w:t>
      </w:r>
      <w:r w:rsidR="00BE124F">
        <w:rPr>
          <w:rFonts w:hint="cs"/>
          <w:rtl/>
        </w:rPr>
        <w:t xml:space="preserve">قد تكون </w:t>
      </w:r>
      <w:r w:rsidRPr="003C1CD1">
        <w:rPr>
          <w:rFonts w:hint="cs"/>
          <w:rtl/>
        </w:rPr>
        <w:t xml:space="preserve">اتخذت للنهوض بمشاركة المرأة في اجتماعات </w:t>
      </w:r>
      <w:r w:rsidR="00BE124F">
        <w:rPr>
          <w:rFonts w:hint="cs"/>
          <w:rtl/>
        </w:rPr>
        <w:t>مجلس الاجتماع التقليدي وتمثيلها في جزيرة كاو</w:t>
      </w:r>
      <w:r w:rsidRPr="003C1CD1">
        <w:rPr>
          <w:rFonts w:hint="cs"/>
          <w:rtl/>
        </w:rPr>
        <w:t xml:space="preserve">بولي، وتشجيع </w:t>
      </w:r>
      <w:r w:rsidR="00BE124F">
        <w:rPr>
          <w:rFonts w:hint="cs"/>
          <w:rtl/>
        </w:rPr>
        <w:t xml:space="preserve">تغيير </w:t>
      </w:r>
      <w:r w:rsidRPr="003C1CD1">
        <w:rPr>
          <w:rFonts w:hint="cs"/>
          <w:rtl/>
        </w:rPr>
        <w:t xml:space="preserve">الموقف العام الذي </w:t>
      </w:r>
      <w:r w:rsidR="00F32051">
        <w:rPr>
          <w:rFonts w:hint="cs"/>
          <w:rtl/>
        </w:rPr>
        <w:t>يعوق</w:t>
      </w:r>
      <w:r w:rsidRPr="003C1CD1">
        <w:rPr>
          <w:rFonts w:hint="cs"/>
          <w:rtl/>
        </w:rPr>
        <w:t xml:space="preserve"> مشاركة المرأة في </w:t>
      </w:r>
      <w:r w:rsidR="00F32051">
        <w:rPr>
          <w:rFonts w:hint="cs"/>
          <w:rtl/>
        </w:rPr>
        <w:t>تلك</w:t>
      </w:r>
      <w:r w:rsidRPr="003C1CD1">
        <w:rPr>
          <w:rFonts w:hint="cs"/>
          <w:rtl/>
        </w:rPr>
        <w:t xml:space="preserve"> الاجتماعات وترشيح نفسها للانتخابات في جزيرة كاوبولي، بما في ذلك التدابير التي تهدف إلى </w:t>
      </w:r>
      <w:r w:rsidR="00F32051">
        <w:rPr>
          <w:rFonts w:hint="cs"/>
          <w:rtl/>
        </w:rPr>
        <w:t xml:space="preserve">تعزيز </w:t>
      </w:r>
      <w:r w:rsidRPr="003C1CD1">
        <w:rPr>
          <w:rFonts w:hint="cs"/>
          <w:rtl/>
        </w:rPr>
        <w:t xml:space="preserve">توعية المرأة بهذه الفرص. </w:t>
      </w:r>
    </w:p>
    <w:p w:rsidR="002F0573" w:rsidRDefault="003C1CD1" w:rsidP="00B43C16">
      <w:pPr>
        <w:pStyle w:val="SingleTxt"/>
        <w:rPr>
          <w:rFonts w:hint="cs"/>
          <w:rtl/>
        </w:rPr>
      </w:pPr>
      <w:r w:rsidRPr="003C1CD1">
        <w:rPr>
          <w:rFonts w:hint="cs"/>
          <w:rtl/>
        </w:rPr>
        <w:t>16 -</w:t>
      </w:r>
      <w:r w:rsidRPr="003C1CD1">
        <w:rPr>
          <w:rFonts w:hint="cs"/>
          <w:rtl/>
        </w:rPr>
        <w:tab/>
        <w:t>ومع مراعاة التوصية العامة رقم 23 للجنة بشأن دور المرأة في الحياة</w:t>
      </w:r>
      <w:r w:rsidR="00F32051">
        <w:rPr>
          <w:rFonts w:hint="cs"/>
          <w:rtl/>
        </w:rPr>
        <w:t xml:space="preserve"> السياسية و</w:t>
      </w:r>
      <w:r w:rsidRPr="003C1CD1">
        <w:rPr>
          <w:rFonts w:hint="cs"/>
          <w:rtl/>
        </w:rPr>
        <w:t xml:space="preserve">العامة، </w:t>
      </w:r>
      <w:r w:rsidR="00F32051">
        <w:rPr>
          <w:rFonts w:hint="cs"/>
          <w:rtl/>
        </w:rPr>
        <w:t>يرجى بيان</w:t>
      </w:r>
      <w:r w:rsidRPr="003C1CD1">
        <w:rPr>
          <w:rFonts w:hint="cs"/>
          <w:rtl/>
        </w:rPr>
        <w:t xml:space="preserve"> ما إذا كانت الحكومة تنوي إصدار توجيهات، أو تحديد حصص، أو</w:t>
      </w:r>
      <w:r w:rsidR="00B43C16">
        <w:rPr>
          <w:rFonts w:hint="eastAsia"/>
          <w:rtl/>
        </w:rPr>
        <w:t> </w:t>
      </w:r>
      <w:r w:rsidRPr="003C1CD1">
        <w:rPr>
          <w:rFonts w:hint="cs"/>
          <w:rtl/>
        </w:rPr>
        <w:t xml:space="preserve">اتخاذ أي تدابير </w:t>
      </w:r>
      <w:r w:rsidR="00F32051" w:rsidRPr="003C1CD1">
        <w:rPr>
          <w:rFonts w:hint="cs"/>
          <w:rtl/>
        </w:rPr>
        <w:t xml:space="preserve">محددة </w:t>
      </w:r>
      <w:r w:rsidRPr="003C1CD1">
        <w:rPr>
          <w:rFonts w:hint="cs"/>
          <w:rtl/>
        </w:rPr>
        <w:t xml:space="preserve">أخرى لزيادة تمثيل المرأة في المستويات العليا للحكومة، </w:t>
      </w:r>
      <w:r w:rsidR="00F32051">
        <w:rPr>
          <w:rFonts w:hint="cs"/>
          <w:rtl/>
        </w:rPr>
        <w:t>وفي السلطة</w:t>
      </w:r>
      <w:r w:rsidRPr="003C1CD1">
        <w:rPr>
          <w:rFonts w:hint="cs"/>
          <w:rtl/>
        </w:rPr>
        <w:t xml:space="preserve"> القضائية، </w:t>
      </w:r>
      <w:r w:rsidR="00F32051">
        <w:rPr>
          <w:rFonts w:hint="cs"/>
          <w:rtl/>
        </w:rPr>
        <w:t>والمؤسسات</w:t>
      </w:r>
      <w:r w:rsidRPr="003C1CD1">
        <w:rPr>
          <w:rFonts w:hint="cs"/>
          <w:rtl/>
        </w:rPr>
        <w:t xml:space="preserve"> الدولية (الفقرتان 8-4 و 11-8).</w:t>
      </w:r>
    </w:p>
    <w:p w:rsidR="001C7988" w:rsidRDefault="001C7988" w:rsidP="001C798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 xml:space="preserve">التعليم </w:t>
      </w:r>
    </w:p>
    <w:p w:rsidR="001C7988" w:rsidRDefault="001C7988" w:rsidP="001C7988">
      <w:pPr>
        <w:pStyle w:val="SingleTxt"/>
        <w:rPr>
          <w:rFonts w:hint="cs"/>
          <w:rtl/>
        </w:rPr>
      </w:pPr>
      <w:r>
        <w:rPr>
          <w:rFonts w:hint="cs"/>
          <w:rtl/>
        </w:rPr>
        <w:t>17 -</w:t>
      </w:r>
      <w:r>
        <w:rPr>
          <w:rFonts w:hint="cs"/>
          <w:rtl/>
        </w:rPr>
        <w:tab/>
        <w:t xml:space="preserve">يرجى تفصيل الخطوات التي اتخذت أو التي ينظر في اتخاذها لتعديل القوالب النمطية </w:t>
      </w:r>
      <w:proofErr w:type="spellStart"/>
      <w:r>
        <w:rPr>
          <w:rFonts w:hint="cs"/>
          <w:rtl/>
        </w:rPr>
        <w:t>الجنسانية</w:t>
      </w:r>
      <w:proofErr w:type="spellEnd"/>
      <w:r>
        <w:rPr>
          <w:rFonts w:hint="cs"/>
          <w:rtl/>
        </w:rPr>
        <w:t xml:space="preserve"> عن طريق مناهج دراسية تراعي المنظور </w:t>
      </w:r>
      <w:proofErr w:type="spellStart"/>
      <w:r>
        <w:rPr>
          <w:rFonts w:hint="cs"/>
          <w:rtl/>
        </w:rPr>
        <w:t>الجنساني</w:t>
      </w:r>
      <w:proofErr w:type="spellEnd"/>
      <w:r>
        <w:rPr>
          <w:rFonts w:hint="cs"/>
          <w:rtl/>
        </w:rPr>
        <w:t>، وتشجيع المرأة على مواصلة التعليم في مستوى التعليم العالي، وعلى اختيار مجالات دراسية غير تقليدية</w:t>
      </w:r>
      <w:r>
        <w:rPr>
          <w:rtl/>
        </w:rPr>
        <w:br/>
      </w:r>
      <w:r>
        <w:rPr>
          <w:rFonts w:hint="cs"/>
          <w:rtl/>
        </w:rPr>
        <w:t>(الفقرتان 10-29 و 10-30).</w:t>
      </w:r>
    </w:p>
    <w:p w:rsidR="001C7988" w:rsidRDefault="001C7988" w:rsidP="001C7988">
      <w:pPr>
        <w:pStyle w:val="SingleTxt"/>
        <w:rPr>
          <w:rFonts w:hint="cs"/>
          <w:rtl/>
        </w:rPr>
      </w:pPr>
      <w:r>
        <w:rPr>
          <w:rFonts w:hint="cs"/>
          <w:rtl/>
        </w:rPr>
        <w:t>18 -</w:t>
      </w:r>
      <w:r>
        <w:rPr>
          <w:rFonts w:hint="cs"/>
          <w:rtl/>
        </w:rPr>
        <w:tab/>
        <w:t xml:space="preserve">ويشير التقرير إلى أنه بحكم القانون، يتمتع الفتيات والفتيان بنفس فرص التعليم في المدارس الابتدائية والثانوية (الفقرتان 10-4 و 10-14). فيرجى تقديم معلومات مستوفاة عن النسبة المئوية للفتيات اللاتي هن في سن الدراسة، سواء في العاصمة أو في الجزر الخارجية، المقيدات في المدارس الابتدائية والثانوية. </w:t>
      </w:r>
    </w:p>
    <w:p w:rsidR="001C7988" w:rsidRPr="0049336A" w:rsidRDefault="001C7988" w:rsidP="001C7988">
      <w:pPr>
        <w:pStyle w:val="SingleTxt"/>
        <w:spacing w:after="0" w:line="120" w:lineRule="exact"/>
        <w:rPr>
          <w:rFonts w:hint="cs"/>
          <w:sz w:val="10"/>
          <w:rtl/>
        </w:rPr>
      </w:pPr>
    </w:p>
    <w:p w:rsidR="001C7988" w:rsidRDefault="001C7988" w:rsidP="001C798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العمالة</w:t>
      </w:r>
    </w:p>
    <w:p w:rsidR="001C7988" w:rsidRDefault="001C7988" w:rsidP="001C7988">
      <w:pPr>
        <w:pStyle w:val="SingleTxt"/>
        <w:rPr>
          <w:rFonts w:hint="cs"/>
          <w:rtl/>
        </w:rPr>
      </w:pPr>
      <w:r>
        <w:rPr>
          <w:rFonts w:hint="cs"/>
          <w:rtl/>
        </w:rPr>
        <w:t>19 -</w:t>
      </w:r>
      <w:r>
        <w:rPr>
          <w:rFonts w:hint="cs"/>
          <w:rtl/>
        </w:rPr>
        <w:tab/>
        <w:t xml:space="preserve">يذكر التقرير أن التمييز الرأسي بين الرجل والمرأة منتشر في سوق العمل، حيث تسود النساء في الأعمال الكتابية وما يتصل بها (الفقرتان 11-6 و 11-8). فيرجى تقديم معلومات عن أي تدابير اتخذت أو يُتوخى اتخاذها لمعالجة التمييز الرأسي في سوق العمل، سواء في وظائف القطاع العام أو الخاص، وتيسير فرص حصول النساء الحاصلات على مؤهلات جامعية على وظائف ومرتبات تتناسب مع مؤهلاتهن. </w:t>
      </w:r>
    </w:p>
    <w:p w:rsidR="001C7988" w:rsidRDefault="001C7988" w:rsidP="001C7988">
      <w:pPr>
        <w:pStyle w:val="SingleTxt"/>
        <w:rPr>
          <w:rFonts w:hint="cs"/>
          <w:rtl/>
        </w:rPr>
      </w:pPr>
      <w:r>
        <w:rPr>
          <w:rFonts w:hint="cs"/>
          <w:rtl/>
        </w:rPr>
        <w:t>20 -</w:t>
      </w:r>
      <w:r>
        <w:rPr>
          <w:rFonts w:hint="cs"/>
          <w:rtl/>
        </w:rPr>
        <w:tab/>
        <w:t>ويذكر التقرير أن الفرصة المتاحة للمرأة من خلال مشروع فوائد البقاء في المنزل، قد</w:t>
      </w:r>
      <w:r>
        <w:rPr>
          <w:rFonts w:hint="eastAsia"/>
          <w:rtl/>
        </w:rPr>
        <w:t> </w:t>
      </w:r>
      <w:r>
        <w:rPr>
          <w:rFonts w:hint="cs"/>
          <w:rtl/>
        </w:rPr>
        <w:t xml:space="preserve">يدفع المرأة في واقع الأمر إلى الاستقالة من عملها واستخدام مدخرات معاشها لتلبية الاحتياجات المالية العاجلة للأسرة، على حساب فوائد عملها واستحقاقاتها من المعاش التقاعدي على المدى الطويل (الفقرة 11-14). فيرجى تقديم معلومات عن أي تدابير تهدف إلى تثبيط هذه الممارسة. كما يرجى بيان ما إذا كانت تتوافر للمرأة العاملة في القطاع غير الرسمي أي معاش أو استحقاقات تقاعدية. </w:t>
      </w:r>
    </w:p>
    <w:p w:rsidR="001C7988" w:rsidRPr="0049336A" w:rsidRDefault="001C7988" w:rsidP="001C7988">
      <w:pPr>
        <w:pStyle w:val="SingleTxt"/>
        <w:spacing w:after="0" w:line="120" w:lineRule="exact"/>
        <w:rPr>
          <w:rFonts w:hint="cs"/>
          <w:sz w:val="10"/>
          <w:rtl/>
        </w:rPr>
      </w:pPr>
    </w:p>
    <w:p w:rsidR="001C7988" w:rsidRDefault="001C7988" w:rsidP="001C798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الصحة</w:t>
      </w:r>
    </w:p>
    <w:p w:rsidR="001C7988" w:rsidRDefault="001C7988" w:rsidP="00B2189E">
      <w:pPr>
        <w:pStyle w:val="SingleTxt"/>
        <w:rPr>
          <w:rFonts w:hint="cs"/>
          <w:rtl/>
        </w:rPr>
      </w:pPr>
      <w:r>
        <w:rPr>
          <w:rFonts w:hint="cs"/>
          <w:rtl/>
        </w:rPr>
        <w:t>21 -</w:t>
      </w:r>
      <w:r>
        <w:rPr>
          <w:rFonts w:hint="cs"/>
          <w:rtl/>
        </w:rPr>
        <w:tab/>
        <w:t xml:space="preserve">يشير التقرير إلى انخفاض استخدام موانع الحمل وزيادة العدد الكلي للمراهقات الحوامل والأمراض التي تنتقل عن طريق الجنس. كما يلاحظ التقرير أن الشباب الذين يعيشون في الجزر الخارجية تقل فرص حصولهم على المعلومات المتعلقة بالصحة الجنسية عن أولئك الذين يعيشون في العاصمة. فيرجى تفصيل التدابير التي تتخذ أو التي يتوخى اتخاذها لكفالة حصول النساء والمراهقات على برامج وخدمات التوعية بالصحة الإنجابية والصحة الجنسية وكذلك وسائل منع الحمل المأمونة </w:t>
      </w:r>
      <w:proofErr w:type="spellStart"/>
      <w:r>
        <w:rPr>
          <w:rFonts w:hint="cs"/>
          <w:rtl/>
        </w:rPr>
        <w:t>والموثوقة</w:t>
      </w:r>
      <w:proofErr w:type="spellEnd"/>
      <w:r>
        <w:rPr>
          <w:rFonts w:hint="cs"/>
          <w:rtl/>
        </w:rPr>
        <w:t xml:space="preserve"> (الفقرات 12-10 و 12-11</w:t>
      </w:r>
      <w:r w:rsidR="00B2189E">
        <w:rPr>
          <w:rFonts w:hint="cs"/>
          <w:rtl/>
        </w:rPr>
        <w:t xml:space="preserve"> و</w:t>
      </w:r>
      <w:r w:rsidR="00B2189E">
        <w:rPr>
          <w:rFonts w:hint="eastAsia"/>
          <w:rtl/>
        </w:rPr>
        <w:t> </w:t>
      </w:r>
      <w:r>
        <w:rPr>
          <w:rFonts w:hint="cs"/>
          <w:rtl/>
        </w:rPr>
        <w:t>12-17 و</w:t>
      </w:r>
      <w:r>
        <w:rPr>
          <w:rFonts w:hint="eastAsia"/>
          <w:rtl/>
        </w:rPr>
        <w:t> </w:t>
      </w:r>
      <w:r>
        <w:rPr>
          <w:rFonts w:hint="cs"/>
          <w:rtl/>
        </w:rPr>
        <w:t xml:space="preserve">12-18). ويرجى بيان ما إذا كانت هناك أي مواقف ثقافية فيما يتعلق بنوع الجنس تمنع النساء والمراهقات من رفض ممارسة الجنس أو الإصرار على الممارسات الجنسية المأمونة </w:t>
      </w:r>
      <w:proofErr w:type="spellStart"/>
      <w:r>
        <w:rPr>
          <w:rFonts w:hint="cs"/>
          <w:rtl/>
        </w:rPr>
        <w:t>والمسؤولة</w:t>
      </w:r>
      <w:proofErr w:type="spellEnd"/>
      <w:r>
        <w:rPr>
          <w:rFonts w:hint="cs"/>
          <w:rtl/>
        </w:rPr>
        <w:t xml:space="preserve">، وما هي التدابير التي اتخذت لتشجيع تغيير تلك المواقف. </w:t>
      </w:r>
    </w:p>
    <w:p w:rsidR="001C7988" w:rsidRDefault="001C7988" w:rsidP="001C7988">
      <w:pPr>
        <w:pStyle w:val="SingleTxt"/>
        <w:rPr>
          <w:rFonts w:hint="cs"/>
          <w:rtl/>
        </w:rPr>
      </w:pPr>
      <w:r>
        <w:rPr>
          <w:rFonts w:hint="cs"/>
          <w:rtl/>
        </w:rPr>
        <w:t>22 -</w:t>
      </w:r>
      <w:r>
        <w:rPr>
          <w:rFonts w:hint="cs"/>
          <w:rtl/>
        </w:rPr>
        <w:tab/>
        <w:t xml:space="preserve">ووفقا للتقرير، فإن الإجهاض يعد جريمة في </w:t>
      </w:r>
      <w:proofErr w:type="spellStart"/>
      <w:r>
        <w:rPr>
          <w:rFonts w:hint="cs"/>
          <w:rtl/>
        </w:rPr>
        <w:t>توفالو</w:t>
      </w:r>
      <w:proofErr w:type="spellEnd"/>
      <w:r>
        <w:rPr>
          <w:rFonts w:hint="cs"/>
          <w:rtl/>
        </w:rPr>
        <w:t xml:space="preserve">، ولكن هناك بعض الحالات التي قد تقبل فيها المحكمة بالدفاع المناسب عن تهمة الإجهاض، كأن يكون الإجهاض ضروريا للحفاظ على صحة الأم (الفقرة 12-12). فيرجى تقديم معلومات عن عدد النساء اللاتي لجأن إلى الإجهاض في السنوات الأربع الأخيرة، وما إذا كانت هناك أي إجراءات قضائية قد اتخذت ضدهن أو ضد العاملين في مجال الرعاية الصحية على أساس اتهامات بالإجهاض المخالف للقانون، ونتائج هذه الإجراءات. كما يرجى تقديم معلومات تفصيلية عن أي خطط لتعديل التشريعات من أجل إلغاء الأحكام العقابية التي تفرض على النساء اللاتي يجرين عمليات الإجهاض، بما يتماشى مع التوصية العامة للجنة رقم 24 بشأن المرأة والصحة. </w:t>
      </w:r>
    </w:p>
    <w:p w:rsidR="001C7988" w:rsidRPr="0049336A" w:rsidRDefault="001C7988" w:rsidP="001C7988">
      <w:pPr>
        <w:pStyle w:val="SingleTxt"/>
        <w:spacing w:after="0" w:line="120" w:lineRule="exact"/>
        <w:rPr>
          <w:rFonts w:hint="cs"/>
          <w:sz w:val="10"/>
          <w:rtl/>
        </w:rPr>
      </w:pPr>
    </w:p>
    <w:p w:rsidR="001C7988" w:rsidRDefault="001C7988" w:rsidP="001C798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الفوائد الاقتصادية والاجتماعية</w:t>
      </w:r>
    </w:p>
    <w:p w:rsidR="001C7988" w:rsidRDefault="001C7988" w:rsidP="001C7988">
      <w:pPr>
        <w:pStyle w:val="SingleTxt"/>
        <w:rPr>
          <w:rFonts w:hint="cs"/>
          <w:rtl/>
        </w:rPr>
      </w:pPr>
      <w:r>
        <w:rPr>
          <w:rFonts w:hint="cs"/>
          <w:rtl/>
        </w:rPr>
        <w:t>23 -</w:t>
      </w:r>
      <w:r>
        <w:rPr>
          <w:rFonts w:hint="cs"/>
          <w:rtl/>
        </w:rPr>
        <w:tab/>
        <w:t xml:space="preserve">تبين الإحصاءات المرفقة بالتقرير أن غالبية كبيرة من القروض التي وافق عليها بنك التنمية في </w:t>
      </w:r>
      <w:proofErr w:type="spellStart"/>
      <w:r>
        <w:rPr>
          <w:rFonts w:hint="cs"/>
          <w:rtl/>
        </w:rPr>
        <w:t>توفالو</w:t>
      </w:r>
      <w:proofErr w:type="spellEnd"/>
      <w:r>
        <w:rPr>
          <w:rFonts w:hint="cs"/>
          <w:rtl/>
        </w:rPr>
        <w:t xml:space="preserve"> قد منحت إلى رجال، وأن القروض التي منحت إلى النساء كانت أصغر بصفة عامة من تلك التي منحت إلى الرجال (الفقرة 13-8). ويرجى تقديم معلومات عن أي استراتيجيات تهدف إلى الترويج إلى إعطاء المرأة فرصا حقيقية للحصول على المساعدة المالية من هذا البنك. </w:t>
      </w:r>
    </w:p>
    <w:p w:rsidR="001C7988" w:rsidRDefault="001C7988" w:rsidP="001C7988">
      <w:pPr>
        <w:pStyle w:val="SingleTxt"/>
        <w:rPr>
          <w:rFonts w:hint="cs"/>
          <w:rtl/>
        </w:rPr>
      </w:pPr>
      <w:r>
        <w:rPr>
          <w:rFonts w:hint="cs"/>
          <w:rtl/>
        </w:rPr>
        <w:t>24 -</w:t>
      </w:r>
      <w:r>
        <w:rPr>
          <w:rFonts w:hint="cs"/>
          <w:rtl/>
        </w:rPr>
        <w:tab/>
        <w:t xml:space="preserve">ووفقا للتقرير، فإن هناك قلقا من كون النساء أكثر تعرضا للفقر بسبب أدوارهن التقليدية في المجتمع (الفقرة 13-11). فيرجى تقديم معلومات عن الاستراتيجيات التي ربما تفكر فيها الحكومة لمعالجة المشكلة. </w:t>
      </w:r>
    </w:p>
    <w:p w:rsidR="001C7988" w:rsidRPr="0049336A" w:rsidRDefault="001C7988" w:rsidP="001C7988">
      <w:pPr>
        <w:pStyle w:val="SingleTxt"/>
        <w:spacing w:after="0" w:line="120" w:lineRule="exact"/>
        <w:rPr>
          <w:rFonts w:hint="cs"/>
          <w:sz w:val="10"/>
          <w:rtl/>
        </w:rPr>
      </w:pPr>
    </w:p>
    <w:p w:rsidR="001C7988" w:rsidRDefault="001C7988" w:rsidP="001C798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النساء الريفيات</w:t>
      </w:r>
    </w:p>
    <w:p w:rsidR="001C7988" w:rsidRDefault="001C7988" w:rsidP="001C7988">
      <w:pPr>
        <w:pStyle w:val="SingleTxt"/>
        <w:rPr>
          <w:rFonts w:hint="cs"/>
          <w:rtl/>
        </w:rPr>
      </w:pPr>
      <w:r>
        <w:rPr>
          <w:rFonts w:hint="cs"/>
          <w:rtl/>
        </w:rPr>
        <w:t>25 -</w:t>
      </w:r>
      <w:r>
        <w:rPr>
          <w:rFonts w:hint="cs"/>
          <w:rtl/>
        </w:rPr>
        <w:tab/>
        <w:t xml:space="preserve">يذكر التقرير أن النساء ليست لديهن معرفة بصندوق </w:t>
      </w:r>
      <w:proofErr w:type="spellStart"/>
      <w:r>
        <w:rPr>
          <w:rFonts w:hint="cs"/>
          <w:rtl/>
        </w:rPr>
        <w:t>فاليكاوبولي</w:t>
      </w:r>
      <w:proofErr w:type="spellEnd"/>
      <w:r>
        <w:rPr>
          <w:rFonts w:hint="cs"/>
          <w:rtl/>
        </w:rPr>
        <w:t xml:space="preserve"> </w:t>
      </w:r>
      <w:proofErr w:type="spellStart"/>
      <w:r>
        <w:rPr>
          <w:rFonts w:hint="cs"/>
          <w:rtl/>
        </w:rPr>
        <w:t>الاستئماني</w:t>
      </w:r>
      <w:proofErr w:type="spellEnd"/>
      <w:r>
        <w:rPr>
          <w:rFonts w:hint="cs"/>
          <w:rtl/>
        </w:rPr>
        <w:t xml:space="preserve">، وكيفية استخدامه لتنميتهن (الفقرة 14-11). فيرجى تقديم معلومات عن استراتيجيات الحكومة لتعزيز مشاركة المرأة في وضع وتنفيذ خطط تنمية الجزيرة، وعلى الأخص من خلال الصندوق. </w:t>
      </w:r>
    </w:p>
    <w:p w:rsidR="001C7988" w:rsidRDefault="001C7988" w:rsidP="001C7988">
      <w:pPr>
        <w:pStyle w:val="SingleTxt"/>
        <w:rPr>
          <w:rFonts w:hint="cs"/>
          <w:rtl/>
        </w:rPr>
      </w:pPr>
      <w:r>
        <w:rPr>
          <w:rFonts w:hint="cs"/>
          <w:rtl/>
        </w:rPr>
        <w:t>26 -</w:t>
      </w:r>
      <w:r>
        <w:rPr>
          <w:rFonts w:hint="cs"/>
          <w:rtl/>
        </w:rPr>
        <w:tab/>
        <w:t>ويلاحظ التقرير أن هناك حاجة إلى تنمية مهارات ومعارف النساء في الجزر الخارجية بغرض تمكينهن من بدء أعمال تجارية متناهية الصغر. كما يلاحظ التقرير أنه لا</w:t>
      </w:r>
      <w:r>
        <w:rPr>
          <w:rFonts w:hint="eastAsia"/>
          <w:rtl/>
        </w:rPr>
        <w:t> </w:t>
      </w:r>
      <w:r>
        <w:rPr>
          <w:rFonts w:hint="cs"/>
          <w:rtl/>
        </w:rPr>
        <w:t>يشارك في مشاريع التدريب المشار إليها في الفقرة 14-3 سوى عدد قليل من النساء، وأنه يبدو أن ذلك يرجع إلى أن احتياجات النساء لم تؤخذ في الاعتبار عند التخطيط لهذه المشروعات وتنفيذها. فيرجى بيان ما إذا كان هناك أي مشاريع أخرى للتدريب قد</w:t>
      </w:r>
      <w:r>
        <w:rPr>
          <w:rFonts w:hint="eastAsia"/>
          <w:rtl/>
        </w:rPr>
        <w:t> </w:t>
      </w:r>
      <w:r>
        <w:rPr>
          <w:rFonts w:hint="cs"/>
          <w:rtl/>
        </w:rPr>
        <w:t xml:space="preserve">نفذت، والخطوات التي اتخذت لتعزيز مشاركة المرأة في تلك المشاريع، وتأثيرها على تمكين المرأة الريفية (الفقرتان 14-3 و 14-10). </w:t>
      </w:r>
    </w:p>
    <w:p w:rsidR="001C7988" w:rsidRPr="00EF5D6F" w:rsidRDefault="001C7988" w:rsidP="001C7988">
      <w:pPr>
        <w:pStyle w:val="SingleTxt"/>
        <w:spacing w:after="0" w:line="120" w:lineRule="exact"/>
        <w:rPr>
          <w:rFonts w:hint="cs"/>
          <w:sz w:val="10"/>
          <w:rtl/>
        </w:rPr>
      </w:pPr>
    </w:p>
    <w:p w:rsidR="001C7988" w:rsidRDefault="001C7988" w:rsidP="001C798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القانون</w:t>
      </w:r>
    </w:p>
    <w:p w:rsidR="001C7988" w:rsidRDefault="001C7988" w:rsidP="001C7988">
      <w:pPr>
        <w:pStyle w:val="SingleTxt"/>
        <w:rPr>
          <w:rFonts w:hint="cs"/>
          <w:rtl/>
        </w:rPr>
      </w:pPr>
      <w:r>
        <w:rPr>
          <w:rFonts w:hint="cs"/>
          <w:rtl/>
        </w:rPr>
        <w:t>27 -</w:t>
      </w:r>
      <w:r>
        <w:rPr>
          <w:rFonts w:hint="cs"/>
          <w:rtl/>
        </w:rPr>
        <w:tab/>
        <w:t xml:space="preserve">يشير التقرير إلى أن ملكية الأراضي في </w:t>
      </w:r>
      <w:proofErr w:type="spellStart"/>
      <w:r>
        <w:rPr>
          <w:rFonts w:hint="cs"/>
          <w:rtl/>
        </w:rPr>
        <w:t>توفالو</w:t>
      </w:r>
      <w:proofErr w:type="spellEnd"/>
      <w:r>
        <w:rPr>
          <w:rFonts w:hint="cs"/>
          <w:rtl/>
        </w:rPr>
        <w:t xml:space="preserve"> تقوم على أساس تجمع أسري محلي يعرف باسم </w:t>
      </w:r>
      <w:proofErr w:type="spellStart"/>
      <w:r>
        <w:rPr>
          <w:rFonts w:hint="cs"/>
          <w:rtl/>
        </w:rPr>
        <w:t>الكايتاسي</w:t>
      </w:r>
      <w:proofErr w:type="spellEnd"/>
      <w:r>
        <w:rPr>
          <w:rFonts w:hint="cs"/>
          <w:rtl/>
        </w:rPr>
        <w:t xml:space="preserve">، وأن القاعدة أن الأراضي تورث للذرية من الذكور. كما يشير التقرير إلى أنه كان هناك اقتراح بأن يكون للرجال والنساء حقوق متساوية في أراضي </w:t>
      </w:r>
      <w:proofErr w:type="spellStart"/>
      <w:r>
        <w:rPr>
          <w:rFonts w:hint="cs"/>
          <w:rtl/>
        </w:rPr>
        <w:t>الكايتاسي</w:t>
      </w:r>
      <w:proofErr w:type="spellEnd"/>
      <w:r>
        <w:rPr>
          <w:rFonts w:hint="cs"/>
          <w:rtl/>
        </w:rPr>
        <w:t xml:space="preserve"> (الفقرتان 9 و 10 في صفحتي 10 و 11 من النص الإنكليزي). فيرجى تقديم معلومات عن التدابير التي اتخذت لتنفيذ ذلك الاقتراح. </w:t>
      </w:r>
    </w:p>
    <w:p w:rsidR="001C7988" w:rsidRPr="00EF5D6F" w:rsidRDefault="001C7988" w:rsidP="001C7988">
      <w:pPr>
        <w:pStyle w:val="SingleTxt"/>
        <w:spacing w:after="0" w:line="120" w:lineRule="exact"/>
        <w:rPr>
          <w:rFonts w:hint="cs"/>
          <w:sz w:val="10"/>
          <w:rtl/>
        </w:rPr>
      </w:pPr>
    </w:p>
    <w:p w:rsidR="001C7988" w:rsidRDefault="001C7988" w:rsidP="001C798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العلاقات العائلية</w:t>
      </w:r>
    </w:p>
    <w:p w:rsidR="001C7988" w:rsidRDefault="001C7988" w:rsidP="001C6F1A">
      <w:pPr>
        <w:pStyle w:val="SingleTxt"/>
        <w:rPr>
          <w:rFonts w:hint="cs"/>
          <w:rtl/>
        </w:rPr>
      </w:pPr>
      <w:r>
        <w:rPr>
          <w:rFonts w:hint="cs"/>
          <w:rtl/>
        </w:rPr>
        <w:t>28 -</w:t>
      </w:r>
      <w:r>
        <w:rPr>
          <w:rFonts w:hint="cs"/>
          <w:rtl/>
        </w:rPr>
        <w:tab/>
        <w:t xml:space="preserve">يفصح التقرير عن بعض الأحكام التمييزية في قانون حضانة الأطفال وقانون أراضي </w:t>
      </w:r>
      <w:r w:rsidR="001C6F1A">
        <w:rPr>
          <w:rFonts w:hint="cs"/>
          <w:rtl/>
        </w:rPr>
        <w:t xml:space="preserve">السكان الأصليين </w:t>
      </w:r>
      <w:r>
        <w:rPr>
          <w:rFonts w:hint="cs"/>
          <w:rtl/>
        </w:rPr>
        <w:t xml:space="preserve">فيما يتعلق بحضانة الأطفال من سن سنتين فما فوقها المولودين خارج إطار الزواج، حيث للأب حق تلقائي في الحضانة إذا قبل بالأبوة. فيرجى تقديم معلومات عن التدابير التي تتوخى الحكومة اتخاذها لإلغاء هذه الأحكام أو تعديلها بحيث تعطى نفس الحقوق إلى الرجل والمرأة على السواء فيما يتعلق بحضانة الأطفال. </w:t>
      </w:r>
    </w:p>
    <w:p w:rsidR="001C7988" w:rsidRDefault="001C7988" w:rsidP="001C7988">
      <w:pPr>
        <w:pStyle w:val="SingleTxt"/>
        <w:rPr>
          <w:rFonts w:hint="cs"/>
          <w:rtl/>
        </w:rPr>
      </w:pPr>
      <w:r>
        <w:rPr>
          <w:rFonts w:hint="cs"/>
          <w:rtl/>
        </w:rPr>
        <w:t>29 -</w:t>
      </w:r>
      <w:r>
        <w:rPr>
          <w:rFonts w:hint="cs"/>
          <w:rtl/>
        </w:rPr>
        <w:tab/>
        <w:t xml:space="preserve">ووفقا للتقرير، فإن فسخ الزواج يضعف وضع النساء والأطفال، لا </w:t>
      </w:r>
      <w:proofErr w:type="spellStart"/>
      <w:r>
        <w:rPr>
          <w:rFonts w:hint="cs"/>
          <w:rtl/>
        </w:rPr>
        <w:t>سيما</w:t>
      </w:r>
      <w:proofErr w:type="spellEnd"/>
      <w:r>
        <w:rPr>
          <w:rFonts w:hint="cs"/>
          <w:rtl/>
        </w:rPr>
        <w:t xml:space="preserve"> إذا كان ما</w:t>
      </w:r>
      <w:r>
        <w:rPr>
          <w:rFonts w:hint="eastAsia"/>
          <w:rtl/>
        </w:rPr>
        <w:t> </w:t>
      </w:r>
      <w:r>
        <w:rPr>
          <w:rFonts w:hint="cs"/>
          <w:rtl/>
        </w:rPr>
        <w:t>يكسبه الزوج هو المصدر الرئيسي لدخل الأسرة. كما يذكر التقرير أنه منذ عام 2002، لم تسجل أي قضية بشأن إنفاذ النفقة، رغم إمكانية وجود مثل هذه القضايا (الفقرتان</w:t>
      </w:r>
      <w:r>
        <w:rPr>
          <w:rtl/>
        </w:rPr>
        <w:br/>
      </w:r>
      <w:r>
        <w:rPr>
          <w:rFonts w:hint="cs"/>
          <w:rtl/>
        </w:rPr>
        <w:t>16-11 و 16-12). فيرجى تقديم معلومات عن القواعد المتعلقة بإنفاذ النفقة وأي تدابير اتخذت أو يتوخى اتخاذها لإعطاء معلومات للنساء عن هذه الإمكانية. كما</w:t>
      </w:r>
      <w:r>
        <w:rPr>
          <w:rFonts w:hint="eastAsia"/>
          <w:rtl/>
        </w:rPr>
        <w:t> </w:t>
      </w:r>
      <w:r>
        <w:rPr>
          <w:rFonts w:hint="cs"/>
          <w:rtl/>
        </w:rPr>
        <w:t>يرجى تقديم معلومات عن أي اختلافات بين الجنسين في النتائج الاقتصادية لفسخ الزواج، وبيان أي</w:t>
      </w:r>
      <w:r>
        <w:rPr>
          <w:rFonts w:hint="eastAsia"/>
          <w:rtl/>
        </w:rPr>
        <w:t> </w:t>
      </w:r>
      <w:r>
        <w:rPr>
          <w:rFonts w:hint="cs"/>
          <w:rtl/>
        </w:rPr>
        <w:t xml:space="preserve">تدابير محددة اتخذت أو يتوخى اتخاذها لتحسين أوضاع النساء في حالات فسخ الزواج. </w:t>
      </w:r>
    </w:p>
    <w:p w:rsidR="001C7988" w:rsidRPr="00A45311" w:rsidRDefault="001C7988" w:rsidP="001C7988">
      <w:pPr>
        <w:pStyle w:val="SingleTxt"/>
        <w:spacing w:after="0" w:line="120" w:lineRule="exact"/>
        <w:rPr>
          <w:rFonts w:hint="cs"/>
          <w:sz w:val="10"/>
          <w:rtl/>
        </w:rPr>
      </w:pPr>
    </w:p>
    <w:p w:rsidR="001C7988" w:rsidRDefault="001C7988" w:rsidP="001C798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 xml:space="preserve">البروتوكول الاختياري وتعديل الفقرة 1 من المادة 20 من الاتفاقية </w:t>
      </w:r>
    </w:p>
    <w:p w:rsidR="001C7988" w:rsidRDefault="001C7988" w:rsidP="001C7988">
      <w:pPr>
        <w:pStyle w:val="SingleTxt"/>
        <w:rPr>
          <w:rFonts w:hint="cs"/>
          <w:rtl/>
        </w:rPr>
      </w:pPr>
      <w:r>
        <w:rPr>
          <w:rFonts w:hint="cs"/>
          <w:rtl/>
        </w:rPr>
        <w:t>30 -</w:t>
      </w:r>
      <w:r>
        <w:rPr>
          <w:rFonts w:hint="cs"/>
          <w:rtl/>
        </w:rPr>
        <w:tab/>
        <w:t xml:space="preserve">يرجى توضيح أي تقدم محرز فيما يتعلق بالانضمام إلى البروتوكول الاختياري للاتفاقية. كما يرجى بيان التقدم المحرز نحو قبول تعديل الفقرة 1 من المادة 20 من الاتفاقية. </w:t>
      </w:r>
    </w:p>
    <w:p w:rsidR="001C7988" w:rsidRPr="00FF363C" w:rsidRDefault="001C7988" w:rsidP="001C7988">
      <w:pPr>
        <w:pStyle w:val="SingleTxt"/>
        <w:spacing w:after="0" w:line="240" w:lineRule="auto"/>
        <w:rPr>
          <w:rFonts w:hint="cs"/>
          <w:rtl/>
        </w:rPr>
      </w:pPr>
      <w:r>
        <w:rPr>
          <w:rFonts w:hint="cs"/>
          <w:noProof/>
          <w:w w:val="100"/>
          <w:rtl/>
        </w:rPr>
        <w:pict>
          <v:line id="_x0000_s1026" style="position:absolute;left:0;text-align:left;z-index:1" from="206.6pt,24pt" to="278.6pt,24pt" strokeweight=".25pt">
            <w10:wrap anchorx="page"/>
          </v:line>
        </w:pict>
      </w:r>
    </w:p>
    <w:p w:rsidR="001C7988" w:rsidRPr="005D0C1F" w:rsidRDefault="001C7988" w:rsidP="00B43C16">
      <w:pPr>
        <w:pStyle w:val="SingleTxt"/>
        <w:rPr>
          <w:rFonts w:hint="cs"/>
          <w:rtl/>
        </w:rPr>
      </w:pPr>
      <w:bookmarkStart w:id="1" w:name="TmpSave"/>
      <w:bookmarkEnd w:id="1"/>
    </w:p>
    <w:sectPr w:rsidR="001C7988" w:rsidRPr="005D0C1F" w:rsidSect="005D0C1F">
      <w:endnotePr>
        <w:numFmt w:val="lowerLetter"/>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12-22T09:23:00Z" w:initials="Start">
    <w:p w:rsidR="00B2189E" w:rsidRDefault="00B2189E">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NO&gt;&gt;N0862753A&lt;&lt;ODS JOB NO</w:t>
      </w:r>
      <w:r>
        <w:rPr>
          <w:rtl/>
        </w:rPr>
        <w:t>&gt;&gt;</w:t>
      </w:r>
    </w:p>
    <w:p w:rsidR="00B2189E" w:rsidRDefault="00B2189E">
      <w:pPr>
        <w:pStyle w:val="CommentText"/>
        <w:rPr>
          <w:rtl/>
        </w:rPr>
      </w:pPr>
      <w:r>
        <w:rPr>
          <w:rtl/>
        </w:rPr>
        <w:t>&lt;&lt;</w:t>
      </w:r>
      <w:r>
        <w:t>ODS DOC SYMBOL1&gt;&gt;CEDAW/C/TUV/Q/2&lt;&lt;ODS DOC SYMBOL1</w:t>
      </w:r>
      <w:r>
        <w:rPr>
          <w:rtl/>
        </w:rPr>
        <w:t>&gt;&gt;</w:t>
      </w:r>
    </w:p>
    <w:p w:rsidR="00B2189E" w:rsidRDefault="00B2189E">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05AD" w:rsidRDefault="001205AD">
      <w:r>
        <w:separator/>
      </w:r>
    </w:p>
  </w:endnote>
  <w:endnote w:type="continuationSeparator" w:id="0">
    <w:p w:rsidR="001205AD" w:rsidRDefault="001205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2189E" w:rsidTr="005D0C1F">
      <w:tblPrEx>
        <w:tblCellMar>
          <w:top w:w="0" w:type="dxa"/>
          <w:bottom w:w="0" w:type="dxa"/>
        </w:tblCellMar>
      </w:tblPrEx>
      <w:tc>
        <w:tcPr>
          <w:tcW w:w="5033" w:type="dxa"/>
          <w:shd w:val="clear" w:color="auto" w:fill="auto"/>
        </w:tcPr>
        <w:p w:rsidR="00B2189E" w:rsidRPr="005D0C1F" w:rsidRDefault="00B2189E" w:rsidP="005D0C1F">
          <w:pPr>
            <w:pStyle w:val="Footer"/>
            <w:jc w:val="right"/>
            <w:rPr>
              <w:w w:val="103"/>
            </w:rPr>
          </w:pPr>
          <w:r>
            <w:rPr>
              <w:w w:val="103"/>
            </w:rPr>
            <w:fldChar w:fldCharType="begin"/>
          </w:r>
          <w:r>
            <w:rPr>
              <w:w w:val="103"/>
            </w:rPr>
            <w:instrText xml:space="preserve"> PAGE  \* MERGEFORMAT </w:instrText>
          </w:r>
          <w:r>
            <w:rPr>
              <w:w w:val="103"/>
            </w:rPr>
            <w:fldChar w:fldCharType="separate"/>
          </w:r>
          <w:r w:rsidR="001C6F1A">
            <w:rPr>
              <w:w w:val="103"/>
            </w:rPr>
            <w:t>8</w:t>
          </w:r>
          <w:r>
            <w:rPr>
              <w:w w:val="103"/>
            </w:rPr>
            <w:fldChar w:fldCharType="end"/>
          </w:r>
        </w:p>
      </w:tc>
      <w:tc>
        <w:tcPr>
          <w:tcW w:w="5033" w:type="dxa"/>
          <w:shd w:val="clear" w:color="auto" w:fill="auto"/>
        </w:tcPr>
        <w:p w:rsidR="00B2189E" w:rsidRPr="005D0C1F" w:rsidRDefault="00B2189E" w:rsidP="005D0C1F">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8666BD">
            <w:rPr>
              <w:b w:val="0"/>
              <w:w w:val="103"/>
            </w:rPr>
            <w:t>08-62753</w:t>
          </w:r>
          <w:r>
            <w:rPr>
              <w:b w:val="0"/>
              <w:w w:val="103"/>
            </w:rPr>
            <w:fldChar w:fldCharType="end"/>
          </w:r>
        </w:p>
      </w:tc>
    </w:tr>
  </w:tbl>
  <w:p w:rsidR="00B2189E" w:rsidRPr="005D0C1F" w:rsidRDefault="00B2189E" w:rsidP="005D0C1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2189E" w:rsidTr="005D0C1F">
      <w:tblPrEx>
        <w:tblCellMar>
          <w:top w:w="0" w:type="dxa"/>
          <w:bottom w:w="0" w:type="dxa"/>
        </w:tblCellMar>
      </w:tblPrEx>
      <w:tc>
        <w:tcPr>
          <w:tcW w:w="5033" w:type="dxa"/>
          <w:shd w:val="clear" w:color="auto" w:fill="auto"/>
        </w:tcPr>
        <w:p w:rsidR="00B2189E" w:rsidRPr="005D0C1F" w:rsidRDefault="00B2189E" w:rsidP="005D0C1F">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8666BD">
            <w:rPr>
              <w:b w:val="0"/>
              <w:w w:val="103"/>
            </w:rPr>
            <w:t>08-62753</w:t>
          </w:r>
          <w:r>
            <w:rPr>
              <w:b w:val="0"/>
              <w:w w:val="103"/>
            </w:rPr>
            <w:fldChar w:fldCharType="end"/>
          </w:r>
        </w:p>
      </w:tc>
      <w:tc>
        <w:tcPr>
          <w:tcW w:w="5033" w:type="dxa"/>
          <w:shd w:val="clear" w:color="auto" w:fill="auto"/>
        </w:tcPr>
        <w:p w:rsidR="00B2189E" w:rsidRPr="005D0C1F" w:rsidRDefault="00B2189E" w:rsidP="005D0C1F">
          <w:pPr>
            <w:pStyle w:val="Footer"/>
            <w:rPr>
              <w:w w:val="103"/>
            </w:rPr>
          </w:pPr>
          <w:r>
            <w:rPr>
              <w:w w:val="103"/>
            </w:rPr>
            <w:fldChar w:fldCharType="begin"/>
          </w:r>
          <w:r>
            <w:rPr>
              <w:w w:val="103"/>
            </w:rPr>
            <w:instrText xml:space="preserve"> PAGE  \* MERGEFORMAT </w:instrText>
          </w:r>
          <w:r>
            <w:rPr>
              <w:w w:val="103"/>
            </w:rPr>
            <w:fldChar w:fldCharType="separate"/>
          </w:r>
          <w:r w:rsidR="001C6F1A">
            <w:rPr>
              <w:w w:val="103"/>
            </w:rPr>
            <w:t>7</w:t>
          </w:r>
          <w:r>
            <w:rPr>
              <w:w w:val="103"/>
            </w:rPr>
            <w:fldChar w:fldCharType="end"/>
          </w:r>
        </w:p>
      </w:tc>
    </w:tr>
  </w:tbl>
  <w:p w:rsidR="00B2189E" w:rsidRPr="005D0C1F" w:rsidRDefault="00B2189E" w:rsidP="005D0C1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189E" w:rsidRDefault="00B2189E">
    <w:pPr>
      <w:pStyle w:val="Footer"/>
    </w:pPr>
  </w:p>
  <w:p w:rsidR="00B2189E" w:rsidRDefault="00B2189E" w:rsidP="005D0C1F">
    <w:pPr>
      <w:pStyle w:val="Footer"/>
      <w:jc w:val="right"/>
      <w:rPr>
        <w:rFonts w:cs="Times New Roman"/>
        <w:b w:val="0"/>
        <w:w w:val="103"/>
        <w:sz w:val="20"/>
      </w:rPr>
    </w:pPr>
    <w:r>
      <w:rPr>
        <w:rFonts w:cs="Times New Roman"/>
        <w:b w:val="0"/>
        <w:w w:val="103"/>
        <w:sz w:val="20"/>
      </w:rPr>
      <w:t xml:space="preserve">221208    221208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sidR="008666BD">
      <w:rPr>
        <w:rFonts w:cs="Times New Roman"/>
        <w:b w:val="0"/>
        <w:w w:val="103"/>
        <w:sz w:val="20"/>
      </w:rPr>
      <w:t>08-62753 (A)</w:t>
    </w:r>
    <w:r>
      <w:rPr>
        <w:rFonts w:cs="Times New Roman"/>
        <w:b w:val="0"/>
        <w:w w:val="103"/>
        <w:sz w:val="20"/>
      </w:rPr>
      <w:fldChar w:fldCharType="end"/>
    </w:r>
  </w:p>
  <w:p w:rsidR="00B2189E" w:rsidRPr="005D0C1F" w:rsidRDefault="00B2189E" w:rsidP="005D0C1F">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sidR="008666BD">
      <w:rPr>
        <w:rFonts w:ascii="Barcode 3 of 9 by request" w:hAnsi="Barcode 3 of 9 by request" w:cs="Times New Roman"/>
        <w:b w:val="0"/>
        <w:sz w:val="24"/>
      </w:rPr>
      <w:t>*0862753*</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05AD" w:rsidRDefault="001205AD">
      <w:r>
        <w:separator/>
      </w:r>
    </w:p>
  </w:footnote>
  <w:footnote w:type="continuationSeparator" w:id="0">
    <w:p w:rsidR="001205AD" w:rsidRDefault="001205A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B2189E" w:rsidTr="005D0C1F">
      <w:tblPrEx>
        <w:tblCellMar>
          <w:top w:w="0" w:type="dxa"/>
          <w:bottom w:w="0" w:type="dxa"/>
        </w:tblCellMar>
      </w:tblPrEx>
      <w:trPr>
        <w:trHeight w:hRule="exact" w:val="864"/>
        <w:jc w:val="center"/>
      </w:trPr>
      <w:tc>
        <w:tcPr>
          <w:tcW w:w="4925" w:type="dxa"/>
          <w:shd w:val="clear" w:color="auto" w:fill="auto"/>
          <w:vAlign w:val="bottom"/>
        </w:tcPr>
        <w:p w:rsidR="00B2189E" w:rsidRDefault="00B2189E" w:rsidP="005D0C1F">
          <w:pPr>
            <w:pStyle w:val="Header"/>
            <w:bidi/>
            <w:jc w:val="right"/>
          </w:pPr>
        </w:p>
      </w:tc>
      <w:tc>
        <w:tcPr>
          <w:tcW w:w="4925" w:type="dxa"/>
          <w:shd w:val="clear" w:color="auto" w:fill="auto"/>
          <w:vAlign w:val="bottom"/>
        </w:tcPr>
        <w:p w:rsidR="00B2189E" w:rsidRPr="005D0C1F" w:rsidRDefault="00B2189E" w:rsidP="005D0C1F">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sidR="008666BD">
            <w:rPr>
              <w:w w:val="103"/>
            </w:rPr>
            <w:t>CEDAW/C/TUV/Q/2</w:t>
          </w:r>
          <w:r>
            <w:rPr>
              <w:w w:val="103"/>
            </w:rPr>
            <w:fldChar w:fldCharType="end"/>
          </w:r>
        </w:p>
      </w:tc>
    </w:tr>
  </w:tbl>
  <w:p w:rsidR="00B2189E" w:rsidRPr="005D0C1F" w:rsidRDefault="00B2189E" w:rsidP="005D0C1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B2189E" w:rsidTr="005D0C1F">
      <w:tblPrEx>
        <w:tblCellMar>
          <w:top w:w="0" w:type="dxa"/>
          <w:bottom w:w="0" w:type="dxa"/>
        </w:tblCellMar>
      </w:tblPrEx>
      <w:trPr>
        <w:trHeight w:hRule="exact" w:val="864"/>
        <w:jc w:val="center"/>
      </w:trPr>
      <w:tc>
        <w:tcPr>
          <w:tcW w:w="4925" w:type="dxa"/>
          <w:shd w:val="clear" w:color="auto" w:fill="auto"/>
          <w:vAlign w:val="bottom"/>
        </w:tcPr>
        <w:p w:rsidR="00B2189E" w:rsidRPr="005D0C1F" w:rsidRDefault="00B2189E" w:rsidP="005D0C1F">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8666BD">
            <w:rPr>
              <w:w w:val="103"/>
            </w:rPr>
            <w:t>CEDAW/C/TUV/Q/2</w:t>
          </w:r>
          <w:r>
            <w:rPr>
              <w:w w:val="103"/>
            </w:rPr>
            <w:fldChar w:fldCharType="end"/>
          </w:r>
        </w:p>
      </w:tc>
      <w:tc>
        <w:tcPr>
          <w:tcW w:w="4925" w:type="dxa"/>
          <w:shd w:val="clear" w:color="auto" w:fill="auto"/>
          <w:vAlign w:val="bottom"/>
        </w:tcPr>
        <w:p w:rsidR="00B2189E" w:rsidRDefault="00B2189E" w:rsidP="005D0C1F">
          <w:pPr>
            <w:pStyle w:val="Header"/>
          </w:pPr>
        </w:p>
      </w:tc>
    </w:tr>
  </w:tbl>
  <w:p w:rsidR="00B2189E" w:rsidRPr="005D0C1F" w:rsidRDefault="00B2189E" w:rsidP="005D0C1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B2189E" w:rsidTr="005D0C1F">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B2189E" w:rsidRDefault="00B2189E" w:rsidP="005D0C1F">
          <w:pPr>
            <w:pStyle w:val="Header"/>
            <w:spacing w:after="120"/>
          </w:pPr>
        </w:p>
      </w:tc>
      <w:tc>
        <w:tcPr>
          <w:tcW w:w="1786" w:type="dxa"/>
          <w:tcBorders>
            <w:bottom w:val="single" w:sz="4" w:space="0" w:color="auto"/>
          </w:tcBorders>
          <w:shd w:val="clear" w:color="auto" w:fill="auto"/>
          <w:vAlign w:val="bottom"/>
        </w:tcPr>
        <w:p w:rsidR="00B2189E" w:rsidRPr="005D0C1F" w:rsidRDefault="00B2189E" w:rsidP="005D0C1F">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B2189E" w:rsidRDefault="00B2189E" w:rsidP="005D0C1F">
          <w:pPr>
            <w:pStyle w:val="Header"/>
            <w:spacing w:after="120"/>
          </w:pPr>
        </w:p>
      </w:tc>
      <w:tc>
        <w:tcPr>
          <w:tcW w:w="6523" w:type="dxa"/>
          <w:gridSpan w:val="3"/>
          <w:tcBorders>
            <w:bottom w:val="single" w:sz="4" w:space="0" w:color="auto"/>
          </w:tcBorders>
          <w:shd w:val="clear" w:color="auto" w:fill="auto"/>
          <w:vAlign w:val="bottom"/>
        </w:tcPr>
        <w:p w:rsidR="00B2189E" w:rsidRPr="005D0C1F" w:rsidRDefault="00B2189E" w:rsidP="005D0C1F">
          <w:pPr>
            <w:spacing w:line="380" w:lineRule="exact"/>
            <w:jc w:val="right"/>
          </w:pPr>
          <w:r>
            <w:rPr>
              <w:sz w:val="40"/>
            </w:rPr>
            <w:t>CEDAW</w:t>
          </w:r>
          <w:r>
            <w:t>/C/TUV/Q/2</w:t>
          </w:r>
        </w:p>
      </w:tc>
    </w:tr>
    <w:tr w:rsidR="00B2189E" w:rsidRPr="005D0C1F" w:rsidTr="005D0C1F">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B2189E" w:rsidRDefault="00B2189E" w:rsidP="005D0C1F">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B2189E" w:rsidRPr="005D0C1F" w:rsidRDefault="00B2189E" w:rsidP="005D0C1F">
          <w:pPr>
            <w:pStyle w:val="Header"/>
            <w:spacing w:before="109"/>
            <w:jc w:val="right"/>
          </w:pPr>
        </w:p>
      </w:tc>
      <w:tc>
        <w:tcPr>
          <w:tcW w:w="5227" w:type="dxa"/>
          <w:gridSpan w:val="3"/>
          <w:tcBorders>
            <w:top w:val="single" w:sz="4" w:space="0" w:color="auto"/>
            <w:bottom w:val="single" w:sz="12" w:space="0" w:color="auto"/>
          </w:tcBorders>
          <w:shd w:val="clear" w:color="auto" w:fill="auto"/>
        </w:tcPr>
        <w:p w:rsidR="00B2189E" w:rsidRPr="005D0C1F" w:rsidRDefault="00B2189E" w:rsidP="005D0C1F">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B2189E" w:rsidRPr="005D0C1F" w:rsidRDefault="00B2189E" w:rsidP="005D0C1F">
          <w:pPr>
            <w:pStyle w:val="Header"/>
            <w:spacing w:before="109"/>
          </w:pPr>
        </w:p>
      </w:tc>
      <w:tc>
        <w:tcPr>
          <w:tcW w:w="3100" w:type="dxa"/>
          <w:gridSpan w:val="2"/>
          <w:tcBorders>
            <w:top w:val="single" w:sz="4" w:space="0" w:color="auto"/>
            <w:bottom w:val="single" w:sz="12" w:space="0" w:color="auto"/>
          </w:tcBorders>
          <w:shd w:val="clear" w:color="auto" w:fill="auto"/>
        </w:tcPr>
        <w:p w:rsidR="00B2189E" w:rsidRDefault="00B2189E" w:rsidP="005D0C1F">
          <w:pPr>
            <w:bidi w:val="0"/>
            <w:spacing w:before="240" w:line="240" w:lineRule="exact"/>
          </w:pPr>
          <w:r>
            <w:t>Distr.: General</w:t>
          </w:r>
        </w:p>
        <w:p w:rsidR="00B2189E" w:rsidRDefault="00B2189E" w:rsidP="005D0C1F">
          <w:pPr>
            <w:bidi w:val="0"/>
            <w:spacing w:line="240" w:lineRule="exact"/>
            <w:jc w:val="left"/>
          </w:pPr>
          <w:r>
            <w:t>1 December 2008</w:t>
          </w:r>
        </w:p>
        <w:p w:rsidR="00B2189E" w:rsidRDefault="00B2189E" w:rsidP="005D0C1F">
          <w:pPr>
            <w:bidi w:val="0"/>
            <w:spacing w:line="240" w:lineRule="exact"/>
            <w:jc w:val="left"/>
          </w:pPr>
          <w:r>
            <w:t>Arabic</w:t>
          </w:r>
        </w:p>
        <w:p w:rsidR="00B2189E" w:rsidRPr="005D0C1F" w:rsidRDefault="00B2189E" w:rsidP="005D0C1F">
          <w:pPr>
            <w:bidi w:val="0"/>
            <w:spacing w:line="240" w:lineRule="exact"/>
            <w:jc w:val="left"/>
          </w:pPr>
          <w:r>
            <w:t>Original: English</w:t>
          </w:r>
        </w:p>
      </w:tc>
    </w:tr>
  </w:tbl>
  <w:p w:rsidR="00B2189E" w:rsidRPr="005D0C1F" w:rsidRDefault="00B2189E" w:rsidP="005D0C1F">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62753*"/>
    <w:docVar w:name="CreationDt" w:val="22/12/2008 09:230 ص"/>
    <w:docVar w:name="DocCategory" w:val="Doc"/>
    <w:docVar w:name="DocType" w:val="Final"/>
    <w:docVar w:name="FooterJN" w:val="08-62753"/>
    <w:docVar w:name="jobn" w:val="08-62753 (A)"/>
    <w:docVar w:name="jobnDT" w:val="08-62753 (A)   221208"/>
    <w:docVar w:name="jobnDTDT" w:val="08-62753 (A)   221208   221208"/>
    <w:docVar w:name="JobNo" w:val="0862753A"/>
    <w:docVar w:name="OandT" w:val=" "/>
    <w:docVar w:name="sss1" w:val="CEDAW/C/TUV/Q/2"/>
    <w:docVar w:name="sss2" w:val="-"/>
    <w:docVar w:name="Symbol1" w:val="CEDAW/C/TUV/Q/2"/>
    <w:docVar w:name="Symbol2" w:val="-"/>
  </w:docVars>
  <w:rsids>
    <w:rsidRoot w:val="005701F1"/>
    <w:rsid w:val="0000084F"/>
    <w:rsid w:val="000170D3"/>
    <w:rsid w:val="00042425"/>
    <w:rsid w:val="000516D3"/>
    <w:rsid w:val="0006648F"/>
    <w:rsid w:val="00087310"/>
    <w:rsid w:val="0009732C"/>
    <w:rsid w:val="000C4EED"/>
    <w:rsid w:val="000D2CEC"/>
    <w:rsid w:val="00101EE8"/>
    <w:rsid w:val="00113349"/>
    <w:rsid w:val="001205AD"/>
    <w:rsid w:val="00131540"/>
    <w:rsid w:val="001465EE"/>
    <w:rsid w:val="001519A9"/>
    <w:rsid w:val="001737F8"/>
    <w:rsid w:val="001775EA"/>
    <w:rsid w:val="0018030C"/>
    <w:rsid w:val="00187870"/>
    <w:rsid w:val="001B0B13"/>
    <w:rsid w:val="001B7D92"/>
    <w:rsid w:val="001C6F1A"/>
    <w:rsid w:val="001C7988"/>
    <w:rsid w:val="001E5A5A"/>
    <w:rsid w:val="001E5A7A"/>
    <w:rsid w:val="001F6786"/>
    <w:rsid w:val="002344E8"/>
    <w:rsid w:val="002416C5"/>
    <w:rsid w:val="0025002E"/>
    <w:rsid w:val="00252BA7"/>
    <w:rsid w:val="0026160C"/>
    <w:rsid w:val="00266F59"/>
    <w:rsid w:val="00272B6C"/>
    <w:rsid w:val="0027623A"/>
    <w:rsid w:val="00285E1F"/>
    <w:rsid w:val="00290F2F"/>
    <w:rsid w:val="002937DA"/>
    <w:rsid w:val="002A09C6"/>
    <w:rsid w:val="002C2AF2"/>
    <w:rsid w:val="002C4E1B"/>
    <w:rsid w:val="002E1490"/>
    <w:rsid w:val="002F0573"/>
    <w:rsid w:val="00312162"/>
    <w:rsid w:val="003501D5"/>
    <w:rsid w:val="0035346D"/>
    <w:rsid w:val="00371AC4"/>
    <w:rsid w:val="00383CA8"/>
    <w:rsid w:val="003A65ED"/>
    <w:rsid w:val="003C1CD1"/>
    <w:rsid w:val="003D4612"/>
    <w:rsid w:val="003F4B8C"/>
    <w:rsid w:val="00401BDF"/>
    <w:rsid w:val="00411BBD"/>
    <w:rsid w:val="00415922"/>
    <w:rsid w:val="00423BD7"/>
    <w:rsid w:val="0042757D"/>
    <w:rsid w:val="00434A96"/>
    <w:rsid w:val="00437C14"/>
    <w:rsid w:val="004527C9"/>
    <w:rsid w:val="00453069"/>
    <w:rsid w:val="00483F5B"/>
    <w:rsid w:val="00490874"/>
    <w:rsid w:val="00494EE2"/>
    <w:rsid w:val="00496E83"/>
    <w:rsid w:val="004A2886"/>
    <w:rsid w:val="004B14A0"/>
    <w:rsid w:val="004D1B0C"/>
    <w:rsid w:val="004D7D27"/>
    <w:rsid w:val="004F0D2B"/>
    <w:rsid w:val="004F1402"/>
    <w:rsid w:val="0050659B"/>
    <w:rsid w:val="00521CAC"/>
    <w:rsid w:val="0052333D"/>
    <w:rsid w:val="00524A2E"/>
    <w:rsid w:val="005279DE"/>
    <w:rsid w:val="00534772"/>
    <w:rsid w:val="00537FCD"/>
    <w:rsid w:val="00545F76"/>
    <w:rsid w:val="005545BB"/>
    <w:rsid w:val="00556882"/>
    <w:rsid w:val="00561E43"/>
    <w:rsid w:val="005701F1"/>
    <w:rsid w:val="0057078E"/>
    <w:rsid w:val="005838F5"/>
    <w:rsid w:val="00591B45"/>
    <w:rsid w:val="005A0F73"/>
    <w:rsid w:val="005A2EA3"/>
    <w:rsid w:val="005C2ECE"/>
    <w:rsid w:val="005D0C1F"/>
    <w:rsid w:val="006007BD"/>
    <w:rsid w:val="006046B0"/>
    <w:rsid w:val="00611F20"/>
    <w:rsid w:val="00616E82"/>
    <w:rsid w:val="006218A3"/>
    <w:rsid w:val="006564CE"/>
    <w:rsid w:val="00663F64"/>
    <w:rsid w:val="00696B7A"/>
    <w:rsid w:val="006A1E4E"/>
    <w:rsid w:val="006C38EE"/>
    <w:rsid w:val="00700F06"/>
    <w:rsid w:val="0071531E"/>
    <w:rsid w:val="0071645B"/>
    <w:rsid w:val="00716E9D"/>
    <w:rsid w:val="0072044D"/>
    <w:rsid w:val="00747B9E"/>
    <w:rsid w:val="007524BE"/>
    <w:rsid w:val="007525FA"/>
    <w:rsid w:val="00770CF8"/>
    <w:rsid w:val="00774FF0"/>
    <w:rsid w:val="0079046D"/>
    <w:rsid w:val="0079753A"/>
    <w:rsid w:val="007A6DD9"/>
    <w:rsid w:val="007D60E0"/>
    <w:rsid w:val="007D6B8D"/>
    <w:rsid w:val="007E32B9"/>
    <w:rsid w:val="0081284F"/>
    <w:rsid w:val="00814843"/>
    <w:rsid w:val="008170DE"/>
    <w:rsid w:val="00830E32"/>
    <w:rsid w:val="00845A14"/>
    <w:rsid w:val="008666BD"/>
    <w:rsid w:val="00873A11"/>
    <w:rsid w:val="00873AF9"/>
    <w:rsid w:val="008962DA"/>
    <w:rsid w:val="008A3FCA"/>
    <w:rsid w:val="008B2645"/>
    <w:rsid w:val="008D1C04"/>
    <w:rsid w:val="008F04A0"/>
    <w:rsid w:val="008F64A7"/>
    <w:rsid w:val="0090012B"/>
    <w:rsid w:val="0090351F"/>
    <w:rsid w:val="00964FA8"/>
    <w:rsid w:val="00970BAD"/>
    <w:rsid w:val="009768D1"/>
    <w:rsid w:val="009829B7"/>
    <w:rsid w:val="009927C0"/>
    <w:rsid w:val="009961E6"/>
    <w:rsid w:val="009B6C65"/>
    <w:rsid w:val="009C0017"/>
    <w:rsid w:val="009C15F4"/>
    <w:rsid w:val="009D62A3"/>
    <w:rsid w:val="009E2A1F"/>
    <w:rsid w:val="00A37C4B"/>
    <w:rsid w:val="00A56F63"/>
    <w:rsid w:val="00A636A5"/>
    <w:rsid w:val="00A66F66"/>
    <w:rsid w:val="00A71AE5"/>
    <w:rsid w:val="00A71F9E"/>
    <w:rsid w:val="00A77F16"/>
    <w:rsid w:val="00AA1E16"/>
    <w:rsid w:val="00AA4B4E"/>
    <w:rsid w:val="00AC002C"/>
    <w:rsid w:val="00AC6CDD"/>
    <w:rsid w:val="00AD38D0"/>
    <w:rsid w:val="00AE108C"/>
    <w:rsid w:val="00AE5AE2"/>
    <w:rsid w:val="00AF1A53"/>
    <w:rsid w:val="00AF7AC7"/>
    <w:rsid w:val="00B05ADC"/>
    <w:rsid w:val="00B2189E"/>
    <w:rsid w:val="00B272BE"/>
    <w:rsid w:val="00B353B8"/>
    <w:rsid w:val="00B43C16"/>
    <w:rsid w:val="00B9542C"/>
    <w:rsid w:val="00B95560"/>
    <w:rsid w:val="00BA4A94"/>
    <w:rsid w:val="00BA7FAB"/>
    <w:rsid w:val="00BC2F4C"/>
    <w:rsid w:val="00BC4A05"/>
    <w:rsid w:val="00BC567D"/>
    <w:rsid w:val="00BE124F"/>
    <w:rsid w:val="00BE5E23"/>
    <w:rsid w:val="00BF0B15"/>
    <w:rsid w:val="00C03555"/>
    <w:rsid w:val="00C12CBB"/>
    <w:rsid w:val="00C25A2D"/>
    <w:rsid w:val="00C260F8"/>
    <w:rsid w:val="00C43FBE"/>
    <w:rsid w:val="00C449C6"/>
    <w:rsid w:val="00C564B0"/>
    <w:rsid w:val="00C6283F"/>
    <w:rsid w:val="00C638A3"/>
    <w:rsid w:val="00C71487"/>
    <w:rsid w:val="00C814A5"/>
    <w:rsid w:val="00C855F6"/>
    <w:rsid w:val="00C96573"/>
    <w:rsid w:val="00CD0BB8"/>
    <w:rsid w:val="00CD3849"/>
    <w:rsid w:val="00CF7384"/>
    <w:rsid w:val="00D2343D"/>
    <w:rsid w:val="00D24AD8"/>
    <w:rsid w:val="00D30EAE"/>
    <w:rsid w:val="00D318F1"/>
    <w:rsid w:val="00D40B0E"/>
    <w:rsid w:val="00D44FE0"/>
    <w:rsid w:val="00D62E1B"/>
    <w:rsid w:val="00D66413"/>
    <w:rsid w:val="00DA66B7"/>
    <w:rsid w:val="00DB0865"/>
    <w:rsid w:val="00DE5433"/>
    <w:rsid w:val="00DE68A7"/>
    <w:rsid w:val="00DF5F38"/>
    <w:rsid w:val="00E23336"/>
    <w:rsid w:val="00E31661"/>
    <w:rsid w:val="00E32B52"/>
    <w:rsid w:val="00E47EB8"/>
    <w:rsid w:val="00E704FD"/>
    <w:rsid w:val="00E750E1"/>
    <w:rsid w:val="00E9114A"/>
    <w:rsid w:val="00EA489C"/>
    <w:rsid w:val="00EB0CA7"/>
    <w:rsid w:val="00EB4992"/>
    <w:rsid w:val="00EC5420"/>
    <w:rsid w:val="00EF2E52"/>
    <w:rsid w:val="00F031FB"/>
    <w:rsid w:val="00F32051"/>
    <w:rsid w:val="00F32E4A"/>
    <w:rsid w:val="00F36D8C"/>
    <w:rsid w:val="00F93545"/>
    <w:rsid w:val="00F96FBA"/>
    <w:rsid w:val="00FB4E06"/>
    <w:rsid w:val="00FC3483"/>
    <w:rsid w:val="00FC4D68"/>
    <w:rsid w:val="00FD0077"/>
    <w:rsid w:val="00FD2ADA"/>
    <w:rsid w:val="00FE187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5D0C1F"/>
    <w:rPr>
      <w:szCs w:val="20"/>
    </w:rPr>
  </w:style>
  <w:style w:type="paragraph" w:styleId="CommentSubject">
    <w:name w:val="annotation subject"/>
    <w:basedOn w:val="CommentText"/>
    <w:next w:val="CommentText"/>
    <w:semiHidden/>
    <w:rsid w:val="005D0C1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8</Pages>
  <Words>2304</Words>
  <Characters>11221</Characters>
  <Application>Microsoft Office Word</Application>
  <DocSecurity>4</DocSecurity>
  <Lines>190</Lines>
  <Paragraphs>39</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13486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ECS User</dc:creator>
  <cp:keywords/>
  <dc:description/>
  <cp:lastModifiedBy>ECS User</cp:lastModifiedBy>
  <cp:revision>2</cp:revision>
  <cp:lastPrinted>2008-12-22T09:41:00Z</cp:lastPrinted>
  <dcterms:created xsi:type="dcterms:W3CDTF">2009-10-14T09:46:00Z</dcterms:created>
  <dcterms:modified xsi:type="dcterms:W3CDTF">2009-10-14T09:46:00Z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0862753</vt:lpwstr>
  </property>
  <property fmtid="{D5CDD505-2E9C-101B-9397-08002B2CF9AE}" pid="3" name="Symbol1">
    <vt:lpwstr>CEDAW/C/TUV/Q/2</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جورج</vt:lpwstr>
  </property>
</Properties>
</file>