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spacing w:line="240" w:lineRule="auto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213"/>
        </w:trPr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70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4"/>
              <w:rPr>
                <w:i/>
                <w:lang w:val="ru-RU"/>
              </w:rPr>
            </w:pPr>
            <w:r>
              <w:rPr>
                <w:i/>
                <w:sz w:val="40"/>
                <w:lang w:val="ru-RU"/>
              </w:rPr>
              <w:t>М</w:t>
            </w:r>
            <w:r>
              <w:rPr>
                <w:i/>
                <w:lang w:val="ru-RU"/>
              </w:rPr>
              <w:t xml:space="preserve">ЕЖДУНАРОДНАЯ </w:t>
            </w:r>
            <w:r>
              <w:rPr>
                <w:i/>
                <w:lang w:val="ru-RU"/>
              </w:rPr>
              <w:br/>
              <w:t xml:space="preserve">КОНВЕНЦИЯ </w:t>
            </w:r>
            <w:r>
              <w:rPr>
                <w:i/>
                <w:lang w:val="ru-RU"/>
              </w:rPr>
              <w:br/>
              <w:t xml:space="preserve">О ЛИКВИДАЦИИ </w:t>
            </w:r>
            <w:r>
              <w:rPr>
                <w:i/>
                <w:lang w:val="ru-RU"/>
              </w:rPr>
              <w:br/>
              <w:t xml:space="preserve">ВСЕХ ФОРМ </w:t>
            </w:r>
            <w:r>
              <w:rPr>
                <w:i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after="0"/>
              <w:rPr>
                <w:lang w:val="ru-RU"/>
              </w:rPr>
            </w:pPr>
            <w:r>
              <w:t>CERD</w:t>
            </w:r>
            <w:r>
              <w:rPr>
                <w:lang w:val="ru-RU"/>
              </w:rPr>
              <w:t>/</w:t>
            </w:r>
            <w:r>
              <w:t>C</w:t>
            </w:r>
            <w:r>
              <w:rPr>
                <w:lang w:val="ru-RU"/>
              </w:rPr>
              <w:t>/</w:t>
            </w:r>
            <w:r>
              <w:t>EST</w:t>
            </w:r>
            <w:r>
              <w:rPr>
                <w:lang w:val="ru-RU"/>
              </w:rPr>
              <w:t>/</w:t>
            </w:r>
            <w:r>
              <w:t>CO</w:t>
            </w:r>
            <w:r>
              <w:rPr>
                <w:lang w:val="ru-RU"/>
              </w:rPr>
              <w:t>/7</w:t>
            </w:r>
          </w:p>
          <w:p w:rsidR="00000000" w:rsidRDefault="00000000">
            <w:pPr>
              <w:spacing w:after="0"/>
              <w:rPr>
                <w:lang w:val="ru-RU"/>
              </w:rPr>
            </w:pPr>
            <w:r>
              <w:rPr>
                <w:lang w:val="ru-RU"/>
              </w:rPr>
              <w:t xml:space="preserve">19 </w:t>
            </w:r>
            <w:r>
              <w:t>October</w:t>
            </w:r>
            <w:r>
              <w:rPr>
                <w:lang w:val="ru-RU"/>
              </w:rPr>
              <w:t xml:space="preserve"> 2006</w:t>
            </w:r>
          </w:p>
          <w:p w:rsidR="00000000" w:rsidRDefault="00000000">
            <w:pPr>
              <w:spacing w:after="0"/>
              <w:rPr>
                <w:sz w:val="22"/>
                <w:lang w:val="ru-RU"/>
              </w:rPr>
            </w:pPr>
          </w:p>
          <w:p w:rsidR="00000000" w:rsidRDefault="00000000">
            <w:pPr>
              <w:spacing w:after="0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after="0"/>
              <w:rPr>
                <w:sz w:val="22"/>
                <w:lang w:val="ru-RU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  <w:lang w:val="ru-RU"/>
              </w:rPr>
              <w:t xml:space="preserve">:  </w:t>
            </w:r>
            <w:r>
              <w:rPr>
                <w:sz w:val="22"/>
                <w:lang w:val="en-US"/>
              </w:rPr>
              <w:t>ENGLISH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lang w:val="ru-RU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КОМИТЕТ ПО ЛИКВИДАЦИИ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РАСОВОЙ ДИСКРИМИНАЦИИ</w:t>
      </w:r>
    </w:p>
    <w:p w:rsidR="00000000" w:rsidRDefault="00000000">
      <w:pPr>
        <w:spacing w:after="0"/>
        <w:rPr>
          <w:szCs w:val="24"/>
          <w:lang w:val="ru-RU"/>
        </w:rPr>
      </w:pPr>
      <w:r>
        <w:rPr>
          <w:szCs w:val="24"/>
          <w:lang w:val="ru-RU"/>
        </w:rPr>
        <w:t xml:space="preserve">Шестьдесят девятая сессия </w:t>
      </w:r>
    </w:p>
    <w:p w:rsidR="00000000" w:rsidRDefault="00000000">
      <w:pPr>
        <w:spacing w:after="0"/>
        <w:rPr>
          <w:szCs w:val="24"/>
          <w:lang w:val="ru-RU"/>
        </w:rPr>
      </w:pPr>
      <w:r>
        <w:rPr>
          <w:szCs w:val="24"/>
          <w:lang w:val="ru-RU"/>
        </w:rPr>
        <w:t>31 июля - 18 августа 2006</w:t>
      </w:r>
      <w:r>
        <w:rPr>
          <w:szCs w:val="24"/>
        </w:rPr>
        <w:t> </w:t>
      </w:r>
      <w:r>
        <w:rPr>
          <w:szCs w:val="24"/>
          <w:lang w:val="ru-RU"/>
        </w:rPr>
        <w:t>года</w:t>
      </w:r>
    </w:p>
    <w:p w:rsidR="00000000" w:rsidRDefault="00000000">
      <w:pPr>
        <w:jc w:val="center"/>
        <w:rPr>
          <w:b/>
          <w:bCs/>
          <w:lang w:val="ru-RU"/>
        </w:rPr>
      </w:pP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Заключительные замечания Комитета по ликвидации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расовой дискриминации 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</w:p>
    <w:p w:rsidR="00000000" w:rsidRDefault="00000000">
      <w:pPr>
        <w:spacing w:after="0"/>
        <w:jc w:val="center"/>
        <w:rPr>
          <w:b/>
          <w:bCs/>
        </w:rPr>
      </w:pPr>
      <w:r>
        <w:rPr>
          <w:b/>
          <w:bCs/>
        </w:rPr>
        <w:t>ЭСТОНИЯ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рассмотрел шестой и седьмой периодические доклады Эстонии, которые должны были быть представлены соответственно в 2002 и 2004</w:t>
      </w:r>
      <w:r>
        <w:t> </w:t>
      </w:r>
      <w:r>
        <w:rPr>
          <w:lang w:val="ru-RU"/>
        </w:rPr>
        <w:t>годах и были представлены в одном документе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/465/</w:t>
      </w:r>
      <w:r>
        <w:rPr>
          <w:lang w:val="en-US"/>
        </w:rPr>
        <w:t>Add</w:t>
      </w:r>
      <w:r>
        <w:rPr>
          <w:lang w:val="ru-RU"/>
        </w:rPr>
        <w:t>.1), на своих 1761</w:t>
      </w:r>
      <w:r>
        <w:rPr>
          <w:lang w:val="ru-RU"/>
        </w:rPr>
        <w:noBreakHyphen/>
        <w:t>м и 1762</w:t>
      </w:r>
      <w:r>
        <w:rPr>
          <w:lang w:val="ru-RU"/>
        </w:rPr>
        <w:noBreakHyphen/>
        <w:t>м</w:t>
      </w:r>
      <w:r>
        <w:t> </w:t>
      </w:r>
      <w:r>
        <w:rPr>
          <w:lang w:val="ru-RU"/>
        </w:rPr>
        <w:t>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.1761 и 1762), состоявшихся 31</w:t>
      </w:r>
      <w:r>
        <w:t> </w:t>
      </w:r>
      <w:r>
        <w:rPr>
          <w:lang w:val="ru-RU"/>
        </w:rPr>
        <w:t>июля и 2</w:t>
      </w:r>
      <w:r>
        <w:t> </w:t>
      </w:r>
      <w:r>
        <w:rPr>
          <w:lang w:val="ru-RU"/>
        </w:rPr>
        <w:t>августа 2006</w:t>
      </w:r>
      <w:r>
        <w:t> </w:t>
      </w:r>
      <w:r>
        <w:rPr>
          <w:lang w:val="ru-RU"/>
        </w:rPr>
        <w:t>года.  На своих 1778</w:t>
      </w:r>
      <w:r>
        <w:rPr>
          <w:lang w:val="ru-RU"/>
        </w:rPr>
        <w:noBreakHyphen/>
        <w:t>м и 1779</w:t>
      </w:r>
      <w:r>
        <w:rPr>
          <w:lang w:val="ru-RU"/>
        </w:rPr>
        <w:noBreakHyphen/>
        <w:t>м 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.1778 и 1779), состоявшихся 14 и 15</w:t>
      </w:r>
      <w:r>
        <w:t> </w:t>
      </w:r>
      <w:r>
        <w:rPr>
          <w:lang w:val="ru-RU"/>
        </w:rPr>
        <w:t>августа 2006</w:t>
      </w:r>
      <w:r>
        <w:t> </w:t>
      </w:r>
      <w:r>
        <w:rPr>
          <w:lang w:val="ru-RU"/>
        </w:rPr>
        <w:t>года, Комитет принял следующие заключительные замечания.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А.</w:t>
      </w:r>
      <w:r>
        <w:rPr>
          <w:b/>
          <w:bCs/>
          <w:lang w:val="ru-RU"/>
        </w:rPr>
        <w:tab/>
        <w:t>Введение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Комитет приветствует представленный доклад и продолжающийся открытый и конструктивный диалог с государством-участником.  Он также выражает удовлетворение в связи с тем, что в докладе учтены некоторые озабоченности и рекомендации, изложенные Комитетом в своих предыдущих заключительных замечаниях, и дает высокую оценку усилиям делегации по представлению ответов на многочисленные вопросы, заданные членами Комитета.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одобрением отмечает участие организаций гражданского общества в подготовке доклада и содержащиеся в нем ссылки на комментарии таких организаций.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В.</w:t>
      </w:r>
      <w:r>
        <w:rPr>
          <w:b/>
          <w:bCs/>
          <w:lang w:val="ru-RU"/>
        </w:rPr>
        <w:tab/>
        <w:t>Позитивные аспекты</w:t>
      </w:r>
    </w:p>
    <w:p w:rsidR="00000000" w:rsidRDefault="00000000">
      <w:pPr>
        <w:jc w:val="center"/>
        <w:rPr>
          <w:b/>
          <w:bCs/>
          <w:lang w:val="ru-RU"/>
        </w:rPr>
      </w:pP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 постановления Верховного суда о принципах равенства и охраны семьи, в которых были объявлены неконституционными некоторые решения об отказе в выдаче вида на жительство исключительно на основе иммиграционных квот.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высоко оценивает продолжающиеся усилия государства-участника, направленные на содействие социальной интеграции неграждан в Эстонии, в том числе планируемое принятие новой государственной программы интеграции на период 2008</w:t>
      </w:r>
      <w:r>
        <w:rPr>
          <w:lang w:val="ru-RU"/>
        </w:rPr>
        <w:noBreakHyphen/>
        <w:t>2013</w:t>
      </w:r>
      <w:r>
        <w:t> </w:t>
      </w:r>
      <w:r>
        <w:rPr>
          <w:lang w:val="ru-RU"/>
        </w:rPr>
        <w:t>годов по истечении срока осуществления текущей программы в 2007</w:t>
      </w:r>
      <w:r>
        <w:t> </w:t>
      </w:r>
      <w:r>
        <w:rPr>
          <w:lang w:val="ru-RU"/>
        </w:rPr>
        <w:t>году.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тот факт, что неграждане в Эстонии имеют право участвовать в выборах в местные органы власти.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также приветствует усилия государства-участника по борьбе с торговлей людьми, включая принятие в январе 2006</w:t>
      </w:r>
      <w:r>
        <w:t> </w:t>
      </w:r>
      <w:r>
        <w:rPr>
          <w:lang w:val="ru-RU"/>
        </w:rPr>
        <w:t>года Национального плана действий по борьбе с торговлей людьми.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принимаемые государством-участником меры по борьбе с пропагандой ненависти в Интернете.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С.</w:t>
      </w:r>
      <w:r>
        <w:rPr>
          <w:b/>
          <w:bCs/>
          <w:lang w:val="ru-RU"/>
        </w:rPr>
        <w:tab/>
        <w:t>Вопросы, вызывающие озабоченность, и рекомендации</w:t>
      </w:r>
    </w:p>
    <w:p w:rsidR="00000000" w:rsidRDefault="00000000">
      <w:pPr>
        <w:numPr>
          <w:ilvl w:val="0"/>
          <w:numId w:val="1"/>
        </w:numPr>
      </w:pPr>
      <w:r>
        <w:rPr>
          <w:lang w:val="ru-RU"/>
        </w:rPr>
        <w:t>Признавая существующие возможности для участия неграждан в деятельности культурных и образовательных учреждений и религиозных объединений национальных меньшинств, Комитет отмечает, что действующее официальное определение национального меньшинства, которое дано в законе "О культурной автономии национальных меньшинств" 1993</w:t>
      </w:r>
      <w:r>
        <w:t> </w:t>
      </w:r>
      <w:r>
        <w:rPr>
          <w:lang w:val="ru-RU"/>
        </w:rPr>
        <w:t>года, исключает из этой категории неграждан, к которым относятся лица без гражданства, в течение длительного времени проживающие в Эстонии.  Комитет обеспокоен тем, что такое положение может привести к отчуждению этих групп от эстонского государства и общества (статья</w:t>
      </w:r>
      <w:r>
        <w:t> </w:t>
      </w:r>
      <w:r>
        <w:rPr>
          <w:lang w:val="ru-RU"/>
        </w:rPr>
        <w:t>1).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внести поправку в определение меньшинства согласно закону "О культурной автономии национальных меньшинств" 1993</w:t>
      </w:r>
      <w:r>
        <w:rPr>
          <w:b/>
          <w:bCs/>
        </w:rPr>
        <w:t> </w:t>
      </w:r>
      <w:r>
        <w:rPr>
          <w:b/>
          <w:bCs/>
          <w:lang w:val="ru-RU"/>
        </w:rPr>
        <w:t>года, с тем чтобы включить в эту категорию лиц неграждан, в частности лиц без гражданства, в течение длительного времени проживающих в Эстонии.  Комитет также просит представить дальнейшие разъяснения в отношении различия, проводимого государством-участником между "этническими" меньшинствами или группами и "национальными" меньшинствами.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Признавая поправку, внесенную в Закон о работе канцлера юстиции 1</w:t>
      </w:r>
      <w:r>
        <w:t> </w:t>
      </w:r>
      <w:r>
        <w:rPr>
          <w:lang w:val="ru-RU"/>
        </w:rPr>
        <w:t>января 2004</w:t>
      </w:r>
      <w:r>
        <w:t> </w:t>
      </w:r>
      <w:r>
        <w:rPr>
          <w:lang w:val="ru-RU"/>
        </w:rPr>
        <w:t>года, на основании которой канцлеру юстиции были предоставлены полномочия по решению споров в связи с расовой дискриминацией споров в частной сфере, Комитет с сожалением отмечает, что институт канцлера остается ограниченным инструментом в плане обеспечения защиты прав, установленных в Конвенции, и отмечает отсутствие в государстве-участнике какого</w:t>
      </w:r>
      <w:r>
        <w:rPr>
          <w:lang w:val="ru-RU"/>
        </w:rPr>
        <w:noBreakHyphen/>
        <w:t xml:space="preserve">либо национального правозащитного учреждения, </w:t>
      </w:r>
    </w:p>
    <w:p w:rsidR="00000000" w:rsidRDefault="00000000">
      <w:r>
        <w:rPr>
          <w:lang w:val="ru-RU"/>
        </w:rPr>
        <w:br w:type="page"/>
        <w:t>созданного в соответствии с Принципами, касающимися статуса национальных учреждений, занимающихся поощрением и защитой прав человека (Парижские принципы) (статья</w:t>
      </w:r>
      <w:r>
        <w:t> </w:t>
      </w:r>
      <w:r>
        <w:rPr>
          <w:lang w:val="ru-RU"/>
        </w:rPr>
        <w:t>2 (1)).</w:t>
      </w:r>
    </w:p>
    <w:p w:rsidR="00000000" w:rsidRDefault="00000000">
      <w:pPr>
        <w:ind w:left="567" w:hanging="567"/>
        <w:rPr>
          <w:b/>
          <w:bCs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рассмотреть вопрос о создании национального правозащитного учреждения в соответствии с Парижскими принципами (резолюция</w:t>
      </w:r>
      <w:r>
        <w:rPr>
          <w:b/>
          <w:bCs/>
        </w:rPr>
        <w:t> </w:t>
      </w:r>
      <w:r>
        <w:rPr>
          <w:b/>
          <w:bCs/>
          <w:lang w:val="ru-RU"/>
        </w:rPr>
        <w:t>48/134 Генеральной Ассамблеи, приложение).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Признавая поправки, внесенные в Уголовный кодекс в июле 2004</w:t>
      </w:r>
      <w:r>
        <w:t> </w:t>
      </w:r>
      <w:r>
        <w:rPr>
          <w:lang w:val="ru-RU"/>
        </w:rPr>
        <w:t>года, которыми были установлены различные категории санкций за действия, квалифицируемые как расовая дискриминация, а также тот факт, что государство-участник заявило о своем намерении перенести в свою внутреннюю правовую систему Директиву Европейского союза 2000/43/ЕС о борьбе с расовой дискриминацией, Комитет по</w:t>
      </w:r>
      <w:r>
        <w:rPr>
          <w:lang w:val="ru-RU"/>
        </w:rPr>
        <w:noBreakHyphen/>
        <w:t>прежнему выражает озабоченность в связи с отсутствием всеобъемлющего законодательства по борьбе с дискриминацией, в частности законодательных и нормативных положений в гражданской и административной областях (пункт</w:t>
      </w:r>
      <w:r>
        <w:t> </w:t>
      </w:r>
      <w:r>
        <w:rPr>
          <w:lang w:val="ru-RU"/>
        </w:rPr>
        <w:t xml:space="preserve">2 (1) </w:t>
      </w:r>
      <w:r>
        <w:rPr>
          <w:lang w:val="en-US"/>
        </w:rPr>
        <w:t>d</w:t>
      </w:r>
      <w:r>
        <w:rPr>
          <w:lang w:val="ru-RU"/>
        </w:rPr>
        <w:t>)).</w:t>
      </w:r>
    </w:p>
    <w:p w:rsidR="00000000" w:rsidRDefault="00000000">
      <w:pPr>
        <w:ind w:left="561"/>
        <w:rPr>
          <w:b/>
          <w:bCs/>
        </w:rPr>
      </w:pPr>
      <w:r>
        <w:rPr>
          <w:b/>
          <w:bCs/>
          <w:lang w:val="ru-RU"/>
        </w:rPr>
        <w:tab/>
        <w:t>Комитет рекомендует государству-участнику принять всеобъемлющее законодательство по борьбе с дискриминацией в соответствии с положениями Конвенции, в частности в вопросах жилья, здравоохранения, социального обеспечения (включая пенсии), образования и доступа к государственным услугам, а также включить в свою внутреннюю правовую систему Директиву</w:t>
      </w:r>
      <w:r>
        <w:rPr>
          <w:b/>
          <w:bCs/>
        </w:rPr>
        <w:t> </w:t>
      </w:r>
      <w:r>
        <w:rPr>
          <w:b/>
          <w:bCs/>
          <w:lang w:val="ru-RU"/>
        </w:rPr>
        <w:t>2000/43 Европейского союза.</w:t>
      </w: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  <w:rPr>
          <w:lang w:val="ru-RU"/>
        </w:rPr>
      </w:pPr>
      <w:r>
        <w:rPr>
          <w:lang w:val="ru-RU"/>
        </w:rPr>
        <w:t>Комитет выражает обеспокоенность в отношении того, что некоторые телевизионные передачи могут дискриминационным образом изображать народность рома и что государство-участник не принимает достаточных мер для исправления такого положения (статьи 4 а) и 7).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поощрять средства массовой информации к активному участию в борьбе с предрассудками и негативными стереотипами, ведущими к расовой дискриминации, а также принимать все необходимые меры по борьбе с расизмом в средствах массовой информации, в том числе путем проведения расследований и применения санкций согласно статье</w:t>
      </w:r>
      <w:r>
        <w:rPr>
          <w:b/>
          <w:bCs/>
        </w:rPr>
        <w:t> </w:t>
      </w:r>
      <w:r>
        <w:rPr>
          <w:b/>
          <w:bCs/>
          <w:lang w:val="ru-RU"/>
        </w:rPr>
        <w:t>151 Уголовного кодекса в отношении лиц, разжигающих расовую ненависть.</w:t>
      </w: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  <w:rPr>
          <w:lang w:val="ru-RU"/>
        </w:rPr>
      </w:pPr>
      <w:r>
        <w:rPr>
          <w:lang w:val="ru-RU"/>
        </w:rPr>
        <w:t xml:space="preserve">Комитет выражает обеспокоенность по поводу того, что лица, относящиеся к русскоговорящим меньшинствам, составляют непропорционально большую долю среди осужденных заключенных и что, несмотря на рекомендации компетентных органов, до сих пор не проводится каких-либо конкретных исследований для выявления причин такого явления (статья 5 </w:t>
      </w:r>
      <w:r>
        <w:rPr>
          <w:lang w:val="en-US"/>
        </w:rPr>
        <w:t>b</w:t>
      </w:r>
      <w:r>
        <w:rPr>
          <w:lang w:val="ru-RU"/>
        </w:rPr>
        <w:t>)).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провести исследование в целях полного изучения причин непропорционально большой доли лиц, относящихся к русскоговорящим меньшинствам, среди осужденных заключенных, с тем чтобы наметить надлежащие пути по исправлению такого положения.  Комитет просит государство-участник отразить результаты этого исследования в своем следующем периодическом докладе.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  <w:rPr>
          <w:lang w:val="ru-RU"/>
        </w:rPr>
      </w:pPr>
      <w:r>
        <w:rPr>
          <w:lang w:val="ru-RU"/>
        </w:rPr>
        <w:t>Комитет вновь выражает свою прежнюю озабоченность в отношении того, что в статье</w:t>
      </w:r>
      <w:r>
        <w:t> </w:t>
      </w:r>
      <w:r>
        <w:rPr>
          <w:lang w:val="ru-RU"/>
        </w:rPr>
        <w:t>48 Конституции признается право на членство в политических партиях только для эстонских граждан (статья 5 с)).</w:t>
      </w:r>
    </w:p>
    <w:p w:rsidR="00000000" w:rsidRDefault="00000000">
      <w:pPr>
        <w:tabs>
          <w:tab w:val="left" w:pos="561"/>
        </w:tabs>
        <w:ind w:left="561"/>
        <w:rPr>
          <w:b/>
          <w:bCs/>
        </w:rPr>
      </w:pPr>
      <w:r>
        <w:rPr>
          <w:b/>
          <w:bCs/>
          <w:lang w:val="ru-RU"/>
        </w:rPr>
        <w:t>Учитывая большое число лиц без гражданства, длительное время проживающих в Эстонии, Комитет рекомендует государству-участнику надлежащим образом рассмотреть возможность предоставления негражданам права участвовать в политических партиях.</w:t>
      </w: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</w:pPr>
      <w:r>
        <w:rPr>
          <w:lang w:val="ru-RU"/>
        </w:rPr>
        <w:t>Признавая заявленное государством-участником стремление к сохранению своего культурного наследия, а также позитивные меры, принимаемые государством-участником для расширения доступа к процедуре натурализации, в частности посредством организации субсидируемых курсов языковой подготовки, Комитет вновь высказывает озабоченность в отношении установленных в Законе о гражданстве жестких требований, касающихся знания языка, для получения эстонского гражданства.  Комитет далее с сожалением отмечает, что государство-участник еще не выполнило изложенную в предыдущих заключительных замечаниях Комитета рекомендацию о присоединении к Конвенции о сокращении безгражданства и к Конвенции о статусе апатридов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en-US"/>
        </w:rPr>
        <w:t>d</w:t>
      </w:r>
      <w:r>
        <w:rPr>
          <w:lang w:val="ru-RU"/>
        </w:rPr>
        <w:t>)</w:t>
      </w:r>
      <w:r>
        <w:t> </w:t>
      </w:r>
      <w:r>
        <w:rPr>
          <w:lang w:val="en-US"/>
        </w:rPr>
        <w:t>iii</w:t>
      </w:r>
      <w:r>
        <w:rPr>
          <w:lang w:val="ru-RU"/>
        </w:rPr>
        <w:t>)).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  <w:r>
        <w:rPr>
          <w:b/>
          <w:bCs/>
          <w:lang w:val="ru-RU"/>
        </w:rPr>
        <w:t>Учитывая большое число проживающих в Эстонии лиц, остающихся апатридами, Комитет рекомендует государству-участнику принять дальнейшие меры для активизации процесса натурализации и упрощения доступа к нему.  В</w:t>
      </w:r>
      <w:r>
        <w:rPr>
          <w:b/>
          <w:bCs/>
        </w:rPr>
        <w:t> </w:t>
      </w:r>
      <w:r>
        <w:rPr>
          <w:b/>
          <w:bCs/>
          <w:lang w:val="ru-RU"/>
        </w:rPr>
        <w:t>частности, Комитет рекомендует государству-участнику рассмотреть возможность организации для всех лиц, подавших заявления о получении гражданства, бесплатных и отвечающих высоким требованиям языковых курсов и расширять информационную работу по ознакомлению с процедурой натурализации и ее преимуществами.  Комитет повторно предлагает государству-участнику ратифицировать Конвенцию о сокращении безгражданства и Конвенцию о статусе апатридов.</w:t>
      </w: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</w:pPr>
      <w:r>
        <w:rPr>
          <w:lang w:val="ru-RU"/>
        </w:rPr>
        <w:t>Признавая усилия государства-участника в области занятости, включая планы действий на 2004-2007</w:t>
      </w:r>
      <w:r>
        <w:t> </w:t>
      </w:r>
      <w:r>
        <w:rPr>
          <w:lang w:val="ru-RU"/>
        </w:rPr>
        <w:t>годы в рамках государственных программ интеграции, Комитет по</w:t>
      </w:r>
      <w:r>
        <w:rPr>
          <w:lang w:val="ru-RU"/>
        </w:rPr>
        <w:noBreakHyphen/>
        <w:t xml:space="preserve">прежнему обеспокоен высоким уровнем безработицы среди лиц, относящихся к меньшинствам, в частности русскоговорящим меньшинствам.  Комитет подтверждает свою прежнюю озабоченность в отношении того, что высокие требования, касающиеся знания эстонского языка, действующие в том числе в частном секторе, могут оказывать дискриминационное влияние на возможности трудоустройства лиц, относящихся к этой категории (статья 5 е) </w:t>
      </w:r>
      <w:r>
        <w:rPr>
          <w:lang w:val="en-US"/>
        </w:rPr>
        <w:t>i</w:t>
      </w:r>
      <w:r>
        <w:rPr>
          <w:lang w:val="ru-RU"/>
        </w:rPr>
        <w:t>)).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в полной мере осуществлять на практике законодательство, запрещающее дискриминацию в области занятости и любую дискриминационную практику на рынке труда, а также принимать дальнейшие меры по сокращению безработицы среди лиц, относящихся к группам меньшинств, в частности, посредством уделения особого внимания профессиональной подготовке и обеспечения высококачественной и субсидируемой языковой подготовки, в частности для лиц, относящихся к русскоговорящим меньшинствам.</w:t>
      </w: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  <w:rPr>
          <w:lang w:val="ru-RU"/>
        </w:rPr>
      </w:pPr>
      <w:r>
        <w:rPr>
          <w:lang w:val="ru-RU"/>
        </w:rPr>
        <w:t xml:space="preserve">Признавая усилия государства-участника по осуществлению программ и проектов в области здравоохранения, в частности в сфере профилактики и лечения ВИЧ/СПИДа, Комитет выражает обеспокоенность в связи с высоким уровнем заболеваемости ВИЧ/СПИДом среди лиц, относящихся к меньшинствам (статья 5 е) </w:t>
      </w:r>
      <w:r>
        <w:rPr>
          <w:lang w:val="en-US"/>
        </w:rPr>
        <w:t>iv</w:t>
      </w:r>
      <w:r>
        <w:rPr>
          <w:lang w:val="ru-RU"/>
        </w:rPr>
        <w:t>)).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продолжать осуществление программ и проектов в области здравоохранения с уделением особого внимания меньшинствам и с учетом их неблагоприятного положения;  с этой целью Комитет призывает государство-участник принимать дальнейшие меры по борьбе с ВИЧ/СПИДом.</w:t>
      </w: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  <w:rPr>
          <w:lang w:val="ru-RU"/>
        </w:rPr>
      </w:pPr>
      <w:r>
        <w:rPr>
          <w:lang w:val="ru-RU"/>
        </w:rPr>
        <w:t xml:space="preserve">Давая высокую оценку существующим программам, направленным на расширение возможностей обучения детей, относящихся к народности рома, Комитет выражает обеспокоенность по поводу малой доли детей народности рома, посещающих школу (статья 5 е) </w:t>
      </w:r>
      <w:r>
        <w:rPr>
          <w:lang w:val="en-US"/>
        </w:rPr>
        <w:t>v</w:t>
      </w:r>
      <w:r>
        <w:rPr>
          <w:lang w:val="ru-RU"/>
        </w:rPr>
        <w:t>)).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  <w:r>
        <w:rPr>
          <w:b/>
          <w:bCs/>
          <w:lang w:val="ru-RU"/>
        </w:rPr>
        <w:t>Комитет обращает внимание государства-участника на свою общую рекомендацию</w:t>
      </w:r>
      <w:r>
        <w:rPr>
          <w:b/>
          <w:bCs/>
        </w:rPr>
        <w:t> </w:t>
      </w:r>
      <w:r>
        <w:rPr>
          <w:b/>
          <w:bCs/>
          <w:lang w:val="en-US"/>
        </w:rPr>
        <w:t>XXVII</w:t>
      </w:r>
      <w:r>
        <w:rPr>
          <w:b/>
          <w:bCs/>
          <w:lang w:val="ru-RU"/>
        </w:rPr>
        <w:t xml:space="preserve"> о дискриминации в отношении рома и рекомендует государству-участнику активизировать свои усилия по решению проблемы низкой посещаемости школы детьми, относящимися к народности рома, в частности, посредством найма дополнительного школьного персонала из числа представителей этой народности, а также посредством поощрения образования, в рамках которого большое внимание уделяется вопросам различных культур.</w:t>
      </w:r>
    </w:p>
    <w:p w:rsidR="00000000" w:rsidRDefault="00000000">
      <w:pPr>
        <w:numPr>
          <w:ilvl w:val="0"/>
          <w:numId w:val="1"/>
        </w:numPr>
        <w:tabs>
          <w:tab w:val="left" w:pos="0"/>
          <w:tab w:val="left" w:pos="561"/>
        </w:tabs>
        <w:rPr>
          <w:lang w:val="ru-RU"/>
        </w:rPr>
      </w:pPr>
      <w:r>
        <w:rPr>
          <w:lang w:val="ru-RU"/>
        </w:rPr>
        <w:t>Комитет выражает озабоченность в связи с весьма малым числом случаев расовой дискриминации, по которым были возбуждены судебные дела и вынесены наказания в государстве-участнике (статья 6).</w:t>
      </w:r>
    </w:p>
    <w:p w:rsidR="00000000" w:rsidRDefault="00000000">
      <w:pPr>
        <w:tabs>
          <w:tab w:val="left" w:pos="561"/>
        </w:tabs>
        <w:ind w:left="561"/>
        <w:rPr>
          <w:b/>
          <w:bCs/>
          <w:lang w:val="ru-RU"/>
        </w:rPr>
      </w:pPr>
      <w:r>
        <w:rPr>
          <w:b/>
          <w:bCs/>
          <w:lang w:val="ru-RU"/>
        </w:rPr>
        <w:t>Комитет напоминает государству-участнику о том, что одно лишь отсутствие жалоб и юридических исков со стороны жертв расовой дискриминации может указывать главным образом на отсутствие соответствующего конкретного законодательства или на недостаточную осведомленность об имеющихся средствах правовой защиты, или же свидетельствовать о недостаточном стремлении властей преследовать такие действия в судебном порядке.  Комитет просит государство-участник обеспечить включение в национальное законодательство надлежащих положений и информировать общественность о всех имеющихся средствах правовой защиты в вопросах расовой дискриминации.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 существование в Эстонии большого числа меньшинств, в частности русскоговорящих, Комитет выражает озабоченность в связи с тем, что доля двуязычных передач в сетке вещания эстонского телевидения составляет лишь 4,8%.</w:t>
      </w:r>
    </w:p>
    <w:p w:rsidR="00000000" w:rsidRDefault="00000000">
      <w:pPr>
        <w:ind w:left="567" w:hanging="567"/>
        <w:rPr>
          <w:b/>
          <w:bCs/>
          <w:lang w:val="ru-RU"/>
        </w:rPr>
      </w:pPr>
      <w:r>
        <w:rPr>
          <w:lang w:val="ru-RU"/>
        </w:rPr>
        <w:tab/>
      </w:r>
      <w:r>
        <w:rPr>
          <w:b/>
          <w:bCs/>
          <w:lang w:val="ru-RU"/>
        </w:rPr>
        <w:t>Комитет рекомендует государству-участнику разработать и проводить справедливую и сбалансированную языковую политику в средствах массовой информации в целях предотвращения и искоренения расовой дискриминации в этой области.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подтверждает свою прежнюю рекомендацию в отношении того, что государству-участнику следует принимать во внимание соответствующие положения Дурбанской декларации и Программы действий в процессе осуществления положений Конвенции в рамках национальной правовой системы, в частности положений статей 2-7 Конвенции.  Комитет также настоятельно призывает государство-участник включить в свой следующий периодический доклад информацию о планах действий и других мерах, принимаемых с целью осуществления Дурбанской декларации и Программы действий на национальном уровне.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выражает удовлетворение в связи с получением - хотя и с некоторой задержкой, обусловленной техническими причинами, - информации о том, что государство-участник по</w:t>
      </w:r>
      <w:r>
        <w:rPr>
          <w:lang w:val="ru-RU"/>
        </w:rPr>
        <w:noBreakHyphen/>
        <w:t>прежнему намеревается сделать факультативное заявление, предусмотренное в статье 14 Конвенции, и подтверждает свою рекомендацию о рассмотрении государством-участником данного вопроса.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настоятельно призывает государство-участник ратифицировать поправки к пункту 6 статьи</w:t>
      </w:r>
      <w:r>
        <w:t> </w:t>
      </w:r>
      <w:r>
        <w:rPr>
          <w:lang w:val="ru-RU"/>
        </w:rPr>
        <w:t>8 Конвенции, принятые 15</w:t>
      </w:r>
      <w:r>
        <w:t> </w:t>
      </w:r>
      <w:r>
        <w:rPr>
          <w:lang w:val="ru-RU"/>
        </w:rPr>
        <w:t>января 1992 года на четырнадцатом совещании государств - участников Конвенции и одобренные Генеральной Ассамблеей в ее резолюции</w:t>
      </w:r>
      <w:r>
        <w:t> </w:t>
      </w:r>
      <w:r>
        <w:rPr>
          <w:lang w:val="ru-RU"/>
        </w:rPr>
        <w:t>47/111.  В этой связи Комитет ссылается на резолюцию 59/176 Генеральной Ассамблеи от 20</w:t>
      </w:r>
      <w:r>
        <w:t> </w:t>
      </w:r>
      <w:r>
        <w:rPr>
          <w:lang w:val="ru-RU"/>
        </w:rPr>
        <w:t>декабря 2004</w:t>
      </w:r>
      <w:r>
        <w:t> </w:t>
      </w:r>
      <w:r>
        <w:rPr>
          <w:lang w:val="ru-RU"/>
        </w:rPr>
        <w:t>года, в которой Ассамблея самым настоятельным образом призвала государства-участники ускорить их внутренние процедуры ратификации этой поправки и оперативно уведомить Генерального секретаря в письменной форме о своем согласии с поправкой.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призывает государство-участник ратифицировать Международную конвенцию о защите всех прав трудящихся-мигрантов и членов их семей.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 государство-участник не ратифицировало Протокол №</w:t>
      </w:r>
      <w:r>
        <w:t> </w:t>
      </w:r>
      <w:r>
        <w:rPr>
          <w:lang w:val="ru-RU"/>
        </w:rPr>
        <w:t>12 к Конвенции о защите прав человека и основных свобод, и рекомендует ему рассмотреть вопрос о его ратификации.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широко публиковать на основных языках, используемых в государстве-участнике, включая языки меньшинств, свои доклады с момента их представления, а также обеспечивать аналогичную публикацию замечаний Комитета в отношении этих докладов.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Государству-участнику следует в годичный срок представить информацию в отношении того, каким образом оно выполняет рекомендации Комитета, изложенные в пунктах</w:t>
      </w:r>
      <w:r>
        <w:t> </w:t>
      </w:r>
      <w:r>
        <w:rPr>
          <w:rFonts w:eastAsia="SimSun"/>
          <w:lang w:val="ru-RU" w:eastAsia="zh-CN"/>
        </w:rPr>
        <w:t xml:space="preserve">11, 15 </w:t>
      </w:r>
      <w:r>
        <w:rPr>
          <w:lang w:val="ru-RU"/>
        </w:rPr>
        <w:t>и</w:t>
      </w:r>
      <w:r>
        <w:rPr>
          <w:rFonts w:eastAsia="SimSun"/>
          <w:lang w:val="ru-RU" w:eastAsia="zh-CN"/>
        </w:rPr>
        <w:t xml:space="preserve"> 16 </w:t>
      </w:r>
      <w:r>
        <w:rPr>
          <w:lang w:val="ru-RU"/>
        </w:rPr>
        <w:t xml:space="preserve">выше, в соответствии с пунктом 1 правила 65 правил процедуры Комитета. 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представить свой восьмой периодический доклад вместе с девятым периодическим докладом в одном документе не позднее 20 ноября 2008</w:t>
      </w:r>
      <w:r>
        <w:t> </w:t>
      </w:r>
      <w:r>
        <w:rPr>
          <w:lang w:val="ru-RU"/>
        </w:rPr>
        <w:t>года и отразить в нем все моменты, затронутые в настоящих заключительных замечаниях.</w:t>
      </w:r>
    </w:p>
    <w:p w:rsidR="00000000" w:rsidRDefault="00000000">
      <w:pPr>
        <w:spacing w:after="0"/>
        <w:jc w:val="center"/>
        <w:rPr>
          <w:b/>
          <w:bCs/>
        </w:rPr>
      </w:pPr>
      <w:r>
        <w:rPr>
          <w:b/>
          <w:bCs/>
        </w:rPr>
        <w:t>- - 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440" w:bottom="1440" w:left="1440" w:header="1021" w:footer="8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fr-CH"/>
      </w:rPr>
    </w:pPr>
    <w:r>
      <w:rPr>
        <w:lang w:val="fr-CH"/>
      </w:rPr>
      <w:t>GE.06-44747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0"/>
    </w:pPr>
    <w:r>
      <w:t>CERD/C/EST/CO/7</w:t>
    </w:r>
  </w:p>
  <w:p w:rsidR="00000000" w:rsidRDefault="00000000">
    <w:pPr>
      <w:pStyle w:val="Head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0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CERD/C/EST/CO/7</w:t>
    </w:r>
  </w:p>
  <w:p w:rsidR="00000000" w:rsidRDefault="00000000">
    <w:pPr>
      <w:pStyle w:val="Header"/>
      <w:spacing w:after="0"/>
      <w:rPr>
        <w:rStyle w:val="PageNumber"/>
      </w:rPr>
    </w:pPr>
    <w:r>
      <w:tab/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spacing w:after="0"/>
    </w:pPr>
  </w:p>
  <w:p w:rsidR="00000000" w:rsidRDefault="00000000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E8C"/>
    <w:multiLevelType w:val="hybridMultilevel"/>
    <w:tmpl w:val="A1BAE68E"/>
    <w:lvl w:ilvl="0" w:tplc="A3E6530E">
      <w:start w:val="26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627D8F"/>
    <w:multiLevelType w:val="hybridMultilevel"/>
    <w:tmpl w:val="7A0A73AE"/>
    <w:lvl w:ilvl="0" w:tplc="CE1211BA">
      <w:start w:val="277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565FE8"/>
    <w:multiLevelType w:val="hybridMultilevel"/>
    <w:tmpl w:val="97AC05B4"/>
    <w:lvl w:ilvl="0" w:tplc="2EACFB5C">
      <w:start w:val="28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144657"/>
    <w:multiLevelType w:val="hybridMultilevel"/>
    <w:tmpl w:val="358C9104"/>
    <w:lvl w:ilvl="0" w:tplc="B2701B7E">
      <w:start w:val="275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1F7042"/>
    <w:multiLevelType w:val="hybridMultilevel"/>
    <w:tmpl w:val="0EFA034A"/>
    <w:lvl w:ilvl="0" w:tplc="9FAC0F58">
      <w:start w:val="26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BC479B"/>
    <w:multiLevelType w:val="hybridMultilevel"/>
    <w:tmpl w:val="B186075E"/>
    <w:lvl w:ilvl="0" w:tplc="0CBE3DE4">
      <w:start w:val="29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7305EF"/>
    <w:multiLevelType w:val="hybridMultilevel"/>
    <w:tmpl w:val="748C9C5C"/>
    <w:lvl w:ilvl="0" w:tplc="C138FF22">
      <w:start w:val="26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A449A1"/>
    <w:multiLevelType w:val="hybridMultilevel"/>
    <w:tmpl w:val="F9AE19CE"/>
    <w:lvl w:ilvl="0" w:tplc="E8DCFCF6">
      <w:start w:val="27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B51989"/>
    <w:multiLevelType w:val="hybridMultilevel"/>
    <w:tmpl w:val="7034038E"/>
    <w:lvl w:ilvl="0" w:tplc="BA2EE4EA">
      <w:start w:val="278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1050F5"/>
    <w:multiLevelType w:val="hybridMultilevel"/>
    <w:tmpl w:val="6016B3C8"/>
    <w:lvl w:ilvl="0" w:tplc="7B5CF8D4">
      <w:start w:val="27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033A4C"/>
    <w:multiLevelType w:val="hybridMultilevel"/>
    <w:tmpl w:val="792CFF32"/>
    <w:lvl w:ilvl="0" w:tplc="86A606CE">
      <w:start w:val="279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E11ED8"/>
    <w:multiLevelType w:val="hybridMultilevel"/>
    <w:tmpl w:val="BC56A058"/>
    <w:lvl w:ilvl="0" w:tplc="1C58CFEA">
      <w:start w:val="28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E11604"/>
    <w:multiLevelType w:val="hybridMultilevel"/>
    <w:tmpl w:val="79E23CD8"/>
    <w:lvl w:ilvl="0" w:tplc="67C66E56">
      <w:start w:val="28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BE0F0A"/>
    <w:multiLevelType w:val="hybridMultilevel"/>
    <w:tmpl w:val="3D52F130"/>
    <w:lvl w:ilvl="0" w:tplc="5380C0F0">
      <w:start w:val="28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473FBA"/>
    <w:multiLevelType w:val="hybridMultilevel"/>
    <w:tmpl w:val="8026A1B4"/>
    <w:lvl w:ilvl="0" w:tplc="A508B904">
      <w:start w:val="28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AAF61E3"/>
    <w:multiLevelType w:val="hybridMultilevel"/>
    <w:tmpl w:val="E216147A"/>
    <w:lvl w:ilvl="0" w:tplc="A3487DF6">
      <w:start w:val="274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1A68A1"/>
    <w:multiLevelType w:val="hybridMultilevel"/>
    <w:tmpl w:val="F09299CE"/>
    <w:lvl w:ilvl="0" w:tplc="AC64FB80">
      <w:start w:val="28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5B1F66"/>
    <w:multiLevelType w:val="hybridMultilevel"/>
    <w:tmpl w:val="86B8AF72"/>
    <w:lvl w:ilvl="0" w:tplc="D41CF64C">
      <w:start w:val="26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2B407B"/>
    <w:multiLevelType w:val="hybridMultilevel"/>
    <w:tmpl w:val="D64CB2BC"/>
    <w:lvl w:ilvl="0" w:tplc="AFA49558">
      <w:start w:val="26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DD4A71"/>
    <w:multiLevelType w:val="hybridMultilevel"/>
    <w:tmpl w:val="675CD3EC"/>
    <w:lvl w:ilvl="0" w:tplc="9BB28B1E">
      <w:start w:val="28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8601D95"/>
    <w:multiLevelType w:val="hybridMultilevel"/>
    <w:tmpl w:val="B5368248"/>
    <w:lvl w:ilvl="0" w:tplc="9BA22B54">
      <w:start w:val="28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C904E50"/>
    <w:multiLevelType w:val="hybridMultilevel"/>
    <w:tmpl w:val="9B185842"/>
    <w:lvl w:ilvl="0" w:tplc="27B6FB34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CF7DF2"/>
    <w:multiLevelType w:val="hybridMultilevel"/>
    <w:tmpl w:val="844CD80E"/>
    <w:lvl w:ilvl="0" w:tplc="9CC48480">
      <w:start w:val="280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CC53BD"/>
    <w:multiLevelType w:val="hybridMultilevel"/>
    <w:tmpl w:val="684CA980"/>
    <w:lvl w:ilvl="0" w:tplc="1D222434">
      <w:start w:val="276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14158A"/>
    <w:multiLevelType w:val="hybridMultilevel"/>
    <w:tmpl w:val="F74810CE"/>
    <w:lvl w:ilvl="0" w:tplc="6104581E">
      <w:start w:val="27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06360F9"/>
    <w:multiLevelType w:val="hybridMultilevel"/>
    <w:tmpl w:val="0478ACE8"/>
    <w:lvl w:ilvl="0" w:tplc="CBBA3CF6">
      <w:start w:val="28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13D07B6"/>
    <w:multiLevelType w:val="hybridMultilevel"/>
    <w:tmpl w:val="3CFE4142"/>
    <w:lvl w:ilvl="0" w:tplc="66764D92">
      <w:start w:val="26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5AB7A41"/>
    <w:multiLevelType w:val="hybridMultilevel"/>
    <w:tmpl w:val="2D82281E"/>
    <w:lvl w:ilvl="0" w:tplc="60E80B12">
      <w:start w:val="27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126A9C"/>
    <w:multiLevelType w:val="hybridMultilevel"/>
    <w:tmpl w:val="1FB83208"/>
    <w:lvl w:ilvl="0" w:tplc="51E4F6A8">
      <w:start w:val="26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6"/>
  </w:num>
  <w:num w:numId="3">
    <w:abstractNumId w:val="17"/>
  </w:num>
  <w:num w:numId="4">
    <w:abstractNumId w:val="4"/>
  </w:num>
  <w:num w:numId="5">
    <w:abstractNumId w:val="0"/>
  </w:num>
  <w:num w:numId="6">
    <w:abstractNumId w:val="28"/>
  </w:num>
  <w:num w:numId="7">
    <w:abstractNumId w:val="26"/>
  </w:num>
  <w:num w:numId="8">
    <w:abstractNumId w:val="18"/>
  </w:num>
  <w:num w:numId="9">
    <w:abstractNumId w:val="9"/>
  </w:num>
  <w:num w:numId="10">
    <w:abstractNumId w:val="7"/>
  </w:num>
  <w:num w:numId="11">
    <w:abstractNumId w:val="24"/>
  </w:num>
  <w:num w:numId="12">
    <w:abstractNumId w:val="27"/>
  </w:num>
  <w:num w:numId="13">
    <w:abstractNumId w:val="15"/>
  </w:num>
  <w:num w:numId="14">
    <w:abstractNumId w:val="3"/>
  </w:num>
  <w:num w:numId="15">
    <w:abstractNumId w:val="23"/>
  </w:num>
  <w:num w:numId="16">
    <w:abstractNumId w:val="1"/>
  </w:num>
  <w:num w:numId="17">
    <w:abstractNumId w:val="8"/>
  </w:num>
  <w:num w:numId="18">
    <w:abstractNumId w:val="10"/>
  </w:num>
  <w:num w:numId="19">
    <w:abstractNumId w:val="22"/>
  </w:num>
  <w:num w:numId="20">
    <w:abstractNumId w:val="25"/>
  </w:num>
  <w:num w:numId="21">
    <w:abstractNumId w:val="2"/>
  </w:num>
  <w:num w:numId="22">
    <w:abstractNumId w:val="13"/>
  </w:num>
  <w:num w:numId="23">
    <w:abstractNumId w:val="11"/>
  </w:num>
  <w:num w:numId="24">
    <w:abstractNumId w:val="12"/>
  </w:num>
  <w:num w:numId="25">
    <w:abstractNumId w:val="19"/>
  </w:num>
  <w:num w:numId="26">
    <w:abstractNumId w:val="16"/>
  </w:num>
  <w:num w:numId="27">
    <w:abstractNumId w:val="14"/>
  </w:num>
  <w:num w:numId="28">
    <w:abstractNumId w:val="20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eastAsia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5">
    <w:name w:val="heading 5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4"/>
    </w:pPr>
    <w:rPr>
      <w:rFonts w:eastAsia="SimSun"/>
      <w:i/>
      <w:u w:val="single"/>
      <w:lang w:val="ru-RU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spacing w:after="0"/>
    </w:pPr>
    <w:rPr>
      <w:rFonts w:ascii="Courier" w:hAnsi="Courier"/>
      <w:snapToGrid w:val="0"/>
      <w:lang w:val="ru-RU" w:eastAsia="ru-RU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2171</Words>
  <Characters>12377</Characters>
  <Application>Microsoft Office Word</Application>
  <DocSecurity>4</DocSecurity>
  <Lines>103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International Computing Centre</Company>
  <LinksUpToDate>false</LinksUpToDate>
  <CharactersWithSpaces>15199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OHCHR</dc:creator>
  <cp:keywords/>
  <dc:description/>
  <cp:lastModifiedBy>csd</cp:lastModifiedBy>
  <cp:revision>4</cp:revision>
  <cp:lastPrinted>2006-10-23T09:24:00Z</cp:lastPrinted>
  <dcterms:created xsi:type="dcterms:W3CDTF">2006-10-23T07:26:00Z</dcterms:created>
  <dcterms:modified xsi:type="dcterms:W3CDTF">2006-10-23T09:25:00Z</dcterms:modified>
</cp:coreProperties>
</file>