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jpeg" ContentType="image/jpeg"/>
  <Override PartName="/word/comments.xml" ContentType="application/vnd.openxmlformats-officedocument.wordprocessingml.comment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37B9C" w:rsidRDefault="00B37B9C" w:rsidP="00B37B9C">
      <w:pPr>
        <w:spacing w:line="20" w:lineRule="exact"/>
        <w:sectPr w:rsidR="00B37B9C" w:rsidSect="00B37B9C">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commentRangeStart w:id="0"/>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margin-left:495.5pt;margin-top:684.1pt;width:54.05pt;height:54.05pt;z-index:1;mso-position-horizontal-relative:page;mso-position-vertical-relative:page" o:preferrelative="f" filled="t">
            <v:imagedata r:id="rId13" o:title="1&amp;Size =1&amp;Lang = F"/>
            <w10:wrap anchorx="page" anchory="page"/>
          </v:shape>
        </w:pict>
      </w:r>
      <w:commentRangeEnd w:id="0"/>
      <w:r>
        <w:rPr>
          <w:rStyle w:val="CommentReference"/>
        </w:rPr>
        <w:commentReference w:id="0"/>
      </w:r>
    </w:p>
    <w:p w:rsidR="00891A89" w:rsidRDefault="00891A89" w:rsidP="00891A8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Comité pour l’élimination de la discrimination</w:t>
      </w:r>
    </w:p>
    <w:p w:rsidR="00891A89" w:rsidRDefault="00891A89" w:rsidP="00891A89">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r>
        <w:t xml:space="preserve">à l’égard des femmes </w:t>
      </w:r>
    </w:p>
    <w:p w:rsidR="00891A89" w:rsidRPr="00891A89" w:rsidRDefault="00891A89" w:rsidP="00891A89">
      <w:pPr>
        <w:rPr>
          <w:b/>
        </w:rPr>
      </w:pPr>
      <w:r w:rsidRPr="00891A89">
        <w:rPr>
          <w:b/>
        </w:rPr>
        <w:t>Groupe de travail d’avant-session</w:t>
      </w:r>
    </w:p>
    <w:p w:rsidR="00891A89" w:rsidRDefault="00891A89" w:rsidP="00891A89">
      <w:r w:rsidRPr="00891A89">
        <w:rPr>
          <w:b/>
        </w:rPr>
        <w:t>Cinquante-huitième session</w:t>
      </w:r>
    </w:p>
    <w:p w:rsidR="00891A89" w:rsidRDefault="00DC5CFB" w:rsidP="00891A89">
      <w:r>
        <w:t>21-</w:t>
      </w:r>
      <w:r w:rsidR="00891A89">
        <w:t>25 octobre 2013</w:t>
      </w:r>
    </w:p>
    <w:p w:rsidR="00891A89" w:rsidRPr="00891A89" w:rsidRDefault="00891A89" w:rsidP="00891A89">
      <w:pPr>
        <w:pStyle w:val="SingleTxt"/>
        <w:spacing w:after="0" w:line="120" w:lineRule="exact"/>
        <w:rPr>
          <w:sz w:val="10"/>
        </w:rPr>
      </w:pPr>
    </w:p>
    <w:p w:rsidR="00891A89" w:rsidRPr="00891A89" w:rsidRDefault="00891A89" w:rsidP="00891A89">
      <w:pPr>
        <w:pStyle w:val="SingleTxt"/>
        <w:spacing w:after="0" w:line="120" w:lineRule="exact"/>
        <w:rPr>
          <w:sz w:val="10"/>
        </w:rPr>
      </w:pPr>
    </w:p>
    <w:p w:rsidR="00891A89" w:rsidRPr="00891A89" w:rsidRDefault="00891A89" w:rsidP="00891A89">
      <w:pPr>
        <w:pStyle w:val="SingleTxt"/>
        <w:spacing w:after="0" w:line="120" w:lineRule="exact"/>
        <w:rPr>
          <w:sz w:val="10"/>
        </w:rPr>
      </w:pPr>
    </w:p>
    <w:p w:rsidR="00891A89" w:rsidRDefault="00891A89" w:rsidP="00891A89">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Examen des rapports présentés par les États </w:t>
      </w:r>
      <w:r>
        <w:br/>
        <w:t xml:space="preserve">parties au titre de l’article 18 de la Convention </w:t>
      </w:r>
      <w:r>
        <w:br/>
        <w:t xml:space="preserve">sur l’élimination de toutes les formes </w:t>
      </w:r>
      <w:r w:rsidR="00DC5CFB">
        <w:br/>
      </w:r>
      <w:r>
        <w:t>de discrimination à l’égard des femmes</w:t>
      </w:r>
    </w:p>
    <w:p w:rsidR="00891A89" w:rsidRPr="00891A89" w:rsidRDefault="00891A89" w:rsidP="00891A89">
      <w:pPr>
        <w:pStyle w:val="SingleTxt"/>
        <w:spacing w:after="0" w:line="120" w:lineRule="exact"/>
        <w:rPr>
          <w:sz w:val="10"/>
        </w:rPr>
      </w:pPr>
    </w:p>
    <w:p w:rsidR="00891A89" w:rsidRPr="00891A89" w:rsidRDefault="00891A89" w:rsidP="00891A89">
      <w:pPr>
        <w:pStyle w:val="SingleTxt"/>
        <w:spacing w:after="0" w:line="120" w:lineRule="exact"/>
        <w:rPr>
          <w:sz w:val="10"/>
        </w:rPr>
      </w:pPr>
    </w:p>
    <w:p w:rsidR="00891A89" w:rsidRDefault="00891A89" w:rsidP="00891A89">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Rapport du groupe de travail d’avant-session</w:t>
      </w:r>
    </w:p>
    <w:p w:rsidR="00891A89" w:rsidRPr="00891A89" w:rsidRDefault="00891A89" w:rsidP="00891A89">
      <w:pPr>
        <w:pStyle w:val="SingleTxt"/>
        <w:spacing w:after="0" w:line="120" w:lineRule="exact"/>
        <w:rPr>
          <w:sz w:val="10"/>
        </w:rPr>
      </w:pPr>
    </w:p>
    <w:p w:rsidR="00891A89" w:rsidRPr="00891A89" w:rsidRDefault="00891A89" w:rsidP="00891A89">
      <w:pPr>
        <w:pStyle w:val="SingleTxt"/>
        <w:spacing w:after="0" w:line="120" w:lineRule="exact"/>
        <w:rPr>
          <w:sz w:val="10"/>
        </w:rPr>
      </w:pPr>
    </w:p>
    <w:p w:rsidR="00891A89" w:rsidRDefault="00891A89" w:rsidP="00891A89">
      <w:pPr>
        <w:pStyle w:val="SingleTxt"/>
        <w:numPr>
          <w:ilvl w:val="0"/>
          <w:numId w:val="1"/>
        </w:numPr>
        <w:tabs>
          <w:tab w:val="left" w:pos="1742"/>
        </w:tabs>
      </w:pPr>
      <w:r>
        <w:t>Le Comité pour l’élimination de la discrimination à l’égard des femmes a pour usage de réunir pendant cinq jours, avant sa session, un groupe de travail chargé d’établir les listes de questions suscitées par les rapports initiaux et périodiques qu’il examinera au cours de l’une de ses sessions suivantes.</w:t>
      </w:r>
    </w:p>
    <w:p w:rsidR="00891A89" w:rsidRDefault="00891A89" w:rsidP="00891A89">
      <w:pPr>
        <w:pStyle w:val="SingleTxt"/>
        <w:numPr>
          <w:ilvl w:val="0"/>
          <w:numId w:val="1"/>
        </w:numPr>
        <w:tabs>
          <w:tab w:val="left" w:pos="1742"/>
        </w:tabs>
      </w:pPr>
      <w:r>
        <w:t xml:space="preserve">Le Comité a décidé que, pour sa cinquante-huitième session, le groupe de travail d’avant-session se réunirait du 21 au 25 octobre 2013, soit immédiatement après sa cinquante-sixième session, afin que les États parties disposent de suffisamment de temps pour communiquer leurs réponses écrites aux listes de questions et que ces réponses puissent être traduites en temps voulu. </w:t>
      </w:r>
    </w:p>
    <w:p w:rsidR="00891A89" w:rsidRDefault="00891A89" w:rsidP="00891A89">
      <w:pPr>
        <w:pStyle w:val="SingleTxt"/>
        <w:numPr>
          <w:ilvl w:val="0"/>
          <w:numId w:val="1"/>
        </w:numPr>
        <w:tabs>
          <w:tab w:val="left" w:pos="1742"/>
        </w:tabs>
      </w:pPr>
      <w:r>
        <w:t xml:space="preserve">Les experts ci-après ont été nommés membres du groupe de travail d’avant-session : </w:t>
      </w:r>
    </w:p>
    <w:p w:rsidR="00891A89" w:rsidRDefault="00891A89" w:rsidP="00891A89">
      <w:pPr>
        <w:pStyle w:val="SingleTxt"/>
      </w:pPr>
      <w:r>
        <w:tab/>
        <w:t>M</w:t>
      </w:r>
      <w:r w:rsidRPr="00891A89">
        <w:rPr>
          <w:vertAlign w:val="superscript"/>
        </w:rPr>
        <w:t>me</w:t>
      </w:r>
      <w:r>
        <w:rPr>
          <w:vertAlign w:val="superscript"/>
        </w:rPr>
        <w:t> </w:t>
      </w:r>
      <w:r>
        <w:t>Noor Al-Jehani</w:t>
      </w:r>
    </w:p>
    <w:p w:rsidR="00891A89" w:rsidRDefault="00891A89" w:rsidP="00891A89">
      <w:pPr>
        <w:pStyle w:val="SingleTxt"/>
      </w:pPr>
      <w:r>
        <w:tab/>
        <w:t>M</w:t>
      </w:r>
      <w:r w:rsidRPr="00891A89">
        <w:rPr>
          <w:vertAlign w:val="superscript"/>
        </w:rPr>
        <w:t>me</w:t>
      </w:r>
      <w:r>
        <w:rPr>
          <w:vertAlign w:val="superscript"/>
        </w:rPr>
        <w:t> </w:t>
      </w:r>
      <w:r>
        <w:t>Nicole Ameline</w:t>
      </w:r>
    </w:p>
    <w:p w:rsidR="00891A89" w:rsidRDefault="00891A89" w:rsidP="00891A89">
      <w:pPr>
        <w:pStyle w:val="SingleTxt"/>
      </w:pPr>
      <w:r>
        <w:tab/>
        <w:t>M</w:t>
      </w:r>
      <w:r w:rsidRPr="00891A89">
        <w:rPr>
          <w:vertAlign w:val="superscript"/>
        </w:rPr>
        <w:t>me</w:t>
      </w:r>
      <w:r>
        <w:rPr>
          <w:vertAlign w:val="superscript"/>
        </w:rPr>
        <w:t> </w:t>
      </w:r>
      <w:r>
        <w:t>Barbara Bailey</w:t>
      </w:r>
    </w:p>
    <w:p w:rsidR="00891A89" w:rsidRDefault="00891A89" w:rsidP="00891A89">
      <w:pPr>
        <w:pStyle w:val="SingleTxt"/>
      </w:pPr>
      <w:r>
        <w:tab/>
        <w:t>M</w:t>
      </w:r>
      <w:r w:rsidRPr="00891A89">
        <w:rPr>
          <w:vertAlign w:val="superscript"/>
        </w:rPr>
        <w:t>me</w:t>
      </w:r>
      <w:r>
        <w:rPr>
          <w:vertAlign w:val="superscript"/>
        </w:rPr>
        <w:t> </w:t>
      </w:r>
      <w:r>
        <w:t>Náela Gabr</w:t>
      </w:r>
    </w:p>
    <w:p w:rsidR="00891A89" w:rsidRDefault="00891A89" w:rsidP="00891A89">
      <w:pPr>
        <w:pStyle w:val="SingleTxt"/>
      </w:pPr>
      <w:r>
        <w:tab/>
        <w:t>M</w:t>
      </w:r>
      <w:r w:rsidRPr="00891A89">
        <w:rPr>
          <w:vertAlign w:val="superscript"/>
        </w:rPr>
        <w:t>me</w:t>
      </w:r>
      <w:r>
        <w:rPr>
          <w:vertAlign w:val="superscript"/>
        </w:rPr>
        <w:t> </w:t>
      </w:r>
      <w:r>
        <w:t>Violeta Neubauer</w:t>
      </w:r>
    </w:p>
    <w:p w:rsidR="00891A89" w:rsidRDefault="00891A89" w:rsidP="00891A89">
      <w:pPr>
        <w:pStyle w:val="SingleTxt"/>
        <w:numPr>
          <w:ilvl w:val="0"/>
          <w:numId w:val="1"/>
        </w:numPr>
        <w:tabs>
          <w:tab w:val="left" w:pos="1742"/>
        </w:tabs>
      </w:pPr>
      <w:r>
        <w:t>Le groupe de travail d’avant-session a élu M</w:t>
      </w:r>
      <w:r w:rsidRPr="00891A89">
        <w:rPr>
          <w:vertAlign w:val="superscript"/>
        </w:rPr>
        <w:t>me</w:t>
      </w:r>
      <w:r>
        <w:rPr>
          <w:vertAlign w:val="superscript"/>
        </w:rPr>
        <w:t> </w:t>
      </w:r>
      <w:r>
        <w:t xml:space="preserve">Ameline à sa présidence. </w:t>
      </w:r>
    </w:p>
    <w:p w:rsidR="00891A89" w:rsidRDefault="00891A89" w:rsidP="00B47AD1">
      <w:pPr>
        <w:pStyle w:val="SingleTxt"/>
        <w:keepNext/>
        <w:keepLines/>
        <w:numPr>
          <w:ilvl w:val="0"/>
          <w:numId w:val="1"/>
        </w:numPr>
        <w:tabs>
          <w:tab w:val="left" w:pos="1742"/>
        </w:tabs>
      </w:pPr>
      <w:r>
        <w:t>Le groupe de travail a établi des listes de questions suscitées par les rapports soumis par la Géorgie, l’Inde, la Lituanie, la Mauritanie, le Pérou, la République arabe syrienne, la République centrafricaine et le Swaziland. Il a pris en compte la décision 49/IX dans laquelle le Comité a décidé que les listes ne comprendraient pas plus de 20 questions. En pratique, il arrive exceptionnellement que des listes contiennent 22 questions.</w:t>
      </w:r>
    </w:p>
    <w:p w:rsidR="00891A89" w:rsidRDefault="00891A89" w:rsidP="00891A89">
      <w:pPr>
        <w:pStyle w:val="SingleTxt"/>
        <w:numPr>
          <w:ilvl w:val="0"/>
          <w:numId w:val="1"/>
        </w:numPr>
        <w:tabs>
          <w:tab w:val="left" w:pos="1742"/>
        </w:tabs>
      </w:pPr>
      <w:r>
        <w:t xml:space="preserve">Pour établir les listes de questions, le groupe de travail disposait des rapports des États parties précités ainsi que des documents de base de la plupart d’entre eux, des recommandations générales adoptées par le Comité, d’informations de caractère général et de projets de listes de questions établis par le secrétariat sur la base d’une analyse comparée des derniers rapports des États parties et des débats du Comité sur les rapports précédents, ainsi que d’autres renseignements pertinents, dont les observations finales du Comité et celles d’autres organes conventionnels si elles présentaient un intérêt en l’espèce. Lors de l’établissement des listes, le groupe de travail a accordé une attention particulière à la suite donnée par les États parties aux observations finales du Comité sur les rapports précédents. </w:t>
      </w:r>
    </w:p>
    <w:p w:rsidR="00891A89" w:rsidRDefault="00891A89" w:rsidP="00891A89">
      <w:pPr>
        <w:pStyle w:val="SingleTxt"/>
        <w:numPr>
          <w:ilvl w:val="0"/>
          <w:numId w:val="1"/>
        </w:numPr>
        <w:tabs>
          <w:tab w:val="left" w:pos="1742"/>
        </w:tabs>
      </w:pPr>
      <w:r>
        <w:t>Le groupe de travail s’est appuyé sur les renseignements communiqués par écrit et oralement par des organismes et institutions spécialisées des Nations Unies et des organisations non gouvernementales.</w:t>
      </w:r>
    </w:p>
    <w:p w:rsidR="00891A89" w:rsidRDefault="00891A89" w:rsidP="00891A89">
      <w:pPr>
        <w:pStyle w:val="SingleTxt"/>
        <w:numPr>
          <w:ilvl w:val="0"/>
          <w:numId w:val="1"/>
        </w:numPr>
        <w:tabs>
          <w:tab w:val="left" w:pos="1742"/>
        </w:tabs>
      </w:pPr>
      <w:r>
        <w:t xml:space="preserve">Les listes de questions établies par le groupe de travail, qui ont été communiquées aux États parties intéressés, ont été publiées dans les documents ci-après : </w:t>
      </w:r>
    </w:p>
    <w:p w:rsidR="00891A89" w:rsidRDefault="00891A89" w:rsidP="00891A89">
      <w:pPr>
        <w:pStyle w:val="SingleTxt"/>
      </w:pPr>
      <w:r>
        <w:tab/>
        <w:t>a)</w:t>
      </w:r>
      <w:r>
        <w:tab/>
        <w:t>Liste des points relatifs au rapport unique valant premier et deuxième à cinquième rapports périodiques de la République centrafricaine (</w:t>
      </w:r>
      <w:hyperlink r:id="rId15" w:history="1">
        <w:r w:rsidRPr="00DC5CFB">
          <w:rPr>
            <w:rStyle w:val="Hyperlink"/>
          </w:rPr>
          <w:t>CEDAW/C/CAF/Q/1-5</w:t>
        </w:r>
      </w:hyperlink>
      <w:r>
        <w:t xml:space="preserve">); </w:t>
      </w:r>
    </w:p>
    <w:p w:rsidR="00891A89" w:rsidRDefault="00891A89" w:rsidP="00891A89">
      <w:pPr>
        <w:pStyle w:val="SingleTxt"/>
      </w:pPr>
      <w:r>
        <w:tab/>
        <w:t>b)</w:t>
      </w:r>
      <w:r>
        <w:tab/>
        <w:t>Liste des points relatifs au rapport unique valant quatrième et cinquième rapports périodiques de la Géorgie (</w:t>
      </w:r>
      <w:hyperlink r:id="rId16" w:history="1">
        <w:r w:rsidRPr="00DC5CFB">
          <w:rPr>
            <w:rStyle w:val="Hyperlink"/>
          </w:rPr>
          <w:t>CEDAW/C/GEO/Q/4-5</w:t>
        </w:r>
      </w:hyperlink>
      <w:r>
        <w:t>);</w:t>
      </w:r>
    </w:p>
    <w:p w:rsidR="00891A89" w:rsidRDefault="00891A89" w:rsidP="00891A89">
      <w:pPr>
        <w:pStyle w:val="SingleTxt"/>
      </w:pPr>
      <w:r>
        <w:tab/>
        <w:t>c)</w:t>
      </w:r>
      <w:r>
        <w:tab/>
        <w:t>Liste des points relatifs au rapport unique valant quatrième et cinquième rapports périodiques de l’Inde (</w:t>
      </w:r>
      <w:hyperlink r:id="rId17" w:history="1">
        <w:r w:rsidRPr="00DC5CFB">
          <w:rPr>
            <w:rStyle w:val="Hyperlink"/>
          </w:rPr>
          <w:t>CEDAW/C/IND/Q/4-5</w:t>
        </w:r>
      </w:hyperlink>
      <w:r>
        <w:t>);</w:t>
      </w:r>
    </w:p>
    <w:p w:rsidR="00891A89" w:rsidRDefault="00891A89" w:rsidP="00891A89">
      <w:pPr>
        <w:pStyle w:val="SingleTxt"/>
      </w:pPr>
      <w:r>
        <w:tab/>
        <w:t>d)</w:t>
      </w:r>
      <w:r>
        <w:tab/>
        <w:t>Liste des points relatifs au cinquième rapport périodique de la Lituanie (</w:t>
      </w:r>
      <w:hyperlink r:id="rId18" w:history="1">
        <w:r w:rsidRPr="00DC5CFB">
          <w:rPr>
            <w:rStyle w:val="Hyperlink"/>
          </w:rPr>
          <w:t>CEDAW/C/LTU/Q/5-5</w:t>
        </w:r>
      </w:hyperlink>
      <w:r>
        <w:t>);</w:t>
      </w:r>
    </w:p>
    <w:p w:rsidR="00891A89" w:rsidRDefault="00891A89" w:rsidP="00891A89">
      <w:pPr>
        <w:pStyle w:val="SingleTxt"/>
      </w:pPr>
      <w:r>
        <w:tab/>
        <w:t>e)</w:t>
      </w:r>
      <w:r>
        <w:tab/>
        <w:t>Liste des points relatifs au rapport unique valant deuxième et troisième rapports périodiques de la Mauritanie (</w:t>
      </w:r>
      <w:hyperlink r:id="rId19" w:history="1">
        <w:r w:rsidRPr="00DC5CFB">
          <w:rPr>
            <w:rStyle w:val="Hyperlink"/>
          </w:rPr>
          <w:t>CEDAW/C/MRT/Q/2-3</w:t>
        </w:r>
      </w:hyperlink>
      <w:r>
        <w:t xml:space="preserve">); </w:t>
      </w:r>
    </w:p>
    <w:p w:rsidR="00891A89" w:rsidRDefault="00891A89" w:rsidP="00891A89">
      <w:pPr>
        <w:pStyle w:val="SingleTxt"/>
      </w:pPr>
      <w:r>
        <w:tab/>
        <w:t>f)</w:t>
      </w:r>
      <w:r>
        <w:tab/>
        <w:t>Liste des points relatifs au rapport unique valant septième et huitième rapports périodiques du Pérou (</w:t>
      </w:r>
      <w:hyperlink r:id="rId20" w:history="1">
        <w:r w:rsidRPr="00DC5CFB">
          <w:rPr>
            <w:rStyle w:val="Hyperlink"/>
          </w:rPr>
          <w:t>CEDAW/C/PER/Q/7-8</w:t>
        </w:r>
      </w:hyperlink>
      <w:r>
        <w:t xml:space="preserve">); </w:t>
      </w:r>
    </w:p>
    <w:p w:rsidR="00891A89" w:rsidRDefault="00891A89" w:rsidP="00891A89">
      <w:pPr>
        <w:pStyle w:val="SingleTxt"/>
      </w:pPr>
      <w:r>
        <w:tab/>
        <w:t>g)</w:t>
      </w:r>
      <w:r>
        <w:tab/>
        <w:t>Liste des points relatifs au rapport unique valant premier et deuxième rapports périodiques du Swaziland (</w:t>
      </w:r>
      <w:hyperlink r:id="rId21" w:history="1">
        <w:r w:rsidRPr="00DC5CFB">
          <w:rPr>
            <w:rStyle w:val="Hyperlink"/>
          </w:rPr>
          <w:t>CEDAW/C/SWZ/Q/1-2</w:t>
        </w:r>
      </w:hyperlink>
      <w:r>
        <w:t>);</w:t>
      </w:r>
    </w:p>
    <w:p w:rsidR="00891A89" w:rsidRDefault="00891A89" w:rsidP="00891A89">
      <w:pPr>
        <w:pStyle w:val="SingleTxt"/>
      </w:pPr>
      <w:r>
        <w:tab/>
        <w:t>h)</w:t>
      </w:r>
      <w:r>
        <w:tab/>
        <w:t>Liste des points relatifs au deuxième rapport périodique de la République arabe syrienne (</w:t>
      </w:r>
      <w:hyperlink r:id="rId22" w:history="1">
        <w:r w:rsidRPr="00DC5CFB">
          <w:rPr>
            <w:rStyle w:val="Hyperlink"/>
          </w:rPr>
          <w:t>CEDAW/C/SYR/Q/2</w:t>
        </w:r>
      </w:hyperlink>
      <w:r w:rsidR="002A6FC0">
        <w:t>).</w:t>
      </w:r>
    </w:p>
    <w:p w:rsidR="00891A89" w:rsidRDefault="00891A89" w:rsidP="00891A89">
      <w:pPr>
        <w:pStyle w:val="SingleTxt"/>
        <w:numPr>
          <w:ilvl w:val="0"/>
          <w:numId w:val="1"/>
        </w:numPr>
        <w:tabs>
          <w:tab w:val="left" w:pos="1742"/>
        </w:tabs>
      </w:pPr>
      <w:r>
        <w:t xml:space="preserve">Conformément aux décisions 22/IV, 25/II et 31/III du Comité, les listes de questions portent essentiellement sur les thèmes traités dans la Convention sur l’élimination de toutes les formes de discrimination à l’égard des femmes, à savoir notamment le cadre constitutionnel et législatif, les femmes et la paix et la sécurité (dans certains cas), les mécanismes internes de promotion de la femme, les stéréotypes et les pratiques préjudiciables, la violence à l’égard des femmes, notamment au sein de la famille, la traite des femmes et l’exploitation de la prostitution, la participation des femmes à la prise de décisions, l’éducation et la formation, l’emploi, la santé, les avantages économiques et sociaux, les femmes rurales, la situation des groupes de femmes défavorisés, notamment les femmes âgées, les femmes handicapées, les femmes appartenant à des minorités ethniques, les réfugiées et les migrantes, l’égalité des femmes et des hommes devant la loi, le mariage et les liens familiaux. </w:t>
      </w:r>
    </w:p>
    <w:p w:rsidR="009A402E" w:rsidRPr="00891A89" w:rsidRDefault="00891A89" w:rsidP="00891A89">
      <w:pPr>
        <w:pStyle w:val="SingleTxt"/>
        <w:spacing w:after="0" w:line="240" w:lineRule="auto"/>
      </w:pPr>
      <w:r>
        <w:rPr>
          <w:noProof/>
          <w:w w:val="100"/>
          <w:lang w:val="fr-FR" w:eastAsia="fr-FR"/>
        </w:rPr>
        <w:pict>
          <v:line id="_x0000_s1027" style="position:absolute;left:0;text-align:left;z-index:2;mso-position-horizontal-relative:page" from="270pt,24pt" to="342pt,24pt" strokeweight=".25pt">
            <w10:wrap anchorx="page"/>
          </v:line>
        </w:pict>
      </w:r>
    </w:p>
    <w:sectPr w:rsidR="009A402E" w:rsidRPr="00891A89" w:rsidSect="00B37B9C">
      <w:type w:val="continuous"/>
      <w:pgSz w:w="12240" w:h="15840" w:code="1"/>
      <w:pgMar w:top="1742" w:right="1195" w:bottom="1898" w:left="1195" w:header="576" w:footer="1030" w:gutter="0"/>
      <w:cols w:space="708"/>
      <w:noEndnote/>
      <w:docGrid w:linePitch="36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comment w:id="0" w:author="Start" w:date="2013-11-12T10:10:00Z" w:initials="Start">
    <w:p w:rsidR="00891A89" w:rsidRPr="00891A89" w:rsidRDefault="00891A89">
      <w:pPr>
        <w:pStyle w:val="CommentText"/>
        <w:rPr>
          <w:lang w:val="en-US"/>
        </w:rPr>
      </w:pPr>
      <w:r>
        <w:fldChar w:fldCharType="begin"/>
      </w:r>
      <w:r w:rsidRPr="00891A89">
        <w:rPr>
          <w:rStyle w:val="CommentReference"/>
          <w:lang w:val="en-US"/>
        </w:rPr>
        <w:instrText xml:space="preserve"> </w:instrText>
      </w:r>
      <w:r w:rsidRPr="00891A89">
        <w:rPr>
          <w:lang w:val="en-US"/>
        </w:rPr>
        <w:instrText>PAGE \# "'Page: '#'</w:instrText>
      </w:r>
      <w:r w:rsidRPr="00891A89">
        <w:rPr>
          <w:lang w:val="en-US"/>
        </w:rPr>
        <w:br/>
        <w:instrText>'"</w:instrText>
      </w:r>
      <w:r w:rsidRPr="00891A89">
        <w:rPr>
          <w:rStyle w:val="CommentReference"/>
          <w:lang w:val="en-US"/>
        </w:rPr>
        <w:instrText xml:space="preserve"> </w:instrText>
      </w:r>
      <w:r>
        <w:fldChar w:fldCharType="end"/>
      </w:r>
      <w:r>
        <w:rPr>
          <w:rStyle w:val="CommentReference"/>
        </w:rPr>
        <w:annotationRef/>
      </w:r>
      <w:r w:rsidRPr="00891A89">
        <w:rPr>
          <w:lang w:val="en-US"/>
        </w:rPr>
        <w:t>&lt;&lt;ODS JOB NO&gt;&gt;N1353334F&lt;&lt;ODS JOB NO&gt;&gt;</w:t>
      </w:r>
    </w:p>
    <w:p w:rsidR="00891A89" w:rsidRDefault="00891A89">
      <w:pPr>
        <w:pStyle w:val="CommentText"/>
      </w:pPr>
      <w:r>
        <w:t>&lt;&lt;ODS DOC SYMBOL1&gt;&gt;CEDAW/C/PSWG/58/1&lt;&lt;ODS DOC SYMBOL1&gt;&gt;</w:t>
      </w:r>
    </w:p>
    <w:p w:rsidR="00891A89" w:rsidRDefault="00891A89">
      <w:pPr>
        <w:pStyle w:val="CommentText"/>
      </w:pPr>
      <w:r>
        <w:t>&lt;&lt;ODS DOC SYMBOL2&gt;&gt;&lt;&lt;ODS DOC SYMBOL2&gt;&gt;</w:t>
      </w:r>
    </w:p>
  </w:comment>
</w:comments>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891A89" w:rsidRDefault="00891A89">
      <w:r>
        <w:separator/>
      </w:r>
    </w:p>
  </w:endnote>
  <w:endnote w:type="continuationSeparator" w:id="0">
    <w:p w:rsidR="00891A89" w:rsidRDefault="00891A89">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91A89" w:rsidTr="00B37B9C">
      <w:tblPrEx>
        <w:tblCellMar>
          <w:top w:w="0" w:type="dxa"/>
          <w:bottom w:w="0" w:type="dxa"/>
        </w:tblCellMar>
      </w:tblPrEx>
      <w:tc>
        <w:tcPr>
          <w:tcW w:w="4995" w:type="dxa"/>
          <w:shd w:val="clear" w:color="auto" w:fill="auto"/>
        </w:tcPr>
        <w:p w:rsidR="00891A89" w:rsidRPr="00B37B9C" w:rsidRDefault="00891A89" w:rsidP="00B37B9C">
          <w:pPr>
            <w:pStyle w:val="Footer"/>
            <w:jc w:val="right"/>
            <w:rPr>
              <w:b w:val="0"/>
              <w:w w:val="103"/>
              <w:sz w:val="14"/>
            </w:rPr>
          </w:pPr>
          <w:fldSimple w:instr=" DOCVARIABLE &quot;FooterJN&quot; \* MERGEFORMAT ">
            <w:r w:rsidR="0000627F">
              <w:rPr>
                <w:b w:val="0"/>
                <w:w w:val="103"/>
                <w:sz w:val="14"/>
              </w:rPr>
              <w:t>13-53334</w:t>
            </w:r>
          </w:fldSimple>
        </w:p>
      </w:tc>
      <w:tc>
        <w:tcPr>
          <w:tcW w:w="4995" w:type="dxa"/>
          <w:shd w:val="clear" w:color="auto" w:fill="auto"/>
        </w:tcPr>
        <w:p w:rsidR="00891A89" w:rsidRPr="00B37B9C" w:rsidRDefault="00891A89" w:rsidP="00B37B9C">
          <w:pPr>
            <w:pStyle w:val="Footer"/>
            <w:rPr>
              <w:w w:val="103"/>
            </w:rPr>
          </w:pPr>
          <w:r>
            <w:rPr>
              <w:w w:val="103"/>
            </w:rPr>
            <w:fldChar w:fldCharType="begin"/>
          </w:r>
          <w:r>
            <w:rPr>
              <w:w w:val="103"/>
            </w:rPr>
            <w:instrText xml:space="preserve"> PAGE  \* Arabic  \* MERGEFORMAT </w:instrText>
          </w:r>
          <w:r>
            <w:rPr>
              <w:w w:val="103"/>
            </w:rPr>
            <w:fldChar w:fldCharType="separate"/>
          </w:r>
          <w:r w:rsidR="006B0D20">
            <w:rPr>
              <w:w w:val="103"/>
            </w:rPr>
            <w:t>2</w:t>
          </w:r>
          <w:r>
            <w:rPr>
              <w:w w:val="103"/>
            </w:rPr>
            <w:fldChar w:fldCharType="end"/>
          </w:r>
          <w:r>
            <w:rPr>
              <w:w w:val="103"/>
            </w:rPr>
            <w:t>/</w:t>
          </w:r>
          <w:fldSimple w:instr=" NUMPAGES  \* Arabic  \* MERGEFORMAT ">
            <w:r w:rsidR="00B47AD1">
              <w:rPr>
                <w:w w:val="103"/>
              </w:rPr>
              <w:t>3</w:t>
            </w:r>
          </w:fldSimple>
        </w:p>
      </w:tc>
    </w:tr>
  </w:tbl>
  <w:p w:rsidR="00891A89" w:rsidRPr="00B37B9C" w:rsidRDefault="00891A89" w:rsidP="00B37B9C">
    <w:pPr>
      <w:pStyle w:val="Foote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bidiVisual/>
      <w:tblW w:w="0" w:type="auto"/>
      <w:tblLayout w:type="fixed"/>
      <w:tblCellMar>
        <w:left w:w="70" w:type="dxa"/>
        <w:right w:w="70" w:type="dxa"/>
      </w:tblCellMar>
      <w:tblLook w:val="0000"/>
    </w:tblPr>
    <w:tblGrid>
      <w:gridCol w:w="4995"/>
      <w:gridCol w:w="4995"/>
    </w:tblGrid>
    <w:tr w:rsidR="00891A89" w:rsidTr="00B37B9C">
      <w:tblPrEx>
        <w:tblCellMar>
          <w:top w:w="0" w:type="dxa"/>
          <w:bottom w:w="0" w:type="dxa"/>
        </w:tblCellMar>
      </w:tblPrEx>
      <w:tc>
        <w:tcPr>
          <w:tcW w:w="4995" w:type="dxa"/>
          <w:shd w:val="clear" w:color="auto" w:fill="auto"/>
        </w:tcPr>
        <w:p w:rsidR="00891A89" w:rsidRPr="00B37B9C" w:rsidRDefault="00891A89" w:rsidP="00B37B9C">
          <w:pPr>
            <w:pStyle w:val="Footer"/>
            <w:jc w:val="right"/>
            <w:rPr>
              <w:w w:val="103"/>
            </w:rPr>
          </w:pPr>
          <w:r>
            <w:rPr>
              <w:w w:val="103"/>
            </w:rPr>
            <w:fldChar w:fldCharType="begin"/>
          </w:r>
          <w:r>
            <w:rPr>
              <w:w w:val="103"/>
            </w:rPr>
            <w:instrText xml:space="preserve"> PAGE  \* Arabic  \* MERGEFORMAT </w:instrText>
          </w:r>
          <w:r>
            <w:rPr>
              <w:w w:val="103"/>
            </w:rPr>
            <w:fldChar w:fldCharType="separate"/>
          </w:r>
          <w:r w:rsidR="00B47AD1">
            <w:rPr>
              <w:w w:val="103"/>
            </w:rPr>
            <w:t>3</w:t>
          </w:r>
          <w:r>
            <w:rPr>
              <w:w w:val="103"/>
            </w:rPr>
            <w:fldChar w:fldCharType="end"/>
          </w:r>
          <w:r>
            <w:rPr>
              <w:w w:val="103"/>
            </w:rPr>
            <w:t>/</w:t>
          </w:r>
          <w:fldSimple w:instr=" NUMPAGES  \* Arabic  \* MERGEFORMAT ">
            <w:r w:rsidR="00B47AD1">
              <w:rPr>
                <w:w w:val="103"/>
              </w:rPr>
              <w:t>3</w:t>
            </w:r>
          </w:fldSimple>
        </w:p>
      </w:tc>
      <w:tc>
        <w:tcPr>
          <w:tcW w:w="4995" w:type="dxa"/>
          <w:shd w:val="clear" w:color="auto" w:fill="auto"/>
        </w:tcPr>
        <w:p w:rsidR="00891A89" w:rsidRPr="00B37B9C" w:rsidRDefault="00891A89" w:rsidP="00B37B9C">
          <w:pPr>
            <w:pStyle w:val="Footer"/>
            <w:rPr>
              <w:b w:val="0"/>
              <w:w w:val="103"/>
              <w:sz w:val="14"/>
            </w:rPr>
          </w:pPr>
          <w:fldSimple w:instr=" DOCVARIABLE &quot;FooterJN&quot; \* MERGEFORMAT ">
            <w:r w:rsidR="0000627F">
              <w:rPr>
                <w:b w:val="0"/>
                <w:w w:val="103"/>
                <w:sz w:val="14"/>
              </w:rPr>
              <w:t>13-53334</w:t>
            </w:r>
          </w:fldSimple>
        </w:p>
      </w:tc>
    </w:tr>
  </w:tbl>
  <w:p w:rsidR="00891A89" w:rsidRPr="00B37B9C" w:rsidRDefault="00891A89" w:rsidP="00B37B9C">
    <w:pPr>
      <w:pStyle w:val="Foote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91A89" w:rsidRDefault="00891A89">
    <w:pPr>
      <w:pStyle w:val="Footer"/>
    </w:pPr>
  </w:p>
  <w:tbl>
    <w:tblPr>
      <w:tblW w:w="0" w:type="auto"/>
      <w:tblLayout w:type="fixed"/>
      <w:tblCellMar>
        <w:left w:w="70" w:type="dxa"/>
        <w:right w:w="70" w:type="dxa"/>
      </w:tblCellMar>
      <w:tblLook w:val="0000"/>
    </w:tblPr>
    <w:tblGrid>
      <w:gridCol w:w="4995"/>
      <w:gridCol w:w="3686"/>
    </w:tblGrid>
    <w:tr w:rsidR="00891A89" w:rsidTr="00B37B9C">
      <w:tblPrEx>
        <w:tblCellMar>
          <w:top w:w="0" w:type="dxa"/>
          <w:bottom w:w="0" w:type="dxa"/>
        </w:tblCellMar>
      </w:tblPrEx>
      <w:tc>
        <w:tcPr>
          <w:tcW w:w="4995" w:type="dxa"/>
        </w:tcPr>
        <w:p w:rsidR="00891A89" w:rsidRDefault="00891A89" w:rsidP="00B37B9C">
          <w:pPr>
            <w:pStyle w:val="Footer"/>
            <w:rPr>
              <w:b w:val="0"/>
              <w:sz w:val="20"/>
            </w:rPr>
          </w:pPr>
          <w:fldSimple w:instr=" DOCVARIABLE &quot;jobn&quot; \* MERGEFORMAT ">
            <w:r w:rsidR="0000627F">
              <w:rPr>
                <w:b w:val="0"/>
                <w:sz w:val="20"/>
              </w:rPr>
              <w:t>13-53334 (F)</w:t>
            </w:r>
          </w:fldSimple>
          <w:r>
            <w:rPr>
              <w:b w:val="0"/>
              <w:sz w:val="20"/>
            </w:rPr>
            <w:t xml:space="preserve">    121113    121113</w:t>
          </w:r>
        </w:p>
        <w:p w:rsidR="00891A89" w:rsidRPr="00B37B9C" w:rsidRDefault="00891A89" w:rsidP="00B37B9C">
          <w:pPr>
            <w:pStyle w:val="Footer"/>
            <w:spacing w:before="120" w:line="200" w:lineRule="exact"/>
            <w:rPr>
              <w:rFonts w:ascii="Barcode 3 of 9 by request" w:hAnsi="Barcode 3 of 9 by request"/>
              <w:b w:val="0"/>
              <w:spacing w:val="0"/>
              <w:w w:val="100"/>
              <w:sz w:val="24"/>
            </w:rPr>
          </w:pPr>
          <w:fldSimple w:instr=" DOCVARIABLE &quot;Barcode&quot; \* MERGEFORMAT ">
            <w:r w:rsidR="0000627F">
              <w:rPr>
                <w:rFonts w:ascii="Barcode 3 of 9 by request" w:hAnsi="Barcode 3 of 9 by request"/>
                <w:b w:val="0"/>
                <w:spacing w:val="0"/>
                <w:w w:val="100"/>
                <w:sz w:val="24"/>
              </w:rPr>
              <w:t>*1353334*</w:t>
            </w:r>
          </w:fldSimple>
        </w:p>
      </w:tc>
      <w:tc>
        <w:tcPr>
          <w:tcW w:w="3686" w:type="dxa"/>
        </w:tcPr>
        <w:p w:rsidR="00891A89" w:rsidRDefault="00891A89" w:rsidP="00B37B9C">
          <w:pPr>
            <w:pStyle w:val="Footer"/>
            <w:spacing w:line="240" w:lineRule="atLeast"/>
            <w:jc w:val="right"/>
            <w:rPr>
              <w:b w:val="0"/>
              <w:sz w:val="20"/>
            </w:rPr>
          </w:pPr>
          <w:r w:rsidRPr="00B37B9C">
            <w:rPr>
              <w:b w:val="0"/>
              <w:sz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87pt;height:18pt">
                <v:imagedata r:id="rId1" o:title="recycle_French"/>
              </v:shape>
            </w:pict>
          </w:r>
        </w:p>
      </w:tc>
    </w:tr>
  </w:tbl>
  <w:p w:rsidR="00891A89" w:rsidRPr="00B37B9C" w:rsidRDefault="00891A89" w:rsidP="00B37B9C">
    <w:pPr>
      <w:pStyle w:val="Footer"/>
      <w:spacing w:line="56" w:lineRule="exact"/>
      <w:rPr>
        <w:b w:val="0"/>
        <w:sz w:val="20"/>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891A89" w:rsidRDefault="00891A89">
      <w:r>
        <w:separator/>
      </w:r>
    </w:p>
  </w:footnote>
  <w:footnote w:type="continuationSeparator" w:id="0">
    <w:p w:rsidR="00891A89" w:rsidRDefault="00891A8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91A89" w:rsidTr="00B37B9C">
      <w:tblPrEx>
        <w:tblCellMar>
          <w:top w:w="0" w:type="dxa"/>
          <w:bottom w:w="0" w:type="dxa"/>
        </w:tblCellMar>
      </w:tblPrEx>
      <w:trPr>
        <w:trHeight w:hRule="exact" w:val="864"/>
      </w:trPr>
      <w:tc>
        <w:tcPr>
          <w:tcW w:w="4838" w:type="dxa"/>
          <w:shd w:val="clear" w:color="auto" w:fill="auto"/>
          <w:vAlign w:val="bottom"/>
        </w:tcPr>
        <w:p w:rsidR="00891A89" w:rsidRPr="00B37B9C" w:rsidRDefault="00891A89" w:rsidP="00B37B9C">
          <w:pPr>
            <w:pStyle w:val="Header"/>
            <w:spacing w:after="80"/>
            <w:rPr>
              <w:b/>
            </w:rPr>
          </w:pPr>
          <w:fldSimple w:instr=" DOCVARIABLE &quot;sss1&quot; \* MERGEFORMAT ">
            <w:r w:rsidR="0000627F">
              <w:rPr>
                <w:b/>
              </w:rPr>
              <w:t>CEDAW/C/PSWG/58/1</w:t>
            </w:r>
          </w:fldSimple>
        </w:p>
      </w:tc>
      <w:tc>
        <w:tcPr>
          <w:tcW w:w="4995" w:type="dxa"/>
          <w:shd w:val="clear" w:color="auto" w:fill="auto"/>
          <w:vAlign w:val="bottom"/>
        </w:tcPr>
        <w:p w:rsidR="00891A89" w:rsidRDefault="00891A89" w:rsidP="00B37B9C">
          <w:pPr>
            <w:pStyle w:val="Header"/>
          </w:pPr>
        </w:p>
      </w:tc>
    </w:tr>
  </w:tbl>
  <w:p w:rsidR="00891A89" w:rsidRPr="00B37B9C" w:rsidRDefault="00891A89" w:rsidP="00B37B9C">
    <w:pPr>
      <w:pStyle w:val="Heade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0" w:type="auto"/>
      <w:tblBorders>
        <w:bottom w:val="single" w:sz="2" w:space="0" w:color="000000"/>
      </w:tblBorders>
      <w:tblLayout w:type="fixed"/>
      <w:tblCellMar>
        <w:left w:w="0" w:type="dxa"/>
        <w:right w:w="0" w:type="dxa"/>
      </w:tblCellMar>
      <w:tblLook w:val="0000"/>
    </w:tblPr>
    <w:tblGrid>
      <w:gridCol w:w="4838"/>
      <w:gridCol w:w="4995"/>
    </w:tblGrid>
    <w:tr w:rsidR="00891A89" w:rsidTr="00B37B9C">
      <w:tblPrEx>
        <w:tblCellMar>
          <w:top w:w="0" w:type="dxa"/>
          <w:bottom w:w="0" w:type="dxa"/>
        </w:tblCellMar>
      </w:tblPrEx>
      <w:trPr>
        <w:trHeight w:hRule="exact" w:val="864"/>
      </w:trPr>
      <w:tc>
        <w:tcPr>
          <w:tcW w:w="4838" w:type="dxa"/>
          <w:shd w:val="clear" w:color="auto" w:fill="auto"/>
          <w:vAlign w:val="bottom"/>
        </w:tcPr>
        <w:p w:rsidR="00891A89" w:rsidRDefault="00891A89" w:rsidP="00B37B9C">
          <w:pPr>
            <w:pStyle w:val="Header"/>
          </w:pPr>
        </w:p>
      </w:tc>
      <w:tc>
        <w:tcPr>
          <w:tcW w:w="4995" w:type="dxa"/>
          <w:shd w:val="clear" w:color="auto" w:fill="auto"/>
          <w:vAlign w:val="bottom"/>
        </w:tcPr>
        <w:p w:rsidR="00891A89" w:rsidRPr="00B37B9C" w:rsidRDefault="00891A89" w:rsidP="00B37B9C">
          <w:pPr>
            <w:pStyle w:val="Header"/>
            <w:spacing w:after="80"/>
            <w:jc w:val="right"/>
            <w:rPr>
              <w:b/>
            </w:rPr>
          </w:pPr>
          <w:fldSimple w:instr=" DOCVARIABLE &quot;sss1&quot; \* MERGEFORMAT ">
            <w:r w:rsidR="0000627F">
              <w:rPr>
                <w:b/>
              </w:rPr>
              <w:t>CEDAW/C/PSWG/58/1</w:t>
            </w:r>
          </w:fldSimple>
        </w:p>
      </w:tc>
    </w:tr>
  </w:tbl>
  <w:p w:rsidR="00891A89" w:rsidRPr="00B37B9C" w:rsidRDefault="00891A89" w:rsidP="00B37B9C">
    <w:pPr>
      <w:pStyle w:val="Heade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919" w:type="dxa"/>
      <w:tblLayout w:type="fixed"/>
      <w:tblCellMar>
        <w:left w:w="0" w:type="dxa"/>
        <w:right w:w="0" w:type="dxa"/>
      </w:tblCellMar>
      <w:tblLook w:val="0000"/>
    </w:tblPr>
    <w:tblGrid>
      <w:gridCol w:w="1267"/>
      <w:gridCol w:w="2059"/>
      <w:gridCol w:w="58"/>
      <w:gridCol w:w="3110"/>
      <w:gridCol w:w="245"/>
      <w:gridCol w:w="3168"/>
      <w:gridCol w:w="12"/>
    </w:tblGrid>
    <w:tr w:rsidR="00891A89" w:rsidTr="00B37B9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891A89" w:rsidRDefault="00891A89" w:rsidP="00B37B9C">
          <w:pPr>
            <w:pStyle w:val="Header"/>
            <w:spacing w:after="120"/>
          </w:pPr>
        </w:p>
      </w:tc>
      <w:tc>
        <w:tcPr>
          <w:tcW w:w="2059" w:type="dxa"/>
          <w:tcBorders>
            <w:bottom w:val="single" w:sz="4" w:space="0" w:color="auto"/>
          </w:tcBorders>
          <w:shd w:val="clear" w:color="auto" w:fill="auto"/>
          <w:vAlign w:val="bottom"/>
        </w:tcPr>
        <w:p w:rsidR="00891A89" w:rsidRPr="00B37B9C" w:rsidRDefault="00891A89" w:rsidP="00B37B9C">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891A89" w:rsidRDefault="00891A89" w:rsidP="00B37B9C">
          <w:pPr>
            <w:pStyle w:val="Header"/>
            <w:spacing w:after="120"/>
          </w:pPr>
        </w:p>
      </w:tc>
      <w:tc>
        <w:tcPr>
          <w:tcW w:w="6523" w:type="dxa"/>
          <w:gridSpan w:val="3"/>
          <w:tcBorders>
            <w:bottom w:val="single" w:sz="4" w:space="0" w:color="auto"/>
          </w:tcBorders>
          <w:shd w:val="clear" w:color="auto" w:fill="auto"/>
          <w:vAlign w:val="bottom"/>
        </w:tcPr>
        <w:p w:rsidR="00891A89" w:rsidRPr="00B37B9C" w:rsidRDefault="00891A89" w:rsidP="00B37B9C">
          <w:pPr>
            <w:spacing w:after="80" w:line="240" w:lineRule="auto"/>
            <w:jc w:val="right"/>
            <w:rPr>
              <w:position w:val="-4"/>
            </w:rPr>
          </w:pPr>
          <w:r>
            <w:rPr>
              <w:position w:val="-4"/>
              <w:sz w:val="40"/>
            </w:rPr>
            <w:t>CEDAW</w:t>
          </w:r>
          <w:r>
            <w:rPr>
              <w:position w:val="-4"/>
            </w:rPr>
            <w:t>/C/PSWG/58/1</w:t>
          </w:r>
        </w:p>
      </w:tc>
    </w:tr>
    <w:tr w:rsidR="00891A89" w:rsidRPr="00B37B9C" w:rsidTr="00B37B9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891A89" w:rsidRDefault="00891A89" w:rsidP="00B37B9C">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891A89" w:rsidRPr="00B37B9C" w:rsidRDefault="00891A89" w:rsidP="00B37B9C">
          <w:pPr>
            <w:pStyle w:val="Header"/>
            <w:spacing w:before="880"/>
            <w:ind w:left="-72"/>
          </w:pPr>
        </w:p>
      </w:tc>
      <w:tc>
        <w:tcPr>
          <w:tcW w:w="5227" w:type="dxa"/>
          <w:gridSpan w:val="3"/>
          <w:tcBorders>
            <w:top w:val="single" w:sz="4" w:space="0" w:color="auto"/>
            <w:bottom w:val="single" w:sz="12" w:space="0" w:color="auto"/>
          </w:tcBorders>
          <w:shd w:val="clear" w:color="auto" w:fill="auto"/>
        </w:tcPr>
        <w:p w:rsidR="00891A89" w:rsidRPr="00B37B9C" w:rsidRDefault="00891A89" w:rsidP="00B37B9C">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891A89" w:rsidRPr="00891A89" w:rsidRDefault="00891A89" w:rsidP="00B37B9C">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891A89" w:rsidRDefault="00891A89" w:rsidP="00B37B9C">
          <w:pPr>
            <w:spacing w:before="240"/>
          </w:pPr>
          <w:r>
            <w:t>Distr. générale</w:t>
          </w:r>
        </w:p>
        <w:p w:rsidR="00891A89" w:rsidRDefault="00891A89" w:rsidP="00B37B9C">
          <w:r>
            <w:t>28 octobre 2013</w:t>
          </w:r>
        </w:p>
        <w:p w:rsidR="00891A89" w:rsidRDefault="00891A89" w:rsidP="00B37B9C">
          <w:r>
            <w:t>Français</w:t>
          </w:r>
        </w:p>
        <w:p w:rsidR="00891A89" w:rsidRPr="00B37B9C" w:rsidRDefault="00891A89" w:rsidP="00B37B9C">
          <w:r>
            <w:t>Original : anglais</w:t>
          </w:r>
        </w:p>
      </w:tc>
    </w:tr>
  </w:tbl>
  <w:p w:rsidR="00891A89" w:rsidRPr="00891A89" w:rsidRDefault="00891A89" w:rsidP="00B37B9C">
    <w:pPr>
      <w:pStyle w:val="Header"/>
      <w:spacing w:line="240" w:lineRule="auto"/>
      <w:rPr>
        <w:sz w:val="2"/>
        <w:lang w:val="fr-FR"/>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261E03A8"/>
    <w:multiLevelType w:val="singleLevel"/>
    <w:tmpl w:val="C9B2414C"/>
    <w:lvl w:ilvl="0">
      <w:start w:val="1"/>
      <w:numFmt w:val="decimal"/>
      <w:lvlRestart w:val="0"/>
      <w:lvlText w:val="%1."/>
      <w:lvlJc w:val="left"/>
      <w:pPr>
        <w:tabs>
          <w:tab w:val="num" w:pos="1742"/>
        </w:tabs>
        <w:ind w:left="1267" w:firstLine="0"/>
      </w:pPr>
      <w:rPr>
        <w:w w:val="100"/>
      </w:rPr>
    </w:lvl>
  </w:abstractNum>
  <w:abstractNum w:abstractNumId="1">
    <w:nsid w:val="6D6E7277"/>
    <w:multiLevelType w:val="hybridMultilevel"/>
    <w:tmpl w:val="36AEFA0E"/>
    <w:lvl w:ilvl="0" w:tplc="8CC04990">
      <w:start w:val="1"/>
      <w:numFmt w:val="decimal"/>
      <w:lvlText w:val="%1."/>
      <w:lvlJc w:val="left"/>
      <w:pPr>
        <w:tabs>
          <w:tab w:val="num" w:pos="1627"/>
        </w:tabs>
        <w:ind w:left="1627" w:hanging="360"/>
      </w:pPr>
      <w:rPr>
        <w:rFonts w:hint="default"/>
      </w:rPr>
    </w:lvl>
    <w:lvl w:ilvl="1" w:tplc="80B2D032">
      <w:start w:val="1"/>
      <w:numFmt w:val="lowerLetter"/>
      <w:lvlText w:val="%2)"/>
      <w:lvlJc w:val="left"/>
      <w:pPr>
        <w:tabs>
          <w:tab w:val="num" w:pos="2512"/>
        </w:tabs>
        <w:ind w:left="2512" w:hanging="525"/>
      </w:pPr>
      <w:rPr>
        <w:rFonts w:hint="default"/>
      </w:r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hideSpellingErrors/>
  <w:stylePaneFormatFilter w:val="3F01"/>
  <w:revisionView w:markup="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docVars>
    <w:docVar w:name="Barcode" w:val="*1353334*"/>
    <w:docVar w:name="CreationDt" w:val="12/11/2013 10:10 AM"/>
    <w:docVar w:name="DocCategory" w:val="Doc"/>
    <w:docVar w:name="DocType" w:val="Final"/>
    <w:docVar w:name="FooterJN" w:val="13-53334"/>
    <w:docVar w:name="jobn" w:val="13-53334 (F)"/>
    <w:docVar w:name="jobnDT" w:val="13-53334 (F)   121113"/>
    <w:docVar w:name="jobnDTDT" w:val="13-53334 (F)   121113   121113"/>
    <w:docVar w:name="JobNo" w:val="1353334F"/>
    <w:docVar w:name="OandT" w:val="JSM"/>
    <w:docVar w:name="sss1" w:val="CEDAW/C/PSWG/58/1"/>
    <w:docVar w:name="sss2" w:val="-"/>
    <w:docVar w:name="Symbol1" w:val="CEDAW/C/PSWG/58/1"/>
    <w:docVar w:name="Symbol2" w:val="-"/>
  </w:docVars>
  <w:rsids>
    <w:rsidRoot w:val="00C57E46"/>
    <w:rsid w:val="0000627F"/>
    <w:rsid w:val="00221A6F"/>
    <w:rsid w:val="002666C1"/>
    <w:rsid w:val="002A6FC0"/>
    <w:rsid w:val="002E2C01"/>
    <w:rsid w:val="00492C83"/>
    <w:rsid w:val="004F3AB9"/>
    <w:rsid w:val="00503A44"/>
    <w:rsid w:val="005930D4"/>
    <w:rsid w:val="006B0D20"/>
    <w:rsid w:val="00751A0F"/>
    <w:rsid w:val="00891A89"/>
    <w:rsid w:val="009A402E"/>
    <w:rsid w:val="00A115FA"/>
    <w:rsid w:val="00A14B70"/>
    <w:rsid w:val="00AD294E"/>
    <w:rsid w:val="00AE5F57"/>
    <w:rsid w:val="00B37B9C"/>
    <w:rsid w:val="00B47AD1"/>
    <w:rsid w:val="00C10CC1"/>
    <w:rsid w:val="00C57E46"/>
    <w:rsid w:val="00CB0D1B"/>
    <w:rsid w:val="00CF6D69"/>
    <w:rsid w:val="00D04FF1"/>
    <w:rsid w:val="00DC5CFB"/>
    <w:rsid w:val="00DC5EE2"/>
  </w:rsids>
  <m:mathPr>
    <m:mathFont m:val="Cambria Math"/>
    <m:brkBin m:val="before"/>
    <m:brkBinSub m:val="--"/>
    <m:smallFrac m:val="off"/>
    <m:dispDef/>
    <m:lMargin m:val="0"/>
    <m:rMargin m:val="0"/>
    <m:defJc m:val="centerGroup"/>
    <m:wrapIndent m:val="1440"/>
    <m:intLim m:val="subSup"/>
    <m:naryLim m:val="undOvr"/>
  </m:mathPr>
  <w:uiCompat97To2003/>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SingleTxt"/>
    <w:pPr>
      <w:keepNext/>
      <w:keepLines/>
      <w:suppressAutoHyphens/>
      <w:spacing w:line="270" w:lineRule="exact"/>
      <w:outlineLvl w:val="0"/>
    </w:pPr>
    <w:rPr>
      <w:b/>
      <w:sz w:val="24"/>
    </w:rPr>
  </w:style>
  <w:style w:type="paragraph" w:customStyle="1" w:styleId="HCh">
    <w:name w:val="_ H _Ch"/>
    <w:basedOn w:val="H1"/>
    <w:next w:val="SingleTxt"/>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Normal"/>
    <w:pPr>
      <w:spacing w:line="240" w:lineRule="exact"/>
      <w:outlineLvl w:val="1"/>
    </w:pPr>
    <w:rPr>
      <w:spacing w:val="2"/>
      <w:sz w:val="20"/>
    </w:rPr>
  </w:style>
  <w:style w:type="paragraph" w:customStyle="1" w:styleId="H4">
    <w:name w:val="_ H_4"/>
    <w:basedOn w:val="Normal"/>
    <w:next w:val="Normal"/>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basedOn w:val="DefaultParagraphFont"/>
    <w:semiHidden/>
    <w:rPr>
      <w:sz w:val="6"/>
    </w:rPr>
  </w:style>
  <w:style w:type="character" w:styleId="FootnoteReference">
    <w:name w:val="footnote reference"/>
    <w:basedOn w:val="DefaultParagraphFont"/>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rPr>
  </w:style>
  <w:style w:type="paragraph" w:styleId="Header">
    <w:name w:val="header"/>
    <w:pPr>
      <w:tabs>
        <w:tab w:val="center" w:pos="4320"/>
        <w:tab w:val="right" w:pos="8640"/>
      </w:tabs>
      <w:spacing w:line="210" w:lineRule="exact"/>
    </w:pPr>
    <w:rPr>
      <w:noProof/>
      <w:spacing w:val="3"/>
      <w:w w:val="105"/>
      <w:sz w:val="17"/>
    </w:rPr>
  </w:style>
  <w:style w:type="character" w:styleId="LineNumber">
    <w:name w:val="line number"/>
    <w:basedOn w:val="DefaultParagraphFont"/>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character" w:styleId="Hyperlink">
    <w:name w:val="Hyperlink"/>
    <w:basedOn w:val="DefaultParagraphFont"/>
    <w:rPr>
      <w:color w:val="0000FF"/>
      <w:u w:val="none"/>
    </w:rPr>
  </w:style>
  <w:style w:type="character" w:styleId="FollowedHyperlink">
    <w:name w:val="FollowedHyperlink"/>
    <w:basedOn w:val="DefaultParagraphFont"/>
    <w:rPr>
      <w:color w:val="0000FF"/>
      <w:u w:val="none"/>
    </w:rPr>
  </w:style>
  <w:style w:type="paragraph" w:styleId="CommentText">
    <w:name w:val="annotation text"/>
    <w:basedOn w:val="Normal"/>
    <w:semiHidden/>
    <w:rsid w:val="00B37B9C"/>
  </w:style>
  <w:style w:type="paragraph" w:styleId="CommentSubject">
    <w:name w:val="annotation subject"/>
    <w:basedOn w:val="CommentText"/>
    <w:next w:val="CommentText"/>
    <w:semiHidden/>
    <w:rsid w:val="00B37B9C"/>
    <w:rPr>
      <w:b/>
      <w:bCs/>
    </w:rPr>
  </w:style>
  <w:style w:type="paragraph" w:styleId="BalloonText">
    <w:name w:val="Balloon Text"/>
    <w:basedOn w:val="Normal"/>
    <w:semiHidden/>
    <w:rsid w:val="00B37B9C"/>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image" Target="media/image3.png"/><Relationship Id="rId18" Type="http://schemas.openxmlformats.org/officeDocument/2006/relationships/hyperlink" Target="http://undocs.org/fr/CEDAW/C/LTU/Q/5" TargetMode="External"/><Relationship Id="rId3" Type="http://schemas.openxmlformats.org/officeDocument/2006/relationships/settings" Target="settings.xml"/><Relationship Id="rId21" Type="http://schemas.openxmlformats.org/officeDocument/2006/relationships/hyperlink" Target="http://undocs.org/fr/CEDAW/C/SWZ/Q/1" TargetMode="Externa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undocs.org/fr/CEDAW/C/IND/Q/4" TargetMode="External"/><Relationship Id="rId2" Type="http://schemas.openxmlformats.org/officeDocument/2006/relationships/styles" Target="styles.xml"/><Relationship Id="rId16" Type="http://schemas.openxmlformats.org/officeDocument/2006/relationships/hyperlink" Target="http://undocs.org/fr/CEDAW/C/GEO/Q/4" TargetMode="External"/><Relationship Id="rId20" Type="http://schemas.openxmlformats.org/officeDocument/2006/relationships/hyperlink" Target="http://undocs.org/fr/CEDAW/C/PER/Q/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undocs.org/fr/CEDAW/C/CAF/Q/1" TargetMode="External"/><Relationship Id="rId23" Type="http://schemas.openxmlformats.org/officeDocument/2006/relationships/fontTable" Target="fontTable.xml"/><Relationship Id="rId10" Type="http://schemas.openxmlformats.org/officeDocument/2006/relationships/footer" Target="footer2.xml"/><Relationship Id="rId19" Type="http://schemas.openxmlformats.org/officeDocument/2006/relationships/hyperlink" Target="http://undocs.org/fr/CEDAW/C/MRT/Q/2" TargetMode="Externa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comments" Target="comments.xml"/><Relationship Id="rId22" Type="http://schemas.openxmlformats.org/officeDocument/2006/relationships/hyperlink" Target="http://undocs.org/fr/CEDAW/C/SYR/Q/2" TargetMode="Externa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29</TotalTime>
  <Pages>3</Pages>
  <Words>832</Words>
  <Characters>4580</Characters>
  <Application>Microsoft Office Outlook</Application>
  <DocSecurity>4</DocSecurity>
  <Lines>38</Lines>
  <Paragraphs>10</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5402</CharactersWithSpaces>
  <SharedDoc>false</SharedDoc>
  <HLinks>
    <vt:vector size="48" baseType="variant">
      <vt:variant>
        <vt:i4>589895</vt:i4>
      </vt:variant>
      <vt:variant>
        <vt:i4>21</vt:i4>
      </vt:variant>
      <vt:variant>
        <vt:i4>0</vt:i4>
      </vt:variant>
      <vt:variant>
        <vt:i4>5</vt:i4>
      </vt:variant>
      <vt:variant>
        <vt:lpwstr>http://undocs.org/fr/CEDAW/C/SYR/Q/2</vt:lpwstr>
      </vt:variant>
      <vt:variant>
        <vt:lpwstr/>
      </vt:variant>
      <vt:variant>
        <vt:i4>131145</vt:i4>
      </vt:variant>
      <vt:variant>
        <vt:i4>18</vt:i4>
      </vt:variant>
      <vt:variant>
        <vt:i4>0</vt:i4>
      </vt:variant>
      <vt:variant>
        <vt:i4>5</vt:i4>
      </vt:variant>
      <vt:variant>
        <vt:lpwstr>http://undocs.org/fr/CEDAW/C/SWZ/Q/1</vt:lpwstr>
      </vt:variant>
      <vt:variant>
        <vt:lpwstr/>
      </vt:variant>
      <vt:variant>
        <vt:i4>983131</vt:i4>
      </vt:variant>
      <vt:variant>
        <vt:i4>15</vt:i4>
      </vt:variant>
      <vt:variant>
        <vt:i4>0</vt:i4>
      </vt:variant>
      <vt:variant>
        <vt:i4>5</vt:i4>
      </vt:variant>
      <vt:variant>
        <vt:lpwstr>http://undocs.org/fr/CEDAW/C/PER/Q/7</vt:lpwstr>
      </vt:variant>
      <vt:variant>
        <vt:lpwstr/>
      </vt:variant>
      <vt:variant>
        <vt:i4>1114188</vt:i4>
      </vt:variant>
      <vt:variant>
        <vt:i4>12</vt:i4>
      </vt:variant>
      <vt:variant>
        <vt:i4>0</vt:i4>
      </vt:variant>
      <vt:variant>
        <vt:i4>5</vt:i4>
      </vt:variant>
      <vt:variant>
        <vt:lpwstr>http://undocs.org/fr/CEDAW/C/MRT/Q/2</vt:lpwstr>
      </vt:variant>
      <vt:variant>
        <vt:lpwstr/>
      </vt:variant>
      <vt:variant>
        <vt:i4>1441866</vt:i4>
      </vt:variant>
      <vt:variant>
        <vt:i4>9</vt:i4>
      </vt:variant>
      <vt:variant>
        <vt:i4>0</vt:i4>
      </vt:variant>
      <vt:variant>
        <vt:i4>5</vt:i4>
      </vt:variant>
      <vt:variant>
        <vt:lpwstr>http://undocs.org/fr/CEDAW/C/LTU/Q/5</vt:lpwstr>
      </vt:variant>
      <vt:variant>
        <vt:lpwstr/>
      </vt:variant>
      <vt:variant>
        <vt:i4>196688</vt:i4>
      </vt:variant>
      <vt:variant>
        <vt:i4>6</vt:i4>
      </vt:variant>
      <vt:variant>
        <vt:i4>0</vt:i4>
      </vt:variant>
      <vt:variant>
        <vt:i4>5</vt:i4>
      </vt:variant>
      <vt:variant>
        <vt:lpwstr>http://undocs.org/fr/CEDAW/C/IND/Q/4</vt:lpwstr>
      </vt:variant>
      <vt:variant>
        <vt:lpwstr/>
      </vt:variant>
      <vt:variant>
        <vt:i4>393307</vt:i4>
      </vt:variant>
      <vt:variant>
        <vt:i4>3</vt:i4>
      </vt:variant>
      <vt:variant>
        <vt:i4>0</vt:i4>
      </vt:variant>
      <vt:variant>
        <vt:i4>5</vt:i4>
      </vt:variant>
      <vt:variant>
        <vt:lpwstr>http://undocs.org/fr/CEDAW/C/GEO/Q/4</vt:lpwstr>
      </vt:variant>
      <vt:variant>
        <vt:lpwstr/>
      </vt:variant>
      <vt:variant>
        <vt:i4>917599</vt:i4>
      </vt:variant>
      <vt:variant>
        <vt:i4>0</vt:i4>
      </vt:variant>
      <vt:variant>
        <vt:i4>0</vt:i4>
      </vt:variant>
      <vt:variant>
        <vt:i4>5</vt:i4>
      </vt:variant>
      <vt:variant>
        <vt:lpwstr>http://undocs.org/fr/CEDAW/C/CAF/Q/1</vt:lpwstr>
      </vt:variant>
      <vt:variant>
        <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FTPU User</dc:creator>
  <cp:keywords/>
  <dc:description/>
  <cp:lastModifiedBy>French_Text_Proc</cp:lastModifiedBy>
  <cp:revision>11</cp:revision>
  <cp:lastPrinted>2013-11-12T11:29:00Z</cp:lastPrinted>
  <dcterms:created xsi:type="dcterms:W3CDTF">2013-11-12T09:08:00Z</dcterms:created>
  <dcterms:modified xsi:type="dcterms:W3CDTF">2013-11-12T11:58:00Z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1353334</vt:lpwstr>
  </property>
  <property fmtid="{D5CDD505-2E9C-101B-9397-08002B2CF9AE}" pid="3" name="Symbol1">
    <vt:lpwstr>CEDAW/C/PSWG/58/1</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JSM/sa</vt:lpwstr>
  </property>
</Properties>
</file>