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42493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140606    150606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7" o:title=""/>
                </v:shape>
                <o:OLEObject Type="Embed" ProgID="Word.Picture.8" ShapeID="_x0000_i1025" DrawAspect="Content" ObjectID="_139521352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CRC/C/TKM/CO/1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 June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КОМИТЕТ ПО ПРАВАМ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Сорок вторая сессия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1"/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</w:pPr>
      <w:r>
        <w:t>РАССМОТРЕНИЕ ДОКЛАДОВ, ПРЕДСТАВЛЕННЫХ ГОСУДАРСТВАМИ-УЧАСТНИКАМИ В СООТВЕТСТВИИ СО СТАТЬЕЙ 44 КОНВЕНЦИИ</w:t>
      </w:r>
    </w:p>
    <w:p w:rsidR="00000000" w:rsidRDefault="00000000">
      <w:pPr>
        <w:pStyle w:val="Heading1"/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</w:rPr>
      </w:pPr>
      <w:r>
        <w:rPr>
          <w:b/>
        </w:rPr>
        <w:t>Заключительные замечания:  ТУРКМЕНИСТАН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1.</w:t>
      </w:r>
      <w:r>
        <w:tab/>
        <w:t>Комитет рассмотрел первоначальный доклад Туркменистана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TKM</w:t>
      </w:r>
      <w:r>
        <w:t xml:space="preserve">/1) на своих 1135-м и 1137-м заседаниях (см. 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.1135 и 1137), состоявшихся 24 мая 2006</w:t>
      </w:r>
      <w:r>
        <w:rPr>
          <w:lang w:val="en-US"/>
        </w:rPr>
        <w:t> </w:t>
      </w:r>
      <w:r>
        <w:t>года, и на своем 1157-м заседании, состоявшемся 2 июня 2006 года, принял следующие заключительные замечания.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</w:pPr>
      <w:r>
        <w:rPr>
          <w:b/>
          <w:bCs/>
          <w:lang w:val="en-US"/>
        </w:rPr>
        <w:t>A</w:t>
      </w:r>
      <w:r>
        <w:rPr>
          <w:b/>
          <w:bCs/>
        </w:rPr>
        <w:t>.</w:t>
      </w:r>
      <w:r>
        <w:tab/>
      </w:r>
      <w:r>
        <w:rPr>
          <w:b/>
          <w:bCs/>
        </w:rPr>
        <w:t>Введение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lang w:val="en-US"/>
        </w:rPr>
      </w:pPr>
      <w:r>
        <w:t>2.</w:t>
      </w:r>
      <w:r>
        <w:tab/>
        <w:t xml:space="preserve">Комитет приветствует первоначальный доклад государства-участника, но при этом отмечает, что он был представлен с почти десятилетним опозданием.  Комитет был бы признателен за участие более представительной делегации и сожалеет по поводу отсутствия письменных ответов на подготовленный им перечень вопросов. 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lang w:val="en-US"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.</w:t>
      </w:r>
      <w:r>
        <w:rPr>
          <w:b/>
          <w:bCs/>
        </w:rPr>
        <w:tab/>
        <w:t>Позитивные аспекты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  <w:u w:val="single"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3.</w:t>
      </w:r>
      <w:r>
        <w:tab/>
        <w:t>Комитет приветствует: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ab/>
        <w:t>а)</w:t>
      </w:r>
      <w:r>
        <w:tab/>
        <w:t>разработанную в сотрудничестве с ЮНИСЕФ новую страновую программу на 2005-2009 годы, особое внимание в которой уделяется положению детей в сферах здравоохранения и социального обеспечения;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br w:type="page"/>
      </w:r>
      <w:r>
        <w:tab/>
      </w:r>
      <w:r>
        <w:rPr>
          <w:lang w:val="en-US"/>
        </w:rPr>
        <w:t>b</w:t>
      </w:r>
      <w:r>
        <w:t>)</w:t>
      </w:r>
      <w:r>
        <w:tab/>
        <w:t>принятие в апреле 2005 года Национальной программы профилактики ВИЧ/ИППП в Туркменистане (2005-2010 годы);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ab/>
        <w:t>с)</w:t>
      </w:r>
      <w:r>
        <w:tab/>
        <w:t>закон "О гарантиях права молодежи на труд" от 1 февраля 2005 года, который, в частности, запрещает использование труда детей школьного возраста на хлопковых полях.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4.</w:t>
      </w:r>
      <w:r>
        <w:tab/>
        <w:t>Комитет также хотел бы приветствовать ратификацию: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ab/>
        <w:t>а)</w:t>
      </w:r>
      <w:r>
        <w:tab/>
        <w:t>Факультативного протокола к Конвенции о правах ребенка, касающегося торговли детьми, детской проституции и детской порнографии, 29 апреля 2005 года и участия детей в вооруженных конфликтах - 28 мая 2005 года;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  <w:u w:val="single"/>
        </w:rPr>
      </w:pPr>
      <w:r>
        <w:rPr>
          <w:color w:val="000000"/>
        </w:rPr>
        <w:tab/>
      </w:r>
      <w:r>
        <w:rPr>
          <w:color w:val="000000"/>
          <w:lang w:val="en-US"/>
        </w:rPr>
        <w:t>b</w:t>
      </w:r>
      <w:r>
        <w:rPr>
          <w:color w:val="000000"/>
        </w:rPr>
        <w:t>)</w:t>
      </w:r>
      <w:r>
        <w:rPr>
          <w:color w:val="000000"/>
        </w:rPr>
        <w:tab/>
        <w:t>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 28 марта 2005</w:t>
      </w:r>
      <w:r>
        <w:rPr>
          <w:color w:val="000000"/>
          <w:lang w:val="en-US"/>
        </w:rPr>
        <w:t> </w:t>
      </w:r>
      <w:r>
        <w:rPr>
          <w:color w:val="000000"/>
        </w:rPr>
        <w:t xml:space="preserve">года. 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  <w:u w:val="single"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  <w:bCs/>
        </w:rPr>
      </w:pPr>
      <w:r>
        <w:rPr>
          <w:b/>
          <w:bCs/>
          <w:lang w:val="en-US"/>
        </w:rPr>
        <w:t>C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озабоченность, и рекомендации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Общие меры по осуществлению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  <w:bCs/>
        </w:rPr>
      </w:pPr>
      <w:r>
        <w:rPr>
          <w:b/>
          <w:bCs/>
        </w:rPr>
        <w:t>(статьи 4, 42 и пункт 6 статьи 44 Конвенции)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jc w:val="center"/>
        <w:rPr>
          <w:b/>
          <w:bCs/>
        </w:rPr>
      </w:pPr>
    </w:p>
    <w:p w:rsidR="00000000" w:rsidRDefault="00000000">
      <w:pPr>
        <w:pStyle w:val="BodyText"/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after="0" w:line="288" w:lineRule="auto"/>
        <w:rPr>
          <w:lang w:val="ru-RU"/>
        </w:rPr>
      </w:pPr>
      <w:r>
        <w:rPr>
          <w:lang w:val="ru-RU"/>
        </w:rPr>
        <w:t>Законодательство и его осуществление</w:t>
      </w:r>
    </w:p>
    <w:p w:rsidR="00000000" w:rsidRDefault="00000000">
      <w:pPr>
        <w:pStyle w:val="BodyText"/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after="0" w:line="288" w:lineRule="auto"/>
        <w:rPr>
          <w:u w:val="single"/>
          <w:lang w:val="ru-RU"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5.</w:t>
      </w:r>
      <w:r>
        <w:tab/>
        <w:t>Приветствуя расширение защиты прав детей в результате последних законодательных реформ, Комитет тем не менее обеспокоен по поводу несоответствий и расхождений в национальном законодательстве, особенно в области усыновления и опекунства, и по поводу того, что это законодательство не всегда надлежащим образом осуществляется на практике.  Кроме того, отмечая закон "О гарантиях прав детей" от 5 июля 2002 года, он обеспокоен тем, что этот закон предусматривает не все права, защищаемые в соответствии с Конвенцией.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ind w:firstLine="561"/>
        <w:rPr>
          <w:b/>
          <w:bCs/>
        </w:rPr>
      </w:pPr>
      <w:r>
        <w:rPr>
          <w:b/>
          <w:bCs/>
        </w:rPr>
        <w:t>а)</w:t>
      </w:r>
      <w:r>
        <w:rPr>
          <w:b/>
          <w:bCs/>
        </w:rPr>
        <w:tab/>
        <w:t>усовершенствовать и согласовать свое законодательство, чтобы привести его в соответствие с принципами и положениями Конвенции;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ind w:firstLine="561"/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tab/>
      </w:r>
      <w:r>
        <w:rPr>
          <w:b/>
          <w:bCs/>
        </w:rPr>
        <w:t>пересмотреть закон "О гарантиях прав детей" от 5 июля 2002 года, с тем чтобы распространить его на все права, предусмотренные Конвенцией;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ab/>
      </w:r>
      <w:r>
        <w:rPr>
          <w:b/>
          <w:bCs/>
        </w:rPr>
        <w:t>с)</w:t>
      </w:r>
      <w:r>
        <w:rPr>
          <w:b/>
          <w:bCs/>
        </w:rPr>
        <w:tab/>
        <w:t>обеспечить все необходимые средства для эффективного осуществления своего законодательства, включая выделение необходимых бюджетных ресурсов и создание механизмов контроля;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tab/>
      </w:r>
      <w:r>
        <w:rPr>
          <w:b/>
          <w:bCs/>
        </w:rPr>
        <w:t>принимать во внимание замечание общего порядка № 5 (2003 год) Комитета относительно общих мер по осуществлению Конвенции о правах ребенка в процессе претворения в жизнь рекомендаций, содержащихся в настоящем разделе заключительных замечаний (пункты 5-21).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rPr>
          <w:b/>
          <w:bCs/>
        </w:rPr>
        <w:t>Координация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7.</w:t>
      </w:r>
      <w:r>
        <w:tab/>
        <w:t>Комитет отмечает, что координацией политики в отношении детей между государственными органами и добровольными организациями занимается департамент по делам молодежи при канцелярии президента, а координацию деятельности на правительственном уровне осуществляет также возглавляемый президентом кабинет министров.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обеспечить полное и эффективное осуществление всей политики в отношении детей на уровне всей страны, в том числе путем укрепления координации между различными органами, участвующими в осуществлении Конвенции, с тем чтобы гарантировать соблюдение ее принципов и положений в отношении всех детей под юрисдикцией государства.  Государство-участник может также рассмотреть вопрос о создании единого постоянного органа для координации осуществления Конвенции, в том числе посредством эффективной координации деятельности между центральными и местными властями.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rPr>
          <w:b/>
          <w:bCs/>
        </w:rPr>
        <w:t>Национальный план действий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9.</w:t>
      </w:r>
      <w:r>
        <w:tab/>
        <w:t>Комитет обеспокоен по поводу отсутствия всесторонней и тщательно спланированной стратегии осуществления Конвенции в государстве-участнике.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разработать - на основе широкого участия и в консультации со всеми заинтересованными сторонами, включая детей, родителей и гражданское общество, - национальный план действий в интересах детей, цель которого заключалась бы в осуществлении принципов и положений Конвенции с учетом, в частности, итогового документа "Мир, пригодный для жизни детей", принятого специальной сессией Генеральной Ассамблеи в мае 2002 года.  Комитет также рекомендует государству-участнику выделить необходимые бюджетные ассигнования для эффективного осуществления этого плана действий.  Государству-участнику предлагается представить дополнительную информацию по этому вопросу в своем следующем периодическом докладе.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rPr>
          <w:b/>
          <w:bCs/>
        </w:rPr>
        <w:t>Независимый мониторинг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11.</w:t>
      </w:r>
      <w:r>
        <w:tab/>
        <w:t xml:space="preserve">Комитет отмечает, что Национальный институт демократии и прав человека получает жалобы от граждан Туркменистана, однако он выражает свою озабоченность по поводу слабой эффективности и отсутствия независимости у этого органа.  На самом деле в стране нет какого-либо специального органа для независимого контроля за осуществлением Конвенции.  Кроме того, Комитет обеспокоен в связи с тем, что возможности этого органа в плане защиты прав потерпевших очень ограничены. 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с учетом Замечания общего порядка № 2 Комитета о роли независимых национальных правозащитных учреждений в деле поощрения и защиты прав ребенка: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ab/>
      </w:r>
      <w:r>
        <w:rPr>
          <w:b/>
          <w:bCs/>
        </w:rPr>
        <w:t>а)</w:t>
      </w:r>
      <w:r>
        <w:rPr>
          <w:b/>
          <w:bCs/>
        </w:rPr>
        <w:tab/>
        <w:t>создать независимый национальный правозащитный орган для поощрения и контроля за осуществлением Конвенции в соответствии с Парижскими принципами (резолюция 48/134 Генеральной Ассамблеи);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color w:val="000000"/>
        </w:rPr>
      </w:pPr>
      <w:r>
        <w:rPr>
          <w:bCs/>
          <w:color w:val="000000"/>
        </w:rPr>
        <w:tab/>
      </w:r>
      <w:r>
        <w:rPr>
          <w:b/>
          <w:color w:val="000000"/>
          <w:lang w:val="en-US"/>
        </w:rPr>
        <w:t>b</w:t>
      </w:r>
      <w:r>
        <w:rPr>
          <w:b/>
          <w:color w:val="000000"/>
        </w:rPr>
        <w:t>)</w:t>
      </w:r>
      <w:r>
        <w:rPr>
          <w:b/>
          <w:color w:val="000000"/>
        </w:rPr>
        <w:tab/>
        <w:t xml:space="preserve">обеспечить такой орган надлежащими финансовыми и кадровыми ресурсами, чтобы он был способен оперативно рассматривать с учетом интересов ребенка жалобы, подаваемые детьми или от их имени;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color w:val="000000"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color w:val="000000"/>
        </w:rPr>
      </w:pPr>
      <w:r>
        <w:rPr>
          <w:bCs/>
          <w:color w:val="000000"/>
        </w:rPr>
        <w:tab/>
      </w:r>
      <w:r>
        <w:rPr>
          <w:b/>
          <w:color w:val="000000"/>
        </w:rPr>
        <w:t>с)</w:t>
      </w:r>
      <w:r>
        <w:rPr>
          <w:bCs/>
          <w:color w:val="000000"/>
        </w:rPr>
        <w:tab/>
      </w:r>
      <w:r>
        <w:rPr>
          <w:b/>
          <w:color w:val="000000"/>
        </w:rPr>
        <w:t>гарантировать эффективные средства правовой защиты детей от нарушений их прав в соответствии с Конвенцией;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color w:val="000000"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u w:val="single"/>
        </w:rPr>
      </w:pPr>
      <w:r>
        <w:rPr>
          <w:b/>
          <w:color w:val="000000"/>
        </w:rPr>
        <w:tab/>
      </w:r>
      <w:r>
        <w:rPr>
          <w:b/>
          <w:color w:val="000000"/>
          <w:lang w:val="en-US"/>
        </w:rPr>
        <w:t>d</w:t>
      </w:r>
      <w:r>
        <w:rPr>
          <w:b/>
          <w:color w:val="000000"/>
        </w:rPr>
        <w:t>)</w:t>
      </w:r>
      <w:r>
        <w:rPr>
          <w:bCs/>
          <w:color w:val="000000"/>
        </w:rPr>
        <w:tab/>
      </w:r>
      <w:r>
        <w:rPr>
          <w:b/>
          <w:color w:val="000000"/>
        </w:rPr>
        <w:t>запросить техническую помощь, в частности у ЮНИСЕФ, для создания такого механизма.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u w:val="single"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rPr>
          <w:b/>
          <w:bCs/>
        </w:rPr>
        <w:t>Ресурсы для детей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  <w:r>
        <w:t>13.</w:t>
      </w:r>
      <w:r>
        <w:tab/>
        <w:t>Комитет выражает обеспокоенность по поводу недостатка данных и отсутствия транспарентности бюджетных ассигнований в интересах детей и на цели осуществления принципов и положений Конвенции.  Комитет также выражает обеспокоенность по поводу того, что представленная информация об улучшении экономического положения и макроэкономических показателей не нашла своего отражения в увеличении бюджетных ассигнований на решение проблем детей.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left" w:pos="2835"/>
        </w:tabs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уделять усиленное внимание полному осуществлению статьи 4 Конвенции путем расширения и повышения приоритетности бюджетных ассигнований на осуществление экономических, социальных и культурных прав детей, в частности тех из них, которые принадлежат к экономически ущемленным группам, "в максимальных пределах… имеющихся ресурсов и, при необходимости, в рамках международного сотрудничества".  Комитет также рекомендует государству-участнику опубликовать данные о том, каким образом защита прав детей находит свое отражение в бюджетных ассигнованиях, и представить дополнительную информацию в этой связи в своем следующем периодическом докладе.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Сбор данных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>Хотя Комитету известно, что Национальный институт статистики и информации "Туркменмиллихасабат" осуществляет сбор данных и проведение социологических исследований по проблемам детей, его беспокоит отсутствие в докладе государства-участника данных по большинству вопросов, охватываемых Конвенцией, в том числе о детях с инвалидностью, детях, принадлежащих к этническим меньшинствам, и детях, находящихся в конфликте с законом.</w:t>
      </w:r>
    </w:p>
    <w:p w:rsidR="00000000" w:rsidRDefault="00000000"/>
    <w:p w:rsidR="00000000" w:rsidRDefault="00000000">
      <w:pPr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разработать систему всеобъемлющего сбора сопоставительных данных по всем вопросам Конвенции таким образом, чтобы эти данные можно было использовать для операций и анализа.  Особое внимание следует уделить группам, нуждающимся в особой защите.  Комитет далее рекомендует государству-участнику по</w:t>
      </w:r>
      <w:r>
        <w:rPr>
          <w:b/>
          <w:bCs/>
        </w:rPr>
        <w:noBreakHyphen/>
        <w:t>прежнему сотрудничать с ЮНИСЕФ в этой области и рассмотреть возможность ежегодной публикации статистического доклада об осуществлении Конвенции.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Подготовка кадров/распространение информации о 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>Комитет приветствует информацию о том, что Конвенция была опубликована на туркменском языке и ее положения регулярно разъясняются в средствах массовой информации.  Он также отмечает, что Национальный институт демократии и прав человека публикует тексты и подборки международных договоров и национальных законов о гражданских правах и свободах.</w:t>
      </w:r>
    </w:p>
    <w:p w:rsidR="00000000" w:rsidRDefault="00000000"/>
    <w:p w:rsidR="00000000" w:rsidRDefault="00000000">
      <w:pPr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призывает государство-участник продолжать распространять информацию о Конвенции, уделяя повышенное внимание уязвимым группам, т.е. этническим или языковым меньшинствам, и укреплять свои усилия по организации надлежащей и систематической подготовки кадров и/или ознакомлению с правами детей представителей профессиональных групп, работающих с детьми.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Сотрудничество с гражданским обществом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Хотя Комитет отмечает принятие 2 ноября 2004 года поправки к Уголовному кодексу Туркменистана об отмене части первой статьи 223/1, которая предусматривала уголовные санкции за незарегистрированную деятельность общественных ассоциаций, включая неправительственные организации, он выражает глубокую обеспокоенность по поводу сохранения серьезных препятствий для независимой деятельности организаций гражданского общества.</w:t>
      </w:r>
    </w:p>
    <w:p w:rsidR="00000000" w:rsidRDefault="00000000"/>
    <w:p w:rsidR="00000000" w:rsidRDefault="00000000">
      <w:pPr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подчеркивает важную роль гражданского общества в содействии полному осуществлению Конвенции и рекомендует государству-участнику облегчить такую деятельность, сняв ограничения на существование независимых организаций гражданского общества в государстве-участнике.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Международное сотрудничество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отмечает осуществление в прошлом и в настоящее время различных программ и проектов в сотрудничестве с международными организациями.  В этой связи Комитет рекомендует государству-участнику и впредь укреплять широкое и открытое сотрудничество с международными организациями, с тем чтобы в полной мере использовать их присутствие в стране.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Общие принципы</w:t>
      </w: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(статьи 2, 3, 6 и 12 Конвенции)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Недискриминация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22.</w:t>
      </w:r>
      <w:r>
        <w:tab/>
        <w:t>Комитет обеспокоен в связи с тем, что в результате, в частности, проводимой государством-участником политики "туркменизации" существует дискриминационное отношение и практика, затрагивающие некоторые национальные и этнические меньшинства, такие, как русские, узбеки, казахи, турки, курды, белуджи и немцы.  В частности, представители этнических меньшинств лишены ряда основополагающих социально-экономических прав, таких, как доступ к образованию, занятости и право владеть имуществом, а также право на развитие своей собственной культуры.  Комитет также обеспокоен в связи с тем, что дети из семей лиц, осужденных по политическим мотивам, часто становятся жертвами дискриминационной и карательной практики, в частности с точки зрения доступа к образованию и другим услугам.</w:t>
      </w:r>
    </w:p>
    <w:p w:rsidR="00000000" w:rsidRDefault="00000000"/>
    <w:p w:rsidR="00000000" w:rsidRDefault="00000000">
      <w:pPr>
        <w:rPr>
          <w:b/>
          <w:bCs/>
        </w:rPr>
      </w:pPr>
      <w:r>
        <w:t>23.</w:t>
      </w:r>
      <w:r>
        <w:tab/>
      </w:r>
      <w:r>
        <w:rPr>
          <w:b/>
          <w:bCs/>
        </w:rPr>
        <w:t>В соответствии со статьей 2 Конвенции 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внимательно и регулярно оценивать существующее неравенство при осуществлении детьми своих прав и принимать на основе этой оценки необходимые меры для пресечения и исключения дискриминации, в том числе путем принятия законов, непосредственно запрещающих все формы дискриминации и учреждающих механизмы для независимого контроля и правовой защиты;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укреплять свои административные и судебные меры для пресечения и искоренения дискриминационных взглядов и стигматизации некоторых групп детей, в частности детей из этнических меньшинств или из семей лиц, осужденных по политическим мотивам;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осуществлять всесторонние кампании информирования общественности для предотвращения и искоренения негативных социальных взглядов и моделей поведения, включая дискриминацию, на основе, в частности, пола, возраста, национальности, этнического происхождения и религии.</w:t>
      </w:r>
    </w:p>
    <w:p w:rsidR="00000000" w:rsidRDefault="00000000">
      <w:pPr>
        <w:rPr>
          <w:b/>
          <w:bCs/>
        </w:rPr>
      </w:pPr>
    </w:p>
    <w:p w:rsidR="00000000" w:rsidRDefault="00000000">
      <w:r>
        <w:t>25.</w:t>
      </w:r>
      <w:r>
        <w:tab/>
        <w:t>Комитет выражает озабоченность по поводу информации о том, что, хотя обычный брачный возраст установлен в 16 лет, для граждан Туркменистана, вступающих в брак с иностранцами и апатридами, брачный возраст составляет 18 лет.</w:t>
      </w:r>
    </w:p>
    <w:p w:rsidR="00000000" w:rsidRDefault="00000000"/>
    <w:p w:rsidR="00000000" w:rsidRDefault="00000000">
      <w:pPr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ликвидировать такую дискриминацию, обеспечив для всех лиц моложе 18 лет одинаковую защиту в соответствии с Конвенцией и установив одинаковый брачный возраст для всех граждан Туркменистана вне зависимости от гражданства будущей супруги/супруга.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также просит включить в следующий периодический доклад конкретную информацию о мерах и программах в связи с Конвенцией о правах ребенка, осуществляемых государством-участником в порядке реализации Декларации и Программы действий, принятых Всемирной конференцией по борьбе против расизма, расовой дискриминации, ксенофобии и связанной с ними нетерпимости, состоявшейся в 2001 году, а также с учетом замечаний общего порядка № 1 по пункту 1 статьи 29 Конвенции о целях образования.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Наилучшие интересы ребенка </w:t>
      </w:r>
    </w:p>
    <w:p w:rsidR="00000000" w:rsidRDefault="00000000">
      <w:pPr>
        <w:rPr>
          <w:b/>
          <w:bCs/>
        </w:rPr>
      </w:pPr>
    </w:p>
    <w:p w:rsidR="00000000" w:rsidRDefault="00000000">
      <w:r>
        <w:t>28.</w:t>
      </w:r>
      <w:r>
        <w:tab/>
        <w:t xml:space="preserve">Хотя Комитет отмечает включение в законодательство государства-участника принципа наилучших интересов ребенка, он обеспокоен по поводу того, что этот принцип не всегда учитывается на практике, в частности в отношении детей, принадлежащих к этническим меньшинствам.  </w:t>
      </w:r>
    </w:p>
    <w:p w:rsidR="00000000" w:rsidRDefault="00000000"/>
    <w:p w:rsidR="00000000" w:rsidRDefault="00000000">
      <w:pPr>
        <w:rPr>
          <w:b/>
          <w:bCs/>
        </w:rPr>
      </w:pPr>
      <w:r>
        <w:t>29.</w:t>
      </w:r>
      <w:r>
        <w:tab/>
      </w:r>
      <w:r>
        <w:rPr>
          <w:b/>
          <w:bCs/>
        </w:rPr>
        <w:t xml:space="preserve">Комитет рекомендует государству-участнику укрепить свои усилия по обеспечению того, чтобы общий принцип наилучших интересов ребенка отражался, надлежащим образом учитывался и осуществлялся в судебных и административных решениях и в проектах, программах и услугах, которые имеют отношение к детям.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Уважение мнений ребенка</w:t>
      </w:r>
    </w:p>
    <w:p w:rsidR="00000000" w:rsidRDefault="00000000">
      <w:pPr>
        <w:rPr>
          <w:b/>
          <w:bCs/>
        </w:rPr>
      </w:pPr>
    </w:p>
    <w:p w:rsidR="00000000" w:rsidRDefault="00000000">
      <w:r>
        <w:t>30.</w:t>
      </w:r>
      <w:r>
        <w:tab/>
        <w:t>Комитет отмечает, что закон "О гарантиях прав ребенка" признает право детей свободно выражать свои мнения и взгляды по всем затрагивающим их вопросам, но обеспокоен в связи с тем, что суды имеют право по своему усмотрению решать вопрос об участии детей в судебных разбирательства.</w:t>
      </w:r>
    </w:p>
    <w:p w:rsidR="00000000" w:rsidRDefault="00000000"/>
    <w:p w:rsidR="00000000" w:rsidRDefault="00000000">
      <w:pPr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приложить дополнительные усилия для обеспечения принципа уважения мнений ребенка.  В этой связи необходимо ставить особый акцент на праве каждого ребенка участвовать в жизни семьи, школы, других институтов и органов, а также общества в целом при уделении повышенного внимания уязвимым группам населения и группам меньшинств.  Этот общий принцип должен находить свое отражение во всех законах, судебных и административных решениях, политике и программах, связанных с детьми.  В</w:t>
      </w:r>
      <w:r>
        <w:rPr>
          <w:b/>
          <w:bCs/>
          <w:lang w:val="en-US"/>
        </w:rPr>
        <w:t> </w:t>
      </w:r>
      <w:r>
        <w:rPr>
          <w:b/>
          <w:bCs/>
        </w:rPr>
        <w:t>частности, 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а)</w:t>
      </w:r>
      <w:r>
        <w:rPr>
          <w:b/>
          <w:bCs/>
        </w:rPr>
        <w:tab/>
        <w:t>обеспечить, чтобы ребенок, способный сформировать свое собственное мнение, на практике имел возможность свободно выражать это мнение по всем вопросам, в частности в любом судебном и административном процессах, его затрагивающих;  и чтобы мнения ребенка должным образом учитывались сообразно его возрасту и степени зрелости;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разработать общинные программы обучения для родителей, преподавателей и других специалистов, работающих с детьми, с тем чтобы поощрять детей выражать свои осознанные мнения и взгляды;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систематически обеспечивать активное участие детских организаций в разработке национальной, региональной и местной политики или программ, которые их затрагивают;  и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представить дополнительную информацию по этому вопросу в своем следующем докладе.</w:t>
      </w:r>
    </w:p>
    <w:p w:rsidR="00000000" w:rsidRDefault="00000000">
      <w:pPr>
        <w:ind w:left="567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Гражданские права и свободы</w:t>
      </w:r>
      <w:r>
        <w:rPr>
          <w:b/>
          <w:bCs/>
        </w:rPr>
        <w:br/>
        <w:t>(статьи 7, 8, 13-17 и 37 а)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Доступ к надлежащей информации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32.</w:t>
      </w:r>
      <w:r>
        <w:tab/>
        <w:t>Комитет выражает озабоченность по поводу того, что все источники информации, и в том числе средства массовой информации, находятся под контролем правительства и не допускают разнообразия.  Кроме того, Комитет, разделяя недавно высказанную обеспокоенность Комитета по ликвидации расовой дискриминации, сожалеет по поводу чрезвычайно ограниченного доступа к иностранной культуре и массовой информации, включая Интернет.</w:t>
      </w:r>
    </w:p>
    <w:p w:rsidR="00000000" w:rsidRDefault="00000000"/>
    <w:p w:rsidR="00000000" w:rsidRDefault="00000000">
      <w:pPr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в соответствии с положениями статей 13 и 17 Конвенции обеспечить право ребенка на доступ к информации и материалам из разнообразных национальных и международных источников, особенно тех, которые преследуют цель поощрения его социального, духовного и нравственного развития и физического и психического здоровья.  Государству-участнику также следует принять меры по расширению доступа к Интернету, в том числе путем поддержки и упрощения соответствующих проектов, таких, как осуществляемый ПРООН проекту "Инфотук", обеспечивая при этом надлежащую защиту от распространения через Интернет незаконных материалов, например детской порнографии.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Свобода религии</w:t>
      </w:r>
    </w:p>
    <w:p w:rsidR="00000000" w:rsidRDefault="00000000">
      <w:pPr>
        <w:rPr>
          <w:b/>
          <w:bCs/>
        </w:rPr>
      </w:pPr>
    </w:p>
    <w:p w:rsidR="00000000" w:rsidRDefault="00000000">
      <w:r>
        <w:t>34.</w:t>
      </w:r>
      <w:r>
        <w:tab/>
        <w:t>Комитет выражает озабоченность по поводу того, что в Туркменистане религиозные организации сталкиваются с проблемами при их регистрации и ограничениями при осуществлении своей деятельности.  Комитет также выражает обеспокоенность по поводу сообщений о разгоне религиозных собраний и уничтожении мест отправления культа.</w:t>
      </w:r>
    </w:p>
    <w:p w:rsidR="00000000" w:rsidRDefault="00000000"/>
    <w:p w:rsidR="00000000" w:rsidRDefault="00000000">
      <w:pPr>
        <w:rPr>
          <w:b/>
          <w:bCs/>
        </w:rPr>
      </w:pPr>
      <w:r>
        <w:t>35.</w:t>
      </w:r>
      <w:r>
        <w:rPr>
          <w:b/>
          <w:bCs/>
        </w:rPr>
        <w:tab/>
        <w:t>Комитет рекомендует государству-участнику уважать право ребенка на свободу религии.  Государству-участнику следует обеспечить свободное осуществление всеми религиозными организациями своего права на свободу религии и убеждений с учетом только тех ограничений, которые предусматриваются статьей 14 Конвенции.  Комитет далее рекомендует государству-участнику предупреждать, запрещать и пресекать любые насильственные посягательства на религиозную деятельность, включая уничтожение мест отправления культа.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Запрет пыток и других жестоких, бесчеловечных и унижающих достоинство видов обращения и наказания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36.</w:t>
      </w:r>
      <w:r>
        <w:tab/>
        <w:t>Комитет обеспокоен в связи с информацией о том, что пытки и жестокое обращение с задержанными, включая детей, широко распространены, особенно при задержании и во время содержания в предварительном заключении, и используются как для получения признаний или информации, так и для дополнительного наказания уже после получения признания.</w:t>
      </w:r>
    </w:p>
    <w:p w:rsidR="00000000" w:rsidRDefault="00000000"/>
    <w:p w:rsidR="00000000" w:rsidRDefault="00000000">
      <w:pPr>
        <w:rPr>
          <w:b/>
          <w:bCs/>
        </w:rPr>
      </w:pPr>
      <w:r>
        <w:t>37.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firstLine="567"/>
        <w:rPr>
          <w:b/>
          <w:bCs/>
        </w:rPr>
      </w:pP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тщательно расследовать все утверждения о пытках и жестоком обращении, в частности при отправлении государственными служащими правосудия в отношении несовершеннолетних;</w:t>
      </w:r>
    </w:p>
    <w:p w:rsidR="00000000" w:rsidRDefault="00000000">
      <w:pPr>
        <w:ind w:firstLine="567"/>
        <w:rPr>
          <w:b/>
          <w:bCs/>
        </w:rPr>
      </w:pPr>
    </w:p>
    <w:p w:rsidR="00000000" w:rsidRDefault="00000000">
      <w:pPr>
        <w:ind w:firstLine="567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укреплять меры по поощрению предоставления информации о случаях пыток и жестокого обращения и обеспечить оперативное привлечение виновных к ответственности;</w:t>
      </w:r>
    </w:p>
    <w:p w:rsidR="00000000" w:rsidRDefault="00000000">
      <w:pPr>
        <w:ind w:firstLine="567"/>
        <w:rPr>
          <w:b/>
          <w:bCs/>
        </w:rPr>
      </w:pPr>
    </w:p>
    <w:p w:rsidR="00000000" w:rsidRDefault="00000000">
      <w:pPr>
        <w:ind w:firstLine="567"/>
        <w:rPr>
          <w:b/>
          <w:bCs/>
        </w:rPr>
      </w:pP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предоставлять потерпевшим от таких злоупотреблений возможности для физического и психологического восстановления и социальной реинтеграции, а также компенсацию и защиту от их заклеймения позором и повторной виктимизации;</w:t>
      </w:r>
    </w:p>
    <w:p w:rsidR="00000000" w:rsidRDefault="00000000">
      <w:pPr>
        <w:ind w:firstLine="567"/>
        <w:rPr>
          <w:b/>
          <w:bCs/>
        </w:rPr>
      </w:pPr>
    </w:p>
    <w:p w:rsidR="00000000" w:rsidRDefault="00000000">
      <w:pPr>
        <w:ind w:firstLine="567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осуществлять систематические программы подготовки кадров и общественной информации на национальном и местных уровнях для всех специалистов, работающих с детьми, в частности преподавателей, судей, парламентариев, сотрудников правоохранительных органов, государственных должностных лиц, местных властей, работников соответствующих учреждений, медицинских работников, включая психологов, и социальных работников, по вопросам предотвращения пыток и других форм жестокого обращения и защиты от них.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Семейное окружение и альтернативный уход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5, 18, пункты 1-2, 9-11, 19-21, 25, 27, пункт 4, и 39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Альтернативный уход за детьми</w:t>
      </w:r>
    </w:p>
    <w:p w:rsidR="00000000" w:rsidRDefault="00000000">
      <w:pPr>
        <w:rPr>
          <w:b/>
          <w:bCs/>
        </w:rPr>
      </w:pPr>
    </w:p>
    <w:p w:rsidR="00000000" w:rsidRDefault="00000000">
      <w:r>
        <w:t>38.</w:t>
      </w:r>
      <w:r>
        <w:tab/>
        <w:t>Комитет, отмечая низкие показатели институционализации, тем не менее обеспокоен положением детей, подвергнутых альтернативному уходу, а также тем, что многие из них помещаются в спецучреждения из-за экономических трудностей, с которыми сталкиваются их семьи.  Кроме того, Комитет обеспокоен по поводу нехватки ресурсов, включая квалифицированных специалистов, в системе альтернативного ухода.</w:t>
      </w:r>
    </w:p>
    <w:p w:rsidR="00000000" w:rsidRDefault="00000000"/>
    <w:p w:rsidR="00000000" w:rsidRDefault="00000000">
      <w:pPr>
        <w:rPr>
          <w:b/>
          <w:bCs/>
        </w:rPr>
      </w:pPr>
      <w:r>
        <w:t>39.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ab/>
        <w:t>a</w:t>
      </w:r>
      <w:r>
        <w:rPr>
          <w:b/>
          <w:bCs/>
        </w:rPr>
        <w:t>)</w:t>
      </w:r>
      <w:r>
        <w:rPr>
          <w:b/>
          <w:bCs/>
        </w:rPr>
        <w:tab/>
        <w:t>активизировать свои усилия по предоставлению материальной помощи и поддержки детям, находящимся в экономически или социально ущемленном положении, и их семьям, в том числе для осуществления стратегии сокращения масштабов нищеты и общинных проектов развития с участием детей в соответствии со статьей 27 Конвенции;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нищета как таковая не вела к принятию решения об изъятии ребенка и помещении его в детское учреждение;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обеспечить надлежащую подготовку всех специалистов, работающих в системе альтернативного ухода и выделять для этого надлежащие ресурсы;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создать механизмы для обращения с жалобами в интересах детей, находящихся в специальных учреждениях, и обеспечить, чтобы они рассматривались эффективно и с учетом интересов ребенка;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представить в своем следующем докладе информацию о принятых мерах и достигнутых результатах в плане возвращения детей, помещенных в специальные учреждения, обратно в семьи, когда это представляется оправданным.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Усыновление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40.</w:t>
      </w:r>
      <w:r>
        <w:tab/>
        <w:t>Комитет выражает сожаление по поводу отсутствия информации о количестве и типах усыновлений (национальных/международных) в государстве-участнике и отмечает, что, хотя усыновления регистрируются на региональном, городском и районном уровнях учреждениями по опеке и попечительству, находящимися в ведении министерства внутренних дел, какая-либо централизованная система регистрации усыновлений отсутствует.</w:t>
      </w:r>
    </w:p>
    <w:p w:rsidR="00000000" w:rsidRDefault="00000000"/>
    <w:p w:rsidR="00000000" w:rsidRDefault="00000000">
      <w:pPr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рассмотреть вопрос о создании централизованной системы регистрации усыновлений, которая позволила бы получать разукрупненные данные по этому вопросу.</w:t>
      </w:r>
    </w:p>
    <w:p w:rsidR="00000000" w:rsidRDefault="00000000">
      <w:pPr>
        <w:rPr>
          <w:b/>
          <w:bCs/>
        </w:rPr>
      </w:pPr>
    </w:p>
    <w:p w:rsidR="00000000" w:rsidRDefault="00000000">
      <w:r>
        <w:t>42.</w:t>
      </w:r>
      <w:r>
        <w:tab/>
        <w:t>Комитет с озабоченностью отмечает, что статья 129 Кодекса о браке и семье о тайне усыновления вместе со статьей 157 Уголовного кодекса (согласно которой нарушение тайны усыновления вопреки желанию приемного родителя является уголовным правонарушением) может нарушать права ребенка знать о своих родителях.</w:t>
      </w:r>
    </w:p>
    <w:p w:rsidR="00000000" w:rsidRDefault="00000000"/>
    <w:p w:rsidR="00000000" w:rsidRDefault="00000000">
      <w:r>
        <w:t>43.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pPr>
        <w:ind w:firstLine="567"/>
      </w:pPr>
      <w:r>
        <w:rPr>
          <w:lang w:val="en-US"/>
        </w:rPr>
        <w:t>a</w:t>
      </w:r>
      <w:r>
        <w:t>)</w:t>
      </w:r>
      <w:r>
        <w:tab/>
        <w:t>принять необходимые меры для обеспечения того, чтобы статья 129 Кодекса о браке и семье и статья 157 Уголовного кодекса не препятствовали праву ребенка знать о своих родителях;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r>
        <w:rPr>
          <w:lang w:val="en-US"/>
        </w:rPr>
        <w:t>b</w:t>
      </w:r>
      <w:r>
        <w:t>)</w:t>
      </w:r>
      <w:r>
        <w:tab/>
        <w:t>обеспечить первоочередной учет наилучших интересов ребенка во всех решениях, касающихся усыновления;  и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r>
        <w:rPr>
          <w:lang w:val="en-US"/>
        </w:rPr>
        <w:t>c</w:t>
      </w:r>
      <w:r>
        <w:t>)</w:t>
      </w:r>
      <w:r>
        <w:tab/>
        <w:t>рассмотреть вопрос о ратификации Гаагской конвенции № 33 о защите детей и сотрудничестве в вопросах международного усыновления/удочерения 1993 года.</w:t>
      </w:r>
    </w:p>
    <w:p w:rsidR="00000000" w:rsidRDefault="00000000">
      <w:pPr>
        <w:ind w:left="567"/>
      </w:pPr>
    </w:p>
    <w:p w:rsidR="00000000" w:rsidRDefault="00000000">
      <w:pPr>
        <w:rPr>
          <w:b/>
          <w:bCs/>
        </w:rPr>
      </w:pPr>
      <w:r>
        <w:rPr>
          <w:b/>
          <w:bCs/>
        </w:rPr>
        <w:t>Насилие, злоупотребление, безнадзорность и жестокое обращение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44.</w:t>
      </w:r>
      <w:r>
        <w:rPr>
          <w:b/>
          <w:bCs/>
        </w:rPr>
        <w:tab/>
        <w:t>Приветствуя информацию о том, что дети, ставшие жертвами насилия, имеют право обращаться с жалобами в государственные или судебные органы, Комитет выражает сожаление по поводу отсутствия информации и данных о масштабах насилия в отношении детей в семьях, спецучреждениях, школах и общинах.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45.</w:t>
      </w:r>
      <w:r>
        <w:rPr>
          <w:b/>
          <w:bCs/>
        </w:rPr>
        <w:tab/>
        <w:t>В свете статьи 19 Конвенции и со ссылкой на пункты 36 и 37 выше Комитет рекомендует государству-участнику:</w:t>
      </w:r>
    </w:p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а)</w:t>
      </w:r>
      <w:r>
        <w:rPr>
          <w:b/>
          <w:bCs/>
        </w:rPr>
        <w:tab/>
        <w:t>провести всестороннее исследование о насилии, чтобы оценить масштабы, причины, характер и природу этих нарушений;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укрепить стимулы для сообщения о случаях посягательства на детей во всех учреждениях, включая детские дома, приюты, психиатрические больницы, школы и тюрьмы для несовершеннолетних, и привлекать к ответственности виновных в совершении этих действий;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гарантировать уход, полное физическое и психологическое восстановление и социальную реинтеграцию детей, ставших жертвами насилия.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46.</w:t>
      </w:r>
      <w:r>
        <w:tab/>
      </w:r>
      <w:r>
        <w:rPr>
          <w:b/>
          <w:bCs/>
        </w:rPr>
        <w:t>Хотя Комитет с признательностью отмечает участие государства-участника в Региональном консультативном совещании для стран Европы и Центральной Азии в контексте углубленного изучения Генеральным секретарем вопроса о насилии в отношении детей, Комитет отмечает, что государство-участник не ответило на соответствующий вопросник.  Комитет рекомендует государству-участнику использовать результаты этой региональной консультации в качестве инструмента действий в сотрудничестве с гражданским обществом в целях обеспечения защиты каждого ребенка от любых форм физического, сексуального и психического насилия, а также для расширения возможностей по принятию конкретных и, в случае необходимости, тщательно спланированных мер по недопущению и пресечению подобного насилия и злоупотреблений.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Телесные наказания</w:t>
      </w:r>
    </w:p>
    <w:p w:rsidR="00000000" w:rsidRDefault="00000000"/>
    <w:p w:rsidR="00000000" w:rsidRDefault="00000000">
      <w:r>
        <w:t>47.</w:t>
      </w:r>
      <w:r>
        <w:tab/>
        <w:t>Отмечая, что часть третья статьи 23 закона "О гарантиях прав ребенка", по</w:t>
      </w:r>
      <w:r>
        <w:noBreakHyphen/>
        <w:t>видимому, запрещает телесные наказания, Комитет тем не менее выражает озабоченность по поводу того, что, как представляется, такие наказания широко применяются как форма воспитания детей.</w:t>
      </w:r>
    </w:p>
    <w:p w:rsidR="00000000" w:rsidRDefault="00000000"/>
    <w:p w:rsidR="00000000" w:rsidRDefault="00000000">
      <w:pPr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с учетом своего Замечания общего порядка № 8 (2006 год) о праве ребенка на защиту от телесных наказаний и других жестоких или унижающих достоинство видов наказания, принять и обеспечить исполнение законов и процедур, прямо запрещающих все виды телесных наказаний детей во всех ситуациях.  Государству-участнику следует также организовать информационно-пропагандистские кампании для общественности и специалистов против телесных наказаний и поощрять ненасильственные позитивные и основанные на участии формы воспитания и образования детей, в том числе в семье, школе, спецучреждениях и в обществе.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Первичное медико-санитарное обслуживание и благосостояние</w:t>
      </w:r>
    </w:p>
    <w:p w:rsidR="00000000" w:rsidRDefault="00000000">
      <w:pPr>
        <w:ind w:left="567"/>
        <w:jc w:val="center"/>
      </w:pPr>
      <w:r>
        <w:rPr>
          <w:b/>
          <w:bCs/>
        </w:rPr>
        <w:t>(статьи 6;  18, пункт 3;  23;  24;  26;  27, пункты 1-3, Конвенции)</w:t>
      </w:r>
    </w:p>
    <w:p w:rsidR="00000000" w:rsidRDefault="00000000">
      <w:pPr>
        <w:ind w:left="567"/>
        <w:jc w:val="center"/>
      </w:pPr>
    </w:p>
    <w:p w:rsidR="00000000" w:rsidRDefault="00000000">
      <w:r>
        <w:rPr>
          <w:b/>
          <w:bCs/>
        </w:rPr>
        <w:t>Дети с инвалидностью</w:t>
      </w:r>
    </w:p>
    <w:p w:rsidR="00000000" w:rsidRDefault="00000000"/>
    <w:p w:rsidR="00000000" w:rsidRDefault="00000000">
      <w:r>
        <w:t>49.</w:t>
      </w:r>
      <w:r>
        <w:tab/>
        <w:t>Комитет отмечает существование 18 специализированных дошкольных учреждений и 14 интернатов для детей с умственными и физическими недостатками.  Он приветствует, что лекарства для детей с инвалидностью оплачиваются за счет государства.  Однако он выражает обеспокоенность в связи с чрезмерной институционализацией детей с инвалидностью и нехваткой специалистов для работы с инвалидами.</w:t>
      </w:r>
    </w:p>
    <w:p w:rsidR="00000000" w:rsidRDefault="00000000"/>
    <w:p w:rsidR="00000000" w:rsidRDefault="00000000">
      <w:pPr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с учетом рекомендаций, принятых Комитетом в ходе своей однодневной дискуссии по вопросу о правах детей с инвалидностью (см. 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/69):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и осуществить законодательство о защите детей с инвалидностью;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осуществление Стандартных правил обеспечения равных возможностей для инвалидов, принятых Генеральной Ассамблеей Организации Объединенных Наций 23 декабря 1993 года;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приложить усилия для принятия и осуществления мер, которые служили бы альтернативой институционализации детей с инвалидностью, включая общинные программы реабилитации и помощь на дому;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прилагать усилия к тому, чтобы позволить детям с инвалидностью в максимально возможной степени осуществить свое право на образование и способствовать их участию в общей системе образования;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приложить более активные усилия для предоставления доступа к услугам квалифицированных специалистов (в том числе специалистов по работе с инвалидами) и необходимым финансовым ресурсам, особенно на местном уровне, и поощрять и расширять общинные программы реабилитации, включая группы родительской поддержки;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приложить усилия по преодолению негативного социального отношения к детям с инвалидностью и недопущения их маргинализации и отчуждения;  и</w:t>
      </w:r>
    </w:p>
    <w:p w:rsidR="00000000" w:rsidRDefault="00000000"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устранять физические барьеры для эффективного доступа детей с инвалидностью в школы и другие учреждения и общественные службы.</w:t>
      </w:r>
    </w:p>
    <w:p w:rsidR="00000000" w:rsidRDefault="00000000"/>
    <w:p w:rsidR="00000000" w:rsidRDefault="00000000">
      <w:r>
        <w:rPr>
          <w:b/>
          <w:bCs/>
        </w:rPr>
        <w:t>Здоровье и доступ к услугам в области здравоохранения</w:t>
      </w:r>
    </w:p>
    <w:p w:rsidR="00000000" w:rsidRDefault="00000000"/>
    <w:p w:rsidR="00000000" w:rsidRDefault="00000000">
      <w:r>
        <w:t>51.</w:t>
      </w:r>
      <w:r>
        <w:tab/>
        <w:t>Комитет приветствует бесплатное медицинское обслуживание, гарантированное детям в государстве-участнике, присвоение ему статуса страны без полиомиелита с 2002 года и ее признание в качестве четвертой страны мира, гарантировавшей повсеместную йодизацию соли, в соответствии с общепринятыми международными стандартами.  Однако он обеспокоен в связи с тем, что сектор здравоохранения продолжает сталкиваться с серьезными проблемами, сказывающимися на здоровье детей.  В частности, Комитет выражает обеспокоенность по поводу следующего:</w:t>
      </w:r>
    </w:p>
    <w:p w:rsidR="00000000" w:rsidRDefault="00000000"/>
    <w:p w:rsidR="00000000" w:rsidRDefault="00000000">
      <w:r>
        <w:tab/>
        <w:t>а)</w:t>
      </w:r>
      <w:r>
        <w:tab/>
        <w:t>согласно данным независимого исследования, проведенного в 2004 году, почти 80% случаев смерти детей в ранний и поздний неонатальный период были вызваны инфекциями и могли быть предотвращены с помощью простых и недорогостоящих мер профилактики и лечения;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материнская смертность, несмотря на достигнутые в последнее время положительные сдвиги, остается высокой;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официальные данные о младенческой смертности являются неточными отчасти из-за недостатков системы регистрации случаев смерти;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в больницах отсутствуют достаточные средства родовспоможения и медикаменты для оказания чрезвычайной помощи;  и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отсутствуют обновленные данные о режиме питания детей.</w:t>
      </w:r>
    </w:p>
    <w:p w:rsidR="00000000" w:rsidRDefault="00000000"/>
    <w:p w:rsidR="00000000" w:rsidRDefault="00000000">
      <w:pPr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укрепить свои усилия по улучшению охраны здоровья детей в государстве-участнике, в том числе посредством: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обеспечения предоставления необходимой медицинской помощи и ухода за здоровьем всех детей с упором на оказание первичной медико-санитарной помощи;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принятия срочных мер для сокращения младенческой и детской смертности, особенно с упором на профилактику и лечение;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активизировать усилия по дальнейшему сокращению материнской смертности в стране;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принять и осуществить национальный закон о продаже заменителей материнского молока;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  <w:t>обеспечить всем слоям общества доступ к информации, образованию и помощи в плане основных знаний о здоровье и питании детей, в том числе о преимуществах грудного вскармливания;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обеспечить полное соблюдение стандартов Всемирной организации здравоохранения (ВОЗ) о регистрации случаев смерти детей в раннем возрасте;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предоставить больницам достаточные материалы для родовспоможения и оказания чрезвычайной помощи;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h</w:t>
      </w:r>
      <w:r>
        <w:rPr>
          <w:b/>
          <w:bCs/>
        </w:rPr>
        <w:t>)</w:t>
      </w:r>
      <w:r>
        <w:rPr>
          <w:b/>
          <w:bCs/>
        </w:rPr>
        <w:tab/>
        <w:t>запросить в этой связи техническую помощь, в частности у ЮНИСЕФ и ВОЗ.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ВИЧ/СПИД</w:t>
      </w:r>
    </w:p>
    <w:p w:rsidR="00000000" w:rsidRDefault="00000000"/>
    <w:p w:rsidR="00000000" w:rsidRDefault="00000000">
      <w:r>
        <w:t>53.</w:t>
      </w:r>
      <w:r>
        <w:tab/>
        <w:t>Отмечая заявление государства-участника об отсутствии в Туркменистане детей, у которых были бы зарегистрированы ВИЧ/СПИД, Комитет обеспокоен в связи с тем, что низкий уровень осведомленности населения, особенно молодежи, о путях распространения ВИЧ, отсутствие средств и достаточных навыков для защиты от ВИЧ-инфекции вкупе с широким распространением небезопасного секса и использованием инъекций повышают риск ВИЧ-эпидемии.  Кроме того, Комитет обеспокоен в связи с полученными им сведениями о том, что навыки и потенциал диагностики ВИЧ/СПИДа являются ограниченными и что случаи ВИЧ/СПИДа и других инфекционных заболеваний не регистрируются.</w:t>
      </w:r>
    </w:p>
    <w:p w:rsidR="00000000" w:rsidRDefault="00000000"/>
    <w:p w:rsidR="00000000" w:rsidRDefault="00000000">
      <w:pPr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с учетом замечания общего порядка № 3 Комитета о ВИЧ/СПИДе и правах ребенка (2003 год) и Международными руководящими принципами по обеспечению уважения прав человека в связи с ВИЧ/СПИДом (</w:t>
      </w:r>
      <w:r>
        <w:rPr>
          <w:b/>
          <w:bCs/>
          <w:lang w:val="en-US"/>
        </w:rPr>
        <w:t>E</w:t>
      </w:r>
      <w:r>
        <w:rPr>
          <w:b/>
          <w:bCs/>
        </w:rPr>
        <w:t>/</w:t>
      </w:r>
      <w:r>
        <w:rPr>
          <w:b/>
          <w:bCs/>
          <w:lang w:val="en-US"/>
        </w:rPr>
        <w:t>CN</w:t>
      </w:r>
      <w:r>
        <w:rPr>
          <w:b/>
          <w:bCs/>
        </w:rPr>
        <w:t>.4/1997/37):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предоставлять антиретровиральное лечение ВИЧ-инфицированным женщинам и расширить практику добровольного тестирования на ВИЧ беременных женщин;</w:t>
      </w: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укрепить свои меры по расширению возможностей и медицинских навыков диагностики и лечения ВИЧ/СПИДа;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заняться вопросом о неполной регистрации случаев опасных инфекционных заболеваний, в частности ВИЧ/СПИДа и туберкулеза;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укрепить свои усилия по проведению кампаний и программ повышения осведомленности о ВИЧ/СПИДе среди подростков, особенно среди лиц, принадлежащих к уязвимым группам или группам высокого риска, а также населения в целом, с тем чтобы препятствовать дискриминации детей, инфицированных и больных ВИЧ/СПИДом;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  <w:t>надлежащим образом осуществлять Национальную программу профилактики ВИЧ/ИППП в Туркменистане (на 2005-2010 годы), в том числе путем выделения необходимых финансовых средств;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запросить дополнительную техническую помощь, в частности у Объединенной программы Организации Объединенных Наций по ВИЧ/СПИДу (ЮНЕЙДС) и ЮНИСЕФ.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Здоровье подростков</w:t>
      </w:r>
    </w:p>
    <w:p w:rsidR="00000000" w:rsidRDefault="00000000">
      <w:pPr>
        <w:rPr>
          <w:b/>
          <w:bCs/>
        </w:rPr>
      </w:pPr>
    </w:p>
    <w:p w:rsidR="00000000" w:rsidRDefault="00000000">
      <w:r>
        <w:t>55.</w:t>
      </w:r>
      <w:r>
        <w:tab/>
        <w:t>Комитет, отметив меры, принятые государством-участником в этой области, обеспокоен в связи с ростом наркомании и злоупотребления психотропными веществами среди подростков.  Он также отмечает скудную информацию об услугах в области охраны психического и репродуктивного здоровья в государстве-участнике.</w:t>
      </w:r>
    </w:p>
    <w:p w:rsidR="00000000" w:rsidRDefault="00000000"/>
    <w:p w:rsidR="00000000" w:rsidRDefault="00000000">
      <w:pPr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государству-участнику, принимая во внимание его Замечание общего порядка № 4 о здоровье и развитии подростков (2003 год):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провести исследование по вопросу о состоянии здоровья подростков с целью разработки всесторонней политики охраны здоровья подростков с упором, в частности, на борьбу с наркоманией;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предоставлять надлежащие услуги по охране психического здоровья детям, больным наркоманией, в том числе через центры медицинской реабилитации, другие надлежащие структуры и услуги по поддержке семей;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разработать программы здорового образа жизни для подростков и уделять особое внимание надлежащему и современному лечению подростков с психическими расстройствами, а также запросить помощь в этой области, в частности у ВОЗ;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организовать подготовку учителей, социальных работников и других лиц, работающих с детьми, по вопросам борьбы против наркомании и решения других проблем здоровья подростков с учетом интересов детей;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представить в своем следующем периодическом доклад информацию об услугах по охране психического и репродуктивного здоровья, доступных для подростков.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Уровень жизни</w:t>
      </w:r>
    </w:p>
    <w:p w:rsidR="00000000" w:rsidRDefault="00000000">
      <w:pPr>
        <w:rPr>
          <w:b/>
          <w:bCs/>
        </w:rPr>
      </w:pPr>
    </w:p>
    <w:p w:rsidR="00000000" w:rsidRDefault="00000000">
      <w:r>
        <w:t>57.</w:t>
      </w:r>
      <w:r>
        <w:tab/>
        <w:t>Комитет отмечает информацию о том, что с 1993 года правительство обеспечивает своих граждан газом, электричеством, водой и столовой солью бесплатно и что срок представления таких бесплатных услуг был продлен до 2020 года.  Однако Комитет обеспокоен в связи с тем, что из-за с неравномерного распределения богатства в стране значительное количество семей живут на краю нищеты и что лишь 55% населения имеет доступ к питьевой воде, а в сельских районах этот показатель составляет 24%.</w:t>
      </w:r>
    </w:p>
    <w:p w:rsidR="00000000" w:rsidRDefault="00000000"/>
    <w:p w:rsidR="00000000" w:rsidRDefault="00000000">
      <w:pPr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необходимые меры для разработки эффективной политики уменьшения масштабов нищеты, в том числе путем устранения неравенства в распределении богатства;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обеспечить оказание поддержки и материальной помощи экономически ущемленным семьям;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активизировать свои усилия по организации предоставления надлежащих услуг по водоснабжению и обеспечению доступа к питьевой воде во всей стране и особенно в сельских районах.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Образование, досуг и культурная деятельность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28, 29 и 30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59.</w:t>
      </w:r>
      <w:r>
        <w:tab/>
        <w:t>Комитет обеспокоен сообщениями о том, что система образования в Туркменистане в последние несколько лет ухудшилась.  В частности, его беспокоит следующее:</w:t>
      </w:r>
    </w:p>
    <w:p w:rsidR="00000000" w:rsidRDefault="00000000">
      <w:r>
        <w:tab/>
        <w:t>а)</w:t>
      </w:r>
      <w:r>
        <w:tab/>
        <w:t>в результате реформы продолжительность обязательного образования была уменьшена с десяти до девяти лет;</w:t>
      </w:r>
    </w:p>
    <w:p w:rsidR="00000000" w:rsidRDefault="00000000"/>
    <w:p w:rsidR="00000000" w:rsidRDefault="00000000">
      <w:r>
        <w:tab/>
        <w:t>b)</w:t>
      </w:r>
      <w:r>
        <w:tab/>
        <w:t>в среднем дети посещают школу в течение 150 дней в году по сравнению с международным стандартом 180 дней, отчасти из-за того, что школьников часто привлекают к работе на хлопковых полях;</w:t>
      </w:r>
    </w:p>
    <w:p w:rsidR="00000000" w:rsidRDefault="00000000"/>
    <w:p w:rsidR="00000000" w:rsidRDefault="00000000">
      <w:r>
        <w:tab/>
        <w:t>с)</w:t>
      </w:r>
      <w:r>
        <w:tab/>
        <w:t>значительная часть программы обучения в школе посвящена изучению "Рухнамы", "духовного руководства", написанного президентом;</w:t>
      </w:r>
    </w:p>
    <w:p w:rsidR="00000000" w:rsidRDefault="00000000"/>
    <w:p w:rsidR="00000000" w:rsidRDefault="00000000">
      <w:r>
        <w:tab/>
        <w:t>d)</w:t>
      </w:r>
      <w:r>
        <w:tab/>
        <w:t>только 20% детей имеют возможность посещать дошкольные учреждения;</w:t>
      </w:r>
    </w:p>
    <w:p w:rsidR="00000000" w:rsidRDefault="00000000"/>
    <w:p w:rsidR="00000000" w:rsidRDefault="00000000">
      <w:r>
        <w:tab/>
        <w:t>е)</w:t>
      </w:r>
      <w:r>
        <w:tab/>
        <w:t>размеры классов быстро растут, условия обучения ухудшаются, а ассигнования на покупку учебников и школьных принадлежностей сокращаются;</w:t>
      </w:r>
    </w:p>
    <w:p w:rsidR="00000000" w:rsidRDefault="00000000"/>
    <w:p w:rsidR="00000000" w:rsidRDefault="00000000">
      <w:r>
        <w:tab/>
        <w:t>f)</w:t>
      </w:r>
      <w:r>
        <w:tab/>
        <w:t>учителей часто заставляют работать на хлопковых полях, а помещения школ могут использоваться для производства хлопка;</w:t>
      </w:r>
    </w:p>
    <w:p w:rsidR="00000000" w:rsidRDefault="00000000"/>
    <w:p w:rsidR="00000000" w:rsidRDefault="00000000">
      <w:r>
        <w:tab/>
        <w:t>g)</w:t>
      </w:r>
      <w:r>
        <w:tab/>
        <w:t>значительное число учителей не имеют надлежащей подготовки или не получают надлежащей оплаты за свой труд;</w:t>
      </w:r>
    </w:p>
    <w:p w:rsidR="00000000" w:rsidRDefault="00000000"/>
    <w:p w:rsidR="00000000" w:rsidRDefault="00000000">
      <w:r>
        <w:tab/>
        <w:t>h)</w:t>
      </w:r>
      <w:r>
        <w:tab/>
        <w:t>школьники, принадлежащие к этническим меньшинствам, особенно казахи, узбеки, армяне и русские, зачастую имеют ограниченные возможности обучения на своем родном языке, несмотря на наличие законодательных положений на этот счет.</w:t>
      </w:r>
    </w:p>
    <w:p w:rsidR="00000000" w:rsidRDefault="00000000"/>
    <w:p w:rsidR="00000000" w:rsidRDefault="00000000">
      <w:pPr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с учетом Замечания общего порядка № 1 Комитета о целях образования принять все необходимые меры для обеспечения полного осуществления статей 28 и 29 Конвенции, и в частности: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необходимые меры для повышения качества образования, в том числе путем усовершенствования учебной программы школ с целью приведения ее в соответствие с международными стандартами в области образования;</w:t>
      </w:r>
      <w:r>
        <w:rPr>
          <w:b/>
          <w:bCs/>
        </w:rPr>
        <w:tab/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принимать меры для постепенного увеличения продолжительности обязательного образования;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увеличить продолжительность учебного года до 180 дней, чтобы привести ее в соответствие с международными стандартами, и обеспечить эффективное соблюдение запрета на привлечение школьников к сбору хлопка;</w:t>
      </w: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вновь открыть классы на казахском, узбекском, армянском и русском языках и школы для детей этнических меньшинств;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выделить ассигнования на подготовку учителей, повысить уровень их заработной платы и обеспечить исключительное выполнение учителями своих обязанностей в школе и невозможность привлечения их к работам вне школы в отведенное для учебы время;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выделить ассигнования на улучшение оснащенности школ, покупку учебников и других принадлежностей;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  <w:t>укрепить свои усилия по включению прав человека в целом и прав ребенка в частности в программу обучения в школах;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h)</w:t>
      </w:r>
      <w:r>
        <w:rPr>
          <w:b/>
          <w:bCs/>
        </w:rPr>
        <w:tab/>
        <w:t>расширить доступность профессионально-технического образования для молодежи для облегчения будущего доступа к рынку труда;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i)</w:t>
      </w:r>
      <w:r>
        <w:rPr>
          <w:b/>
          <w:bCs/>
        </w:rPr>
        <w:tab/>
        <w:t>запросить дополнительную помощь, в частности у ЮНИСЕФ и ЮНЕСКО.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Специальные меры защиты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22, 38, 39, 40, 37 b)-d), 30 и 32-36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Дети из числа беженцев и перемещенных лиц</w:t>
      </w:r>
    </w:p>
    <w:p w:rsidR="00000000" w:rsidRDefault="00000000">
      <w:pPr>
        <w:rPr>
          <w:b/>
          <w:bCs/>
        </w:rPr>
      </w:pPr>
    </w:p>
    <w:p w:rsidR="00000000" w:rsidRDefault="00000000">
      <w:r>
        <w:t>61.</w:t>
      </w:r>
      <w:r>
        <w:tab/>
        <w:t>Комитет приветствует тот факт, что в 2005 году свыше 10 000 таджикских беженцев было предоставлено туркменистанское гражданство.  Однако Комитет обеспокоен по поводу того, что на положении детей может серьезно сказываться тот факт, что с 2001 года в Уголовный кодекс Туркменистана в качестве наказания за некоторые преступление было включено принудительное переселение.  Кроме того, Комитет выражает обеспокоенность по поводу полученных им сведений о принудительном переселении этнических меньшинств, включая детей.</w:t>
      </w:r>
    </w:p>
    <w:p w:rsidR="00000000" w:rsidRDefault="00000000"/>
    <w:p w:rsidR="00000000" w:rsidRDefault="00000000">
      <w:pPr>
        <w:rPr>
          <w:b/>
          <w:bCs/>
        </w:rPr>
      </w:pPr>
      <w:r>
        <w:t>62.</w:t>
      </w:r>
      <w:r>
        <w:rPr>
          <w:b/>
          <w:bCs/>
        </w:rPr>
        <w:tab/>
        <w:t>Комитет рекомендует государству-участнику принять срочные меры для отмены принудительного переселения в качестве наказания за некоторые преступления и прекращения своей политики принудительного переселения этнических меньшинств.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Экономическая эксплуатация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63.</w:t>
      </w:r>
      <w:r>
        <w:tab/>
        <w:t>Комитет приветствует принятие президентом страны указа, запрещающего труд детей и конкретно осуждающего привлечение детей к уборке хлопка, а также принятие закона, который запрещает направление детей на сбор хлопка.  Однако Комитет обеспокоен в связи с тем, что эта практика все еще имеет широкое распространение и что законы о запрещении труда детей исполняются неэффективно.</w:t>
      </w:r>
    </w:p>
    <w:p w:rsidR="00000000" w:rsidRDefault="00000000"/>
    <w:p w:rsidR="00000000" w:rsidRDefault="00000000">
      <w:pPr>
        <w:rPr>
          <w:b/>
          <w:bCs/>
        </w:rPr>
      </w:pPr>
      <w:r>
        <w:t>64.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подготовить всестороннюю оценку численности, состава и особенностей работающих детей, с тем чтобы разработать и осуществить комплексную стратегию предотвращения и искоренения их эксплуатации;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обеспечить исполнение недавнего закона о запрете труда детей на хлопковых полях;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ратифицировать Конвенции № 138 (1973 год) и № 182 (1999 год) МОТ и запросить с этой целью помощь по линии Международной программы по искоренению детского труда (МПИДТ/МОТ) и ЮНИСЕФ.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Безнадзорные дети</w:t>
      </w:r>
    </w:p>
    <w:p w:rsidR="00000000" w:rsidRDefault="00000000">
      <w:pPr>
        <w:rPr>
          <w:b/>
          <w:bCs/>
        </w:rPr>
      </w:pPr>
    </w:p>
    <w:p w:rsidR="00000000" w:rsidRDefault="00000000">
      <w:r>
        <w:t>65.</w:t>
      </w:r>
      <w:r>
        <w:tab/>
        <w:t>Комитет обеспокоен в связи с отсутствием информации от государства-участника о</w:t>
      </w:r>
      <w:r>
        <w:rPr>
          <w:lang w:val="en-US"/>
        </w:rPr>
        <w:t> </w:t>
      </w:r>
      <w:r>
        <w:t xml:space="preserve">существовании безнадзорных детей, в то время как другая полученная им информация свидетельствует о том, что их численность в последние годы могла возрасти.  </w:t>
      </w:r>
    </w:p>
    <w:p w:rsidR="00000000" w:rsidRDefault="00000000"/>
    <w:p w:rsidR="00000000" w:rsidRDefault="00000000">
      <w:pPr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 xml:space="preserve">провести исследование о положении таких детей и использовать его результаты для разработки всесторонней стратегии предотвращения и сокращения числа безнадзорных детей;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безнадзорным детям предоставлялись адекватное питание, одежда, жилье, медицинская помощь, возможности для образования, включая профессиональную подготовку и обучение жизненным навыкам;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обеспечить, чтобы безнадзорным детям предоставлялись услуги по физической и психологической реабилитации и социальной реинтеграции;  и</w:t>
      </w: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по возможности содействовать их возвращению в свои семьи.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Торговля людьми</w:t>
      </w:r>
    </w:p>
    <w:p w:rsidR="00000000" w:rsidRDefault="00000000">
      <w:pPr>
        <w:rPr>
          <w:b/>
          <w:bCs/>
        </w:rPr>
      </w:pPr>
    </w:p>
    <w:p w:rsidR="00000000" w:rsidRDefault="00000000">
      <w:r>
        <w:t>67.</w:t>
      </w:r>
      <w:r>
        <w:tab/>
        <w:t>Комитет обеспокоен в связи с тем, что законодательство прямо не запрещает торговлю людьми.  Кроме того, хотя масштабы проблемы торговли людьми в государстве</w:t>
      </w:r>
      <w:r>
        <w:noBreakHyphen/>
        <w:t xml:space="preserve">участнике не столь высоки как в других странах региона, Комитет обеспокоен в связи с сообщениями о том, что девочки из групп национальных меньшинств с большей вероятностью могут стать жертвами торговли, поскольку у них имеется меньше возможностей в плане образования или занятости.  </w:t>
      </w:r>
    </w:p>
    <w:p w:rsidR="00000000" w:rsidRDefault="00000000"/>
    <w:p w:rsidR="00000000" w:rsidRDefault="00000000">
      <w:pPr>
        <w:rPr>
          <w:b/>
          <w:bCs/>
        </w:rPr>
      </w:pPr>
      <w:r>
        <w:t>68.</w:t>
      </w:r>
      <w:r>
        <w:tab/>
      </w:r>
      <w:r>
        <w:rPr>
          <w:b/>
          <w:bCs/>
        </w:rPr>
        <w:t>В свете статьи 34 и других соответствующих статей Конвенции Комитет рекомендует государству-участнику активизировать свои усилия по выявлению, пресечению и исключению торговли детьми для сексуальной и иной эксплуатации посредством: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включения положений, криминализирующих торговлю людьми, в национальное законодательство в соответствии с Протоколом о предупреждении и пресечении торговли людьми, особенно женщинами и детьми, и наказании за нее, дополняющим Конвенцию Организацию Объединенных Наций против транснациональной организованной преступности 2000 года;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провести исследования для оценки характера и масштабов этой проблемы;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организовать адекватную и систематическую подготовку всех профессиональных групп, имеющих отношение к этому явлению, включая полицию, пограничников и т.д.;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обеспечить предоставление психологической и другой восстановительной помощи потерпевшим;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организовать информационно-пропагандистские компании, ориентированные на конкретных детей и их родителей;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запросить помощь, в частности у ЮНИСЕФ.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Отправление правосудия в отношении несовершеннолетних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69.</w:t>
      </w:r>
      <w:r>
        <w:tab/>
        <w:t>Комитет обеспокоен в связи с отсутствием информации о функционировании системы ювенальной юстиции.  Кроме того, Комитет испытывает озабоченность по поводу следующего:</w:t>
      </w:r>
    </w:p>
    <w:p w:rsidR="00000000" w:rsidRDefault="00000000"/>
    <w:p w:rsidR="00000000" w:rsidRDefault="00000000">
      <w:r>
        <w:tab/>
        <w:t>а)</w:t>
      </w:r>
      <w:r>
        <w:tab/>
        <w:t>к лицам, не достигшим 18-летнего возраста, применяются такие же уголовные процедуры, как и к взрослым;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дети могут содержаться в предварительном заключении до полугода;</w:t>
      </w:r>
    </w:p>
    <w:p w:rsidR="00000000" w:rsidRDefault="00000000"/>
    <w:p w:rsidR="00000000" w:rsidRDefault="00000000">
      <w:r>
        <w:tab/>
        <w:t>с)</w:t>
      </w:r>
      <w:r>
        <w:tab/>
        <w:t>существует только одно учреждение для несовершеннолетних правонарушителей, и на практике их не всегда содержат отдельно от взрослых;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 xml:space="preserve">условия содержания под стражей не отвечают предъявляемым к ним требованиям;  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признания часто добываются силой и используются в качестве доказательства в суде (см. также пункт 36 выше);  и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лишение свободы не всегда используется в качестве самой крайней меры.</w:t>
      </w:r>
    </w:p>
    <w:p w:rsidR="00000000" w:rsidRDefault="00000000"/>
    <w:p w:rsidR="00000000" w:rsidRDefault="00000000">
      <w:pPr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полностью привести свою систему ювенальной юстиции в соответствие с Конвенцией, в частности ее статьями 37, 40 и 39, и с другими стандартами Организации Объединенных Наций в области отправления правосудия в отношении совершеннолетних, включая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руководящие принципы Организации Объединенных Наций для предупреждения преступности среди несовершеннолетних (Эр-Риядские руководящие принципы), правила Организации Объединенных Наций по защите несовершеннолетних, лишенных свободы, и Венские руководящие принципы действий в отношении детей, находящихся в системе ювенальной юстиции;  и рекомендациями Комитета по итогам его однодневной общей дискуссии по вопросу об отправлении правосудия в отношении несовершеннолетних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/46, пункты 203-238).  В этой связи 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необходимые меры для обеспечения того, чтобы лица, достигшие 18-летнего возраста, лишались свободы лишь в качестве самой крайней меры и в этом случае всегда содержались отдельно от взрослых;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применение специальных процедур для всех лиц, не достигших 18-летнего возраста, в соответствии со статьей 40 и другими соответствующими статьями Конвенции;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принять срочные меры для существенного улучшения условий содержания под стражей лиц, не достигших 18-летнего возраста, в соответствии с международными стандартами;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любые заявления, полученные в результате насилия или принуждения, не могли использоваться в качестве доказательств в любых разбирательствах;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  <w:t>обеспечить для лишенных свободы несовершеннолетних прохождение полного курса школьного обучения (включая физвоспитание);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обеспечить подготовку специалистов в области реабилитации и социальной реинтеграции детей;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запросить техническую помощь у Межучрежденческой группы Организации Объединенных Наций по вопросам правосудия в отношении несовершеннолетних и ЮНИСЕФ.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Факультативные протоколы к Конвенции о правах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t>71.</w:t>
      </w:r>
      <w:r>
        <w:tab/>
      </w:r>
      <w:r>
        <w:rPr>
          <w:b/>
          <w:bCs/>
        </w:rPr>
        <w:t>Приветствуя ратификацию двух факультативных протоколов к Конвенции, Комитет напоминает государству-участнику о его обязательствах по представлению докладов и предлагает ему представить оба первоначальных доклада одновременно, с тем чтобы облегчить их рассмотрение Комитетом.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Последующие меры и распространение информации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Последующие меры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осуществления настоящих рекомендаций, в частности путем их препровождения членам народного совета, парламента и окружных и муниципальных народных советов для надлежащего рассмотрения и принятия последующих мер.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Распространение документации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также рекомендует обеспечить широкое распространение первоначального доклада, представленного государством-участником, и настоящих рекомендаций (заключительных замечаний) на соответствующих языках, в том числе (но не исключительно) через Интернет, среди широкой общественности, организаций гражданского общества, молодежных групп и детей в целях стимулирования обсуждения и повышения уровня информированности о Конвенции, ее осуществлении и контроле за ее соблюдением.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  <w:t>Следующий доклад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t>74.</w:t>
      </w:r>
      <w:r>
        <w:tab/>
      </w:r>
      <w:r>
        <w:rPr>
          <w:b/>
          <w:bCs/>
        </w:rPr>
        <w:t xml:space="preserve">Комитет предлагает государству-участнику представить свой следующий периодический доклад до даты, предусмотренной в соответствии с Конвенцией для четвертого периодического доклада, т.е. 19 октября 2010 года.  Этот доклад должен объединять второй, третий и четвертый периодические доклады и не превышать по объему 120 страниц (см. 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/118).  Комитет ожидает, что после этого государство-участник будет представлять свои доклады через каждые пять лет, как это предусмотрено Конвенцией.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CRC/C/TKM/CO/1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CRC/C/TKM/CO/1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1FC32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0A2546E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C46FC2"/>
    <w:multiLevelType w:val="hybridMultilevel"/>
    <w:tmpl w:val="46966F60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3CB000F"/>
    <w:multiLevelType w:val="singleLevel"/>
    <w:tmpl w:val="C5EC9460"/>
    <w:lvl w:ilvl="0">
      <w:start w:val="1"/>
      <w:numFmt w:val="bullet"/>
      <w:pStyle w:val="BodyTex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16433FD3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75331A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1A6429"/>
    <w:multiLevelType w:val="hybridMultilevel"/>
    <w:tmpl w:val="46966F60"/>
    <w:lvl w:ilvl="0" w:tplc="3A6A81EE">
      <w:start w:val="1"/>
      <w:numFmt w:val="bullet"/>
      <w:lvlText w:val=""/>
      <w:lvlJc w:val="left"/>
      <w:pPr>
        <w:tabs>
          <w:tab w:val="num" w:pos="1287"/>
        </w:tabs>
        <w:ind w:left="1287" w:hanging="56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1D25E1B"/>
    <w:multiLevelType w:val="hybridMultilevel"/>
    <w:tmpl w:val="19343B1C"/>
    <w:lvl w:ilvl="0" w:tplc="3A6A81EE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2D713F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212A7E"/>
    <w:multiLevelType w:val="hybridMultilevel"/>
    <w:tmpl w:val="A100165A"/>
    <w:lvl w:ilvl="0" w:tplc="83E42CA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A81EE">
      <w:start w:val="1"/>
      <w:numFmt w:val="bullet"/>
      <w:lvlText w:val=""/>
      <w:lvlJc w:val="left"/>
      <w:pPr>
        <w:tabs>
          <w:tab w:val="num" w:pos="2547"/>
        </w:tabs>
        <w:ind w:left="2547" w:hanging="567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B926ED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DD0F54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1FE289DA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6544D8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ED4BE3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3C261B"/>
    <w:multiLevelType w:val="hybridMultilevel"/>
    <w:tmpl w:val="C1FA0A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6A81EE">
      <w:start w:val="1"/>
      <w:numFmt w:val="bullet"/>
      <w:lvlText w:val="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2A622A"/>
    <w:multiLevelType w:val="hybridMultilevel"/>
    <w:tmpl w:val="78FAA906"/>
    <w:lvl w:ilvl="0" w:tplc="3A6A81EE">
      <w:start w:val="1"/>
      <w:numFmt w:val="bullet"/>
      <w:lvlText w:val=""/>
      <w:lvlJc w:val="left"/>
      <w:pPr>
        <w:tabs>
          <w:tab w:val="num" w:pos="2214"/>
        </w:tabs>
        <w:ind w:left="221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5A9D7645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D94E12"/>
    <w:multiLevelType w:val="hybridMultilevel"/>
    <w:tmpl w:val="5D7265EC"/>
    <w:lvl w:ilvl="0" w:tplc="3A6A81EE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1FE289DA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7B626D"/>
    <w:multiLevelType w:val="hybridMultilevel"/>
    <w:tmpl w:val="5D7265EC"/>
    <w:lvl w:ilvl="0" w:tplc="8F74DAC8">
      <w:start w:val="1"/>
      <w:numFmt w:val="decimal"/>
      <w:lvlText w:val="%1."/>
      <w:lvlJc w:val="left"/>
      <w:pPr>
        <w:tabs>
          <w:tab w:val="num" w:pos="1040"/>
        </w:tabs>
        <w:ind w:left="360" w:firstLine="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3A6A81EE">
      <w:start w:val="1"/>
      <w:numFmt w:val="bullet"/>
      <w:lvlText w:val=""/>
      <w:lvlJc w:val="left"/>
      <w:pPr>
        <w:tabs>
          <w:tab w:val="num" w:pos="1767"/>
        </w:tabs>
        <w:ind w:left="17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18"/>
  </w:num>
  <w:num w:numId="5">
    <w:abstractNumId w:val="9"/>
  </w:num>
  <w:num w:numId="6">
    <w:abstractNumId w:val="2"/>
  </w:num>
  <w:num w:numId="7">
    <w:abstractNumId w:val="17"/>
  </w:num>
  <w:num w:numId="8">
    <w:abstractNumId w:val="11"/>
  </w:num>
  <w:num w:numId="9">
    <w:abstractNumId w:val="12"/>
  </w:num>
  <w:num w:numId="10">
    <w:abstractNumId w:val="15"/>
  </w:num>
  <w:num w:numId="11">
    <w:abstractNumId w:val="16"/>
  </w:num>
  <w:num w:numId="12">
    <w:abstractNumId w:val="1"/>
  </w:num>
  <w:num w:numId="13">
    <w:abstractNumId w:val="8"/>
  </w:num>
  <w:num w:numId="14">
    <w:abstractNumId w:val="7"/>
  </w:num>
  <w:num w:numId="15">
    <w:abstractNumId w:val="4"/>
  </w:num>
  <w:num w:numId="16">
    <w:abstractNumId w:val="10"/>
  </w:num>
  <w:num w:numId="17">
    <w:abstractNumId w:val="5"/>
  </w:num>
  <w:num w:numId="18">
    <w:abstractNumId w:val="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240" w:line="240" w:lineRule="auto"/>
    </w:pPr>
    <w:rPr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6583</Words>
  <Characters>37524</Characters>
  <Application>Microsoft Office Word</Application>
  <DocSecurity>4</DocSecurity>
  <Lines>312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0642493.doc</vt:lpstr>
    </vt:vector>
  </TitlesOfParts>
  <Company> </Company>
  <LinksUpToDate>false</LinksUpToDate>
  <CharactersWithSpaces>46082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0642493.doc</dc:title>
  <dc:subject/>
  <dc:creator>Smirnova</dc:creator>
  <cp:keywords/>
  <dc:description/>
  <cp:lastModifiedBy>Smirnova</cp:lastModifiedBy>
  <cp:revision>3</cp:revision>
  <cp:lastPrinted>2006-06-16T05:17:00Z</cp:lastPrinted>
  <dcterms:created xsi:type="dcterms:W3CDTF">2006-06-16T05:17:00Z</dcterms:created>
  <dcterms:modified xsi:type="dcterms:W3CDTF">2006-06-16T05:17:00Z</dcterms:modified>
</cp:coreProperties>
</file>