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EF60E6">
        <w:trPr>
          <w:trHeight w:val="851"/>
        </w:trPr>
        <w:tc>
          <w:tcPr>
            <w:tcW w:w="1259" w:type="dxa"/>
            <w:tcBorders>
              <w:top w:val="nil"/>
              <w:left w:val="nil"/>
              <w:bottom w:val="single" w:sz="4" w:space="0" w:color="auto"/>
              <w:right w:val="nil"/>
            </w:tcBorders>
          </w:tcPr>
          <w:p w:rsidR="00EF60E6" w:rsidRDefault="00EF60E6">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EF60E6" w:rsidRDefault="00EF60E6">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F60E6" w:rsidRDefault="00724896" w:rsidP="00724896">
            <w:pPr>
              <w:suppressAutoHyphens w:val="0"/>
              <w:spacing w:after="20"/>
              <w:jc w:val="right"/>
            </w:pPr>
            <w:r w:rsidRPr="00724896">
              <w:rPr>
                <w:sz w:val="40"/>
              </w:rPr>
              <w:t>A</w:t>
            </w:r>
            <w:r>
              <w:t>/HRC/RES/25/36</w:t>
            </w:r>
          </w:p>
        </w:tc>
      </w:tr>
      <w:tr w:rsidR="00EF60E6">
        <w:trPr>
          <w:trHeight w:val="2835"/>
        </w:trPr>
        <w:tc>
          <w:tcPr>
            <w:tcW w:w="1259" w:type="dxa"/>
            <w:tcBorders>
              <w:top w:val="single" w:sz="4" w:space="0" w:color="auto"/>
              <w:left w:val="nil"/>
              <w:bottom w:val="single" w:sz="12" w:space="0" w:color="auto"/>
              <w:right w:val="nil"/>
            </w:tcBorders>
          </w:tcPr>
          <w:p w:rsidR="00EF60E6" w:rsidRDefault="00EF60E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EF60E6" w:rsidRDefault="00EF60E6">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724896" w:rsidRDefault="00724896" w:rsidP="00724896">
            <w:pPr>
              <w:suppressAutoHyphens w:val="0"/>
              <w:spacing w:before="240" w:line="240" w:lineRule="exact"/>
            </w:pPr>
            <w:r>
              <w:t>Distr.: General</w:t>
            </w:r>
          </w:p>
          <w:p w:rsidR="00724896" w:rsidRDefault="00724896" w:rsidP="00724896">
            <w:pPr>
              <w:suppressAutoHyphens w:val="0"/>
            </w:pPr>
            <w:r>
              <w:t>15 April 2014</w:t>
            </w:r>
          </w:p>
          <w:p w:rsidR="00724896" w:rsidRDefault="00724896" w:rsidP="00724896">
            <w:pPr>
              <w:suppressAutoHyphens w:val="0"/>
            </w:pPr>
            <w:r>
              <w:t>English</w:t>
            </w:r>
          </w:p>
          <w:p w:rsidR="00EF60E6" w:rsidRDefault="00724896" w:rsidP="00724896">
            <w:pPr>
              <w:suppressAutoHyphens w:val="0"/>
            </w:pPr>
            <w:r>
              <w:t>Original: French</w:t>
            </w:r>
          </w:p>
        </w:tc>
      </w:tr>
    </w:tbl>
    <w:p w:rsidR="00724896" w:rsidRPr="00AC5D9B" w:rsidRDefault="00724896">
      <w:pPr>
        <w:spacing w:before="120"/>
        <w:rPr>
          <w:b/>
          <w:sz w:val="24"/>
          <w:szCs w:val="24"/>
        </w:rPr>
      </w:pPr>
      <w:r>
        <w:rPr>
          <w:b/>
          <w:sz w:val="24"/>
          <w:szCs w:val="24"/>
        </w:rPr>
        <w:t>Human Rights Council</w:t>
      </w:r>
    </w:p>
    <w:p w:rsidR="00EF60E6" w:rsidRDefault="00724896">
      <w:pPr>
        <w:rPr>
          <w:b/>
        </w:rPr>
      </w:pPr>
      <w:r>
        <w:rPr>
          <w:b/>
        </w:rPr>
        <w:t>Twenty-fifth session</w:t>
      </w:r>
    </w:p>
    <w:p w:rsidR="00724896" w:rsidRDefault="00724896">
      <w:r>
        <w:t>Agenda item 10</w:t>
      </w:r>
    </w:p>
    <w:p w:rsidR="00724896" w:rsidRDefault="00724896">
      <w:pPr>
        <w:rPr>
          <w:b/>
        </w:rPr>
      </w:pPr>
      <w:r>
        <w:rPr>
          <w:b/>
        </w:rPr>
        <w:t>Technical assistance and capacity-building</w:t>
      </w:r>
    </w:p>
    <w:p w:rsidR="006A1004" w:rsidRPr="006A1004" w:rsidRDefault="006A1004" w:rsidP="006A1004">
      <w:pPr>
        <w:pStyle w:val="H23G"/>
      </w:pPr>
      <w:r w:rsidRPr="006A1004">
        <w:tab/>
      </w:r>
      <w:r w:rsidRPr="006A1004">
        <w:tab/>
        <w:t>Resolution adopted by the Human Rights Council</w:t>
      </w:r>
    </w:p>
    <w:p w:rsidR="006A1004" w:rsidRPr="006A1004" w:rsidRDefault="006A1004" w:rsidP="006A1004">
      <w:pPr>
        <w:pStyle w:val="H1G"/>
      </w:pPr>
      <w:r>
        <w:tab/>
      </w:r>
      <w:r>
        <w:tab/>
        <w:t>25/36</w:t>
      </w:r>
      <w:r w:rsidRPr="006A1004">
        <w:br/>
        <w:t xml:space="preserve">Assistance to the </w:t>
      </w:r>
      <w:smartTag w:uri="urn:schemas-microsoft-com:office:smarttags" w:element="place">
        <w:smartTag w:uri="urn:schemas-microsoft-com:office:smarttags" w:element="PlaceType">
          <w:r w:rsidRPr="006A1004">
            <w:t>Republic</w:t>
          </w:r>
        </w:smartTag>
        <w:r w:rsidRPr="006A1004">
          <w:t xml:space="preserve"> of </w:t>
        </w:r>
        <w:smartTag w:uri="urn:schemas-microsoft-com:office:smarttags" w:element="PlaceName">
          <w:r w:rsidRPr="006A1004">
            <w:t>Mali</w:t>
          </w:r>
        </w:smartTag>
      </w:smartTag>
      <w:r w:rsidRPr="006A1004">
        <w:t xml:space="preserve"> in the field of human rights </w:t>
      </w:r>
    </w:p>
    <w:p w:rsidR="006A1004" w:rsidRPr="006A1004" w:rsidRDefault="006A1004" w:rsidP="006A1004">
      <w:pPr>
        <w:pStyle w:val="SingleTxtG"/>
        <w:ind w:firstLine="567"/>
      </w:pPr>
      <w:r w:rsidRPr="006A1004">
        <w:rPr>
          <w:i/>
        </w:rPr>
        <w:t>The Human Rights Council</w:t>
      </w:r>
      <w:r w:rsidRPr="006A1004">
        <w:t>,</w:t>
      </w:r>
    </w:p>
    <w:p w:rsidR="006A1004" w:rsidRPr="006A1004" w:rsidRDefault="006A1004" w:rsidP="006A1004">
      <w:pPr>
        <w:pStyle w:val="SingleTxtG"/>
        <w:ind w:firstLine="567"/>
      </w:pPr>
      <w:r w:rsidRPr="006A1004">
        <w:rPr>
          <w:i/>
        </w:rPr>
        <w:t>Guided</w:t>
      </w:r>
      <w:r w:rsidRPr="006A1004">
        <w:t xml:space="preserve"> by the Charter of the United Nations, the Universal Declaration of Human Rights and other relevant international human rights instruments,</w:t>
      </w:r>
    </w:p>
    <w:p w:rsidR="006A1004" w:rsidRPr="006A1004" w:rsidRDefault="006A1004" w:rsidP="006A1004">
      <w:pPr>
        <w:pStyle w:val="SingleTxtG"/>
        <w:ind w:firstLine="567"/>
      </w:pPr>
      <w:r w:rsidRPr="006A1004">
        <w:rPr>
          <w:i/>
        </w:rPr>
        <w:t>Recalling</w:t>
      </w:r>
      <w:r w:rsidRPr="006A1004">
        <w:t xml:space="preserve"> General Assembly resolution 60/251 of 15 March 2006 and Human Rights Council resolutions 5/1 and 5/2 of 18 June 2007, 20/17 of 6 July 2012, 21/25 of 28 September 2012 and 22/18 of 21 March 2013,</w:t>
      </w:r>
    </w:p>
    <w:p w:rsidR="006A1004" w:rsidRPr="006A1004" w:rsidRDefault="006A1004" w:rsidP="006A1004">
      <w:pPr>
        <w:pStyle w:val="SingleTxtG"/>
        <w:ind w:firstLine="567"/>
      </w:pPr>
      <w:r w:rsidRPr="006A1004">
        <w:rPr>
          <w:i/>
        </w:rPr>
        <w:t>Recalling also</w:t>
      </w:r>
      <w:r w:rsidRPr="006A1004">
        <w:t xml:space="preserve"> Security Council resolutions 2085 (2012) of 20 December 2012 and 2100 (2013) of 25 April 2013,</w:t>
      </w:r>
    </w:p>
    <w:p w:rsidR="006A1004" w:rsidRPr="006A1004" w:rsidRDefault="006A1004" w:rsidP="006A1004">
      <w:pPr>
        <w:pStyle w:val="SingleTxtG"/>
        <w:ind w:firstLine="567"/>
      </w:pPr>
      <w:r w:rsidRPr="006A1004">
        <w:rPr>
          <w:i/>
        </w:rPr>
        <w:t>Reaffirming</w:t>
      </w:r>
      <w:r w:rsidRPr="006A1004">
        <w:t xml:space="preserve"> that all States have an obligation to promote and protect the human rights and fundamental freedoms enshrined in the Charter, the Universal Declaration of Human Rights, the International Covenants on Human Rights and other relevant human rights instruments to which they are parties,</w:t>
      </w:r>
    </w:p>
    <w:p w:rsidR="006A1004" w:rsidRPr="006A1004" w:rsidRDefault="006A1004" w:rsidP="006A1004">
      <w:pPr>
        <w:pStyle w:val="SingleTxtG"/>
        <w:ind w:firstLine="567"/>
      </w:pPr>
      <w:r w:rsidRPr="006A1004">
        <w:rPr>
          <w:i/>
        </w:rPr>
        <w:t>Reaffirming also</w:t>
      </w:r>
      <w:r w:rsidRPr="006A1004">
        <w:t xml:space="preserve"> its commitment to the sovereignty, independence, unity and territorial integrity of the </w:t>
      </w:r>
      <w:smartTag w:uri="urn:schemas-microsoft-com:office:smarttags" w:element="place">
        <w:smartTag w:uri="urn:schemas-microsoft-com:office:smarttags" w:element="PlaceType">
          <w:r w:rsidRPr="006A1004">
            <w:t>Republic</w:t>
          </w:r>
        </w:smartTag>
        <w:r w:rsidRPr="006A1004">
          <w:t xml:space="preserve"> of </w:t>
        </w:r>
        <w:smartTag w:uri="urn:schemas-microsoft-com:office:smarttags" w:element="PlaceName">
          <w:r w:rsidRPr="006A1004">
            <w:t>Mali</w:t>
          </w:r>
        </w:smartTag>
      </w:smartTag>
      <w:r w:rsidRPr="006A1004">
        <w:t>,</w:t>
      </w:r>
    </w:p>
    <w:p w:rsidR="006A1004" w:rsidRPr="006A1004" w:rsidRDefault="006A1004" w:rsidP="006A1004">
      <w:pPr>
        <w:pStyle w:val="SingleTxtG"/>
        <w:ind w:firstLine="567"/>
      </w:pPr>
      <w:r w:rsidRPr="006A1004">
        <w:rPr>
          <w:i/>
        </w:rPr>
        <w:t>Taking note</w:t>
      </w:r>
      <w:r w:rsidRPr="006A1004">
        <w:t xml:space="preserve"> of the report of the Independent Expert on the situation of human rights in </w:t>
      </w:r>
      <w:smartTag w:uri="urn:schemas-microsoft-com:office:smarttags" w:element="country-region">
        <w:smartTag w:uri="urn:schemas-microsoft-com:office:smarttags" w:element="place">
          <w:r w:rsidRPr="006A1004">
            <w:t>Mali</w:t>
          </w:r>
        </w:smartTag>
      </w:smartTag>
      <w:r w:rsidRPr="006A1004">
        <w:t>,</w:t>
      </w:r>
      <w:r>
        <w:rPr>
          <w:rStyle w:val="FootnoteReference"/>
        </w:rPr>
        <w:footnoteReference w:id="2"/>
      </w:r>
    </w:p>
    <w:p w:rsidR="006A1004" w:rsidRPr="006A1004" w:rsidRDefault="006A1004" w:rsidP="006A1004">
      <w:pPr>
        <w:pStyle w:val="SingleTxtG"/>
        <w:ind w:firstLine="567"/>
      </w:pPr>
      <w:r w:rsidRPr="006A1004">
        <w:rPr>
          <w:i/>
        </w:rPr>
        <w:t>Welcoming</w:t>
      </w:r>
      <w:r w:rsidRPr="006A1004">
        <w:t xml:space="preserve"> the commitment of the authorities of </w:t>
      </w:r>
      <w:smartTag w:uri="urn:schemas-microsoft-com:office:smarttags" w:element="place">
        <w:smartTag w:uri="urn:schemas-microsoft-com:office:smarttags" w:element="country-region">
          <w:r w:rsidRPr="006A1004">
            <w:t>Mali</w:t>
          </w:r>
        </w:smartTag>
      </w:smartTag>
      <w:r w:rsidRPr="006A1004">
        <w:t xml:space="preserve"> to restore the rule of law and firmly combat impunity,</w:t>
      </w:r>
    </w:p>
    <w:p w:rsidR="006A1004" w:rsidRPr="006A1004" w:rsidRDefault="006A1004" w:rsidP="006A1004">
      <w:pPr>
        <w:pStyle w:val="SingleTxtG"/>
        <w:ind w:firstLine="567"/>
      </w:pPr>
      <w:r w:rsidRPr="006A1004">
        <w:t>1.</w:t>
      </w:r>
      <w:r w:rsidRPr="006A1004">
        <w:tab/>
      </w:r>
      <w:r w:rsidRPr="006A1004">
        <w:rPr>
          <w:i/>
        </w:rPr>
        <w:t>Welcomes</w:t>
      </w:r>
      <w:r w:rsidRPr="006A1004">
        <w:t xml:space="preserve"> the full return to constitutional order and significant improvement in the security situation in Mali which were made possible by the coordinated action to support the efforts of the authorities of Mali taken by the international community through the deployment of the United Nations Multidimensional Integrated Stabilization Mission in Mali;</w:t>
      </w:r>
    </w:p>
    <w:p w:rsidR="006A1004" w:rsidRPr="006A1004" w:rsidRDefault="006A1004" w:rsidP="006A1004">
      <w:pPr>
        <w:pStyle w:val="SingleTxtG"/>
        <w:spacing w:after="80"/>
        <w:ind w:firstLine="567"/>
      </w:pPr>
      <w:r w:rsidRPr="006A1004">
        <w:t>2.</w:t>
      </w:r>
      <w:r w:rsidRPr="006A1004">
        <w:tab/>
      </w:r>
      <w:r w:rsidRPr="006A1004">
        <w:rPr>
          <w:i/>
        </w:rPr>
        <w:t>Reiterates</w:t>
      </w:r>
      <w:r w:rsidRPr="006A1004">
        <w:t xml:space="preserve"> its concern over the human rights violations and abuses and violations of international humanitarian rights law committed in the Republic of Mali since 2012, which include summary executions, enforced disappearances, violence against women and children, the recruitment and use of child soldiers, attacks on schools, hospitals and cultural and religious sites, looting, arbitrary arrests and detentions and torture and cruel, inhuman or degrading treatment perpetrated in particular by armed groups;</w:t>
      </w:r>
    </w:p>
    <w:p w:rsidR="006A1004" w:rsidRPr="006A1004" w:rsidRDefault="006A1004" w:rsidP="006A1004">
      <w:pPr>
        <w:pStyle w:val="SingleTxtG"/>
        <w:spacing w:after="80"/>
        <w:ind w:firstLine="567"/>
      </w:pPr>
      <w:r w:rsidRPr="006A1004">
        <w:t>3.</w:t>
      </w:r>
      <w:r w:rsidRPr="006A1004">
        <w:tab/>
      </w:r>
      <w:r w:rsidRPr="006A1004">
        <w:rPr>
          <w:i/>
        </w:rPr>
        <w:t>Commends</w:t>
      </w:r>
      <w:r w:rsidRPr="006A1004">
        <w:t xml:space="preserve"> the action undertaken by the Government of Mali to bring all perpetrators of such acts before impartial and independent courts regardless of their status or function;</w:t>
      </w:r>
    </w:p>
    <w:p w:rsidR="006A1004" w:rsidRPr="006A1004" w:rsidRDefault="006A1004" w:rsidP="006A1004">
      <w:pPr>
        <w:pStyle w:val="SingleTxtG"/>
        <w:spacing w:after="80"/>
        <w:ind w:firstLine="567"/>
      </w:pPr>
      <w:r w:rsidRPr="006A1004">
        <w:t>4.</w:t>
      </w:r>
      <w:r w:rsidRPr="006A1004">
        <w:tab/>
      </w:r>
      <w:r w:rsidRPr="006A1004">
        <w:rPr>
          <w:i/>
        </w:rPr>
        <w:t>Welcomes</w:t>
      </w:r>
      <w:r w:rsidRPr="006A1004">
        <w:t xml:space="preserve"> the establishment in </w:t>
      </w:r>
      <w:smartTag w:uri="urn:schemas-microsoft-com:office:smarttags" w:element="country-region">
        <w:r w:rsidRPr="006A1004">
          <w:t>Mali</w:t>
        </w:r>
      </w:smartTag>
      <w:r w:rsidRPr="006A1004">
        <w:t xml:space="preserve"> of a Ministry for National Reconciliation, commends the commitment of the authorities of </w:t>
      </w:r>
      <w:smartTag w:uri="urn:schemas-microsoft-com:office:smarttags" w:element="place">
        <w:smartTag w:uri="urn:schemas-microsoft-com:office:smarttags" w:element="country-region">
          <w:r w:rsidRPr="006A1004">
            <w:t>Mali</w:t>
          </w:r>
        </w:smartTag>
      </w:smartTag>
      <w:r w:rsidRPr="006A1004">
        <w:t xml:space="preserve"> to expand the mandate of the Dialogue and Reconciliation Commission to include a truth and justice component, and encourages the Commission to set up a workplan to facilitate rapid progress;</w:t>
      </w:r>
    </w:p>
    <w:p w:rsidR="006A1004" w:rsidRPr="006A1004" w:rsidRDefault="006A1004" w:rsidP="006A1004">
      <w:pPr>
        <w:pStyle w:val="SingleTxtG"/>
        <w:spacing w:after="80"/>
        <w:ind w:firstLine="567"/>
      </w:pPr>
      <w:r w:rsidRPr="006A1004">
        <w:t>5.</w:t>
      </w:r>
      <w:r w:rsidRPr="006A1004">
        <w:tab/>
      </w:r>
      <w:r w:rsidRPr="006A1004">
        <w:rPr>
          <w:i/>
        </w:rPr>
        <w:t>Takes note</w:t>
      </w:r>
      <w:r w:rsidRPr="006A1004">
        <w:t xml:space="preserve"> of the signature of an agreement on judicial cooperation between the </w:t>
      </w:r>
      <w:smartTag w:uri="urn:schemas-microsoft-com:office:smarttags" w:element="place">
        <w:smartTag w:uri="urn:schemas-microsoft-com:office:smarttags" w:element="PlaceType">
          <w:r w:rsidRPr="006A1004">
            <w:t>Republic</w:t>
          </w:r>
        </w:smartTag>
        <w:r w:rsidRPr="006A1004">
          <w:t xml:space="preserve"> of </w:t>
        </w:r>
        <w:smartTag w:uri="urn:schemas-microsoft-com:office:smarttags" w:element="PlaceName">
          <w:r w:rsidRPr="006A1004">
            <w:t>Mali</w:t>
          </w:r>
        </w:smartTag>
      </w:smartTag>
      <w:r w:rsidRPr="006A1004">
        <w:t xml:space="preserve"> and the International Criminal Court;</w:t>
      </w:r>
    </w:p>
    <w:p w:rsidR="006A1004" w:rsidRPr="006A1004" w:rsidRDefault="006A1004" w:rsidP="006A1004">
      <w:pPr>
        <w:pStyle w:val="SingleTxtG"/>
        <w:spacing w:after="80"/>
        <w:ind w:firstLine="567"/>
      </w:pPr>
      <w:r w:rsidRPr="006A1004">
        <w:t>6.</w:t>
      </w:r>
      <w:r w:rsidRPr="006A1004">
        <w:tab/>
      </w:r>
      <w:r w:rsidRPr="006A1004">
        <w:rPr>
          <w:i/>
        </w:rPr>
        <w:t>Welcomes</w:t>
      </w:r>
      <w:r w:rsidRPr="006A1004">
        <w:t xml:space="preserve"> the good cooperation of </w:t>
      </w:r>
      <w:smartTag w:uri="urn:schemas-microsoft-com:office:smarttags" w:element="country-region">
        <w:r w:rsidRPr="006A1004">
          <w:t>Mali</w:t>
        </w:r>
      </w:smartTag>
      <w:r w:rsidRPr="006A1004">
        <w:t xml:space="preserve"> with the Independent Expert on the situation of human rights in </w:t>
      </w:r>
      <w:smartTag w:uri="urn:schemas-microsoft-com:office:smarttags" w:element="place">
        <w:smartTag w:uri="urn:schemas-microsoft-com:office:smarttags" w:element="country-region">
          <w:r w:rsidRPr="006A1004">
            <w:t>Mali</w:t>
          </w:r>
        </w:smartTag>
      </w:smartTag>
      <w:r w:rsidRPr="006A1004">
        <w:t>;</w:t>
      </w:r>
    </w:p>
    <w:p w:rsidR="006A1004" w:rsidRPr="006A1004" w:rsidRDefault="006A1004" w:rsidP="006A1004">
      <w:pPr>
        <w:pStyle w:val="SingleTxtG"/>
        <w:spacing w:after="80"/>
        <w:ind w:firstLine="567"/>
      </w:pPr>
      <w:r w:rsidRPr="006A1004">
        <w:t>7.</w:t>
      </w:r>
      <w:r w:rsidRPr="006A1004">
        <w:tab/>
      </w:r>
      <w:r w:rsidRPr="006A1004">
        <w:rPr>
          <w:i/>
        </w:rPr>
        <w:t>Calls upon</w:t>
      </w:r>
      <w:r w:rsidRPr="006A1004">
        <w:t xml:space="preserve"> the Government of Mali to continue its efforts to protect human rights and to promote national reconciliation, including through strengthening the judiciary, developing transitional justice mechanisms and reintroducing actual State services throughout the country;</w:t>
      </w:r>
    </w:p>
    <w:p w:rsidR="006A1004" w:rsidRPr="006A1004" w:rsidRDefault="006A1004" w:rsidP="006A1004">
      <w:pPr>
        <w:pStyle w:val="SingleTxtG"/>
        <w:spacing w:after="80"/>
        <w:ind w:firstLine="567"/>
      </w:pPr>
      <w:r w:rsidRPr="006A1004">
        <w:t>8.</w:t>
      </w:r>
      <w:r w:rsidRPr="006A1004">
        <w:tab/>
      </w:r>
      <w:r w:rsidRPr="006A1004">
        <w:rPr>
          <w:i/>
        </w:rPr>
        <w:t>Reiterates</w:t>
      </w:r>
      <w:r w:rsidRPr="006A1004">
        <w:t xml:space="preserve"> it</w:t>
      </w:r>
      <w:r w:rsidR="004429B5">
        <w:t>s</w:t>
      </w:r>
      <w:r w:rsidRPr="006A1004">
        <w:t xml:space="preserve"> call for women</w:t>
      </w:r>
      <w:r w:rsidR="004429B5">
        <w:t>’</w:t>
      </w:r>
      <w:r w:rsidRPr="006A1004">
        <w:t>s full participation in the process of reconciliation, in accordance with the relevant resolutions of the Security Council;</w:t>
      </w:r>
    </w:p>
    <w:p w:rsidR="006A1004" w:rsidRPr="006A1004" w:rsidRDefault="006A1004" w:rsidP="006A1004">
      <w:pPr>
        <w:pStyle w:val="SingleTxtG"/>
        <w:spacing w:after="80"/>
        <w:ind w:firstLine="567"/>
      </w:pPr>
      <w:r w:rsidRPr="006A1004">
        <w:t>9.</w:t>
      </w:r>
      <w:r w:rsidRPr="006A1004">
        <w:tab/>
      </w:r>
      <w:r w:rsidRPr="006A1004">
        <w:rPr>
          <w:i/>
        </w:rPr>
        <w:t>Urges</w:t>
      </w:r>
      <w:r w:rsidRPr="006A1004">
        <w:t xml:space="preserve"> the international community to continue to provide, in consultation with the Government of Mali and the neighbouring countries concerned, appropriate and secure humanitarian assistance to refugees and displaced persons in order to encourage the voluntary return of such persons to their place of origin;</w:t>
      </w:r>
    </w:p>
    <w:p w:rsidR="006A1004" w:rsidRPr="006A1004" w:rsidRDefault="006A1004" w:rsidP="006A1004">
      <w:pPr>
        <w:pStyle w:val="SingleTxtG"/>
        <w:spacing w:after="80"/>
        <w:ind w:firstLine="567"/>
      </w:pPr>
      <w:r w:rsidRPr="006A1004">
        <w:t>10.</w:t>
      </w:r>
      <w:r w:rsidRPr="006A1004">
        <w:tab/>
      </w:r>
      <w:r w:rsidRPr="006A1004">
        <w:rPr>
          <w:i/>
        </w:rPr>
        <w:t>Decides</w:t>
      </w:r>
      <w:r w:rsidRPr="006A1004">
        <w:t xml:space="preserve"> to extend the mandate of the Independent Expert on the situation of human rights in </w:t>
      </w:r>
      <w:smartTag w:uri="urn:schemas-microsoft-com:office:smarttags" w:element="place">
        <w:smartTag w:uri="urn:schemas-microsoft-com:office:smarttags" w:element="country-region">
          <w:r w:rsidRPr="006A1004">
            <w:t>Mali</w:t>
          </w:r>
        </w:smartTag>
      </w:smartTag>
      <w:r w:rsidRPr="006A1004">
        <w:t xml:space="preserve"> for one year with a view to assisting the Government of Mali in its efforts to promote and protect human rights;</w:t>
      </w:r>
    </w:p>
    <w:p w:rsidR="006A1004" w:rsidRPr="006A1004" w:rsidRDefault="006A1004" w:rsidP="006A1004">
      <w:pPr>
        <w:pStyle w:val="SingleTxtG"/>
        <w:spacing w:after="80"/>
        <w:ind w:firstLine="567"/>
      </w:pPr>
      <w:r w:rsidRPr="006A1004">
        <w:t>11.</w:t>
      </w:r>
      <w:r w:rsidRPr="006A1004">
        <w:tab/>
      </w:r>
      <w:r w:rsidRPr="006A1004">
        <w:rPr>
          <w:i/>
        </w:rPr>
        <w:t>Requests</w:t>
      </w:r>
      <w:r w:rsidRPr="006A1004">
        <w:t xml:space="preserve"> the Independent Expert to work closely with all entities of the United Nations, the African Union and the Economic Community of West African States, and with all other international organizations concerned and Malian civil society, and to report to the Human Rights Council at its twenty-eighth session;</w:t>
      </w:r>
    </w:p>
    <w:p w:rsidR="006A1004" w:rsidRPr="006A1004" w:rsidRDefault="006A1004" w:rsidP="006A1004">
      <w:pPr>
        <w:pStyle w:val="SingleTxtG"/>
        <w:spacing w:after="80"/>
        <w:ind w:firstLine="567"/>
      </w:pPr>
      <w:r w:rsidRPr="006A1004">
        <w:t>12.</w:t>
      </w:r>
      <w:r w:rsidRPr="006A1004">
        <w:tab/>
      </w:r>
      <w:r w:rsidRPr="006A1004">
        <w:rPr>
          <w:i/>
        </w:rPr>
        <w:t>Requests</w:t>
      </w:r>
      <w:r w:rsidRPr="006A1004">
        <w:t xml:space="preserve"> the Secretary-General and the United Nations High Commissioner for Human Rights to provide the Independent Expert with all the assistance necessary to enable him or her to fully discharge his or her mandate;</w:t>
      </w:r>
    </w:p>
    <w:p w:rsidR="006A1004" w:rsidRPr="006A1004" w:rsidRDefault="006A1004" w:rsidP="006A1004">
      <w:pPr>
        <w:pStyle w:val="SingleTxtG"/>
        <w:spacing w:after="80"/>
        <w:ind w:firstLine="567"/>
      </w:pPr>
      <w:r w:rsidRPr="006A1004">
        <w:t>13.</w:t>
      </w:r>
      <w:r w:rsidRPr="006A1004">
        <w:tab/>
      </w:r>
      <w:r w:rsidRPr="006A1004">
        <w:rPr>
          <w:i/>
        </w:rPr>
        <w:t>Encourages</w:t>
      </w:r>
      <w:r w:rsidRPr="006A1004">
        <w:t xml:space="preserve"> the States Members of the United Nations, within the framework of their international cooperation activities, the relevant United Nations agencies, international financial institutions and all other relevant international organizations to provide technical and capacity-building assistance with a view to promoting respect for human rights and introducing judicial reforms;</w:t>
      </w:r>
    </w:p>
    <w:p w:rsidR="006A1004" w:rsidRPr="006A1004" w:rsidRDefault="006A1004" w:rsidP="006A1004">
      <w:pPr>
        <w:pStyle w:val="SingleTxtG"/>
        <w:spacing w:after="80"/>
        <w:ind w:firstLine="567"/>
      </w:pPr>
      <w:r w:rsidRPr="006A1004">
        <w:t>14.</w:t>
      </w:r>
      <w:r w:rsidRPr="006A1004">
        <w:tab/>
      </w:r>
      <w:r w:rsidRPr="006A1004">
        <w:rPr>
          <w:i/>
        </w:rPr>
        <w:t>Decides</w:t>
      </w:r>
      <w:r w:rsidRPr="006A1004">
        <w:t xml:space="preserve"> to remain seized of this matter.</w:t>
      </w:r>
    </w:p>
    <w:p w:rsidR="006A1004" w:rsidRPr="006A1004" w:rsidRDefault="006A1004" w:rsidP="006A1004">
      <w:pPr>
        <w:pStyle w:val="SingleTxtG"/>
        <w:spacing w:after="0"/>
        <w:jc w:val="right"/>
        <w:rPr>
          <w:i/>
        </w:rPr>
      </w:pPr>
      <w:r w:rsidRPr="006A1004">
        <w:rPr>
          <w:i/>
        </w:rPr>
        <w:t>56th meeting</w:t>
      </w:r>
    </w:p>
    <w:p w:rsidR="006A1004" w:rsidRPr="006A1004" w:rsidRDefault="006A1004" w:rsidP="006A1004">
      <w:pPr>
        <w:pStyle w:val="SingleTxtG"/>
        <w:jc w:val="right"/>
        <w:rPr>
          <w:i/>
        </w:rPr>
      </w:pPr>
      <w:r w:rsidRPr="006A1004">
        <w:rPr>
          <w:i/>
        </w:rPr>
        <w:t>28 March 2014</w:t>
      </w:r>
    </w:p>
    <w:p w:rsidR="006A1004" w:rsidRDefault="006A1004" w:rsidP="006A1004">
      <w:pPr>
        <w:pStyle w:val="SingleTxtG"/>
        <w:spacing w:after="80"/>
      </w:pPr>
      <w:r w:rsidRPr="006A1004">
        <w:t>[Adopted without a vote.]</w:t>
      </w:r>
    </w:p>
    <w:p w:rsidR="006A1004" w:rsidRPr="00106A43" w:rsidRDefault="006A1004" w:rsidP="006A1004">
      <w:pPr>
        <w:spacing w:before="120"/>
        <w:jc w:val="center"/>
        <w:rPr>
          <w:u w:val="single"/>
        </w:rPr>
      </w:pPr>
      <w:r>
        <w:rPr>
          <w:u w:val="single"/>
        </w:rPr>
        <w:tab/>
      </w:r>
      <w:r>
        <w:rPr>
          <w:u w:val="single"/>
        </w:rPr>
        <w:tab/>
      </w:r>
      <w:r>
        <w:rPr>
          <w:u w:val="single"/>
        </w:rPr>
        <w:tab/>
      </w:r>
    </w:p>
    <w:sectPr w:rsidR="006A1004" w:rsidRPr="00106A43" w:rsidSect="0072489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003F" w:rsidRDefault="0050003F"/>
  </w:endnote>
  <w:endnote w:type="continuationSeparator" w:id="0">
    <w:p w:rsidR="0050003F" w:rsidRDefault="0050003F"/>
  </w:endnote>
  <w:endnote w:type="continuationNotice" w:id="1">
    <w:p w:rsidR="0050003F" w:rsidRDefault="0050003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D6A" w:rsidRPr="00724896" w:rsidRDefault="00095D6A" w:rsidP="00724896">
    <w:pPr>
      <w:pStyle w:val="Footer"/>
      <w:tabs>
        <w:tab w:val="right" w:pos="9598"/>
      </w:tabs>
    </w:pPr>
    <w:r w:rsidRPr="00724896">
      <w:rPr>
        <w:b/>
        <w:sz w:val="18"/>
      </w:rPr>
      <w:fldChar w:fldCharType="begin"/>
    </w:r>
    <w:r w:rsidRPr="00724896">
      <w:rPr>
        <w:b/>
        <w:sz w:val="18"/>
      </w:rPr>
      <w:instrText xml:space="preserve"> PAGE  \* MERGEFORMAT </w:instrText>
    </w:r>
    <w:r w:rsidRPr="00724896">
      <w:rPr>
        <w:b/>
        <w:sz w:val="18"/>
      </w:rPr>
      <w:fldChar w:fldCharType="separate"/>
    </w:r>
    <w:r w:rsidR="008E4FDF">
      <w:rPr>
        <w:b/>
        <w:noProof/>
        <w:sz w:val="18"/>
      </w:rPr>
      <w:t>2</w:t>
    </w:r>
    <w:r w:rsidRPr="00724896">
      <w:rPr>
        <w:b/>
        <w:sz w:val="18"/>
      </w:rPr>
      <w:fldChar w:fldCharType="end"/>
    </w:r>
    <w:r>
      <w:rPr>
        <w:sz w:val="18"/>
      </w:rPr>
      <w:tab/>
    </w:r>
    <w:r>
      <w:t>GE.14-13568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D6A" w:rsidRPr="00724896" w:rsidRDefault="00095D6A" w:rsidP="00724896">
    <w:pPr>
      <w:pStyle w:val="Footer"/>
      <w:tabs>
        <w:tab w:val="right" w:pos="9598"/>
      </w:tabs>
      <w:rPr>
        <w:b/>
        <w:sz w:val="18"/>
      </w:rPr>
    </w:pPr>
    <w:r>
      <w:t>GE.14-13568</w:t>
    </w:r>
    <w:r>
      <w:tab/>
    </w:r>
    <w:r w:rsidRPr="00724896">
      <w:rPr>
        <w:b/>
        <w:sz w:val="18"/>
      </w:rPr>
      <w:fldChar w:fldCharType="begin"/>
    </w:r>
    <w:r w:rsidRPr="00724896">
      <w:rPr>
        <w:b/>
        <w:sz w:val="18"/>
      </w:rPr>
      <w:instrText xml:space="preserve"> PAGE  \* MERGEFORMAT </w:instrText>
    </w:r>
    <w:r w:rsidRPr="00724896">
      <w:rPr>
        <w:b/>
        <w:sz w:val="18"/>
      </w:rPr>
      <w:fldChar w:fldCharType="separate"/>
    </w:r>
    <w:r>
      <w:rPr>
        <w:b/>
        <w:noProof/>
        <w:sz w:val="18"/>
      </w:rPr>
      <w:t>3</w:t>
    </w:r>
    <w:r w:rsidRPr="0072489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D6A" w:rsidRDefault="00095D6A">
    <w:pPr>
      <w:pStyle w:val="Footer"/>
      <w:rPr>
        <w:sz w:val="20"/>
      </w:rPr>
    </w:pPr>
    <w:r>
      <w:rPr>
        <w:sz w:val="20"/>
      </w:rPr>
      <w:t>GE.14-13568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36&amp;Size=2 &amp;Lang=E"/>
          <w10:wrap anchorx="margin" anchory="margin"/>
        </v:shape>
      </w:pict>
    </w:r>
    <w:r>
      <w:rPr>
        <w:noProof/>
        <w:lang w:val="en-US"/>
      </w:rPr>
      <w:pict>
        <v:shape id="_x0000_s2052" type="#_x0000_t75" style="position:absolute;margin-left:345.8pt;margin-top:646.25pt;width:73.25pt;height:18.15pt;z-index:1;mso-position-horizontal-relative:margin;mso-position-vertical-relative:margin">
          <v:imagedata r:id="rId2" o:title="recycle_English"/>
          <w10:wrap anchorx="margin" anchory="margin"/>
          <w10:anchorlock/>
        </v:shape>
      </w:pict>
    </w:r>
    <w:r>
      <w:rPr>
        <w:sz w:val="20"/>
      </w:rPr>
      <w:t xml:space="preserve">  (E)</w:t>
    </w:r>
    <w:r w:rsidR="000C2A25">
      <w:rPr>
        <w:sz w:val="20"/>
      </w:rPr>
      <w:t xml:space="preserve">    240414    250414</w:t>
    </w:r>
  </w:p>
  <w:p w:rsidR="00095D6A" w:rsidRPr="00724896" w:rsidRDefault="00095D6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003F" w:rsidRDefault="0050003F">
      <w:pPr>
        <w:tabs>
          <w:tab w:val="right" w:pos="2155"/>
        </w:tabs>
        <w:spacing w:after="80"/>
        <w:ind w:left="680"/>
        <w:rPr>
          <w:u w:val="single"/>
        </w:rPr>
      </w:pPr>
      <w:r>
        <w:rPr>
          <w:u w:val="single"/>
        </w:rPr>
        <w:tab/>
      </w:r>
    </w:p>
  </w:footnote>
  <w:footnote w:type="continuationSeparator" w:id="0">
    <w:p w:rsidR="0050003F" w:rsidRDefault="0050003F">
      <w:pPr>
        <w:tabs>
          <w:tab w:val="left" w:pos="2155"/>
        </w:tabs>
        <w:spacing w:after="80"/>
        <w:ind w:left="680"/>
        <w:rPr>
          <w:u w:val="single"/>
        </w:rPr>
      </w:pPr>
      <w:r>
        <w:rPr>
          <w:u w:val="single"/>
        </w:rPr>
        <w:tab/>
      </w:r>
    </w:p>
  </w:footnote>
  <w:footnote w:type="continuationNotice" w:id="1">
    <w:p w:rsidR="0050003F" w:rsidRDefault="0050003F"/>
  </w:footnote>
  <w:footnote w:id="2">
    <w:p w:rsidR="00095D6A" w:rsidRDefault="00095D6A" w:rsidP="006A1004">
      <w:pPr>
        <w:pStyle w:val="FootnoteText"/>
        <w:widowControl w:val="0"/>
        <w:tabs>
          <w:tab w:val="clear" w:pos="1021"/>
          <w:tab w:val="right" w:pos="1020"/>
        </w:tabs>
      </w:pPr>
      <w:r>
        <w:tab/>
      </w:r>
      <w:r>
        <w:rPr>
          <w:rStyle w:val="FootnoteReference"/>
        </w:rPr>
        <w:footnoteRef/>
      </w:r>
      <w:r>
        <w:tab/>
      </w:r>
      <w:r w:rsidRPr="006A1004">
        <w:rPr>
          <w:rStyle w:val="Bullet1G"/>
          <w:szCs w:val="18"/>
        </w:rPr>
        <w:t>A/HRC/25/72.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D6A" w:rsidRPr="00724896" w:rsidRDefault="00095D6A" w:rsidP="00724896">
    <w:pPr>
      <w:pStyle w:val="Header"/>
    </w:pPr>
    <w:r w:rsidRPr="00724896">
      <w:t>A/HRC/RES/25/36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D6A" w:rsidRPr="00724896" w:rsidRDefault="00095D6A" w:rsidP="00724896">
    <w:pPr>
      <w:pStyle w:val="Header"/>
      <w:jc w:val="right"/>
    </w:pPr>
    <w:r w:rsidRPr="00724896">
      <w:t>A/HRC/RES/25/36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8F507AD2"/>
    <w:lvl w:ilvl="0">
      <w:start w:val="1"/>
      <w:numFmt w:val="decimal"/>
      <w:lvlText w:val="%1."/>
      <w:lvlJc w:val="left"/>
      <w:pPr>
        <w:tabs>
          <w:tab w:val="num" w:pos="1209"/>
        </w:tabs>
        <w:ind w:left="1209" w:hanging="360"/>
      </w:pPr>
    </w:lvl>
  </w:abstractNum>
  <w:abstractNum w:abstractNumId="1">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TableGrid"/>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5"/>
  </w:num>
  <w:num w:numId="4">
    <w:abstractNumId w:val="2"/>
  </w:num>
  <w:num w:numId="5">
    <w:abstractNumId w:val="1"/>
  </w:num>
  <w:num w:numId="6">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F60E6"/>
    <w:rsid w:val="00095D6A"/>
    <w:rsid w:val="000C2A25"/>
    <w:rsid w:val="000F4FCB"/>
    <w:rsid w:val="00186566"/>
    <w:rsid w:val="004429B5"/>
    <w:rsid w:val="004A28BE"/>
    <w:rsid w:val="0050003F"/>
    <w:rsid w:val="006A1004"/>
    <w:rsid w:val="00724896"/>
    <w:rsid w:val="00750C83"/>
    <w:rsid w:val="008E4FDF"/>
    <w:rsid w:val="00EF60E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5"/>
      </w:numPr>
    </w:pPr>
  </w:style>
  <w:style w:type="paragraph" w:customStyle="1" w:styleId="SingleTxtG">
    <w:name w:val="_ Single Txt_G"/>
    <w:basedOn w:val="Normal"/>
    <w:pPr>
      <w:spacing w:after="120"/>
      <w:ind w:left="1134" w:right="1134"/>
      <w:jc w:val="both"/>
    </w:pPr>
  </w:style>
  <w:style w:type="character" w:styleId="EndnoteReference">
    <w:name w:val="endnote reference"/>
    <w:aliases w:val="1_G"/>
    <w:basedOn w:val="FootnoteReference"/>
    <w:rPr>
      <w:rFonts w:ascii="Times New Roman" w:hAnsi="Times New Roman"/>
      <w:sz w:val="18"/>
    </w:rPr>
  </w:style>
  <w:style w:type="character" w:styleId="FootnoteReference">
    <w:name w:val="footnote reference"/>
    <w:aliases w:val="4_G"/>
    <w:basedOn w:val="DefaultParagraphFont"/>
    <w:rPr>
      <w:rFonts w:ascii="Times New Roman" w:hAnsi="Times New Roman"/>
      <w:sz w:val="18"/>
      <w:vertAlign w:val="superscript"/>
    </w:rPr>
  </w:style>
  <w:style w:type="paragraph" w:styleId="EndnoteText">
    <w:name w:val="endnote text"/>
    <w:aliases w:val="2_G"/>
    <w:basedOn w:val="FootnoteText"/>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Footer">
    <w:name w:val="footer"/>
    <w:aliases w:val="3_G"/>
    <w:basedOn w:val="Normal"/>
    <w:pPr>
      <w:spacing w:line="240" w:lineRule="auto"/>
    </w:pPr>
    <w:rPr>
      <w:sz w:val="1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Header">
    <w:name w:val="header"/>
    <w:aliases w:val="6_G"/>
    <w:basedOn w:val="Normal"/>
    <w:pPr>
      <w:pBdr>
        <w:bottom w:val="single" w:sz="4" w:space="4" w:color="auto"/>
      </w:pBdr>
      <w:spacing w:line="240" w:lineRule="auto"/>
    </w:pPr>
    <w:rPr>
      <w:b/>
      <w:sz w:val="18"/>
    </w:rPr>
  </w:style>
  <w:style w:type="character" w:styleId="PageNumber">
    <w:name w:val="page number"/>
    <w:aliases w:val="7_G"/>
    <w:basedOn w:val="DefaultParagraphFont"/>
    <w:rPr>
      <w:rFonts w:ascii="Times New Roman" w:hAnsi="Times New Roman"/>
      <w:b/>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HTMLAcronym">
    <w:name w:val="HTML Acronym"/>
    <w:basedOn w:val="DefaultParagraphFont"/>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Pages>
  <Words>762</Words>
  <Characters>4289</Characters>
  <Application>Microsoft Office Outlook</Application>
  <DocSecurity>4</DocSecurity>
  <Lines>87</Lines>
  <Paragraphs>44</Paragraphs>
  <ScaleCrop>false</ScaleCrop>
  <HeadingPairs>
    <vt:vector size="2" baseType="variant">
      <vt:variant>
        <vt:lpstr>Title</vt:lpstr>
      </vt:variant>
      <vt:variant>
        <vt:i4>1</vt:i4>
      </vt:variant>
    </vt:vector>
  </HeadingPairs>
  <TitlesOfParts>
    <vt:vector size="1" baseType="lpstr">
      <vt:lpstr>1413568</vt:lpstr>
    </vt:vector>
  </TitlesOfParts>
  <Company>CSD</Company>
  <LinksUpToDate>false</LinksUpToDate>
  <CharactersWithSpaces>5007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1413568</dc:title>
  <dc:subject>A/HRC/RES/25/36</dc:subject>
  <dc:creator>Giltsoff</dc:creator>
  <cp:keywords/>
  <dc:description>Final</dc:description>
  <cp:lastModifiedBy>Giltsoff</cp:lastModifiedBy>
  <cp:revision>2</cp:revision>
  <cp:lastPrinted>2014-04-25T08:50:00Z</cp:lastPrinted>
  <dcterms:created xsi:type="dcterms:W3CDTF">2014-04-25T08:56:00Z</dcterms:created>
  <dcterms:modified xsi:type="dcterms:W3CDTF">2014-04-25T08:56:00Z</dcterms:modified>
</cp:coreProperties>
</file>