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Комитет по ликвидации дискриминации</w:t>
      </w:r>
      <w:r>
        <w:br/>
        <w:t>в отношении женщин</w:t>
      </w:r>
    </w:p>
    <w:p w:rsidR="00000000" w:rsidRDefault="00000000">
      <w:pPr>
        <w:pStyle w:val="H23"/>
      </w:pPr>
      <w:r>
        <w:t>Девятнадцатая сессия</w:t>
      </w:r>
    </w:p>
    <w:p w:rsidR="00000000" w:rsidRDefault="00000000">
      <w:pPr>
        <w:spacing w:line="240" w:lineRule="auto"/>
        <w:rPr>
          <w:sz w:val="12"/>
        </w:rPr>
      </w:pPr>
    </w:p>
    <w:p w:rsidR="00000000" w:rsidRDefault="00000000">
      <w:pPr>
        <w:pStyle w:val="H23"/>
      </w:pPr>
      <w:r>
        <w:t>Краткий отчет о 401-м заседании,</w:t>
      </w:r>
    </w:p>
    <w:p w:rsidR="00000000" w:rsidRDefault="00000000">
      <w:r>
        <w:t>состоявшемся в Центральных учреждениях, Нью-Йорк, в среду, 8 июля 1998 года, в 10 ч. 30 м.</w:t>
      </w:r>
    </w:p>
    <w:p w:rsidR="00000000" w:rsidRDefault="00000000">
      <w:pPr>
        <w:spacing w:line="120" w:lineRule="exact"/>
        <w:rPr>
          <w:sz w:val="10"/>
        </w:rPr>
      </w:pPr>
    </w:p>
    <w:p w:rsidR="00000000" w:rsidRDefault="00000000">
      <w:pPr>
        <w:tabs>
          <w:tab w:val="left" w:pos="1368"/>
          <w:tab w:val="right" w:leader="dot" w:pos="8568"/>
        </w:tabs>
        <w:ind w:right="1267"/>
      </w:pPr>
      <w:r>
        <w:rPr>
          <w:i/>
        </w:rPr>
        <w:t>Председатель:</w:t>
      </w:r>
      <w:r>
        <w:tab/>
        <w:t>г-жа Хан</w:t>
      </w:r>
    </w:p>
    <w:p w:rsidR="00000000" w:rsidRDefault="00000000">
      <w:pPr>
        <w:tabs>
          <w:tab w:val="left" w:pos="1368"/>
          <w:tab w:val="right" w:leader="dot" w:pos="8568"/>
        </w:tabs>
        <w:spacing w:line="120" w:lineRule="exact"/>
        <w:ind w:right="1267"/>
        <w:rPr>
          <w:sz w:val="10"/>
        </w:rPr>
      </w:pPr>
    </w:p>
    <w:p w:rsidR="00000000" w:rsidRDefault="00000000">
      <w:pPr>
        <w:tabs>
          <w:tab w:val="left" w:pos="1368"/>
          <w:tab w:val="right" w:leader="dot" w:pos="8568"/>
        </w:tabs>
        <w:spacing w:line="120" w:lineRule="exact"/>
        <w:ind w:right="1267"/>
        <w:rPr>
          <w:sz w:val="10"/>
        </w:rPr>
      </w:pPr>
    </w:p>
    <w:p w:rsidR="00000000" w:rsidRDefault="00000000">
      <w:pPr>
        <w:tabs>
          <w:tab w:val="left" w:pos="1368"/>
          <w:tab w:val="right" w:leader="dot" w:pos="8568"/>
        </w:tabs>
        <w:spacing w:line="120" w:lineRule="exact"/>
        <w:ind w:right="1267"/>
        <w:rPr>
          <w:sz w:val="10"/>
        </w:rPr>
      </w:pPr>
    </w:p>
    <w:p w:rsidR="00000000" w:rsidRDefault="00000000">
      <w:pPr>
        <w:pStyle w:val="HCh"/>
        <w:rPr>
          <w:b w:val="0"/>
        </w:rPr>
      </w:pPr>
      <w:r>
        <w:rPr>
          <w:b w:val="0"/>
        </w:rPr>
        <w:t>Содержание</w:t>
      </w:r>
    </w:p>
    <w:p w:rsidR="00000000" w:rsidRDefault="00000000">
      <w:pPr>
        <w:pStyle w:val="HCh"/>
        <w:spacing w:line="240" w:lineRule="auto"/>
        <w:rPr>
          <w:b w:val="0"/>
          <w:sz w:val="12"/>
        </w:rPr>
      </w:pPr>
    </w:p>
    <w:p w:rsidR="00000000" w:rsidRDefault="00000000">
      <w:pPr>
        <w:pStyle w:val="SingleTxt"/>
        <w:suppressAutoHyphens/>
      </w:pPr>
      <w:r>
        <w:t>Рассмотрение докладов, представляемых государствами-участниками по статье 18 Конвенции (</w:t>
      </w:r>
      <w:r>
        <w:rPr>
          <w:i/>
        </w:rPr>
        <w:t>продолжение</w:t>
      </w:r>
      <w:r>
        <w:t>)</w:t>
      </w:r>
    </w:p>
    <w:p w:rsidR="00000000" w:rsidRDefault="00000000">
      <w:pPr>
        <w:pStyle w:val="SingleTxt"/>
        <w:rPr>
          <w:i/>
        </w:rPr>
      </w:pPr>
      <w:r>
        <w:tab/>
      </w:r>
      <w:r>
        <w:rPr>
          <w:i/>
        </w:rPr>
        <w:t>Третий и четвертый периодические доклады Новой Зеландии</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sz w:val="2"/>
        </w:rPr>
        <w:sectPr w:rsidR="00000000">
          <w:endnotePr>
            <w:numFmt w:val="decimal"/>
          </w:endnotePr>
          <w:type w:val="continuous"/>
          <w:pgSz w:w="12240" w:h="15840" w:code="1"/>
          <w:pgMar w:top="1742" w:right="1195" w:bottom="1898" w:left="1195" w:header="576" w:footer="1030" w:gutter="0"/>
          <w:cols w:space="720"/>
          <w:noEndnote/>
        </w:sectPr>
      </w:pPr>
      <w:r>
        <w:br w:type="page"/>
      </w:r>
    </w:p>
    <w:p w:rsidR="00000000" w:rsidRDefault="00000000">
      <w:pPr>
        <w:pStyle w:val="H4"/>
        <w:tabs>
          <w:tab w:val="left" w:pos="475"/>
          <w:tab w:val="left" w:pos="965"/>
          <w:tab w:val="left" w:pos="1440"/>
          <w:tab w:val="left" w:pos="1915"/>
          <w:tab w:val="left" w:pos="2405"/>
          <w:tab w:val="left" w:pos="2880"/>
          <w:tab w:val="left" w:pos="3355"/>
        </w:tabs>
        <w:ind w:left="475" w:hanging="475"/>
      </w:pPr>
      <w:r>
        <w:t>Заседание открывается в 10 ч. 35 м.</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Рассмотрение докладов, представляемых государствами-участниками по статье 18 Конвенции </w:t>
      </w:r>
      <w:r>
        <w:rPr>
          <w:b w:val="0"/>
        </w:rPr>
        <w:t>(</w:t>
      </w:r>
      <w:r>
        <w:rPr>
          <w:b w:val="0"/>
          <w:i/>
        </w:rPr>
        <w:t>продолжение</w:t>
      </w:r>
      <w:r>
        <w:rPr>
          <w:b w:val="0"/>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Третий и четвертый периодические доклады Новой Зеландии</w:t>
      </w:r>
      <w:r>
        <w:rPr>
          <w:i w:val="0"/>
        </w:rPr>
        <w:t xml:space="preserve"> (CEDAW/C/NZL/3–4 и Add.1)</w:t>
      </w:r>
    </w:p>
    <w:p w:rsidR="00000000" w:rsidRDefault="00000000">
      <w:pPr>
        <w:pStyle w:val="DualTxt"/>
        <w:spacing w:after="0" w:line="120" w:lineRule="exact"/>
        <w:rPr>
          <w:sz w:val="10"/>
        </w:rPr>
      </w:pPr>
    </w:p>
    <w:p w:rsidR="00000000" w:rsidRDefault="00000000">
      <w:pPr>
        <w:pStyle w:val="DualTxt"/>
      </w:pPr>
      <w:r>
        <w:t>1.</w:t>
      </w:r>
      <w:r>
        <w:tab/>
        <w:t>По приглашению Председателя г</w:t>
      </w:r>
      <w:r>
        <w:noBreakHyphen/>
        <w:t>жа Лоренс, г</w:t>
      </w:r>
      <w:r>
        <w:noBreakHyphen/>
        <w:t>жа Моррис и г</w:t>
      </w:r>
      <w:r>
        <w:noBreakHyphen/>
        <w:t>жа Сноуден (Новая Зеландия) з</w:t>
      </w:r>
      <w:r>
        <w:t>а</w:t>
      </w:r>
      <w:r>
        <w:t>нимают место за столом Комитета.</w:t>
      </w:r>
    </w:p>
    <w:p w:rsidR="00000000" w:rsidRDefault="00000000">
      <w:pPr>
        <w:pStyle w:val="DualTxt"/>
      </w:pPr>
      <w:r>
        <w:t>2.</w:t>
      </w:r>
      <w:r>
        <w:tab/>
      </w:r>
      <w:r>
        <w:rPr>
          <w:b/>
        </w:rPr>
        <w:t>Г</w:t>
      </w:r>
      <w:r>
        <w:rPr>
          <w:b/>
        </w:rPr>
        <w:noBreakHyphen/>
        <w:t>жа Моррис</w:t>
      </w:r>
      <w:r>
        <w:t xml:space="preserve"> (Новая Зеландия), представляя сводные третий и четвертый периодические докл</w:t>
      </w:r>
      <w:r>
        <w:t>а</w:t>
      </w:r>
      <w:r>
        <w:t>ды Новой Зеландии (CEDAW/C/NZL/3–4 и Add.1), говорит, что данные доклады охватывают период с 1994 года и что их подготовка предусматривала ш</w:t>
      </w:r>
      <w:r>
        <w:t>и</w:t>
      </w:r>
      <w:r>
        <w:t>рокие консультации с неправительственными орг</w:t>
      </w:r>
      <w:r>
        <w:t>а</w:t>
      </w:r>
      <w:r>
        <w:t>низаци</w:t>
      </w:r>
      <w:r>
        <w:t>я</w:t>
      </w:r>
      <w:r>
        <w:t>ми.</w:t>
      </w:r>
    </w:p>
    <w:p w:rsidR="00000000" w:rsidRDefault="00000000">
      <w:pPr>
        <w:pStyle w:val="DualTxt"/>
      </w:pPr>
      <w:r>
        <w:t>3.</w:t>
      </w:r>
      <w:r>
        <w:tab/>
        <w:t>Сказав несколько слов о населении и эконом</w:t>
      </w:r>
      <w:r>
        <w:t>и</w:t>
      </w:r>
      <w:r>
        <w:t>ческом положении Новой Зеландии, она отмечает, что по ряду вопросов проводились регулярные о</w:t>
      </w:r>
      <w:r>
        <w:t>б</w:t>
      </w:r>
      <w:r>
        <w:t>следования, способствовавшие анализу сравнител</w:t>
      </w:r>
      <w:r>
        <w:t>ь</w:t>
      </w:r>
      <w:r>
        <w:t>ного положения мужчин и женщин. Например, ко</w:t>
      </w:r>
      <w:r>
        <w:t>м</w:t>
      </w:r>
      <w:r>
        <w:t>плексное обследование по вопросу об использов</w:t>
      </w:r>
      <w:r>
        <w:t>а</w:t>
      </w:r>
      <w:r>
        <w:t>нии времени, проводившееся министерством по д</w:t>
      </w:r>
      <w:r>
        <w:t>е</w:t>
      </w:r>
      <w:r>
        <w:t>лам женщин, полные результаты которого будут представлены в 2000 году, будет содержать инфо</w:t>
      </w:r>
      <w:r>
        <w:t>р</w:t>
      </w:r>
      <w:r>
        <w:t>мацию о вкладе неоплачиваемой деятельности в экономику и о совмещении людьми своих социал</w:t>
      </w:r>
      <w:r>
        <w:t>ь</w:t>
      </w:r>
      <w:r>
        <w:t>ных и экономических обязанностей. В нем также будет содержаться ценная информация о маори.</w:t>
      </w:r>
    </w:p>
    <w:p w:rsidR="00000000" w:rsidRDefault="00000000">
      <w:pPr>
        <w:pStyle w:val="DualTxt"/>
      </w:pPr>
      <w:r>
        <w:t>4.</w:t>
      </w:r>
      <w:r>
        <w:tab/>
        <w:t>Международно признанный Закон о бытовом насилии 1995 года предоставил женщинам возмо</w:t>
      </w:r>
      <w:r>
        <w:t>ж</w:t>
      </w:r>
      <w:r>
        <w:t>ность предъявлять иски в целях защиты самих себя и своих семей от бытового насилия. Сокращение случаев этого насилия стало одним из ключевых компонентов стратегии правительства в области предупреждения преступности. В большинстве г</w:t>
      </w:r>
      <w:r>
        <w:t>о</w:t>
      </w:r>
      <w:r>
        <w:t>родов были созданы местные межучрежденческие сети по борьбе с насилием в семье, а из бюджета 1996 года были выделены средства в объеме 11,7 млн. долл. США на различные программы профилактики бытового насилия. Ряд правительс</w:t>
      </w:r>
      <w:r>
        <w:t>т</w:t>
      </w:r>
      <w:r>
        <w:t>венных учреждений разрабатывает более сове</w:t>
      </w:r>
      <w:r>
        <w:t>р</w:t>
      </w:r>
      <w:r>
        <w:t>шенные методы работы как с жертвами, так и лиц</w:t>
      </w:r>
      <w:r>
        <w:t>а</w:t>
      </w:r>
      <w:r>
        <w:t>ми, совершающими акты бытового насилия, а в</w:t>
      </w:r>
      <w:r>
        <w:t>о</w:t>
      </w:r>
      <w:r>
        <w:t>просы профилактики насилия включены в насто</w:t>
      </w:r>
      <w:r>
        <w:t>я</w:t>
      </w:r>
      <w:r>
        <w:t>щее время в школьные учебные планы, касающиеся охраны здоровья. В рамках Новозеландской коми</w:t>
      </w:r>
      <w:r>
        <w:t>с</w:t>
      </w:r>
      <w:r>
        <w:t>сии по правам человека была учреждена новая должность Комиссара по делам женщин, который будет ежегодно докладывать о прогрессе, достигн</w:t>
      </w:r>
      <w:r>
        <w:t>у</w:t>
      </w:r>
      <w:r>
        <w:t>том в деле осуществления прав человека женщин.</w:t>
      </w:r>
    </w:p>
    <w:p w:rsidR="00000000" w:rsidRDefault="00000000">
      <w:pPr>
        <w:pStyle w:val="DualTxt"/>
      </w:pPr>
      <w:r>
        <w:t>5.</w:t>
      </w:r>
      <w:r>
        <w:tab/>
        <w:t>Что касается занятости, то средние доходы женщин в Новой Зеландии составляют примерно 80,5 процента от среднего заработка мужчин. В ц</w:t>
      </w:r>
      <w:r>
        <w:t>е</w:t>
      </w:r>
      <w:r>
        <w:t>лях уменьшения этого разрыва правительство пр</w:t>
      </w:r>
      <w:r>
        <w:t>и</w:t>
      </w:r>
      <w:r>
        <w:t>мет широкий подход, который предусматривает б</w:t>
      </w:r>
      <w:r>
        <w:t>о</w:t>
      </w:r>
      <w:r>
        <w:t>лее совершенный сбор и анализ данных, просвещ</w:t>
      </w:r>
      <w:r>
        <w:t>е</w:t>
      </w:r>
      <w:r>
        <w:t>ние работодателей и программы по расширению участия женщин в составе рабочей силы, соверше</w:t>
      </w:r>
      <w:r>
        <w:t>н</w:t>
      </w:r>
      <w:r>
        <w:t>ствованию их профессиональных навыков и обе</w:t>
      </w:r>
      <w:r>
        <w:t>с</w:t>
      </w:r>
      <w:r>
        <w:t>печению более эффективной профессиональной подготовки. Оно уже подало положительный пр</w:t>
      </w:r>
      <w:r>
        <w:t>и</w:t>
      </w:r>
      <w:r>
        <w:t>мер частным работодателям, унифицировав систему оплаты для преподавателей начальных и средних школ, тем самым значительно повысив зарплату преподавателей начальных школ, большинство из которых составляют женщины, и удвоив коэффиц</w:t>
      </w:r>
      <w:r>
        <w:t>и</w:t>
      </w:r>
      <w:r>
        <w:t>ент финансирования Целевого фонда по обеспеч</w:t>
      </w:r>
      <w:r>
        <w:t>е</w:t>
      </w:r>
      <w:r>
        <w:t>нию равных возможностей в сфере занятости с ц</w:t>
      </w:r>
      <w:r>
        <w:t>е</w:t>
      </w:r>
      <w:r>
        <w:t>лью поддержки усилий по изменению отношения работодателей. Женщины Новой Зеландии доказ</w:t>
      </w:r>
      <w:r>
        <w:t>ы</w:t>
      </w:r>
      <w:r>
        <w:t>вают, что они могут добиться исключительных у</w:t>
      </w:r>
      <w:r>
        <w:t>с</w:t>
      </w:r>
      <w:r>
        <w:t>пехов в бизнесе, для чего им оказывается помощь в рамках новаторских систем по</w:t>
      </w:r>
      <w:r>
        <w:t>д</w:t>
      </w:r>
      <w:r>
        <w:t>держки.</w:t>
      </w:r>
    </w:p>
    <w:p w:rsidR="00000000" w:rsidRDefault="00000000">
      <w:pPr>
        <w:pStyle w:val="DualTxt"/>
      </w:pPr>
      <w:r>
        <w:t>6.</w:t>
      </w:r>
      <w:r>
        <w:tab/>
        <w:t>Все больше женщин участвуют в обществе</w:t>
      </w:r>
      <w:r>
        <w:t>н</w:t>
      </w:r>
      <w:r>
        <w:t>ной жизни. Учебные инициативы государственного директората предусматривают семинары для поте</w:t>
      </w:r>
      <w:r>
        <w:t>н</w:t>
      </w:r>
      <w:r>
        <w:t>циальных директоров компаний и начальные курсы для женщин, которые желают служить в органах управления. Свыше четверти их участников соста</w:t>
      </w:r>
      <w:r>
        <w:t>в</w:t>
      </w:r>
      <w:r>
        <w:t>ляют женщины маори.</w:t>
      </w:r>
    </w:p>
    <w:p w:rsidR="00000000" w:rsidRDefault="00000000">
      <w:pPr>
        <w:pStyle w:val="DualTxt"/>
      </w:pPr>
      <w:r>
        <w:t>7.</w:t>
      </w:r>
      <w:r>
        <w:tab/>
        <w:t>Основные инициативы по улучшению состо</w:t>
      </w:r>
      <w:r>
        <w:t>я</w:t>
      </w:r>
      <w:r>
        <w:t>ния здоровья женщин и их семей включают орган</w:t>
      </w:r>
      <w:r>
        <w:t>и</w:t>
      </w:r>
      <w:r>
        <w:t>зацию бесплатных посещений врачей общего пр</w:t>
      </w:r>
      <w:r>
        <w:t>о</w:t>
      </w:r>
      <w:r>
        <w:t>филя детьми в возрасте до шести лет и стратегию охраны сексуального и репродуктивного здоровья. Согласно Кодексу о правах потребителей на охрану здоровья и получение услуг по инвалидности лица, пользующиеся такими услугами, имеют право на свободу от дискриминации, принуждения, домог</w:t>
      </w:r>
      <w:r>
        <w:t>а</w:t>
      </w:r>
      <w:r>
        <w:t>тельства и сексуальной, финансовой и прочих форм эксплуатации. Начиная с декабря 1998 года среди женщин в возрасте от 50 до 64 лет раз в два года будут проводиться бесплатные обследования на предмет выявления рака груди.</w:t>
      </w:r>
    </w:p>
    <w:p w:rsidR="00000000" w:rsidRDefault="00000000">
      <w:pPr>
        <w:pStyle w:val="DualTxt"/>
      </w:pPr>
      <w:r>
        <w:t>8.</w:t>
      </w:r>
      <w:r>
        <w:tab/>
        <w:t>По строгому законодательству Новой Зела</w:t>
      </w:r>
      <w:r>
        <w:t>н</w:t>
      </w:r>
      <w:r>
        <w:t>дии о цензуре принимаются экспертные решения по классификации художественных фильмов, виде</w:t>
      </w:r>
      <w:r>
        <w:t>о</w:t>
      </w:r>
      <w:r>
        <w:t>фильмов и публикаций, что соответствует закону и ограничивает гражданские права лишь для защиты прав человека. Кроме того, имели место успешные случаи привлечения к судебной ответственности в связи с торговлей порнографией и детской порн</w:t>
      </w:r>
      <w:r>
        <w:t>о</w:t>
      </w:r>
      <w:r>
        <w:t>графией в Интернете. Что касается судебной сист</w:t>
      </w:r>
      <w:r>
        <w:t>е</w:t>
      </w:r>
      <w:r>
        <w:t>мы, то в настоящее время осуществляется проект в целях оказания более приспособленных для этого юридических услуг женщинам. В области имущ</w:t>
      </w:r>
      <w:r>
        <w:t>е</w:t>
      </w:r>
      <w:r>
        <w:t>ственных прав в настоящее время парламент ра</w:t>
      </w:r>
      <w:r>
        <w:t>с</w:t>
      </w:r>
      <w:r>
        <w:t>сматривает законопроект о поправке, касающейся имущества супругов, и законопроект о фактических взаимоотношениях (имущество), о которых гов</w:t>
      </w:r>
      <w:r>
        <w:t>о</w:t>
      </w:r>
      <w:r>
        <w:t>рится в добавлении к третьему и четвертому пери</w:t>
      </w:r>
      <w:r>
        <w:t>о</w:t>
      </w:r>
      <w:r>
        <w:t>дическим докл</w:t>
      </w:r>
      <w:r>
        <w:t>а</w:t>
      </w:r>
      <w:r>
        <w:t>дам (CEDAW/C/NZL/3–4/Add.1).</w:t>
      </w:r>
    </w:p>
    <w:p w:rsidR="00000000" w:rsidRDefault="00000000">
      <w:pPr>
        <w:pStyle w:val="DualTxt"/>
      </w:pPr>
      <w:r>
        <w:t>9.</w:t>
      </w:r>
      <w:r>
        <w:tab/>
        <w:t>Оговорка Новой Зеландии в отношении Ко</w:t>
      </w:r>
      <w:r>
        <w:t>н</w:t>
      </w:r>
      <w:r>
        <w:t>венции в связи с участием женщин в боевых дейс</w:t>
      </w:r>
      <w:r>
        <w:t>т</w:t>
      </w:r>
      <w:r>
        <w:t>виях продолжает сохраняться, однако возможности женщин в вооруженных силах были в определенной степени расширены, при этом ожидается достиж</w:t>
      </w:r>
      <w:r>
        <w:t>е</w:t>
      </w:r>
      <w:r>
        <w:t>ние дальнейшего прогресса. Кроме того, вооруже</w:t>
      </w:r>
      <w:r>
        <w:t>н</w:t>
      </w:r>
      <w:r>
        <w:t>ные силы принимают меры по рассмотрению сл</w:t>
      </w:r>
      <w:r>
        <w:t>у</w:t>
      </w:r>
      <w:r>
        <w:t>чаев сексуального домогательства и созданию спр</w:t>
      </w:r>
      <w:r>
        <w:t>а</w:t>
      </w:r>
      <w:r>
        <w:t>ведливой организационной культуры. Продолжает также действовать другая оговорка Новой Зела</w:t>
      </w:r>
      <w:r>
        <w:t>н</w:t>
      </w:r>
      <w:r>
        <w:t>дии, которая касается отпуска по беременности с сохранением содержания, однако как женщины, так и мужчины имеют право на отпуск по уходу за р</w:t>
      </w:r>
      <w:r>
        <w:t>е</w:t>
      </w:r>
      <w:r>
        <w:t>бенком без содержания. Одно из преимуществ, к</w:t>
      </w:r>
      <w:r>
        <w:t>о</w:t>
      </w:r>
      <w:r>
        <w:t>торым пользуются женщины по нынешнему зак</w:t>
      </w:r>
      <w:r>
        <w:t>о</w:t>
      </w:r>
      <w:r>
        <w:t>нодательству, заключается в возможности опред</w:t>
      </w:r>
      <w:r>
        <w:t>е</w:t>
      </w:r>
      <w:r>
        <w:t>ления гибких периодов отпуска, включая использ</w:t>
      </w:r>
      <w:r>
        <w:t>о</w:t>
      </w:r>
      <w:r>
        <w:t>вание других положений об отпуске с сохранением содержания. Поскольку большое число женщин не знают о своем праве на отпуск по уходу за ребе</w:t>
      </w:r>
      <w:r>
        <w:t>н</w:t>
      </w:r>
      <w:r>
        <w:t>ком, Комиссия Новой Зеландии по правам человека готовит информацию о правах беременных рабо</w:t>
      </w:r>
      <w:r>
        <w:t>т</w:t>
      </w:r>
      <w:r>
        <w:t>ниц. Кроме того, Новая Зеландия предоставляет о</w:t>
      </w:r>
      <w:r>
        <w:t>т</w:t>
      </w:r>
      <w:r>
        <w:t>пуск по беременности при предоставлении того, что может считаться «сопоставимыми социальными льготами» с точки зрения оплаты, предусмотре</w:t>
      </w:r>
      <w:r>
        <w:t>н</w:t>
      </w:r>
      <w:r>
        <w:t>ными в пункте 2(b) статьи 11 Конвенции. Напр</w:t>
      </w:r>
      <w:r>
        <w:t>и</w:t>
      </w:r>
      <w:r>
        <w:t>мер, всеобщая система льгот покрывает все мед</w:t>
      </w:r>
      <w:r>
        <w:t>и</w:t>
      </w:r>
      <w:r>
        <w:t>цинские расходы, связанные с рождением ребенка, и многие семьи имеют право на различные виды финансовой помощи. Более того, в отчетный период ряд частных фирм начали использовать оплачива</w:t>
      </w:r>
      <w:r>
        <w:t>е</w:t>
      </w:r>
      <w:r>
        <w:t>мый отпуск для родителей в целях сохранения св</w:t>
      </w:r>
      <w:r>
        <w:t>о</w:t>
      </w:r>
      <w:r>
        <w:t>их высококвалифицированных сотру</w:t>
      </w:r>
      <w:r>
        <w:t>д</w:t>
      </w:r>
      <w:r>
        <w:t>ниц.</w:t>
      </w:r>
    </w:p>
    <w:p w:rsidR="00000000" w:rsidRDefault="00000000">
      <w:pPr>
        <w:pStyle w:val="DualTxt"/>
      </w:pPr>
      <w:r>
        <w:t>10.</w:t>
      </w:r>
      <w:r>
        <w:tab/>
        <w:t>Что касается обеспечения доходов, то обсл</w:t>
      </w:r>
      <w:r>
        <w:t>е</w:t>
      </w:r>
      <w:r>
        <w:t>дование Организации экономического сотруднич</w:t>
      </w:r>
      <w:r>
        <w:t>е</w:t>
      </w:r>
      <w:r>
        <w:t>ства и развития (ОЭСР) 1996 года показало, что п</w:t>
      </w:r>
      <w:r>
        <w:t>о</w:t>
      </w:r>
      <w:r>
        <w:t>мощь родителям-одиночкам в Новой Зеландии ра</w:t>
      </w:r>
      <w:r>
        <w:t>в</w:t>
      </w:r>
      <w:r>
        <w:t>на или превышает средний показатель по ОЭСР и что ее механизмы обеспечения доходов для пож</w:t>
      </w:r>
      <w:r>
        <w:t>и</w:t>
      </w:r>
      <w:r>
        <w:t>лых женщин являются одними из лучших в стр</w:t>
      </w:r>
      <w:r>
        <w:t>а</w:t>
      </w:r>
      <w:r>
        <w:t>нах — членах ОЭСР. Родители-одиночки имеют право на льготы в целях сохранения доходов, кот</w:t>
      </w:r>
      <w:r>
        <w:t>о</w:t>
      </w:r>
      <w:r>
        <w:t>рые все больше сопровождаются мерами по оказ</w:t>
      </w:r>
      <w:r>
        <w:t>а</w:t>
      </w:r>
      <w:r>
        <w:t>нию помощи родителям-одиночкам в получении р</w:t>
      </w:r>
      <w:r>
        <w:t>а</w:t>
      </w:r>
      <w:r>
        <w:t>боты, образования или профессиональной подг</w:t>
      </w:r>
      <w:r>
        <w:t>о</w:t>
      </w:r>
      <w:r>
        <w:t>товки.</w:t>
      </w:r>
    </w:p>
    <w:p w:rsidR="00000000" w:rsidRDefault="00000000">
      <w:pPr>
        <w:pStyle w:val="DualTxt"/>
      </w:pPr>
      <w:r>
        <w:t>11.</w:t>
      </w:r>
      <w:r>
        <w:tab/>
        <w:t>Закон о поправке 1996 года, касающийся соц</w:t>
      </w:r>
      <w:r>
        <w:t>и</w:t>
      </w:r>
      <w:r>
        <w:t>ального обеспечения, создал еще больше стимулов для получателей льгот с точки зрения поиска раб</w:t>
      </w:r>
      <w:r>
        <w:t>о</w:t>
      </w:r>
      <w:r>
        <w:t>ты при одновременной поддержке тех, кто действ</w:t>
      </w:r>
      <w:r>
        <w:t>и</w:t>
      </w:r>
      <w:r>
        <w:t>тельно нуждается в ней. В своем бюджете 1998 года правительство предусмотрело ассигнования на ра</w:t>
      </w:r>
      <w:r>
        <w:t>с</w:t>
      </w:r>
      <w:r>
        <w:t>считанную на получение работы политику социал</w:t>
      </w:r>
      <w:r>
        <w:t>ь</w:t>
      </w:r>
      <w:r>
        <w:t>ного обеспечения, которая радикально изменила направленность системы социального обеспечения на основе концепции о том, что оплачиваемый труд является ключевым компонентом экономической и социальной независимости человека. Начиная с 1999 года новые обязательства с точки зрения уст</w:t>
      </w:r>
      <w:r>
        <w:t>а</w:t>
      </w:r>
      <w:r>
        <w:t>новления необходимости работы, применимые в о</w:t>
      </w:r>
      <w:r>
        <w:t>т</w:t>
      </w:r>
      <w:r>
        <w:t>ношении получателей льгот по причинам вдовства и домашним обстоятельствам, будут требовать от родителей-одиночек, самый младший ребенок кот</w:t>
      </w:r>
      <w:r>
        <w:t>о</w:t>
      </w:r>
      <w:r>
        <w:t>рых находится в возрасте 14 лет или старше, поиска работы в течение полного рабочего дня, и лиц, с</w:t>
      </w:r>
      <w:r>
        <w:t>а</w:t>
      </w:r>
      <w:r>
        <w:t>мый младший ребенок которых находится в возра</w:t>
      </w:r>
      <w:r>
        <w:t>с</w:t>
      </w:r>
      <w:r>
        <w:t>те 14 лет или старше, также поиска работы на по</w:t>
      </w:r>
      <w:r>
        <w:t>л</w:t>
      </w:r>
      <w:r>
        <w:t>ный рабочий день. Санкции за непрохождение пр</w:t>
      </w:r>
      <w:r>
        <w:t>о</w:t>
      </w:r>
      <w:r>
        <w:t>верки на предмет необходимости работы были пр</w:t>
      </w:r>
      <w:r>
        <w:t>и</w:t>
      </w:r>
      <w:r>
        <w:t>менены лишь в шести случаях, поскольку многие женщины-получатели пособий освобождены от этой проверки, а большинство тех, кто не прошел ее, были освобождены по таким причинам, как б</w:t>
      </w:r>
      <w:r>
        <w:t>о</w:t>
      </w:r>
      <w:r>
        <w:t>лезнь или отсутствие возможностей для ухода за ребенком. Правительство выделило дополнительно на последующие три года 31 млн. долл. США в рамках субсидий на уход за детьми, в том числе д</w:t>
      </w:r>
      <w:r>
        <w:t>о</w:t>
      </w:r>
      <w:r>
        <w:t>тации на уход вне школы для работающих родит</w:t>
      </w:r>
      <w:r>
        <w:t>е</w:t>
      </w:r>
      <w:r>
        <w:t>лей с детьми в во</w:t>
      </w:r>
      <w:r>
        <w:t>з</w:t>
      </w:r>
      <w:r>
        <w:t>расте 5–13 лет.</w:t>
      </w:r>
    </w:p>
    <w:p w:rsidR="00000000" w:rsidRDefault="00000000">
      <w:pPr>
        <w:pStyle w:val="DualTxt"/>
      </w:pPr>
      <w:r>
        <w:t>12.</w:t>
      </w:r>
      <w:r>
        <w:tab/>
        <w:t>В докладе Новой Зеландии имеется раздел о Токелау, но отсутствуют главы об островах Кука или Ниуэ, поскольку последние являются сам</w:t>
      </w:r>
      <w:r>
        <w:t>о</w:t>
      </w:r>
      <w:r>
        <w:t>управляющимися государствами, которые несут о</w:t>
      </w:r>
      <w:r>
        <w:t>т</w:t>
      </w:r>
      <w:r>
        <w:t>ветственность за принятие на себя и осуществление своих собственных международных обязательств. В настоящее время Новая Зеландия пытается опред</w:t>
      </w:r>
      <w:r>
        <w:t>е</w:t>
      </w:r>
      <w:r>
        <w:t>лить совместно с Секретариатом Организации Об</w:t>
      </w:r>
      <w:r>
        <w:t>ъ</w:t>
      </w:r>
      <w:r>
        <w:t>единенных Наций наилучшие пути осуществления их пожеланий в отношении их представительства в договорных органах по правам человека и готова помочь обеим странам выполнить их обязательства по представл</w:t>
      </w:r>
      <w:r>
        <w:t>е</w:t>
      </w:r>
      <w:r>
        <w:t>нию докладов.</w:t>
      </w:r>
    </w:p>
    <w:p w:rsidR="00000000" w:rsidRDefault="00000000">
      <w:pPr>
        <w:pStyle w:val="DualTxt"/>
      </w:pPr>
      <w:r>
        <w:t>13.</w:t>
      </w:r>
      <w:r>
        <w:tab/>
        <w:t>Касаясь вопросов, содержащихся в докладе предсессионной рабочей группы (CEDAW/C/1998/II/CRP.1/Add.1), она поясняет в о</w:t>
      </w:r>
      <w:r>
        <w:t>т</w:t>
      </w:r>
      <w:r>
        <w:t>вет на вопрос 3, что Закон о правах человека пр</w:t>
      </w:r>
      <w:r>
        <w:t>и</w:t>
      </w:r>
      <w:r>
        <w:t>меним ко всей деятельности правительства, гос</w:t>
      </w:r>
      <w:r>
        <w:t>у</w:t>
      </w:r>
      <w:r>
        <w:t>дарственных органов, частных организаций и о</w:t>
      </w:r>
      <w:r>
        <w:t>т</w:t>
      </w:r>
      <w:r>
        <w:t>дельных лиц, занимающихся вопросами занятости, доступа к общественным местам, предоставления товаров и услуг, размещения, образования и дом</w:t>
      </w:r>
      <w:r>
        <w:t>о</w:t>
      </w:r>
      <w:r>
        <w:t>гательств на половой и расовой почве. Он запрещ</w:t>
      </w:r>
      <w:r>
        <w:t>а</w:t>
      </w:r>
      <w:r>
        <w:t>ет косвенную дискриминацию, которую он опред</w:t>
      </w:r>
      <w:r>
        <w:t>е</w:t>
      </w:r>
      <w:r>
        <w:t>ляет в качестве любого поведения, практики, треб</w:t>
      </w:r>
      <w:r>
        <w:t>о</w:t>
      </w:r>
      <w:r>
        <w:t>вания или условия, которые приводят к диффере</w:t>
      </w:r>
      <w:r>
        <w:t>н</w:t>
      </w:r>
      <w:r>
        <w:t>цированному обращению с лицом или группой лиц на одном из запрещенных осн</w:t>
      </w:r>
      <w:r>
        <w:t>о</w:t>
      </w:r>
      <w:r>
        <w:t>ваний.</w:t>
      </w:r>
    </w:p>
    <w:p w:rsidR="00000000" w:rsidRDefault="00000000">
      <w:pPr>
        <w:pStyle w:val="DualTxt"/>
      </w:pPr>
      <w:r>
        <w:t>14.</w:t>
      </w:r>
      <w:r>
        <w:tab/>
        <w:t>В отношении вопроса 4 она говорит, что Закон о биле о правах 1990 года и Закон о правах человека 1993 года направлены на выполнение междунаро</w:t>
      </w:r>
      <w:r>
        <w:t>д</w:t>
      </w:r>
      <w:r>
        <w:t>ных обязательств, поэтому их осуществление пр</w:t>
      </w:r>
      <w:r>
        <w:t>е</w:t>
      </w:r>
      <w:r>
        <w:t>дусматривает ссылку на соответствующие межд</w:t>
      </w:r>
      <w:r>
        <w:t>у</w:t>
      </w:r>
      <w:r>
        <w:t xml:space="preserve">народные документы. Решения по делу </w:t>
      </w:r>
      <w:r>
        <w:rPr>
          <w:i/>
        </w:rPr>
        <w:t xml:space="preserve">Комитета по услугам района Веллингтон против Тангиора </w:t>
      </w:r>
      <w:r>
        <w:t>(1998 год) содержат принципиальное заявление о том, что законодательство должно толковаться в с</w:t>
      </w:r>
      <w:r>
        <w:t>о</w:t>
      </w:r>
      <w:r>
        <w:t xml:space="preserve">ответствии с международными обязательствами Новой Зеландии. Этот принцип был далее укреплен в решении по делу </w:t>
      </w:r>
      <w:r>
        <w:rPr>
          <w:i/>
        </w:rPr>
        <w:t>Килтер и другие против Ген</w:t>
      </w:r>
      <w:r>
        <w:rPr>
          <w:i/>
        </w:rPr>
        <w:t>е</w:t>
      </w:r>
      <w:r>
        <w:rPr>
          <w:i/>
        </w:rPr>
        <w:t>рального прокурора</w:t>
      </w:r>
      <w:r>
        <w:t xml:space="preserve"> (1998 год), в отношении кот</w:t>
      </w:r>
      <w:r>
        <w:t>о</w:t>
      </w:r>
      <w:r>
        <w:t>рого суд при определении значения дискриминации по Закону о биле о правах сослался, в частности, на обсуждение Конвенции Комитетом по правам чел</w:t>
      </w:r>
      <w:r>
        <w:t>о</w:t>
      </w:r>
      <w:r>
        <w:t>века. В начале 1977 года один из судов Новой З</w:t>
      </w:r>
      <w:r>
        <w:t>е</w:t>
      </w:r>
      <w:r>
        <w:t>ландии сослался на Декларацию о ликвидации ди</w:t>
      </w:r>
      <w:r>
        <w:t>с</w:t>
      </w:r>
      <w:r>
        <w:t>криминации в отношении женщин при аннулиров</w:t>
      </w:r>
      <w:r>
        <w:t>а</w:t>
      </w:r>
      <w:r>
        <w:t>нии дискриминационных условий, установленных министерством образования в отношении расходов на переезд, подлежащих возмещению преподават</w:t>
      </w:r>
      <w:r>
        <w:t>е</w:t>
      </w:r>
      <w:r>
        <w:t>лям мужского и же</w:t>
      </w:r>
      <w:r>
        <w:t>н</w:t>
      </w:r>
      <w:r>
        <w:t>ского пола.</w:t>
      </w:r>
    </w:p>
    <w:p w:rsidR="00000000" w:rsidRDefault="00000000">
      <w:pPr>
        <w:pStyle w:val="DualTxt"/>
      </w:pPr>
      <w:r>
        <w:t>15.</w:t>
      </w:r>
      <w:r>
        <w:tab/>
        <w:t xml:space="preserve">В деле </w:t>
      </w:r>
      <w:r>
        <w:rPr>
          <w:i/>
        </w:rPr>
        <w:t>Северного регионального отдела здр</w:t>
      </w:r>
      <w:r>
        <w:rPr>
          <w:i/>
        </w:rPr>
        <w:t>а</w:t>
      </w:r>
      <w:r>
        <w:rPr>
          <w:i/>
        </w:rPr>
        <w:t xml:space="preserve">воохранения против Комиссии по правам человека </w:t>
      </w:r>
      <w:r>
        <w:t>(1997 год) Верховный суд использовал Конвенцию в целях толкования Закона о билле о правах Новой Зеландии 1990 года и Закона о правах человека 1993 года. Суды Новой Зеландии еще не разработ</w:t>
      </w:r>
      <w:r>
        <w:t>а</w:t>
      </w:r>
      <w:r>
        <w:t>ли какого-либо прецедентного права об оплачива</w:t>
      </w:r>
      <w:r>
        <w:t>е</w:t>
      </w:r>
      <w:r>
        <w:t>мом отпуске по беременности. Предпринимались шаги с целью пропаганды Конвенции, а большой уровень заинтересованности со стороны женских неправительственных организаций в процессе представления докладов говорит о высоком уровне осведо</w:t>
      </w:r>
      <w:r>
        <w:t>м</w:t>
      </w:r>
      <w:r>
        <w:t>ленности о положениях Конвенции.</w:t>
      </w:r>
    </w:p>
    <w:p w:rsidR="00000000" w:rsidRDefault="00000000">
      <w:pPr>
        <w:pStyle w:val="DualTxt"/>
      </w:pPr>
      <w:r>
        <w:t>16.</w:t>
      </w:r>
      <w:r>
        <w:tab/>
        <w:t>В отношении вопроса 5 она говорит, что Закон о правах человека содержит конкретные положения относительно дискриминации, при этом понимание косвенной дискриминации получило большее ра</w:t>
      </w:r>
      <w:r>
        <w:t>з</w:t>
      </w:r>
      <w:r>
        <w:t>витие на основании Закона, чем статьи 1 Конве</w:t>
      </w:r>
      <w:r>
        <w:t>н</w:t>
      </w:r>
      <w:r>
        <w:t>ции.</w:t>
      </w:r>
    </w:p>
    <w:p w:rsidR="00000000" w:rsidRDefault="00000000">
      <w:pPr>
        <w:pStyle w:val="DualTxt"/>
      </w:pPr>
      <w:r>
        <w:t>17.</w:t>
      </w:r>
      <w:r>
        <w:tab/>
        <w:t>В ответ на вопрос 6 она поясняет, что вся г</w:t>
      </w:r>
      <w:r>
        <w:t>о</w:t>
      </w:r>
      <w:r>
        <w:t>сударственная политика должна соответствовать Закону о правах человека, если только она не сан</w:t>
      </w:r>
      <w:r>
        <w:t>к</w:t>
      </w:r>
      <w:r>
        <w:t>ционирована другим законом. Руководители депа</w:t>
      </w:r>
      <w:r>
        <w:t>р</w:t>
      </w:r>
      <w:r>
        <w:t>таментов несут ответственность за обеспечение с</w:t>
      </w:r>
      <w:r>
        <w:t>о</w:t>
      </w:r>
      <w:r>
        <w:t>ответствия государственной политики и практики этому Закону и отсутствие в них компонентов ди</w:t>
      </w:r>
      <w:r>
        <w:t>с</w:t>
      </w:r>
      <w:r>
        <w:t>криминации по признакам пола, семейного полож</w:t>
      </w:r>
      <w:r>
        <w:t>е</w:t>
      </w:r>
      <w:r>
        <w:t>ния, религии или этнических убеждений, цвета к</w:t>
      </w:r>
      <w:r>
        <w:t>о</w:t>
      </w:r>
      <w:r>
        <w:t>жи или этнической принадлежности. С декабря 1999 года будут добавлены новые основания, а именно: инвалидность, возраст, политические мн</w:t>
      </w:r>
      <w:r>
        <w:t>е</w:t>
      </w:r>
      <w:r>
        <w:t>ния, занятость, семейное положение и сексуальная ориентация. Министр юстиции издал по этому в</w:t>
      </w:r>
      <w:r>
        <w:t>о</w:t>
      </w:r>
      <w:r>
        <w:t>просу циркуляр, а работникам учреждений госуда</w:t>
      </w:r>
      <w:r>
        <w:t>р</w:t>
      </w:r>
      <w:r>
        <w:t>ственного сектора будет предложена подготовка по положениям Закона о правах человека и принципам прав ч</w:t>
      </w:r>
      <w:r>
        <w:t>е</w:t>
      </w:r>
      <w:r>
        <w:t>ловека.</w:t>
      </w:r>
    </w:p>
    <w:p w:rsidR="00000000" w:rsidRDefault="00000000">
      <w:pPr>
        <w:pStyle w:val="DualTxt"/>
      </w:pPr>
      <w:r>
        <w:t>18.</w:t>
      </w:r>
      <w:r>
        <w:tab/>
        <w:t>В связи с вопросом 7 она говорит, что обсл</w:t>
      </w:r>
      <w:r>
        <w:t>е</w:t>
      </w:r>
      <w:r>
        <w:t>дование по вопросу об использовании времени обеспечит данные о количестве времени, которое тратят мужчины и женщины на различную повс</w:t>
      </w:r>
      <w:r>
        <w:t>е</w:t>
      </w:r>
      <w:r>
        <w:t>дневную деятельность. Его цель заключается в в</w:t>
      </w:r>
      <w:r>
        <w:t>ы</w:t>
      </w:r>
      <w:r>
        <w:t>явлении степени неоплачиваемого вклада женщин в экономику и определении сфер коллизии общес</w:t>
      </w:r>
      <w:r>
        <w:t>т</w:t>
      </w:r>
      <w:r>
        <w:t>венных и личных обязанностей. В будущей полит</w:t>
      </w:r>
      <w:r>
        <w:t>и</w:t>
      </w:r>
      <w:r>
        <w:t>ке будут учтены любые выявленные во время о</w:t>
      </w:r>
      <w:r>
        <w:t>б</w:t>
      </w:r>
      <w:r>
        <w:t>следования различия в использовании времени м</w:t>
      </w:r>
      <w:r>
        <w:t>е</w:t>
      </w:r>
      <w:r>
        <w:t>жду женщинами, которые принадлежат и не пр</w:t>
      </w:r>
      <w:r>
        <w:t>и</w:t>
      </w:r>
      <w:r>
        <w:t>надлежат к маори. В ее рамках будут устранены любые различия между мужчинами и женщинами в таких сферах, как медицинское обслуживание, транспорт и гражданская оборона. Данные будут использованы для опробирования предположений, в том числе о том, что женщины готовы обеспечивать уход по дому и в общине, и помогут выявить сферы сохраняющейся дискримин</w:t>
      </w:r>
      <w:r>
        <w:t>а</w:t>
      </w:r>
      <w:r>
        <w:t>ции.</w:t>
      </w:r>
    </w:p>
    <w:p w:rsidR="00000000" w:rsidRDefault="00000000">
      <w:pPr>
        <w:pStyle w:val="DualTxt"/>
      </w:pPr>
      <w:r>
        <w:t>19.</w:t>
      </w:r>
      <w:r>
        <w:tab/>
        <w:t>Отвечая на вопрос 8, она говорит, что в период 1998–1999 годов на долю разработки стратегич</w:t>
      </w:r>
      <w:r>
        <w:t>е</w:t>
      </w:r>
      <w:r>
        <w:t>ской политики, которая включает работу по анализу учета гендерных факторов, будет приходиться пр</w:t>
      </w:r>
      <w:r>
        <w:t>и</w:t>
      </w:r>
      <w:r>
        <w:t>мерно 40 процентов бюджета министерства по д</w:t>
      </w:r>
      <w:r>
        <w:t>е</w:t>
      </w:r>
      <w:r>
        <w:t>лам женщин. Государственные департаменты дол</w:t>
      </w:r>
      <w:r>
        <w:t>ж</w:t>
      </w:r>
      <w:r>
        <w:t>ны консультироваться с министерством по всем в</w:t>
      </w:r>
      <w:r>
        <w:t>о</w:t>
      </w:r>
      <w:r>
        <w:t>просам, касающимся экономического и социального положения женщин, при этом правительственные учреждения будут поощрять учет результатов ге</w:t>
      </w:r>
      <w:r>
        <w:t>н</w:t>
      </w:r>
      <w:r>
        <w:t>дерного анализа в рамках разработки ими соотве</w:t>
      </w:r>
      <w:r>
        <w:t>т</w:t>
      </w:r>
      <w:r>
        <w:t>ствующей политики и пр</w:t>
      </w:r>
      <w:r>
        <w:t>о</w:t>
      </w:r>
      <w:r>
        <w:t>грамм.</w:t>
      </w:r>
    </w:p>
    <w:p w:rsidR="00000000" w:rsidRDefault="00000000">
      <w:pPr>
        <w:pStyle w:val="DualTxt"/>
      </w:pPr>
      <w:r>
        <w:t>20.</w:t>
      </w:r>
      <w:r>
        <w:tab/>
        <w:t>В ответ на вопрос 9 она поясняет, что масшт</w:t>
      </w:r>
      <w:r>
        <w:t>а</w:t>
      </w:r>
      <w:r>
        <w:t>бы проекта «Consistency 2000» не были оправданы его результатами, поскольку были выявлены лишь незначительные нарушения Закона. Правительство открыто заявило, что исполнительные органы должны соблюдать все принципы Закона о правах человека 1993 года.</w:t>
      </w:r>
    </w:p>
    <w:p w:rsidR="00000000" w:rsidRDefault="00000000">
      <w:pPr>
        <w:pStyle w:val="DualTxt"/>
      </w:pPr>
      <w:r>
        <w:t>21.</w:t>
      </w:r>
      <w:r>
        <w:tab/>
        <w:t>В отношении вопроса 10 она говорит, что Д</w:t>
      </w:r>
      <w:r>
        <w:t>е</w:t>
      </w:r>
      <w:r>
        <w:t>партамент труда представляет информацию о пр</w:t>
      </w:r>
      <w:r>
        <w:t>а</w:t>
      </w:r>
      <w:r>
        <w:t>вах и обязанностях в сфере занятости с помощью различных средств, включая бесплатные телефо</w:t>
      </w:r>
      <w:r>
        <w:t>н</w:t>
      </w:r>
      <w:r>
        <w:t>ные линии, буклеты и веб</w:t>
      </w:r>
      <w:r>
        <w:noBreakHyphen/>
        <w:t>сайт в системе Интерн</w:t>
      </w:r>
      <w:r>
        <w:t>е</w:t>
      </w:r>
      <w:r>
        <w:t>та. В 1995 году министерство по делам женщин в</w:t>
      </w:r>
      <w:r>
        <w:t>ы</w:t>
      </w:r>
      <w:r>
        <w:t>пустило два буклета о правах женщин на оплач</w:t>
      </w:r>
      <w:r>
        <w:t>и</w:t>
      </w:r>
      <w:r>
        <w:t>ваемый труд; они вышли большим тиражом. Мин</w:t>
      </w:r>
      <w:r>
        <w:t>и</w:t>
      </w:r>
      <w:r>
        <w:t>стерство образования и Комиссия по правам чел</w:t>
      </w:r>
      <w:r>
        <w:t>о</w:t>
      </w:r>
      <w:r>
        <w:t>века разработали руководящие принципы для уче</w:t>
      </w:r>
      <w:r>
        <w:t>б</w:t>
      </w:r>
      <w:r>
        <w:t>ных заведений, а Комиссия обеспечивает подгото</w:t>
      </w:r>
      <w:r>
        <w:t>в</w:t>
      </w:r>
      <w:r>
        <w:t>ку по вопросам прав человека, в том числе прав ж</w:t>
      </w:r>
      <w:r>
        <w:t>и</w:t>
      </w:r>
      <w:r>
        <w:t>телей Новой Зеландии по международным соглаш</w:t>
      </w:r>
      <w:r>
        <w:t>е</w:t>
      </w:r>
      <w:r>
        <w:t>ниям, включая Конвенцию. Соответствующее об</w:t>
      </w:r>
      <w:r>
        <w:t>у</w:t>
      </w:r>
      <w:r>
        <w:t>чение предоставляется конкретным группам, вкл</w:t>
      </w:r>
      <w:r>
        <w:t>ю</w:t>
      </w:r>
      <w:r>
        <w:t>чая маори, тихоокеанские и другие этнические группы. Конвенция не переводилась на другие яз</w:t>
      </w:r>
      <w:r>
        <w:t>ы</w:t>
      </w:r>
      <w:r>
        <w:t>ки, помимо ан</w:t>
      </w:r>
      <w:r>
        <w:t>г</w:t>
      </w:r>
      <w:r>
        <w:t>лийского.</w:t>
      </w:r>
    </w:p>
    <w:p w:rsidR="00000000" w:rsidRDefault="00000000">
      <w:pPr>
        <w:pStyle w:val="DualTxt"/>
      </w:pPr>
      <w:r>
        <w:t>22.</w:t>
      </w:r>
      <w:r>
        <w:tab/>
        <w:t>Отвечая на вопрос 11, она говорит, что ди</w:t>
      </w:r>
      <w:r>
        <w:t>с</w:t>
      </w:r>
      <w:r>
        <w:t>криминация, основанная на семейном положении является одним из «новых оснований», определе</w:t>
      </w:r>
      <w:r>
        <w:t>н</w:t>
      </w:r>
      <w:r>
        <w:t>ных в Законе о правах человека 1993 года. Соотве</w:t>
      </w:r>
      <w:r>
        <w:t>т</w:t>
      </w:r>
      <w:r>
        <w:t>ственно работник может подать жалобу о дискр</w:t>
      </w:r>
      <w:r>
        <w:t>и</w:t>
      </w:r>
      <w:r>
        <w:t>минации на основе семейного положения в Отдел жалоб Комиссии по правам человека. Правительс</w:t>
      </w:r>
      <w:r>
        <w:t>т</w:t>
      </w:r>
      <w:r>
        <w:t>во осознает, что отдельные трудовые контракты иногда содержат положения о конфиденциальности, что может затруднить для работников определение того, имеет ли место случай дискриминации по З</w:t>
      </w:r>
      <w:r>
        <w:t>а</w:t>
      </w:r>
      <w:r>
        <w:t>кону о равной оплате 1972 года. Однако сведения об окладах могут быть обнародованы без нарушения Закона о личной жизни, поскольку указанная и</w:t>
      </w:r>
      <w:r>
        <w:t>н</w:t>
      </w:r>
      <w:r>
        <w:t>формация не носит личностного характера в рамках понимания этого Зак</w:t>
      </w:r>
      <w:r>
        <w:t>о</w:t>
      </w:r>
      <w:r>
        <w:t>на.</w:t>
      </w:r>
    </w:p>
    <w:p w:rsidR="00000000" w:rsidRDefault="00000000">
      <w:pPr>
        <w:pStyle w:val="DualTxt"/>
      </w:pPr>
      <w:r>
        <w:t>23.</w:t>
      </w:r>
      <w:r>
        <w:tab/>
        <w:t>Система выплаты компенсации при несчас</w:t>
      </w:r>
      <w:r>
        <w:t>т</w:t>
      </w:r>
      <w:r>
        <w:t>ном случае устранена не была, и все новозеландцы пользуются 24</w:t>
      </w:r>
      <w:r>
        <w:noBreakHyphen/>
        <w:t>часовой страховкой в целях получ</w:t>
      </w:r>
      <w:r>
        <w:t>е</w:t>
      </w:r>
      <w:r>
        <w:t>ния компенсации при несчас</w:t>
      </w:r>
      <w:r>
        <w:t>т</w:t>
      </w:r>
      <w:r>
        <w:t>ном случае.</w:t>
      </w:r>
    </w:p>
    <w:p w:rsidR="00000000" w:rsidRDefault="00000000">
      <w:pPr>
        <w:pStyle w:val="DualTxt"/>
      </w:pPr>
      <w:r>
        <w:t>24.</w:t>
      </w:r>
      <w:r>
        <w:tab/>
        <w:t>Тенденции, характерные для рынка труда, и изменения условий на рабочем месте контролир</w:t>
      </w:r>
      <w:r>
        <w:t>у</w:t>
      </w:r>
      <w:r>
        <w:t>ются Службой отношений в промышленности Д</w:t>
      </w:r>
      <w:r>
        <w:t>е</w:t>
      </w:r>
      <w:r>
        <w:t>партамента труда. Данные дезагрегируются по пр</w:t>
      </w:r>
      <w:r>
        <w:t>и</w:t>
      </w:r>
      <w:r>
        <w:t>знаку пола, и разрабатывается политика с учетом результатов обследований.</w:t>
      </w:r>
    </w:p>
    <w:p w:rsidR="00000000" w:rsidRDefault="00000000">
      <w:pPr>
        <w:pStyle w:val="DualTxt"/>
      </w:pPr>
      <w:r>
        <w:t>25.</w:t>
      </w:r>
      <w:r>
        <w:tab/>
        <w:t>Наконец, в связи с вопросом 12 она поясняет, что имело место лишь одно нападение на женщину определенной этнической группы; нет оснований предполагать, что оно было м</w:t>
      </w:r>
      <w:r>
        <w:t>о</w:t>
      </w:r>
      <w:r>
        <w:t>тивировано ее полом.</w:t>
      </w:r>
    </w:p>
    <w:p w:rsidR="00000000" w:rsidRDefault="00000000">
      <w:pPr>
        <w:pStyle w:val="DualTxt"/>
      </w:pPr>
      <w:r>
        <w:t>26.</w:t>
      </w:r>
      <w:r>
        <w:tab/>
      </w:r>
      <w:r>
        <w:rPr>
          <w:b/>
        </w:rPr>
        <w:t>Г</w:t>
      </w:r>
      <w:r>
        <w:rPr>
          <w:b/>
        </w:rPr>
        <w:noBreakHyphen/>
        <w:t>жа Лоренс</w:t>
      </w:r>
      <w:r>
        <w:t xml:space="preserve"> (Новая Зеландия), отвечая на в</w:t>
      </w:r>
      <w:r>
        <w:t>о</w:t>
      </w:r>
      <w:r>
        <w:t>просы 13, 14 и 15, говорит, что раздел 73 Закона о правах человека предусматривает специальные м</w:t>
      </w:r>
      <w:r>
        <w:t>е</w:t>
      </w:r>
      <w:r>
        <w:t>ры в отношении некоторых групп в целях обеспеч</w:t>
      </w:r>
      <w:r>
        <w:t>е</w:t>
      </w:r>
      <w:r>
        <w:t>ния равенства. По разделам 61 и 63 Закона незако</w:t>
      </w:r>
      <w:r>
        <w:t>н</w:t>
      </w:r>
      <w:r>
        <w:t>но публиковать письменные материалы или перед</w:t>
      </w:r>
      <w:r>
        <w:t>а</w:t>
      </w:r>
      <w:r>
        <w:t>вать сообщения, которые могут послужить угрозой, примером дурного обращения или оскорблением, или использовать визуальные материалы и формы поведения оскорбительного или враждебного х</w:t>
      </w:r>
      <w:r>
        <w:t>а</w:t>
      </w:r>
      <w:r>
        <w:t>рактера.</w:t>
      </w:r>
    </w:p>
    <w:p w:rsidR="00000000" w:rsidRDefault="00000000">
      <w:pPr>
        <w:pStyle w:val="DualTxt"/>
      </w:pPr>
      <w:r>
        <w:t>27.</w:t>
      </w:r>
      <w:r>
        <w:tab/>
        <w:t>Передача ответственности за поддержку инв</w:t>
      </w:r>
      <w:r>
        <w:t>а</w:t>
      </w:r>
      <w:r>
        <w:t>лидов от Департамента социального обеспечения Управлению финансирования здравоохранения п</w:t>
      </w:r>
      <w:r>
        <w:t>о</w:t>
      </w:r>
      <w:r>
        <w:t>могла уменьшить нераве</w:t>
      </w:r>
      <w:r>
        <w:t>н</w:t>
      </w:r>
      <w:r>
        <w:t>ство между женщинами-инвалидами и неинвалидами. В период 1996–1997 годов объем финансирования услуг на дому, а также дополнительных средств для поддержки организ</w:t>
      </w:r>
      <w:r>
        <w:t>а</w:t>
      </w:r>
      <w:r>
        <w:t>ций, оказывающих такие услуги, и закупки обор</w:t>
      </w:r>
      <w:r>
        <w:t>у</w:t>
      </w:r>
      <w:r>
        <w:t>дования увеличился на 35 процентов. Укрепление служб ухода за престарелыми людьми особенно помогло женщинам, поскольку инвалидность во</w:t>
      </w:r>
      <w:r>
        <w:t>з</w:t>
      </w:r>
      <w:r>
        <w:t>растает с возрастом, а женщины живут дольше, чем мужч</w:t>
      </w:r>
      <w:r>
        <w:t>и</w:t>
      </w:r>
      <w:r>
        <w:t>ны.</w:t>
      </w:r>
    </w:p>
    <w:p w:rsidR="00000000" w:rsidRDefault="00000000">
      <w:pPr>
        <w:pStyle w:val="DualTxt"/>
      </w:pPr>
      <w:r>
        <w:t>28.</w:t>
      </w:r>
      <w:r>
        <w:tab/>
        <w:t>Правительство признает и поддерживает Н</w:t>
      </w:r>
      <w:r>
        <w:t>о</w:t>
      </w:r>
      <w:r>
        <w:t>возеландскую федерацию этнических советов в к</w:t>
      </w:r>
      <w:r>
        <w:t>а</w:t>
      </w:r>
      <w:r>
        <w:t>честве одного из национальных органов, дейс</w:t>
      </w:r>
      <w:r>
        <w:t>т</w:t>
      </w:r>
      <w:r>
        <w:t>вующего в интересах людей различной культурной и этнической принадлежности. С Федерацией рег</w:t>
      </w:r>
      <w:r>
        <w:t>у</w:t>
      </w:r>
      <w:r>
        <w:t>лярно консультируются о мерах по оказанию пом</w:t>
      </w:r>
      <w:r>
        <w:t>о</w:t>
      </w:r>
      <w:r>
        <w:t>щи в целях расселения в Новой Зеландии мигрантов и поощрения межэтнического согласия. В период 1990–1998 годов Федерация получила от Совета по субсидиям в рамках лотерей безвозмездные субс</w:t>
      </w:r>
      <w:r>
        <w:t>и</w:t>
      </w:r>
      <w:r>
        <w:t>дии на общую сумму 158 166 новозеландских до</w:t>
      </w:r>
      <w:r>
        <w:t>л</w:t>
      </w:r>
      <w:r>
        <w:t>ларов.</w:t>
      </w:r>
    </w:p>
    <w:p w:rsidR="00000000" w:rsidRDefault="00000000">
      <w:pPr>
        <w:pStyle w:val="DualTxt"/>
      </w:pPr>
      <w:r>
        <w:t>29.</w:t>
      </w:r>
      <w:r>
        <w:tab/>
        <w:t>В ответ на вопрос 16 она говорит, что меры, принимаемые по разделу 73 Закона о правах чел</w:t>
      </w:r>
      <w:r>
        <w:t>о</w:t>
      </w:r>
      <w:r>
        <w:t>века, могут быть описаны в качестве положител</w:t>
      </w:r>
      <w:r>
        <w:t>ь</w:t>
      </w:r>
      <w:r>
        <w:t>ных действий или позитивной дискриминации. Правительственные программы, рассчитанные на устранение неравенства в области здравоохранения, занятости и профессиональной подготовки, пред</w:t>
      </w:r>
      <w:r>
        <w:t>у</w:t>
      </w:r>
      <w:r>
        <w:t>сматривают ряд мер, конкретно рассчитанных на женщин. Программы оказания помощи безрабо</w:t>
      </w:r>
      <w:r>
        <w:t>т</w:t>
      </w:r>
      <w:r>
        <w:t>ным женщинам включают политехнические курсы для женщин, желающих вернуться на оплачива</w:t>
      </w:r>
      <w:r>
        <w:t>е</w:t>
      </w:r>
      <w:r>
        <w:t>мую работу, схемы для женщин-подмастерьев, н</w:t>
      </w:r>
      <w:r>
        <w:t>а</w:t>
      </w:r>
      <w:r>
        <w:t>целенные на то, чтобы побудить работодателей принимать на работу женщин, и курсы по поощр</w:t>
      </w:r>
      <w:r>
        <w:t>е</w:t>
      </w:r>
      <w:r>
        <w:t>нию женщин к получению профессий, в которых они традиционно недостаточно представл</w:t>
      </w:r>
      <w:r>
        <w:t>е</w:t>
      </w:r>
      <w:r>
        <w:t>ны.</w:t>
      </w:r>
    </w:p>
    <w:p w:rsidR="00000000" w:rsidRDefault="00000000">
      <w:pPr>
        <w:pStyle w:val="DualTxt"/>
      </w:pPr>
      <w:r>
        <w:t>30.</w:t>
      </w:r>
      <w:r>
        <w:tab/>
        <w:t>В ответ на вопрос 17 она заявляет, что Пол</w:t>
      </w:r>
      <w:r>
        <w:t>и</w:t>
      </w:r>
      <w:r>
        <w:t>тика равных возможностей в сфере занятости до 2010 года для государственной службы нацелена на устранение несправедливой дискриминации на р</w:t>
      </w:r>
      <w:r>
        <w:t>а</w:t>
      </w:r>
      <w:r>
        <w:t>боте на основе формирования организационной культуры, которая позволяет обеспечить равный доступ к источникам занятости и справедливые возможности в сфере развития карьеры на основе процедурной справедливости. Количественные ц</w:t>
      </w:r>
      <w:r>
        <w:t>е</w:t>
      </w:r>
      <w:r>
        <w:t>ли не предусмотрены, поскольку они рассматрив</w:t>
      </w:r>
      <w:r>
        <w:t>а</w:t>
      </w:r>
      <w:r>
        <w:t>ются в качестве квот. Подход Новой Зеландии к обеспечению равных возможностей в сфере занят</w:t>
      </w:r>
      <w:r>
        <w:t>о</w:t>
      </w:r>
      <w:r>
        <w:t>сти основан на концепции заслуг. Осуществление политики в сфере равных возможностей будет ко</w:t>
      </w:r>
      <w:r>
        <w:t>н</w:t>
      </w:r>
      <w:r>
        <w:t>тролироваться на р</w:t>
      </w:r>
      <w:r>
        <w:t>е</w:t>
      </w:r>
      <w:r>
        <w:t>гулярной основе до 2005 года.</w:t>
      </w:r>
    </w:p>
    <w:p w:rsidR="00000000" w:rsidRDefault="00000000">
      <w:pPr>
        <w:pStyle w:val="DualTxt"/>
      </w:pPr>
      <w:r>
        <w:t>31.</w:t>
      </w:r>
      <w:r>
        <w:tab/>
        <w:t>Она поясняет в связи с вопросом 18, что в Н</w:t>
      </w:r>
      <w:r>
        <w:t>о</w:t>
      </w:r>
      <w:r>
        <w:t>вой Зеландии незаконно дискриминировать в отн</w:t>
      </w:r>
      <w:r>
        <w:t>о</w:t>
      </w:r>
      <w:r>
        <w:t>шении женщин любой культуры или этнического происхождения по признакам пола, при этом через юридическую систему можно пытаться получить средства судебной защиты. Правительство, призн</w:t>
      </w:r>
      <w:r>
        <w:t>а</w:t>
      </w:r>
      <w:r>
        <w:t>вая широкие различия во мнениях по вопросу о месте женщин в обществе, демонстрирует равенс</w:t>
      </w:r>
      <w:r>
        <w:t>т</w:t>
      </w:r>
      <w:r>
        <w:t>во мужчин и женщин во всех культурах как в ра</w:t>
      </w:r>
      <w:r>
        <w:t>м</w:t>
      </w:r>
      <w:r>
        <w:t>ках законодательной системы, так и инициатив по назначению женщин маори в государственные сов</w:t>
      </w:r>
      <w:r>
        <w:t>е</w:t>
      </w:r>
      <w:r>
        <w:t>ты и комитеты и на ключевые руководящие дол</w:t>
      </w:r>
      <w:r>
        <w:t>ж</w:t>
      </w:r>
      <w:r>
        <w:t>ности. Оно обеспечивает наличие программ борьбы с насилием в семье, которые отвечают потребн</w:t>
      </w:r>
      <w:r>
        <w:t>о</w:t>
      </w:r>
      <w:r>
        <w:t>стям пострадавших общин, включая Тихоокеанские острова и этнические меньшинства. Государстве</w:t>
      </w:r>
      <w:r>
        <w:t>н</w:t>
      </w:r>
      <w:r>
        <w:t>ная система образования играет важную роль в пр</w:t>
      </w:r>
      <w:r>
        <w:t>о</w:t>
      </w:r>
      <w:r>
        <w:t>тиводействии стереотипным взглядам, а учебные планы способствуют укреплению политики борьбы с недоброжелательным отношением к женщинам и обеспечивают гендерный баланс при использовании материалов.</w:t>
      </w:r>
    </w:p>
    <w:p w:rsidR="00000000" w:rsidRDefault="00000000">
      <w:pPr>
        <w:pStyle w:val="DualTxt"/>
      </w:pPr>
      <w:r>
        <w:t>32.</w:t>
      </w:r>
      <w:r>
        <w:tab/>
        <w:t>В ответ на вопрос 19 она говорит, что после вступления в силу в 1996 году Закона о бытовом н</w:t>
      </w:r>
      <w:r>
        <w:t>а</w:t>
      </w:r>
      <w:r>
        <w:t>силии поступило 13 702 заявления о защите и были выданы 10 525 временных и 6880 окончательных ордеров. Лица, совершившие акты бытового нас</w:t>
      </w:r>
      <w:r>
        <w:t>и</w:t>
      </w:r>
      <w:r>
        <w:t>лия, направляются для участия в специальные пр</w:t>
      </w:r>
      <w:r>
        <w:t>о</w:t>
      </w:r>
      <w:r>
        <w:t>граммы реабилитации, при этом в ближайшее время планируется начать утвержденные программы для детей. Почти 100 направлений в месяц выдается для участия в факультативных программах для защ</w:t>
      </w:r>
      <w:r>
        <w:t>и</w:t>
      </w:r>
      <w:r>
        <w:t>щаемых лиц. В настоящее время ведется оценка функционирования Закона. Сорок восемь процентов участников программ реабилитации по Закону с</w:t>
      </w:r>
      <w:r>
        <w:t>о</w:t>
      </w:r>
      <w:r>
        <w:t>ставляют новозеландцы, 24 процента — маори и 8 процентов — жители Тихоокеанских островов. Закон предусматривает наличие специальных пр</w:t>
      </w:r>
      <w:r>
        <w:t>о</w:t>
      </w:r>
      <w:r>
        <w:t>грамм как для маори, так и представителей тих</w:t>
      </w:r>
      <w:r>
        <w:t>о</w:t>
      </w:r>
      <w:r>
        <w:t>океанских групп. Представляется менее вероятным, что женщины с Тихоокеанских островов, по сра</w:t>
      </w:r>
      <w:r>
        <w:t>в</w:t>
      </w:r>
      <w:r>
        <w:t>нению с другими группами, будут пользоваться средствами, доступными по Закону, поэтому была начата серия семинаров для организаторов пр</w:t>
      </w:r>
      <w:r>
        <w:t>о</w:t>
      </w:r>
      <w:r>
        <w:t>граммы на Тихоокеанских островах. Министерство здравоохранения разрабатывает руководящие при</w:t>
      </w:r>
      <w:r>
        <w:t>н</w:t>
      </w:r>
      <w:r>
        <w:t>ципы для медицинских работников, занимающихся в</w:t>
      </w:r>
      <w:r>
        <w:t>о</w:t>
      </w:r>
      <w:r>
        <w:t>просами насилия в семье.</w:t>
      </w:r>
    </w:p>
    <w:p w:rsidR="00000000" w:rsidRDefault="00000000">
      <w:pPr>
        <w:pStyle w:val="DualTxt"/>
      </w:pPr>
      <w:r>
        <w:t>33.</w:t>
      </w:r>
      <w:r>
        <w:tab/>
        <w:t>Касаясь вопроса 20, она указывает, что и</w:t>
      </w:r>
      <w:r>
        <w:t>н</w:t>
      </w:r>
      <w:r>
        <w:t>формация о правах и обязанностях в сфере занят</w:t>
      </w:r>
      <w:r>
        <w:t>о</w:t>
      </w:r>
      <w:r>
        <w:t>сти, предоставляемая Департаментом труда, вкл</w:t>
      </w:r>
      <w:r>
        <w:t>ю</w:t>
      </w:r>
      <w:r>
        <w:t>чает сведения о защите против сексуального дом</w:t>
      </w:r>
      <w:r>
        <w:t>о</w:t>
      </w:r>
      <w:r>
        <w:t>гательства. Были определены руководящие принц</w:t>
      </w:r>
      <w:r>
        <w:t>и</w:t>
      </w:r>
      <w:r>
        <w:t>пы в отношении профилактики и рассмотрения случаев сексуального домогательства на рабочем месте, а Министерство по делам женщин выпуст</w:t>
      </w:r>
      <w:r>
        <w:t>и</w:t>
      </w:r>
      <w:r>
        <w:t>ло памфлет для работающих женщин, который с</w:t>
      </w:r>
      <w:r>
        <w:t>о</w:t>
      </w:r>
      <w:r>
        <w:t>держит информацию о фактах сексуального домог</w:t>
      </w:r>
      <w:r>
        <w:t>а</w:t>
      </w:r>
      <w:r>
        <w:t>тельства. В настоящее время большинство школ и высших учебных заведений проводят соответс</w:t>
      </w:r>
      <w:r>
        <w:t>т</w:t>
      </w:r>
      <w:r>
        <w:t>вующую политику в отношении сексуального дом</w:t>
      </w:r>
      <w:r>
        <w:t>о</w:t>
      </w:r>
      <w:r>
        <w:t>гательства и все больше используют имеющиеся уче</w:t>
      </w:r>
      <w:r>
        <w:t>б</w:t>
      </w:r>
      <w:r>
        <w:t>ные средства.</w:t>
      </w:r>
    </w:p>
    <w:p w:rsidR="00000000" w:rsidRDefault="00000000">
      <w:pPr>
        <w:pStyle w:val="DualTxt"/>
      </w:pPr>
      <w:r>
        <w:t>34.</w:t>
      </w:r>
      <w:r>
        <w:tab/>
        <w:t>В ответ на вопрос 21 она говорит, что пр</w:t>
      </w:r>
      <w:r>
        <w:t>о</w:t>
      </w:r>
      <w:r>
        <w:t>грамма медицинского просвещения для школ вкл</w:t>
      </w:r>
      <w:r>
        <w:t>ю</w:t>
      </w:r>
      <w:r>
        <w:t>чает факультативную программу в области полов</w:t>
      </w:r>
      <w:r>
        <w:t>о</w:t>
      </w:r>
      <w:r>
        <w:t>го образования, и все новозеландские школы, за и</w:t>
      </w:r>
      <w:r>
        <w:t>с</w:t>
      </w:r>
      <w:r>
        <w:t>ключением 2 процентов, включают в свои програ</w:t>
      </w:r>
      <w:r>
        <w:t>м</w:t>
      </w:r>
      <w:r>
        <w:t>мы медицинского просвещения компоненты об о</w:t>
      </w:r>
      <w:r>
        <w:t>х</w:t>
      </w:r>
      <w:r>
        <w:t>ране сексуального и репродуктивного здоровья. К</w:t>
      </w:r>
      <w:r>
        <w:t>а</w:t>
      </w:r>
      <w:r>
        <w:t>кая-либо конкретная информация о последствиях программ, касающихся гендерных стереотипов, о</w:t>
      </w:r>
      <w:r>
        <w:t>т</w:t>
      </w:r>
      <w:r>
        <w:t>сутствует. Касаясь вопроса 22, она говорит, что нет никаких новых данных об изменении отношения мужчин к совместному выполнению домашней р</w:t>
      </w:r>
      <w:r>
        <w:t>а</w:t>
      </w:r>
      <w:r>
        <w:t>боты.</w:t>
      </w:r>
    </w:p>
    <w:p w:rsidR="00000000" w:rsidRDefault="00000000">
      <w:pPr>
        <w:pStyle w:val="DualTxt"/>
      </w:pPr>
      <w:r>
        <w:t>35.</w:t>
      </w:r>
      <w:r>
        <w:tab/>
        <w:t>В Уголовном законодательстве Новой Зела</w:t>
      </w:r>
      <w:r>
        <w:t>н</w:t>
      </w:r>
      <w:r>
        <w:t>дии имеется несколько положений, касающихся многих ситуаций, которые могут быть охарактер</w:t>
      </w:r>
      <w:r>
        <w:t>и</w:t>
      </w:r>
      <w:r>
        <w:t>зованы в качестве «торговли» (вопрос 23), особенно в связи с использованием рабов, похищением людей с целью выкупа, похищением женщины или деву</w:t>
      </w:r>
      <w:r>
        <w:t>ш</w:t>
      </w:r>
      <w:r>
        <w:t>ки и похищением ребенка в возрасте до 16 лет. П</w:t>
      </w:r>
      <w:r>
        <w:t>о</w:t>
      </w:r>
      <w:r>
        <w:t>правки 1995 года к Закону о преступлениях делают организацию или поощрение детского секс-туризма уголовно наказуемым преступлением. Предприн</w:t>
      </w:r>
      <w:r>
        <w:t>и</w:t>
      </w:r>
      <w:r>
        <w:t>маются усилия по декриминализации проституции (вопрос 24), и в настоящее время с этой целью ра</w:t>
      </w:r>
      <w:r>
        <w:t>з</w:t>
      </w:r>
      <w:r>
        <w:t>рабатывается соответствующий законопроект. Женщина, работающая проституткой, имеет те же права, что и любая другая женщина (вопрос 25).</w:t>
      </w:r>
    </w:p>
    <w:p w:rsidR="00000000" w:rsidRDefault="00000000">
      <w:pPr>
        <w:pStyle w:val="DualTxt"/>
      </w:pPr>
      <w:r>
        <w:t>36.</w:t>
      </w:r>
      <w:r>
        <w:tab/>
        <w:t>В отношении вопроса 26, по</w:t>
      </w:r>
      <w:r>
        <w:noBreakHyphen/>
        <w:t>видимому, нет никаких существенных юридических препятствий на пути ликвидации всех форм торговли женщин</w:t>
      </w:r>
      <w:r>
        <w:t>а</w:t>
      </w:r>
      <w:r>
        <w:t>ми и эксплуатации женской проституции. Испол</w:t>
      </w:r>
      <w:r>
        <w:t>ь</w:t>
      </w:r>
      <w:r>
        <w:t>зование женщины с целью проституции является преступлением по Закону о преступлениях, причем правонарушением считается также проживание за счет доходов проститутки или содержания публи</w:t>
      </w:r>
      <w:r>
        <w:t>ч</w:t>
      </w:r>
      <w:r>
        <w:t>ного дома. Практическая трудность в ликвидации этой деятельности заключается в том, что наход</w:t>
      </w:r>
      <w:r>
        <w:t>я</w:t>
      </w:r>
      <w:r>
        <w:t>щиеся в уязвимом положении женщины, как прав</w:t>
      </w:r>
      <w:r>
        <w:t>и</w:t>
      </w:r>
      <w:r>
        <w:t>ло, не являются жителями страны, культурно из</w:t>
      </w:r>
      <w:r>
        <w:t>о</w:t>
      </w:r>
      <w:r>
        <w:t>лированы и не знают английского языка. В 1997 году не было зарегистрировано никаких пр</w:t>
      </w:r>
      <w:r>
        <w:t>е</w:t>
      </w:r>
      <w:r>
        <w:t>ступлений в связи с участием новозеландцев или организацией ими детских секс-туров за границу (вопрос 27).</w:t>
      </w:r>
    </w:p>
    <w:p w:rsidR="00000000" w:rsidRDefault="00000000">
      <w:pPr>
        <w:pStyle w:val="DualTxt"/>
      </w:pPr>
      <w:r>
        <w:t>37.</w:t>
      </w:r>
      <w:r>
        <w:tab/>
        <w:t>Что касается вопроса 28, то изнасилование о</w:t>
      </w:r>
      <w:r>
        <w:t>п</w:t>
      </w:r>
      <w:r>
        <w:t>ределяется в Законе о преступлениях 1961 года в качестве более широкого правонарушения, каса</w:t>
      </w:r>
      <w:r>
        <w:t>ю</w:t>
      </w:r>
      <w:r>
        <w:t>щегося сексуального насилия. В 1995 году были з</w:t>
      </w:r>
      <w:r>
        <w:t>а</w:t>
      </w:r>
      <w:r>
        <w:t>регистрированы 686 изнасилований из 1155 правонарушений, касающихся сексуального насилия, а в 1996 году — 819 изнасилований из 1287 сексуальных правонарушений. Никакой о</w:t>
      </w:r>
      <w:r>
        <w:t>т</w:t>
      </w:r>
      <w:r>
        <w:t>дельной системы выплаты компенсации за ущерб, причиненный в результате преступления, не сущ</w:t>
      </w:r>
      <w:r>
        <w:t>е</w:t>
      </w:r>
      <w:r>
        <w:t>ствует. Закон о страховании от несчастного случая, реабилитации и компенсации 1992 года не пред</w:t>
      </w:r>
      <w:r>
        <w:t>у</w:t>
      </w:r>
      <w:r>
        <w:t>сматривает выплаты компенсации за причиненную боль и психологические страдания; вместо этого он обеспечивает наличие системы страхования с целью выплаты компенсации и реабилитации для жертв преступления, в том числе жертв изнасилования. Правонарушителям может быть приказано выпл</w:t>
      </w:r>
      <w:r>
        <w:t>а</w:t>
      </w:r>
      <w:r>
        <w:t>тить компенсацию своим жертвам, а суды могут н</w:t>
      </w:r>
      <w:r>
        <w:t>а</w:t>
      </w:r>
      <w:r>
        <w:t>значить часть наложенных штрафов в пользу жертв.</w:t>
      </w:r>
    </w:p>
    <w:p w:rsidR="00000000" w:rsidRDefault="00000000">
      <w:pPr>
        <w:pStyle w:val="DualTxt"/>
      </w:pPr>
      <w:r>
        <w:t>38.</w:t>
      </w:r>
      <w:r>
        <w:tab/>
      </w:r>
      <w:r>
        <w:rPr>
          <w:b/>
        </w:rPr>
        <w:t>Г</w:t>
      </w:r>
      <w:r>
        <w:rPr>
          <w:b/>
        </w:rPr>
        <w:noBreakHyphen/>
        <w:t>жа Моррис</w:t>
      </w:r>
      <w:r>
        <w:t xml:space="preserve"> (Новая Зеландия), отвечая на вопрос 29, говорит, что на последних пяти всео</w:t>
      </w:r>
      <w:r>
        <w:t>б</w:t>
      </w:r>
      <w:r>
        <w:t>щих выборах женщины добились более широкого представительства, однако неясно, обусловлена ли эта тенденция системой пропорционального пре</w:t>
      </w:r>
      <w:r>
        <w:t>д</w:t>
      </w:r>
      <w:r>
        <w:t>ставительства. В 1993 году женщины занимали 21 место в парламенте; в настоящее время они с</w:t>
      </w:r>
      <w:r>
        <w:t>о</w:t>
      </w:r>
      <w:r>
        <w:t>ставляют в нем 30 процентов. Никакого существе</w:t>
      </w:r>
      <w:r>
        <w:t>н</w:t>
      </w:r>
      <w:r>
        <w:t>ного различия между мужчинами и женщинами в явке избирателей не существует. В отношении в</w:t>
      </w:r>
      <w:r>
        <w:t>о</w:t>
      </w:r>
      <w:r>
        <w:t>проса 30 она заявляет, что 16 процентов женщин — членов парламента являются маори. Одним из чл</w:t>
      </w:r>
      <w:r>
        <w:t>е</w:t>
      </w:r>
      <w:r>
        <w:t>нов парламента стала женщина-азиатка, но ни одна женщина с Тихоокеанских островов не была избр</w:t>
      </w:r>
      <w:r>
        <w:t>а</w:t>
      </w:r>
      <w:r>
        <w:t>на его чл</w:t>
      </w:r>
      <w:r>
        <w:t>е</w:t>
      </w:r>
      <w:r>
        <w:t>ном.</w:t>
      </w:r>
    </w:p>
    <w:p w:rsidR="00000000" w:rsidRDefault="00000000">
      <w:pPr>
        <w:pStyle w:val="DualTxt"/>
      </w:pPr>
      <w:r>
        <w:t>39.</w:t>
      </w:r>
      <w:r>
        <w:tab/>
        <w:t>Сокращение числа женщин на государстве</w:t>
      </w:r>
      <w:r>
        <w:t>н</w:t>
      </w:r>
      <w:r>
        <w:t>ной службе (вопрос 31) отражает общее уменьш</w:t>
      </w:r>
      <w:r>
        <w:t>е</w:t>
      </w:r>
      <w:r>
        <w:t>ние сотрудников на государственной службе в п</w:t>
      </w:r>
      <w:r>
        <w:t>е</w:t>
      </w:r>
      <w:r>
        <w:t>риод 1991–1997 годов. Доля женщин от этнических групп, подпадающих под действие законодательства о равных возможностях в сфере занятости, остав</w:t>
      </w:r>
      <w:r>
        <w:t>а</w:t>
      </w:r>
      <w:r>
        <w:t>лась относительно стабильной: женщины маори с</w:t>
      </w:r>
      <w:r>
        <w:t>о</w:t>
      </w:r>
      <w:r>
        <w:t>ставляли 6–7 процентов от общего числа, а с Тих</w:t>
      </w:r>
      <w:r>
        <w:t>о</w:t>
      </w:r>
      <w:r>
        <w:t>океанских островов — 2–3 процента.</w:t>
      </w:r>
    </w:p>
    <w:p w:rsidR="00000000" w:rsidRDefault="00000000">
      <w:pPr>
        <w:pStyle w:val="DualTxt"/>
      </w:pPr>
      <w:r>
        <w:t>40.</w:t>
      </w:r>
      <w:r>
        <w:tab/>
        <w:t>В ответ на вопрос 32 она говорит, что стат</w:t>
      </w:r>
      <w:r>
        <w:t>и</w:t>
      </w:r>
      <w:r>
        <w:t>стика об этнической принадлежности женщин, н</w:t>
      </w:r>
      <w:r>
        <w:t>а</w:t>
      </w:r>
      <w:r>
        <w:t>значаемых правительством, не ведется, однако 24 из 169 директоров советов государственных компаний из числа как мужчин, так и женщин назвали себя маори. Доля женщин-директоров составляет 22,5 процента. Недавнее обследование советов ч</w:t>
      </w:r>
      <w:r>
        <w:t>а</w:t>
      </w:r>
      <w:r>
        <w:t>стных и государственных компаний показало, что 10,1 процента директоров составляют женщины, а 46 процентов компаний имеют в своем составе, по крайней мере, одну женщ</w:t>
      </w:r>
      <w:r>
        <w:t>и</w:t>
      </w:r>
      <w:r>
        <w:t>ну-директора.</w:t>
      </w:r>
    </w:p>
    <w:p w:rsidR="00000000" w:rsidRDefault="00000000">
      <w:pPr>
        <w:pStyle w:val="DualTxt"/>
      </w:pPr>
      <w:r>
        <w:t>41.</w:t>
      </w:r>
      <w:r>
        <w:tab/>
        <w:t>Женщины, занимающиеся общественной и п</w:t>
      </w:r>
      <w:r>
        <w:t>о</w:t>
      </w:r>
      <w:r>
        <w:t>литической деятельностью, а также другие женщ</w:t>
      </w:r>
      <w:r>
        <w:t>и</w:t>
      </w:r>
      <w:r>
        <w:t>ны на рабочих местах пользуются службами по</w:t>
      </w:r>
      <w:r>
        <w:t>д</w:t>
      </w:r>
      <w:r>
        <w:t>держки, например детскими и внешкольными у</w:t>
      </w:r>
      <w:r>
        <w:t>ч</w:t>
      </w:r>
      <w:r>
        <w:t>реждениями (вопрос 33). При парламенте Новой Зеландии действуют детские ясли. Большинство местных государственных органов проводят сов</w:t>
      </w:r>
      <w:r>
        <w:t>е</w:t>
      </w:r>
      <w:r>
        <w:t>щания во время, удобное для женщин с точки зр</w:t>
      </w:r>
      <w:r>
        <w:t>е</w:t>
      </w:r>
      <w:r>
        <w:t>ния выполнения ими семейных обязанн</w:t>
      </w:r>
      <w:r>
        <w:t>о</w:t>
      </w:r>
      <w:r>
        <w:t>стей.</w:t>
      </w:r>
    </w:p>
    <w:p w:rsidR="00000000" w:rsidRDefault="00000000">
      <w:pPr>
        <w:pStyle w:val="DualTxt"/>
      </w:pPr>
      <w:r>
        <w:t>42.</w:t>
      </w:r>
      <w:r>
        <w:tab/>
        <w:t>Отвечая на вопрос 34, она говорит, что ник</w:t>
      </w:r>
      <w:r>
        <w:t>а</w:t>
      </w:r>
      <w:r>
        <w:t>кой официальной оценки столетнего юбилея по п</w:t>
      </w:r>
      <w:r>
        <w:t>о</w:t>
      </w:r>
      <w:r>
        <w:t>воду получения женщинами избирательного права не проводилось; однако в конце 1993 года был в</w:t>
      </w:r>
      <w:r>
        <w:t>ы</w:t>
      </w:r>
      <w:r>
        <w:t>пущен справочник с описанием 500 проектов, св</w:t>
      </w:r>
      <w:r>
        <w:t>я</w:t>
      </w:r>
      <w:r>
        <w:t>занных с этим столетним юбилеем, и многие прав</w:t>
      </w:r>
      <w:r>
        <w:t>и</w:t>
      </w:r>
      <w:r>
        <w:t>тельственные департаменты выдали субсидии на образование, которые носят постоянный х</w:t>
      </w:r>
      <w:r>
        <w:t>а</w:t>
      </w:r>
      <w:r>
        <w:t>рактер.</w:t>
      </w:r>
    </w:p>
    <w:p w:rsidR="00000000" w:rsidRDefault="00000000">
      <w:pPr>
        <w:pStyle w:val="DualTxt"/>
      </w:pPr>
      <w:r>
        <w:t>43.</w:t>
      </w:r>
      <w:r>
        <w:tab/>
        <w:t>В отношении вопроса 35 она говорит, что из 303 человек на дипломатической службе работают 114 женщин, при этом из 141 человека 54 женщины работают за рубежом. На дипломатической службе работают 12 женщин маори, причем 2 из них сл</w:t>
      </w:r>
      <w:r>
        <w:t>у</w:t>
      </w:r>
      <w:r>
        <w:t>жат за границей, а из числа тихоокеанских женщин 4 находятся на дипломатической службе, а 2 — за границей. Пять женщин, работающих на службе, относятся к другим этническим группам, и одна из них отправлена за границу. К числу администр</w:t>
      </w:r>
      <w:r>
        <w:t>а</w:t>
      </w:r>
      <w:r>
        <w:t>тивного персонала, который служит за границей, относятся 36 женщин.</w:t>
      </w:r>
    </w:p>
    <w:p w:rsidR="00000000" w:rsidRDefault="00000000">
      <w:pPr>
        <w:pStyle w:val="DualTxt"/>
      </w:pPr>
      <w:r>
        <w:t>44.</w:t>
      </w:r>
      <w:r>
        <w:tab/>
        <w:t>Отвечая на вопрос 36, она отмечает, что зая</w:t>
      </w:r>
      <w:r>
        <w:t>в</w:t>
      </w:r>
      <w:r>
        <w:t>ления женщин на должности ответственных рабо</w:t>
      </w:r>
      <w:r>
        <w:t>т</w:t>
      </w:r>
      <w:r>
        <w:t>ников министерства иностранных дел и торговли составляют примерно 50 процентов от общего чи</w:t>
      </w:r>
      <w:r>
        <w:t>с</w:t>
      </w:r>
      <w:r>
        <w:t>ла, а доля принимаемых на эти должности на осн</w:t>
      </w:r>
      <w:r>
        <w:t>о</w:t>
      </w:r>
      <w:r>
        <w:t>ве заслуг варьировалась в последние пять лет от 47 до 70 процентов. Министерство привлекает же</w:t>
      </w:r>
      <w:r>
        <w:t>н</w:t>
      </w:r>
      <w:r>
        <w:t>щин-кандидатов из числа стипендиатов маори и представителей Тихоокеанских островов на основе посещения сотрудницами университетов, описания биографий сотрудниц в его материалах, посвяще</w:t>
      </w:r>
      <w:r>
        <w:t>н</w:t>
      </w:r>
      <w:r>
        <w:t>ных приему на службу, и в рамках «благоприятных с точки зрения семьи» методов политики, таких, как гибкие часы работы и возмещение затрат на уход за детьми. Женщины регулярно возглавляют зарубе</w:t>
      </w:r>
      <w:r>
        <w:t>ж</w:t>
      </w:r>
      <w:r>
        <w:t>ные делегации и работают в них в качестве экспе</w:t>
      </w:r>
      <w:r>
        <w:t>р</w:t>
      </w:r>
      <w:r>
        <w:t>тов-консультантов. Одна из женщин Новой Зела</w:t>
      </w:r>
      <w:r>
        <w:t>н</w:t>
      </w:r>
      <w:r>
        <w:t>дии была недавно назначена в качестве главы ми</w:t>
      </w:r>
      <w:r>
        <w:t>с</w:t>
      </w:r>
      <w:r>
        <w:t>сии Организации Объединенных Наций на Кипре. Министерство по делам женщин обращает вним</w:t>
      </w:r>
      <w:r>
        <w:t>а</w:t>
      </w:r>
      <w:r>
        <w:t>ние отвечающих требованиям женщин на вакансии, возникающие в межправительственных учрежден</w:t>
      </w:r>
      <w:r>
        <w:t>и</w:t>
      </w:r>
      <w:r>
        <w:t>ях, и выступает за назначение представителей н</w:t>
      </w:r>
      <w:r>
        <w:t>е</w:t>
      </w:r>
      <w:r>
        <w:t>правительственного сектора в государственные д</w:t>
      </w:r>
      <w:r>
        <w:t>е</w:t>
      </w:r>
      <w:r>
        <w:t>легации, направляемые на международные конф</w:t>
      </w:r>
      <w:r>
        <w:t>е</w:t>
      </w:r>
      <w:r>
        <w:t>ренции и переговоры.</w:t>
      </w:r>
    </w:p>
    <w:p w:rsidR="00000000" w:rsidRDefault="00000000">
      <w:pPr>
        <w:pStyle w:val="DualTxt"/>
      </w:pPr>
      <w:r>
        <w:t>45.</w:t>
      </w:r>
      <w:r>
        <w:tab/>
        <w:t>В отношении вопроса 37 она поясняет, что в функции секции женщин и девушек министерства образования были включены функции основной п</w:t>
      </w:r>
      <w:r>
        <w:t>о</w:t>
      </w:r>
      <w:r>
        <w:t>литики министерства после структурной пер</w:t>
      </w:r>
      <w:r>
        <w:t>е</w:t>
      </w:r>
      <w:r>
        <w:t>стройки в 1992 году. Результаты образования дев</w:t>
      </w:r>
      <w:r>
        <w:t>у</w:t>
      </w:r>
      <w:r>
        <w:t>шек и женщин в настоящее время рассматриваются аналитиками политики в этих сферах в целях обе</w:t>
      </w:r>
      <w:r>
        <w:t>с</w:t>
      </w:r>
      <w:r>
        <w:t>печения более целенаправленного учета гендерной перспект</w:t>
      </w:r>
      <w:r>
        <w:t>и</w:t>
      </w:r>
      <w:r>
        <w:t>вы.</w:t>
      </w:r>
    </w:p>
    <w:p w:rsidR="00000000" w:rsidRDefault="00000000">
      <w:pPr>
        <w:pStyle w:val="DualTxt"/>
      </w:pPr>
      <w:r>
        <w:t>46.</w:t>
      </w:r>
      <w:r>
        <w:tab/>
      </w:r>
      <w:r>
        <w:rPr>
          <w:b/>
        </w:rPr>
        <w:t>Г</w:t>
      </w:r>
      <w:r>
        <w:rPr>
          <w:b/>
        </w:rPr>
        <w:noBreakHyphen/>
        <w:t xml:space="preserve">жа Сноуден </w:t>
      </w:r>
      <w:r>
        <w:t>(Новая Зеландия) отмечает в связи с вопросом 38, что 48 процентов детей маори в возрасте до пяти лет в системе образования детей в раннем возрасте составляют девочки. Количество детей маори, участвующих в «коханго рео» (центры по изучению языка маори), возросло в период с 1990 по 1997 год на 34 процента. Осуществляется трехлетняя программа для преподавателей, а Фонд капитального развития обеспечил финансирование новых центров. Группа по развитию детей в раннем возрасте (ГДРВ) помогает родителям получить до</w:t>
      </w:r>
      <w:r>
        <w:t>с</w:t>
      </w:r>
      <w:r>
        <w:t>туп к системе формального образования детей в раннем возрасте на основе формирования групп р</w:t>
      </w:r>
      <w:r>
        <w:t>о</w:t>
      </w:r>
      <w:r>
        <w:t>дителей и создания систем поддержки. Она также способствует развитию центров образования детей в раннем возрасте для детей с Тихоокеанских ос</w:t>
      </w:r>
      <w:r>
        <w:t>т</w:t>
      </w:r>
      <w:r>
        <w:t>ровов. Число таких детей увеличилось в период с 1992 по 1997 год на 15 процентов. К настоящему времени были лицензированы 40 таких центров.</w:t>
      </w:r>
    </w:p>
    <w:p w:rsidR="00000000" w:rsidRDefault="00000000">
      <w:pPr>
        <w:pStyle w:val="DualTxt"/>
      </w:pPr>
      <w:r>
        <w:t>47.</w:t>
      </w:r>
      <w:r>
        <w:tab/>
        <w:t>Касаясь вопроса 40 о количестве детей, охв</w:t>
      </w:r>
      <w:r>
        <w:t>а</w:t>
      </w:r>
      <w:r>
        <w:t>ченных действующими программами или госуда</w:t>
      </w:r>
      <w:r>
        <w:t>р</w:t>
      </w:r>
      <w:r>
        <w:t>ственными учреждениями, она указывает, что К</w:t>
      </w:r>
      <w:r>
        <w:t>о</w:t>
      </w:r>
      <w:r>
        <w:t>митету был представлен полный комплект стат</w:t>
      </w:r>
      <w:r>
        <w:t>и</w:t>
      </w:r>
      <w:r>
        <w:t>стических данных.</w:t>
      </w:r>
    </w:p>
    <w:p w:rsidR="00000000" w:rsidRDefault="00000000">
      <w:pPr>
        <w:pStyle w:val="DualTxt"/>
      </w:pPr>
      <w:r>
        <w:t>48.</w:t>
      </w:r>
      <w:r>
        <w:tab/>
        <w:t>По вопросу о косвенной дискриминации она говорит, что правительство не использует сотру</w:t>
      </w:r>
      <w:r>
        <w:t>д</w:t>
      </w:r>
      <w:r>
        <w:t>ников, специализирующихся на вопросах образов</w:t>
      </w:r>
      <w:r>
        <w:t>а</w:t>
      </w:r>
      <w:r>
        <w:t>ния для детей в раннем возрасте; оно также не о</w:t>
      </w:r>
      <w:r>
        <w:t>п</w:t>
      </w:r>
      <w:r>
        <w:t>ределяет ставки окладов или условия работы и не собирается вмешиваться в функционирование ры</w:t>
      </w:r>
      <w:r>
        <w:t>н</w:t>
      </w:r>
      <w:r>
        <w:t>ка занятости.</w:t>
      </w:r>
    </w:p>
    <w:p w:rsidR="00000000" w:rsidRDefault="00000000">
      <w:pPr>
        <w:pStyle w:val="DualTxt"/>
      </w:pPr>
      <w:r>
        <w:t>49.</w:t>
      </w:r>
      <w:r>
        <w:tab/>
        <w:t>По вопросу о финансировании она подчерк</w:t>
      </w:r>
      <w:r>
        <w:t>и</w:t>
      </w:r>
      <w:r>
        <w:t>вает, что центры, программы и службы, которые о</w:t>
      </w:r>
      <w:r>
        <w:t>т</w:t>
      </w:r>
      <w:r>
        <w:t>вечают требованиям лицензирования, обеспечены государственным финансированием. Во многих случаях такое финансирование значительно больше, чем объем ресурсов, собираемых в ходе кампаний по их мобилизации. Все лицензированные службы развития детей в раннем возрасте подвергаются проверке Управлением по обзору в области образ</w:t>
      </w:r>
      <w:r>
        <w:t>о</w:t>
      </w:r>
      <w:r>
        <w:t>вания. Группа по развитию детей в раннем возрасте отвечает за ежегодное распределение субсидий ср</w:t>
      </w:r>
      <w:r>
        <w:t>е</w:t>
      </w:r>
      <w:r>
        <w:t>ди 700 общественных детских садов и Тихоокеа</w:t>
      </w:r>
      <w:r>
        <w:t>н</w:t>
      </w:r>
      <w:r>
        <w:t>ских лингвистич</w:t>
      </w:r>
      <w:r>
        <w:t>е</w:t>
      </w:r>
      <w:r>
        <w:t>ских групп.</w:t>
      </w:r>
    </w:p>
    <w:p w:rsidR="00000000" w:rsidRDefault="00000000">
      <w:pPr>
        <w:pStyle w:val="DualTxt"/>
      </w:pPr>
      <w:r>
        <w:t>50.</w:t>
      </w:r>
      <w:r>
        <w:tab/>
        <w:t>Отвечая на вопрос 41, она говорит, что прин</w:t>
      </w:r>
      <w:r>
        <w:t>я</w:t>
      </w:r>
      <w:r>
        <w:t>тые в Новой Зеландии учебные планы с учетом ге</w:t>
      </w:r>
      <w:r>
        <w:t>н</w:t>
      </w:r>
      <w:r>
        <w:t>дерной перспективы обеспечивают согласованную основу для изучения и оценки, которая признает образовательные потребности и опыт всех учащи</w:t>
      </w:r>
      <w:r>
        <w:t>х</w:t>
      </w:r>
      <w:r>
        <w:t>ся. Осуществление национальных учебных планов и Национальных руководящих принципов в области образования контролируется Управлением по обз</w:t>
      </w:r>
      <w:r>
        <w:t>о</w:t>
      </w:r>
      <w:r>
        <w:t>ру в области о</w:t>
      </w:r>
      <w:r>
        <w:t>б</w:t>
      </w:r>
      <w:r>
        <w:t>разования.</w:t>
      </w:r>
    </w:p>
    <w:p w:rsidR="00000000" w:rsidRDefault="00000000">
      <w:pPr>
        <w:pStyle w:val="DualTxt"/>
      </w:pPr>
      <w:r>
        <w:t>51.</w:t>
      </w:r>
      <w:r>
        <w:tab/>
        <w:t>В отношении вопроса 42 о заработной плате и занятости женщин с высокой квалификацией след</w:t>
      </w:r>
      <w:r>
        <w:t>у</w:t>
      </w:r>
      <w:r>
        <w:t>ет отметить, что перепись 1996 года показывает, что 57 процентов женщин, имеющих, по крайней мере, степень бакалавра, заняты полный рабочий день по сравнению с 75 процентами мужчин, которые нах</w:t>
      </w:r>
      <w:r>
        <w:t>о</w:t>
      </w:r>
      <w:r>
        <w:t>дятся на аналогичном уровне. Для населения в во</w:t>
      </w:r>
      <w:r>
        <w:t>з</w:t>
      </w:r>
      <w:r>
        <w:t>расте 15 лет и старше доли женщин и мужчин, з</w:t>
      </w:r>
      <w:r>
        <w:t>а</w:t>
      </w:r>
      <w:r>
        <w:t>нятых полный рабочий день, составляют, соотве</w:t>
      </w:r>
      <w:r>
        <w:t>т</w:t>
      </w:r>
      <w:r>
        <w:t>ственно, 34 и 60 процентов; 12 процентов женщин, имеющих диплом, зарабатывают свыше 50 000 долл. США ежегодно по сравнению с 46 процентами мужчин; из всех выпускников ун</w:t>
      </w:r>
      <w:r>
        <w:t>и</w:t>
      </w:r>
      <w:r>
        <w:t>верситетов в 1996 году 51,5 процента составляли же</w:t>
      </w:r>
      <w:r>
        <w:t>н</w:t>
      </w:r>
      <w:r>
        <w:t>щины.</w:t>
      </w:r>
    </w:p>
    <w:p w:rsidR="00000000" w:rsidRDefault="00000000">
      <w:pPr>
        <w:pStyle w:val="DualTxt"/>
      </w:pPr>
      <w:r>
        <w:t>52.</w:t>
      </w:r>
      <w:r>
        <w:tab/>
        <w:t>Касаясь вопроса 44 о дисбалансе между же</w:t>
      </w:r>
      <w:r>
        <w:t>н</w:t>
      </w:r>
      <w:r>
        <w:t>щинами и мужчинами в промышленных учебных организациях (ПУО) и политике позитивных дейс</w:t>
      </w:r>
      <w:r>
        <w:t>т</w:t>
      </w:r>
      <w:r>
        <w:t>вий, она ссылается на объединенные страновые доклады (CEDAW/C/NZL/3–4), указывая, что был принят ряд направлений политики и инициатив. Организации, которые пытаются получить статус ПУО, должны признать факт недостаточной пре</w:t>
      </w:r>
      <w:r>
        <w:t>д</w:t>
      </w:r>
      <w:r>
        <w:t>ставленности женщин в этих программах. Проектам и учебным программам предоставляются финанс</w:t>
      </w:r>
      <w:r>
        <w:t>о</w:t>
      </w:r>
      <w:r>
        <w:t>вая помощь и правительственные субсидии, при этом были разработаны стратегии в целях расшир</w:t>
      </w:r>
      <w:r>
        <w:t>е</w:t>
      </w:r>
      <w:r>
        <w:t>ния участия же</w:t>
      </w:r>
      <w:r>
        <w:t>н</w:t>
      </w:r>
      <w:r>
        <w:t>щин.</w:t>
      </w:r>
    </w:p>
    <w:p w:rsidR="00000000" w:rsidRDefault="00000000">
      <w:pPr>
        <w:pStyle w:val="DualTxt"/>
      </w:pPr>
      <w:r>
        <w:t>53.</w:t>
      </w:r>
      <w:r>
        <w:tab/>
        <w:t>По вопросу о достижениях в области образ</w:t>
      </w:r>
      <w:r>
        <w:t>о</w:t>
      </w:r>
      <w:r>
        <w:t>вания и перспективах занятости женщин-представительниц меньшинств (вопрос 45) она г</w:t>
      </w:r>
      <w:r>
        <w:t>о</w:t>
      </w:r>
      <w:r>
        <w:t>ворит, что более низкий уровень квалификации ср</w:t>
      </w:r>
      <w:r>
        <w:t>е</w:t>
      </w:r>
      <w:r>
        <w:t>ди женщин маори и Тихоокеанских островов отр</w:t>
      </w:r>
      <w:r>
        <w:t>а</w:t>
      </w:r>
      <w:r>
        <w:t>жает более высокую безработицу среди них в сра</w:t>
      </w:r>
      <w:r>
        <w:t>в</w:t>
      </w:r>
      <w:r>
        <w:t>нении с европейскими женщинами. Однако для женщин из других этнических групп характерен более высокий уровень безработицы, чем среди женщин в Европе, несмотря на относительно выс</w:t>
      </w:r>
      <w:r>
        <w:t>о</w:t>
      </w:r>
      <w:r>
        <w:t>кую квалификацию.</w:t>
      </w:r>
    </w:p>
    <w:p w:rsidR="00000000" w:rsidRDefault="00000000">
      <w:pPr>
        <w:pStyle w:val="DualTxt"/>
      </w:pPr>
      <w:r>
        <w:t>54.</w:t>
      </w:r>
      <w:r>
        <w:tab/>
        <w:t>Касаясь вопроса 48, она говорит, что 35 про</w:t>
      </w:r>
      <w:r>
        <w:softHyphen/>
        <w:t>центов женщин — выпускниц Программы профе</w:t>
      </w:r>
      <w:r>
        <w:t>с</w:t>
      </w:r>
      <w:r>
        <w:t>сиональной подготовки непосредственно получили работу в течение полного рабочего дня, 6 процентов работают неполный рабочий день и 12 процентов продолжают ту или иную форму об</w:t>
      </w:r>
      <w:r>
        <w:t>у</w:t>
      </w:r>
      <w:r>
        <w:t>чения.</w:t>
      </w:r>
    </w:p>
    <w:p w:rsidR="00000000" w:rsidRDefault="00000000">
      <w:pPr>
        <w:pStyle w:val="DualTxt"/>
      </w:pPr>
      <w:r>
        <w:t>55.</w:t>
      </w:r>
      <w:r>
        <w:tab/>
        <w:t>В ответ на вопрос 51 она говорит, что меры по увеличению числа женщин на руководящих дол</w:t>
      </w:r>
      <w:r>
        <w:t>ж</w:t>
      </w:r>
      <w:r>
        <w:t>ностях на всех уровнях направлены, главным обр</w:t>
      </w:r>
      <w:r>
        <w:t>а</w:t>
      </w:r>
      <w:r>
        <w:t>зом, на оказание помощи работодателям в выполн</w:t>
      </w:r>
      <w:r>
        <w:t>е</w:t>
      </w:r>
      <w:r>
        <w:t>нии ими своих обязанностей в сфере обеспечения равных возможностей в области занятости (РВЗ). Текущие меры предусматривают использование конкретных учебных и вспомогательных услуг в области РВЗ для советов попечителей. Конкретные меры, принимаемые школами, были документально отражены в ежегодном докладе Управления по о</w:t>
      </w:r>
      <w:r>
        <w:t>б</w:t>
      </w:r>
      <w:r>
        <w:t>зору в области о</w:t>
      </w:r>
      <w:r>
        <w:t>б</w:t>
      </w:r>
      <w:r>
        <w:t>разования.</w:t>
      </w:r>
    </w:p>
    <w:p w:rsidR="00000000" w:rsidRDefault="00000000">
      <w:pPr>
        <w:pStyle w:val="DualTxt"/>
      </w:pPr>
      <w:r>
        <w:t>56.</w:t>
      </w:r>
      <w:r>
        <w:tab/>
        <w:t>Касаясь вопроса 52, она говорит, что мужчины все больше заинтересованы в выполнении род</w:t>
      </w:r>
      <w:r>
        <w:t>и</w:t>
      </w:r>
      <w:r>
        <w:t>тельских обязанностей и участвуют в добровольных детских садах и образовательных программах. Н</w:t>
      </w:r>
      <w:r>
        <w:t>е</w:t>
      </w:r>
      <w:r>
        <w:t>которые родители проявили профессиональный и</w:t>
      </w:r>
      <w:r>
        <w:t>н</w:t>
      </w:r>
      <w:r>
        <w:t>терес к обучению детей в раннем возрасте, при этом имеется ряд курсов для прохождения такой подг</w:t>
      </w:r>
      <w:r>
        <w:t>о</w:t>
      </w:r>
      <w:r>
        <w:t>товки. Признание предыдущего опыта зависит от организатора учебной подготовки. Руководящим документом в области образования детей в раннем возрасте служит национальный учебный план, к</w:t>
      </w:r>
      <w:r>
        <w:t>о</w:t>
      </w:r>
      <w:r>
        <w:t>торый способствует созданию равных возможн</w:t>
      </w:r>
      <w:r>
        <w:t>о</w:t>
      </w:r>
      <w:r>
        <w:t>стей для обучения независимо от пола, состояния здоровья, возраста, этнической принадлежности или опыта.</w:t>
      </w:r>
    </w:p>
    <w:p w:rsidR="00000000" w:rsidRDefault="00000000">
      <w:pPr>
        <w:pStyle w:val="DualTxt"/>
      </w:pPr>
      <w:r>
        <w:t>57.</w:t>
      </w:r>
      <w:r>
        <w:tab/>
        <w:t>Отвечая на вопрос 53, она отмечает, что п</w:t>
      </w:r>
      <w:r>
        <w:t>о</w:t>
      </w:r>
      <w:r>
        <w:t>вышение платы за образование, по</w:t>
      </w:r>
      <w:r>
        <w:noBreakHyphen/>
        <w:t>видимому, не оказывает негативного воздействия на обучение женщин в высших учебных заведениях. В 1997 году 54 203 женщины, по сравнению с 48 323 мужчи</w:t>
      </w:r>
      <w:r>
        <w:softHyphen/>
        <w:t>нами, получили займы по программе предоставл</w:t>
      </w:r>
      <w:r>
        <w:t>е</w:t>
      </w:r>
      <w:r>
        <w:t>ния займов студентам. Она обращает внимание на таблицу, представленную ее делегацией, в которой подробно говорится о выплате займов с разбивкой по полу, возрасту и этническим гру</w:t>
      </w:r>
      <w:r>
        <w:t>п</w:t>
      </w:r>
      <w:r>
        <w:t>пам.</w:t>
      </w:r>
    </w:p>
    <w:p w:rsidR="00000000" w:rsidRDefault="00000000">
      <w:pPr>
        <w:pStyle w:val="DualTxt"/>
      </w:pPr>
      <w:r>
        <w:t>58.</w:t>
      </w:r>
      <w:r>
        <w:tab/>
      </w:r>
      <w:r>
        <w:rPr>
          <w:b/>
        </w:rPr>
        <w:t>Г</w:t>
      </w:r>
      <w:r>
        <w:rPr>
          <w:b/>
        </w:rPr>
        <w:noBreakHyphen/>
        <w:t>жа Моррис</w:t>
      </w:r>
      <w:r>
        <w:t xml:space="preserve"> (Новая Зеландия), касаясь в</w:t>
      </w:r>
      <w:r>
        <w:t>о</w:t>
      </w:r>
      <w:r>
        <w:t>проса 55, говорит, что народ и женщины маори и Тихоокеанских островов были выделены в приор</w:t>
      </w:r>
      <w:r>
        <w:t>и</w:t>
      </w:r>
      <w:r>
        <w:t>тетные группы, которым будут целенаправленно выделяться ресурсы. Подробные сведения о мерах по улучшению положения женщин-представителей меньшинств на рынке труда приводятся в докладах, которые находятся на рассмотрении Комитета (CEDAW/C/NZL/3–4).</w:t>
      </w:r>
    </w:p>
    <w:p w:rsidR="00000000" w:rsidRDefault="00000000">
      <w:pPr>
        <w:pStyle w:val="DualTxt"/>
      </w:pPr>
      <w:r>
        <w:t>59.</w:t>
      </w:r>
      <w:r>
        <w:tab/>
        <w:t>Примеры дискриминации по признаку пола, которые могут считаться законными, включают с</w:t>
      </w:r>
      <w:r>
        <w:t>и</w:t>
      </w:r>
      <w:r>
        <w:t>туации, когда работник вынужден спать на месте, предоставляемом работодателем, и проживание предоставляется лишь представителям одного из полов.</w:t>
      </w:r>
    </w:p>
    <w:p w:rsidR="00000000" w:rsidRDefault="00000000">
      <w:pPr>
        <w:pStyle w:val="DualTxt"/>
      </w:pPr>
      <w:r>
        <w:t>60.</w:t>
      </w:r>
      <w:r>
        <w:tab/>
        <w:t>Отвечая на вопрос 56, она говорит, что Закон о трудовых контрактах 1991 года направлен на разв</w:t>
      </w:r>
      <w:r>
        <w:t>и</w:t>
      </w:r>
      <w:r>
        <w:t>тие эффективного рынка труда и содержит полож</w:t>
      </w:r>
      <w:r>
        <w:t>е</w:t>
      </w:r>
      <w:r>
        <w:t>ния, в частности, о свободе собраний, личных ж</w:t>
      </w:r>
      <w:r>
        <w:t>а</w:t>
      </w:r>
      <w:r>
        <w:t>лоб и ведении переговоров по трудовым контра</w:t>
      </w:r>
      <w:r>
        <w:t>к</w:t>
      </w:r>
      <w:r>
        <w:t>там. Он подкрепляется минимальным сводом зак</w:t>
      </w:r>
      <w:r>
        <w:t>о</w:t>
      </w:r>
      <w:r>
        <w:t>нов и антидискриминационных положений, которые способствуют гибкой практике на рынке труда.</w:t>
      </w:r>
    </w:p>
    <w:p w:rsidR="00000000" w:rsidRDefault="00000000">
      <w:pPr>
        <w:pStyle w:val="DualTxt"/>
      </w:pPr>
      <w:r>
        <w:t>61.</w:t>
      </w:r>
      <w:r>
        <w:tab/>
        <w:t>Что касается вопроса 65, то конкретные оце</w:t>
      </w:r>
      <w:r>
        <w:t>н</w:t>
      </w:r>
      <w:r>
        <w:t>ки доли работодателей, обеспечивающих детские учреждения, в настоящее время отсутствуют. С</w:t>
      </w:r>
      <w:r>
        <w:t>о</w:t>
      </w:r>
      <w:r>
        <w:t>гласно обследованию 1994 года, 43 процента имею</w:t>
      </w:r>
      <w:r>
        <w:softHyphen/>
        <w:t>щих на это право отцов воспользовались отпуском по уходу за ребенком. Примерно 82 процента му</w:t>
      </w:r>
      <w:r>
        <w:t>ж</w:t>
      </w:r>
      <w:r>
        <w:t>чин могут рассматриваться как бравшие отпуск по уходу за ребенком сроком до двух недель, хотя они и не признают этот отпуск как т</w:t>
      </w:r>
      <w:r>
        <w:t>а</w:t>
      </w:r>
      <w:r>
        <w:t>ковой.</w:t>
      </w:r>
    </w:p>
    <w:p w:rsidR="00000000" w:rsidRDefault="00000000">
      <w:pPr>
        <w:pStyle w:val="DualTxt"/>
      </w:pPr>
      <w:r>
        <w:t>62.</w:t>
      </w:r>
      <w:r>
        <w:tab/>
        <w:t>Относительно вопроса 66 данные показывают, что женщины все больше рассматривают самозан</w:t>
      </w:r>
      <w:r>
        <w:t>я</w:t>
      </w:r>
      <w:r>
        <w:t>тость в качестве одной из целесообразных альте</w:t>
      </w:r>
      <w:r>
        <w:t>р</w:t>
      </w:r>
      <w:r>
        <w:t>натив. В соответствии с переписью 1996 года сам</w:t>
      </w:r>
      <w:r>
        <w:t>о</w:t>
      </w:r>
      <w:r>
        <w:t>занятые женщины работают 31 час в неделю, в то время как их коллеги-мужчины — 45 часов. Анал</w:t>
      </w:r>
      <w:r>
        <w:t>о</w:t>
      </w:r>
      <w:r>
        <w:t>гичные меры правительства в интересах женщин на рабочем месте поддерживают самозанятость. Ник</w:t>
      </w:r>
      <w:r>
        <w:t>а</w:t>
      </w:r>
      <w:r>
        <w:t>ких окончательных данных о влиянии глобализации на самозанятость не имеется, однако ясно, что она открывает возможности для женщин в секторе о</w:t>
      </w:r>
      <w:r>
        <w:t>б</w:t>
      </w:r>
      <w:r>
        <w:t>служивания и тех лиц, которые связаны с совреме</w:t>
      </w:r>
      <w:r>
        <w:t>н</w:t>
      </w:r>
      <w:r>
        <w:t>ной коммуник</w:t>
      </w:r>
      <w:r>
        <w:t>а</w:t>
      </w:r>
      <w:r>
        <w:t>ционной технологией.</w:t>
      </w:r>
    </w:p>
    <w:p w:rsidR="00000000" w:rsidRDefault="00000000">
      <w:pPr>
        <w:pStyle w:val="DualTxt"/>
      </w:pPr>
      <w:r>
        <w:t>63.</w:t>
      </w:r>
      <w:r>
        <w:tab/>
        <w:t>В ответ на вопрос 68 она говорит, что Мин</w:t>
      </w:r>
      <w:r>
        <w:t>и</w:t>
      </w:r>
      <w:r>
        <w:t>стерство по делам женщин не располагает полн</w:t>
      </w:r>
      <w:r>
        <w:t>о</w:t>
      </w:r>
      <w:r>
        <w:t>мочиями по осуществлению политики в целях ус</w:t>
      </w:r>
      <w:r>
        <w:t>т</w:t>
      </w:r>
      <w:r>
        <w:t>ранения дискриминации в оплате труда. Подход «равная оплата за труд сопоставимой стоимости» признается в качестве одного из путей, с помощью которого можно решать вопрос о дискриминации в оплате труда.</w:t>
      </w:r>
    </w:p>
    <w:p w:rsidR="00000000" w:rsidRDefault="00000000">
      <w:pPr>
        <w:pStyle w:val="DualTxt"/>
      </w:pPr>
      <w:r>
        <w:t>64.</w:t>
      </w:r>
      <w:r>
        <w:tab/>
        <w:t>Касаясь вопроса 69, она указывает, что ряд важных инициатив в сфере занятости, рассчита</w:t>
      </w:r>
      <w:r>
        <w:t>н</w:t>
      </w:r>
      <w:r>
        <w:t>ных специально на женщин, указаны в статье 11 доклада (CEDAW/C/NZL/3–4). Кроме того, реал</w:t>
      </w:r>
      <w:r>
        <w:t>и</w:t>
      </w:r>
      <w:r>
        <w:t>зуются важные программы, которые оказывают и</w:t>
      </w:r>
      <w:r>
        <w:t>н</w:t>
      </w:r>
      <w:r>
        <w:t>дивидуальную помощь, полностью признавая ос</w:t>
      </w:r>
      <w:r>
        <w:t>о</w:t>
      </w:r>
      <w:r>
        <w:t>бые потребности женщин, которые вливаются или возвращ</w:t>
      </w:r>
      <w:r>
        <w:t>а</w:t>
      </w:r>
      <w:r>
        <w:t>ются в состав рабочей силы.</w:t>
      </w:r>
    </w:p>
    <w:p w:rsidR="00000000" w:rsidRDefault="00000000">
      <w:pPr>
        <w:pStyle w:val="DualTxt"/>
      </w:pPr>
      <w:r>
        <w:t>65.</w:t>
      </w:r>
      <w:r>
        <w:tab/>
        <w:t>Отвечая на вопрос 73, она говорит, что Новая Зеландия приняла широкомасштабную систему н</w:t>
      </w:r>
      <w:r>
        <w:t>е</w:t>
      </w:r>
      <w:r>
        <w:t>высокого подоходного налога, которая действует вместе с программами в области социальной пол</w:t>
      </w:r>
      <w:r>
        <w:t>и</w:t>
      </w:r>
      <w:r>
        <w:t>тики в целях оказания финансовой поддержки большинству нуждающихся лиц. Сменявшиеся пр</w:t>
      </w:r>
      <w:r>
        <w:t>а</w:t>
      </w:r>
      <w:r>
        <w:t>вительства вводили различные комплексные меры для оказания помощи в целях обеспечения допо</w:t>
      </w:r>
      <w:r>
        <w:t>л</w:t>
      </w:r>
      <w:r>
        <w:t>нительных доходов и субсидий семьям с низким и средним уровнем достатка, имеющим д</w:t>
      </w:r>
      <w:r>
        <w:t>е</w:t>
      </w:r>
      <w:r>
        <w:t>тей-иждивенцев.</w:t>
      </w:r>
    </w:p>
    <w:p w:rsidR="00000000" w:rsidRDefault="00000000">
      <w:pPr>
        <w:pStyle w:val="DualTxt"/>
      </w:pPr>
      <w:r>
        <w:t>66.</w:t>
      </w:r>
      <w:r>
        <w:tab/>
      </w:r>
      <w:r>
        <w:rPr>
          <w:b/>
        </w:rPr>
        <w:t>Г</w:t>
      </w:r>
      <w:r>
        <w:rPr>
          <w:b/>
        </w:rPr>
        <w:noBreakHyphen/>
        <w:t>жа Лоренс</w:t>
      </w:r>
      <w:r>
        <w:t xml:space="preserve"> (Новая Зеландия), касаясь в</w:t>
      </w:r>
      <w:r>
        <w:t>о</w:t>
      </w:r>
      <w:r>
        <w:t>проса 74, в общих чертах сообщает о ряде мер, принятых правительством в целях удовлетворения особых потребностей и покрытия дополнительных затрат семей, в том числе на охрану здоровья. Меры правительства, которые связаны со здравоохранен</w:t>
      </w:r>
      <w:r>
        <w:t>и</w:t>
      </w:r>
      <w:r>
        <w:t>ем и обеспечиваются за счет системы обеспечения доходов, предусматривают выплаты по болезни н</w:t>
      </w:r>
      <w:r>
        <w:t>е</w:t>
      </w:r>
      <w:r>
        <w:t>замужним женщинам во время беременности, пос</w:t>
      </w:r>
      <w:r>
        <w:t>о</w:t>
      </w:r>
      <w:r>
        <w:t>бия по инвалидн</w:t>
      </w:r>
      <w:r>
        <w:t>о</w:t>
      </w:r>
      <w:r>
        <w:t>сти и выплату пособий на детей-инвалидов, а также налоговые льг</w:t>
      </w:r>
      <w:r>
        <w:t>о</w:t>
      </w:r>
      <w:r>
        <w:t>ты.</w:t>
      </w:r>
    </w:p>
    <w:p w:rsidR="00000000" w:rsidRDefault="00000000">
      <w:pPr>
        <w:pStyle w:val="DualTxt"/>
      </w:pPr>
      <w:r>
        <w:t>67.</w:t>
      </w:r>
      <w:r>
        <w:tab/>
        <w:t>В отношении вопроса 75 о продолжительности жизни маори она ссылается на письменные ответы, в которых говорится о риске для здоровья детей маори, которому они подвержены. Правительство вскоре представит свою Стратегию охраны здор</w:t>
      </w:r>
      <w:r>
        <w:t>о</w:t>
      </w:r>
      <w:r>
        <w:t>вья ребенка, которая будет применяться ко всем у</w:t>
      </w:r>
      <w:r>
        <w:t>с</w:t>
      </w:r>
      <w:r>
        <w:t>лугам по оказанию поддержки в области охраны здоровья детей и помощи инвалидам и в центре внимания которой будут потребности детей маори и детей с Тихоокеанских островов, детей, остро ну</w:t>
      </w:r>
      <w:r>
        <w:t>ж</w:t>
      </w:r>
      <w:r>
        <w:t>дающихся в поддержке ввиду состояния их здор</w:t>
      </w:r>
      <w:r>
        <w:t>о</w:t>
      </w:r>
      <w:r>
        <w:t>вья и наличия у них физических недостатков, и д</w:t>
      </w:r>
      <w:r>
        <w:t>е</w:t>
      </w:r>
      <w:r>
        <w:t>тей, которые проживают в семьях, находящихся в особо неблагоприятном пол</w:t>
      </w:r>
      <w:r>
        <w:t>о</w:t>
      </w:r>
      <w:r>
        <w:t>жении.</w:t>
      </w:r>
    </w:p>
    <w:p w:rsidR="00000000" w:rsidRDefault="00000000">
      <w:pPr>
        <w:pStyle w:val="DualTxt"/>
      </w:pPr>
      <w:r>
        <w:t>68.</w:t>
      </w:r>
      <w:r>
        <w:tab/>
        <w:t>Был определен ряд других механизмов; они включают в себя межсекторальную инициативу, н</w:t>
      </w:r>
      <w:r>
        <w:t>а</w:t>
      </w:r>
      <w:r>
        <w:t>целенную на улучшение состояния здоровья, соц</w:t>
      </w:r>
      <w:r>
        <w:t>и</w:t>
      </w:r>
      <w:r>
        <w:t>ального обеспечения и перспектив образования для неимущих, стратегии функционирования специал</w:t>
      </w:r>
      <w:r>
        <w:t>ь</w:t>
      </w:r>
      <w:r>
        <w:t>ных служб, занимающихся охраной психического здоровья, и предупреждения самоубийств и ин</w:t>
      </w:r>
      <w:r>
        <w:t>и</w:t>
      </w:r>
      <w:r>
        <w:t>циативу по борьбе с к</w:t>
      </w:r>
      <w:r>
        <w:t>у</w:t>
      </w:r>
      <w:r>
        <w:t>рением.</w:t>
      </w:r>
    </w:p>
    <w:p w:rsidR="00000000" w:rsidRDefault="00000000">
      <w:pPr>
        <w:pStyle w:val="DualTxt"/>
      </w:pPr>
      <w:r>
        <w:t>69.</w:t>
      </w:r>
      <w:r>
        <w:tab/>
        <w:t>По вопросу об оказании сельским женщинам медицинских услуг она говорит, что комплекс услуг, предлагаемых финансируемыми государством час</w:t>
      </w:r>
      <w:r>
        <w:t>т</w:t>
      </w:r>
      <w:r>
        <w:t>ными службами охраны здоровья и обеспечения и</w:t>
      </w:r>
      <w:r>
        <w:t>н</w:t>
      </w:r>
      <w:r>
        <w:t>валидности, не уменьшился. Изменение контрак</w:t>
      </w:r>
      <w:r>
        <w:t>т</w:t>
      </w:r>
      <w:r>
        <w:t>ных соглашений привело к предоставлению час</w:t>
      </w:r>
      <w:r>
        <w:t>т</w:t>
      </w:r>
      <w:r>
        <w:t>ными службами финансируемых за счет государства медицинских услуг, которые ранее оказывались г</w:t>
      </w:r>
      <w:r>
        <w:t>о</w:t>
      </w:r>
      <w:r>
        <w:t>сударстве</w:t>
      </w:r>
      <w:r>
        <w:t>н</w:t>
      </w:r>
      <w:r>
        <w:t>ными больницами.</w:t>
      </w:r>
    </w:p>
    <w:p w:rsidR="00000000" w:rsidRDefault="00000000">
      <w:pPr>
        <w:pStyle w:val="DualTxt"/>
      </w:pPr>
      <w:r>
        <w:t>70.</w:t>
      </w:r>
      <w:r>
        <w:tab/>
      </w:r>
      <w:r>
        <w:rPr>
          <w:b/>
        </w:rPr>
        <w:t>Г</w:t>
      </w:r>
      <w:r>
        <w:rPr>
          <w:b/>
        </w:rPr>
        <w:noBreakHyphen/>
        <w:t>жа Моррис</w:t>
      </w:r>
      <w:r>
        <w:t xml:space="preserve"> (Новая Зеландия), отвечая на вопрос 86, привлекает внимание к статистическим данным, представленным в докладе (CEDAW/C/NZL/3–4) по статье 13, которые свид</w:t>
      </w:r>
      <w:r>
        <w:t>е</w:t>
      </w:r>
      <w:r>
        <w:t>тельствуют об увеличении числа женщин, пол</w:t>
      </w:r>
      <w:r>
        <w:t>ь</w:t>
      </w:r>
      <w:r>
        <w:t>зующихся положительными результатами в сфере образования, занятости и здравоохр</w:t>
      </w:r>
      <w:r>
        <w:t>а</w:t>
      </w:r>
      <w:r>
        <w:t>нения.</w:t>
      </w:r>
    </w:p>
    <w:p w:rsidR="00000000" w:rsidRDefault="00000000">
      <w:pPr>
        <w:pStyle w:val="DualTxt"/>
      </w:pPr>
      <w:r>
        <w:t>71.</w:t>
      </w:r>
      <w:r>
        <w:tab/>
        <w:t>В заключение в связи с вопросом 90 она ук</w:t>
      </w:r>
      <w:r>
        <w:t>а</w:t>
      </w:r>
      <w:r>
        <w:t>зывает, что уделяется внимание профессиональной подготовке, приему на работу, стимулированию и другим аспектам занятости сельских сотрудников, включая акушерок и практикующих ме</w:t>
      </w:r>
      <w:r>
        <w:t>д</w:t>
      </w:r>
      <w:r>
        <w:t>сестер.</w:t>
      </w:r>
    </w:p>
    <w:p w:rsidR="00000000" w:rsidRDefault="00000000">
      <w:pPr>
        <w:pStyle w:val="DualTxt"/>
        <w:spacing w:after="0" w:line="120" w:lineRule="exact"/>
        <w:rPr>
          <w:sz w:val="10"/>
        </w:rPr>
      </w:pPr>
    </w:p>
    <w:p w:rsidR="00000000" w:rsidRDefault="00000000">
      <w:pPr>
        <w:pStyle w:val="H4"/>
        <w:tabs>
          <w:tab w:val="left" w:pos="475"/>
          <w:tab w:val="left" w:pos="965"/>
          <w:tab w:val="left" w:pos="1440"/>
          <w:tab w:val="left" w:pos="1915"/>
          <w:tab w:val="left" w:pos="2405"/>
          <w:tab w:val="left" w:pos="2880"/>
          <w:tab w:val="left" w:pos="3355"/>
        </w:tabs>
        <w:ind w:left="475" w:hanging="475"/>
      </w:pPr>
      <w:r>
        <w:t>Заседание закрывается в 13 ч. 00 м.</w:t>
      </w: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NO&gt;&gt;N0223924R&lt;&lt;ODS JOB NO&gt;&gt;</w:t>
      </w:r>
    </w:p>
    <w:p w:rsidR="00000000" w:rsidRDefault="00000000">
      <w:pPr>
        <w:pStyle w:val="CommentText"/>
      </w:pPr>
      <w:r>
        <w:t>&lt;&lt;ODS DOC SYMBOL1&gt;&gt;CEDAW/C/SR.401&lt;&lt;ODS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В настоящий отчет могут вноситься поправки.</w:t>
    </w:r>
  </w:p>
  <w:p w:rsidR="00000000" w:rsidRDefault="00000000">
    <w:pPr>
      <w:pStyle w:val="FootnoteText"/>
      <w:spacing w:after="120"/>
      <w:ind w:left="1267" w:right="1267" w:firstLine="0"/>
    </w:pPr>
    <w: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rPr>
      <w:t>в течение одной недели с момента выпуска этого документа</w:t>
    </w:r>
    <w:r>
      <w:t xml:space="preserve"> на имя начальника Секции редактирования официальных отчетов, комната DC2-750 (Chief, Official Records Editing Section, room DC2-750, 2 United Nations Plaza).</w:t>
    </w:r>
  </w:p>
  <w:p w:rsidR="00000000" w:rsidRDefault="00000000">
    <w:pPr>
      <w:pStyle w:val="FootnoteText"/>
      <w:spacing w:after="120"/>
      <w:ind w:left="1267" w:right="1267" w:firstLine="0"/>
    </w:pPr>
    <w: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02-23924 (R)</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*0223924*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CEDAW/C/SR.401</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CEDAW/C/SR.401</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tblGrid>
    <w:tr w:rsidR="00000000">
      <w:tblPrEx>
        <w:tblCellMar>
          <w:top w:w="0" w:type="dxa"/>
          <w:left w:w="0" w:type="dxa"/>
          <w:bottom w:w="0" w:type="dxa"/>
          <w:right w:w="0" w:type="dxa"/>
        </w:tblCellMar>
      </w:tblPrEx>
      <w:trPr>
        <w:cantSplit/>
        <w:trHeight w:hRule="exact" w:val="864"/>
      </w:trPr>
      <w:tc>
        <w:tcPr>
          <w:tcW w:w="4421" w:type="dxa"/>
          <w:gridSpan w:val="2"/>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Организация Объединенных Наций</w:t>
          </w:r>
        </w:p>
      </w:tc>
      <w:tc>
        <w:tcPr>
          <w:tcW w:w="245" w:type="dxa"/>
          <w:tcBorders>
            <w:top w:val="nil"/>
            <w:left w:val="nil"/>
            <w:bottom w:val="nil"/>
            <w:right w:val="nil"/>
          </w:tcBorders>
          <w:vAlign w:val="bottom"/>
        </w:tcPr>
        <w:p w:rsidR="00000000" w:rsidRDefault="00000000">
          <w:pPr>
            <w:pStyle w:val="Header"/>
            <w:spacing w:after="120"/>
          </w:pPr>
        </w:p>
      </w:tc>
      <w:tc>
        <w:tcPr>
          <w:tcW w:w="5213" w:type="dxa"/>
          <w:gridSpan w:val="3"/>
          <w:tcBorders>
            <w:top w:val="nil"/>
            <w:left w:val="nil"/>
            <w:bottom w:val="nil"/>
            <w:right w:val="nil"/>
          </w:tcBorders>
          <w:vAlign w:val="bottom"/>
        </w:tcPr>
        <w:p w:rsidR="00000000" w:rsidRDefault="00000000">
          <w:pPr>
            <w:pStyle w:val="Header"/>
            <w:spacing w:after="20"/>
            <w:jc w:val="right"/>
            <w:rPr>
              <w:sz w:val="20"/>
            </w:rPr>
          </w:pPr>
          <w:r>
            <w:rPr>
              <w:sz w:val="40"/>
            </w:rPr>
            <w:t>CEDAW</w:t>
          </w:r>
          <w:r>
            <w:rPr>
              <w:sz w:val="20"/>
            </w:rPr>
            <w:t>/C/SR.401</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rPr>
              <w:lang w:val="en-US"/>
            </w:rPr>
            <w:t>31</w:t>
          </w:r>
          <w:r>
            <w:t xml:space="preserve"> December 2004</w:t>
          </w:r>
        </w:p>
        <w:p w:rsidR="00000000" w:rsidRDefault="00000000">
          <w:r>
            <w:t>Russian</w:t>
          </w:r>
        </w:p>
        <w:p w:rsidR="00000000" w:rsidRDefault="00000000">
          <w:r>
            <w:t>Original: English</w:t>
          </w:r>
        </w:p>
      </w:tc>
    </w:tr>
  </w:tbl>
  <w:p w:rsidR="00000000" w:rsidRDefault="00000000">
    <w:pPr>
      <w:pStyle w:val="Header"/>
      <w:spacing w:line="20" w:lineRule="exact"/>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5">
    <w:nsid w:val="2BB16AA8"/>
    <w:multiLevelType w:val="multilevel"/>
    <w:tmpl w:val="19820D8E"/>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312"/>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4176"/>
        </w:tabs>
        <w:ind w:left="3888" w:hanging="432"/>
      </w:pPr>
    </w:lvl>
    <w:lvl w:ilvl="7">
      <w:start w:val="1"/>
      <w:numFmt w:val="none"/>
      <w:lvlText w:val=""/>
      <w:lvlJc w:val="left"/>
      <w:pPr>
        <w:tabs>
          <w:tab w:val="num" w:pos="4248"/>
        </w:tabs>
        <w:ind w:left="3888" w:firstLine="0"/>
      </w:pPr>
    </w:lvl>
    <w:lvl w:ilvl="8">
      <w:start w:val="1"/>
      <w:numFmt w:val="none"/>
      <w:suff w:val="nothing"/>
      <w:lvlText w:val=""/>
      <w:lvlJc w:val="left"/>
      <w:pPr>
        <w:ind w:left="3888" w:firstLine="0"/>
      </w:pPr>
    </w:lvl>
  </w:abstractNum>
  <w:abstractNum w:abstractNumId="6">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abstractNum w:abstractNumId="7">
    <w:nsid w:val="5FF27F2B"/>
    <w:multiLevelType w:val="multilevel"/>
    <w:tmpl w:val="68AAAA24"/>
    <w:name w:val="TOC"/>
    <w:lvl w:ilvl="0">
      <w:start w:val="1"/>
      <w:numFmt w:val="upperRoman"/>
      <w:lvlText w:val="%1."/>
      <w:lvlJc w:val="right"/>
      <w:pPr>
        <w:tabs>
          <w:tab w:val="num" w:pos="1296"/>
        </w:tabs>
        <w:ind w:left="1296" w:hanging="216"/>
      </w:pPr>
    </w:lvl>
    <w:lvl w:ilvl="1">
      <w:start w:val="1"/>
      <w:numFmt w:val="upperLetter"/>
      <w:lvlText w:val="%2."/>
      <w:lvlJc w:val="left"/>
      <w:pPr>
        <w:tabs>
          <w:tab w:val="num" w:pos="-32406"/>
        </w:tabs>
        <w:ind w:left="-32766" w:firstLine="0"/>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312"/>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4176"/>
        </w:tabs>
        <w:ind w:left="3888" w:hanging="432"/>
      </w:pPr>
    </w:lvl>
    <w:lvl w:ilvl="7">
      <w:start w:val="1"/>
      <w:numFmt w:val="none"/>
      <w:lvlText w:val=""/>
      <w:lvlJc w:val="left"/>
      <w:pPr>
        <w:tabs>
          <w:tab w:val="num" w:pos="4248"/>
        </w:tabs>
        <w:ind w:left="3888" w:firstLine="0"/>
      </w:pPr>
    </w:lvl>
    <w:lvl w:ilvl="8">
      <w:start w:val="1"/>
      <w:numFmt w:val="none"/>
      <w:suff w:val="nothing"/>
      <w:lvlText w:val=""/>
      <w:lvlJc w:val="left"/>
      <w:pPr>
        <w:ind w:left="3888" w:firstLine="0"/>
      </w:pPr>
    </w:lvl>
  </w:abstractNum>
  <w:num w:numId="1">
    <w:abstractNumId w:val="6"/>
  </w:num>
  <w:num w:numId="2">
    <w:abstractNumId w:val="4"/>
  </w:num>
  <w:num w:numId="3">
    <w:abstractNumId w:val="4"/>
  </w:num>
  <w:num w:numId="4">
    <w:abstractNumId w:val="3"/>
  </w:num>
  <w:num w:numId="5">
    <w:abstractNumId w:val="3"/>
  </w:num>
  <w:num w:numId="6">
    <w:abstractNumId w:val="2"/>
  </w:num>
  <w:num w:numId="7">
    <w:abstractNumId w:val="2"/>
  </w:num>
  <w:num w:numId="8">
    <w:abstractNumId w:val="1"/>
  </w:num>
  <w:num w:numId="9">
    <w:abstractNumId w:val="1"/>
  </w:num>
  <w:num w:numId="10">
    <w:abstractNumId w:val="0"/>
  </w:num>
  <w:num w:numId="11">
    <w:abstractNumId w:val="0"/>
  </w:num>
  <w:num w:numId="12">
    <w:abstractNumId w:val="7"/>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GrammaticalErrors/>
  <w:activeWritingStyle w:appName="MSWord" w:lang="ru-RU" w:vendorID="1" w:dllVersion="512" w:checkStyle="1"/>
  <w:doNotTrackMoves/>
  <w:defaultTabStop w:val="720"/>
  <w:autoHyphenation/>
  <w:hyphenationZone w:val="2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30/12/2004 11:23:28"/>
    <w:docVar w:name="DocCategory" w:val="SROthers"/>
    <w:docVar w:name="DocType" w:val="Final"/>
    <w:docVar w:name="JobNo" w:val="0223924R"/>
    <w:docVar w:name="OandT" w:val=" "/>
    <w:docVar w:name="Symbol1" w:val="CEDAW/C/SR.40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ru-RU"/>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Normal"/>
    <w:pPr>
      <w:suppressAutoHyphens/>
      <w:spacing w:line="270" w:lineRule="exact"/>
      <w:outlineLvl w:val="0"/>
    </w:pPr>
    <w:rPr>
      <w:b/>
      <w:sz w:val="24"/>
    </w:rPr>
  </w:style>
  <w:style w:type="paragraph" w:customStyle="1" w:styleId="HCh">
    <w:name w:val="_ H _Ch"/>
    <w:basedOn w:val="H1"/>
    <w:next w:val="Normal"/>
    <w:pPr>
      <w:keepNext/>
      <w:keepLines/>
      <w:spacing w:line="300" w:lineRule="exact"/>
    </w:pPr>
    <w:rPr>
      <w:spacing w:val="-2"/>
      <w:sz w:val="28"/>
    </w:rPr>
  </w:style>
  <w:style w:type="paragraph" w:customStyle="1" w:styleId="H23">
    <w:name w:val="_ H_2/3"/>
    <w:basedOn w:val="H1"/>
    <w:next w:val="Normal"/>
    <w:pPr>
      <w:keepNext/>
      <w:keepLines/>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styleId="ListContinue2">
    <w:name w:val="List Continue 2"/>
    <w:basedOn w:val="Normal"/>
    <w:next w:val="Normal"/>
    <w:semiHidden/>
    <w:pPr>
      <w:numPr>
        <w:numId w:val="1"/>
      </w:numPr>
      <w:spacing w:after="120"/>
    </w:pPr>
  </w:style>
  <w:style w:type="paragraph" w:styleId="ListNumber">
    <w:name w:val="List Number"/>
    <w:basedOn w:val="H1"/>
    <w:next w:val="Normal"/>
    <w:semiHidden/>
    <w:pPr>
      <w:numPr>
        <w:numId w:val="3"/>
      </w:numPr>
      <w:tabs>
        <w:tab w:val="clear" w:pos="360"/>
        <w:tab w:val="num" w:pos="792"/>
      </w:tabs>
      <w:ind w:left="792" w:hanging="317"/>
    </w:pPr>
  </w:style>
  <w:style w:type="paragraph" w:styleId="ListNumber2">
    <w:name w:val="List Number 2"/>
    <w:basedOn w:val="H23"/>
    <w:next w:val="Normal"/>
    <w:semiHidden/>
    <w:pPr>
      <w:numPr>
        <w:numId w:val="5"/>
      </w:numPr>
      <w:tabs>
        <w:tab w:val="clear" w:pos="643"/>
        <w:tab w:val="num" w:pos="792"/>
      </w:tabs>
      <w:ind w:left="792" w:hanging="317"/>
    </w:pPr>
  </w:style>
  <w:style w:type="paragraph" w:styleId="ListNumber3">
    <w:name w:val="List Number 3"/>
    <w:basedOn w:val="H23"/>
    <w:next w:val="Normal"/>
    <w:semiHidden/>
    <w:pPr>
      <w:numPr>
        <w:numId w:val="7"/>
      </w:numPr>
      <w:tabs>
        <w:tab w:val="clear" w:pos="926"/>
        <w:tab w:val="num" w:pos="792"/>
      </w:tabs>
      <w:ind w:left="792" w:hanging="317"/>
    </w:pPr>
  </w:style>
  <w:style w:type="paragraph" w:styleId="ListNumber4">
    <w:name w:val="List Number 4"/>
    <w:basedOn w:val="H4"/>
    <w:next w:val="Normal"/>
    <w:semiHidden/>
    <w:pPr>
      <w:numPr>
        <w:numId w:val="9"/>
      </w:numPr>
      <w:tabs>
        <w:tab w:val="clear" w:pos="1209"/>
        <w:tab w:val="num" w:pos="792"/>
      </w:tabs>
      <w:ind w:left="792" w:hanging="317"/>
    </w:pPr>
  </w:style>
  <w:style w:type="paragraph" w:styleId="ListNumber5">
    <w:name w:val="List Number 5"/>
    <w:basedOn w:val="Normal"/>
    <w:next w:val="Normal"/>
    <w:semiHidden/>
    <w:pPr>
      <w:numPr>
        <w:numId w:val="11"/>
      </w:numPr>
      <w:tabs>
        <w:tab w:val="clear" w:pos="1492"/>
        <w:tab w:val="num" w:pos="792"/>
      </w:tabs>
      <w:ind w:left="792" w:hanging="317"/>
    </w:p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3</Pages>
  <Words>6031</Words>
  <Characters>34377</Characters>
  <Application>Microsoft Office Word</Application>
  <DocSecurity>4</DocSecurity>
  <Lines>286</Lines>
  <Paragraphs>68</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42217</CharactersWithSpaces>
  <SharedDoc>false</SharedDoc>
  <HLinks>
    <vt:vector size="6" baseType="variant">
      <vt:variant>
        <vt:i4>4522087</vt:i4>
      </vt:variant>
      <vt:variant>
        <vt:i4>84644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Natalia.Korshunova</cp:lastModifiedBy>
  <cp:revision>5</cp:revision>
  <cp:lastPrinted>2004-12-30T19:20:00Z</cp:lastPrinted>
  <dcterms:created xsi:type="dcterms:W3CDTF">2004-12-30T19:01:00Z</dcterms:created>
  <dcterms:modified xsi:type="dcterms:W3CDTF">2004-12-30T19:39:00Z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0223924</vt:lpwstr>
  </property>
  <property fmtid="{D5CDD505-2E9C-101B-9397-08002B2CF9AE}" pid="3" name="Symbol1">
    <vt:lpwstr>CEDAW/C/SR.401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11</vt:lpwstr>
  </property>
  <property fmtid="{D5CDD505-2E9C-101B-9397-08002B2CF9AE}" pid="8" name="Operator">
    <vt:lpwstr/>
  </property>
</Properties>
</file>