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2D7F76" w14:paraId="40648CC7" w14:textId="77777777" w:rsidTr="001E45CF">
        <w:trPr>
          <w:trHeight w:hRule="exact" w:val="851"/>
        </w:trPr>
        <w:tc>
          <w:tcPr>
            <w:tcW w:w="1274" w:type="dxa"/>
            <w:tcBorders>
              <w:bottom w:val="single" w:sz="4" w:space="0" w:color="auto"/>
            </w:tcBorders>
          </w:tcPr>
          <w:p w14:paraId="351CDB5F" w14:textId="77777777" w:rsidR="00B116DD" w:rsidRPr="002D7F76" w:rsidRDefault="00B116DD" w:rsidP="00024EBA">
            <w:pPr>
              <w:kinsoku w:val="0"/>
              <w:overflowPunct w:val="0"/>
              <w:autoSpaceDE w:val="0"/>
              <w:autoSpaceDN w:val="0"/>
              <w:adjustRightInd w:val="0"/>
              <w:snapToGrid w:val="0"/>
              <w:spacing w:after="80" w:line="480" w:lineRule="exact"/>
              <w:jc w:val="left"/>
              <w:rPr>
                <w:rFonts w:hint="cs"/>
                <w:szCs w:val="40"/>
                <w:rtl/>
              </w:rPr>
            </w:pPr>
          </w:p>
        </w:tc>
        <w:tc>
          <w:tcPr>
            <w:tcW w:w="5104" w:type="dxa"/>
            <w:tcBorders>
              <w:bottom w:val="single" w:sz="4" w:space="0" w:color="auto"/>
            </w:tcBorders>
            <w:vAlign w:val="bottom"/>
          </w:tcPr>
          <w:p w14:paraId="2F18935F" w14:textId="77777777" w:rsidR="006B3E27" w:rsidRPr="002D7F76" w:rsidRDefault="006B3E27" w:rsidP="005540EB">
            <w:pPr>
              <w:spacing w:after="80" w:line="480" w:lineRule="exact"/>
              <w:ind w:left="57"/>
              <w:jc w:val="left"/>
              <w:rPr>
                <w:sz w:val="30"/>
                <w:szCs w:val="30"/>
                <w:rtl/>
              </w:rPr>
            </w:pPr>
            <w:r w:rsidRPr="002D7F76">
              <w:rPr>
                <w:rFonts w:hint="cs"/>
                <w:sz w:val="30"/>
                <w:szCs w:val="30"/>
                <w:rtl/>
              </w:rPr>
              <w:t>الأمم المتحدة</w:t>
            </w:r>
          </w:p>
        </w:tc>
        <w:tc>
          <w:tcPr>
            <w:tcW w:w="3261" w:type="dxa"/>
            <w:tcBorders>
              <w:bottom w:val="single" w:sz="4" w:space="0" w:color="auto"/>
            </w:tcBorders>
            <w:vAlign w:val="bottom"/>
          </w:tcPr>
          <w:p w14:paraId="5CDA5E67" w14:textId="084BDC47" w:rsidR="006B3E27" w:rsidRPr="002D7F76" w:rsidRDefault="00B45F47" w:rsidP="00B45F47">
            <w:pPr>
              <w:bidi w:val="0"/>
              <w:jc w:val="left"/>
            </w:pPr>
            <w:r w:rsidRPr="002D7F76">
              <w:rPr>
                <w:sz w:val="40"/>
              </w:rPr>
              <w:t>CMW</w:t>
            </w:r>
            <w:r w:rsidRPr="002D7F76">
              <w:t>/C/42/2</w:t>
            </w:r>
          </w:p>
        </w:tc>
      </w:tr>
      <w:tr w:rsidR="006B3E27" w:rsidRPr="002D7F76" w14:paraId="07E508D7" w14:textId="77777777" w:rsidTr="001E45CF">
        <w:trPr>
          <w:trHeight w:hRule="exact" w:val="2554"/>
        </w:trPr>
        <w:tc>
          <w:tcPr>
            <w:tcW w:w="1274" w:type="dxa"/>
            <w:tcBorders>
              <w:top w:val="single" w:sz="4" w:space="0" w:color="auto"/>
              <w:bottom w:val="single" w:sz="12" w:space="0" w:color="auto"/>
            </w:tcBorders>
          </w:tcPr>
          <w:p w14:paraId="6C7995B1" w14:textId="77777777" w:rsidR="006B3E27" w:rsidRPr="002D7F76" w:rsidRDefault="0059622A" w:rsidP="001E45CF">
            <w:pPr>
              <w:jc w:val="center"/>
              <w:rPr>
                <w:rtl/>
              </w:rPr>
            </w:pPr>
            <w:r w:rsidRPr="002D7F76">
              <w:rPr>
                <w:noProof/>
              </w:rPr>
              <w:drawing>
                <wp:inline distT="0" distB="0" distL="0" distR="0" wp14:anchorId="6693527D" wp14:editId="3CD07AD3">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14:paraId="0F709A9E" w14:textId="77777777" w:rsidR="006B3E27" w:rsidRPr="002D7F76" w:rsidRDefault="001E1CAD" w:rsidP="005540EB">
            <w:pPr>
              <w:spacing w:before="120" w:after="40" w:line="560" w:lineRule="exact"/>
              <w:ind w:left="57"/>
              <w:jc w:val="left"/>
              <w:rPr>
                <w:b/>
                <w:bCs/>
                <w:sz w:val="42"/>
                <w:szCs w:val="42"/>
                <w:rtl/>
              </w:rPr>
            </w:pPr>
            <w:r w:rsidRPr="002D7F76">
              <w:rPr>
                <w:rFonts w:hint="cs"/>
                <w:b/>
                <w:bCs/>
                <w:sz w:val="42"/>
                <w:szCs w:val="42"/>
                <w:rtl/>
              </w:rPr>
              <w:t>ا</w:t>
            </w:r>
            <w:r w:rsidR="00523BAE" w:rsidRPr="002D7F76">
              <w:rPr>
                <w:rFonts w:hint="cs"/>
                <w:b/>
                <w:bCs/>
                <w:sz w:val="42"/>
                <w:szCs w:val="42"/>
                <w:rtl/>
              </w:rPr>
              <w:t>لا</w:t>
            </w:r>
            <w:r w:rsidR="004A14A6" w:rsidRPr="002D7F76">
              <w:rPr>
                <w:rFonts w:hint="cs"/>
                <w:b/>
                <w:bCs/>
                <w:sz w:val="42"/>
                <w:szCs w:val="42"/>
                <w:rtl/>
              </w:rPr>
              <w:t>تفاقي</w:t>
            </w:r>
            <w:r w:rsidR="00523BAE" w:rsidRPr="002D7F76">
              <w:rPr>
                <w:rFonts w:hint="cs"/>
                <w:b/>
                <w:bCs/>
                <w:sz w:val="42"/>
                <w:szCs w:val="42"/>
                <w:rtl/>
              </w:rPr>
              <w:t>ـ</w:t>
            </w:r>
            <w:r w:rsidR="004A14A6" w:rsidRPr="002D7F76">
              <w:rPr>
                <w:rFonts w:hint="cs"/>
                <w:b/>
                <w:bCs/>
                <w:sz w:val="42"/>
                <w:szCs w:val="42"/>
                <w:rtl/>
              </w:rPr>
              <w:t xml:space="preserve">ة </w:t>
            </w:r>
            <w:r w:rsidR="00523BAE" w:rsidRPr="002D7F76">
              <w:rPr>
                <w:rFonts w:hint="cs"/>
                <w:b/>
                <w:bCs/>
                <w:sz w:val="42"/>
                <w:szCs w:val="42"/>
                <w:rtl/>
              </w:rPr>
              <w:t xml:space="preserve">الدوليـة </w:t>
            </w:r>
            <w:r w:rsidR="0045649E" w:rsidRPr="002D7F76">
              <w:rPr>
                <w:rFonts w:hint="cs"/>
                <w:b/>
                <w:bCs/>
                <w:sz w:val="42"/>
                <w:szCs w:val="42"/>
                <w:rtl/>
              </w:rPr>
              <w:t>لحماية حقوق جميع العمال المهاجرين وأفراد أسره</w:t>
            </w:r>
            <w:r w:rsidR="0086216C" w:rsidRPr="002D7F76">
              <w:rPr>
                <w:rFonts w:hint="cs"/>
                <w:b/>
                <w:bCs/>
                <w:sz w:val="42"/>
                <w:szCs w:val="42"/>
                <w:rtl/>
              </w:rPr>
              <w:t>م</w:t>
            </w:r>
          </w:p>
        </w:tc>
        <w:tc>
          <w:tcPr>
            <w:tcW w:w="3261" w:type="dxa"/>
            <w:tcBorders>
              <w:top w:val="single" w:sz="4" w:space="0" w:color="auto"/>
              <w:bottom w:val="single" w:sz="12" w:space="0" w:color="auto"/>
            </w:tcBorders>
          </w:tcPr>
          <w:p w14:paraId="75480F71" w14:textId="77777777" w:rsidR="00694610" w:rsidRPr="002D7F76" w:rsidRDefault="00694610" w:rsidP="00694610">
            <w:pPr>
              <w:bidi w:val="0"/>
              <w:spacing w:before="240"/>
            </w:pPr>
            <w:r w:rsidRPr="002D7F76">
              <w:t>Distr.: General</w:t>
            </w:r>
          </w:p>
          <w:p w14:paraId="6885507E" w14:textId="77777777" w:rsidR="00694610" w:rsidRPr="002D7F76" w:rsidRDefault="00694610" w:rsidP="00694610">
            <w:pPr>
              <w:bidi w:val="0"/>
              <w:rPr>
                <w:shd w:val="clear" w:color="000000" w:fill="FFFFFF"/>
              </w:rPr>
            </w:pPr>
            <w:r w:rsidRPr="002D7F76">
              <w:rPr>
                <w:shd w:val="clear" w:color="000000" w:fill="FFFFFF"/>
              </w:rPr>
              <w:t>10 July 2026</w:t>
            </w:r>
          </w:p>
          <w:p w14:paraId="5D6DE815" w14:textId="24FD0FF8" w:rsidR="00694610" w:rsidRPr="002D7F76" w:rsidRDefault="00694610" w:rsidP="00694610">
            <w:pPr>
              <w:bidi w:val="0"/>
              <w:rPr>
                <w:shd w:val="clear" w:color="000000" w:fill="FFFFFF"/>
              </w:rPr>
            </w:pPr>
            <w:r w:rsidRPr="002D7F76">
              <w:rPr>
                <w:shd w:val="clear" w:color="000000" w:fill="FFFFFF"/>
              </w:rPr>
              <w:t>Arabic</w:t>
            </w:r>
          </w:p>
          <w:p w14:paraId="6DE867DA" w14:textId="5C6D6690" w:rsidR="006B3E27" w:rsidRPr="002D7F76" w:rsidRDefault="00694610" w:rsidP="00694610">
            <w:pPr>
              <w:bidi w:val="0"/>
            </w:pPr>
            <w:r w:rsidRPr="002D7F76">
              <w:rPr>
                <w:shd w:val="clear" w:color="000000" w:fill="FFFFFF"/>
              </w:rPr>
              <w:t>Original: English</w:t>
            </w:r>
          </w:p>
        </w:tc>
      </w:tr>
    </w:tbl>
    <w:p w14:paraId="5165824E" w14:textId="7565A892" w:rsidR="00694610" w:rsidRPr="002D7F76" w:rsidRDefault="002D7F76" w:rsidP="00694610">
      <w:pPr>
        <w:pStyle w:val="SingleTxtGA"/>
        <w:spacing w:before="120"/>
        <w:ind w:left="0" w:right="6379"/>
        <w:rPr>
          <w:rFonts w:eastAsiaTheme="minorEastAsia"/>
          <w:b/>
          <w:bCs/>
          <w:sz w:val="26"/>
          <w:szCs w:val="26"/>
          <w:shd w:val="clear" w:color="000000" w:fill="FFFFFF"/>
          <w:lang w:eastAsia="zh-TW"/>
        </w:rPr>
      </w:pPr>
      <w:r w:rsidRPr="002D7F76">
        <w:rPr>
          <w:rFonts w:hint="cs"/>
          <w:b/>
          <w:bCs/>
          <w:sz w:val="26"/>
          <w:szCs w:val="26"/>
          <w:rtl/>
        </w:rPr>
        <w:t>اللجنة المعنية ب</w:t>
      </w:r>
      <w:r w:rsidR="00694610" w:rsidRPr="002D7F76">
        <w:rPr>
          <w:b/>
          <w:bCs/>
          <w:sz w:val="26"/>
          <w:szCs w:val="26"/>
          <w:rtl/>
        </w:rPr>
        <w:t>حماية حقوق جميع العمال المهاجرين وأفراد أسرهم</w:t>
      </w:r>
    </w:p>
    <w:p w14:paraId="3E44BD95" w14:textId="58FBB205" w:rsidR="00694610" w:rsidRPr="002D7F76" w:rsidRDefault="00694610" w:rsidP="00694610">
      <w:pPr>
        <w:pStyle w:val="HChGA"/>
        <w:rPr>
          <w:shd w:val="clear" w:color="000000" w:fill="FFFFFF"/>
          <w:lang w:val="en-US" w:eastAsia="zh-TW"/>
        </w:rPr>
      </w:pPr>
      <w:r w:rsidRPr="002D7F76">
        <w:rPr>
          <w:rtl/>
          <w:lang w:val="en-US"/>
        </w:rPr>
        <w:tab/>
      </w:r>
      <w:r w:rsidRPr="002D7F76">
        <w:rPr>
          <w:rtl/>
          <w:lang w:val="en-US"/>
        </w:rPr>
        <w:tab/>
        <w:t>تقرير عن متابعة الملاحظات الختامية للجنة المعنية بحماية حقوق جميع العمال المهاجرين وأفراد أسرهم</w:t>
      </w:r>
      <w:r w:rsidRPr="002D7F76">
        <w:rPr>
          <w:rStyle w:val="FootnoteReference"/>
          <w:vertAlign w:val="baseline"/>
          <w:rtl/>
          <w:lang w:val="en-US"/>
        </w:rPr>
        <w:footnoteReference w:customMarkFollows="1" w:id="1"/>
        <w:t>*</w:t>
      </w:r>
    </w:p>
    <w:p w14:paraId="6E29CF66" w14:textId="4AE95869" w:rsidR="00694610" w:rsidRPr="002D7F76" w:rsidRDefault="00694610" w:rsidP="00694610">
      <w:pPr>
        <w:pStyle w:val="SingleTxtGA"/>
        <w:rPr>
          <w:shd w:val="clear" w:color="000000" w:fill="FFFFFF"/>
          <w:lang w:eastAsia="zh-TW"/>
        </w:rPr>
      </w:pPr>
      <w:r w:rsidRPr="002D7F76">
        <w:rPr>
          <w:rtl/>
        </w:rPr>
        <w:t>1-</w:t>
      </w:r>
      <w:r w:rsidRPr="002D7F76">
        <w:rPr>
          <w:rtl/>
        </w:rPr>
        <w:tab/>
        <w:t>أُعدّ هذا التقرير، الذي يتألف من هذه الوثيقة والإضافة، عملاً بالمادة 74(1) من الاتفاقية</w:t>
      </w:r>
      <w:r w:rsidRPr="002D7F76">
        <w:rPr>
          <w:vertAlign w:val="superscript"/>
          <w:rtl/>
        </w:rPr>
        <w:t>(</w:t>
      </w:r>
      <w:r w:rsidRPr="002D7F76">
        <w:rPr>
          <w:vertAlign w:val="superscript"/>
          <w:rtl/>
        </w:rPr>
        <w:footnoteReference w:id="2"/>
      </w:r>
      <w:r w:rsidRPr="002D7F76">
        <w:rPr>
          <w:vertAlign w:val="superscript"/>
          <w:rtl/>
        </w:rPr>
        <w:t>)</w:t>
      </w:r>
      <w:r w:rsidRPr="002D7F76">
        <w:rPr>
          <w:rtl/>
        </w:rPr>
        <w:t>.</w:t>
      </w:r>
    </w:p>
    <w:p w14:paraId="550666D4" w14:textId="77777777" w:rsidR="00694610" w:rsidRPr="002D7F76" w:rsidRDefault="00694610" w:rsidP="00694610">
      <w:pPr>
        <w:pStyle w:val="SingleTxtGA"/>
        <w:rPr>
          <w:shd w:val="clear" w:color="000000" w:fill="FFFFFF"/>
          <w:lang w:eastAsia="zh-TW"/>
        </w:rPr>
      </w:pPr>
      <w:r w:rsidRPr="002D7F76">
        <w:rPr>
          <w:rtl/>
        </w:rPr>
        <w:t>2-</w:t>
      </w:r>
      <w:r w:rsidRPr="002D7F76">
        <w:rPr>
          <w:rtl/>
        </w:rPr>
        <w:tab/>
        <w:t xml:space="preserve">وتتضمن الإضافة موجزات للمعلومات التي تلقتها اللجنة بشأن متابعة ملاحظاتها الختامية المتعلقة ببوركينا فاسو بموجب المادة 73(1)(ب) و(3) من الاتفاقية، والتقييمات التي اعتمدتها اللجنة في دورتها الثانية والأربعين، وفقاً للمادة 74(1) من الاتفاقية. </w:t>
      </w:r>
    </w:p>
    <w:p w14:paraId="71A3A6B5" w14:textId="77777777" w:rsidR="00694610" w:rsidRPr="002D7F76" w:rsidRDefault="00694610" w:rsidP="00694610">
      <w:pPr>
        <w:pStyle w:val="SingleTxtGA"/>
        <w:rPr>
          <w:shd w:val="clear" w:color="000000" w:fill="FFFFFF"/>
          <w:lang w:eastAsia="zh-TW"/>
        </w:rPr>
      </w:pPr>
      <w:r w:rsidRPr="002D7F76">
        <w:rPr>
          <w:rtl/>
        </w:rPr>
        <w:t>3-</w:t>
      </w:r>
      <w:r w:rsidRPr="002D7F76">
        <w:rPr>
          <w:rtl/>
        </w:rPr>
        <w:tab/>
        <w:t>ولا تشير التقييمات الواردة في الإضافة سوى إلى التوصيات التي اختيرت لأغراض إجراء المتابعة، والتي طُلب إلى الدولة الطرف أن تقدم بشأنها معلومات في غضون سنتين من اعتماد الملاحظات الختامية. وقد أجرت اللجنة تقييمها باستخدام المعايير الواردة أدناه:</w:t>
      </w:r>
    </w:p>
    <w:p w14:paraId="2E3F69D6" w14:textId="77777777" w:rsidR="00694610" w:rsidRPr="002D7F76" w:rsidRDefault="00694610" w:rsidP="00694610">
      <w:pPr>
        <w:pStyle w:val="SingleTxtGA"/>
        <w:ind w:left="1928" w:hanging="681"/>
        <w:rPr>
          <w:spacing w:val="2"/>
          <w:shd w:val="clear" w:color="000000" w:fill="FFFFFF"/>
          <w:lang w:eastAsia="zh-TW"/>
        </w:rPr>
      </w:pPr>
      <w:r w:rsidRPr="002D7F76">
        <w:rPr>
          <w:b/>
          <w:bCs/>
          <w:spacing w:val="2"/>
          <w:rtl/>
        </w:rPr>
        <w:t>ألف</w:t>
      </w:r>
      <w:r w:rsidRPr="002D7F76">
        <w:rPr>
          <w:spacing w:val="2"/>
          <w:rtl/>
        </w:rPr>
        <w:tab/>
      </w:r>
      <w:r w:rsidRPr="002D7F76">
        <w:rPr>
          <w:b/>
          <w:bCs/>
          <w:spacing w:val="2"/>
          <w:rtl/>
        </w:rPr>
        <w:t>ردٌّ/إجراءٌ مُرضٍ إلى حد بعيد</w:t>
      </w:r>
      <w:r w:rsidRPr="002D7F76">
        <w:rPr>
          <w:spacing w:val="2"/>
          <w:rtl/>
        </w:rPr>
        <w:t>: قدمت الدولة الطرف أدلة على اتخاذ إجراءات مهمة لتنفيذ توصية اللجنة.</w:t>
      </w:r>
    </w:p>
    <w:p w14:paraId="51CC08CA" w14:textId="77777777" w:rsidR="00694610" w:rsidRPr="002D7F76" w:rsidRDefault="00694610" w:rsidP="00694610">
      <w:pPr>
        <w:pStyle w:val="SingleTxtGA"/>
        <w:ind w:left="1928" w:hanging="681"/>
        <w:rPr>
          <w:shd w:val="clear" w:color="000000" w:fill="FFFFFF"/>
          <w:lang w:eastAsia="zh-TW"/>
        </w:rPr>
      </w:pPr>
      <w:r w:rsidRPr="002D7F76">
        <w:rPr>
          <w:b/>
          <w:bCs/>
          <w:rtl/>
        </w:rPr>
        <w:t>باء</w:t>
      </w:r>
      <w:r w:rsidRPr="002D7F76">
        <w:rPr>
          <w:rtl/>
        </w:rPr>
        <w:tab/>
      </w:r>
      <w:r w:rsidRPr="002D7F76">
        <w:rPr>
          <w:b/>
          <w:bCs/>
          <w:rtl/>
        </w:rPr>
        <w:t>ردٌّ/إجراءٌ مُرضٍ جزئيّاً</w:t>
      </w:r>
      <w:r w:rsidRPr="002D7F76">
        <w:rPr>
          <w:rtl/>
        </w:rPr>
        <w:t>: اتخذت الدولة الطرف خطوات لتنفيذ التوصية، ولكن لا يزال يتعيّن عليها تقديم معلومات إضافية أو اتخاذ إجراءات أخرى.</w:t>
      </w:r>
    </w:p>
    <w:p w14:paraId="1B7A0341" w14:textId="77777777" w:rsidR="00694610" w:rsidRPr="002D7F76" w:rsidRDefault="00694610" w:rsidP="00694610">
      <w:pPr>
        <w:pStyle w:val="SingleTxtGA"/>
        <w:ind w:left="1928" w:hanging="681"/>
        <w:rPr>
          <w:shd w:val="clear" w:color="000000" w:fill="FFFFFF"/>
          <w:lang w:eastAsia="zh-TW"/>
        </w:rPr>
      </w:pPr>
      <w:r w:rsidRPr="002D7F76">
        <w:rPr>
          <w:b/>
          <w:bCs/>
          <w:rtl/>
        </w:rPr>
        <w:t>جيم</w:t>
      </w:r>
      <w:r w:rsidRPr="002D7F76">
        <w:rPr>
          <w:rtl/>
        </w:rPr>
        <w:tab/>
      </w:r>
      <w:r w:rsidRPr="002D7F76">
        <w:rPr>
          <w:b/>
          <w:bCs/>
          <w:rtl/>
        </w:rPr>
        <w:t>ردٌّ/إجراءٌ غير مُرضٍ</w:t>
      </w:r>
      <w:r w:rsidRPr="002D7F76">
        <w:rPr>
          <w:rtl/>
        </w:rPr>
        <w:t>: ورد ردٌّ، ولكن الإجراءات التي اتخذتها الدولة الطرف أو المعلومات التي قدمتها غير ملائمة أو لا تفضي إلى تنفيذ التوصية.</w:t>
      </w:r>
    </w:p>
    <w:p w14:paraId="32DB8E3C" w14:textId="77777777" w:rsidR="00694610" w:rsidRPr="002D7F76" w:rsidRDefault="00694610" w:rsidP="00694610">
      <w:pPr>
        <w:pStyle w:val="SingleTxtGA"/>
        <w:rPr>
          <w:shd w:val="clear" w:color="000000" w:fill="FFFFFF"/>
          <w:lang w:eastAsia="zh-TW"/>
        </w:rPr>
      </w:pPr>
      <w:r w:rsidRPr="002D7F76">
        <w:rPr>
          <w:b/>
          <w:bCs/>
          <w:rtl/>
        </w:rPr>
        <w:t>دال</w:t>
      </w:r>
      <w:r w:rsidRPr="002D7F76">
        <w:rPr>
          <w:rtl/>
        </w:rPr>
        <w:tab/>
      </w:r>
      <w:r w:rsidRPr="002D7F76">
        <w:rPr>
          <w:b/>
          <w:bCs/>
          <w:rtl/>
        </w:rPr>
        <w:t>عدم التعاون مع اللجنة</w:t>
      </w:r>
      <w:r w:rsidRPr="002D7F76">
        <w:rPr>
          <w:rtl/>
        </w:rPr>
        <w:t>: لم يرد أي تقرير متابعة بعد توجيه الرسالة (الرسائل) التذكيرية.</w:t>
      </w:r>
    </w:p>
    <w:p w14:paraId="2BEC616D" w14:textId="77777777" w:rsidR="00694610" w:rsidRPr="002D7F76" w:rsidRDefault="00694610" w:rsidP="00694610">
      <w:pPr>
        <w:pStyle w:val="SingleTxtGA"/>
        <w:rPr>
          <w:shd w:val="clear" w:color="000000" w:fill="FFFFFF"/>
          <w:lang w:eastAsia="zh-TW"/>
        </w:rPr>
      </w:pPr>
      <w:r w:rsidRPr="002D7F76">
        <w:rPr>
          <w:b/>
          <w:bCs/>
          <w:rtl/>
        </w:rPr>
        <w:t>هاء</w:t>
      </w:r>
      <w:r w:rsidRPr="002D7F76">
        <w:rPr>
          <w:rtl/>
        </w:rPr>
        <w:tab/>
      </w:r>
      <w:r w:rsidRPr="002D7F76">
        <w:rPr>
          <w:b/>
          <w:bCs/>
          <w:rtl/>
        </w:rPr>
        <w:t>المعلومات المقدمة أو التدابير المتخذة تتنافى مع التوصية أو تنم عن رفضها.</w:t>
      </w:r>
    </w:p>
    <w:p w14:paraId="26624CF8" w14:textId="77777777" w:rsidR="00694610" w:rsidRPr="002D7F76" w:rsidRDefault="00694610" w:rsidP="00694610">
      <w:pPr>
        <w:pStyle w:val="SingleTxtGA"/>
        <w:rPr>
          <w:b/>
          <w:bCs/>
          <w:shd w:val="clear" w:color="000000" w:fill="FFFFFF"/>
          <w:lang w:eastAsia="zh-TW"/>
        </w:rPr>
      </w:pPr>
      <w:r w:rsidRPr="002D7F76">
        <w:rPr>
          <w:b/>
          <w:bCs/>
          <w:rtl/>
        </w:rPr>
        <w:t>واو</w:t>
      </w:r>
      <w:r w:rsidRPr="002D7F76">
        <w:rPr>
          <w:bCs/>
          <w:rtl/>
        </w:rPr>
        <w:tab/>
      </w:r>
      <w:r w:rsidRPr="002D7F76">
        <w:rPr>
          <w:b/>
          <w:bCs/>
          <w:rtl/>
        </w:rPr>
        <w:t>التوصيات التي تنتظر التنفيذ.</w:t>
      </w:r>
    </w:p>
    <w:p w14:paraId="4009800B" w14:textId="332B9039" w:rsidR="00694610" w:rsidRPr="002D7F76" w:rsidRDefault="00694610" w:rsidP="00694610">
      <w:pPr>
        <w:pStyle w:val="SingleTxtGA"/>
        <w:jc w:val="center"/>
        <w:rPr>
          <w:u w:val="single"/>
          <w:rtl/>
        </w:rPr>
      </w:pPr>
      <w:r w:rsidRPr="002D7F76">
        <w:rPr>
          <w:u w:val="single"/>
          <w:rtl/>
        </w:rPr>
        <w:tab/>
      </w:r>
      <w:r w:rsidRPr="002D7F76">
        <w:rPr>
          <w:u w:val="single"/>
          <w:rtl/>
        </w:rPr>
        <w:tab/>
      </w:r>
      <w:r w:rsidRPr="002D7F76">
        <w:rPr>
          <w:u w:val="single"/>
          <w:rtl/>
        </w:rPr>
        <w:tab/>
      </w:r>
    </w:p>
    <w:sectPr w:rsidR="00694610" w:rsidRPr="002D7F76" w:rsidSect="00B45F47">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A48E56" w14:textId="77777777" w:rsidR="003B73CE" w:rsidRPr="002901D9" w:rsidRDefault="003B73CE" w:rsidP="008809C0">
      <w:pPr>
        <w:spacing w:after="120" w:line="240" w:lineRule="auto"/>
        <w:ind w:left="57"/>
        <w:rPr>
          <w:i/>
          <w:iCs/>
        </w:rPr>
      </w:pPr>
      <w:r>
        <w:rPr>
          <w:rFonts w:hint="cs"/>
          <w:i/>
          <w:iCs/>
          <w:rtl/>
        </w:rPr>
        <w:t>الحواشي</w:t>
      </w:r>
    </w:p>
  </w:endnote>
  <w:endnote w:type="continuationSeparator" w:id="0">
    <w:p w14:paraId="603F0146" w14:textId="77777777" w:rsidR="003B73CE" w:rsidRDefault="003B73CE"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charset w:val="B2"/>
    <w:family w:val="roman"/>
    <w:pitch w:val="variable"/>
    <w:sig w:usb0="00002003" w:usb1="80000000" w:usb2="00000008" w:usb3="00000000" w:csb0="00000041" w:csb1="00000000"/>
  </w:font>
  <w:font w:name="Traditional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CDCE5D" w14:textId="28B0F93B" w:rsidR="00024EBA" w:rsidRPr="00024EBA" w:rsidRDefault="00024EBA" w:rsidP="00024EBA">
    <w:pPr>
      <w:pStyle w:val="Footer"/>
      <w:tabs>
        <w:tab w:val="right" w:pos="9638"/>
      </w:tabs>
      <w:rPr>
        <w:b/>
        <w:sz w:val="18"/>
        <w:lang w:val="en-US"/>
      </w:rPr>
    </w:pPr>
    <w:r>
      <w:rPr>
        <w:lang w:val="en-US"/>
      </w:rPr>
      <w:t>GE.26-09463</w:t>
    </w:r>
    <w:r>
      <w:rPr>
        <w:lang w:val="en-US"/>
      </w:rPr>
      <w:tab/>
    </w:r>
    <w:r w:rsidRPr="00024EBA">
      <w:rPr>
        <w:b/>
        <w:sz w:val="18"/>
        <w:lang w:val="en-US"/>
      </w:rPr>
      <w:fldChar w:fldCharType="begin"/>
    </w:r>
    <w:r w:rsidRPr="00024EBA">
      <w:rPr>
        <w:b/>
        <w:sz w:val="18"/>
        <w:lang w:val="en-US"/>
      </w:rPr>
      <w:instrText xml:space="preserve"> PAGE  \* MERGEFORMAT </w:instrText>
    </w:r>
    <w:r w:rsidRPr="00024EBA">
      <w:rPr>
        <w:b/>
        <w:sz w:val="18"/>
        <w:lang w:val="en-US"/>
      </w:rPr>
      <w:fldChar w:fldCharType="separate"/>
    </w:r>
    <w:r w:rsidRPr="00024EBA">
      <w:rPr>
        <w:b/>
        <w:noProof/>
        <w:sz w:val="18"/>
        <w:lang w:val="en-US"/>
      </w:rPr>
      <w:t>2</w:t>
    </w:r>
    <w:r w:rsidRPr="00024EBA">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56EE38" w14:textId="558E9023" w:rsidR="006959B0" w:rsidRPr="00024EBA" w:rsidRDefault="00024EBA" w:rsidP="00024EBA">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GE.26-09463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E5588A" w14:textId="0E21F0DF" w:rsidR="007D04A0" w:rsidRPr="00024EBA" w:rsidRDefault="00024EBA" w:rsidP="00024EBA">
    <w:pPr>
      <w:pStyle w:val="Footer"/>
      <w:spacing w:before="600"/>
      <w:ind w:left="567"/>
      <w:jc w:val="right"/>
      <w:rPr>
        <w:sz w:val="20"/>
        <w:lang w:val="en-US"/>
      </w:rPr>
    </w:pPr>
    <w:r>
      <w:rPr>
        <w:sz w:val="20"/>
        <w:lang w:val="en-US"/>
      </w:rPr>
      <w:t>GE.</w:t>
    </w:r>
    <w:r w:rsidR="00DC4EE6">
      <w:rPr>
        <w:noProof/>
      </w:rPr>
      <w:drawing>
        <wp:anchor distT="0" distB="0" distL="114300" distR="114300" simplePos="0" relativeHeight="251659264" behindDoc="1" locked="1" layoutInCell="0" allowOverlap="1" wp14:anchorId="75B8862C" wp14:editId="5FA94292">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26-09463 </w:t>
    </w:r>
    <w:r w:rsidR="00511958">
      <w:rPr>
        <w:sz w:val="20"/>
        <w:lang w:val="en-US"/>
      </w:rPr>
      <w:t>(A)    240726    280726</w:t>
    </w:r>
    <w:r>
      <w:rPr>
        <w:noProof/>
        <w:sz w:val="20"/>
        <w:lang w:val="en-US"/>
      </w:rPr>
      <w:drawing>
        <wp:anchor distT="0" distB="0" distL="114300" distR="114300" simplePos="0" relativeHeight="251660288" behindDoc="0" locked="0" layoutInCell="1" allowOverlap="1" wp14:anchorId="0C2E5987" wp14:editId="1C778105">
          <wp:simplePos x="0" y="0"/>
          <wp:positionH relativeFrom="margin">
            <wp:posOffset>0</wp:posOffset>
          </wp:positionH>
          <wp:positionV relativeFrom="margin">
            <wp:posOffset>8891905</wp:posOffset>
          </wp:positionV>
          <wp:extent cx="628650" cy="628650"/>
          <wp:effectExtent l="0" t="0" r="0" b="0"/>
          <wp:wrapNone/>
          <wp:docPr id="146314969"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314969"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B9CDE3" w14:textId="77777777" w:rsidR="003B73CE" w:rsidRPr="00E849B7" w:rsidRDefault="003B73CE" w:rsidP="00E849B7">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2BFA69BD" w14:textId="77777777" w:rsidR="003B73CE" w:rsidRDefault="003B73CE" w:rsidP="00656392">
      <w:pPr>
        <w:spacing w:line="240" w:lineRule="auto"/>
      </w:pPr>
      <w:r>
        <w:continuationSeparator/>
      </w:r>
    </w:p>
  </w:footnote>
  <w:footnote w:id="1">
    <w:p w14:paraId="1FB99B86" w14:textId="247F0276" w:rsidR="00694610" w:rsidRPr="002D7F76" w:rsidRDefault="00694610" w:rsidP="004C142C">
      <w:pPr>
        <w:pStyle w:val="FootnoteText1"/>
        <w:rPr>
          <w:rFonts w:hint="cs"/>
        </w:rPr>
      </w:pPr>
      <w:r w:rsidRPr="002D7F76">
        <w:rPr>
          <w:rtl/>
        </w:rPr>
        <w:t>*</w:t>
      </w:r>
      <w:r w:rsidRPr="002D7F76">
        <w:rPr>
          <w:rtl/>
        </w:rPr>
        <w:tab/>
      </w:r>
      <w:r w:rsidRPr="002D7F76">
        <w:rPr>
          <w:rtl/>
        </w:rPr>
        <w:t xml:space="preserve">اعتمدته اللجنة في دورتها الثانية والأربعين </w:t>
      </w:r>
      <w:r w:rsidRPr="002D7F76">
        <w:rPr>
          <w:rFonts w:ascii="Simplified Arabic"/>
          <w:rtl/>
        </w:rPr>
        <w:t>(28</w:t>
      </w:r>
      <w:r w:rsidRPr="002D7F76">
        <w:rPr>
          <w:rtl/>
        </w:rPr>
        <w:t xml:space="preserve"> أيار/مايو - </w:t>
      </w:r>
      <w:r w:rsidRPr="002D7F76">
        <w:rPr>
          <w:rFonts w:ascii="Simplified Arabic"/>
          <w:rtl/>
        </w:rPr>
        <w:t>12</w:t>
      </w:r>
      <w:r w:rsidRPr="002D7F76">
        <w:rPr>
          <w:rtl/>
        </w:rPr>
        <w:t xml:space="preserve"> حزيران/يونيه </w:t>
      </w:r>
      <w:r w:rsidRPr="002D7F76">
        <w:rPr>
          <w:rFonts w:ascii="Simplified Arabic"/>
          <w:rtl/>
        </w:rPr>
        <w:t>2026)</w:t>
      </w:r>
      <w:r w:rsidRPr="002D7F76">
        <w:rPr>
          <w:rtl/>
        </w:rPr>
        <w:t>.</w:t>
      </w:r>
    </w:p>
  </w:footnote>
  <w:footnote w:id="2">
    <w:p w14:paraId="24969AD0" w14:textId="5912BD7E" w:rsidR="00694610" w:rsidRPr="002D7F76" w:rsidRDefault="00694610" w:rsidP="006E567F">
      <w:pPr>
        <w:pStyle w:val="FootnoteText1"/>
        <w:rPr>
          <w:rFonts w:hint="cs"/>
          <w:rtl/>
        </w:rPr>
      </w:pPr>
      <w:r w:rsidRPr="002D7F76">
        <w:rPr>
          <w:rtl/>
        </w:rPr>
        <w:t>(</w:t>
      </w:r>
      <w:r w:rsidRPr="002D7F76">
        <w:rPr>
          <w:rtl/>
        </w:rPr>
        <w:footnoteRef/>
      </w:r>
      <w:r w:rsidRPr="002D7F76">
        <w:rPr>
          <w:rtl/>
        </w:rPr>
        <w:t>)</w:t>
      </w:r>
      <w:r w:rsidRPr="002D7F76">
        <w:rPr>
          <w:rtl/>
        </w:rPr>
        <w:tab/>
      </w:r>
      <w:hyperlink r:id="rId1" w:history="1">
        <w:r w:rsidRPr="002D7F76">
          <w:rPr>
            <w:rStyle w:val="Hyperlink"/>
          </w:rPr>
          <w:t>CMW/C/42/2/Add.1</w:t>
        </w:r>
      </w:hyperlink>
      <w:r w:rsidRPr="002D7F76">
        <w:rPr>
          <w:rFonts w:hint="cs"/>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2B78C5" w14:textId="1D5FC971" w:rsidR="00024EBA" w:rsidRPr="00024EBA" w:rsidRDefault="00024EBA" w:rsidP="00024EBA">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2C47DC">
      <w:t>CMW/C/42/2</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03F49B" w14:textId="1B623983" w:rsidR="00024EBA" w:rsidRPr="00024EBA" w:rsidRDefault="00024EBA" w:rsidP="00024EBA">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2C47DC">
      <w:t>CMW/C/42/2</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555CEB" w14:textId="77777777" w:rsidR="00511958" w:rsidRDefault="0051195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878198474">
    <w:abstractNumId w:val="15"/>
  </w:num>
  <w:num w:numId="2" w16cid:durableId="40983665">
    <w:abstractNumId w:val="12"/>
  </w:num>
  <w:num w:numId="3" w16cid:durableId="1530754613">
    <w:abstractNumId w:val="2"/>
  </w:num>
  <w:num w:numId="4" w16cid:durableId="1130561599">
    <w:abstractNumId w:val="11"/>
  </w:num>
  <w:num w:numId="5" w16cid:durableId="816729343">
    <w:abstractNumId w:val="8"/>
  </w:num>
  <w:num w:numId="6" w16cid:durableId="1604410783">
    <w:abstractNumId w:val="5"/>
  </w:num>
  <w:num w:numId="7" w16cid:durableId="1628782553">
    <w:abstractNumId w:val="17"/>
  </w:num>
  <w:num w:numId="8" w16cid:durableId="870142240">
    <w:abstractNumId w:val="2"/>
  </w:num>
  <w:num w:numId="9" w16cid:durableId="1737975363">
    <w:abstractNumId w:val="11"/>
  </w:num>
  <w:num w:numId="10" w16cid:durableId="415246353">
    <w:abstractNumId w:val="5"/>
  </w:num>
  <w:num w:numId="11" w16cid:durableId="1187911770">
    <w:abstractNumId w:val="17"/>
  </w:num>
  <w:num w:numId="12" w16cid:durableId="562330734">
    <w:abstractNumId w:val="4"/>
  </w:num>
  <w:num w:numId="13" w16cid:durableId="295185615">
    <w:abstractNumId w:val="3"/>
  </w:num>
  <w:num w:numId="14" w16cid:durableId="1621569700">
    <w:abstractNumId w:val="16"/>
  </w:num>
  <w:num w:numId="15" w16cid:durableId="1055785572">
    <w:abstractNumId w:val="13"/>
  </w:num>
  <w:num w:numId="16" w16cid:durableId="445778296">
    <w:abstractNumId w:val="1"/>
  </w:num>
  <w:num w:numId="17" w16cid:durableId="522136085">
    <w:abstractNumId w:val="14"/>
  </w:num>
  <w:num w:numId="18" w16cid:durableId="437481848">
    <w:abstractNumId w:val="0"/>
  </w:num>
  <w:num w:numId="19" w16cid:durableId="1361130208">
    <w:abstractNumId w:val="9"/>
  </w:num>
  <w:num w:numId="20" w16cid:durableId="1445732491">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26615672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990791133">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1991252086">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2102532262">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2075933746">
    <w:abstractNumId w:val="7"/>
  </w:num>
  <w:num w:numId="26" w16cid:durableId="423380403">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11148453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0"/>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73CE"/>
    <w:rsid w:val="00004B17"/>
    <w:rsid w:val="000076D5"/>
    <w:rsid w:val="00024EBA"/>
    <w:rsid w:val="0003439F"/>
    <w:rsid w:val="00043663"/>
    <w:rsid w:val="00044934"/>
    <w:rsid w:val="000505CF"/>
    <w:rsid w:val="000D701C"/>
    <w:rsid w:val="000E2A71"/>
    <w:rsid w:val="000E7731"/>
    <w:rsid w:val="00160263"/>
    <w:rsid w:val="00181F96"/>
    <w:rsid w:val="001A1371"/>
    <w:rsid w:val="001A72EE"/>
    <w:rsid w:val="001B346A"/>
    <w:rsid w:val="001D181F"/>
    <w:rsid w:val="001E1CAD"/>
    <w:rsid w:val="001E290D"/>
    <w:rsid w:val="001E45CF"/>
    <w:rsid w:val="001F6AC9"/>
    <w:rsid w:val="002144FA"/>
    <w:rsid w:val="002236F3"/>
    <w:rsid w:val="00233629"/>
    <w:rsid w:val="0023469A"/>
    <w:rsid w:val="00243C8A"/>
    <w:rsid w:val="00266906"/>
    <w:rsid w:val="00267A0E"/>
    <w:rsid w:val="002901D9"/>
    <w:rsid w:val="002976C2"/>
    <w:rsid w:val="002B726E"/>
    <w:rsid w:val="002C05F6"/>
    <w:rsid w:val="002C47DC"/>
    <w:rsid w:val="002C52C5"/>
    <w:rsid w:val="002D2D42"/>
    <w:rsid w:val="002D7F76"/>
    <w:rsid w:val="003260FF"/>
    <w:rsid w:val="00336B60"/>
    <w:rsid w:val="00343D95"/>
    <w:rsid w:val="0035017B"/>
    <w:rsid w:val="003622B5"/>
    <w:rsid w:val="00374341"/>
    <w:rsid w:val="00384225"/>
    <w:rsid w:val="003B73CE"/>
    <w:rsid w:val="003B7FA5"/>
    <w:rsid w:val="003C0D31"/>
    <w:rsid w:val="003D1062"/>
    <w:rsid w:val="00420D7B"/>
    <w:rsid w:val="00450B21"/>
    <w:rsid w:val="00453B63"/>
    <w:rsid w:val="00455780"/>
    <w:rsid w:val="0045649E"/>
    <w:rsid w:val="00465585"/>
    <w:rsid w:val="004A14A6"/>
    <w:rsid w:val="004B0A1C"/>
    <w:rsid w:val="004C2A43"/>
    <w:rsid w:val="004D2536"/>
    <w:rsid w:val="004D298E"/>
    <w:rsid w:val="00511958"/>
    <w:rsid w:val="00523BAE"/>
    <w:rsid w:val="0054472E"/>
    <w:rsid w:val="00552CF4"/>
    <w:rsid w:val="005540EB"/>
    <w:rsid w:val="005662A9"/>
    <w:rsid w:val="005827D4"/>
    <w:rsid w:val="00587F77"/>
    <w:rsid w:val="0059622A"/>
    <w:rsid w:val="00596A9A"/>
    <w:rsid w:val="005C5878"/>
    <w:rsid w:val="005C7CEA"/>
    <w:rsid w:val="005D23D2"/>
    <w:rsid w:val="005D3C0B"/>
    <w:rsid w:val="005D5FAB"/>
    <w:rsid w:val="005E5217"/>
    <w:rsid w:val="005F016A"/>
    <w:rsid w:val="005F0FA4"/>
    <w:rsid w:val="005F30EE"/>
    <w:rsid w:val="0060473A"/>
    <w:rsid w:val="00656392"/>
    <w:rsid w:val="0068781D"/>
    <w:rsid w:val="00694610"/>
    <w:rsid w:val="006959B0"/>
    <w:rsid w:val="006B3E27"/>
    <w:rsid w:val="006B6507"/>
    <w:rsid w:val="006C104C"/>
    <w:rsid w:val="00710F28"/>
    <w:rsid w:val="00733704"/>
    <w:rsid w:val="0078071A"/>
    <w:rsid w:val="007D04A0"/>
    <w:rsid w:val="007F3270"/>
    <w:rsid w:val="00805C01"/>
    <w:rsid w:val="00852A9A"/>
    <w:rsid w:val="0086216C"/>
    <w:rsid w:val="00874948"/>
    <w:rsid w:val="008809C0"/>
    <w:rsid w:val="008F49E1"/>
    <w:rsid w:val="0090370F"/>
    <w:rsid w:val="009269D2"/>
    <w:rsid w:val="00926A99"/>
    <w:rsid w:val="00942135"/>
    <w:rsid w:val="009521B0"/>
    <w:rsid w:val="00982D83"/>
    <w:rsid w:val="00994130"/>
    <w:rsid w:val="009951EE"/>
    <w:rsid w:val="009A7E9F"/>
    <w:rsid w:val="009E5018"/>
    <w:rsid w:val="00A12B37"/>
    <w:rsid w:val="00A47A52"/>
    <w:rsid w:val="00AB6758"/>
    <w:rsid w:val="00AD39DF"/>
    <w:rsid w:val="00AF68B6"/>
    <w:rsid w:val="00B01B73"/>
    <w:rsid w:val="00B116DD"/>
    <w:rsid w:val="00B13763"/>
    <w:rsid w:val="00B3422A"/>
    <w:rsid w:val="00B45F47"/>
    <w:rsid w:val="00B477A4"/>
    <w:rsid w:val="00B54045"/>
    <w:rsid w:val="00B742C7"/>
    <w:rsid w:val="00C438D7"/>
    <w:rsid w:val="00C81B50"/>
    <w:rsid w:val="00C91CE0"/>
    <w:rsid w:val="00CB28F9"/>
    <w:rsid w:val="00CD1801"/>
    <w:rsid w:val="00CE510B"/>
    <w:rsid w:val="00CF43E6"/>
    <w:rsid w:val="00CF7EDE"/>
    <w:rsid w:val="00D10EF1"/>
    <w:rsid w:val="00D13E6D"/>
    <w:rsid w:val="00D330A2"/>
    <w:rsid w:val="00D42810"/>
    <w:rsid w:val="00D42EEC"/>
    <w:rsid w:val="00D914A7"/>
    <w:rsid w:val="00DC4EE6"/>
    <w:rsid w:val="00DD13C3"/>
    <w:rsid w:val="00DD596E"/>
    <w:rsid w:val="00DD621E"/>
    <w:rsid w:val="00DE2E00"/>
    <w:rsid w:val="00DE59CB"/>
    <w:rsid w:val="00DF0575"/>
    <w:rsid w:val="00E654FB"/>
    <w:rsid w:val="00E70E04"/>
    <w:rsid w:val="00E71448"/>
    <w:rsid w:val="00E76499"/>
    <w:rsid w:val="00E849B7"/>
    <w:rsid w:val="00EC05A7"/>
    <w:rsid w:val="00EC4B6B"/>
    <w:rsid w:val="00EF1EE5"/>
    <w:rsid w:val="00F763B4"/>
    <w:rsid w:val="00F900C3"/>
    <w:rsid w:val="00FD2424"/>
    <w:rsid w:val="00FF2AB2"/>
    <w:rsid w:val="00FF6ECD"/>
    <w:rsid w:val="00FF787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99BEC27"/>
  <w15:docId w15:val="{AB2AFF9C-2A22-48B0-8DC0-5599C06392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2536"/>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4D2536"/>
    <w:pPr>
      <w:bidi w:val="0"/>
      <w:outlineLvl w:val="0"/>
    </w:pPr>
  </w:style>
  <w:style w:type="paragraph" w:styleId="Heading2">
    <w:name w:val="heading 2"/>
    <w:basedOn w:val="Normal"/>
    <w:next w:val="Normal"/>
    <w:link w:val="Heading2Char"/>
    <w:uiPriority w:val="9"/>
    <w:unhideWhenUsed/>
    <w:rsid w:val="004D2536"/>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4D2536"/>
    <w:pPr>
      <w:keepNext/>
      <w:keepLines/>
      <w:spacing w:before="200"/>
      <w:outlineLvl w:val="2"/>
    </w:pPr>
    <w:rPr>
      <w:b/>
      <w:bCs/>
      <w:color w:val="4F81BD"/>
    </w:rPr>
  </w:style>
  <w:style w:type="paragraph" w:styleId="Heading4">
    <w:name w:val="heading 4"/>
    <w:basedOn w:val="Normal"/>
    <w:next w:val="Normal"/>
    <w:link w:val="Heading4Char"/>
    <w:uiPriority w:val="9"/>
    <w:unhideWhenUsed/>
    <w:rsid w:val="004D2536"/>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4D2536"/>
    <w:pPr>
      <w:keepNext/>
      <w:keepLines/>
      <w:spacing w:before="200"/>
      <w:outlineLvl w:val="4"/>
    </w:pPr>
    <w:rPr>
      <w:color w:val="243F60"/>
    </w:rPr>
  </w:style>
  <w:style w:type="paragraph" w:styleId="Heading6">
    <w:name w:val="heading 6"/>
    <w:basedOn w:val="Normal"/>
    <w:next w:val="Normal"/>
    <w:link w:val="Heading6Char"/>
    <w:uiPriority w:val="9"/>
    <w:unhideWhenUsed/>
    <w:rsid w:val="004D2536"/>
    <w:pPr>
      <w:keepNext/>
      <w:keepLines/>
      <w:spacing w:before="200"/>
      <w:outlineLvl w:val="5"/>
    </w:pPr>
    <w:rPr>
      <w:i/>
      <w:iCs/>
      <w:color w:val="243F60"/>
    </w:rPr>
  </w:style>
  <w:style w:type="paragraph" w:styleId="Heading7">
    <w:name w:val="heading 7"/>
    <w:basedOn w:val="Normal"/>
    <w:next w:val="Normal"/>
    <w:link w:val="Heading7Char"/>
    <w:uiPriority w:val="9"/>
    <w:unhideWhenUsed/>
    <w:rsid w:val="004D2536"/>
    <w:pPr>
      <w:keepNext/>
      <w:keepLines/>
      <w:spacing w:before="200"/>
      <w:outlineLvl w:val="6"/>
    </w:pPr>
    <w:rPr>
      <w:i/>
      <w:iCs/>
      <w:color w:val="404040"/>
    </w:rPr>
  </w:style>
  <w:style w:type="paragraph" w:styleId="Heading8">
    <w:name w:val="heading 8"/>
    <w:basedOn w:val="Normal"/>
    <w:next w:val="Normal"/>
    <w:link w:val="Heading8Char"/>
    <w:uiPriority w:val="9"/>
    <w:unhideWhenUsed/>
    <w:rsid w:val="004D2536"/>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4D2536"/>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4D2536"/>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4D2536"/>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4D2536"/>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4D2536"/>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4D2536"/>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4D2536"/>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4D2536"/>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paragraph" w:customStyle="1" w:styleId="SLGA">
    <w:name w:val="__S_L_GA"/>
    <w:basedOn w:val="Normal"/>
    <w:next w:val="SingleTxtGA"/>
    <w:qFormat/>
    <w:rsid w:val="004D2536"/>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4D2536"/>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4D2536"/>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4D2536"/>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4D2536"/>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4D2536"/>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4D2536"/>
    <w:pPr>
      <w:numPr>
        <w:numId w:val="5"/>
      </w:numPr>
      <w:bidi w:val="0"/>
    </w:pPr>
  </w:style>
  <w:style w:type="paragraph" w:customStyle="1" w:styleId="Roman1GA">
    <w:name w:val="_Roman 1_GA"/>
    <w:basedOn w:val="Bullet1GA"/>
    <w:qFormat/>
    <w:rsid w:val="004D2536"/>
    <w:pPr>
      <w:numPr>
        <w:numId w:val="6"/>
      </w:numPr>
      <w:tabs>
        <w:tab w:val="clear" w:pos="2310"/>
        <w:tab w:val="left" w:pos="2486"/>
      </w:tabs>
      <w:ind w:left="2486" w:hanging="378"/>
    </w:pPr>
  </w:style>
  <w:style w:type="paragraph" w:customStyle="1" w:styleId="Roman2GA">
    <w:name w:val="_Roman 2_GA"/>
    <w:basedOn w:val="Bullet2GA"/>
    <w:qFormat/>
    <w:rsid w:val="004D2536"/>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4D2536"/>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4D2536"/>
    <w:rPr>
      <w:rFonts w:ascii="Times New Roman" w:eastAsia="PMingLiU" w:hAnsi="Times New Roman" w:cs="Simplified Arabic"/>
      <w:sz w:val="18"/>
      <w:szCs w:val="20"/>
      <w:lang w:val="en-GB"/>
    </w:rPr>
  </w:style>
  <w:style w:type="character" w:customStyle="1" w:styleId="EndtnoteReference">
    <w:name w:val="Endtnote Reference"/>
    <w:aliases w:val="1_GA"/>
    <w:qFormat/>
    <w:rsid w:val="004D2536"/>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4D2536"/>
    <w:pPr>
      <w:suppressAutoHyphens/>
      <w:bidi w:val="0"/>
      <w:spacing w:line="240" w:lineRule="auto"/>
    </w:pPr>
    <w:rPr>
      <w:sz w:val="16"/>
      <w:lang w:val="en-GB"/>
    </w:rPr>
  </w:style>
  <w:style w:type="character" w:customStyle="1" w:styleId="FooterChar">
    <w:name w:val="Footer Char"/>
    <w:aliases w:val="3_GA Char,3_G Char"/>
    <w:link w:val="Footer"/>
    <w:rsid w:val="004D2536"/>
    <w:rPr>
      <w:rFonts w:ascii="Times New Roman" w:eastAsia="PMingLiU" w:hAnsi="Times New Roman" w:cs="Simplified Arabic"/>
      <w:sz w:val="16"/>
      <w:lang w:val="en-GB"/>
    </w:rPr>
  </w:style>
  <w:style w:type="paragraph" w:customStyle="1" w:styleId="FootnoteText1">
    <w:name w:val="Footnote Text1"/>
    <w:aliases w:val="5_GA"/>
    <w:basedOn w:val="Normal"/>
    <w:qFormat/>
    <w:rsid w:val="004D2536"/>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4D2536"/>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4D2536"/>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4D2536"/>
    <w:rPr>
      <w:rFonts w:ascii="Times New Roman" w:eastAsia="PMingLiU" w:hAnsi="Times New Roman" w:cs="Simplified Arabic"/>
    </w:rPr>
  </w:style>
  <w:style w:type="character" w:styleId="PageNumber">
    <w:name w:val="page number"/>
    <w:aliases w:val="7_GA,7_G"/>
    <w:qFormat/>
    <w:rsid w:val="004D2536"/>
    <w:rPr>
      <w:rFonts w:ascii="Times New Roman Bold" w:hAnsi="Times New Roman Bold"/>
      <w:b/>
      <w:i w:val="0"/>
      <w:sz w:val="18"/>
      <w:szCs w:val="18"/>
    </w:rPr>
  </w:style>
  <w:style w:type="paragraph" w:customStyle="1" w:styleId="XXLargeGA">
    <w:name w:val="XXLarge_GA"/>
    <w:basedOn w:val="Normal"/>
    <w:next w:val="SingleTxtGA"/>
    <w:qFormat/>
    <w:rsid w:val="004D2536"/>
    <w:pPr>
      <w:suppressAutoHyphens/>
      <w:spacing w:line="820" w:lineRule="exact"/>
    </w:pPr>
    <w:rPr>
      <w:spacing w:val="-8"/>
      <w:w w:val="96"/>
      <w:sz w:val="57"/>
      <w:szCs w:val="86"/>
      <w:lang w:val="en-GB"/>
    </w:rPr>
  </w:style>
  <w:style w:type="character" w:customStyle="1" w:styleId="Heading2Char">
    <w:name w:val="Heading 2 Char"/>
    <w:link w:val="Heading2"/>
    <w:uiPriority w:val="9"/>
    <w:rsid w:val="004D2536"/>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4D2536"/>
    <w:rPr>
      <w:rFonts w:ascii="Times New Roman" w:eastAsia="PMingLiU" w:hAnsi="Times New Roman" w:cs="Simplified Arabic"/>
      <w:b/>
      <w:bCs/>
      <w:color w:val="4F81BD"/>
      <w:sz w:val="20"/>
    </w:rPr>
  </w:style>
  <w:style w:type="character" w:customStyle="1" w:styleId="Heading4Char">
    <w:name w:val="Heading 4 Char"/>
    <w:link w:val="Heading4"/>
    <w:uiPriority w:val="9"/>
    <w:rsid w:val="004D2536"/>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4D2536"/>
    <w:rPr>
      <w:rFonts w:ascii="Times New Roman" w:eastAsia="PMingLiU" w:hAnsi="Times New Roman" w:cs="Simplified Arabic"/>
      <w:color w:val="243F60"/>
      <w:sz w:val="20"/>
    </w:rPr>
  </w:style>
  <w:style w:type="character" w:customStyle="1" w:styleId="Heading6Char">
    <w:name w:val="Heading 6 Char"/>
    <w:link w:val="Heading6"/>
    <w:uiPriority w:val="9"/>
    <w:rsid w:val="004D2536"/>
    <w:rPr>
      <w:rFonts w:ascii="Times New Roman" w:eastAsia="PMingLiU" w:hAnsi="Times New Roman" w:cs="Simplified Arabic"/>
      <w:i/>
      <w:iCs/>
      <w:color w:val="243F60"/>
      <w:sz w:val="20"/>
    </w:rPr>
  </w:style>
  <w:style w:type="character" w:customStyle="1" w:styleId="Heading7Char">
    <w:name w:val="Heading 7 Char"/>
    <w:link w:val="Heading7"/>
    <w:uiPriority w:val="9"/>
    <w:rsid w:val="004D2536"/>
    <w:rPr>
      <w:rFonts w:ascii="Times New Roman" w:eastAsia="PMingLiU" w:hAnsi="Times New Roman" w:cs="Simplified Arabic"/>
      <w:i/>
      <w:iCs/>
      <w:color w:val="404040"/>
      <w:sz w:val="20"/>
    </w:rPr>
  </w:style>
  <w:style w:type="character" w:customStyle="1" w:styleId="Heading8Char">
    <w:name w:val="Heading 8 Char"/>
    <w:link w:val="Heading8"/>
    <w:uiPriority w:val="9"/>
    <w:rsid w:val="004D2536"/>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4D2536"/>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4D2536"/>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4D2536"/>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4D2536"/>
    <w:pPr>
      <w:numPr>
        <w:ilvl w:val="1"/>
      </w:numPr>
    </w:pPr>
    <w:rPr>
      <w:i/>
      <w:iCs/>
      <w:color w:val="4F81BD"/>
      <w:spacing w:val="15"/>
      <w:sz w:val="24"/>
      <w:szCs w:val="24"/>
    </w:rPr>
  </w:style>
  <w:style w:type="character" w:customStyle="1" w:styleId="SubtitleChar">
    <w:name w:val="Subtitle Char"/>
    <w:link w:val="Subtitle"/>
    <w:uiPriority w:val="11"/>
    <w:rsid w:val="004D2536"/>
    <w:rPr>
      <w:rFonts w:ascii="Times New Roman" w:eastAsia="PMingLiU" w:hAnsi="Times New Roman" w:cs="Simplified Arabic"/>
      <w:i/>
      <w:iCs/>
      <w:color w:val="4F81BD"/>
      <w:spacing w:val="15"/>
      <w:sz w:val="24"/>
      <w:szCs w:val="24"/>
    </w:rPr>
  </w:style>
  <w:style w:type="character" w:styleId="Strong">
    <w:name w:val="Strong"/>
    <w:uiPriority w:val="22"/>
    <w:rsid w:val="004D2536"/>
    <w:rPr>
      <w:b/>
      <w:bCs/>
    </w:rPr>
  </w:style>
  <w:style w:type="table" w:styleId="TableGrid">
    <w:name w:val="Table Grid"/>
    <w:basedOn w:val="TableNormal"/>
    <w:rsid w:val="004D2536"/>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4D2536"/>
    <w:rPr>
      <w:color w:val="0000FF"/>
      <w:u w:val="none"/>
    </w:rPr>
  </w:style>
  <w:style w:type="paragraph" w:styleId="TOC1">
    <w:name w:val="toc 1"/>
    <w:basedOn w:val="Normal"/>
    <w:link w:val="TOC1Char"/>
    <w:autoRedefine/>
    <w:uiPriority w:val="39"/>
    <w:unhideWhenUsed/>
    <w:rsid w:val="004D2536"/>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4D2536"/>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4D2536"/>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4D2536"/>
    <w:rPr>
      <w:rFonts w:eastAsia="DengXian"/>
      <w:color w:val="auto"/>
      <w:sz w:val="20"/>
      <w:szCs w:val="20"/>
      <w:u w:val="none"/>
      <w:lang w:eastAsia="zh-CN" w:bidi="ar-EG"/>
    </w:rPr>
  </w:style>
  <w:style w:type="paragraph" w:styleId="TOC4">
    <w:name w:val="toc 4"/>
    <w:basedOn w:val="Normal"/>
    <w:link w:val="TOC4Char"/>
    <w:autoRedefine/>
    <w:uiPriority w:val="39"/>
    <w:unhideWhenUsed/>
    <w:rsid w:val="004D2536"/>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4D2536"/>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4D2536"/>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4D2536"/>
    <w:pPr>
      <w:bidi/>
      <w:spacing w:before="40" w:after="40" w:line="300" w:lineRule="exact"/>
      <w:ind w:left="113" w:right="113"/>
      <w:jc w:val="lowKashida"/>
    </w:pPr>
    <w:rPr>
      <w:rFonts w:ascii="Times New Roman" w:eastAsiaTheme="minorEastAsia" w:hAnsi="Times New Roman" w:cs="Simplified Arabic"/>
      <w:sz w:val="20"/>
      <w:szCs w:val="20"/>
      <w:lang w:eastAsia="zh-CN"/>
    </w:rPr>
    <w:tblPr>
      <w:jc w:val="right"/>
    </w:tblPr>
    <w:trPr>
      <w:jc w:val="right"/>
    </w:trPr>
    <w:tcPr>
      <w:tcMar>
        <w:left w:w="0" w:type="dxa"/>
        <w:right w:w="0" w:type="dxa"/>
      </w:tcMar>
    </w:tcPr>
    <w:tblStylePr w:type="firstRow">
      <w:rPr>
        <w:b w:val="0"/>
        <w:bCs w:val="0"/>
        <w:i/>
        <w:iCs/>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4D2536"/>
    <w:rPr>
      <w:rFonts w:ascii="Times New Roman" w:eastAsia="PMingLiU" w:hAnsi="Times New Roman" w:cs="Simplified Arabic"/>
    </w:rPr>
  </w:style>
  <w:style w:type="character" w:customStyle="1" w:styleId="TOC1Char">
    <w:name w:val="TOC 1 Char"/>
    <w:basedOn w:val="DefaultParagraphFont"/>
    <w:link w:val="TOC1"/>
    <w:uiPriority w:val="39"/>
    <w:rsid w:val="004D2536"/>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4D2536"/>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4D2536"/>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4D2536"/>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4D2536"/>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4D2536"/>
    <w:rPr>
      <w:rFonts w:ascii="Times New Roman" w:eastAsia="PMingLiU" w:hAnsi="Times New Roman" w:cs="Simplified Arabic"/>
      <w:sz w:val="20"/>
      <w:szCs w:val="20"/>
      <w:lang w:val="en-GB"/>
    </w:rPr>
  </w:style>
  <w:style w:type="paragraph" w:customStyle="1" w:styleId="NormalA">
    <w:name w:val="Normal_A"/>
    <w:basedOn w:val="Normal"/>
    <w:qFormat/>
    <w:rsid w:val="004D2536"/>
  </w:style>
  <w:style w:type="paragraph" w:customStyle="1" w:styleId="FootnoteGA">
    <w:name w:val="_Footnote_GA"/>
    <w:basedOn w:val="Normal"/>
    <w:qFormat/>
    <w:rsid w:val="004D2536"/>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4D2536"/>
    <w:rPr>
      <w:sz w:val="44"/>
      <w:szCs w:val="44"/>
      <w:lang w:val="en-US" w:bidi="ar-DZ"/>
    </w:rPr>
  </w:style>
  <w:style w:type="paragraph" w:customStyle="1" w:styleId="FootnoteGA0">
    <w:name w:val="Footnote_GA"/>
    <w:basedOn w:val="Normal"/>
    <w:qFormat/>
    <w:rsid w:val="004D2536"/>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4D2536"/>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4D2536"/>
    <w:pPr>
      <w:spacing w:line="240" w:lineRule="exact"/>
    </w:pPr>
    <w:rPr>
      <w:spacing w:val="6"/>
      <w:w w:val="106"/>
      <w:sz w:val="14"/>
      <w:szCs w:val="21"/>
    </w:rPr>
  </w:style>
  <w:style w:type="paragraph" w:customStyle="1" w:styleId="Original">
    <w:name w:val="Original"/>
    <w:basedOn w:val="Normal"/>
    <w:next w:val="Normal"/>
    <w:qFormat/>
    <w:rsid w:val="004D2536"/>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4D2536"/>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4D2536"/>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3622B5"/>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3622B5"/>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3622B5"/>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4D2536"/>
    <w:rPr>
      <w:lang w:val="en-US" w:eastAsia="zh-TW"/>
    </w:rPr>
  </w:style>
  <w:style w:type="paragraph" w:customStyle="1" w:styleId="STitleMGA">
    <w:name w:val="S_Title_M_GA"/>
    <w:basedOn w:val="SMGA"/>
    <w:qFormat/>
    <w:rsid w:val="004D2536"/>
    <w:rPr>
      <w:lang w:eastAsia="zh-TW"/>
    </w:rPr>
  </w:style>
  <w:style w:type="paragraph" w:customStyle="1" w:styleId="STitleSGA">
    <w:name w:val="S_Title_S_GA"/>
    <w:basedOn w:val="SSGA"/>
    <w:qFormat/>
    <w:rsid w:val="004D2536"/>
    <w:rPr>
      <w:lang w:eastAsia="zh-TW"/>
    </w:rPr>
  </w:style>
  <w:style w:type="paragraph" w:customStyle="1" w:styleId="HChG">
    <w:name w:val="_ H _Ch_G"/>
    <w:basedOn w:val="Normal"/>
    <w:next w:val="Normal"/>
    <w:rsid w:val="00694610"/>
    <w:pPr>
      <w:keepNext/>
      <w:keepLines/>
      <w:tabs>
        <w:tab w:val="right" w:pos="851"/>
      </w:tabs>
      <w:suppressAutoHyphens/>
      <w:bidi w:val="0"/>
      <w:spacing w:before="360" w:after="240" w:line="300" w:lineRule="exact"/>
      <w:ind w:left="1134" w:right="1134" w:hanging="1134"/>
      <w:jc w:val="left"/>
      <w:outlineLvl w:val="1"/>
    </w:pPr>
    <w:rPr>
      <w:rFonts w:eastAsia="SimSun" w:hAnsiTheme="minorHAnsi" w:hint="cs"/>
      <w:b/>
      <w:sz w:val="28"/>
      <w:szCs w:val="30"/>
      <w:lang w:val="en-GB" w:eastAsia="zh-CN"/>
    </w:rPr>
  </w:style>
  <w:style w:type="paragraph" w:customStyle="1" w:styleId="SingleTxtG">
    <w:name w:val="_ Single Txt_G"/>
    <w:basedOn w:val="Normal"/>
    <w:rsid w:val="00694610"/>
    <w:pPr>
      <w:tabs>
        <w:tab w:val="left" w:pos="1701"/>
        <w:tab w:val="left" w:pos="2268"/>
      </w:tabs>
      <w:suppressAutoHyphens/>
      <w:bidi w:val="0"/>
      <w:spacing w:after="120"/>
      <w:ind w:left="1134" w:right="1134"/>
      <w:jc w:val="both"/>
    </w:pPr>
    <w:rPr>
      <w:rFonts w:eastAsia="SimSun" w:hAnsiTheme="minorHAnsi" w:hint="cs"/>
      <w:szCs w:val="30"/>
      <w:lang w:val="en-GB" w:eastAsia="zh-CN"/>
    </w:rPr>
  </w:style>
  <w:style w:type="paragraph" w:styleId="FootnoteText">
    <w:name w:val="footnote text"/>
    <w:aliases w:val="5_G"/>
    <w:basedOn w:val="Normal"/>
    <w:link w:val="FootnoteTextChar"/>
    <w:qFormat/>
    <w:rsid w:val="00694610"/>
    <w:pPr>
      <w:tabs>
        <w:tab w:val="right" w:pos="1021"/>
      </w:tabs>
      <w:suppressAutoHyphen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694610"/>
    <w:rPr>
      <w:rFonts w:ascii="Times New Roman" w:eastAsia="SimSun" w:cs="Simplified Arabic"/>
      <w:sz w:val="18"/>
      <w:szCs w:val="30"/>
      <w:lang w:val="en-GB" w:eastAsia="zh-CN"/>
    </w:rPr>
  </w:style>
  <w:style w:type="character" w:styleId="FootnoteReference">
    <w:name w:val="footnote reference"/>
    <w:aliases w:val="4_G,4_GA,ftref,BVI fnr,16 Point,Superscript 6 Point,Footnote Reference Number,nota pié di pagina,Footnote symbol,Footnote reference number,Times 10 Point,Exposant 3 Point,EN Footnote Reference,note TESI,SUPERS,Footnote,Nota,Ref"/>
    <w:uiPriority w:val="99"/>
    <w:qFormat/>
    <w:rsid w:val="00694610"/>
    <w:rPr>
      <w:rFonts w:ascii="Times New Roman" w:hAnsi="Times New Roman"/>
      <w:sz w:val="18"/>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docs.un.org/ar/CMW/C/42/2/Add.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152B66-DF3D-4981-9CE5-36145E83C787}">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CMW.dotm</Template>
  <TotalTime>0</TotalTime>
  <Pages>1</Pages>
  <Words>194</Words>
  <Characters>1293</Characters>
  <Application>Microsoft Office Word</Application>
  <DocSecurity>0</DocSecurity>
  <Lines>117</Lines>
  <Paragraphs>55</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1432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CMW/C/42/2</dc:title>
  <dc:subject>GE.2609463(A)</dc:subject>
  <dc:creator>Jamela CHEDAD - </dc:creator>
  <cp:keywords>GE.(A)</cp:keywords>
  <dc:description>_x000d_
_x000d_
Arabic_x000d_
</dc:description>
  <cp:lastModifiedBy>Jamila Chedad</cp:lastModifiedBy>
  <cp:revision>3</cp:revision>
  <cp:lastPrinted>2026-07-28T08:37:00Z</cp:lastPrinted>
  <dcterms:created xsi:type="dcterms:W3CDTF">2026-07-28T08:37:00Z</dcterms:created>
  <dcterms:modified xsi:type="dcterms:W3CDTF">2026-07-28T08:37:00Z</dcterms:modified>
</cp:coreProperties>
</file>