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695.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43416</w:t>
                  </w:r>
                  <w:r>
                    <w:rPr>
                      <w:lang w:val="en-US"/>
                    </w:rPr>
                    <w:fldChar w:fldCharType="end"/>
                  </w:r>
                  <w:r>
                    <w:rPr>
                      <w:lang w:val="en-US"/>
                    </w:rPr>
                    <w:t xml:space="preserve">   (R)</w:t>
                  </w:r>
                  <w:r>
                    <w:tab/>
                  </w:r>
                  <w:r>
                    <w:rPr>
                      <w:lang w:val="en-US"/>
                    </w:rPr>
                    <w:t>141201   211201</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E/C.12/4/Add.9</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13 July 2001</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r>
        <w:t>Основная сессия 2001 года</w:t>
      </w:r>
    </w:p>
    <w:p w:rsidR="00000000" w:rsidRDefault="00000000"/>
    <w:p w:rsidR="00000000" w:rsidRDefault="00000000"/>
    <w:p w:rsidR="00000000" w:rsidRDefault="00000000">
      <w:pPr>
        <w:pStyle w:val="16"/>
        <w:rPr>
          <w:b/>
          <w:bCs/>
        </w:rPr>
      </w:pPr>
      <w:r>
        <w:rPr>
          <w:b/>
          <w:bCs/>
        </w:rPr>
        <w:t>ОСУЩЕСТВЛЕНИЕ МЕЖДУНАРОДНОГО ПАКТА ОБ ЭКОНОМИЧЕСКИХ, СОЦИАЛЬНЫХ И КУЛЬТУРНЫХ ПРАВАХ</w:t>
      </w:r>
    </w:p>
    <w:p w:rsidR="00000000" w:rsidRDefault="00000000">
      <w:pPr>
        <w:pStyle w:val="16"/>
        <w:rPr>
          <w:b/>
          <w:bCs/>
        </w:rPr>
      </w:pPr>
    </w:p>
    <w:p w:rsidR="00000000" w:rsidRDefault="00000000">
      <w:pPr>
        <w:pStyle w:val="11"/>
        <w:rPr>
          <w:b/>
          <w:bCs/>
          <w:u w:val="none"/>
        </w:rPr>
      </w:pPr>
      <w:r>
        <w:rPr>
          <w:b/>
          <w:bCs/>
          <w:u w:val="none"/>
        </w:rPr>
        <w:t>Четвертые периодические доклады, представленные государствами-участниками</w:t>
      </w:r>
    </w:p>
    <w:p w:rsidR="00000000" w:rsidRDefault="00000000">
      <w:pPr>
        <w:pStyle w:val="11"/>
        <w:rPr>
          <w:b/>
          <w:bCs/>
          <w:u w:val="none"/>
        </w:rPr>
      </w:pPr>
      <w:r>
        <w:rPr>
          <w:b/>
          <w:bCs/>
          <w:u w:val="none"/>
        </w:rPr>
        <w:t>в соответствии со статьями 16 и 17 Пакта</w:t>
      </w:r>
    </w:p>
    <w:p w:rsidR="00000000" w:rsidRDefault="00000000">
      <w:pPr>
        <w:pStyle w:val="11"/>
        <w:rPr>
          <w:b/>
          <w:bCs/>
          <w:u w:val="none"/>
        </w:rPr>
      </w:pPr>
    </w:p>
    <w:p w:rsidR="00000000" w:rsidRDefault="00000000">
      <w:pPr>
        <w:pStyle w:val="11"/>
        <w:rPr>
          <w:b/>
          <w:bCs/>
          <w:u w:val="none"/>
        </w:rPr>
      </w:pPr>
      <w:r>
        <w:rPr>
          <w:b/>
          <w:bCs/>
          <w:u w:val="none"/>
        </w:rPr>
        <w:t>Добавление</w:t>
      </w:r>
    </w:p>
    <w:p w:rsidR="00000000" w:rsidRDefault="00000000">
      <w:pPr>
        <w:pStyle w:val="11"/>
        <w:rPr>
          <w:b/>
          <w:bCs/>
          <w:u w:val="none"/>
        </w:rPr>
      </w:pPr>
    </w:p>
    <w:p w:rsidR="00000000" w:rsidRDefault="00000000">
      <w:pPr>
        <w:pStyle w:val="16"/>
      </w:pPr>
      <w:r>
        <w:rPr>
          <w:b/>
          <w:bCs/>
        </w:rPr>
        <w:t>Польша</w:t>
      </w:r>
      <w:r>
        <w:t>*</w:t>
      </w:r>
    </w:p>
    <w:p w:rsidR="00000000" w:rsidRDefault="00000000">
      <w:pPr>
        <w:pStyle w:val="16"/>
      </w:pPr>
    </w:p>
    <w:p w:rsidR="00000000" w:rsidRDefault="00000000">
      <w:pPr>
        <w:jc w:val="right"/>
      </w:pPr>
      <w:r>
        <w:t>[12 апреля 2001 года]</w:t>
      </w:r>
    </w:p>
    <w:p w:rsidR="00000000" w:rsidRDefault="00000000">
      <w:pPr>
        <w:pStyle w:val="ListBullet"/>
        <w:numPr>
          <w:ilvl w:val="0"/>
          <w:numId w:val="0"/>
        </w:numPr>
      </w:pPr>
    </w:p>
    <w:p w:rsidR="00000000" w:rsidRDefault="00000000">
      <w:pPr>
        <w:pStyle w:val="ListBullet"/>
        <w:numPr>
          <w:ilvl w:val="0"/>
          <w:numId w:val="0"/>
        </w:numPr>
      </w:pPr>
    </w:p>
    <w:p w:rsidR="00000000" w:rsidRDefault="00000000">
      <w:pPr>
        <w:pStyle w:val="ListBullet"/>
        <w:numPr>
          <w:ilvl w:val="0"/>
          <w:numId w:val="0"/>
        </w:numPr>
      </w:pPr>
    </w:p>
    <w:p w:rsidR="00000000" w:rsidRDefault="00000000">
      <w:pPr>
        <w:pStyle w:val="ListBullet"/>
        <w:numPr>
          <w:ilvl w:val="0"/>
          <w:numId w:val="0"/>
        </w:numPr>
      </w:pPr>
    </w:p>
    <w:p w:rsidR="00000000" w:rsidRDefault="00000000">
      <w:pPr>
        <w:pStyle w:val="FootnoteText"/>
        <w:spacing w:line="288" w:lineRule="auto"/>
      </w:pPr>
      <w:r>
        <w:t>____________________</w:t>
      </w:r>
    </w:p>
    <w:p w:rsidR="00000000" w:rsidRDefault="00000000">
      <w:pPr>
        <w:spacing w:line="240" w:lineRule="auto"/>
      </w:pPr>
      <w:r>
        <w:t xml:space="preserve">  </w:t>
      </w:r>
      <w:r>
        <w:rPr>
          <w:b/>
          <w:bCs/>
        </w:rPr>
        <w:t>*</w:t>
      </w:r>
      <w:r>
        <w:tab/>
        <w:t>Третий периодический доклад по вопросу о правах, охватываемых статьями 1</w:t>
      </w:r>
      <w:r>
        <w:noBreakHyphen/>
        <w:t>15 (</w:t>
      </w:r>
      <w:r>
        <w:rPr>
          <w:lang w:val="en-US"/>
        </w:rPr>
        <w:t>E</w:t>
      </w:r>
      <w:r>
        <w:t>/1994/104/</w:t>
      </w:r>
      <w:r>
        <w:rPr>
          <w:lang w:val="en-US"/>
        </w:rPr>
        <w:t>Add</w:t>
      </w:r>
      <w:r>
        <w:t>.13), был рассмотрен Комитетом по экономическим, социальным и культурным правам на его восемнадцатой сессии (см. документ </w:t>
      </w:r>
      <w:r>
        <w:rPr>
          <w:lang w:val="en-US"/>
        </w:rPr>
        <w:t>E</w:t>
      </w:r>
      <w:r>
        <w:t>/</w:t>
      </w:r>
      <w:r>
        <w:rPr>
          <w:lang w:val="en-US"/>
        </w:rPr>
        <w:t>C</w:t>
      </w:r>
      <w:r>
        <w:t>.12/1998/</w:t>
      </w:r>
      <w:r>
        <w:rPr>
          <w:lang w:val="en-US"/>
        </w:rPr>
        <w:t>SR</w:t>
      </w:r>
      <w:r>
        <w:t>.10-12) в 1998 году.</w:t>
      </w:r>
    </w:p>
    <w:p w:rsidR="00000000" w:rsidRDefault="00000000">
      <w:pPr>
        <w:spacing w:line="240" w:lineRule="auto"/>
      </w:pPr>
    </w:p>
    <w:p w:rsidR="00000000" w:rsidRDefault="00000000">
      <w:pPr>
        <w:spacing w:line="240" w:lineRule="auto"/>
      </w:pPr>
      <w:r>
        <w:rPr>
          <w:b/>
          <w:bCs/>
        </w:rPr>
        <w:t>**</w:t>
      </w:r>
      <w:r>
        <w:tab/>
        <w:t>Информация, представленная Польшей в соответствии с руководящими принципами, касающимися первой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.25/</w:t>
      </w:r>
      <w:r>
        <w:rPr>
          <w:lang w:val="en-US"/>
        </w:rPr>
        <w:t>Rev</w:t>
      </w:r>
      <w:r>
        <w:t>.1).</w:t>
      </w:r>
    </w:p>
    <w:p w:rsidR="00000000" w:rsidRDefault="00000000"/>
    <w:p w:rsidR="00000000" w:rsidRDefault="00000000">
      <w:pPr>
        <w:pStyle w:val="16"/>
        <w:tabs>
          <w:tab w:val="left" w:pos="567"/>
          <w:tab w:val="left" w:pos="1134"/>
          <w:tab w:val="left" w:pos="1701"/>
          <w:tab w:val="left" w:pos="2268"/>
          <w:tab w:val="left" w:pos="6237"/>
        </w:tabs>
        <w:spacing w:line="240" w:lineRule="auto"/>
      </w:pPr>
      <w:r>
        <w:t>СОДЕРЖАНИЕ</w:t>
      </w:r>
    </w:p>
    <w:p w:rsidR="00000000" w:rsidRDefault="00000000">
      <w:pPr>
        <w:pStyle w:val="16"/>
        <w:tabs>
          <w:tab w:val="left" w:pos="567"/>
          <w:tab w:val="left" w:pos="1134"/>
          <w:tab w:val="left" w:pos="1701"/>
          <w:tab w:val="left" w:pos="2268"/>
          <w:tab w:val="left" w:pos="6237"/>
        </w:tabs>
        <w:spacing w:line="240" w:lineRule="auto"/>
      </w:pPr>
    </w:p>
    <w:p w:rsidR="00000000" w:rsidRDefault="00000000">
      <w:pPr>
        <w:tabs>
          <w:tab w:val="clear" w:pos="2268"/>
          <w:tab w:val="clear" w:pos="6237"/>
          <w:tab w:val="right" w:pos="567"/>
          <w:tab w:val="center" w:pos="8222"/>
          <w:tab w:val="center" w:pos="9214"/>
        </w:tabs>
        <w:spacing w:line="240" w:lineRule="auto"/>
      </w:pPr>
      <w:r>
        <w:tab/>
      </w:r>
      <w:r>
        <w:tab/>
      </w:r>
      <w:r>
        <w:tab/>
      </w:r>
      <w:r>
        <w:tab/>
      </w:r>
      <w:r>
        <w:rPr>
          <w:u w:val="single"/>
        </w:rPr>
        <w:t>Пункты</w:t>
      </w:r>
      <w:r>
        <w:tab/>
      </w:r>
      <w:r>
        <w:rPr>
          <w:u w:val="single"/>
        </w:rPr>
        <w:t>Стр</w:t>
      </w:r>
      <w:r>
        <w:t>.</w:t>
      </w:r>
    </w:p>
    <w:p w:rsidR="00000000" w:rsidRDefault="00000000">
      <w:pPr>
        <w:pStyle w:val="a0"/>
        <w:widowControl/>
        <w:tabs>
          <w:tab w:val="right" w:pos="567"/>
          <w:tab w:val="left" w:pos="1134"/>
          <w:tab w:val="left" w:pos="1701"/>
          <w:tab w:val="right" w:leader="dot" w:pos="7655"/>
          <w:tab w:val="center" w:pos="8222"/>
          <w:tab w:val="center" w:pos="8505"/>
          <w:tab w:val="center" w:pos="9214"/>
        </w:tabs>
        <w:rPr>
          <w:rFonts w:ascii="Times New Roman" w:hAnsi="Times New Roman"/>
          <w:snapToGrid/>
          <w:lang w:eastAsia="en-US"/>
        </w:rPr>
      </w:pPr>
    </w:p>
    <w:p w:rsidR="00000000" w:rsidRDefault="00000000">
      <w:pPr>
        <w:pStyle w:val="FootnoteText"/>
        <w:tabs>
          <w:tab w:val="clear" w:pos="1134"/>
          <w:tab w:val="clear" w:pos="1701"/>
          <w:tab w:val="clear" w:pos="2268"/>
          <w:tab w:val="clear" w:pos="6237"/>
          <w:tab w:val="right" w:pos="567"/>
          <w:tab w:val="right" w:leader="dot" w:pos="7655"/>
          <w:tab w:val="center" w:pos="8222"/>
          <w:tab w:val="center" w:pos="9214"/>
        </w:tabs>
      </w:pPr>
      <w:r>
        <w:t xml:space="preserve">Введение </w:t>
      </w:r>
      <w:r>
        <w:tab/>
      </w:r>
      <w:r>
        <w:tab/>
        <w:t>1</w:t>
      </w:r>
      <w:r>
        <w:tab/>
        <w:t>9</w:t>
      </w:r>
    </w:p>
    <w:p w:rsidR="00000000" w:rsidRDefault="00000000">
      <w:pPr>
        <w:pStyle w:val="FootnoteText"/>
        <w:tabs>
          <w:tab w:val="clear" w:pos="2268"/>
          <w:tab w:val="clear" w:pos="6237"/>
          <w:tab w:val="right" w:pos="567"/>
          <w:tab w:val="left" w:pos="1134"/>
          <w:tab w:val="left" w:pos="1701"/>
          <w:tab w:val="right" w:leader="dot" w:pos="7655"/>
          <w:tab w:val="center" w:pos="8222"/>
          <w:tab w:val="center" w:pos="8505"/>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r>
        <w:tab/>
      </w:r>
      <w:r>
        <w:rPr>
          <w:lang w:val="en-US"/>
        </w:rPr>
        <w:t>I</w:t>
      </w:r>
      <w:r>
        <w:t>.</w:t>
      </w:r>
      <w:r>
        <w:tab/>
        <w:t>ОСУЩЕСТВЛЕНИЕ ПРАВ, ЗАКРЕПЛЕННЫХ В СТАТЬЕ 6</w:t>
      </w:r>
      <w:r>
        <w:tab/>
      </w:r>
      <w:r>
        <w:tab/>
        <w:t xml:space="preserve">  1 - 60</w:t>
      </w:r>
      <w:r>
        <w:tab/>
        <w:t>9</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r>
        <w:tab/>
      </w:r>
      <w:r>
        <w:tab/>
        <w:t>А.</w:t>
      </w:r>
      <w:r>
        <w:tab/>
        <w:t>Ратифицированные международные договоры</w:t>
      </w:r>
      <w:r>
        <w:tab/>
      </w:r>
      <w:r>
        <w:tab/>
        <w:t>2</w:t>
      </w:r>
      <w:r>
        <w:tab/>
        <w:t>9</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r>
        <w:tab/>
      </w:r>
      <w:r>
        <w:tab/>
        <w:t>В.</w:t>
      </w:r>
      <w:r>
        <w:tab/>
        <w:t>Положение на рынке труда</w:t>
      </w:r>
      <w:r>
        <w:tab/>
      </w:r>
      <w:r>
        <w:tab/>
        <w:t xml:space="preserve">  3 - 10</w:t>
      </w:r>
      <w:r>
        <w:tab/>
        <w:t>9</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С.</w:t>
      </w:r>
      <w:r>
        <w:tab/>
        <w:t xml:space="preserve">Меры по обеспечению занятости трудоспособного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населения, ищущего работу</w:t>
      </w:r>
      <w:r>
        <w:tab/>
      </w:r>
      <w:r>
        <w:tab/>
        <w:t>11 - 24</w:t>
      </w:r>
      <w:r>
        <w:tab/>
        <w:t>17</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D</w:t>
      </w:r>
      <w:r>
        <w:t>.</w:t>
      </w:r>
      <w:r>
        <w:tab/>
        <w:t>Меры по обеспечению максимальной производительности</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труда</w:t>
      </w:r>
      <w:r>
        <w:tab/>
      </w:r>
      <w:r>
        <w:tab/>
        <w:t>25</w:t>
      </w:r>
      <w:r>
        <w:tab/>
        <w:t>24</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r>
        <w:tab/>
      </w:r>
      <w:r>
        <w:tab/>
      </w:r>
      <w:r>
        <w:rPr>
          <w:lang w:val="en-US"/>
        </w:rPr>
        <w:t>E</w:t>
      </w:r>
      <w:r>
        <w:t>.</w:t>
      </w:r>
      <w:r>
        <w:tab/>
        <w:t>Меры по обеспечению свободного выбора работы</w:t>
      </w:r>
      <w:r>
        <w:tab/>
      </w:r>
      <w:r>
        <w:tab/>
        <w:t>26</w:t>
      </w:r>
      <w:r>
        <w:tab/>
        <w:t>26</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r>
        <w:tab/>
      </w:r>
      <w:r>
        <w:tab/>
      </w:r>
      <w:r>
        <w:rPr>
          <w:lang w:val="en-US"/>
        </w:rPr>
        <w:t>F</w:t>
      </w:r>
      <w:r>
        <w:t>.</w:t>
      </w:r>
      <w:r>
        <w:tab/>
        <w:t>Программы профессионально-технической подготовки</w:t>
      </w:r>
      <w:r>
        <w:tab/>
      </w:r>
      <w:r>
        <w:tab/>
        <w:t>27 - 33</w:t>
      </w:r>
      <w:r>
        <w:tab/>
        <w:t>26</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G</w:t>
      </w:r>
      <w:r>
        <w:t>.</w:t>
      </w:r>
      <w:r>
        <w:tab/>
        <w:t>Особые трудности, связанные с обеспечением полной</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занятости при свободном выборе работы</w:t>
      </w:r>
      <w:r>
        <w:tab/>
      </w:r>
      <w:r>
        <w:tab/>
        <w:t>34 - 37</w:t>
      </w:r>
      <w:r>
        <w:tab/>
        <w:t>29</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H</w:t>
      </w:r>
      <w:r>
        <w:t>.</w:t>
      </w:r>
      <w:r>
        <w:tab/>
        <w:t xml:space="preserve">Равенство возможностей и обращения в области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rPr>
          <w:lang w:val="fr-CA"/>
        </w:rPr>
      </w:pPr>
      <w:r>
        <w:tab/>
      </w:r>
      <w:r>
        <w:tab/>
      </w:r>
      <w:r>
        <w:tab/>
        <w:t>занятости</w:t>
      </w:r>
      <w:r>
        <w:tab/>
      </w:r>
      <w:r>
        <w:tab/>
        <w:t>38 - 40</w:t>
      </w:r>
      <w:r>
        <w:tab/>
      </w:r>
      <w:r>
        <w:rPr>
          <w:lang w:val="fr-CA"/>
        </w:rPr>
        <w:t>30</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I</w:t>
      </w:r>
      <w:r>
        <w:t>.</w:t>
      </w:r>
      <w:r>
        <w:tab/>
        <w:t>Положение в области профессиональной ориентации,</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подготовки кадров и трудоустройства с учетом признаков</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расы, цвета кожи, пола, религии и гражданства</w:t>
      </w:r>
      <w:r>
        <w:tab/>
      </w:r>
      <w:r>
        <w:tab/>
        <w:t>41</w:t>
      </w:r>
      <w:r>
        <w:tab/>
        <w:t>31</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J</w:t>
      </w:r>
      <w:r>
        <w:t>.</w:t>
      </w:r>
      <w:r>
        <w:tab/>
        <w:t>Ограничения, обусловленные требованиями,</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предъявляемыми к тем или иным профессиям</w:t>
      </w:r>
      <w:r>
        <w:tab/>
      </w:r>
      <w:r>
        <w:tab/>
        <w:t>42</w:t>
      </w:r>
      <w:r>
        <w:tab/>
        <w:t>32</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K</w:t>
      </w:r>
      <w:r>
        <w:t>.</w:t>
      </w:r>
      <w:r>
        <w:tab/>
        <w:t>Лица, работающие по совместительству</w:t>
      </w:r>
      <w:r>
        <w:tab/>
      </w:r>
      <w:r>
        <w:tab/>
        <w:t>43</w:t>
      </w:r>
      <w:r>
        <w:tab/>
        <w:t>32</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L</w:t>
      </w:r>
      <w:r>
        <w:t>.</w:t>
      </w:r>
      <w:r>
        <w:tab/>
        <w:t>Законодательные и административные изменения,</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rPr>
          <w:lang w:val="fr-CA"/>
        </w:rPr>
      </w:pPr>
      <w:r>
        <w:tab/>
      </w:r>
      <w:r>
        <w:tab/>
      </w:r>
      <w:r>
        <w:tab/>
        <w:t>касающиеся статьи 6</w:t>
      </w:r>
      <w:r>
        <w:tab/>
      </w:r>
      <w:r>
        <w:tab/>
        <w:t>44 - 58</w:t>
      </w:r>
      <w:r>
        <w:tab/>
      </w:r>
      <w:r>
        <w:rPr>
          <w:lang w:val="fr-CA"/>
        </w:rPr>
        <w:t>33</w:t>
      </w:r>
    </w:p>
    <w:p w:rsidR="00000000" w:rsidRDefault="00000000">
      <w:pPr>
        <w:pStyle w:val="16"/>
        <w:tabs>
          <w:tab w:val="left" w:pos="567"/>
          <w:tab w:val="left" w:pos="851"/>
          <w:tab w:val="left" w:pos="1134"/>
          <w:tab w:val="left" w:pos="1276"/>
          <w:tab w:val="left" w:pos="1701"/>
          <w:tab w:val="left" w:pos="2268"/>
          <w:tab w:val="left" w:pos="6237"/>
          <w:tab w:val="center" w:pos="8222"/>
          <w:tab w:val="center" w:pos="9214"/>
        </w:tabs>
        <w:spacing w:line="240" w:lineRule="auto"/>
      </w:pPr>
      <w:r>
        <w:br w:type="page"/>
        <w:t>СОДЕРЖАНИЕ (</w:t>
      </w:r>
      <w:r>
        <w:rPr>
          <w:u w:val="single"/>
        </w:rPr>
        <w:t>продолжение</w:t>
      </w:r>
      <w:r>
        <w:t>)</w:t>
      </w:r>
    </w:p>
    <w:p w:rsidR="00000000" w:rsidRDefault="00000000">
      <w:pPr>
        <w:tabs>
          <w:tab w:val="left" w:pos="851"/>
          <w:tab w:val="left" w:pos="1276"/>
          <w:tab w:val="center" w:pos="8222"/>
          <w:tab w:val="center" w:pos="9214"/>
        </w:tabs>
        <w:spacing w:line="240" w:lineRule="auto"/>
        <w:jc w:val="center"/>
      </w:pPr>
    </w:p>
    <w:p w:rsidR="00000000" w:rsidRDefault="00000000">
      <w:pPr>
        <w:tabs>
          <w:tab w:val="clear" w:pos="2268"/>
          <w:tab w:val="clear" w:pos="6237"/>
          <w:tab w:val="right" w:pos="567"/>
          <w:tab w:val="left" w:pos="851"/>
          <w:tab w:val="center" w:pos="8222"/>
          <w:tab w:val="center" w:pos="9214"/>
        </w:tabs>
        <w:spacing w:line="240" w:lineRule="auto"/>
      </w:pPr>
      <w:r>
        <w:tab/>
      </w:r>
      <w:r>
        <w:tab/>
      </w:r>
      <w:r>
        <w:tab/>
      </w:r>
      <w:r>
        <w:tab/>
      </w:r>
      <w:r>
        <w:tab/>
      </w:r>
      <w:r>
        <w:rPr>
          <w:u w:val="single"/>
        </w:rPr>
        <w:t>Пункты</w:t>
      </w:r>
      <w:r>
        <w:tab/>
      </w:r>
      <w:r>
        <w:rPr>
          <w:u w:val="single"/>
        </w:rPr>
        <w:t>Стр</w:t>
      </w:r>
      <w:r>
        <w:t>.</w:t>
      </w:r>
    </w:p>
    <w:p w:rsidR="00000000" w:rsidRDefault="00000000">
      <w:pPr>
        <w:pStyle w:val="a0"/>
        <w:widowControl/>
        <w:tabs>
          <w:tab w:val="right" w:pos="567"/>
          <w:tab w:val="left" w:pos="851"/>
          <w:tab w:val="left" w:pos="1134"/>
          <w:tab w:val="left" w:pos="1276"/>
          <w:tab w:val="left" w:pos="1701"/>
          <w:tab w:val="right" w:leader="dot" w:pos="7655"/>
          <w:tab w:val="center" w:pos="8222"/>
          <w:tab w:val="center" w:pos="8505"/>
          <w:tab w:val="center" w:pos="9214"/>
        </w:tabs>
        <w:rPr>
          <w:rFonts w:ascii="Times New Roman" w:hAnsi="Times New Roman"/>
          <w:snapToGrid/>
          <w:lang w:eastAsia="en-US"/>
        </w:rPr>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M</w:t>
      </w:r>
      <w:r>
        <w:t>.</w:t>
      </w:r>
      <w:r>
        <w:tab/>
        <w:t>Международная помощь в контексте осуществления прав,</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закрепленных в статье 6</w:t>
      </w:r>
      <w:r>
        <w:tab/>
      </w:r>
      <w:r>
        <w:tab/>
        <w:t>59 - 60</w:t>
      </w:r>
      <w:r>
        <w:tab/>
        <w:t>41</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rPr>
          <w:lang w:val="en-US"/>
        </w:rPr>
        <w:t>II</w:t>
      </w:r>
      <w:r>
        <w:t>.</w:t>
      </w:r>
      <w:r>
        <w:tab/>
        <w:t>ОСУЩЕСТВЛЕНИЕ ПРАВ, ЗАКРЕПЛЕННЫХ В СТАТЬЕ 7</w:t>
      </w:r>
      <w:r>
        <w:tab/>
      </w:r>
      <w:r>
        <w:tab/>
        <w:t>61 - 91</w:t>
      </w:r>
      <w:r>
        <w:tab/>
        <w:t>42</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A</w:t>
      </w:r>
      <w:r>
        <w:t>.</w:t>
      </w:r>
      <w:r>
        <w:tab/>
        <w:t>Ратифицированные международные договоры</w:t>
      </w:r>
      <w:r>
        <w:tab/>
      </w:r>
      <w:r>
        <w:tab/>
        <w:t>61</w:t>
      </w:r>
      <w:r>
        <w:tab/>
        <w:t>42</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B</w:t>
      </w:r>
      <w:r>
        <w:t>.</w:t>
      </w:r>
      <w:r>
        <w:tab/>
        <w:t xml:space="preserve">Методы, используемые для установления размера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заработной платы</w:t>
      </w:r>
      <w:r>
        <w:tab/>
      </w:r>
      <w:r>
        <w:tab/>
        <w:t>62</w:t>
      </w:r>
      <w:r>
        <w:tab/>
        <w:t>43</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C</w:t>
      </w:r>
      <w:r>
        <w:t>.</w:t>
      </w:r>
      <w:r>
        <w:tab/>
        <w:t>Система минимальной заработной платы</w:t>
      </w:r>
      <w:r>
        <w:tab/>
      </w:r>
      <w:r>
        <w:tab/>
        <w:t>63 - 68</w:t>
      </w:r>
      <w:r>
        <w:tab/>
        <w:t>43</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D</w:t>
      </w:r>
      <w:r>
        <w:t>.</w:t>
      </w:r>
      <w:r>
        <w:tab/>
        <w:t>Равные условия занятости и заработная плата за труд</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равной ценности:  проблема женщин</w:t>
      </w:r>
      <w:r>
        <w:tab/>
      </w:r>
      <w:r>
        <w:tab/>
        <w:t>69 - 71</w:t>
      </w:r>
      <w:r>
        <w:tab/>
        <w:t>46</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E</w:t>
      </w:r>
      <w:r>
        <w:t>.</w:t>
      </w:r>
      <w:r>
        <w:tab/>
        <w:t>Заработная плата в государственном и частном секторах</w:t>
      </w:r>
      <w:r>
        <w:tab/>
      </w:r>
      <w:r>
        <w:tab/>
        <w:t>72 - 73</w:t>
      </w:r>
      <w:r>
        <w:tab/>
        <w:t>48</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F</w:t>
      </w:r>
      <w:r>
        <w:t>.</w:t>
      </w:r>
      <w:r>
        <w:tab/>
        <w:t>Законодательные и административные нормы, касающиеся</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безопасности и гигиены труда</w:t>
      </w:r>
      <w:r>
        <w:tab/>
      </w:r>
      <w:r>
        <w:tab/>
        <w:t>74 - 83</w:t>
      </w:r>
      <w:r>
        <w:tab/>
        <w:t>50</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G</w:t>
      </w:r>
      <w:r>
        <w:t>.</w:t>
      </w:r>
      <w:r>
        <w:tab/>
        <w:t>Принцип равных возможностей продвижения по службе</w:t>
      </w:r>
      <w:r>
        <w:tab/>
      </w:r>
      <w:r>
        <w:tab/>
        <w:t>84 - 85</w:t>
      </w:r>
      <w:r>
        <w:tab/>
        <w:t>56</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H</w:t>
      </w:r>
      <w:r>
        <w:t>.</w:t>
      </w:r>
      <w:r>
        <w:tab/>
        <w:t xml:space="preserve">Законодательство и практика, касающиеся отдыха и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rPr>
          <w:lang w:val="fr-CA"/>
        </w:rPr>
      </w:pPr>
      <w:r>
        <w:tab/>
      </w:r>
      <w:r>
        <w:tab/>
      </w:r>
      <w:r>
        <w:tab/>
        <w:t>свободного времени</w:t>
      </w:r>
      <w:r>
        <w:tab/>
      </w:r>
      <w:r>
        <w:tab/>
        <w:t>86 - 90</w:t>
      </w:r>
      <w:r>
        <w:tab/>
      </w:r>
      <w:r>
        <w:rPr>
          <w:lang w:val="fr-CA"/>
        </w:rPr>
        <w:t>57</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I</w:t>
      </w:r>
      <w:r>
        <w:t>.</w:t>
      </w:r>
      <w:r>
        <w:tab/>
        <w:t xml:space="preserve">Новые законодательные и административные акты,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касающиеся статьи 7</w:t>
      </w:r>
      <w:r>
        <w:tab/>
      </w:r>
      <w:r>
        <w:tab/>
        <w:t>91</w:t>
      </w:r>
      <w:r>
        <w:tab/>
        <w:t>60</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rPr>
          <w:lang w:val="en-US"/>
        </w:rPr>
        <w:t>III</w:t>
      </w:r>
      <w:r>
        <w:t>.</w:t>
      </w:r>
      <w:r>
        <w:tab/>
        <w:t>ОСУЩЕСТВЛЕНИЕ ПРАВ, ЗАКРЕПЛЕННЫХ В СТАТЬЕ 8</w:t>
      </w:r>
      <w:r>
        <w:tab/>
      </w:r>
      <w:r>
        <w:tab/>
        <w:t xml:space="preserve">  92 - 108</w:t>
      </w:r>
      <w:r>
        <w:tab/>
        <w:t>63</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A</w:t>
      </w:r>
      <w:r>
        <w:t>.</w:t>
      </w:r>
      <w:r>
        <w:tab/>
        <w:t>Ратифицированные международные договоры</w:t>
      </w:r>
      <w:r>
        <w:tab/>
      </w:r>
      <w:r>
        <w:tab/>
        <w:t>92 - 93</w:t>
      </w:r>
      <w:r>
        <w:tab/>
        <w:t>63</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B</w:t>
      </w:r>
      <w:r>
        <w:t>.</w:t>
      </w:r>
      <w:r>
        <w:tab/>
        <w:t>Условия вступления в профессиональные союзы и</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образования профессиональных союзов</w:t>
      </w:r>
      <w:r>
        <w:tab/>
      </w:r>
      <w:r>
        <w:tab/>
        <w:t>94 - 96</w:t>
      </w:r>
      <w:r>
        <w:tab/>
        <w:t>64</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16"/>
        <w:tabs>
          <w:tab w:val="left" w:pos="567"/>
          <w:tab w:val="left" w:pos="851"/>
          <w:tab w:val="left" w:pos="1134"/>
          <w:tab w:val="left" w:pos="1276"/>
          <w:tab w:val="left" w:pos="1701"/>
          <w:tab w:val="left" w:pos="2268"/>
          <w:tab w:val="left" w:pos="6237"/>
          <w:tab w:val="center" w:pos="8222"/>
          <w:tab w:val="center" w:pos="9214"/>
        </w:tabs>
        <w:spacing w:line="240" w:lineRule="auto"/>
      </w:pPr>
      <w:r>
        <w:br w:type="page"/>
        <w:t>СОДЕРЖАНИЕ (</w:t>
      </w:r>
      <w:r>
        <w:rPr>
          <w:u w:val="single"/>
        </w:rPr>
        <w:t>продолжение</w:t>
      </w:r>
      <w:r>
        <w:t>)</w:t>
      </w:r>
    </w:p>
    <w:p w:rsidR="00000000" w:rsidRDefault="00000000">
      <w:pPr>
        <w:tabs>
          <w:tab w:val="left" w:pos="851"/>
          <w:tab w:val="left" w:pos="1276"/>
          <w:tab w:val="center" w:pos="8222"/>
          <w:tab w:val="center" w:pos="9214"/>
        </w:tabs>
        <w:spacing w:line="240" w:lineRule="auto"/>
        <w:jc w:val="center"/>
      </w:pPr>
    </w:p>
    <w:p w:rsidR="00000000" w:rsidRDefault="00000000">
      <w:pPr>
        <w:tabs>
          <w:tab w:val="clear" w:pos="1701"/>
          <w:tab w:val="clear" w:pos="2268"/>
          <w:tab w:val="clear" w:pos="6237"/>
          <w:tab w:val="right" w:pos="567"/>
          <w:tab w:val="left" w:pos="851"/>
          <w:tab w:val="center" w:pos="8222"/>
          <w:tab w:val="center" w:pos="9214"/>
        </w:tabs>
        <w:spacing w:line="240" w:lineRule="auto"/>
      </w:pPr>
      <w:r>
        <w:tab/>
      </w:r>
      <w:r>
        <w:tab/>
      </w:r>
      <w:r>
        <w:tab/>
      </w:r>
      <w:r>
        <w:tab/>
      </w:r>
      <w:r>
        <w:rPr>
          <w:u w:val="single"/>
        </w:rPr>
        <w:t>Пункты</w:t>
      </w:r>
      <w:r>
        <w:tab/>
      </w:r>
      <w:r>
        <w:rPr>
          <w:u w:val="single"/>
        </w:rPr>
        <w:t>Стр</w:t>
      </w:r>
      <w:r>
        <w:t>.</w:t>
      </w:r>
    </w:p>
    <w:p w:rsidR="00000000" w:rsidRDefault="00000000">
      <w:pPr>
        <w:pStyle w:val="a0"/>
        <w:widowControl/>
        <w:tabs>
          <w:tab w:val="right" w:pos="567"/>
          <w:tab w:val="left" w:pos="851"/>
          <w:tab w:val="left" w:pos="1134"/>
          <w:tab w:val="left" w:pos="1276"/>
          <w:tab w:val="left" w:pos="1701"/>
          <w:tab w:val="right" w:leader="dot" w:pos="7655"/>
          <w:tab w:val="center" w:pos="8222"/>
          <w:tab w:val="center" w:pos="8505"/>
          <w:tab w:val="center" w:pos="9214"/>
        </w:tabs>
        <w:rPr>
          <w:rFonts w:ascii="Times New Roman" w:hAnsi="Times New Roman"/>
          <w:snapToGrid/>
          <w:lang w:eastAsia="en-US"/>
        </w:rPr>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C</w:t>
      </w:r>
      <w:r>
        <w:t>.</w:t>
      </w:r>
      <w:r>
        <w:tab/>
        <w:t>Ограничения права на организацию и на создание</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rPr>
          <w:lang w:val="fr-CA"/>
        </w:rPr>
      </w:pPr>
      <w:r>
        <w:tab/>
      </w:r>
      <w:r>
        <w:tab/>
      </w:r>
      <w:r>
        <w:tab/>
        <w:t>профсоюзов</w:t>
      </w:r>
      <w:r>
        <w:tab/>
      </w:r>
      <w:r>
        <w:tab/>
        <w:t>97</w:t>
      </w:r>
      <w:r>
        <w:tab/>
      </w:r>
      <w:r>
        <w:rPr>
          <w:lang w:val="fr-CA"/>
        </w:rPr>
        <w:t>67</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D</w:t>
      </w:r>
      <w:r>
        <w:t>.</w:t>
      </w:r>
      <w:r>
        <w:tab/>
        <w:t>Предусмотренные правительством гарантии права</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профессиональных союзов на образование федераций</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и на присоединение к международным профсоюзным</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rPr>
          <w:lang w:val="fr-CA"/>
        </w:rPr>
      </w:pPr>
      <w:r>
        <w:tab/>
      </w:r>
      <w:r>
        <w:tab/>
      </w:r>
      <w:r>
        <w:tab/>
        <w:t>организациям</w:t>
      </w:r>
      <w:r>
        <w:tab/>
      </w:r>
      <w:r>
        <w:tab/>
        <w:t>98 - 99</w:t>
      </w:r>
      <w:r>
        <w:tab/>
      </w:r>
      <w:r>
        <w:rPr>
          <w:lang w:val="fr-CA"/>
        </w:rPr>
        <w:t>67</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E</w:t>
      </w:r>
      <w:r>
        <w:t>.</w:t>
      </w:r>
      <w:r>
        <w:tab/>
        <w:t xml:space="preserve">Регламентирование свободы деятельности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профессиональных союзов</w:t>
      </w:r>
      <w:r>
        <w:tab/>
      </w:r>
      <w:r>
        <w:tab/>
        <w:t>100 - 101</w:t>
      </w:r>
      <w:r>
        <w:tab/>
        <w:t>67</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F</w:t>
      </w:r>
      <w:r>
        <w:t>.</w:t>
      </w:r>
      <w:r>
        <w:tab/>
        <w:t>Данные о профсоюзах и их членском составе</w:t>
      </w:r>
      <w:r>
        <w:tab/>
      </w:r>
      <w:r>
        <w:tab/>
        <w:t>102</w:t>
      </w:r>
      <w:r>
        <w:tab/>
        <w:t>68</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G</w:t>
      </w:r>
      <w:r>
        <w:t>.</w:t>
      </w:r>
      <w:r>
        <w:tab/>
        <w:t>Право на забастовку</w:t>
      </w:r>
      <w:r>
        <w:tab/>
      </w:r>
      <w:r>
        <w:tab/>
        <w:t>103 - 106</w:t>
      </w:r>
      <w:r>
        <w:tab/>
        <w:t>70</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H</w:t>
      </w:r>
      <w:r>
        <w:t>.</w:t>
      </w:r>
      <w:r>
        <w:tab/>
        <w:t>Ограничения профсоюзных прав служащих вооруженных</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сил, полиции и государственных органов управления</w:t>
      </w:r>
      <w:r>
        <w:tab/>
      </w:r>
      <w:r>
        <w:tab/>
        <w:t>107</w:t>
      </w:r>
      <w:r>
        <w:tab/>
        <w:t>72</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I</w:t>
      </w:r>
      <w:r>
        <w:t>.</w:t>
      </w:r>
      <w:r>
        <w:tab/>
        <w:t xml:space="preserve">Новые законодательные и административные акты,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касающиеся статьи 8</w:t>
      </w:r>
      <w:r>
        <w:tab/>
      </w:r>
      <w:r>
        <w:tab/>
        <w:t>108</w:t>
      </w:r>
      <w:r>
        <w:tab/>
        <w:t>72</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t>IV.</w:t>
      </w:r>
      <w:r>
        <w:tab/>
        <w:t>ОСУЩЕСТВЛЕНИЕ ПРАВ, ЗАКРЕПЛЕННЫХ В СТАТЬЕ 9</w:t>
      </w:r>
      <w:r>
        <w:tab/>
      </w:r>
      <w:r>
        <w:tab/>
        <w:t>109 - 192</w:t>
      </w:r>
      <w:r>
        <w:tab/>
        <w:t>73</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А.</w:t>
      </w:r>
      <w:r>
        <w:tab/>
        <w:t>Ратифицированные международные договоры</w:t>
      </w:r>
      <w:r>
        <w:tab/>
      </w:r>
      <w:r>
        <w:tab/>
        <w:t>109</w:t>
      </w:r>
      <w:r>
        <w:tab/>
        <w:t>73</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В.</w:t>
      </w:r>
      <w:r>
        <w:tab/>
        <w:t>Виды социального обеспечения в Польше</w:t>
      </w:r>
      <w:r>
        <w:tab/>
      </w:r>
      <w:r>
        <w:tab/>
        <w:t>110</w:t>
      </w:r>
      <w:r>
        <w:tab/>
        <w:t>73</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С.</w:t>
      </w:r>
      <w:r>
        <w:tab/>
        <w:t>Основные особенности системы социального обеспечения,</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характер и уровень пособий, вопросы финансирования</w:t>
      </w:r>
      <w:r>
        <w:tab/>
      </w:r>
      <w:r>
        <w:tab/>
        <w:t>111 - 188</w:t>
      </w:r>
      <w:r>
        <w:tab/>
        <w:t>74</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D</w:t>
      </w:r>
      <w:r>
        <w:t>.</w:t>
      </w:r>
      <w:r>
        <w:tab/>
        <w:t>Процентная доля расходов на социальное обеспечение</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в ВВП и государственном бюджете в 1998 году и</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в предыдущие годы</w:t>
      </w:r>
      <w:r>
        <w:tab/>
      </w:r>
      <w:r>
        <w:tab/>
        <w:t>189</w:t>
      </w:r>
      <w:r>
        <w:tab/>
        <w:t>104</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16"/>
        <w:tabs>
          <w:tab w:val="left" w:pos="567"/>
          <w:tab w:val="left" w:pos="851"/>
          <w:tab w:val="left" w:pos="1134"/>
          <w:tab w:val="left" w:pos="1276"/>
          <w:tab w:val="left" w:pos="1701"/>
          <w:tab w:val="left" w:pos="2268"/>
          <w:tab w:val="left" w:pos="6237"/>
          <w:tab w:val="center" w:pos="8222"/>
          <w:tab w:val="center" w:pos="9214"/>
        </w:tabs>
        <w:spacing w:line="240" w:lineRule="auto"/>
      </w:pPr>
      <w:r>
        <w:br w:type="page"/>
        <w:t>СОДЕРЖАНИЕ (</w:t>
      </w:r>
      <w:r>
        <w:rPr>
          <w:u w:val="single"/>
        </w:rPr>
        <w:t>продолжение</w:t>
      </w:r>
      <w:r>
        <w:t>)</w:t>
      </w:r>
    </w:p>
    <w:p w:rsidR="00000000" w:rsidRDefault="00000000">
      <w:pPr>
        <w:tabs>
          <w:tab w:val="left" w:pos="851"/>
          <w:tab w:val="left" w:pos="1276"/>
          <w:tab w:val="center" w:pos="8222"/>
          <w:tab w:val="center" w:pos="9214"/>
        </w:tabs>
        <w:spacing w:line="240" w:lineRule="auto"/>
        <w:jc w:val="center"/>
      </w:pPr>
    </w:p>
    <w:p w:rsidR="00000000" w:rsidRDefault="00000000">
      <w:pPr>
        <w:tabs>
          <w:tab w:val="clear" w:pos="1701"/>
          <w:tab w:val="clear" w:pos="2268"/>
          <w:tab w:val="clear" w:pos="6237"/>
          <w:tab w:val="right" w:pos="567"/>
          <w:tab w:val="left" w:pos="851"/>
          <w:tab w:val="center" w:pos="8222"/>
          <w:tab w:val="center" w:pos="9214"/>
        </w:tabs>
        <w:spacing w:line="240" w:lineRule="auto"/>
      </w:pPr>
      <w:r>
        <w:tab/>
      </w:r>
      <w:r>
        <w:tab/>
      </w:r>
      <w:r>
        <w:tab/>
      </w:r>
      <w:r>
        <w:tab/>
      </w:r>
      <w:r>
        <w:rPr>
          <w:u w:val="single"/>
        </w:rPr>
        <w:t>Пункты</w:t>
      </w:r>
      <w:r>
        <w:tab/>
      </w:r>
      <w:r>
        <w:rPr>
          <w:u w:val="single"/>
        </w:rPr>
        <w:t>Стр</w:t>
      </w:r>
      <w:r>
        <w:t>.</w:t>
      </w:r>
    </w:p>
    <w:p w:rsidR="00000000" w:rsidRDefault="00000000">
      <w:pPr>
        <w:pStyle w:val="a0"/>
        <w:widowControl/>
        <w:tabs>
          <w:tab w:val="right" w:pos="567"/>
          <w:tab w:val="left" w:pos="851"/>
          <w:tab w:val="left" w:pos="1134"/>
          <w:tab w:val="left" w:pos="1276"/>
          <w:tab w:val="left" w:pos="1701"/>
          <w:tab w:val="right" w:leader="dot" w:pos="7655"/>
          <w:tab w:val="center" w:pos="8222"/>
          <w:tab w:val="center" w:pos="8505"/>
          <w:tab w:val="center" w:pos="9214"/>
        </w:tabs>
        <w:rPr>
          <w:rFonts w:ascii="Times New Roman" w:hAnsi="Times New Roman"/>
          <w:snapToGrid/>
          <w:lang w:eastAsia="en-US"/>
        </w:rPr>
      </w:pPr>
    </w:p>
    <w:p w:rsidR="00000000" w:rsidRDefault="00000000">
      <w:pPr>
        <w:keepN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Е.</w:t>
      </w:r>
      <w:r>
        <w:tab/>
        <w:t>Частные системы страхования и взаимосвязь между</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rPr>
          <w:lang w:val="fr-CA"/>
        </w:rPr>
      </w:pPr>
      <w:r>
        <w:tab/>
      </w:r>
      <w:r>
        <w:tab/>
      </w:r>
      <w:r>
        <w:tab/>
        <w:t>системами</w:t>
      </w:r>
      <w:r>
        <w:tab/>
      </w:r>
      <w:r>
        <w:tab/>
        <w:t>190</w:t>
      </w:r>
      <w:r>
        <w:tab/>
      </w:r>
      <w:r>
        <w:rPr>
          <w:lang w:val="fr-CA"/>
        </w:rPr>
        <w:t>104</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F</w:t>
      </w:r>
      <w:r>
        <w:t>.</w:t>
      </w:r>
      <w:r>
        <w:tab/>
        <w:t xml:space="preserve">Группы населения, не пользующиеся правом на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социальное страхование вообще или же пользующиеся</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им лишь частично</w:t>
      </w:r>
      <w:r>
        <w:tab/>
      </w:r>
      <w:r>
        <w:tab/>
        <w:t>191</w:t>
      </w:r>
      <w:r>
        <w:tab/>
        <w:t>105</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G</w:t>
      </w:r>
      <w:r>
        <w:t>.</w:t>
      </w:r>
      <w:r>
        <w:tab/>
        <w:t>Новое законодательство и постановления органов</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 xml:space="preserve">исполнительной власти, имеющие отношение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к статье 9</w:t>
      </w:r>
      <w:r>
        <w:tab/>
      </w:r>
      <w:r>
        <w:tab/>
        <w:t>192</w:t>
      </w:r>
      <w:r>
        <w:tab/>
        <w:t>105</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r>
        <w:tab/>
        <w:t>V.</w:t>
      </w:r>
      <w:r>
        <w:tab/>
        <w:t>ОСУЩЕСТВЛЕНИЕ ПРАВ, ЗАКРЕПЛЕННЫХ В СТАТЬЕ 10</w:t>
      </w:r>
      <w:r>
        <w:tab/>
      </w:r>
      <w:r>
        <w:tab/>
        <w:t>193 - 225</w:t>
      </w:r>
      <w:r>
        <w:tab/>
        <w:t>107</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r>
        <w:tab/>
      </w:r>
      <w:r>
        <w:tab/>
        <w:t>А.</w:t>
      </w:r>
      <w:r>
        <w:tab/>
        <w:t>Ратифицированные международные договоры</w:t>
      </w:r>
      <w:r>
        <w:tab/>
      </w:r>
      <w:r>
        <w:tab/>
        <w:t>193</w:t>
      </w:r>
      <w:r>
        <w:tab/>
        <w:t>107</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r>
        <w:tab/>
      </w:r>
      <w:r>
        <w:tab/>
        <w:t>В.</w:t>
      </w:r>
      <w:r>
        <w:tab/>
        <w:t>Значение термина "семья"</w:t>
      </w:r>
      <w:r>
        <w:tab/>
      </w:r>
      <w:r>
        <w:tab/>
        <w:t>194</w:t>
      </w:r>
      <w:r>
        <w:tab/>
        <w:t>107</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С.</w:t>
      </w:r>
      <w:r>
        <w:tab/>
        <w:t xml:space="preserve">Возраст, в котором дети считаются достигшими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совершеннолетия для различных целей</w:t>
      </w:r>
      <w:r>
        <w:tab/>
      </w:r>
      <w:r>
        <w:tab/>
        <w:t>195</w:t>
      </w:r>
      <w:r>
        <w:tab/>
        <w:t>108</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D</w:t>
      </w:r>
      <w:r>
        <w:t>.</w:t>
      </w:r>
      <w:r>
        <w:tab/>
        <w:t>Законы о браке и семье</w:t>
      </w:r>
      <w:r>
        <w:tab/>
      </w:r>
      <w:r>
        <w:tab/>
        <w:t>196 - 205</w:t>
      </w:r>
      <w:r>
        <w:tab/>
        <w:t>109</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Е.</w:t>
      </w:r>
      <w:r>
        <w:tab/>
        <w:t>Защита материнства, продолжительность отпуска по</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по беременности и родам и обязательного послеродового</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отпуска, финансовые, медицинские и другие пособия</w:t>
      </w:r>
      <w:r>
        <w:tab/>
      </w:r>
      <w:r>
        <w:tab/>
        <w:t>206 - 213</w:t>
      </w:r>
      <w:r>
        <w:tab/>
        <w:t>112</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F</w:t>
      </w:r>
      <w:r>
        <w:t>.</w:t>
      </w:r>
      <w:r>
        <w:tab/>
        <w:t>Меры по защите и оказанию помощи детям и молодежи,</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в частности по защите их от экономической и социальной</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 xml:space="preserve">эксплуатации и деятельности, наносящей ущерб их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rPr>
          <w:lang w:val="fr-CA"/>
        </w:rPr>
      </w:pPr>
      <w:r>
        <w:tab/>
      </w:r>
      <w:r>
        <w:tab/>
      </w:r>
      <w:r>
        <w:tab/>
        <w:t>нравственности, жизни и развитию</w:t>
      </w:r>
      <w:r>
        <w:tab/>
      </w:r>
      <w:r>
        <w:tab/>
        <w:t>214 - 224</w:t>
      </w:r>
      <w:r>
        <w:tab/>
      </w:r>
      <w:r>
        <w:rPr>
          <w:lang w:val="fr-CA"/>
        </w:rPr>
        <w:t>117</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G</w:t>
      </w:r>
      <w:r>
        <w:t>.</w:t>
      </w:r>
      <w:r>
        <w:tab/>
        <w:t>Новое законодательство и постановления органов</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исполнительной власти, имеющие отношение к</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rPr>
          <w:lang w:val="fr-CA"/>
        </w:rPr>
      </w:pPr>
      <w:r>
        <w:tab/>
      </w:r>
      <w:r>
        <w:tab/>
      </w:r>
      <w:r>
        <w:tab/>
        <w:t>статье 10</w:t>
      </w:r>
      <w:r>
        <w:tab/>
      </w:r>
      <w:r>
        <w:tab/>
        <w:t>225</w:t>
      </w:r>
      <w:r>
        <w:tab/>
      </w:r>
      <w:r>
        <w:rPr>
          <w:lang w:val="fr-CA"/>
        </w:rPr>
        <w:t>122</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16"/>
        <w:tabs>
          <w:tab w:val="left" w:pos="567"/>
          <w:tab w:val="left" w:pos="851"/>
          <w:tab w:val="left" w:pos="1134"/>
          <w:tab w:val="left" w:pos="1276"/>
          <w:tab w:val="left" w:pos="1701"/>
          <w:tab w:val="left" w:pos="2268"/>
          <w:tab w:val="left" w:pos="6237"/>
          <w:tab w:val="center" w:pos="8222"/>
          <w:tab w:val="center" w:pos="9214"/>
        </w:tabs>
        <w:spacing w:line="240" w:lineRule="auto"/>
      </w:pPr>
      <w:r>
        <w:br w:type="page"/>
        <w:t>СОДЕРЖАНИЕ (</w:t>
      </w:r>
      <w:r>
        <w:rPr>
          <w:u w:val="single"/>
        </w:rPr>
        <w:t>продолжение</w:t>
      </w:r>
      <w:r>
        <w:t>)</w:t>
      </w:r>
    </w:p>
    <w:p w:rsidR="00000000" w:rsidRDefault="00000000">
      <w:pPr>
        <w:tabs>
          <w:tab w:val="left" w:pos="851"/>
          <w:tab w:val="left" w:pos="1276"/>
          <w:tab w:val="center" w:pos="8222"/>
          <w:tab w:val="center" w:pos="9214"/>
        </w:tabs>
        <w:spacing w:line="240" w:lineRule="auto"/>
        <w:jc w:val="center"/>
      </w:pPr>
    </w:p>
    <w:p w:rsidR="00000000" w:rsidRDefault="00000000">
      <w:pPr>
        <w:tabs>
          <w:tab w:val="clear" w:pos="2268"/>
          <w:tab w:val="clear" w:pos="6237"/>
          <w:tab w:val="right" w:pos="567"/>
          <w:tab w:val="left" w:pos="851"/>
          <w:tab w:val="left" w:pos="1276"/>
          <w:tab w:val="center" w:pos="8222"/>
          <w:tab w:val="center" w:pos="9214"/>
        </w:tabs>
        <w:spacing w:line="240" w:lineRule="auto"/>
      </w:pPr>
      <w:r>
        <w:tab/>
      </w:r>
      <w:r>
        <w:tab/>
      </w:r>
      <w:r>
        <w:tab/>
      </w:r>
      <w:r>
        <w:tab/>
      </w:r>
      <w:r>
        <w:tab/>
      </w:r>
      <w:r>
        <w:tab/>
      </w:r>
      <w:r>
        <w:rPr>
          <w:u w:val="single"/>
        </w:rPr>
        <w:t>Пункты</w:t>
      </w:r>
      <w:r>
        <w:tab/>
      </w:r>
      <w:r>
        <w:rPr>
          <w:u w:val="single"/>
        </w:rPr>
        <w:t>Стр</w:t>
      </w:r>
      <w:r>
        <w:t>.</w:t>
      </w:r>
    </w:p>
    <w:p w:rsidR="00000000" w:rsidRDefault="00000000">
      <w:pPr>
        <w:pStyle w:val="a0"/>
        <w:widowControl/>
        <w:tabs>
          <w:tab w:val="right" w:pos="567"/>
          <w:tab w:val="left" w:pos="851"/>
          <w:tab w:val="left" w:pos="1134"/>
          <w:tab w:val="left" w:pos="1276"/>
          <w:tab w:val="left" w:pos="1701"/>
          <w:tab w:val="right" w:leader="dot" w:pos="7655"/>
          <w:tab w:val="center" w:pos="8222"/>
          <w:tab w:val="center" w:pos="8505"/>
          <w:tab w:val="center" w:pos="9214"/>
        </w:tabs>
        <w:rPr>
          <w:rFonts w:ascii="Times New Roman" w:hAnsi="Times New Roman"/>
          <w:snapToGrid/>
          <w:lang w:eastAsia="en-US"/>
        </w:rPr>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r>
        <w:tab/>
        <w:t>VI.</w:t>
      </w:r>
      <w:r>
        <w:tab/>
        <w:t>ОСУЩЕСТВЛЕНИЕ ПРАВ, ЗАКРЕПЛЕННЫХ В СТАТЬЕ 11</w:t>
      </w:r>
      <w:r>
        <w:tab/>
      </w:r>
      <w:r>
        <w:tab/>
        <w:t>226 - 259</w:t>
      </w:r>
      <w:r>
        <w:tab/>
        <w:t>123</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r>
        <w:tab/>
      </w:r>
      <w:r>
        <w:tab/>
        <w:t>А.</w:t>
      </w:r>
      <w:r>
        <w:tab/>
        <w:t>Уровень жизни населения</w:t>
      </w:r>
      <w:r>
        <w:tab/>
      </w:r>
      <w:r>
        <w:tab/>
        <w:t>226</w:t>
      </w:r>
      <w:r>
        <w:tab/>
        <w:t>123</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r>
        <w:tab/>
      </w:r>
      <w:r>
        <w:tab/>
        <w:t>В.</w:t>
      </w:r>
      <w:r>
        <w:tab/>
        <w:t>Право на достаточное питание</w:t>
      </w:r>
      <w:r>
        <w:tab/>
      </w:r>
      <w:r>
        <w:tab/>
        <w:t>227 - 233</w:t>
      </w:r>
      <w:r>
        <w:tab/>
        <w:t>126</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r>
        <w:tab/>
      </w:r>
      <w:r>
        <w:tab/>
        <w:t>С.</w:t>
      </w:r>
      <w:r>
        <w:tab/>
        <w:t>Право на соответствующее жилье</w:t>
      </w:r>
      <w:r>
        <w:tab/>
      </w:r>
      <w:r>
        <w:tab/>
        <w:t>234 - 257</w:t>
      </w:r>
      <w:r>
        <w:tab/>
        <w:t>130</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spacing w:line="240" w:lineRule="auto"/>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D</w:t>
      </w:r>
      <w:r>
        <w:t>.</w:t>
      </w:r>
      <w:r>
        <w:tab/>
        <w:t xml:space="preserve">Позиция Управления жилищного строительства и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 xml:space="preserve">градостроительства в отношении пунктов 16 и 25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заключительных замечаний по предыдущему докладу</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(Е/С.12/1/</w:t>
      </w:r>
      <w:r>
        <w:rPr>
          <w:lang w:val="en-US"/>
        </w:rPr>
        <w:t>Add</w:t>
      </w:r>
      <w:r>
        <w:t>.26) применительно к жилищным вопросам</w:t>
      </w:r>
      <w:r>
        <w:tab/>
      </w:r>
      <w:r>
        <w:tab/>
        <w:t>258 - 259</w:t>
      </w:r>
      <w:r>
        <w:tab/>
        <w:t>145</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Е.</w:t>
      </w:r>
      <w:r>
        <w:tab/>
        <w:t xml:space="preserve">Новое законодательство и постановления органов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исполнительной власти, имеющие отношение к</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статье 11</w:t>
      </w:r>
      <w:r>
        <w:tab/>
      </w:r>
      <w:r>
        <w:tab/>
        <w:t>260</w:t>
      </w:r>
      <w:r>
        <w:tab/>
        <w:t>146</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t>VII.</w:t>
      </w:r>
      <w:r>
        <w:tab/>
        <w:t>ОСУЩЕСТВЛЕНИЕ ПРАВ, ЗАКРЕПЛЕННЫХ В СТАТЬЕ 12</w:t>
      </w:r>
      <w:r>
        <w:tab/>
      </w:r>
      <w:r>
        <w:tab/>
        <w:t>261 - 323</w:t>
      </w:r>
      <w:r>
        <w:tab/>
        <w:t>148</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А.</w:t>
      </w:r>
      <w:r>
        <w:tab/>
        <w:t>Физическое и психическое здоровье населения</w:t>
      </w:r>
      <w:r>
        <w:tab/>
      </w:r>
      <w:r>
        <w:tab/>
        <w:t>261 - 273</w:t>
      </w:r>
      <w:r>
        <w:tab/>
        <w:t>148</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В.</w:t>
      </w:r>
      <w:r>
        <w:tab/>
        <w:t>Национальная политика здравоохранения:  требования</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Всемирной организации здравоохранения в отношении</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первичной медико-санитарной помощи</w:t>
      </w:r>
      <w:r>
        <w:tab/>
      </w:r>
      <w:r>
        <w:tab/>
        <w:t>274 - 285</w:t>
      </w:r>
      <w:r>
        <w:tab/>
        <w:t>154</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С.</w:t>
      </w:r>
      <w:r>
        <w:tab/>
        <w:t>Доля ВВП и национального и местного бюджетов,</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выделяемая на здравоохранение</w:t>
      </w:r>
      <w:r>
        <w:tab/>
      </w:r>
      <w:r>
        <w:tab/>
        <w:t>286</w:t>
      </w:r>
      <w:r>
        <w:tab/>
        <w:t>165</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D</w:t>
      </w:r>
      <w:r>
        <w:t>.</w:t>
      </w:r>
      <w:r>
        <w:tab/>
        <w:t>Показатели в области здравоохранения</w:t>
      </w:r>
      <w:r>
        <w:tab/>
      </w:r>
      <w:r>
        <w:tab/>
        <w:t>287 - 296</w:t>
      </w:r>
      <w:r>
        <w:tab/>
        <w:t>166</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Е.</w:t>
      </w:r>
      <w:r>
        <w:tab/>
        <w:t>Социальные группы и регионы, для которых положение</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в области здравоохранения является существенно</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менее благоприятным, чем для большинства населения</w:t>
      </w:r>
      <w:r>
        <w:tab/>
      </w:r>
      <w:r>
        <w:tab/>
        <w:t>297 - 319</w:t>
      </w:r>
      <w:r>
        <w:tab/>
        <w:t>172</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16"/>
        <w:tabs>
          <w:tab w:val="clear" w:pos="1701"/>
          <w:tab w:val="clear" w:pos="2268"/>
          <w:tab w:val="left" w:pos="567"/>
          <w:tab w:val="left" w:pos="1134"/>
          <w:tab w:val="left" w:pos="6237"/>
          <w:tab w:val="center" w:pos="8222"/>
          <w:tab w:val="center" w:pos="9214"/>
        </w:tabs>
        <w:spacing w:line="240" w:lineRule="auto"/>
      </w:pPr>
      <w:r>
        <w:br w:type="page"/>
        <w:t>СОДЕРЖАНИЕ (</w:t>
      </w:r>
      <w:r>
        <w:rPr>
          <w:u w:val="single"/>
        </w:rPr>
        <w:t>продолжение</w:t>
      </w:r>
      <w:r>
        <w:t>)</w:t>
      </w:r>
    </w:p>
    <w:p w:rsidR="00000000" w:rsidRDefault="00000000">
      <w:pPr>
        <w:tabs>
          <w:tab w:val="left" w:pos="851"/>
          <w:tab w:val="left" w:pos="1276"/>
          <w:tab w:val="center" w:pos="8222"/>
          <w:tab w:val="center" w:pos="9214"/>
        </w:tabs>
        <w:spacing w:line="240" w:lineRule="auto"/>
        <w:jc w:val="center"/>
      </w:pPr>
    </w:p>
    <w:p w:rsidR="00000000" w:rsidRDefault="00000000">
      <w:pPr>
        <w:tabs>
          <w:tab w:val="clear" w:pos="2268"/>
          <w:tab w:val="clear" w:pos="6237"/>
          <w:tab w:val="right" w:pos="567"/>
          <w:tab w:val="left" w:pos="851"/>
          <w:tab w:val="left" w:pos="1276"/>
          <w:tab w:val="center" w:pos="8222"/>
          <w:tab w:val="center" w:pos="9214"/>
        </w:tabs>
        <w:spacing w:line="240" w:lineRule="auto"/>
      </w:pPr>
      <w:r>
        <w:tab/>
      </w:r>
      <w:r>
        <w:tab/>
      </w:r>
      <w:r>
        <w:tab/>
      </w:r>
      <w:r>
        <w:tab/>
      </w:r>
      <w:r>
        <w:tab/>
      </w:r>
      <w:r>
        <w:tab/>
      </w:r>
      <w:r>
        <w:rPr>
          <w:u w:val="single"/>
        </w:rPr>
        <w:t>Пункты</w:t>
      </w:r>
      <w:r>
        <w:tab/>
      </w:r>
      <w:r>
        <w:rPr>
          <w:u w:val="single"/>
        </w:rPr>
        <w:t>Стр</w:t>
      </w:r>
      <w:r>
        <w:t>.</w:t>
      </w:r>
    </w:p>
    <w:p w:rsidR="00000000" w:rsidRDefault="00000000">
      <w:pPr>
        <w:pStyle w:val="a0"/>
        <w:widowControl/>
        <w:tabs>
          <w:tab w:val="right" w:pos="567"/>
          <w:tab w:val="left" w:pos="851"/>
          <w:tab w:val="left" w:pos="1134"/>
          <w:tab w:val="left" w:pos="1276"/>
          <w:tab w:val="left" w:pos="1701"/>
          <w:tab w:val="right" w:leader="dot" w:pos="7655"/>
          <w:tab w:val="center" w:pos="8222"/>
          <w:tab w:val="center" w:pos="8505"/>
          <w:tab w:val="center" w:pos="9214"/>
        </w:tabs>
        <w:rPr>
          <w:rFonts w:ascii="Times New Roman" w:hAnsi="Times New Roman"/>
          <w:snapToGrid/>
          <w:lang w:eastAsia="en-US"/>
        </w:rPr>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F</w:t>
      </w:r>
      <w:r>
        <w:t>.</w:t>
      </w:r>
      <w:r>
        <w:tab/>
        <w:t xml:space="preserve">Меры, принятые правительством по обеспечению того,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 xml:space="preserve">чтобы растущие расходы на здравоохранение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не нарушали право престарелых на охрану здоровья</w:t>
      </w:r>
      <w:r>
        <w:tab/>
      </w:r>
      <w:r>
        <w:tab/>
        <w:t>320</w:t>
      </w:r>
      <w:r>
        <w:tab/>
        <w:t>180</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G</w:t>
      </w:r>
      <w:r>
        <w:t>.</w:t>
      </w:r>
      <w:r>
        <w:tab/>
        <w:t>Меры по расширению участия общин в оказании</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первичной медико-санитарной помощи</w:t>
      </w:r>
      <w:r>
        <w:tab/>
      </w:r>
      <w:r>
        <w:tab/>
        <w:t>321</w:t>
      </w:r>
      <w:r>
        <w:tab/>
        <w:t>181</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Н.</w:t>
      </w:r>
      <w:r>
        <w:tab/>
        <w:t xml:space="preserve">Просвещение по основным проблемам </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rPr>
          <w:lang w:val="fr-CA"/>
        </w:rPr>
      </w:pPr>
      <w:r>
        <w:tab/>
      </w:r>
      <w:r>
        <w:tab/>
      </w:r>
      <w:r>
        <w:tab/>
        <w:t>здравоохранения</w:t>
      </w:r>
      <w:r>
        <w:tab/>
      </w:r>
      <w:r>
        <w:tab/>
        <w:t>322</w:t>
      </w:r>
      <w:r>
        <w:tab/>
      </w:r>
      <w:r>
        <w:rPr>
          <w:lang w:val="fr-CA"/>
        </w:rPr>
        <w:t>181</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t>I.</w:t>
      </w:r>
      <w:r>
        <w:tab/>
        <w:t>Новое законодательство и постановления органов</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исполнительной власти, имеющие отношение к</w:t>
      </w:r>
    </w:p>
    <w:p w:rsidR="00000000" w:rsidRDefault="00000000">
      <w:pPr>
        <w:pStyle w:val="a0"/>
        <w:widowControl/>
        <w:tabs>
          <w:tab w:val="right" w:pos="567"/>
          <w:tab w:val="left" w:pos="851"/>
          <w:tab w:val="left" w:pos="1276"/>
          <w:tab w:val="right" w:leader="dot" w:pos="7655"/>
          <w:tab w:val="center" w:pos="8222"/>
          <w:tab w:val="center" w:pos="9214"/>
        </w:tabs>
        <w:spacing w:line="288" w:lineRule="auto"/>
        <w:rPr>
          <w:rFonts w:ascii="Times New Roman" w:hAnsi="Times New Roman"/>
          <w:snapToGrid/>
          <w:lang w:eastAsia="en-US"/>
        </w:rPr>
      </w:pPr>
      <w:r>
        <w:rPr>
          <w:rFonts w:ascii="Times New Roman" w:hAnsi="Times New Roman"/>
          <w:snapToGrid/>
          <w:lang w:eastAsia="en-US"/>
        </w:rPr>
        <w:tab/>
      </w:r>
      <w:r>
        <w:rPr>
          <w:rFonts w:ascii="Times New Roman" w:hAnsi="Times New Roman"/>
          <w:snapToGrid/>
          <w:lang w:eastAsia="en-US"/>
        </w:rPr>
        <w:tab/>
      </w:r>
      <w:r>
        <w:rPr>
          <w:rFonts w:ascii="Times New Roman" w:hAnsi="Times New Roman"/>
          <w:snapToGrid/>
          <w:lang w:eastAsia="en-US"/>
        </w:rPr>
        <w:tab/>
        <w:t>статье 12</w:t>
      </w:r>
      <w:r>
        <w:rPr>
          <w:rFonts w:ascii="Times New Roman" w:hAnsi="Times New Roman"/>
          <w:snapToGrid/>
          <w:lang w:eastAsia="en-US"/>
        </w:rPr>
        <w:tab/>
      </w:r>
      <w:r>
        <w:rPr>
          <w:rFonts w:ascii="Times New Roman" w:hAnsi="Times New Roman"/>
          <w:snapToGrid/>
          <w:lang w:eastAsia="en-US"/>
        </w:rPr>
        <w:tab/>
        <w:t>323</w:t>
      </w:r>
      <w:r>
        <w:rPr>
          <w:rFonts w:ascii="Times New Roman" w:hAnsi="Times New Roman"/>
          <w:snapToGrid/>
          <w:lang w:eastAsia="en-US"/>
        </w:rPr>
        <w:tab/>
        <w:t>182</w:t>
      </w:r>
    </w:p>
    <w:p w:rsidR="00000000" w:rsidRDefault="00000000">
      <w:pPr>
        <w:pStyle w:val="a0"/>
        <w:widowControl/>
        <w:tabs>
          <w:tab w:val="right" w:pos="567"/>
          <w:tab w:val="left" w:pos="851"/>
          <w:tab w:val="left" w:pos="1276"/>
          <w:tab w:val="right" w:leader="dot" w:pos="7655"/>
          <w:tab w:val="center" w:pos="8222"/>
          <w:tab w:val="center" w:pos="9214"/>
        </w:tabs>
        <w:spacing w:line="288" w:lineRule="auto"/>
        <w:rPr>
          <w:rFonts w:ascii="Times New Roman" w:hAnsi="Times New Roman"/>
          <w:snapToGrid/>
          <w:lang w:eastAsia="en-US"/>
        </w:rPr>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rPr>
          <w:lang w:val="en-US"/>
        </w:rPr>
        <w:t>VIII</w:t>
      </w:r>
      <w:r>
        <w:t>.</w:t>
      </w:r>
      <w:r>
        <w:tab/>
        <w:t>ОСУЩЕСТВЛЕНИЕ ПРАВ, ЗАКРЕПЛЕННЫХ В СТАТЬЕ 13</w:t>
      </w:r>
      <w:r>
        <w:tab/>
      </w:r>
      <w:r>
        <w:tab/>
        <w:t>324</w:t>
      </w:r>
      <w:r>
        <w:tab/>
        <w:t>186</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A</w:t>
      </w:r>
      <w:r>
        <w:t>.</w:t>
      </w:r>
      <w:r>
        <w:tab/>
        <w:t xml:space="preserve">Общие гарантии права на образование </w:t>
      </w:r>
      <w:r>
        <w:tab/>
      </w:r>
      <w:r>
        <w:tab/>
        <w:t>324 - 328</w:t>
      </w:r>
      <w:r>
        <w:tab/>
        <w:t>186</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B</w:t>
      </w:r>
      <w:r>
        <w:t>.</w:t>
      </w:r>
      <w:r>
        <w:tab/>
        <w:t xml:space="preserve">Трудности в деле реализации права на образование </w:t>
      </w:r>
      <w:r>
        <w:tab/>
      </w:r>
      <w:r>
        <w:tab/>
        <w:t>329</w:t>
      </w:r>
      <w:r>
        <w:tab/>
        <w:t>189</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C</w:t>
      </w:r>
      <w:r>
        <w:t>.</w:t>
      </w:r>
      <w:r>
        <w:tab/>
        <w:t xml:space="preserve">Борьба с неграмотностью </w:t>
      </w:r>
      <w:r>
        <w:tab/>
      </w:r>
      <w:r>
        <w:tab/>
        <w:t>330</w:t>
      </w:r>
      <w:r>
        <w:tab/>
        <w:t>189</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D</w:t>
      </w:r>
      <w:r>
        <w:t>.</w:t>
      </w:r>
      <w:r>
        <w:tab/>
        <w:t xml:space="preserve">Доля государственных и региональных бюджетных </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 xml:space="preserve">средств, выделяемых на образование;  </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система образования</w:t>
      </w:r>
      <w:r>
        <w:tab/>
      </w:r>
      <w:r>
        <w:tab/>
        <w:t>331 - 334</w:t>
      </w:r>
      <w:r>
        <w:tab/>
        <w:t>190</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E</w:t>
      </w:r>
      <w:r>
        <w:t>.</w:t>
      </w:r>
      <w:r>
        <w:tab/>
        <w:t>Равный доступ к образованию и меры по борьбе с</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неграмотностью</w:t>
      </w:r>
      <w:r>
        <w:tab/>
      </w:r>
      <w:r>
        <w:tab/>
        <w:t>335 - 340</w:t>
      </w:r>
      <w:r>
        <w:tab/>
        <w:t>191</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F</w:t>
      </w:r>
      <w:r>
        <w:t>.</w:t>
      </w:r>
      <w:r>
        <w:tab/>
        <w:t>Условия работы и оклады преподавательского состава,</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принятые и планируемые меры, необходимые</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для изменения положения</w:t>
      </w:r>
      <w:r>
        <w:tab/>
      </w:r>
      <w:r>
        <w:tab/>
        <w:t>341</w:t>
      </w:r>
      <w:r>
        <w:tab/>
        <w:t>196</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G</w:t>
      </w:r>
      <w:r>
        <w:t>.</w:t>
      </w:r>
      <w:r>
        <w:tab/>
        <w:t>Доля неправительственных школ на всех уровнях</w:t>
      </w:r>
      <w:r>
        <w:tab/>
      </w:r>
      <w:r>
        <w:tab/>
        <w:t>342</w:t>
      </w:r>
      <w:r>
        <w:tab/>
        <w:t>199</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H</w:t>
      </w:r>
      <w:r>
        <w:t>.</w:t>
      </w:r>
      <w:r>
        <w:tab/>
        <w:t>Потенциально негативные законодательные и другие</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изменения за последние годы</w:t>
      </w:r>
      <w:r>
        <w:tab/>
      </w:r>
      <w:r>
        <w:tab/>
        <w:t>343</w:t>
      </w:r>
      <w:r>
        <w:tab/>
        <w:t>199</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I</w:t>
      </w:r>
      <w:r>
        <w:t>.</w:t>
      </w:r>
      <w:r>
        <w:tab/>
        <w:t>Новые законодательные и исполнительные акты в связи</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со статьей 13</w:t>
      </w:r>
      <w:r>
        <w:tab/>
      </w:r>
      <w:r>
        <w:tab/>
        <w:t>344</w:t>
      </w:r>
      <w:r>
        <w:tab/>
        <w:t>200</w:t>
      </w:r>
    </w:p>
    <w:p w:rsidR="00000000" w:rsidRDefault="00000000">
      <w:pPr>
        <w:pStyle w:val="16"/>
        <w:tabs>
          <w:tab w:val="left" w:pos="567"/>
          <w:tab w:val="left" w:pos="1134"/>
          <w:tab w:val="left" w:pos="1701"/>
          <w:tab w:val="left" w:pos="2268"/>
          <w:tab w:val="left" w:pos="6237"/>
          <w:tab w:val="center" w:pos="8222"/>
          <w:tab w:val="center" w:pos="9214"/>
        </w:tabs>
        <w:spacing w:line="240" w:lineRule="auto"/>
      </w:pPr>
      <w:r>
        <w:t>СОДЕРЖАНИЕ (</w:t>
      </w:r>
      <w:r>
        <w:rPr>
          <w:u w:val="single"/>
        </w:rPr>
        <w:t>продолжение</w:t>
      </w:r>
      <w:r>
        <w:t>)</w:t>
      </w:r>
    </w:p>
    <w:p w:rsidR="00000000" w:rsidRDefault="00000000">
      <w:pPr>
        <w:tabs>
          <w:tab w:val="center" w:pos="8222"/>
          <w:tab w:val="center" w:pos="9214"/>
        </w:tabs>
        <w:spacing w:line="240" w:lineRule="auto"/>
        <w:jc w:val="center"/>
      </w:pPr>
    </w:p>
    <w:p w:rsidR="00000000" w:rsidRDefault="00000000">
      <w:pPr>
        <w:tabs>
          <w:tab w:val="clear" w:pos="2268"/>
          <w:tab w:val="clear" w:pos="6237"/>
          <w:tab w:val="right" w:pos="567"/>
          <w:tab w:val="center" w:pos="8222"/>
          <w:tab w:val="center" w:pos="9214"/>
        </w:tabs>
        <w:spacing w:line="240" w:lineRule="auto"/>
      </w:pPr>
      <w:r>
        <w:tab/>
      </w:r>
      <w:r>
        <w:tab/>
      </w:r>
      <w:r>
        <w:tab/>
      </w:r>
      <w:r>
        <w:tab/>
      </w:r>
      <w:r>
        <w:rPr>
          <w:u w:val="single"/>
        </w:rPr>
        <w:t>Пункты</w:t>
      </w:r>
      <w:r>
        <w:tab/>
      </w:r>
      <w:r>
        <w:rPr>
          <w:u w:val="single"/>
        </w:rPr>
        <w:t>Стр</w:t>
      </w:r>
      <w:r>
        <w:t>.</w:t>
      </w:r>
    </w:p>
    <w:p w:rsidR="00000000" w:rsidRDefault="00000000">
      <w:pPr>
        <w:pStyle w:val="a0"/>
        <w:widowControl/>
        <w:tabs>
          <w:tab w:val="right" w:pos="567"/>
          <w:tab w:val="left" w:pos="1134"/>
          <w:tab w:val="left" w:pos="1701"/>
          <w:tab w:val="right" w:leader="dot" w:pos="7655"/>
          <w:tab w:val="center" w:pos="8222"/>
          <w:tab w:val="center" w:pos="8505"/>
          <w:tab w:val="center" w:pos="9214"/>
        </w:tabs>
        <w:rPr>
          <w:rFonts w:ascii="Times New Roman" w:hAnsi="Times New Roman"/>
          <w:snapToGrid/>
          <w:lang w:eastAsia="en-US"/>
        </w:rPr>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rPr>
          <w:lang w:val="en-US"/>
        </w:rPr>
        <w:t>IX</w:t>
      </w:r>
      <w:r>
        <w:t>.</w:t>
      </w:r>
      <w:r>
        <w:tab/>
        <w:t>ОСУЩЕСТВЛЕНИЕ ПРАВ, ЗАКРЕПЛЕННЫХ В СТАТЬЕ 14</w:t>
      </w:r>
      <w:r>
        <w:tab/>
      </w:r>
      <w:r>
        <w:tab/>
        <w:t>345</w:t>
      </w:r>
      <w:r>
        <w:tab/>
        <w:t>200</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rPr>
          <w:lang w:val="en-US"/>
        </w:rPr>
        <w:t>X</w:t>
      </w:r>
      <w:r>
        <w:t>.</w:t>
      </w:r>
      <w:r>
        <w:tab/>
        <w:t>ОСУЩЕСТВЛЕНИЕ ПРАВ, ЗАКРЕПЛЕННЫХ В СТАТЬЕ 15</w:t>
      </w:r>
      <w:r>
        <w:tab/>
      </w:r>
      <w:r>
        <w:tab/>
        <w:t>346 - 416</w:t>
      </w:r>
      <w:r>
        <w:tab/>
        <w:t>201</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A</w:t>
      </w:r>
      <w:r>
        <w:t>.</w:t>
      </w:r>
      <w:r>
        <w:tab/>
        <w:t>Законодательные и другие меры по осуществлению права</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каждого на участие в культурной жизни</w:t>
      </w:r>
      <w:r>
        <w:tab/>
      </w:r>
      <w:r>
        <w:tab/>
        <w:t>346 - 393</w:t>
      </w:r>
      <w:r>
        <w:tab/>
        <w:t>201</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B</w:t>
      </w:r>
      <w:r>
        <w:t>.</w:t>
      </w:r>
      <w:r>
        <w:tab/>
        <w:t>Меры, направленные на сохранение наследия человечества</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и создание здоровой окружающей среды</w:t>
      </w:r>
      <w:r>
        <w:tab/>
      </w:r>
      <w:r>
        <w:tab/>
        <w:t>394 - 395</w:t>
      </w:r>
      <w:r>
        <w:tab/>
        <w:t>226</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C</w:t>
      </w:r>
      <w:r>
        <w:t>.</w:t>
      </w:r>
      <w:r>
        <w:tab/>
        <w:t>Законодательные и другие меры по охране авторских</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прав</w:t>
      </w:r>
      <w:r>
        <w:tab/>
      </w:r>
      <w:r>
        <w:tab/>
        <w:t>396 - 397</w:t>
      </w:r>
      <w:r>
        <w:tab/>
        <w:t>227</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D</w:t>
      </w:r>
      <w:r>
        <w:t>.</w:t>
      </w:r>
      <w:r>
        <w:tab/>
        <w:t>Сохранение, развитие и распространение науки и культуры</w:t>
      </w:r>
      <w:r>
        <w:tab/>
      </w:r>
      <w:r>
        <w:tab/>
        <w:t>398 - 401</w:t>
      </w:r>
      <w:r>
        <w:tab/>
        <w:t>229</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E</w:t>
      </w:r>
      <w:r>
        <w:t>.</w:t>
      </w:r>
      <w:r>
        <w:tab/>
        <w:t>Защита свободы научных исследований и творческой</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деятельности</w:t>
      </w:r>
      <w:r>
        <w:tab/>
      </w:r>
      <w:r>
        <w:tab/>
        <w:t xml:space="preserve">402 </w:t>
      </w:r>
      <w:r>
        <w:rPr>
          <w:lang w:val="en-US"/>
        </w:rPr>
        <w:t>-</w:t>
      </w:r>
      <w:r>
        <w:t xml:space="preserve"> 406</w:t>
      </w:r>
      <w:r>
        <w:tab/>
        <w:t>231</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F</w:t>
      </w:r>
      <w:r>
        <w:t>.</w:t>
      </w:r>
      <w:r>
        <w:tab/>
        <w:t>Меры по поощрению международного сотрудничества</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в научной и культурной областях;  законодательство</w:t>
      </w:r>
      <w:r>
        <w:tab/>
      </w:r>
      <w:r>
        <w:tab/>
        <w:t>407 - 415</w:t>
      </w:r>
      <w:r>
        <w:tab/>
        <w:t>233</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rPr>
          <w:lang w:val="en-US"/>
        </w:rPr>
        <w:t>G</w:t>
      </w:r>
      <w:r>
        <w:t>.</w:t>
      </w:r>
      <w:r>
        <w:tab/>
        <w:t>Новое законодательство и исполнительные акты в связи</w:t>
      </w:r>
    </w:p>
    <w:p w:rsidR="00000000" w:rsidRDefault="00000000">
      <w:pPr>
        <w:pStyle w:val="FootnoteText"/>
        <w:tabs>
          <w:tab w:val="clear" w:pos="1134"/>
          <w:tab w:val="clear" w:pos="1701"/>
          <w:tab w:val="clear" w:pos="2268"/>
          <w:tab w:val="clear" w:pos="6237"/>
          <w:tab w:val="right" w:pos="567"/>
          <w:tab w:val="left" w:pos="851"/>
          <w:tab w:val="left" w:pos="1276"/>
          <w:tab w:val="right" w:leader="dot" w:pos="7655"/>
          <w:tab w:val="center" w:pos="8222"/>
          <w:tab w:val="center" w:pos="9214"/>
        </w:tabs>
      </w:pPr>
      <w:r>
        <w:tab/>
      </w:r>
      <w:r>
        <w:tab/>
      </w:r>
      <w:r>
        <w:tab/>
        <w:t>со статьей 15</w:t>
      </w:r>
      <w:r>
        <w:tab/>
      </w:r>
      <w:r>
        <w:tab/>
      </w:r>
      <w:r>
        <w:rPr>
          <w:lang w:val="en-US"/>
        </w:rPr>
        <w:t>416</w:t>
      </w:r>
      <w:r>
        <w:tab/>
        <w:t>238</w:t>
      </w:r>
    </w:p>
    <w:p w:rsidR="00000000" w:rsidRDefault="00000000">
      <w:pPr>
        <w:tabs>
          <w:tab w:val="clear" w:pos="1134"/>
          <w:tab w:val="clear" w:pos="1701"/>
          <w:tab w:val="clear" w:pos="2268"/>
          <w:tab w:val="clear" w:pos="6237"/>
          <w:tab w:val="right" w:pos="567"/>
          <w:tab w:val="left" w:pos="851"/>
          <w:tab w:val="left" w:pos="1276"/>
          <w:tab w:val="right" w:leader="dot" w:pos="7655"/>
          <w:tab w:val="center" w:pos="8222"/>
          <w:tab w:val="center" w:pos="9214"/>
        </w:tabs>
      </w:pPr>
    </w:p>
    <w:p w:rsidR="00000000" w:rsidRDefault="00000000">
      <w:pPr>
        <w:pStyle w:val="10"/>
        <w:rPr>
          <w:bCs/>
        </w:rPr>
      </w:pPr>
      <w:r>
        <w:rPr>
          <w:bCs/>
        </w:rPr>
        <w:br w:type="page"/>
        <w:t>Введение</w:t>
      </w:r>
    </w:p>
    <w:p w:rsidR="00000000" w:rsidRDefault="00000000">
      <w:pPr>
        <w:pStyle w:val="10"/>
        <w:rPr>
          <w:bCs/>
        </w:rPr>
      </w:pPr>
    </w:p>
    <w:p w:rsidR="00000000" w:rsidRDefault="00000000">
      <w:r>
        <w:t>1.</w:t>
      </w:r>
      <w:r>
        <w:tab/>
        <w:t xml:space="preserve">Настоящий доклад посвящен выполнению в законодательном порядке и на практике обязательств Польши, предусмотренных положениями статей 6-15 Международного пакта об экономических, социальных и культурных правах.  Он был подготовлен в соответствии с общими руководящими принципами, разработанными Комитетом по экономическим, социальным и культурным правам Организации Объединенных Наций </w:t>
      </w:r>
    </w:p>
    <w:p w:rsidR="00000000" w:rsidRDefault="00000000"/>
    <w:p w:rsidR="00000000" w:rsidRDefault="00000000">
      <w:pPr>
        <w:pStyle w:val="10"/>
        <w:rPr>
          <w:bCs/>
        </w:rPr>
      </w:pPr>
      <w:r>
        <w:rPr>
          <w:bCs/>
        </w:rPr>
        <w:t>I.</w:t>
      </w:r>
      <w:r>
        <w:rPr>
          <w:bCs/>
        </w:rPr>
        <w:tab/>
        <w:t>ОСУЩЕСТВЛЕНИЕ ПРАВ, ЗАКРЕПЛЕННЫХ В СТАТЬЕ 6</w:t>
      </w:r>
    </w:p>
    <w:p w:rsidR="00000000" w:rsidRDefault="00000000">
      <w:pPr>
        <w:pStyle w:val="10"/>
        <w:rPr>
          <w:bCs/>
        </w:rPr>
      </w:pPr>
    </w:p>
    <w:p w:rsidR="00000000" w:rsidRDefault="00000000">
      <w:pPr>
        <w:pStyle w:val="Heading1"/>
        <w:jc w:val="center"/>
        <w:rPr>
          <w:bCs/>
        </w:rPr>
      </w:pPr>
      <w:r>
        <w:rPr>
          <w:bCs/>
        </w:rPr>
        <w:t>А.</w:t>
      </w:r>
      <w:r>
        <w:rPr>
          <w:bCs/>
        </w:rPr>
        <w:tab/>
        <w:t>Ратифицированные международные договоры</w:t>
      </w:r>
    </w:p>
    <w:p w:rsidR="00000000" w:rsidRDefault="00000000">
      <w:pPr>
        <w:pStyle w:val="Heading1"/>
        <w:rPr>
          <w:bCs/>
        </w:rPr>
      </w:pPr>
    </w:p>
    <w:p w:rsidR="00000000" w:rsidRDefault="00000000">
      <w:r>
        <w:t>2.</w:t>
      </w:r>
      <w:r>
        <w:tab/>
        <w:t>По состоянию на конец 1998 года Польша являлась участником:</w:t>
      </w:r>
    </w:p>
    <w:p w:rsidR="00000000" w:rsidRDefault="00000000"/>
    <w:p w:rsidR="00000000" w:rsidRDefault="00000000">
      <w:pPr>
        <w:ind w:left="1134" w:hanging="1134"/>
      </w:pPr>
      <w:r>
        <w:tab/>
        <w:t>-</w:t>
      </w:r>
      <w:r>
        <w:tab/>
        <w:t>Конвенции о политике в области занятости (№ 122) Международной организации труда (МОТ) 1964 года;</w:t>
      </w:r>
    </w:p>
    <w:p w:rsidR="00000000" w:rsidRDefault="00000000">
      <w:pPr>
        <w:ind w:left="1134" w:hanging="1134"/>
      </w:pPr>
    </w:p>
    <w:p w:rsidR="00000000" w:rsidRDefault="00000000">
      <w:pPr>
        <w:ind w:left="1134" w:hanging="1134"/>
      </w:pPr>
      <w:r>
        <w:tab/>
        <w:t>-</w:t>
      </w:r>
      <w:r>
        <w:tab/>
        <w:t>Конвенции о дискриминации в области труда и занятий (№ 111) МОТ 1958 года;</w:t>
      </w:r>
    </w:p>
    <w:p w:rsidR="00000000" w:rsidRDefault="00000000">
      <w:pPr>
        <w:ind w:left="1134" w:hanging="1134"/>
      </w:pPr>
    </w:p>
    <w:p w:rsidR="00000000" w:rsidRDefault="00000000">
      <w:pPr>
        <w:ind w:left="1134" w:hanging="1134"/>
      </w:pPr>
      <w:r>
        <w:tab/>
        <w:t>-</w:t>
      </w:r>
      <w:r>
        <w:tab/>
        <w:t>Международной конвенции о ликвидации всех форм расовой дискриминации;</w:t>
      </w:r>
    </w:p>
    <w:p w:rsidR="00000000" w:rsidRDefault="00000000">
      <w:pPr>
        <w:ind w:left="1134" w:hanging="1134"/>
      </w:pPr>
    </w:p>
    <w:p w:rsidR="00000000" w:rsidRDefault="00000000">
      <w:pPr>
        <w:ind w:left="1134" w:hanging="1134"/>
      </w:pPr>
      <w:r>
        <w:tab/>
        <w:t>-</w:t>
      </w:r>
      <w:r>
        <w:tab/>
        <w:t>Конвенции о ликвидации всех форм дискриминации в отношении женщин.</w:t>
      </w:r>
    </w:p>
    <w:p w:rsidR="00000000" w:rsidRDefault="00000000">
      <w:pPr>
        <w:ind w:left="1134" w:hanging="1134"/>
      </w:pPr>
    </w:p>
    <w:p w:rsidR="00000000" w:rsidRDefault="00000000">
      <w:pPr>
        <w:pStyle w:val="10"/>
        <w:rPr>
          <w:bCs/>
        </w:rPr>
      </w:pPr>
      <w:r>
        <w:rPr>
          <w:bCs/>
        </w:rPr>
        <w:t>В.</w:t>
      </w:r>
      <w:r>
        <w:rPr>
          <w:bCs/>
        </w:rPr>
        <w:tab/>
        <w:t>Положение на рынке труда</w:t>
      </w:r>
    </w:p>
    <w:p w:rsidR="00000000" w:rsidRDefault="00000000">
      <w:pPr>
        <w:rPr>
          <w:b/>
          <w:bCs/>
        </w:rPr>
      </w:pPr>
    </w:p>
    <w:p w:rsidR="00000000" w:rsidRDefault="00000000">
      <w:r>
        <w:t>3.</w:t>
      </w:r>
      <w:r>
        <w:tab/>
        <w:t>В 1995-1998 годах отмечался рост численности работающего населения и лиц наемного труда.  За период с 31 декабря 1995 года по 30 сентября 1998 года общая численность лиц, занятых приносящей доход деятельностью, возросла на 972 000 человек, т.е. на 5,2%.  Число лиц наемного труда за тот же период увеличилось на 429 200 человек, или примерно на 4,4%.  В период с 30 сентября 1997 года по 30 сентября 1998 года в области занятости был зарегистрирован небольшой спад:  на 19 700 человек (0,12%) сократилась численность лиц, занятых доходной деятельностью, и на 60 100 человек (0,59%) - численность лиц, получающих заработную плату.  В 1995-1996 годах количество частично занятых лиц увеличилось на 64 700 человек, в том числе на лиц, частично занятых на основном месте работы, приходилось 55 800 человек, тогда как в 1997 году численность таких лиц сократилась (на 31 100 человек в целом и на 19 800 человек среди лиц, частично занятых на основном месте работы).  В результате доля трудящихся, занятых неполный рабочий день (на основном месте работы), в общей численности трудоустроенного населения сократилась с 6,2% в 1996 году до 5,9% в 1997 году.  Позитивным явлением в 1995-1998 годах было увеличение доли лиц, получающих заработную плату, в общей численности экономически активного населения:  с 85,1% в 1995 году до 90,5% в 1998 году.</w:t>
      </w:r>
    </w:p>
    <w:p w:rsidR="00000000" w:rsidRDefault="00000000"/>
    <w:p w:rsidR="00000000" w:rsidRDefault="00000000">
      <w:pPr>
        <w:tabs>
          <w:tab w:val="clear" w:pos="2268"/>
          <w:tab w:val="left" w:pos="1870"/>
        </w:tabs>
        <w:ind w:left="1870" w:hanging="1870"/>
        <w:rPr>
          <w:u w:val="single"/>
        </w:rPr>
      </w:pPr>
      <w:r>
        <w:tab/>
      </w:r>
      <w:r>
        <w:rPr>
          <w:u w:val="single"/>
        </w:rPr>
        <w:t>Таблица 1</w:t>
      </w:r>
      <w:r>
        <w:t>.</w:t>
      </w:r>
      <w:r>
        <w:tab/>
      </w:r>
      <w:r>
        <w:rPr>
          <w:u w:val="single"/>
        </w:rPr>
        <w:t>Работающее население* и лица, получающие заработную плату</w:t>
      </w:r>
      <w:r>
        <w:t>,</w:t>
      </w:r>
    </w:p>
    <w:p w:rsidR="00000000" w:rsidRDefault="00000000">
      <w:pPr>
        <w:tabs>
          <w:tab w:val="clear" w:pos="2268"/>
          <w:tab w:val="left" w:pos="1870"/>
        </w:tabs>
        <w:ind w:left="1870" w:hanging="1870"/>
      </w:pPr>
      <w:r>
        <w:tab/>
      </w:r>
      <w:r>
        <w:tab/>
      </w:r>
      <w:r>
        <w:tab/>
      </w:r>
      <w:r>
        <w:rPr>
          <w:u w:val="single"/>
        </w:rPr>
        <w:t>1995</w:t>
      </w:r>
      <w:r>
        <w:rPr>
          <w:u w:val="single"/>
        </w:rPr>
        <w:noBreakHyphen/>
        <w:t>1998 годы (по состоянию на 31 декабря</w:t>
      </w:r>
      <w:r>
        <w:t>) (тыс. человек)</w:t>
      </w:r>
    </w:p>
    <w:p w:rsidR="00000000" w:rsidRDefault="00000000">
      <w:pPr>
        <w:tabs>
          <w:tab w:val="clear" w:pos="2268"/>
          <w:tab w:val="left" w:pos="1870"/>
        </w:tabs>
        <w:ind w:left="1870" w:hanging="187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2"/>
        <w:gridCol w:w="893"/>
        <w:gridCol w:w="729"/>
        <w:gridCol w:w="731"/>
        <w:gridCol w:w="893"/>
        <w:gridCol w:w="729"/>
        <w:gridCol w:w="731"/>
        <w:gridCol w:w="893"/>
        <w:gridCol w:w="729"/>
        <w:gridCol w:w="722"/>
        <w:gridCol w:w="848"/>
      </w:tblGrid>
      <w:tr w:rsidR="00000000">
        <w:tblPrEx>
          <w:tblCellMar>
            <w:top w:w="0" w:type="dxa"/>
            <w:bottom w:w="0" w:type="dxa"/>
          </w:tblCellMar>
        </w:tblPrEx>
        <w:trPr>
          <w:cantSplit/>
        </w:trPr>
        <w:tc>
          <w:tcPr>
            <w:tcW w:w="1673" w:type="dxa"/>
            <w:tcBorders>
              <w:bottom w:val="nil"/>
            </w:tcBorders>
          </w:tcPr>
          <w:p w:rsidR="00000000" w:rsidRDefault="00000000">
            <w:pPr>
              <w:jc w:val="center"/>
              <w:rPr>
                <w:sz w:val="16"/>
              </w:rPr>
            </w:pPr>
          </w:p>
        </w:tc>
        <w:tc>
          <w:tcPr>
            <w:tcW w:w="2353" w:type="dxa"/>
            <w:gridSpan w:val="3"/>
          </w:tcPr>
          <w:p w:rsidR="00000000" w:rsidRDefault="00000000">
            <w:pPr>
              <w:jc w:val="center"/>
              <w:rPr>
                <w:sz w:val="16"/>
              </w:rPr>
            </w:pPr>
            <w:r>
              <w:rPr>
                <w:sz w:val="16"/>
              </w:rPr>
              <w:t>1995</w:t>
            </w:r>
          </w:p>
        </w:tc>
        <w:tc>
          <w:tcPr>
            <w:tcW w:w="2353" w:type="dxa"/>
            <w:gridSpan w:val="3"/>
          </w:tcPr>
          <w:p w:rsidR="00000000" w:rsidRDefault="00000000">
            <w:pPr>
              <w:jc w:val="center"/>
              <w:rPr>
                <w:sz w:val="16"/>
              </w:rPr>
            </w:pPr>
            <w:r>
              <w:rPr>
                <w:sz w:val="16"/>
              </w:rPr>
              <w:t>1996</w:t>
            </w:r>
          </w:p>
        </w:tc>
        <w:tc>
          <w:tcPr>
            <w:tcW w:w="2344" w:type="dxa"/>
            <w:gridSpan w:val="3"/>
          </w:tcPr>
          <w:p w:rsidR="00000000" w:rsidRDefault="00000000">
            <w:pPr>
              <w:jc w:val="center"/>
              <w:rPr>
                <w:sz w:val="16"/>
              </w:rPr>
            </w:pPr>
            <w:r>
              <w:rPr>
                <w:sz w:val="16"/>
              </w:rPr>
              <w:t>1997*</w:t>
            </w:r>
          </w:p>
        </w:tc>
        <w:tc>
          <w:tcPr>
            <w:tcW w:w="848" w:type="dxa"/>
          </w:tcPr>
          <w:p w:rsidR="00000000" w:rsidRDefault="00000000">
            <w:pPr>
              <w:jc w:val="center"/>
              <w:rPr>
                <w:sz w:val="16"/>
              </w:rPr>
            </w:pPr>
            <w:r>
              <w:rPr>
                <w:sz w:val="16"/>
              </w:rPr>
              <w:t>1998**</w:t>
            </w:r>
          </w:p>
        </w:tc>
      </w:tr>
      <w:tr w:rsidR="00000000">
        <w:tblPrEx>
          <w:tblCellMar>
            <w:top w:w="0" w:type="dxa"/>
            <w:bottom w:w="0" w:type="dxa"/>
          </w:tblCellMar>
        </w:tblPrEx>
        <w:tc>
          <w:tcPr>
            <w:tcW w:w="1673" w:type="dxa"/>
            <w:tcBorders>
              <w:top w:val="nil"/>
            </w:tcBorders>
          </w:tcPr>
          <w:p w:rsidR="00000000" w:rsidRDefault="00000000">
            <w:pPr>
              <w:jc w:val="center"/>
              <w:rPr>
                <w:sz w:val="16"/>
              </w:rPr>
            </w:pPr>
          </w:p>
        </w:tc>
        <w:tc>
          <w:tcPr>
            <w:tcW w:w="893" w:type="dxa"/>
          </w:tcPr>
          <w:p w:rsidR="00000000" w:rsidRDefault="00000000">
            <w:pPr>
              <w:jc w:val="center"/>
              <w:rPr>
                <w:sz w:val="16"/>
              </w:rPr>
            </w:pPr>
            <w:r>
              <w:rPr>
                <w:sz w:val="16"/>
              </w:rPr>
              <w:t>Всего</w:t>
            </w:r>
          </w:p>
        </w:tc>
        <w:tc>
          <w:tcPr>
            <w:tcW w:w="729" w:type="dxa"/>
          </w:tcPr>
          <w:p w:rsidR="00000000" w:rsidRDefault="00000000">
            <w:pPr>
              <w:jc w:val="center"/>
              <w:rPr>
                <w:sz w:val="16"/>
              </w:rPr>
            </w:pPr>
            <w:r>
              <w:rPr>
                <w:sz w:val="16"/>
              </w:rPr>
              <w:t>Муж-чины</w:t>
            </w:r>
          </w:p>
        </w:tc>
        <w:tc>
          <w:tcPr>
            <w:tcW w:w="731" w:type="dxa"/>
          </w:tcPr>
          <w:p w:rsidR="00000000" w:rsidRDefault="00000000">
            <w:pPr>
              <w:jc w:val="center"/>
              <w:rPr>
                <w:sz w:val="16"/>
              </w:rPr>
            </w:pPr>
            <w:r>
              <w:rPr>
                <w:sz w:val="16"/>
              </w:rPr>
              <w:t>Жен-щины</w:t>
            </w:r>
          </w:p>
        </w:tc>
        <w:tc>
          <w:tcPr>
            <w:tcW w:w="893" w:type="dxa"/>
          </w:tcPr>
          <w:p w:rsidR="00000000" w:rsidRDefault="00000000">
            <w:pPr>
              <w:jc w:val="center"/>
              <w:rPr>
                <w:sz w:val="16"/>
              </w:rPr>
            </w:pPr>
            <w:r>
              <w:rPr>
                <w:sz w:val="16"/>
              </w:rPr>
              <w:t>Всего</w:t>
            </w:r>
          </w:p>
        </w:tc>
        <w:tc>
          <w:tcPr>
            <w:tcW w:w="729" w:type="dxa"/>
          </w:tcPr>
          <w:p w:rsidR="00000000" w:rsidRDefault="00000000">
            <w:pPr>
              <w:jc w:val="center"/>
              <w:rPr>
                <w:sz w:val="16"/>
              </w:rPr>
            </w:pPr>
            <w:r>
              <w:rPr>
                <w:sz w:val="16"/>
              </w:rPr>
              <w:t>Муж-чины</w:t>
            </w:r>
          </w:p>
        </w:tc>
        <w:tc>
          <w:tcPr>
            <w:tcW w:w="731" w:type="dxa"/>
          </w:tcPr>
          <w:p w:rsidR="00000000" w:rsidRDefault="00000000">
            <w:pPr>
              <w:jc w:val="center"/>
              <w:rPr>
                <w:sz w:val="16"/>
              </w:rPr>
            </w:pPr>
            <w:r>
              <w:rPr>
                <w:sz w:val="16"/>
              </w:rPr>
              <w:t>Жен-щины</w:t>
            </w:r>
          </w:p>
        </w:tc>
        <w:tc>
          <w:tcPr>
            <w:tcW w:w="893" w:type="dxa"/>
          </w:tcPr>
          <w:p w:rsidR="00000000" w:rsidRDefault="00000000">
            <w:pPr>
              <w:jc w:val="center"/>
              <w:rPr>
                <w:sz w:val="16"/>
              </w:rPr>
            </w:pPr>
            <w:r>
              <w:rPr>
                <w:sz w:val="16"/>
              </w:rPr>
              <w:t>Всего</w:t>
            </w:r>
          </w:p>
        </w:tc>
        <w:tc>
          <w:tcPr>
            <w:tcW w:w="729" w:type="dxa"/>
          </w:tcPr>
          <w:p w:rsidR="00000000" w:rsidRDefault="00000000">
            <w:pPr>
              <w:jc w:val="center"/>
              <w:rPr>
                <w:sz w:val="16"/>
              </w:rPr>
            </w:pPr>
            <w:r>
              <w:rPr>
                <w:sz w:val="16"/>
              </w:rPr>
              <w:t>Муж-чины</w:t>
            </w:r>
          </w:p>
        </w:tc>
        <w:tc>
          <w:tcPr>
            <w:tcW w:w="722" w:type="dxa"/>
          </w:tcPr>
          <w:p w:rsidR="00000000" w:rsidRDefault="00000000">
            <w:pPr>
              <w:jc w:val="center"/>
              <w:rPr>
                <w:sz w:val="16"/>
              </w:rPr>
            </w:pPr>
            <w:r>
              <w:rPr>
                <w:sz w:val="16"/>
              </w:rPr>
              <w:t>Жен-щины</w:t>
            </w:r>
          </w:p>
        </w:tc>
        <w:tc>
          <w:tcPr>
            <w:tcW w:w="848" w:type="dxa"/>
          </w:tcPr>
          <w:p w:rsidR="00000000" w:rsidRDefault="00000000">
            <w:pPr>
              <w:jc w:val="center"/>
              <w:rPr>
                <w:sz w:val="16"/>
              </w:rPr>
            </w:pPr>
            <w:r>
              <w:rPr>
                <w:sz w:val="16"/>
              </w:rPr>
              <w:t>Всего</w:t>
            </w:r>
          </w:p>
        </w:tc>
      </w:tr>
      <w:tr w:rsidR="00000000">
        <w:tblPrEx>
          <w:tblCellMar>
            <w:top w:w="0" w:type="dxa"/>
            <w:bottom w:w="0" w:type="dxa"/>
          </w:tblCellMar>
        </w:tblPrEx>
        <w:tc>
          <w:tcPr>
            <w:tcW w:w="1673" w:type="dxa"/>
          </w:tcPr>
          <w:p w:rsidR="00000000" w:rsidRDefault="00000000">
            <w:pPr>
              <w:rPr>
                <w:sz w:val="16"/>
              </w:rPr>
            </w:pPr>
            <w:r>
              <w:rPr>
                <w:sz w:val="16"/>
              </w:rPr>
              <w:t>Работающее население - всего</w:t>
            </w:r>
          </w:p>
        </w:tc>
        <w:tc>
          <w:tcPr>
            <w:tcW w:w="893" w:type="dxa"/>
          </w:tcPr>
          <w:p w:rsidR="00000000" w:rsidRDefault="00000000">
            <w:pPr>
              <w:jc w:val="right"/>
              <w:rPr>
                <w:sz w:val="16"/>
              </w:rPr>
            </w:pPr>
            <w:r>
              <w:rPr>
                <w:sz w:val="16"/>
              </w:rPr>
              <w:t>15 129,1</w:t>
            </w:r>
          </w:p>
        </w:tc>
        <w:tc>
          <w:tcPr>
            <w:tcW w:w="729" w:type="dxa"/>
          </w:tcPr>
          <w:p w:rsidR="00000000" w:rsidRDefault="00000000">
            <w:pPr>
              <w:jc w:val="right"/>
              <w:rPr>
                <w:sz w:val="16"/>
              </w:rPr>
            </w:pPr>
            <w:r>
              <w:rPr>
                <w:sz w:val="16"/>
              </w:rPr>
              <w:t>8 050,1</w:t>
            </w:r>
          </w:p>
        </w:tc>
        <w:tc>
          <w:tcPr>
            <w:tcW w:w="731" w:type="dxa"/>
          </w:tcPr>
          <w:p w:rsidR="00000000" w:rsidRDefault="00000000">
            <w:pPr>
              <w:jc w:val="right"/>
              <w:rPr>
                <w:sz w:val="16"/>
              </w:rPr>
            </w:pPr>
            <w:r>
              <w:rPr>
                <w:sz w:val="16"/>
              </w:rPr>
              <w:t>7 079,0</w:t>
            </w:r>
          </w:p>
        </w:tc>
        <w:tc>
          <w:tcPr>
            <w:tcW w:w="893" w:type="dxa"/>
          </w:tcPr>
          <w:p w:rsidR="00000000" w:rsidRDefault="00000000">
            <w:pPr>
              <w:jc w:val="right"/>
              <w:rPr>
                <w:sz w:val="16"/>
              </w:rPr>
            </w:pPr>
            <w:r>
              <w:rPr>
                <w:sz w:val="16"/>
              </w:rPr>
              <w:t>15 487,4</w:t>
            </w:r>
          </w:p>
        </w:tc>
        <w:tc>
          <w:tcPr>
            <w:tcW w:w="729" w:type="dxa"/>
          </w:tcPr>
          <w:p w:rsidR="00000000" w:rsidRDefault="00000000">
            <w:pPr>
              <w:jc w:val="right"/>
              <w:rPr>
                <w:sz w:val="16"/>
              </w:rPr>
            </w:pPr>
            <w:r>
              <w:rPr>
                <w:sz w:val="16"/>
              </w:rPr>
              <w:t>8 178,9</w:t>
            </w:r>
          </w:p>
        </w:tc>
        <w:tc>
          <w:tcPr>
            <w:tcW w:w="731" w:type="dxa"/>
          </w:tcPr>
          <w:p w:rsidR="00000000" w:rsidRDefault="00000000">
            <w:pPr>
              <w:jc w:val="right"/>
              <w:rPr>
                <w:sz w:val="16"/>
              </w:rPr>
            </w:pPr>
            <w:r>
              <w:rPr>
                <w:sz w:val="16"/>
              </w:rPr>
              <w:t>7 308,5</w:t>
            </w:r>
          </w:p>
        </w:tc>
        <w:tc>
          <w:tcPr>
            <w:tcW w:w="893" w:type="dxa"/>
          </w:tcPr>
          <w:p w:rsidR="00000000" w:rsidRDefault="00000000">
            <w:pPr>
              <w:jc w:val="right"/>
              <w:rPr>
                <w:sz w:val="16"/>
              </w:rPr>
            </w:pPr>
            <w:r>
              <w:rPr>
                <w:sz w:val="16"/>
              </w:rPr>
              <w:t>15 940,8</w:t>
            </w:r>
          </w:p>
        </w:tc>
        <w:tc>
          <w:tcPr>
            <w:tcW w:w="729" w:type="dxa"/>
          </w:tcPr>
          <w:p w:rsidR="00000000" w:rsidRDefault="00000000">
            <w:pPr>
              <w:jc w:val="right"/>
              <w:rPr>
                <w:sz w:val="16"/>
              </w:rPr>
            </w:pPr>
            <w:r>
              <w:rPr>
                <w:sz w:val="16"/>
              </w:rPr>
              <w:t>8 433,3</w:t>
            </w:r>
          </w:p>
        </w:tc>
        <w:tc>
          <w:tcPr>
            <w:tcW w:w="722" w:type="dxa"/>
          </w:tcPr>
          <w:p w:rsidR="00000000" w:rsidRDefault="00000000">
            <w:pPr>
              <w:jc w:val="right"/>
              <w:rPr>
                <w:sz w:val="16"/>
              </w:rPr>
            </w:pPr>
            <w:r>
              <w:rPr>
                <w:sz w:val="16"/>
              </w:rPr>
              <w:t>7 507,5</w:t>
            </w:r>
          </w:p>
        </w:tc>
        <w:tc>
          <w:tcPr>
            <w:tcW w:w="848" w:type="dxa"/>
          </w:tcPr>
          <w:p w:rsidR="00000000" w:rsidRDefault="00000000">
            <w:pPr>
              <w:jc w:val="right"/>
              <w:rPr>
                <w:sz w:val="16"/>
              </w:rPr>
            </w:pPr>
            <w:r>
              <w:rPr>
                <w:sz w:val="16"/>
              </w:rPr>
              <w:t>15 924,1</w:t>
            </w:r>
          </w:p>
        </w:tc>
      </w:tr>
      <w:tr w:rsidR="00000000">
        <w:tblPrEx>
          <w:tblCellMar>
            <w:top w:w="0" w:type="dxa"/>
            <w:bottom w:w="0" w:type="dxa"/>
          </w:tblCellMar>
        </w:tblPrEx>
        <w:tc>
          <w:tcPr>
            <w:tcW w:w="1673" w:type="dxa"/>
          </w:tcPr>
          <w:p w:rsidR="00000000" w:rsidRDefault="00000000">
            <w:pPr>
              <w:rPr>
                <w:sz w:val="16"/>
              </w:rPr>
            </w:pPr>
            <w:r>
              <w:rPr>
                <w:sz w:val="16"/>
              </w:rPr>
              <w:t>Общая численность лиц наемного труда</w:t>
            </w:r>
          </w:p>
        </w:tc>
        <w:tc>
          <w:tcPr>
            <w:tcW w:w="893" w:type="dxa"/>
          </w:tcPr>
          <w:p w:rsidR="00000000" w:rsidRDefault="00000000">
            <w:pPr>
              <w:jc w:val="right"/>
              <w:rPr>
                <w:sz w:val="16"/>
              </w:rPr>
            </w:pPr>
            <w:r>
              <w:rPr>
                <w:sz w:val="16"/>
              </w:rPr>
              <w:t>9 757,5</w:t>
            </w:r>
          </w:p>
        </w:tc>
        <w:tc>
          <w:tcPr>
            <w:tcW w:w="729" w:type="dxa"/>
          </w:tcPr>
          <w:p w:rsidR="00000000" w:rsidRDefault="00000000">
            <w:pPr>
              <w:jc w:val="right"/>
              <w:rPr>
                <w:sz w:val="16"/>
              </w:rPr>
            </w:pPr>
            <w:r>
              <w:rPr>
                <w:sz w:val="16"/>
              </w:rPr>
              <w:t>5 106,6</w:t>
            </w:r>
          </w:p>
        </w:tc>
        <w:tc>
          <w:tcPr>
            <w:tcW w:w="731" w:type="dxa"/>
          </w:tcPr>
          <w:p w:rsidR="00000000" w:rsidRDefault="00000000">
            <w:pPr>
              <w:jc w:val="right"/>
              <w:rPr>
                <w:sz w:val="16"/>
              </w:rPr>
            </w:pPr>
            <w:r>
              <w:rPr>
                <w:sz w:val="16"/>
              </w:rPr>
              <w:t>4 650,9</w:t>
            </w:r>
          </w:p>
        </w:tc>
        <w:tc>
          <w:tcPr>
            <w:tcW w:w="893" w:type="dxa"/>
          </w:tcPr>
          <w:p w:rsidR="00000000" w:rsidRDefault="00000000">
            <w:pPr>
              <w:jc w:val="right"/>
              <w:rPr>
                <w:sz w:val="16"/>
              </w:rPr>
            </w:pPr>
            <w:r>
              <w:rPr>
                <w:sz w:val="16"/>
              </w:rPr>
              <w:t>9 992,6</w:t>
            </w:r>
          </w:p>
        </w:tc>
        <w:tc>
          <w:tcPr>
            <w:tcW w:w="729" w:type="dxa"/>
          </w:tcPr>
          <w:p w:rsidR="00000000" w:rsidRDefault="00000000">
            <w:pPr>
              <w:jc w:val="right"/>
              <w:rPr>
                <w:sz w:val="16"/>
              </w:rPr>
            </w:pPr>
            <w:r>
              <w:rPr>
                <w:sz w:val="16"/>
              </w:rPr>
              <w:t>5 239,4</w:t>
            </w:r>
          </w:p>
        </w:tc>
        <w:tc>
          <w:tcPr>
            <w:tcW w:w="731" w:type="dxa"/>
          </w:tcPr>
          <w:p w:rsidR="00000000" w:rsidRDefault="00000000">
            <w:pPr>
              <w:jc w:val="right"/>
              <w:rPr>
                <w:sz w:val="16"/>
              </w:rPr>
            </w:pPr>
            <w:r>
              <w:rPr>
                <w:sz w:val="16"/>
              </w:rPr>
              <w:t>4 753,2</w:t>
            </w:r>
          </w:p>
        </w:tc>
        <w:tc>
          <w:tcPr>
            <w:tcW w:w="893" w:type="dxa"/>
          </w:tcPr>
          <w:p w:rsidR="00000000" w:rsidRDefault="00000000">
            <w:pPr>
              <w:jc w:val="right"/>
              <w:rPr>
                <w:sz w:val="16"/>
              </w:rPr>
            </w:pPr>
            <w:r>
              <w:rPr>
                <w:sz w:val="16"/>
              </w:rPr>
              <w:t>10 246,8</w:t>
            </w:r>
          </w:p>
        </w:tc>
        <w:tc>
          <w:tcPr>
            <w:tcW w:w="729" w:type="dxa"/>
          </w:tcPr>
          <w:p w:rsidR="00000000" w:rsidRDefault="00000000">
            <w:pPr>
              <w:jc w:val="right"/>
              <w:rPr>
                <w:sz w:val="16"/>
              </w:rPr>
            </w:pPr>
            <w:r>
              <w:rPr>
                <w:sz w:val="16"/>
              </w:rPr>
              <w:t>5 371,8</w:t>
            </w:r>
          </w:p>
        </w:tc>
        <w:tc>
          <w:tcPr>
            <w:tcW w:w="722" w:type="dxa"/>
          </w:tcPr>
          <w:p w:rsidR="00000000" w:rsidRDefault="00000000">
            <w:pPr>
              <w:jc w:val="right"/>
              <w:rPr>
                <w:sz w:val="16"/>
              </w:rPr>
            </w:pPr>
            <w:r>
              <w:rPr>
                <w:sz w:val="16"/>
              </w:rPr>
              <w:t>4 875,0</w:t>
            </w:r>
          </w:p>
        </w:tc>
        <w:tc>
          <w:tcPr>
            <w:tcW w:w="848" w:type="dxa"/>
          </w:tcPr>
          <w:p w:rsidR="00000000" w:rsidRDefault="00000000">
            <w:pPr>
              <w:jc w:val="right"/>
              <w:rPr>
                <w:sz w:val="16"/>
              </w:rPr>
            </w:pPr>
            <w:r>
              <w:rPr>
                <w:sz w:val="16"/>
              </w:rPr>
              <w:t>10 186,7</w:t>
            </w:r>
          </w:p>
        </w:tc>
      </w:tr>
      <w:tr w:rsidR="00000000">
        <w:tblPrEx>
          <w:tblCellMar>
            <w:top w:w="0" w:type="dxa"/>
            <w:bottom w:w="0" w:type="dxa"/>
          </w:tblCellMar>
        </w:tblPrEx>
        <w:tc>
          <w:tcPr>
            <w:tcW w:w="1673" w:type="dxa"/>
          </w:tcPr>
          <w:p w:rsidR="00000000" w:rsidRDefault="00000000">
            <w:pPr>
              <w:rPr>
                <w:sz w:val="16"/>
              </w:rPr>
            </w:pPr>
            <w:r>
              <w:rPr>
                <w:sz w:val="16"/>
              </w:rPr>
              <w:t>Лица, частично занятые на основном месте работы</w:t>
            </w:r>
          </w:p>
        </w:tc>
        <w:tc>
          <w:tcPr>
            <w:tcW w:w="893" w:type="dxa"/>
          </w:tcPr>
          <w:p w:rsidR="00000000" w:rsidRDefault="00000000">
            <w:pPr>
              <w:jc w:val="right"/>
              <w:rPr>
                <w:sz w:val="16"/>
              </w:rPr>
            </w:pPr>
          </w:p>
        </w:tc>
        <w:tc>
          <w:tcPr>
            <w:tcW w:w="729" w:type="dxa"/>
          </w:tcPr>
          <w:p w:rsidR="00000000" w:rsidRDefault="00000000">
            <w:pPr>
              <w:jc w:val="right"/>
              <w:rPr>
                <w:sz w:val="16"/>
              </w:rPr>
            </w:pPr>
            <w:r>
              <w:rPr>
                <w:sz w:val="16"/>
              </w:rPr>
              <w:t>249,9</w:t>
            </w:r>
          </w:p>
        </w:tc>
        <w:tc>
          <w:tcPr>
            <w:tcW w:w="731" w:type="dxa"/>
          </w:tcPr>
          <w:p w:rsidR="00000000" w:rsidRDefault="00000000">
            <w:pPr>
              <w:jc w:val="right"/>
              <w:rPr>
                <w:sz w:val="16"/>
              </w:rPr>
            </w:pPr>
            <w:r>
              <w:rPr>
                <w:sz w:val="16"/>
              </w:rPr>
              <w:t>315,5</w:t>
            </w:r>
          </w:p>
        </w:tc>
        <w:tc>
          <w:tcPr>
            <w:tcW w:w="893" w:type="dxa"/>
          </w:tcPr>
          <w:p w:rsidR="00000000" w:rsidRDefault="00000000">
            <w:pPr>
              <w:jc w:val="right"/>
              <w:rPr>
                <w:sz w:val="16"/>
              </w:rPr>
            </w:pPr>
            <w:r>
              <w:rPr>
                <w:sz w:val="16"/>
              </w:rPr>
              <w:t>621,2</w:t>
            </w:r>
          </w:p>
        </w:tc>
        <w:tc>
          <w:tcPr>
            <w:tcW w:w="729" w:type="dxa"/>
          </w:tcPr>
          <w:p w:rsidR="00000000" w:rsidRDefault="00000000">
            <w:pPr>
              <w:jc w:val="right"/>
              <w:rPr>
                <w:sz w:val="16"/>
              </w:rPr>
            </w:pPr>
            <w:r>
              <w:rPr>
                <w:sz w:val="16"/>
              </w:rPr>
              <w:t>271,3</w:t>
            </w:r>
          </w:p>
        </w:tc>
        <w:tc>
          <w:tcPr>
            <w:tcW w:w="731" w:type="dxa"/>
          </w:tcPr>
          <w:p w:rsidR="00000000" w:rsidRDefault="00000000">
            <w:pPr>
              <w:jc w:val="right"/>
              <w:rPr>
                <w:sz w:val="16"/>
              </w:rPr>
            </w:pPr>
            <w:r>
              <w:rPr>
                <w:sz w:val="16"/>
              </w:rPr>
              <w:t>340,9</w:t>
            </w:r>
          </w:p>
        </w:tc>
        <w:tc>
          <w:tcPr>
            <w:tcW w:w="893" w:type="dxa"/>
          </w:tcPr>
          <w:p w:rsidR="00000000" w:rsidRDefault="00000000">
            <w:pPr>
              <w:jc w:val="right"/>
              <w:rPr>
                <w:sz w:val="16"/>
              </w:rPr>
            </w:pPr>
            <w:r>
              <w:rPr>
                <w:sz w:val="16"/>
              </w:rPr>
              <w:t>601,3</w:t>
            </w:r>
          </w:p>
        </w:tc>
        <w:tc>
          <w:tcPr>
            <w:tcW w:w="729" w:type="dxa"/>
          </w:tcPr>
          <w:p w:rsidR="00000000" w:rsidRDefault="00000000">
            <w:pPr>
              <w:jc w:val="right"/>
              <w:rPr>
                <w:sz w:val="16"/>
              </w:rPr>
            </w:pPr>
            <w:r>
              <w:rPr>
                <w:sz w:val="16"/>
              </w:rPr>
              <w:t>277,0</w:t>
            </w:r>
          </w:p>
        </w:tc>
        <w:tc>
          <w:tcPr>
            <w:tcW w:w="722" w:type="dxa"/>
          </w:tcPr>
          <w:p w:rsidR="00000000" w:rsidRDefault="00000000">
            <w:pPr>
              <w:jc w:val="right"/>
              <w:rPr>
                <w:sz w:val="16"/>
              </w:rPr>
            </w:pPr>
            <w:r>
              <w:rPr>
                <w:sz w:val="16"/>
              </w:rPr>
              <w:t>324,3</w:t>
            </w:r>
          </w:p>
        </w:tc>
        <w:tc>
          <w:tcPr>
            <w:tcW w:w="848" w:type="dxa"/>
          </w:tcPr>
          <w:p w:rsidR="00000000" w:rsidRDefault="00000000">
            <w:pPr>
              <w:jc w:val="right"/>
              <w:rPr>
                <w:sz w:val="16"/>
              </w:rPr>
            </w:pPr>
            <w:r>
              <w:rPr>
                <w:sz w:val="16"/>
              </w:rPr>
              <w:t>602,2</w:t>
            </w:r>
          </w:p>
        </w:tc>
      </w:tr>
      <w:tr w:rsidR="00000000">
        <w:tblPrEx>
          <w:tblCellMar>
            <w:top w:w="0" w:type="dxa"/>
            <w:bottom w:w="0" w:type="dxa"/>
          </w:tblCellMar>
        </w:tblPrEx>
        <w:tc>
          <w:tcPr>
            <w:tcW w:w="1673" w:type="dxa"/>
          </w:tcPr>
          <w:p w:rsidR="00000000" w:rsidRDefault="00000000">
            <w:pPr>
              <w:rPr>
                <w:sz w:val="16"/>
              </w:rPr>
            </w:pPr>
            <w:r>
              <w:rPr>
                <w:sz w:val="16"/>
              </w:rPr>
              <w:t>Общая численность частично занятого населения</w:t>
            </w:r>
          </w:p>
        </w:tc>
        <w:tc>
          <w:tcPr>
            <w:tcW w:w="893" w:type="dxa"/>
          </w:tcPr>
          <w:p w:rsidR="00000000" w:rsidRDefault="00000000">
            <w:pPr>
              <w:jc w:val="right"/>
              <w:rPr>
                <w:sz w:val="16"/>
              </w:rPr>
            </w:pPr>
            <w:r>
              <w:rPr>
                <w:sz w:val="16"/>
              </w:rPr>
              <w:t>774,3</w:t>
            </w:r>
          </w:p>
        </w:tc>
        <w:tc>
          <w:tcPr>
            <w:tcW w:w="729" w:type="dxa"/>
          </w:tcPr>
          <w:p w:rsidR="00000000" w:rsidRDefault="00000000">
            <w:pPr>
              <w:jc w:val="right"/>
              <w:rPr>
                <w:sz w:val="16"/>
              </w:rPr>
            </w:pPr>
            <w:r>
              <w:rPr>
                <w:sz w:val="16"/>
              </w:rPr>
              <w:t>357,1</w:t>
            </w:r>
          </w:p>
        </w:tc>
        <w:tc>
          <w:tcPr>
            <w:tcW w:w="731" w:type="dxa"/>
          </w:tcPr>
          <w:p w:rsidR="00000000" w:rsidRDefault="00000000">
            <w:pPr>
              <w:jc w:val="right"/>
              <w:rPr>
                <w:sz w:val="16"/>
              </w:rPr>
            </w:pPr>
            <w:r>
              <w:rPr>
                <w:sz w:val="16"/>
              </w:rPr>
              <w:t>417,2</w:t>
            </w:r>
          </w:p>
        </w:tc>
        <w:tc>
          <w:tcPr>
            <w:tcW w:w="893" w:type="dxa"/>
          </w:tcPr>
          <w:p w:rsidR="00000000" w:rsidRDefault="00000000">
            <w:pPr>
              <w:jc w:val="right"/>
              <w:rPr>
                <w:sz w:val="16"/>
              </w:rPr>
            </w:pPr>
            <w:r>
              <w:rPr>
                <w:sz w:val="16"/>
              </w:rPr>
              <w:t>839,0</w:t>
            </w:r>
          </w:p>
        </w:tc>
        <w:tc>
          <w:tcPr>
            <w:tcW w:w="729" w:type="dxa"/>
          </w:tcPr>
          <w:p w:rsidR="00000000" w:rsidRDefault="00000000">
            <w:pPr>
              <w:jc w:val="right"/>
              <w:rPr>
                <w:sz w:val="16"/>
              </w:rPr>
            </w:pPr>
            <w:r>
              <w:rPr>
                <w:sz w:val="16"/>
              </w:rPr>
              <w:t>391,6</w:t>
            </w:r>
          </w:p>
        </w:tc>
        <w:tc>
          <w:tcPr>
            <w:tcW w:w="731" w:type="dxa"/>
          </w:tcPr>
          <w:p w:rsidR="00000000" w:rsidRDefault="00000000">
            <w:pPr>
              <w:jc w:val="right"/>
              <w:rPr>
                <w:sz w:val="16"/>
              </w:rPr>
            </w:pPr>
            <w:r>
              <w:rPr>
                <w:sz w:val="16"/>
              </w:rPr>
              <w:t>447,4</w:t>
            </w:r>
          </w:p>
        </w:tc>
        <w:tc>
          <w:tcPr>
            <w:tcW w:w="893" w:type="dxa"/>
          </w:tcPr>
          <w:p w:rsidR="00000000" w:rsidRDefault="00000000">
            <w:pPr>
              <w:jc w:val="right"/>
              <w:rPr>
                <w:sz w:val="16"/>
              </w:rPr>
            </w:pPr>
            <w:r>
              <w:rPr>
                <w:sz w:val="16"/>
              </w:rPr>
              <w:t>807,9</w:t>
            </w:r>
          </w:p>
        </w:tc>
        <w:tc>
          <w:tcPr>
            <w:tcW w:w="729" w:type="dxa"/>
          </w:tcPr>
          <w:p w:rsidR="00000000" w:rsidRDefault="00000000">
            <w:pPr>
              <w:jc w:val="right"/>
              <w:rPr>
                <w:sz w:val="16"/>
              </w:rPr>
            </w:pPr>
            <w:r>
              <w:rPr>
                <w:sz w:val="16"/>
              </w:rPr>
              <w:t>385,6</w:t>
            </w:r>
          </w:p>
        </w:tc>
        <w:tc>
          <w:tcPr>
            <w:tcW w:w="722" w:type="dxa"/>
          </w:tcPr>
          <w:p w:rsidR="00000000" w:rsidRDefault="00000000">
            <w:pPr>
              <w:jc w:val="right"/>
              <w:rPr>
                <w:sz w:val="16"/>
              </w:rPr>
            </w:pPr>
            <w:r>
              <w:rPr>
                <w:sz w:val="16"/>
              </w:rPr>
              <w:t>422,3</w:t>
            </w:r>
          </w:p>
        </w:tc>
        <w:tc>
          <w:tcPr>
            <w:tcW w:w="848" w:type="dxa"/>
          </w:tcPr>
          <w:p w:rsidR="00000000" w:rsidRDefault="00000000">
            <w:pPr>
              <w:jc w:val="right"/>
              <w:rPr>
                <w:sz w:val="16"/>
              </w:rPr>
            </w:pPr>
            <w:r>
              <w:rPr>
                <w:sz w:val="16"/>
              </w:rPr>
              <w:t>814,5</w:t>
            </w:r>
          </w:p>
        </w:tc>
      </w:tr>
      <w:tr w:rsidR="00000000">
        <w:tblPrEx>
          <w:tblCellMar>
            <w:top w:w="0" w:type="dxa"/>
            <w:bottom w:w="0" w:type="dxa"/>
          </w:tblCellMar>
        </w:tblPrEx>
        <w:tc>
          <w:tcPr>
            <w:tcW w:w="1673" w:type="dxa"/>
          </w:tcPr>
          <w:p w:rsidR="00000000" w:rsidRDefault="00000000">
            <w:pPr>
              <w:rPr>
                <w:sz w:val="16"/>
              </w:rPr>
            </w:pPr>
            <w:r>
              <w:rPr>
                <w:sz w:val="16"/>
              </w:rPr>
              <w:t>Лица, работающие по совместительству***</w:t>
            </w:r>
          </w:p>
        </w:tc>
        <w:tc>
          <w:tcPr>
            <w:tcW w:w="893" w:type="dxa"/>
          </w:tcPr>
          <w:p w:rsidR="00000000" w:rsidRDefault="00000000">
            <w:pPr>
              <w:jc w:val="right"/>
              <w:rPr>
                <w:sz w:val="16"/>
              </w:rPr>
            </w:pPr>
            <w:r>
              <w:rPr>
                <w:sz w:val="16"/>
              </w:rPr>
              <w:t>1 097,0</w:t>
            </w:r>
          </w:p>
        </w:tc>
        <w:tc>
          <w:tcPr>
            <w:tcW w:w="729" w:type="dxa"/>
          </w:tcPr>
          <w:p w:rsidR="00000000" w:rsidRDefault="00000000">
            <w:pPr>
              <w:jc w:val="right"/>
              <w:rPr>
                <w:sz w:val="16"/>
              </w:rPr>
            </w:pPr>
            <w:r>
              <w:rPr>
                <w:sz w:val="16"/>
              </w:rPr>
              <w:t>727,0</w:t>
            </w:r>
          </w:p>
        </w:tc>
        <w:tc>
          <w:tcPr>
            <w:tcW w:w="731" w:type="dxa"/>
          </w:tcPr>
          <w:p w:rsidR="00000000" w:rsidRDefault="00000000">
            <w:pPr>
              <w:jc w:val="right"/>
              <w:rPr>
                <w:sz w:val="16"/>
              </w:rPr>
            </w:pPr>
            <w:r>
              <w:rPr>
                <w:sz w:val="16"/>
              </w:rPr>
              <w:t>371,0</w:t>
            </w:r>
          </w:p>
        </w:tc>
        <w:tc>
          <w:tcPr>
            <w:tcW w:w="893" w:type="dxa"/>
          </w:tcPr>
          <w:p w:rsidR="00000000" w:rsidRDefault="00000000">
            <w:pPr>
              <w:jc w:val="right"/>
              <w:rPr>
                <w:sz w:val="16"/>
              </w:rPr>
            </w:pPr>
            <w:r>
              <w:rPr>
                <w:sz w:val="16"/>
              </w:rPr>
              <w:t>1 180,0</w:t>
            </w:r>
          </w:p>
        </w:tc>
        <w:tc>
          <w:tcPr>
            <w:tcW w:w="729" w:type="dxa"/>
          </w:tcPr>
          <w:p w:rsidR="00000000" w:rsidRDefault="00000000">
            <w:pPr>
              <w:jc w:val="right"/>
              <w:rPr>
                <w:sz w:val="16"/>
              </w:rPr>
            </w:pPr>
            <w:r>
              <w:rPr>
                <w:sz w:val="16"/>
              </w:rPr>
              <w:t>793,0</w:t>
            </w:r>
          </w:p>
        </w:tc>
        <w:tc>
          <w:tcPr>
            <w:tcW w:w="731" w:type="dxa"/>
          </w:tcPr>
          <w:p w:rsidR="00000000" w:rsidRDefault="00000000">
            <w:pPr>
              <w:jc w:val="right"/>
              <w:rPr>
                <w:sz w:val="16"/>
              </w:rPr>
            </w:pPr>
            <w:r>
              <w:rPr>
                <w:sz w:val="16"/>
              </w:rPr>
              <w:t>386,0</w:t>
            </w:r>
          </w:p>
        </w:tc>
        <w:tc>
          <w:tcPr>
            <w:tcW w:w="893" w:type="dxa"/>
          </w:tcPr>
          <w:p w:rsidR="00000000" w:rsidRDefault="00000000">
            <w:pPr>
              <w:jc w:val="right"/>
              <w:rPr>
                <w:sz w:val="16"/>
              </w:rPr>
            </w:pPr>
            <w:r>
              <w:rPr>
                <w:sz w:val="16"/>
              </w:rPr>
              <w:t>1 264,0</w:t>
            </w:r>
          </w:p>
        </w:tc>
        <w:tc>
          <w:tcPr>
            <w:tcW w:w="729" w:type="dxa"/>
          </w:tcPr>
          <w:p w:rsidR="00000000" w:rsidRDefault="00000000">
            <w:pPr>
              <w:jc w:val="right"/>
              <w:rPr>
                <w:sz w:val="16"/>
              </w:rPr>
            </w:pPr>
            <w:r>
              <w:rPr>
                <w:sz w:val="16"/>
              </w:rPr>
              <w:t>849,0</w:t>
            </w:r>
          </w:p>
        </w:tc>
        <w:tc>
          <w:tcPr>
            <w:tcW w:w="722" w:type="dxa"/>
          </w:tcPr>
          <w:p w:rsidR="00000000" w:rsidRDefault="00000000">
            <w:pPr>
              <w:jc w:val="right"/>
              <w:rPr>
                <w:sz w:val="16"/>
              </w:rPr>
            </w:pPr>
            <w:r>
              <w:rPr>
                <w:sz w:val="16"/>
              </w:rPr>
              <w:t>415,0</w:t>
            </w:r>
          </w:p>
        </w:tc>
        <w:tc>
          <w:tcPr>
            <w:tcW w:w="848" w:type="dxa"/>
          </w:tcPr>
          <w:p w:rsidR="00000000" w:rsidRDefault="00000000">
            <w:pPr>
              <w:jc w:val="right"/>
              <w:rPr>
                <w:sz w:val="16"/>
              </w:rPr>
            </w:pPr>
            <w:r>
              <w:rPr>
                <w:sz w:val="16"/>
              </w:rPr>
              <w:t>1 288,0</w:t>
            </w:r>
          </w:p>
        </w:tc>
      </w:tr>
      <w:tr w:rsidR="00000000">
        <w:tblPrEx>
          <w:tblCellMar>
            <w:top w:w="0" w:type="dxa"/>
            <w:bottom w:w="0" w:type="dxa"/>
          </w:tblCellMar>
        </w:tblPrEx>
        <w:tc>
          <w:tcPr>
            <w:tcW w:w="1673" w:type="dxa"/>
          </w:tcPr>
          <w:p w:rsidR="00000000" w:rsidRDefault="00000000">
            <w:pPr>
              <w:rPr>
                <w:sz w:val="16"/>
              </w:rPr>
            </w:pPr>
            <w:r>
              <w:rPr>
                <w:sz w:val="16"/>
              </w:rPr>
              <w:t>Экономически активное население</w:t>
            </w:r>
          </w:p>
        </w:tc>
        <w:tc>
          <w:tcPr>
            <w:tcW w:w="893" w:type="dxa"/>
          </w:tcPr>
          <w:p w:rsidR="00000000" w:rsidRDefault="00000000">
            <w:pPr>
              <w:jc w:val="right"/>
              <w:rPr>
                <w:sz w:val="16"/>
              </w:rPr>
            </w:pPr>
            <w:r>
              <w:rPr>
                <w:sz w:val="16"/>
              </w:rPr>
              <w:t>17 596,7</w:t>
            </w:r>
          </w:p>
        </w:tc>
        <w:tc>
          <w:tcPr>
            <w:tcW w:w="729" w:type="dxa"/>
          </w:tcPr>
          <w:p w:rsidR="00000000" w:rsidRDefault="00000000">
            <w:pPr>
              <w:jc w:val="right"/>
              <w:rPr>
                <w:sz w:val="16"/>
              </w:rPr>
            </w:pPr>
            <w:r>
              <w:rPr>
                <w:sz w:val="16"/>
              </w:rPr>
              <w:t>-</w:t>
            </w:r>
          </w:p>
        </w:tc>
        <w:tc>
          <w:tcPr>
            <w:tcW w:w="731" w:type="dxa"/>
          </w:tcPr>
          <w:p w:rsidR="00000000" w:rsidRDefault="00000000">
            <w:pPr>
              <w:jc w:val="right"/>
              <w:rPr>
                <w:sz w:val="16"/>
              </w:rPr>
            </w:pPr>
            <w:r>
              <w:rPr>
                <w:sz w:val="16"/>
              </w:rPr>
              <w:t>-</w:t>
            </w:r>
          </w:p>
        </w:tc>
        <w:tc>
          <w:tcPr>
            <w:tcW w:w="893" w:type="dxa"/>
          </w:tcPr>
          <w:p w:rsidR="00000000" w:rsidRDefault="00000000">
            <w:pPr>
              <w:jc w:val="right"/>
              <w:rPr>
                <w:sz w:val="16"/>
              </w:rPr>
            </w:pPr>
            <w:r>
              <w:rPr>
                <w:sz w:val="16"/>
              </w:rPr>
              <w:t>17 846,9</w:t>
            </w:r>
          </w:p>
        </w:tc>
        <w:tc>
          <w:tcPr>
            <w:tcW w:w="729" w:type="dxa"/>
          </w:tcPr>
          <w:p w:rsidR="00000000" w:rsidRDefault="00000000">
            <w:pPr>
              <w:jc w:val="right"/>
              <w:rPr>
                <w:sz w:val="16"/>
              </w:rPr>
            </w:pPr>
            <w:r>
              <w:rPr>
                <w:sz w:val="16"/>
              </w:rPr>
              <w:t>-</w:t>
            </w:r>
          </w:p>
        </w:tc>
        <w:tc>
          <w:tcPr>
            <w:tcW w:w="731" w:type="dxa"/>
          </w:tcPr>
          <w:p w:rsidR="00000000" w:rsidRDefault="00000000">
            <w:pPr>
              <w:jc w:val="right"/>
              <w:rPr>
                <w:sz w:val="16"/>
              </w:rPr>
            </w:pPr>
            <w:r>
              <w:rPr>
                <w:sz w:val="16"/>
              </w:rPr>
              <w:t>-</w:t>
            </w:r>
          </w:p>
        </w:tc>
        <w:tc>
          <w:tcPr>
            <w:tcW w:w="893" w:type="dxa"/>
          </w:tcPr>
          <w:p w:rsidR="00000000" w:rsidRDefault="00000000">
            <w:pPr>
              <w:jc w:val="right"/>
              <w:rPr>
                <w:sz w:val="16"/>
              </w:rPr>
            </w:pPr>
            <w:r>
              <w:rPr>
                <w:sz w:val="16"/>
              </w:rPr>
              <w:t>17 794,5</w:t>
            </w:r>
          </w:p>
        </w:tc>
        <w:tc>
          <w:tcPr>
            <w:tcW w:w="729" w:type="dxa"/>
          </w:tcPr>
          <w:p w:rsidR="00000000" w:rsidRDefault="00000000">
            <w:pPr>
              <w:jc w:val="right"/>
              <w:rPr>
                <w:sz w:val="16"/>
              </w:rPr>
            </w:pPr>
            <w:r>
              <w:rPr>
                <w:sz w:val="16"/>
              </w:rPr>
              <w:t>-</w:t>
            </w:r>
          </w:p>
        </w:tc>
        <w:tc>
          <w:tcPr>
            <w:tcW w:w="722" w:type="dxa"/>
          </w:tcPr>
          <w:p w:rsidR="00000000" w:rsidRDefault="00000000">
            <w:pPr>
              <w:jc w:val="right"/>
              <w:rPr>
                <w:sz w:val="16"/>
              </w:rPr>
            </w:pPr>
            <w:r>
              <w:rPr>
                <w:sz w:val="16"/>
              </w:rPr>
              <w:t>-</w:t>
            </w:r>
          </w:p>
        </w:tc>
        <w:tc>
          <w:tcPr>
            <w:tcW w:w="848" w:type="dxa"/>
          </w:tcPr>
          <w:p w:rsidR="00000000" w:rsidRDefault="00000000">
            <w:pPr>
              <w:jc w:val="right"/>
              <w:rPr>
                <w:sz w:val="16"/>
              </w:rPr>
            </w:pPr>
            <w:r>
              <w:rPr>
                <w:sz w:val="16"/>
              </w:rPr>
              <w:t>17 562,8</w:t>
            </w:r>
          </w:p>
        </w:tc>
      </w:tr>
      <w:tr w:rsidR="00000000">
        <w:tblPrEx>
          <w:tblCellMar>
            <w:top w:w="0" w:type="dxa"/>
            <w:bottom w:w="0" w:type="dxa"/>
          </w:tblCellMar>
        </w:tblPrEx>
        <w:tc>
          <w:tcPr>
            <w:tcW w:w="1673" w:type="dxa"/>
          </w:tcPr>
          <w:p w:rsidR="00000000" w:rsidRDefault="00000000">
            <w:pPr>
              <w:rPr>
                <w:sz w:val="16"/>
              </w:rPr>
            </w:pPr>
            <w:r>
              <w:rPr>
                <w:sz w:val="16"/>
              </w:rPr>
              <w:t>Работающее население в % от экономически активного населения</w:t>
            </w:r>
          </w:p>
        </w:tc>
        <w:tc>
          <w:tcPr>
            <w:tcW w:w="893" w:type="dxa"/>
          </w:tcPr>
          <w:p w:rsidR="00000000" w:rsidRDefault="00000000">
            <w:pPr>
              <w:jc w:val="right"/>
              <w:rPr>
                <w:sz w:val="16"/>
              </w:rPr>
            </w:pPr>
            <w:r>
              <w:rPr>
                <w:sz w:val="16"/>
              </w:rPr>
              <w:t>85,1</w:t>
            </w:r>
          </w:p>
        </w:tc>
        <w:tc>
          <w:tcPr>
            <w:tcW w:w="729" w:type="dxa"/>
          </w:tcPr>
          <w:p w:rsidR="00000000" w:rsidRDefault="00000000">
            <w:pPr>
              <w:jc w:val="right"/>
              <w:rPr>
                <w:sz w:val="16"/>
              </w:rPr>
            </w:pPr>
            <w:r>
              <w:rPr>
                <w:sz w:val="16"/>
              </w:rPr>
              <w:t>-</w:t>
            </w:r>
          </w:p>
        </w:tc>
        <w:tc>
          <w:tcPr>
            <w:tcW w:w="731" w:type="dxa"/>
          </w:tcPr>
          <w:p w:rsidR="00000000" w:rsidRDefault="00000000">
            <w:pPr>
              <w:jc w:val="right"/>
              <w:rPr>
                <w:sz w:val="16"/>
              </w:rPr>
            </w:pPr>
            <w:r>
              <w:rPr>
                <w:sz w:val="16"/>
              </w:rPr>
              <w:t>-</w:t>
            </w:r>
          </w:p>
        </w:tc>
        <w:tc>
          <w:tcPr>
            <w:tcW w:w="893" w:type="dxa"/>
          </w:tcPr>
          <w:p w:rsidR="00000000" w:rsidRDefault="00000000">
            <w:pPr>
              <w:jc w:val="right"/>
              <w:rPr>
                <w:sz w:val="16"/>
              </w:rPr>
            </w:pPr>
            <w:r>
              <w:rPr>
                <w:sz w:val="16"/>
              </w:rPr>
              <w:t>86,8</w:t>
            </w:r>
          </w:p>
        </w:tc>
        <w:tc>
          <w:tcPr>
            <w:tcW w:w="729" w:type="dxa"/>
          </w:tcPr>
          <w:p w:rsidR="00000000" w:rsidRDefault="00000000">
            <w:pPr>
              <w:jc w:val="right"/>
              <w:rPr>
                <w:sz w:val="16"/>
              </w:rPr>
            </w:pPr>
            <w:r>
              <w:rPr>
                <w:sz w:val="16"/>
              </w:rPr>
              <w:t>-</w:t>
            </w:r>
          </w:p>
        </w:tc>
        <w:tc>
          <w:tcPr>
            <w:tcW w:w="731" w:type="dxa"/>
          </w:tcPr>
          <w:p w:rsidR="00000000" w:rsidRDefault="00000000">
            <w:pPr>
              <w:jc w:val="right"/>
              <w:rPr>
                <w:sz w:val="16"/>
              </w:rPr>
            </w:pPr>
            <w:r>
              <w:rPr>
                <w:sz w:val="16"/>
              </w:rPr>
              <w:t>-</w:t>
            </w:r>
          </w:p>
        </w:tc>
        <w:tc>
          <w:tcPr>
            <w:tcW w:w="893" w:type="dxa"/>
          </w:tcPr>
          <w:p w:rsidR="00000000" w:rsidRDefault="00000000">
            <w:pPr>
              <w:jc w:val="right"/>
              <w:rPr>
                <w:sz w:val="16"/>
              </w:rPr>
            </w:pPr>
            <w:r>
              <w:rPr>
                <w:sz w:val="16"/>
              </w:rPr>
              <w:t>89,6</w:t>
            </w:r>
          </w:p>
        </w:tc>
        <w:tc>
          <w:tcPr>
            <w:tcW w:w="729" w:type="dxa"/>
          </w:tcPr>
          <w:p w:rsidR="00000000" w:rsidRDefault="00000000">
            <w:pPr>
              <w:jc w:val="right"/>
              <w:rPr>
                <w:sz w:val="16"/>
              </w:rPr>
            </w:pPr>
            <w:r>
              <w:rPr>
                <w:sz w:val="16"/>
              </w:rPr>
              <w:t>-</w:t>
            </w:r>
          </w:p>
        </w:tc>
        <w:tc>
          <w:tcPr>
            <w:tcW w:w="722" w:type="dxa"/>
          </w:tcPr>
          <w:p w:rsidR="00000000" w:rsidRDefault="00000000">
            <w:pPr>
              <w:jc w:val="right"/>
              <w:rPr>
                <w:sz w:val="16"/>
              </w:rPr>
            </w:pPr>
            <w:r>
              <w:rPr>
                <w:sz w:val="16"/>
              </w:rPr>
              <w:t>-</w:t>
            </w:r>
          </w:p>
        </w:tc>
        <w:tc>
          <w:tcPr>
            <w:tcW w:w="848" w:type="dxa"/>
          </w:tcPr>
          <w:p w:rsidR="00000000" w:rsidRDefault="00000000">
            <w:pPr>
              <w:jc w:val="right"/>
              <w:rPr>
                <w:sz w:val="16"/>
              </w:rPr>
            </w:pPr>
            <w:r>
              <w:rPr>
                <w:sz w:val="16"/>
              </w:rPr>
              <w:t>90,5</w:t>
            </w:r>
          </w:p>
        </w:tc>
      </w:tr>
    </w:tbl>
    <w:p w:rsidR="00000000" w:rsidRDefault="00000000"/>
    <w:p w:rsidR="00000000" w:rsidRDefault="00000000">
      <w:pPr>
        <w:spacing w:line="240" w:lineRule="auto"/>
      </w:pPr>
      <w:r>
        <w:tab/>
      </w:r>
      <w:r>
        <w:rPr>
          <w:u w:val="single"/>
        </w:rPr>
        <w:t>Источник</w:t>
      </w:r>
      <w:r>
        <w:t>:  Главное статистическое управление и данные департамента по вопросам политики на рынке труда министерства труда и социальной политики.</w:t>
      </w:r>
    </w:p>
    <w:p w:rsidR="00000000" w:rsidRDefault="00000000">
      <w:pPr>
        <w:spacing w:line="240" w:lineRule="auto"/>
      </w:pPr>
    </w:p>
    <w:p w:rsidR="00000000" w:rsidRDefault="00000000">
      <w:pPr>
        <w:tabs>
          <w:tab w:val="clear" w:pos="567"/>
          <w:tab w:val="left" w:pos="561"/>
        </w:tabs>
        <w:spacing w:line="240" w:lineRule="auto"/>
      </w:pPr>
      <w:r>
        <w:rPr>
          <w:b/>
          <w:bCs/>
        </w:rPr>
        <w:t xml:space="preserve">    *</w:t>
      </w:r>
      <w:r>
        <w:tab/>
        <w:t>Исключая бюджетные единицы министерства национальной обороны и министерства внутренних дел и администрации.</w:t>
      </w:r>
    </w:p>
    <w:p w:rsidR="00000000" w:rsidRDefault="00000000">
      <w:pPr>
        <w:tabs>
          <w:tab w:val="clear" w:pos="567"/>
          <w:tab w:val="right" w:pos="561"/>
        </w:tabs>
        <w:spacing w:line="240" w:lineRule="auto"/>
      </w:pPr>
    </w:p>
    <w:p w:rsidR="00000000" w:rsidRDefault="00000000">
      <w:pPr>
        <w:tabs>
          <w:tab w:val="clear" w:pos="567"/>
          <w:tab w:val="left" w:pos="561"/>
        </w:tabs>
        <w:spacing w:line="240" w:lineRule="auto"/>
      </w:pPr>
      <w:r>
        <w:rPr>
          <w:b/>
          <w:bCs/>
        </w:rPr>
        <w:t xml:space="preserve">  **</w:t>
      </w:r>
      <w:r>
        <w:rPr>
          <w:b/>
          <w:bCs/>
        </w:rPr>
        <w:tab/>
      </w:r>
      <w:r>
        <w:t>По состоянию на 30 сентября.</w:t>
      </w:r>
    </w:p>
    <w:p w:rsidR="00000000" w:rsidRDefault="00000000">
      <w:pPr>
        <w:pStyle w:val="FootnoteText"/>
        <w:tabs>
          <w:tab w:val="clear" w:pos="567"/>
          <w:tab w:val="center" w:pos="561"/>
        </w:tabs>
      </w:pPr>
    </w:p>
    <w:p w:rsidR="00000000" w:rsidRDefault="00000000">
      <w:pPr>
        <w:pStyle w:val="FootnoteText"/>
        <w:tabs>
          <w:tab w:val="clear" w:pos="567"/>
          <w:tab w:val="left" w:pos="561"/>
        </w:tabs>
      </w:pPr>
      <w:r>
        <w:rPr>
          <w:b/>
          <w:bCs/>
        </w:rPr>
        <w:t>***</w:t>
      </w:r>
      <w:r>
        <w:tab/>
        <w:t>Обследование экономической активности населения (ОЭАН).</w:t>
      </w:r>
    </w:p>
    <w:p w:rsidR="00000000" w:rsidRDefault="00000000">
      <w:pPr>
        <w:pStyle w:val="FootnoteText"/>
        <w:tabs>
          <w:tab w:val="clear" w:pos="567"/>
          <w:tab w:val="right" w:pos="561"/>
        </w:tabs>
        <w:spacing w:line="288" w:lineRule="auto"/>
      </w:pPr>
    </w:p>
    <w:p w:rsidR="00000000" w:rsidRDefault="00000000">
      <w:pPr>
        <w:pStyle w:val="FootnoteText"/>
        <w:tabs>
          <w:tab w:val="clear" w:pos="2268"/>
        </w:tabs>
        <w:spacing w:line="288" w:lineRule="auto"/>
      </w:pPr>
      <w:r>
        <w:t>4.</w:t>
      </w:r>
      <w:r>
        <w:tab/>
        <w:t xml:space="preserve">В конце 1994 года впервые за период преобразований уровень безработицы сократился.  В последующие годы действие этой тенденции продолжилось и получило наибольшее выражение в 1997 году.  В первые восемь месяцев 1998 года эта тенденция сохранялась, а затем спад несколько замедлился.  В начале второй половины 1998 года безработица упала ниже 10%, достигнув в августе 9,5% - самого благоприятного показателя за весьма длительный период времени.  В последние четыре месяца 1998 года замедление темпов роста польской экономики привело к росту уровня безработицы.  </w:t>
      </w:r>
    </w:p>
    <w:p w:rsidR="00000000" w:rsidRDefault="00000000"/>
    <w:p w:rsidR="00000000" w:rsidRDefault="00000000">
      <w:pPr>
        <w:pStyle w:val="10"/>
        <w:rPr>
          <w:b w:val="0"/>
          <w:u w:val="single"/>
        </w:rPr>
      </w:pPr>
      <w:r>
        <w:rPr>
          <w:b w:val="0"/>
          <w:u w:val="single"/>
        </w:rPr>
        <w:t>Таблица 2</w:t>
      </w:r>
      <w:r>
        <w:rPr>
          <w:b w:val="0"/>
        </w:rPr>
        <w:t xml:space="preserve">.  </w:t>
      </w:r>
      <w:r>
        <w:rPr>
          <w:b w:val="0"/>
          <w:u w:val="single"/>
        </w:rPr>
        <w:t>Количество безработных в 1995-1998 годах</w:t>
      </w:r>
    </w:p>
    <w:p w:rsidR="00000000" w:rsidRDefault="00000000">
      <w:pPr>
        <w:jc w:val="center"/>
        <w:rPr>
          <w:b/>
          <w:bCs/>
        </w:rPr>
      </w:pPr>
      <w:r>
        <w:t>(</w:t>
      </w:r>
      <w:r>
        <w:rPr>
          <w:u w:val="single"/>
        </w:rPr>
        <w:t>по состоянию на 31 декабря</w:t>
      </w:r>
      <w:r>
        <w:t>)</w:t>
      </w:r>
    </w:p>
    <w:p w:rsidR="00000000" w:rsidRDefault="00000000">
      <w:pPr>
        <w:pStyle w:val="10"/>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
        <w:gridCol w:w="2805"/>
        <w:gridCol w:w="2431"/>
        <w:gridCol w:w="2057"/>
      </w:tblGrid>
      <w:tr w:rsidR="00000000">
        <w:tblPrEx>
          <w:tblCellMar>
            <w:top w:w="0" w:type="dxa"/>
            <w:bottom w:w="0" w:type="dxa"/>
          </w:tblCellMar>
        </w:tblPrEx>
        <w:trPr>
          <w:jc w:val="center"/>
        </w:trPr>
        <w:tc>
          <w:tcPr>
            <w:tcW w:w="856" w:type="dxa"/>
          </w:tcPr>
          <w:p w:rsidR="00000000" w:rsidRDefault="00000000">
            <w:pPr>
              <w:pStyle w:val="16"/>
              <w:spacing w:line="240" w:lineRule="auto"/>
            </w:pPr>
            <w:r>
              <w:t>Год</w:t>
            </w:r>
          </w:p>
        </w:tc>
        <w:tc>
          <w:tcPr>
            <w:tcW w:w="2805" w:type="dxa"/>
          </w:tcPr>
          <w:p w:rsidR="00000000" w:rsidRDefault="00000000">
            <w:pPr>
              <w:spacing w:line="240" w:lineRule="auto"/>
              <w:jc w:val="center"/>
            </w:pPr>
            <w:r>
              <w:t>Количество безработных</w:t>
            </w:r>
          </w:p>
          <w:p w:rsidR="00000000" w:rsidRDefault="00000000">
            <w:pPr>
              <w:spacing w:line="240" w:lineRule="auto"/>
              <w:jc w:val="center"/>
            </w:pPr>
            <w:r>
              <w:t>(тыс. человек)</w:t>
            </w:r>
          </w:p>
        </w:tc>
        <w:tc>
          <w:tcPr>
            <w:tcW w:w="2431" w:type="dxa"/>
          </w:tcPr>
          <w:p w:rsidR="00000000" w:rsidRDefault="00000000">
            <w:pPr>
              <w:pStyle w:val="16"/>
              <w:spacing w:line="240" w:lineRule="auto"/>
            </w:pPr>
            <w:r>
              <w:t>Рост безработицы</w:t>
            </w:r>
          </w:p>
          <w:p w:rsidR="00000000" w:rsidRDefault="00000000">
            <w:pPr>
              <w:spacing w:line="240" w:lineRule="auto"/>
              <w:jc w:val="center"/>
            </w:pPr>
            <w:r>
              <w:t>(тыс. человек)</w:t>
            </w:r>
          </w:p>
        </w:tc>
        <w:tc>
          <w:tcPr>
            <w:tcW w:w="2057" w:type="dxa"/>
          </w:tcPr>
          <w:p w:rsidR="00000000" w:rsidRDefault="00000000">
            <w:pPr>
              <w:spacing w:line="240" w:lineRule="auto"/>
              <w:jc w:val="center"/>
            </w:pPr>
            <w:r>
              <w:t>Уровень безработицы (%)</w:t>
            </w:r>
          </w:p>
        </w:tc>
      </w:tr>
      <w:tr w:rsidR="00000000">
        <w:tblPrEx>
          <w:tblCellMar>
            <w:top w:w="0" w:type="dxa"/>
            <w:bottom w:w="0" w:type="dxa"/>
          </w:tblCellMar>
        </w:tblPrEx>
        <w:trPr>
          <w:jc w:val="center"/>
        </w:trPr>
        <w:tc>
          <w:tcPr>
            <w:tcW w:w="856" w:type="dxa"/>
          </w:tcPr>
          <w:p w:rsidR="00000000" w:rsidRDefault="00000000">
            <w:pPr>
              <w:jc w:val="center"/>
            </w:pPr>
            <w:r>
              <w:t>1995</w:t>
            </w:r>
          </w:p>
        </w:tc>
        <w:tc>
          <w:tcPr>
            <w:tcW w:w="2805" w:type="dxa"/>
          </w:tcPr>
          <w:p w:rsidR="00000000" w:rsidRDefault="00000000">
            <w:pPr>
              <w:jc w:val="center"/>
            </w:pPr>
            <w:r>
              <w:t>2 628,8</w:t>
            </w:r>
          </w:p>
        </w:tc>
        <w:tc>
          <w:tcPr>
            <w:tcW w:w="2431" w:type="dxa"/>
          </w:tcPr>
          <w:p w:rsidR="00000000" w:rsidRDefault="00000000">
            <w:pPr>
              <w:jc w:val="center"/>
            </w:pPr>
            <w:r>
              <w:t>-209,2</w:t>
            </w:r>
          </w:p>
        </w:tc>
        <w:tc>
          <w:tcPr>
            <w:tcW w:w="2057" w:type="dxa"/>
          </w:tcPr>
          <w:p w:rsidR="00000000" w:rsidRDefault="00000000">
            <w:pPr>
              <w:jc w:val="center"/>
            </w:pPr>
            <w:r>
              <w:t>14,9</w:t>
            </w:r>
          </w:p>
        </w:tc>
      </w:tr>
      <w:tr w:rsidR="00000000">
        <w:tblPrEx>
          <w:tblCellMar>
            <w:top w:w="0" w:type="dxa"/>
            <w:bottom w:w="0" w:type="dxa"/>
          </w:tblCellMar>
        </w:tblPrEx>
        <w:trPr>
          <w:jc w:val="center"/>
        </w:trPr>
        <w:tc>
          <w:tcPr>
            <w:tcW w:w="856" w:type="dxa"/>
          </w:tcPr>
          <w:p w:rsidR="00000000" w:rsidRDefault="00000000">
            <w:pPr>
              <w:jc w:val="center"/>
            </w:pPr>
            <w:r>
              <w:t>1996</w:t>
            </w:r>
          </w:p>
        </w:tc>
        <w:tc>
          <w:tcPr>
            <w:tcW w:w="2805" w:type="dxa"/>
          </w:tcPr>
          <w:p w:rsidR="00000000" w:rsidRDefault="00000000">
            <w:pPr>
              <w:jc w:val="center"/>
            </w:pPr>
            <w:r>
              <w:t>2 359,5</w:t>
            </w:r>
          </w:p>
        </w:tc>
        <w:tc>
          <w:tcPr>
            <w:tcW w:w="2431" w:type="dxa"/>
          </w:tcPr>
          <w:p w:rsidR="00000000" w:rsidRDefault="00000000">
            <w:pPr>
              <w:jc w:val="center"/>
            </w:pPr>
            <w:r>
              <w:t>-269,3</w:t>
            </w:r>
          </w:p>
        </w:tc>
        <w:tc>
          <w:tcPr>
            <w:tcW w:w="2057" w:type="dxa"/>
          </w:tcPr>
          <w:p w:rsidR="00000000" w:rsidRDefault="00000000">
            <w:pPr>
              <w:jc w:val="center"/>
            </w:pPr>
            <w:r>
              <w:t>13,2</w:t>
            </w:r>
          </w:p>
        </w:tc>
      </w:tr>
      <w:tr w:rsidR="00000000">
        <w:tblPrEx>
          <w:tblCellMar>
            <w:top w:w="0" w:type="dxa"/>
            <w:bottom w:w="0" w:type="dxa"/>
          </w:tblCellMar>
        </w:tblPrEx>
        <w:trPr>
          <w:jc w:val="center"/>
        </w:trPr>
        <w:tc>
          <w:tcPr>
            <w:tcW w:w="856" w:type="dxa"/>
          </w:tcPr>
          <w:p w:rsidR="00000000" w:rsidRDefault="00000000">
            <w:pPr>
              <w:jc w:val="center"/>
            </w:pPr>
            <w:r>
              <w:t>1997</w:t>
            </w:r>
          </w:p>
        </w:tc>
        <w:tc>
          <w:tcPr>
            <w:tcW w:w="2805" w:type="dxa"/>
          </w:tcPr>
          <w:p w:rsidR="00000000" w:rsidRDefault="00000000">
            <w:pPr>
              <w:jc w:val="center"/>
            </w:pPr>
            <w:r>
              <w:t>1 826,4</w:t>
            </w:r>
          </w:p>
        </w:tc>
        <w:tc>
          <w:tcPr>
            <w:tcW w:w="2431" w:type="dxa"/>
          </w:tcPr>
          <w:p w:rsidR="00000000" w:rsidRDefault="00000000">
            <w:pPr>
              <w:jc w:val="center"/>
            </w:pPr>
            <w:r>
              <w:t>-533,1</w:t>
            </w:r>
          </w:p>
        </w:tc>
        <w:tc>
          <w:tcPr>
            <w:tcW w:w="2057" w:type="dxa"/>
          </w:tcPr>
          <w:p w:rsidR="00000000" w:rsidRDefault="00000000">
            <w:pPr>
              <w:jc w:val="center"/>
            </w:pPr>
            <w:r>
              <w:t>10,3</w:t>
            </w:r>
          </w:p>
        </w:tc>
      </w:tr>
      <w:tr w:rsidR="00000000">
        <w:tblPrEx>
          <w:tblCellMar>
            <w:top w:w="0" w:type="dxa"/>
            <w:bottom w:w="0" w:type="dxa"/>
          </w:tblCellMar>
        </w:tblPrEx>
        <w:trPr>
          <w:jc w:val="center"/>
        </w:trPr>
        <w:tc>
          <w:tcPr>
            <w:tcW w:w="856" w:type="dxa"/>
          </w:tcPr>
          <w:p w:rsidR="00000000" w:rsidRDefault="00000000">
            <w:pPr>
              <w:jc w:val="center"/>
            </w:pPr>
            <w:r>
              <w:t>1998</w:t>
            </w:r>
          </w:p>
        </w:tc>
        <w:tc>
          <w:tcPr>
            <w:tcW w:w="2805" w:type="dxa"/>
          </w:tcPr>
          <w:p w:rsidR="00000000" w:rsidRDefault="00000000">
            <w:pPr>
              <w:jc w:val="center"/>
            </w:pPr>
            <w:r>
              <w:t>1 831,4</w:t>
            </w:r>
          </w:p>
        </w:tc>
        <w:tc>
          <w:tcPr>
            <w:tcW w:w="2431" w:type="dxa"/>
          </w:tcPr>
          <w:p w:rsidR="00000000" w:rsidRDefault="00000000">
            <w:pPr>
              <w:jc w:val="center"/>
            </w:pPr>
            <w:r>
              <w:t xml:space="preserve">  </w:t>
            </w:r>
            <w:r>
              <w:rPr>
                <w:lang w:val="en-US"/>
              </w:rPr>
              <w:t>+</w:t>
            </w:r>
            <w:r>
              <w:t>5,0</w:t>
            </w:r>
          </w:p>
        </w:tc>
        <w:tc>
          <w:tcPr>
            <w:tcW w:w="2057" w:type="dxa"/>
          </w:tcPr>
          <w:p w:rsidR="00000000" w:rsidRDefault="00000000">
            <w:pPr>
              <w:jc w:val="center"/>
            </w:pPr>
            <w:r>
              <w:t>10,4</w:t>
            </w:r>
          </w:p>
        </w:tc>
      </w:tr>
    </w:tbl>
    <w:p w:rsidR="00000000" w:rsidRDefault="00000000">
      <w:pPr>
        <w:jc w:val="center"/>
      </w:pPr>
    </w:p>
    <w:p w:rsidR="00000000" w:rsidRDefault="00000000">
      <w:pPr>
        <w:pStyle w:val="FootnoteText"/>
        <w:spacing w:line="288" w:lineRule="auto"/>
      </w:pPr>
      <w:r>
        <w:tab/>
      </w:r>
      <w:r>
        <w:tab/>
      </w:r>
      <w:r>
        <w:rPr>
          <w:u w:val="single"/>
        </w:rPr>
        <w:t>Источник</w:t>
      </w:r>
      <w:r>
        <w:t>:  данные Главного статистического управления</w:t>
      </w:r>
    </w:p>
    <w:p w:rsidR="00000000" w:rsidRDefault="00000000">
      <w:pPr>
        <w:pStyle w:val="FootnoteText"/>
        <w:spacing w:line="288" w:lineRule="auto"/>
      </w:pPr>
    </w:p>
    <w:p w:rsidR="00000000" w:rsidRDefault="00000000">
      <w:r>
        <w:t>5.</w:t>
      </w:r>
      <w:r>
        <w:tab/>
        <w:t>Характерной чертой безработицы в Польше является ее неравномерное территориальное распределение.  Среди разных воеводств существуют различные показатели роста безработицы:  с 2,5 раз в 1995 году, 6 раз в 1996 году, 7,5 раз в 1997 году до почти 8 раз в 1998 году.  Наивысший уровень безработицы в 1998 году сохранялся в северной и северо-восточной частях Польши, т.е. в тех районах страны, в которых господствовали государственные сельскохозяйственные фермы (ГСФ) (Слупское воеводство - 20,5%, Сувальское воеводство - 20,4%, Эльблонгское воеводство - 19,3%, Кошалинское воеводство - 19,2%).  Наименьшие показатели безработицы были зарегистрированы в воеводствах с городскими агломерациями:  Варшавском - 2,6%, Познаньском - 3,2%, Краковском - 4,1% и Гданьском - 6,3% (до 31 декабря 1998 года в стране насчитывалось 49 воеводств, а с 1 января 1999 года их стало 16).</w:t>
      </w:r>
    </w:p>
    <w:p w:rsidR="00000000" w:rsidRDefault="00000000"/>
    <w:p w:rsidR="00000000" w:rsidRDefault="00000000">
      <w:r>
        <w:t>6.</w:t>
      </w:r>
      <w:r>
        <w:tab/>
        <w:t>Среди проблем, возникших на рынке труда в 1995-1998 годах, следует отметить следующие:</w:t>
      </w:r>
    </w:p>
    <w:p w:rsidR="00000000" w:rsidRDefault="00000000"/>
    <w:p w:rsidR="00000000" w:rsidRDefault="00000000">
      <w:r>
        <w:tab/>
        <w:t>a)</w:t>
      </w:r>
      <w:r>
        <w:tab/>
        <w:t>безработица среди молодежи.  Несмотря на сокращение количества безработных в возрасте 18-34 лет и их доли в общей численности трудоспособного населения на рынке труда, безработная молодежь по</w:t>
      </w:r>
      <w:r>
        <w:noBreakHyphen/>
        <w:t>прежнему является доминирующей группой, на которую приходится свыше 50% всей армии безработных.</w:t>
      </w:r>
    </w:p>
    <w:p w:rsidR="00000000" w:rsidRDefault="00000000">
      <w:pPr>
        <w:spacing w:line="240" w:lineRule="auto"/>
      </w:pPr>
    </w:p>
    <w:p w:rsidR="00000000" w:rsidRDefault="00000000">
      <w:pPr>
        <w:pStyle w:val="10"/>
        <w:spacing w:line="240" w:lineRule="auto"/>
        <w:rPr>
          <w:b w:val="0"/>
          <w:u w:val="single"/>
        </w:rPr>
      </w:pPr>
      <w:r>
        <w:rPr>
          <w:b w:val="0"/>
          <w:u w:val="single"/>
        </w:rPr>
        <w:br w:type="page"/>
        <w:t>Таблица 3.</w:t>
      </w:r>
      <w:r>
        <w:rPr>
          <w:b w:val="0"/>
        </w:rPr>
        <w:t xml:space="preserve">  </w:t>
      </w:r>
      <w:r>
        <w:rPr>
          <w:b w:val="0"/>
          <w:u w:val="single"/>
        </w:rPr>
        <w:t>Безработные в возрасте 18-34 лет в 1995-1998 годах</w:t>
      </w:r>
    </w:p>
    <w:p w:rsidR="00000000" w:rsidRDefault="00000000">
      <w:pPr>
        <w:spacing w:line="240" w:lineRule="auto"/>
        <w:jc w:val="center"/>
        <w:rPr>
          <w:b/>
          <w:bCs/>
        </w:rPr>
      </w:pPr>
      <w:r>
        <w:t>(</w:t>
      </w:r>
      <w:r>
        <w:rPr>
          <w:u w:val="single"/>
        </w:rPr>
        <w:t>по состоянию на 31 декабря</w:t>
      </w:r>
      <w:r>
        <w:rPr>
          <w:b/>
          <w:bCs/>
        </w:rPr>
        <w:t>)</w:t>
      </w:r>
    </w:p>
    <w:p w:rsidR="00000000" w:rsidRDefault="00000000">
      <w:pPr>
        <w:spacing w:line="240"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7"/>
        <w:gridCol w:w="4962"/>
        <w:gridCol w:w="3191"/>
      </w:tblGrid>
      <w:tr w:rsidR="00000000">
        <w:tblPrEx>
          <w:tblCellMar>
            <w:top w:w="0" w:type="dxa"/>
            <w:bottom w:w="0" w:type="dxa"/>
          </w:tblCellMar>
        </w:tblPrEx>
        <w:tc>
          <w:tcPr>
            <w:tcW w:w="1417" w:type="dxa"/>
          </w:tcPr>
          <w:p w:rsidR="00000000" w:rsidRDefault="00000000">
            <w:pPr>
              <w:pStyle w:val="16"/>
              <w:spacing w:line="240" w:lineRule="auto"/>
            </w:pPr>
            <w:r>
              <w:t>Год</w:t>
            </w:r>
          </w:p>
        </w:tc>
        <w:tc>
          <w:tcPr>
            <w:tcW w:w="4963" w:type="dxa"/>
          </w:tcPr>
          <w:p w:rsidR="00000000" w:rsidRDefault="00000000">
            <w:pPr>
              <w:spacing w:line="216" w:lineRule="auto"/>
              <w:jc w:val="center"/>
            </w:pPr>
            <w:r>
              <w:t>Количество безработных в возрасте 18-34 лет</w:t>
            </w:r>
          </w:p>
          <w:p w:rsidR="00000000" w:rsidRDefault="00000000">
            <w:pPr>
              <w:spacing w:line="216" w:lineRule="auto"/>
              <w:jc w:val="center"/>
            </w:pPr>
            <w:r>
              <w:t>(тыс. человек)</w:t>
            </w:r>
          </w:p>
        </w:tc>
        <w:tc>
          <w:tcPr>
            <w:tcW w:w="3191" w:type="dxa"/>
          </w:tcPr>
          <w:p w:rsidR="00000000" w:rsidRDefault="00000000">
            <w:pPr>
              <w:spacing w:line="216" w:lineRule="auto"/>
              <w:jc w:val="center"/>
            </w:pPr>
            <w:r>
              <w:t>Процентная доля от общей численности безработных</w:t>
            </w:r>
          </w:p>
        </w:tc>
      </w:tr>
      <w:tr w:rsidR="00000000">
        <w:tblPrEx>
          <w:tblCellMar>
            <w:top w:w="0" w:type="dxa"/>
            <w:bottom w:w="0" w:type="dxa"/>
          </w:tblCellMar>
        </w:tblPrEx>
        <w:tc>
          <w:tcPr>
            <w:tcW w:w="1417" w:type="dxa"/>
          </w:tcPr>
          <w:p w:rsidR="00000000" w:rsidRDefault="00000000">
            <w:pPr>
              <w:spacing w:line="240" w:lineRule="auto"/>
              <w:jc w:val="center"/>
            </w:pPr>
            <w:r>
              <w:t>1995</w:t>
            </w:r>
          </w:p>
        </w:tc>
        <w:tc>
          <w:tcPr>
            <w:tcW w:w="4963" w:type="dxa"/>
          </w:tcPr>
          <w:p w:rsidR="00000000" w:rsidRDefault="00000000">
            <w:pPr>
              <w:spacing w:line="240" w:lineRule="auto"/>
              <w:jc w:val="center"/>
            </w:pPr>
            <w:r>
              <w:t>1 614,3</w:t>
            </w:r>
          </w:p>
        </w:tc>
        <w:tc>
          <w:tcPr>
            <w:tcW w:w="3191" w:type="dxa"/>
          </w:tcPr>
          <w:p w:rsidR="00000000" w:rsidRDefault="00000000">
            <w:pPr>
              <w:spacing w:line="240" w:lineRule="auto"/>
              <w:jc w:val="center"/>
            </w:pPr>
            <w:r>
              <w:t>61,5</w:t>
            </w:r>
          </w:p>
        </w:tc>
      </w:tr>
      <w:tr w:rsidR="00000000">
        <w:tblPrEx>
          <w:tblCellMar>
            <w:top w:w="0" w:type="dxa"/>
            <w:bottom w:w="0" w:type="dxa"/>
          </w:tblCellMar>
        </w:tblPrEx>
        <w:tc>
          <w:tcPr>
            <w:tcW w:w="1417" w:type="dxa"/>
          </w:tcPr>
          <w:p w:rsidR="00000000" w:rsidRDefault="00000000">
            <w:pPr>
              <w:spacing w:line="240" w:lineRule="auto"/>
              <w:jc w:val="center"/>
            </w:pPr>
            <w:r>
              <w:t>1996</w:t>
            </w:r>
          </w:p>
        </w:tc>
        <w:tc>
          <w:tcPr>
            <w:tcW w:w="4963" w:type="dxa"/>
          </w:tcPr>
          <w:p w:rsidR="00000000" w:rsidRDefault="00000000">
            <w:pPr>
              <w:spacing w:line="240" w:lineRule="auto"/>
              <w:jc w:val="center"/>
            </w:pPr>
            <w:r>
              <w:t>1 378,6</w:t>
            </w:r>
          </w:p>
        </w:tc>
        <w:tc>
          <w:tcPr>
            <w:tcW w:w="3191" w:type="dxa"/>
          </w:tcPr>
          <w:p w:rsidR="00000000" w:rsidRDefault="00000000">
            <w:pPr>
              <w:spacing w:line="240" w:lineRule="auto"/>
              <w:jc w:val="center"/>
            </w:pPr>
            <w:r>
              <w:t>58,4</w:t>
            </w:r>
          </w:p>
        </w:tc>
      </w:tr>
      <w:tr w:rsidR="00000000">
        <w:tblPrEx>
          <w:tblCellMar>
            <w:top w:w="0" w:type="dxa"/>
            <w:bottom w:w="0" w:type="dxa"/>
          </w:tblCellMar>
        </w:tblPrEx>
        <w:tc>
          <w:tcPr>
            <w:tcW w:w="1417" w:type="dxa"/>
          </w:tcPr>
          <w:p w:rsidR="00000000" w:rsidRDefault="00000000">
            <w:pPr>
              <w:spacing w:line="240" w:lineRule="auto"/>
              <w:jc w:val="center"/>
            </w:pPr>
            <w:r>
              <w:t>1997</w:t>
            </w:r>
          </w:p>
        </w:tc>
        <w:tc>
          <w:tcPr>
            <w:tcW w:w="4963" w:type="dxa"/>
          </w:tcPr>
          <w:p w:rsidR="00000000" w:rsidRDefault="00000000">
            <w:pPr>
              <w:spacing w:line="240" w:lineRule="auto"/>
              <w:jc w:val="center"/>
            </w:pPr>
            <w:r>
              <w:t>1 069,6</w:t>
            </w:r>
          </w:p>
        </w:tc>
        <w:tc>
          <w:tcPr>
            <w:tcW w:w="3191" w:type="dxa"/>
          </w:tcPr>
          <w:p w:rsidR="00000000" w:rsidRDefault="00000000">
            <w:pPr>
              <w:spacing w:line="240" w:lineRule="auto"/>
              <w:jc w:val="center"/>
            </w:pPr>
            <w:r>
              <w:t>58,6</w:t>
            </w:r>
          </w:p>
        </w:tc>
      </w:tr>
      <w:tr w:rsidR="00000000">
        <w:tblPrEx>
          <w:tblCellMar>
            <w:top w:w="0" w:type="dxa"/>
            <w:bottom w:w="0" w:type="dxa"/>
          </w:tblCellMar>
        </w:tblPrEx>
        <w:tc>
          <w:tcPr>
            <w:tcW w:w="1417" w:type="dxa"/>
          </w:tcPr>
          <w:p w:rsidR="00000000" w:rsidRDefault="00000000">
            <w:pPr>
              <w:spacing w:line="240" w:lineRule="auto"/>
              <w:jc w:val="center"/>
            </w:pPr>
            <w:r>
              <w:t>1998</w:t>
            </w:r>
          </w:p>
        </w:tc>
        <w:tc>
          <w:tcPr>
            <w:tcW w:w="4963" w:type="dxa"/>
          </w:tcPr>
          <w:p w:rsidR="00000000" w:rsidRDefault="00000000">
            <w:pPr>
              <w:spacing w:line="240" w:lineRule="auto"/>
              <w:jc w:val="center"/>
            </w:pPr>
            <w:r>
              <w:t>1 062,5</w:t>
            </w:r>
          </w:p>
        </w:tc>
        <w:tc>
          <w:tcPr>
            <w:tcW w:w="3191" w:type="dxa"/>
          </w:tcPr>
          <w:p w:rsidR="00000000" w:rsidRDefault="00000000">
            <w:pPr>
              <w:spacing w:line="240" w:lineRule="auto"/>
              <w:jc w:val="center"/>
            </w:pPr>
            <w:r>
              <w:t>58,0</w:t>
            </w:r>
          </w:p>
        </w:tc>
      </w:tr>
    </w:tbl>
    <w:p w:rsidR="00000000" w:rsidRDefault="00000000">
      <w:pPr>
        <w:jc w:val="center"/>
      </w:pPr>
    </w:p>
    <w:p w:rsidR="00000000" w:rsidRDefault="00000000">
      <w:r>
        <w:tab/>
      </w:r>
      <w:r>
        <w:rPr>
          <w:u w:val="single"/>
        </w:rPr>
        <w:t>Источник</w:t>
      </w:r>
      <w:r>
        <w:t>:  Главное статистическое управление.</w:t>
      </w:r>
    </w:p>
    <w:p w:rsidR="00000000" w:rsidRDefault="00000000">
      <w:pPr>
        <w:pStyle w:val="FootnoteText"/>
        <w:spacing w:line="288" w:lineRule="auto"/>
      </w:pPr>
    </w:p>
    <w:p w:rsidR="00000000" w:rsidRDefault="00000000">
      <w:r>
        <w:tab/>
        <w:t>b)</w:t>
      </w:r>
      <w:r>
        <w:tab/>
        <w:t>Высокая доля безработных, имеющих низкий уровень квалификации (базовое профессионально-техническое образование) и не имеющих квалификации (начальное и неполное начальное образование).  К концу 1998 года на эти две группы приходилось 72,1% безработных.</w:t>
      </w:r>
    </w:p>
    <w:p w:rsidR="00000000" w:rsidRDefault="00000000"/>
    <w:p w:rsidR="00000000" w:rsidRDefault="00000000">
      <w:pPr>
        <w:pStyle w:val="10"/>
        <w:jc w:val="left"/>
        <w:rPr>
          <w:b w:val="0"/>
          <w:u w:val="single"/>
        </w:rPr>
      </w:pPr>
      <w:r>
        <w:rPr>
          <w:b w:val="0"/>
        </w:rPr>
        <w:tab/>
      </w:r>
      <w:r>
        <w:rPr>
          <w:b w:val="0"/>
        </w:rPr>
        <w:tab/>
      </w:r>
      <w:r>
        <w:rPr>
          <w:b w:val="0"/>
          <w:u w:val="single"/>
        </w:rPr>
        <w:t>Таблица 4</w:t>
      </w:r>
      <w:r>
        <w:rPr>
          <w:b w:val="0"/>
        </w:rPr>
        <w:t>.</w:t>
      </w:r>
      <w:r>
        <w:rPr>
          <w:b w:val="0"/>
        </w:rPr>
        <w:tab/>
        <w:t xml:space="preserve">  </w:t>
      </w:r>
      <w:r>
        <w:rPr>
          <w:b w:val="0"/>
          <w:u w:val="single"/>
        </w:rPr>
        <w:t>Данные о безработице в разбивке по уровню образования</w:t>
      </w:r>
    </w:p>
    <w:p w:rsidR="00000000" w:rsidRDefault="00000000">
      <w:pPr>
        <w:pStyle w:val="10"/>
        <w:jc w:val="left"/>
      </w:pPr>
      <w:r>
        <w:rPr>
          <w:b w:val="0"/>
        </w:rPr>
        <w:tab/>
      </w:r>
      <w:r>
        <w:rPr>
          <w:b w:val="0"/>
        </w:rPr>
        <w:tab/>
      </w:r>
      <w:r>
        <w:rPr>
          <w:b w:val="0"/>
        </w:rPr>
        <w:tab/>
      </w:r>
      <w:r>
        <w:rPr>
          <w:b w:val="0"/>
        </w:rPr>
        <w:tab/>
        <w:t xml:space="preserve">  </w:t>
      </w:r>
      <w:r>
        <w:rPr>
          <w:b w:val="0"/>
          <w:u w:val="single"/>
        </w:rPr>
        <w:t>в 1995-1998 годах (по состоянию на 31 декабря</w:t>
      </w:r>
      <w:r>
        <w:t>)</w:t>
      </w:r>
    </w:p>
    <w:p w:rsidR="00000000" w:rsidRDefault="00000000">
      <w:pPr>
        <w:pStyle w:val="1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
        <w:gridCol w:w="1870"/>
        <w:gridCol w:w="2244"/>
        <w:gridCol w:w="2244"/>
        <w:gridCol w:w="2170"/>
      </w:tblGrid>
      <w:tr w:rsidR="00000000">
        <w:tblPrEx>
          <w:tblCellMar>
            <w:top w:w="0" w:type="dxa"/>
            <w:bottom w:w="0" w:type="dxa"/>
          </w:tblCellMar>
        </w:tblPrEx>
        <w:trPr>
          <w:cantSplit/>
        </w:trPr>
        <w:tc>
          <w:tcPr>
            <w:tcW w:w="1043" w:type="dxa"/>
            <w:tcBorders>
              <w:bottom w:val="nil"/>
            </w:tcBorders>
          </w:tcPr>
          <w:p w:rsidR="00000000" w:rsidRDefault="00000000">
            <w:r>
              <w:t>Год</w:t>
            </w:r>
          </w:p>
        </w:tc>
        <w:tc>
          <w:tcPr>
            <w:tcW w:w="8528" w:type="dxa"/>
            <w:gridSpan w:val="4"/>
          </w:tcPr>
          <w:p w:rsidR="00000000" w:rsidRDefault="00000000">
            <w:pPr>
              <w:pStyle w:val="16"/>
              <w:spacing w:line="240" w:lineRule="auto"/>
            </w:pPr>
            <w:r>
              <w:t>Количество безработных:</w:t>
            </w:r>
          </w:p>
        </w:tc>
      </w:tr>
      <w:tr w:rsidR="00000000">
        <w:tblPrEx>
          <w:tblCellMar>
            <w:top w:w="0" w:type="dxa"/>
            <w:bottom w:w="0" w:type="dxa"/>
          </w:tblCellMar>
        </w:tblPrEx>
        <w:trPr>
          <w:cantSplit/>
        </w:trPr>
        <w:tc>
          <w:tcPr>
            <w:tcW w:w="1043" w:type="dxa"/>
            <w:tcBorders>
              <w:top w:val="nil"/>
            </w:tcBorders>
          </w:tcPr>
          <w:p w:rsidR="00000000" w:rsidRDefault="00000000"/>
        </w:tc>
        <w:tc>
          <w:tcPr>
            <w:tcW w:w="4114" w:type="dxa"/>
            <w:gridSpan w:val="2"/>
          </w:tcPr>
          <w:p w:rsidR="00000000" w:rsidRDefault="00000000">
            <w:pPr>
              <w:spacing w:line="240" w:lineRule="auto"/>
              <w:jc w:val="center"/>
            </w:pPr>
            <w:r>
              <w:t>С базовым профессионально-техническим образованием</w:t>
            </w:r>
          </w:p>
        </w:tc>
        <w:tc>
          <w:tcPr>
            <w:tcW w:w="4414" w:type="dxa"/>
            <w:gridSpan w:val="2"/>
          </w:tcPr>
          <w:p w:rsidR="00000000" w:rsidRDefault="00000000">
            <w:pPr>
              <w:spacing w:line="240" w:lineRule="auto"/>
              <w:jc w:val="center"/>
            </w:pPr>
            <w:r>
              <w:t>С начальным образованием и неполным начальным образованием</w:t>
            </w:r>
          </w:p>
        </w:tc>
      </w:tr>
      <w:tr w:rsidR="00000000">
        <w:tblPrEx>
          <w:tblCellMar>
            <w:top w:w="0" w:type="dxa"/>
            <w:bottom w:w="0" w:type="dxa"/>
          </w:tblCellMar>
        </w:tblPrEx>
        <w:tc>
          <w:tcPr>
            <w:tcW w:w="1043" w:type="dxa"/>
          </w:tcPr>
          <w:p w:rsidR="00000000" w:rsidRDefault="00000000"/>
        </w:tc>
        <w:tc>
          <w:tcPr>
            <w:tcW w:w="1870" w:type="dxa"/>
          </w:tcPr>
          <w:p w:rsidR="00000000" w:rsidRDefault="00000000">
            <w:pPr>
              <w:pStyle w:val="16"/>
              <w:spacing w:line="240" w:lineRule="auto"/>
            </w:pPr>
            <w:r>
              <w:t>Тыс. человек</w:t>
            </w:r>
          </w:p>
        </w:tc>
        <w:tc>
          <w:tcPr>
            <w:tcW w:w="2244" w:type="dxa"/>
          </w:tcPr>
          <w:p w:rsidR="00000000" w:rsidRDefault="00000000">
            <w:pPr>
              <w:spacing w:line="240" w:lineRule="auto"/>
              <w:jc w:val="center"/>
            </w:pPr>
            <w:r>
              <w:t>% от общего числа</w:t>
            </w:r>
          </w:p>
        </w:tc>
        <w:tc>
          <w:tcPr>
            <w:tcW w:w="2244" w:type="dxa"/>
          </w:tcPr>
          <w:p w:rsidR="00000000" w:rsidRDefault="00000000">
            <w:pPr>
              <w:pStyle w:val="16"/>
              <w:spacing w:line="240" w:lineRule="auto"/>
            </w:pPr>
            <w:r>
              <w:t>Тыс. человек</w:t>
            </w:r>
          </w:p>
        </w:tc>
        <w:tc>
          <w:tcPr>
            <w:tcW w:w="2170" w:type="dxa"/>
          </w:tcPr>
          <w:p w:rsidR="00000000" w:rsidRDefault="00000000">
            <w:pPr>
              <w:spacing w:line="240" w:lineRule="auto"/>
              <w:jc w:val="center"/>
            </w:pPr>
            <w:r>
              <w:t xml:space="preserve">Процентная доля от общей численности </w:t>
            </w:r>
          </w:p>
        </w:tc>
      </w:tr>
      <w:tr w:rsidR="00000000">
        <w:tblPrEx>
          <w:tblCellMar>
            <w:top w:w="0" w:type="dxa"/>
            <w:bottom w:w="0" w:type="dxa"/>
          </w:tblCellMar>
        </w:tblPrEx>
        <w:tc>
          <w:tcPr>
            <w:tcW w:w="1043" w:type="dxa"/>
          </w:tcPr>
          <w:p w:rsidR="00000000" w:rsidRDefault="00000000">
            <w:r>
              <w:t>1995</w:t>
            </w:r>
          </w:p>
        </w:tc>
        <w:tc>
          <w:tcPr>
            <w:tcW w:w="1870" w:type="dxa"/>
          </w:tcPr>
          <w:p w:rsidR="00000000" w:rsidRDefault="00000000">
            <w:pPr>
              <w:tabs>
                <w:tab w:val="clear" w:pos="1134"/>
                <w:tab w:val="clear" w:pos="1701"/>
                <w:tab w:val="left" w:pos="827"/>
                <w:tab w:val="left" w:pos="1014"/>
              </w:tabs>
              <w:jc w:val="right"/>
            </w:pPr>
            <w:r>
              <w:t>1 025,0</w:t>
            </w:r>
          </w:p>
        </w:tc>
        <w:tc>
          <w:tcPr>
            <w:tcW w:w="2244" w:type="dxa"/>
          </w:tcPr>
          <w:p w:rsidR="00000000" w:rsidRDefault="00000000">
            <w:pPr>
              <w:pStyle w:val="16"/>
            </w:pPr>
            <w:r>
              <w:t>39,0</w:t>
            </w:r>
          </w:p>
        </w:tc>
        <w:tc>
          <w:tcPr>
            <w:tcW w:w="2244" w:type="dxa"/>
          </w:tcPr>
          <w:p w:rsidR="00000000" w:rsidRDefault="00000000">
            <w:pPr>
              <w:jc w:val="center"/>
            </w:pPr>
            <w:r>
              <w:t>845,0</w:t>
            </w:r>
          </w:p>
        </w:tc>
        <w:tc>
          <w:tcPr>
            <w:tcW w:w="2170" w:type="dxa"/>
          </w:tcPr>
          <w:p w:rsidR="00000000" w:rsidRDefault="00000000">
            <w:pPr>
              <w:pStyle w:val="16"/>
            </w:pPr>
            <w:r>
              <w:t>32,1</w:t>
            </w:r>
          </w:p>
        </w:tc>
      </w:tr>
      <w:tr w:rsidR="00000000">
        <w:tblPrEx>
          <w:tblCellMar>
            <w:top w:w="0" w:type="dxa"/>
            <w:bottom w:w="0" w:type="dxa"/>
          </w:tblCellMar>
        </w:tblPrEx>
        <w:tc>
          <w:tcPr>
            <w:tcW w:w="1043" w:type="dxa"/>
          </w:tcPr>
          <w:p w:rsidR="00000000" w:rsidRDefault="00000000">
            <w:r>
              <w:t>1996</w:t>
            </w:r>
          </w:p>
        </w:tc>
        <w:tc>
          <w:tcPr>
            <w:tcW w:w="1870" w:type="dxa"/>
          </w:tcPr>
          <w:p w:rsidR="00000000" w:rsidRDefault="00000000">
            <w:pPr>
              <w:tabs>
                <w:tab w:val="clear" w:pos="1134"/>
                <w:tab w:val="clear" w:pos="1701"/>
                <w:tab w:val="left" w:pos="827"/>
                <w:tab w:val="left" w:pos="1014"/>
              </w:tabs>
              <w:jc w:val="right"/>
            </w:pPr>
            <w:r>
              <w:t>907,7</w:t>
            </w:r>
          </w:p>
        </w:tc>
        <w:tc>
          <w:tcPr>
            <w:tcW w:w="2244" w:type="dxa"/>
          </w:tcPr>
          <w:p w:rsidR="00000000" w:rsidRDefault="00000000">
            <w:pPr>
              <w:jc w:val="center"/>
            </w:pPr>
            <w:r>
              <w:t>38,5</w:t>
            </w:r>
          </w:p>
        </w:tc>
        <w:tc>
          <w:tcPr>
            <w:tcW w:w="2244" w:type="dxa"/>
          </w:tcPr>
          <w:p w:rsidR="00000000" w:rsidRDefault="00000000">
            <w:pPr>
              <w:jc w:val="center"/>
            </w:pPr>
            <w:r>
              <w:t>797,6</w:t>
            </w:r>
          </w:p>
        </w:tc>
        <w:tc>
          <w:tcPr>
            <w:tcW w:w="2170" w:type="dxa"/>
          </w:tcPr>
          <w:p w:rsidR="00000000" w:rsidRDefault="00000000">
            <w:pPr>
              <w:pStyle w:val="16"/>
            </w:pPr>
            <w:r>
              <w:t>33,8</w:t>
            </w:r>
          </w:p>
        </w:tc>
      </w:tr>
      <w:tr w:rsidR="00000000">
        <w:tblPrEx>
          <w:tblCellMar>
            <w:top w:w="0" w:type="dxa"/>
            <w:bottom w:w="0" w:type="dxa"/>
          </w:tblCellMar>
        </w:tblPrEx>
        <w:tc>
          <w:tcPr>
            <w:tcW w:w="1043" w:type="dxa"/>
          </w:tcPr>
          <w:p w:rsidR="00000000" w:rsidRDefault="00000000">
            <w:r>
              <w:t>1997</w:t>
            </w:r>
          </w:p>
        </w:tc>
        <w:tc>
          <w:tcPr>
            <w:tcW w:w="1870" w:type="dxa"/>
          </w:tcPr>
          <w:p w:rsidR="00000000" w:rsidRDefault="00000000">
            <w:pPr>
              <w:tabs>
                <w:tab w:val="clear" w:pos="1134"/>
                <w:tab w:val="clear" w:pos="1701"/>
                <w:tab w:val="left" w:pos="827"/>
                <w:tab w:val="left" w:pos="1014"/>
              </w:tabs>
              <w:jc w:val="right"/>
            </w:pPr>
            <w:r>
              <w:t>700,7</w:t>
            </w:r>
          </w:p>
        </w:tc>
        <w:tc>
          <w:tcPr>
            <w:tcW w:w="2244" w:type="dxa"/>
          </w:tcPr>
          <w:p w:rsidR="00000000" w:rsidRDefault="00000000">
            <w:pPr>
              <w:pStyle w:val="16"/>
            </w:pPr>
            <w:r>
              <w:t>38,4</w:t>
            </w:r>
          </w:p>
        </w:tc>
        <w:tc>
          <w:tcPr>
            <w:tcW w:w="2244" w:type="dxa"/>
          </w:tcPr>
          <w:p w:rsidR="00000000" w:rsidRDefault="00000000">
            <w:pPr>
              <w:pStyle w:val="16"/>
            </w:pPr>
            <w:r>
              <w:t>621,3</w:t>
            </w:r>
          </w:p>
        </w:tc>
        <w:tc>
          <w:tcPr>
            <w:tcW w:w="2170" w:type="dxa"/>
          </w:tcPr>
          <w:p w:rsidR="00000000" w:rsidRDefault="00000000">
            <w:pPr>
              <w:pStyle w:val="16"/>
            </w:pPr>
            <w:r>
              <w:t>34,0</w:t>
            </w:r>
          </w:p>
        </w:tc>
      </w:tr>
      <w:tr w:rsidR="00000000">
        <w:tblPrEx>
          <w:tblCellMar>
            <w:top w:w="0" w:type="dxa"/>
            <w:bottom w:w="0" w:type="dxa"/>
          </w:tblCellMar>
        </w:tblPrEx>
        <w:tc>
          <w:tcPr>
            <w:tcW w:w="1043" w:type="dxa"/>
          </w:tcPr>
          <w:p w:rsidR="00000000" w:rsidRDefault="00000000">
            <w:r>
              <w:t>1998</w:t>
            </w:r>
          </w:p>
        </w:tc>
        <w:tc>
          <w:tcPr>
            <w:tcW w:w="1870" w:type="dxa"/>
          </w:tcPr>
          <w:p w:rsidR="00000000" w:rsidRDefault="00000000">
            <w:pPr>
              <w:tabs>
                <w:tab w:val="clear" w:pos="1134"/>
                <w:tab w:val="clear" w:pos="1701"/>
                <w:tab w:val="left" w:pos="827"/>
                <w:tab w:val="left" w:pos="1014"/>
              </w:tabs>
              <w:jc w:val="right"/>
            </w:pPr>
            <w:r>
              <w:t>698,0</w:t>
            </w:r>
          </w:p>
        </w:tc>
        <w:tc>
          <w:tcPr>
            <w:tcW w:w="2244" w:type="dxa"/>
          </w:tcPr>
          <w:p w:rsidR="00000000" w:rsidRDefault="00000000">
            <w:pPr>
              <w:pStyle w:val="16"/>
            </w:pPr>
            <w:r>
              <w:t>38,1</w:t>
            </w:r>
          </w:p>
        </w:tc>
        <w:tc>
          <w:tcPr>
            <w:tcW w:w="2244" w:type="dxa"/>
          </w:tcPr>
          <w:p w:rsidR="00000000" w:rsidRDefault="00000000">
            <w:pPr>
              <w:pStyle w:val="16"/>
            </w:pPr>
            <w:r>
              <w:t>622,8</w:t>
            </w:r>
          </w:p>
        </w:tc>
        <w:tc>
          <w:tcPr>
            <w:tcW w:w="2170" w:type="dxa"/>
          </w:tcPr>
          <w:p w:rsidR="00000000" w:rsidRDefault="00000000">
            <w:pPr>
              <w:pStyle w:val="16"/>
            </w:pPr>
            <w:r>
              <w:t>34,0</w:t>
            </w:r>
          </w:p>
        </w:tc>
      </w:tr>
    </w:tbl>
    <w:p w:rsidR="00000000" w:rsidRDefault="00000000"/>
    <w:p w:rsidR="00000000" w:rsidRDefault="00000000">
      <w:r>
        <w:tab/>
      </w:r>
      <w:r>
        <w:rPr>
          <w:u w:val="single"/>
        </w:rPr>
        <w:t>Источник</w:t>
      </w:r>
      <w:r>
        <w:t>:  Главное статистическое управление.</w:t>
      </w:r>
    </w:p>
    <w:p w:rsidR="00000000" w:rsidRDefault="00000000">
      <w:pPr>
        <w:pStyle w:val="FootnoteText"/>
        <w:spacing w:line="288" w:lineRule="auto"/>
      </w:pPr>
    </w:p>
    <w:p w:rsidR="00000000" w:rsidRDefault="00000000">
      <w:r>
        <w:tab/>
        <w:t>c)</w:t>
      </w:r>
      <w:r>
        <w:tab/>
        <w:t>Высокая доля безработных женщин.  Хотя сокращение безработицы среди женщин (на 377 000 человек с 1995 года) является позитивным явлением, следует отметить, что его темпы являются более низкими, чем среди мужчин.</w:t>
      </w:r>
    </w:p>
    <w:p w:rsidR="00000000" w:rsidRDefault="00000000"/>
    <w:p w:rsidR="00000000" w:rsidRDefault="00000000">
      <w:pPr>
        <w:pStyle w:val="10"/>
        <w:rPr>
          <w:b w:val="0"/>
          <w:u w:val="single"/>
        </w:rPr>
      </w:pPr>
      <w:r>
        <w:rPr>
          <w:bCs/>
        </w:rPr>
        <w:br w:type="page"/>
      </w:r>
      <w:r>
        <w:rPr>
          <w:b w:val="0"/>
          <w:u w:val="single"/>
        </w:rPr>
        <w:t>Таблица 5.</w:t>
      </w:r>
      <w:r>
        <w:rPr>
          <w:b w:val="0"/>
        </w:rPr>
        <w:t xml:space="preserve">  </w:t>
      </w:r>
      <w:r>
        <w:rPr>
          <w:b w:val="0"/>
          <w:u w:val="single"/>
        </w:rPr>
        <w:t>Безработица среди женщин в 1995-1998 годах</w:t>
      </w:r>
    </w:p>
    <w:p w:rsidR="00000000" w:rsidRDefault="00000000">
      <w:pPr>
        <w:jc w:val="center"/>
        <w:rPr>
          <w:b/>
          <w:bCs/>
        </w:rPr>
      </w:pPr>
      <w:r>
        <w:rPr>
          <w:u w:val="single"/>
        </w:rPr>
        <w:t>(по состоянию на 31 декабря</w:t>
      </w:r>
      <w:r>
        <w:rPr>
          <w:b/>
          <w:bCs/>
        </w:rPr>
        <w:t>)</w:t>
      </w:r>
    </w:p>
    <w:p w:rsidR="00000000" w:rsidRDefault="00000000">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
        <w:gridCol w:w="4114"/>
        <w:gridCol w:w="4414"/>
      </w:tblGrid>
      <w:tr w:rsidR="00000000">
        <w:tblPrEx>
          <w:tblCellMar>
            <w:top w:w="0" w:type="dxa"/>
            <w:bottom w:w="0" w:type="dxa"/>
          </w:tblCellMar>
        </w:tblPrEx>
        <w:trPr>
          <w:jc w:val="center"/>
        </w:trPr>
        <w:tc>
          <w:tcPr>
            <w:tcW w:w="1043" w:type="dxa"/>
          </w:tcPr>
          <w:p w:rsidR="00000000" w:rsidRDefault="00000000">
            <w:pPr>
              <w:pStyle w:val="16"/>
              <w:jc w:val="left"/>
            </w:pPr>
            <w:r>
              <w:t>Год</w:t>
            </w:r>
          </w:p>
        </w:tc>
        <w:tc>
          <w:tcPr>
            <w:tcW w:w="4114" w:type="dxa"/>
          </w:tcPr>
          <w:p w:rsidR="00000000" w:rsidRDefault="00000000">
            <w:pPr>
              <w:spacing w:line="240" w:lineRule="auto"/>
              <w:jc w:val="center"/>
            </w:pPr>
            <w:r>
              <w:t>Количество безработных женщин</w:t>
            </w:r>
          </w:p>
          <w:p w:rsidR="00000000" w:rsidRDefault="00000000">
            <w:pPr>
              <w:spacing w:line="240" w:lineRule="auto"/>
              <w:jc w:val="center"/>
            </w:pPr>
            <w:r>
              <w:t>(тыс. человек)</w:t>
            </w:r>
          </w:p>
        </w:tc>
        <w:tc>
          <w:tcPr>
            <w:tcW w:w="4414" w:type="dxa"/>
          </w:tcPr>
          <w:p w:rsidR="00000000" w:rsidRDefault="00000000">
            <w:pPr>
              <w:spacing w:line="240" w:lineRule="auto"/>
              <w:jc w:val="center"/>
            </w:pPr>
            <w:r>
              <w:t>Процентная доля от общей численности безработных</w:t>
            </w:r>
          </w:p>
        </w:tc>
      </w:tr>
      <w:tr w:rsidR="00000000">
        <w:tblPrEx>
          <w:tblCellMar>
            <w:top w:w="0" w:type="dxa"/>
            <w:bottom w:w="0" w:type="dxa"/>
          </w:tblCellMar>
        </w:tblPrEx>
        <w:trPr>
          <w:jc w:val="center"/>
        </w:trPr>
        <w:tc>
          <w:tcPr>
            <w:tcW w:w="1043" w:type="dxa"/>
          </w:tcPr>
          <w:p w:rsidR="00000000" w:rsidRDefault="00000000">
            <w:pPr>
              <w:pStyle w:val="FootnoteText"/>
              <w:spacing w:line="288" w:lineRule="auto"/>
            </w:pPr>
            <w:r>
              <w:t>1995</w:t>
            </w:r>
          </w:p>
        </w:tc>
        <w:tc>
          <w:tcPr>
            <w:tcW w:w="4114" w:type="dxa"/>
          </w:tcPr>
          <w:p w:rsidR="00000000" w:rsidRDefault="00000000">
            <w:pPr>
              <w:jc w:val="center"/>
            </w:pPr>
            <w:r>
              <w:t>1 448,6</w:t>
            </w:r>
          </w:p>
        </w:tc>
        <w:tc>
          <w:tcPr>
            <w:tcW w:w="4414" w:type="dxa"/>
          </w:tcPr>
          <w:p w:rsidR="00000000" w:rsidRDefault="00000000">
            <w:pPr>
              <w:jc w:val="center"/>
            </w:pPr>
            <w:r>
              <w:t>55,1</w:t>
            </w:r>
          </w:p>
        </w:tc>
      </w:tr>
      <w:tr w:rsidR="00000000">
        <w:tblPrEx>
          <w:tblCellMar>
            <w:top w:w="0" w:type="dxa"/>
            <w:bottom w:w="0" w:type="dxa"/>
          </w:tblCellMar>
        </w:tblPrEx>
        <w:trPr>
          <w:jc w:val="center"/>
        </w:trPr>
        <w:tc>
          <w:tcPr>
            <w:tcW w:w="1043" w:type="dxa"/>
          </w:tcPr>
          <w:p w:rsidR="00000000" w:rsidRDefault="00000000">
            <w:r>
              <w:t>1996</w:t>
            </w:r>
          </w:p>
        </w:tc>
        <w:tc>
          <w:tcPr>
            <w:tcW w:w="4114" w:type="dxa"/>
          </w:tcPr>
          <w:p w:rsidR="00000000" w:rsidRDefault="00000000">
            <w:pPr>
              <w:jc w:val="center"/>
            </w:pPr>
            <w:r>
              <w:t>1 375,6</w:t>
            </w:r>
          </w:p>
        </w:tc>
        <w:tc>
          <w:tcPr>
            <w:tcW w:w="4414" w:type="dxa"/>
          </w:tcPr>
          <w:p w:rsidR="00000000" w:rsidRDefault="00000000">
            <w:pPr>
              <w:jc w:val="center"/>
            </w:pPr>
            <w:r>
              <w:t>58,3</w:t>
            </w:r>
          </w:p>
        </w:tc>
      </w:tr>
      <w:tr w:rsidR="00000000">
        <w:tblPrEx>
          <w:tblCellMar>
            <w:top w:w="0" w:type="dxa"/>
            <w:bottom w:w="0" w:type="dxa"/>
          </w:tblCellMar>
        </w:tblPrEx>
        <w:trPr>
          <w:jc w:val="center"/>
        </w:trPr>
        <w:tc>
          <w:tcPr>
            <w:tcW w:w="1043" w:type="dxa"/>
          </w:tcPr>
          <w:p w:rsidR="00000000" w:rsidRDefault="00000000">
            <w:r>
              <w:t>1997</w:t>
            </w:r>
          </w:p>
        </w:tc>
        <w:tc>
          <w:tcPr>
            <w:tcW w:w="4114" w:type="dxa"/>
          </w:tcPr>
          <w:p w:rsidR="00000000" w:rsidRDefault="00000000">
            <w:pPr>
              <w:jc w:val="center"/>
            </w:pPr>
            <w:r>
              <w:t>1 103,2</w:t>
            </w:r>
          </w:p>
        </w:tc>
        <w:tc>
          <w:tcPr>
            <w:tcW w:w="4414" w:type="dxa"/>
          </w:tcPr>
          <w:p w:rsidR="00000000" w:rsidRDefault="00000000">
            <w:pPr>
              <w:jc w:val="center"/>
            </w:pPr>
            <w:r>
              <w:t>60,4</w:t>
            </w:r>
          </w:p>
        </w:tc>
      </w:tr>
      <w:tr w:rsidR="00000000">
        <w:tblPrEx>
          <w:tblCellMar>
            <w:top w:w="0" w:type="dxa"/>
            <w:bottom w:w="0" w:type="dxa"/>
          </w:tblCellMar>
        </w:tblPrEx>
        <w:trPr>
          <w:jc w:val="center"/>
        </w:trPr>
        <w:tc>
          <w:tcPr>
            <w:tcW w:w="1043" w:type="dxa"/>
          </w:tcPr>
          <w:p w:rsidR="00000000" w:rsidRDefault="00000000">
            <w:r>
              <w:t>1998</w:t>
            </w:r>
          </w:p>
        </w:tc>
        <w:tc>
          <w:tcPr>
            <w:tcW w:w="4114" w:type="dxa"/>
          </w:tcPr>
          <w:p w:rsidR="00000000" w:rsidRDefault="00000000">
            <w:pPr>
              <w:jc w:val="center"/>
            </w:pPr>
            <w:r>
              <w:t>1 071,3</w:t>
            </w:r>
          </w:p>
        </w:tc>
        <w:tc>
          <w:tcPr>
            <w:tcW w:w="4414" w:type="dxa"/>
          </w:tcPr>
          <w:p w:rsidR="00000000" w:rsidRDefault="00000000">
            <w:pPr>
              <w:jc w:val="center"/>
            </w:pPr>
            <w:r>
              <w:t>58,5</w:t>
            </w:r>
          </w:p>
        </w:tc>
      </w:tr>
    </w:tbl>
    <w:p w:rsidR="00000000" w:rsidRDefault="00000000">
      <w:pPr>
        <w:jc w:val="center"/>
      </w:pPr>
    </w:p>
    <w:p w:rsidR="00000000" w:rsidRDefault="00000000">
      <w:r>
        <w:tab/>
      </w:r>
      <w:r>
        <w:rPr>
          <w:u w:val="single"/>
        </w:rPr>
        <w:t>Источник</w:t>
      </w:r>
      <w:r>
        <w:t>:  Главное статистическое управление.</w:t>
      </w:r>
    </w:p>
    <w:p w:rsidR="00000000" w:rsidRDefault="00000000"/>
    <w:p w:rsidR="00000000" w:rsidRDefault="00000000">
      <w:r>
        <w:tab/>
        <w:t>d)</w:t>
      </w:r>
      <w:r>
        <w:tab/>
        <w:t>Длительная безработица.  В 1995-1998 годах отмечался рост числа лиц, числящихся безработными на протяжении более одного года:  в 1995 году их доля составляла 37,4%, в 1996 году - 41,1%, а в 1997 году - 44,3%.  В 1998 году соответствующее соотношение снизилось до 40,4%.</w:t>
      </w:r>
    </w:p>
    <w:p w:rsidR="00000000" w:rsidRDefault="00000000"/>
    <w:p w:rsidR="00000000" w:rsidRDefault="00000000">
      <w:r>
        <w:tab/>
      </w:r>
      <w:r>
        <w:rPr>
          <w:lang w:val="en-US"/>
        </w:rPr>
        <w:t>e</w:t>
      </w:r>
      <w:r>
        <w:t>)</w:t>
      </w:r>
      <w:r>
        <w:tab/>
        <w:t>Одной из характерных черт польского рынка труда является высокая доля безработных в сельских районах.  Хотя в 1995-1998 годах этот показатель снижался, темпы такого снижения были менее высокими, чем среди городских жителей:</w:t>
      </w:r>
    </w:p>
    <w:p w:rsidR="00000000" w:rsidRDefault="00000000"/>
    <w:p w:rsidR="00000000" w:rsidRDefault="00000000">
      <w:pPr>
        <w:pStyle w:val="10"/>
        <w:rPr>
          <w:b w:val="0"/>
          <w:u w:val="single"/>
        </w:rPr>
      </w:pPr>
      <w:r>
        <w:rPr>
          <w:b w:val="0"/>
          <w:u w:val="single"/>
        </w:rPr>
        <w:t>Таблица 6</w:t>
      </w:r>
      <w:r>
        <w:rPr>
          <w:b w:val="0"/>
        </w:rPr>
        <w:t xml:space="preserve">.  </w:t>
      </w:r>
      <w:r>
        <w:rPr>
          <w:b w:val="0"/>
          <w:u w:val="single"/>
        </w:rPr>
        <w:t>Безработица в сельских районах в 1995-1998 годах</w:t>
      </w:r>
    </w:p>
    <w:p w:rsidR="00000000" w:rsidRDefault="00000000">
      <w:pPr>
        <w:jc w:val="center"/>
        <w:rPr>
          <w:b/>
          <w:bCs/>
        </w:rPr>
      </w:pPr>
      <w:r>
        <w:t>(</w:t>
      </w:r>
      <w:r>
        <w:rPr>
          <w:u w:val="single"/>
        </w:rPr>
        <w:t>по состоянию на 31 декабря</w:t>
      </w:r>
      <w:r>
        <w:rPr>
          <w:b/>
          <w:bCs/>
        </w:rPr>
        <w:t>)</w:t>
      </w:r>
    </w:p>
    <w:p w:rsidR="00000000" w:rsidRDefault="00000000">
      <w:pPr>
        <w:pStyle w:val="10"/>
        <w:rPr>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4835"/>
        <w:gridCol w:w="4039"/>
      </w:tblGrid>
      <w:tr w:rsidR="00000000">
        <w:tblPrEx>
          <w:tblCellMar>
            <w:top w:w="0" w:type="dxa"/>
            <w:bottom w:w="0" w:type="dxa"/>
          </w:tblCellMar>
        </w:tblPrEx>
        <w:trPr>
          <w:jc w:val="center"/>
        </w:trPr>
        <w:tc>
          <w:tcPr>
            <w:tcW w:w="696" w:type="dxa"/>
          </w:tcPr>
          <w:p w:rsidR="00000000" w:rsidRDefault="00000000">
            <w:pPr>
              <w:pStyle w:val="16"/>
              <w:jc w:val="left"/>
            </w:pPr>
            <w:r>
              <w:t>Год</w:t>
            </w:r>
          </w:p>
        </w:tc>
        <w:tc>
          <w:tcPr>
            <w:tcW w:w="4835" w:type="dxa"/>
          </w:tcPr>
          <w:p w:rsidR="00000000" w:rsidRDefault="00000000">
            <w:pPr>
              <w:spacing w:line="240" w:lineRule="auto"/>
              <w:jc w:val="center"/>
            </w:pPr>
            <w:r>
              <w:t>Количество безработных в сельских районах</w:t>
            </w:r>
          </w:p>
          <w:p w:rsidR="00000000" w:rsidRDefault="00000000">
            <w:pPr>
              <w:spacing w:line="240" w:lineRule="auto"/>
              <w:jc w:val="center"/>
            </w:pPr>
            <w:r>
              <w:t>(тыс. человек)</w:t>
            </w:r>
          </w:p>
        </w:tc>
        <w:tc>
          <w:tcPr>
            <w:tcW w:w="4040" w:type="dxa"/>
          </w:tcPr>
          <w:p w:rsidR="00000000" w:rsidRDefault="00000000">
            <w:pPr>
              <w:pStyle w:val="16"/>
              <w:spacing w:line="240" w:lineRule="auto"/>
            </w:pPr>
            <w:r>
              <w:t>Процентная доля от общей численности безработных</w:t>
            </w:r>
          </w:p>
        </w:tc>
      </w:tr>
      <w:tr w:rsidR="00000000">
        <w:tblPrEx>
          <w:tblCellMar>
            <w:top w:w="0" w:type="dxa"/>
            <w:bottom w:w="0" w:type="dxa"/>
          </w:tblCellMar>
        </w:tblPrEx>
        <w:trPr>
          <w:jc w:val="center"/>
        </w:trPr>
        <w:tc>
          <w:tcPr>
            <w:tcW w:w="696" w:type="dxa"/>
          </w:tcPr>
          <w:p w:rsidR="00000000" w:rsidRDefault="00000000">
            <w:pPr>
              <w:pStyle w:val="FootnoteText"/>
              <w:spacing w:line="288" w:lineRule="auto"/>
            </w:pPr>
            <w:r>
              <w:t>1995</w:t>
            </w:r>
          </w:p>
        </w:tc>
        <w:tc>
          <w:tcPr>
            <w:tcW w:w="4835" w:type="dxa"/>
          </w:tcPr>
          <w:p w:rsidR="00000000" w:rsidRDefault="00000000">
            <w:pPr>
              <w:ind w:right="1762"/>
              <w:jc w:val="right"/>
            </w:pPr>
            <w:r>
              <w:t>1 126,5</w:t>
            </w:r>
          </w:p>
        </w:tc>
        <w:tc>
          <w:tcPr>
            <w:tcW w:w="4040" w:type="dxa"/>
          </w:tcPr>
          <w:p w:rsidR="00000000" w:rsidRDefault="00000000">
            <w:pPr>
              <w:jc w:val="center"/>
            </w:pPr>
            <w:r>
              <w:t>42,9</w:t>
            </w:r>
          </w:p>
        </w:tc>
      </w:tr>
      <w:tr w:rsidR="00000000">
        <w:tblPrEx>
          <w:tblCellMar>
            <w:top w:w="0" w:type="dxa"/>
            <w:bottom w:w="0" w:type="dxa"/>
          </w:tblCellMar>
        </w:tblPrEx>
        <w:trPr>
          <w:jc w:val="center"/>
        </w:trPr>
        <w:tc>
          <w:tcPr>
            <w:tcW w:w="696" w:type="dxa"/>
          </w:tcPr>
          <w:p w:rsidR="00000000" w:rsidRDefault="00000000">
            <w:r>
              <w:t>1996</w:t>
            </w:r>
          </w:p>
        </w:tc>
        <w:tc>
          <w:tcPr>
            <w:tcW w:w="4835" w:type="dxa"/>
          </w:tcPr>
          <w:p w:rsidR="00000000" w:rsidRDefault="00000000">
            <w:pPr>
              <w:ind w:right="1762"/>
              <w:jc w:val="right"/>
            </w:pPr>
            <w:r>
              <w:t>1 037,2</w:t>
            </w:r>
          </w:p>
        </w:tc>
        <w:tc>
          <w:tcPr>
            <w:tcW w:w="4040" w:type="dxa"/>
          </w:tcPr>
          <w:p w:rsidR="00000000" w:rsidRDefault="00000000">
            <w:pPr>
              <w:jc w:val="center"/>
            </w:pPr>
            <w:r>
              <w:t>44,0</w:t>
            </w:r>
          </w:p>
        </w:tc>
      </w:tr>
      <w:tr w:rsidR="00000000">
        <w:tblPrEx>
          <w:tblCellMar>
            <w:top w:w="0" w:type="dxa"/>
            <w:bottom w:w="0" w:type="dxa"/>
          </w:tblCellMar>
        </w:tblPrEx>
        <w:trPr>
          <w:jc w:val="center"/>
        </w:trPr>
        <w:tc>
          <w:tcPr>
            <w:tcW w:w="696" w:type="dxa"/>
          </w:tcPr>
          <w:p w:rsidR="00000000" w:rsidRDefault="00000000">
            <w:r>
              <w:t>1997</w:t>
            </w:r>
          </w:p>
        </w:tc>
        <w:tc>
          <w:tcPr>
            <w:tcW w:w="4835" w:type="dxa"/>
          </w:tcPr>
          <w:p w:rsidR="00000000" w:rsidRDefault="00000000">
            <w:pPr>
              <w:ind w:right="1762"/>
              <w:jc w:val="right"/>
            </w:pPr>
            <w:r>
              <w:t>843,7</w:t>
            </w:r>
          </w:p>
        </w:tc>
        <w:tc>
          <w:tcPr>
            <w:tcW w:w="4040" w:type="dxa"/>
          </w:tcPr>
          <w:p w:rsidR="00000000" w:rsidRDefault="00000000">
            <w:pPr>
              <w:jc w:val="center"/>
            </w:pPr>
            <w:r>
              <w:t>46,2</w:t>
            </w:r>
          </w:p>
        </w:tc>
      </w:tr>
      <w:tr w:rsidR="00000000">
        <w:tblPrEx>
          <w:tblCellMar>
            <w:top w:w="0" w:type="dxa"/>
            <w:bottom w:w="0" w:type="dxa"/>
          </w:tblCellMar>
        </w:tblPrEx>
        <w:trPr>
          <w:jc w:val="center"/>
        </w:trPr>
        <w:tc>
          <w:tcPr>
            <w:tcW w:w="696" w:type="dxa"/>
          </w:tcPr>
          <w:p w:rsidR="00000000" w:rsidRDefault="00000000">
            <w:r>
              <w:t>1998</w:t>
            </w:r>
          </w:p>
        </w:tc>
        <w:tc>
          <w:tcPr>
            <w:tcW w:w="4835" w:type="dxa"/>
          </w:tcPr>
          <w:p w:rsidR="00000000" w:rsidRDefault="00000000">
            <w:pPr>
              <w:ind w:right="1762"/>
              <w:jc w:val="right"/>
            </w:pPr>
            <w:r>
              <w:t>835,7</w:t>
            </w:r>
          </w:p>
        </w:tc>
        <w:tc>
          <w:tcPr>
            <w:tcW w:w="4040" w:type="dxa"/>
          </w:tcPr>
          <w:p w:rsidR="00000000" w:rsidRDefault="00000000">
            <w:pPr>
              <w:jc w:val="center"/>
            </w:pPr>
            <w:r>
              <w:t>45,6</w:t>
            </w:r>
          </w:p>
        </w:tc>
      </w:tr>
    </w:tbl>
    <w:p w:rsidR="00000000" w:rsidRDefault="00000000">
      <w:pPr>
        <w:jc w:val="center"/>
      </w:pPr>
    </w:p>
    <w:p w:rsidR="00000000" w:rsidRDefault="00000000">
      <w:r>
        <w:rPr>
          <w:b/>
          <w:bCs/>
        </w:rPr>
        <w:tab/>
      </w:r>
      <w:r>
        <w:rPr>
          <w:u w:val="single"/>
        </w:rPr>
        <w:t>Источник</w:t>
      </w:r>
      <w:r>
        <w:t>:  данные Главного статистического управления.</w:t>
      </w:r>
    </w:p>
    <w:p w:rsidR="00000000" w:rsidRDefault="00000000"/>
    <w:p w:rsidR="00000000" w:rsidRDefault="00000000">
      <w:pPr>
        <w:pStyle w:val="FootnoteText"/>
        <w:spacing w:line="288" w:lineRule="auto"/>
      </w:pPr>
    </w:p>
    <w:p w:rsidR="00000000" w:rsidRDefault="00000000">
      <w:r>
        <w:tab/>
      </w:r>
      <w:r>
        <w:rPr>
          <w:lang w:val="en-US"/>
        </w:rPr>
        <w:t>f</w:t>
      </w:r>
      <w:r>
        <w:t>)</w:t>
      </w:r>
      <w:r>
        <w:tab/>
        <w:t>Систематическое сокращение числа увольнений по причинам, связанным с деятельностью предприятий (в конце 1998 года отмечался незначительный рост численности этой категории безработных, однако он не нашел отражения в процентных показателях).</w:t>
      </w:r>
    </w:p>
    <w:p w:rsidR="00000000" w:rsidRDefault="00000000">
      <w:pPr>
        <w:pStyle w:val="FootnoteText"/>
        <w:spacing w:line="288" w:lineRule="auto"/>
      </w:pPr>
    </w:p>
    <w:p w:rsidR="00000000" w:rsidRDefault="00000000">
      <w:pPr>
        <w:pStyle w:val="16"/>
        <w:jc w:val="left"/>
        <w:rPr>
          <w:bCs/>
          <w:u w:val="single"/>
        </w:rPr>
      </w:pPr>
      <w:r>
        <w:rPr>
          <w:bCs/>
        </w:rPr>
        <w:br w:type="page"/>
      </w:r>
      <w:r>
        <w:rPr>
          <w:bCs/>
        </w:rPr>
        <w:tab/>
      </w:r>
      <w:r>
        <w:rPr>
          <w:bCs/>
          <w:u w:val="single"/>
        </w:rPr>
        <w:t>Таблица 7</w:t>
      </w:r>
      <w:r>
        <w:rPr>
          <w:bCs/>
        </w:rPr>
        <w:t>.</w:t>
      </w:r>
      <w:r>
        <w:rPr>
          <w:bCs/>
        </w:rPr>
        <w:tab/>
      </w:r>
      <w:r>
        <w:rPr>
          <w:bCs/>
          <w:u w:val="single"/>
        </w:rPr>
        <w:t>Лица, ставшие безработными по причинам, связанным</w:t>
      </w:r>
      <w:r>
        <w:rPr>
          <w:bCs/>
          <w:u w:val="single"/>
        </w:rPr>
        <w:tab/>
        <w:t>с деятельностью</w:t>
      </w:r>
    </w:p>
    <w:p w:rsidR="00000000" w:rsidRDefault="00000000">
      <w:pPr>
        <w:pStyle w:val="16"/>
        <w:jc w:val="left"/>
        <w:rPr>
          <w:bCs/>
        </w:rPr>
      </w:pPr>
      <w:r>
        <w:rPr>
          <w:bCs/>
        </w:rPr>
        <w:tab/>
      </w:r>
      <w:r>
        <w:rPr>
          <w:bCs/>
        </w:rPr>
        <w:tab/>
      </w:r>
      <w:r>
        <w:rPr>
          <w:bCs/>
        </w:rPr>
        <w:tab/>
      </w:r>
      <w:r>
        <w:rPr>
          <w:bCs/>
          <w:u w:val="single"/>
        </w:rPr>
        <w:t>предприятий, 1995-1998 годы (по состоянию на 31 декабря</w:t>
      </w:r>
      <w:r>
        <w:rPr>
          <w:bCs/>
        </w:rPr>
        <w:t>)</w:t>
      </w:r>
    </w:p>
    <w:p w:rsidR="00000000" w:rsidRDefault="00000000">
      <w:pPr>
        <w:pStyle w:val="16"/>
        <w:rPr>
          <w:bCs/>
        </w:rPr>
      </w:pPr>
    </w:p>
    <w:tbl>
      <w:tblPr>
        <w:tblW w:w="0" w:type="auto"/>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3190"/>
        <w:gridCol w:w="3191"/>
      </w:tblGrid>
      <w:tr w:rsidR="00000000">
        <w:tblPrEx>
          <w:tblCellMar>
            <w:top w:w="0" w:type="dxa"/>
            <w:bottom w:w="0" w:type="dxa"/>
          </w:tblCellMar>
        </w:tblPrEx>
        <w:tc>
          <w:tcPr>
            <w:tcW w:w="2521" w:type="dxa"/>
          </w:tcPr>
          <w:p w:rsidR="00000000" w:rsidRDefault="00000000">
            <w:pPr>
              <w:spacing w:line="240" w:lineRule="auto"/>
              <w:jc w:val="center"/>
            </w:pPr>
            <w:r>
              <w:t>Год</w:t>
            </w:r>
          </w:p>
        </w:tc>
        <w:tc>
          <w:tcPr>
            <w:tcW w:w="3190" w:type="dxa"/>
          </w:tcPr>
          <w:p w:rsidR="00000000" w:rsidRDefault="00000000">
            <w:pPr>
              <w:spacing w:line="240" w:lineRule="auto"/>
              <w:jc w:val="center"/>
            </w:pPr>
            <w:r>
              <w:t>Количество безработных (тыс. человек)</w:t>
            </w:r>
          </w:p>
        </w:tc>
        <w:tc>
          <w:tcPr>
            <w:tcW w:w="3191" w:type="dxa"/>
          </w:tcPr>
          <w:p w:rsidR="00000000" w:rsidRDefault="00000000">
            <w:pPr>
              <w:spacing w:line="240" w:lineRule="auto"/>
              <w:jc w:val="center"/>
            </w:pPr>
            <w:r>
              <w:t>Процентная доля от общей численности безработных</w:t>
            </w:r>
          </w:p>
        </w:tc>
      </w:tr>
      <w:tr w:rsidR="00000000">
        <w:tblPrEx>
          <w:tblCellMar>
            <w:top w:w="0" w:type="dxa"/>
            <w:bottom w:w="0" w:type="dxa"/>
          </w:tblCellMar>
        </w:tblPrEx>
        <w:tc>
          <w:tcPr>
            <w:tcW w:w="2521" w:type="dxa"/>
          </w:tcPr>
          <w:p w:rsidR="00000000" w:rsidRDefault="00000000">
            <w:pPr>
              <w:jc w:val="center"/>
            </w:pPr>
            <w:r>
              <w:t>1995</w:t>
            </w:r>
          </w:p>
        </w:tc>
        <w:tc>
          <w:tcPr>
            <w:tcW w:w="3190" w:type="dxa"/>
          </w:tcPr>
          <w:p w:rsidR="00000000" w:rsidRDefault="00000000">
            <w:pPr>
              <w:jc w:val="center"/>
            </w:pPr>
            <w:r>
              <w:t>256,9</w:t>
            </w:r>
          </w:p>
        </w:tc>
        <w:tc>
          <w:tcPr>
            <w:tcW w:w="3191" w:type="dxa"/>
          </w:tcPr>
          <w:p w:rsidR="00000000" w:rsidRDefault="00000000">
            <w:pPr>
              <w:jc w:val="center"/>
            </w:pPr>
            <w:r>
              <w:t>9,8</w:t>
            </w:r>
          </w:p>
        </w:tc>
      </w:tr>
      <w:tr w:rsidR="00000000">
        <w:tblPrEx>
          <w:tblCellMar>
            <w:top w:w="0" w:type="dxa"/>
            <w:bottom w:w="0" w:type="dxa"/>
          </w:tblCellMar>
        </w:tblPrEx>
        <w:tc>
          <w:tcPr>
            <w:tcW w:w="2521" w:type="dxa"/>
          </w:tcPr>
          <w:p w:rsidR="00000000" w:rsidRDefault="00000000">
            <w:pPr>
              <w:jc w:val="center"/>
            </w:pPr>
            <w:r>
              <w:t>1996</w:t>
            </w:r>
          </w:p>
        </w:tc>
        <w:tc>
          <w:tcPr>
            <w:tcW w:w="3190" w:type="dxa"/>
          </w:tcPr>
          <w:p w:rsidR="00000000" w:rsidRDefault="00000000">
            <w:pPr>
              <w:jc w:val="center"/>
            </w:pPr>
            <w:r>
              <w:t>200,0</w:t>
            </w:r>
          </w:p>
        </w:tc>
        <w:tc>
          <w:tcPr>
            <w:tcW w:w="3191" w:type="dxa"/>
          </w:tcPr>
          <w:p w:rsidR="00000000" w:rsidRDefault="00000000">
            <w:pPr>
              <w:jc w:val="center"/>
            </w:pPr>
            <w:r>
              <w:t>8,5</w:t>
            </w:r>
          </w:p>
        </w:tc>
      </w:tr>
      <w:tr w:rsidR="00000000">
        <w:tblPrEx>
          <w:tblCellMar>
            <w:top w:w="0" w:type="dxa"/>
            <w:bottom w:w="0" w:type="dxa"/>
          </w:tblCellMar>
        </w:tblPrEx>
        <w:tc>
          <w:tcPr>
            <w:tcW w:w="2521" w:type="dxa"/>
          </w:tcPr>
          <w:p w:rsidR="00000000" w:rsidRDefault="00000000">
            <w:pPr>
              <w:jc w:val="center"/>
            </w:pPr>
            <w:r>
              <w:t>1997</w:t>
            </w:r>
          </w:p>
        </w:tc>
        <w:tc>
          <w:tcPr>
            <w:tcW w:w="3190" w:type="dxa"/>
          </w:tcPr>
          <w:p w:rsidR="00000000" w:rsidRDefault="00000000">
            <w:pPr>
              <w:jc w:val="center"/>
            </w:pPr>
            <w:r>
              <w:t>124,4</w:t>
            </w:r>
          </w:p>
        </w:tc>
        <w:tc>
          <w:tcPr>
            <w:tcW w:w="3191" w:type="dxa"/>
          </w:tcPr>
          <w:p w:rsidR="00000000" w:rsidRDefault="00000000">
            <w:pPr>
              <w:jc w:val="center"/>
            </w:pPr>
            <w:r>
              <w:t>6,8</w:t>
            </w:r>
          </w:p>
        </w:tc>
      </w:tr>
      <w:tr w:rsidR="00000000">
        <w:tblPrEx>
          <w:tblCellMar>
            <w:top w:w="0" w:type="dxa"/>
            <w:bottom w:w="0" w:type="dxa"/>
          </w:tblCellMar>
        </w:tblPrEx>
        <w:tc>
          <w:tcPr>
            <w:tcW w:w="2521" w:type="dxa"/>
          </w:tcPr>
          <w:p w:rsidR="00000000" w:rsidRDefault="00000000">
            <w:pPr>
              <w:jc w:val="center"/>
            </w:pPr>
            <w:r>
              <w:t>1998</w:t>
            </w:r>
          </w:p>
        </w:tc>
        <w:tc>
          <w:tcPr>
            <w:tcW w:w="3190" w:type="dxa"/>
          </w:tcPr>
          <w:p w:rsidR="00000000" w:rsidRDefault="00000000">
            <w:pPr>
              <w:jc w:val="center"/>
            </w:pPr>
            <w:r>
              <w:t>125,4</w:t>
            </w:r>
          </w:p>
        </w:tc>
        <w:tc>
          <w:tcPr>
            <w:tcW w:w="3191" w:type="dxa"/>
          </w:tcPr>
          <w:p w:rsidR="00000000" w:rsidRDefault="00000000">
            <w:pPr>
              <w:jc w:val="center"/>
            </w:pPr>
            <w:r>
              <w:t>6,8</w:t>
            </w:r>
          </w:p>
        </w:tc>
      </w:tr>
    </w:tbl>
    <w:p w:rsidR="00000000" w:rsidRDefault="00000000">
      <w:pPr>
        <w:jc w:val="center"/>
      </w:pPr>
    </w:p>
    <w:p w:rsidR="00000000" w:rsidRDefault="00000000">
      <w:r>
        <w:tab/>
      </w:r>
      <w:r>
        <w:rPr>
          <w:u w:val="single"/>
        </w:rPr>
        <w:t>Источник</w:t>
      </w:r>
      <w:r>
        <w:t>:</w:t>
      </w:r>
      <w:r>
        <w:tab/>
        <w:t xml:space="preserve"> данные Главного статистического управления.</w:t>
      </w:r>
    </w:p>
    <w:p w:rsidR="00000000" w:rsidRDefault="00000000">
      <w:pPr>
        <w:pStyle w:val="FootnoteText"/>
        <w:spacing w:line="288" w:lineRule="auto"/>
      </w:pPr>
    </w:p>
    <w:p w:rsidR="00000000" w:rsidRDefault="00000000">
      <w:pPr>
        <w:pStyle w:val="Heading2"/>
        <w:rPr>
          <w:b/>
          <w:bCs/>
          <w:u w:val="none"/>
        </w:rPr>
      </w:pPr>
      <w:r>
        <w:rPr>
          <w:b/>
          <w:bCs/>
          <w:u w:val="none"/>
        </w:rPr>
        <w:t>Положение инвалидов на рынке труда</w:t>
      </w:r>
    </w:p>
    <w:p w:rsidR="00000000" w:rsidRDefault="00000000">
      <w:pPr>
        <w:pStyle w:val="Heading2"/>
      </w:pPr>
    </w:p>
    <w:p w:rsidR="00000000" w:rsidRDefault="00000000">
      <w:r>
        <w:t>7.</w:t>
      </w:r>
      <w:r>
        <w:tab/>
        <w:t>В соответствии со статьей 69 Конституции от 2 апреля 1997 года государство обязано оказывать инвалидам помощь в предоставлении им средств к существованию, адаптации к трудовой деятельности и в социальном общении.  1 августа 1997 года сейм принял Хартию прав инвалидов.  К этой категории лиц официально было отнесено свыше 4,5 млн. человек в возрасте старше 15 лет.  Две трети из них составляют лица в возрасте до 65 лет.  Конкуренция ограничивает количество рабочих мест, в особенности на защищенном рынке.  Согласно Закону от 9 мая 1991 года в занятости и трудовой реабилитации инвалидов, был создан Государственный фонд реабилитации инвалидов.  Его задачей являлось финансирование механизмов, ориентированных на работодателей, которые используют труд инвалидов, при осуществлении деятельности на открытом и защищенном рынках (например, возмещение расходов по созданию рабочих мест для инвалидов и издержек на выплату им заработной платы наряду со страховыми взносами;  налоговые льготы для работодателей, выполнивших установленные нормативы трудоустройства инвалидов;  и меры в интересах особо защищенных предприятий:  совместное финансирование процентов по линии предоставленных кредитов, займов, субсидий и дотаций).  1 января 1998 года вступил в силу Закон от 27 августа 1997 года о профессиональной и социальной реабилитации и трудоустройстве инвалидов;  он пришел на смену предыдущим нормативным положениям, а также повлек за собой корректировку и расширение сферы охвата механизмов стимулирования их трудоустройства, ориентированных на работодателей и самих инвалидов.</w:t>
      </w:r>
    </w:p>
    <w:p w:rsidR="00000000" w:rsidRDefault="00000000"/>
    <w:p w:rsidR="00000000" w:rsidRDefault="00000000">
      <w:r>
        <w:t>8.</w:t>
      </w:r>
      <w:r>
        <w:tab/>
        <w:t xml:space="preserve">Благодаря мерам, осуществленным после учреждения Государственного фонда реабилитации инвалидов и принятия обоих законов (1991 и 1997 годов), стало возможным ежегодно создавать примерно 12 000 рабочих мест для инвалидов, а также поддерживать их занятость на сравнительно стабильном уровне.  С 1992 года, с начала проведения четыре раза в год репрезентативного обследования экономической активности населения, появились данные о показателях профессиональной активности.  Согласно результатам, полученным в мае 1998 года, профессионально активными были признаны 22,3% лиц с подтвержденной инвалидностью в возрасте старше 15 лет.  Их активность, которая является более низкой по сравнению с остальным населением, возрастает весной и летом (сезон сельскохозяйственных работ).  Показатели профессиональной активности и занятости заметно выше для мужчин-инвалидов, чем для женщин, и во многом зависят от возрастной структуры.  Соответствующие показатели также выше в случае инвалидов из числа сельского населения, что является результатом значительной профессиональной активности лиц, занятых в сельском хозяйстве.  Наибольшая профессиональная активность отмечается среди лиц в возрасте 25-54 лет, и в частности в возрастной группе 25-29 лет.  По состоянию на май 1998 года самодеятельными были 19,7% инвалидов.  Почти 87% их работали в частном секторе, главным образом в сельском хозяйстве;  47,7% инвалидов работали неполный рабочий день, причем чаще ими были женщины, чем мужчины, а также представители городского населения.  Доля инвалидов, работающих неполный рабочий день, повышается с учетом категории инвалидности и возраста:  с 23% в возрастной группе 15-24 лет до 61,4% в возрастной группе 65 лет и старше.  Только около 4% трудящихся инвалидов были заняты более чем на одной работе.  </w:t>
      </w:r>
    </w:p>
    <w:p w:rsidR="00000000" w:rsidRDefault="00000000"/>
    <w:p w:rsidR="00000000" w:rsidRDefault="00000000">
      <w:r>
        <w:t>9.</w:t>
      </w:r>
      <w:r>
        <w:tab/>
        <w:t>В мае 1998 года безработица среди инвалидов (11,7%, или 118 000 человек, из которых 98 000 человек являлись городскими жителями) была выше, чем среди остального населения (10,2%).  Имея тенденцию к снижению, уровень безработицы, как правило, является более высоким в первой половине года и наименьшим в августе.  Наибольший показатель безработицы в мае 1998 года был зарегистрирован в северо-западном макрорегионе (25,6%) и южном регионе (19%).  Как, и для населения в целом, безработица среди женщин-инвалидов превышала безработицу среди мужчин-инвалидов.  Безработица в городах, имеющая более высокие показатели по сравнению с сельскими районами, в наибольшей степени затрагивает именно инвалидов.  Уровень безработицы среди инвалидов является наивысшим среди молодежи, существенно снижаясь в рамках возрастной группы лиц старше 49 лет.  Кроме того, показатель безработицы среди молодежи значительно выше для инвалидов, чем для населения в целом.  Вместе с тем объяснением тому, почему показатель безработицы среди инвалидов во много раз превышает показатель безработицы среди населения в целом, служит возрастная структура этой группы населения (преобладание лиц старшего возраста).  Безработные инвалиды в большинстве случаев имеют общее среднее и базовое профессионально-техническое образование.  Безработица среди инвалидов всех уровней образования, за исключением лиц, получивших лишь начальное образование, является более высокой, чем среди остального населения.</w:t>
      </w:r>
    </w:p>
    <w:p w:rsidR="00000000" w:rsidRDefault="00000000"/>
    <w:p w:rsidR="00000000" w:rsidRDefault="00000000">
      <w:r>
        <w:t>10.</w:t>
      </w:r>
      <w:r>
        <w:tab/>
        <w:t>По данным за август 1998 года, в бюро по трудоустройству было зарегистрировано 25 440 безработных инвалидов и 37 746 нетрудоустроенных инвалидов, ищущих работу, главным образом в таких урбанизированных воеводствах, как Катовице, Варшава и Лодзь.  В стране отмечается постепенное сокращение количества ежемесячно регистрируемых безработных инвалидов, однако это сокращение носит менее выраженный характер, чем для остального безработного населения.</w:t>
      </w:r>
    </w:p>
    <w:p w:rsidR="00000000" w:rsidRDefault="00000000"/>
    <w:p w:rsidR="00000000" w:rsidRDefault="00000000">
      <w:pPr>
        <w:pStyle w:val="BodyText"/>
        <w:spacing w:line="240" w:lineRule="auto"/>
        <w:jc w:val="center"/>
      </w:pPr>
      <w:r>
        <w:t>Таблица 8.   Экономическая активность инвалидов в возрасте 15 лет и старше</w:t>
      </w:r>
    </w:p>
    <w:p w:rsidR="00000000" w:rsidRDefault="00000000">
      <w:pPr>
        <w:pStyle w:val="BodyText"/>
        <w:spacing w:line="240" w:lineRule="auto"/>
        <w:jc w:val="center"/>
      </w:pPr>
      <w:r>
        <w:t>(1995-1998 годы)</w:t>
      </w:r>
    </w:p>
    <w:p w:rsidR="00000000" w:rsidRDefault="00000000">
      <w:pPr>
        <w:pStyle w:val="BodyText"/>
        <w:spacing w:line="240"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4"/>
        <w:gridCol w:w="935"/>
        <w:gridCol w:w="1309"/>
        <w:gridCol w:w="1160"/>
        <w:gridCol w:w="1422"/>
        <w:gridCol w:w="1271"/>
      </w:tblGrid>
      <w:tr w:rsidR="00000000">
        <w:tblPrEx>
          <w:tblCellMar>
            <w:top w:w="0" w:type="dxa"/>
            <w:bottom w:w="0" w:type="dxa"/>
          </w:tblCellMar>
        </w:tblPrEx>
        <w:trPr>
          <w:cantSplit/>
        </w:trPr>
        <w:tc>
          <w:tcPr>
            <w:tcW w:w="3474" w:type="dxa"/>
            <w:vMerge w:val="restart"/>
            <w:vAlign w:val="center"/>
          </w:tcPr>
          <w:p w:rsidR="00000000" w:rsidRDefault="00000000">
            <w:pPr>
              <w:spacing w:line="240" w:lineRule="auto"/>
              <w:jc w:val="center"/>
              <w:rPr>
                <w:sz w:val="22"/>
              </w:rPr>
            </w:pPr>
            <w:r>
              <w:rPr>
                <w:sz w:val="22"/>
              </w:rPr>
              <w:t>Конкретные параметры</w:t>
            </w:r>
          </w:p>
        </w:tc>
        <w:tc>
          <w:tcPr>
            <w:tcW w:w="935" w:type="dxa"/>
            <w:vMerge w:val="restart"/>
            <w:vAlign w:val="center"/>
          </w:tcPr>
          <w:p w:rsidR="00000000" w:rsidRDefault="00000000">
            <w:pPr>
              <w:spacing w:line="240" w:lineRule="auto"/>
              <w:jc w:val="center"/>
              <w:rPr>
                <w:sz w:val="22"/>
              </w:rPr>
            </w:pPr>
            <w:r>
              <w:rPr>
                <w:sz w:val="22"/>
              </w:rPr>
              <w:t>Месяц</w:t>
            </w:r>
          </w:p>
        </w:tc>
        <w:tc>
          <w:tcPr>
            <w:tcW w:w="1309" w:type="dxa"/>
            <w:vAlign w:val="center"/>
          </w:tcPr>
          <w:p w:rsidR="00000000" w:rsidRDefault="00000000">
            <w:pPr>
              <w:pStyle w:val="BodyText2"/>
              <w:spacing w:line="240" w:lineRule="auto"/>
              <w:jc w:val="center"/>
            </w:pPr>
            <w:r>
              <w:t>Уровень профессио-нальной</w:t>
            </w:r>
          </w:p>
          <w:p w:rsidR="00000000" w:rsidRDefault="00000000">
            <w:pPr>
              <w:spacing w:line="240" w:lineRule="auto"/>
              <w:jc w:val="center"/>
              <w:rPr>
                <w:sz w:val="22"/>
              </w:rPr>
            </w:pPr>
            <w:r>
              <w:rPr>
                <w:sz w:val="22"/>
              </w:rPr>
              <w:t>активности</w:t>
            </w:r>
          </w:p>
        </w:tc>
        <w:tc>
          <w:tcPr>
            <w:tcW w:w="1160" w:type="dxa"/>
            <w:vAlign w:val="center"/>
          </w:tcPr>
          <w:p w:rsidR="00000000" w:rsidRDefault="00000000">
            <w:pPr>
              <w:spacing w:line="240" w:lineRule="auto"/>
              <w:jc w:val="center"/>
              <w:rPr>
                <w:sz w:val="22"/>
              </w:rPr>
            </w:pPr>
            <w:r>
              <w:rPr>
                <w:sz w:val="22"/>
              </w:rPr>
              <w:t>Уровень занятости</w:t>
            </w:r>
          </w:p>
        </w:tc>
        <w:tc>
          <w:tcPr>
            <w:tcW w:w="2693" w:type="dxa"/>
            <w:gridSpan w:val="2"/>
            <w:vAlign w:val="center"/>
          </w:tcPr>
          <w:p w:rsidR="00000000" w:rsidRDefault="00000000">
            <w:pPr>
              <w:spacing w:line="240" w:lineRule="auto"/>
              <w:jc w:val="center"/>
              <w:rPr>
                <w:sz w:val="22"/>
              </w:rPr>
            </w:pPr>
            <w:r>
              <w:rPr>
                <w:sz w:val="22"/>
              </w:rPr>
              <w:t>Уровень безработицы</w:t>
            </w:r>
          </w:p>
        </w:tc>
      </w:tr>
      <w:tr w:rsidR="00000000">
        <w:tblPrEx>
          <w:tblCellMar>
            <w:top w:w="0" w:type="dxa"/>
            <w:bottom w:w="0" w:type="dxa"/>
          </w:tblCellMar>
        </w:tblPrEx>
        <w:trPr>
          <w:cantSplit/>
        </w:trPr>
        <w:tc>
          <w:tcPr>
            <w:tcW w:w="3474" w:type="dxa"/>
            <w:vMerge/>
          </w:tcPr>
          <w:p w:rsidR="00000000" w:rsidRDefault="00000000">
            <w:pPr>
              <w:spacing w:line="240" w:lineRule="auto"/>
              <w:jc w:val="center"/>
              <w:rPr>
                <w:sz w:val="22"/>
              </w:rPr>
            </w:pPr>
          </w:p>
        </w:tc>
        <w:tc>
          <w:tcPr>
            <w:tcW w:w="935" w:type="dxa"/>
            <w:vMerge/>
            <w:vAlign w:val="center"/>
          </w:tcPr>
          <w:p w:rsidR="00000000" w:rsidRDefault="00000000">
            <w:pPr>
              <w:spacing w:line="240" w:lineRule="auto"/>
              <w:jc w:val="center"/>
              <w:rPr>
                <w:sz w:val="22"/>
              </w:rPr>
            </w:pPr>
          </w:p>
        </w:tc>
        <w:tc>
          <w:tcPr>
            <w:tcW w:w="3891" w:type="dxa"/>
            <w:gridSpan w:val="3"/>
            <w:vAlign w:val="center"/>
          </w:tcPr>
          <w:p w:rsidR="00000000" w:rsidRDefault="00000000">
            <w:pPr>
              <w:spacing w:line="240" w:lineRule="auto"/>
              <w:jc w:val="center"/>
              <w:rPr>
                <w:sz w:val="22"/>
              </w:rPr>
            </w:pPr>
            <w:r>
              <w:rPr>
                <w:sz w:val="22"/>
              </w:rPr>
              <w:t>Инвалиды</w:t>
            </w:r>
          </w:p>
        </w:tc>
        <w:tc>
          <w:tcPr>
            <w:tcW w:w="1271" w:type="dxa"/>
          </w:tcPr>
          <w:p w:rsidR="00000000" w:rsidRDefault="00000000">
            <w:pPr>
              <w:spacing w:line="240" w:lineRule="auto"/>
              <w:jc w:val="center"/>
              <w:rPr>
                <w:sz w:val="22"/>
              </w:rPr>
            </w:pPr>
            <w:r>
              <w:rPr>
                <w:sz w:val="22"/>
              </w:rPr>
              <w:t>Население в целом</w:t>
            </w:r>
          </w:p>
        </w:tc>
      </w:tr>
      <w:tr w:rsidR="00000000">
        <w:tblPrEx>
          <w:tblCellMar>
            <w:top w:w="0" w:type="dxa"/>
            <w:bottom w:w="0" w:type="dxa"/>
          </w:tblCellMar>
        </w:tblPrEx>
        <w:trPr>
          <w:cantSplit/>
        </w:trPr>
        <w:tc>
          <w:tcPr>
            <w:tcW w:w="3474" w:type="dxa"/>
            <w:vMerge/>
          </w:tcPr>
          <w:p w:rsidR="00000000" w:rsidRDefault="00000000">
            <w:pPr>
              <w:spacing w:line="240" w:lineRule="auto"/>
              <w:jc w:val="center"/>
              <w:rPr>
                <w:sz w:val="22"/>
              </w:rPr>
            </w:pPr>
          </w:p>
        </w:tc>
        <w:tc>
          <w:tcPr>
            <w:tcW w:w="935" w:type="dxa"/>
            <w:vMerge/>
          </w:tcPr>
          <w:p w:rsidR="00000000" w:rsidRDefault="00000000">
            <w:pPr>
              <w:spacing w:line="240" w:lineRule="auto"/>
              <w:jc w:val="center"/>
              <w:rPr>
                <w:sz w:val="22"/>
              </w:rPr>
            </w:pPr>
          </w:p>
        </w:tc>
        <w:tc>
          <w:tcPr>
            <w:tcW w:w="5162" w:type="dxa"/>
            <w:gridSpan w:val="4"/>
          </w:tcPr>
          <w:p w:rsidR="00000000" w:rsidRDefault="00000000">
            <w:pPr>
              <w:spacing w:line="240" w:lineRule="auto"/>
              <w:jc w:val="center"/>
              <w:rPr>
                <w:sz w:val="22"/>
              </w:rPr>
            </w:pPr>
            <w:r>
              <w:rPr>
                <w:sz w:val="22"/>
              </w:rPr>
              <w:t>Доля в процентах</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1995 год</w:t>
            </w:r>
          </w:p>
        </w:tc>
        <w:tc>
          <w:tcPr>
            <w:tcW w:w="935" w:type="dxa"/>
          </w:tcPr>
          <w:p w:rsidR="00000000" w:rsidRDefault="00000000">
            <w:pPr>
              <w:spacing w:line="240" w:lineRule="auto"/>
              <w:jc w:val="center"/>
              <w:rPr>
                <w:sz w:val="22"/>
              </w:rPr>
            </w:pPr>
            <w:r>
              <w:rPr>
                <w:sz w:val="22"/>
                <w:lang w:val="en-US"/>
              </w:rPr>
              <w:t>XI</w:t>
            </w:r>
          </w:p>
        </w:tc>
        <w:tc>
          <w:tcPr>
            <w:tcW w:w="1309" w:type="dxa"/>
          </w:tcPr>
          <w:p w:rsidR="00000000" w:rsidRDefault="00000000">
            <w:pPr>
              <w:spacing w:line="240" w:lineRule="auto"/>
              <w:jc w:val="center"/>
              <w:rPr>
                <w:sz w:val="22"/>
              </w:rPr>
            </w:pPr>
            <w:r>
              <w:rPr>
                <w:sz w:val="22"/>
              </w:rPr>
              <w:t>21,6</w:t>
            </w:r>
          </w:p>
        </w:tc>
        <w:tc>
          <w:tcPr>
            <w:tcW w:w="1160" w:type="dxa"/>
          </w:tcPr>
          <w:p w:rsidR="00000000" w:rsidRDefault="00000000">
            <w:pPr>
              <w:spacing w:line="240" w:lineRule="auto"/>
              <w:jc w:val="center"/>
              <w:rPr>
                <w:sz w:val="22"/>
              </w:rPr>
            </w:pPr>
            <w:r>
              <w:rPr>
                <w:sz w:val="22"/>
              </w:rPr>
              <w:t>18,9</w:t>
            </w:r>
          </w:p>
        </w:tc>
        <w:tc>
          <w:tcPr>
            <w:tcW w:w="1422" w:type="dxa"/>
          </w:tcPr>
          <w:p w:rsidR="00000000" w:rsidRDefault="00000000">
            <w:pPr>
              <w:spacing w:line="240" w:lineRule="auto"/>
              <w:jc w:val="center"/>
              <w:rPr>
                <w:sz w:val="22"/>
              </w:rPr>
            </w:pPr>
            <w:r>
              <w:rPr>
                <w:sz w:val="22"/>
              </w:rPr>
              <w:t>12,7</w:t>
            </w:r>
          </w:p>
        </w:tc>
        <w:tc>
          <w:tcPr>
            <w:tcW w:w="1271" w:type="dxa"/>
          </w:tcPr>
          <w:p w:rsidR="00000000" w:rsidRDefault="00000000">
            <w:pPr>
              <w:spacing w:line="240" w:lineRule="auto"/>
              <w:jc w:val="center"/>
              <w:rPr>
                <w:sz w:val="22"/>
              </w:rPr>
            </w:pPr>
            <w:r>
              <w:rPr>
                <w:sz w:val="22"/>
              </w:rPr>
              <w:t>13,1</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1996 год</w:t>
            </w:r>
          </w:p>
        </w:tc>
        <w:tc>
          <w:tcPr>
            <w:tcW w:w="935" w:type="dxa"/>
          </w:tcPr>
          <w:p w:rsidR="00000000" w:rsidRDefault="00000000">
            <w:pPr>
              <w:spacing w:line="240" w:lineRule="auto"/>
              <w:jc w:val="center"/>
              <w:rPr>
                <w:sz w:val="22"/>
              </w:rPr>
            </w:pPr>
            <w:r>
              <w:rPr>
                <w:sz w:val="22"/>
                <w:lang w:val="en-US"/>
              </w:rPr>
              <w:t>XI</w:t>
            </w:r>
          </w:p>
        </w:tc>
        <w:tc>
          <w:tcPr>
            <w:tcW w:w="1309" w:type="dxa"/>
          </w:tcPr>
          <w:p w:rsidR="00000000" w:rsidRDefault="00000000">
            <w:pPr>
              <w:spacing w:line="240" w:lineRule="auto"/>
              <w:jc w:val="center"/>
              <w:rPr>
                <w:sz w:val="22"/>
              </w:rPr>
            </w:pPr>
            <w:r>
              <w:rPr>
                <w:sz w:val="22"/>
              </w:rPr>
              <w:t>22,1</w:t>
            </w:r>
          </w:p>
        </w:tc>
        <w:tc>
          <w:tcPr>
            <w:tcW w:w="1160" w:type="dxa"/>
          </w:tcPr>
          <w:p w:rsidR="00000000" w:rsidRDefault="00000000">
            <w:pPr>
              <w:spacing w:line="240" w:lineRule="auto"/>
              <w:jc w:val="center"/>
              <w:rPr>
                <w:sz w:val="22"/>
              </w:rPr>
            </w:pPr>
            <w:r>
              <w:rPr>
                <w:sz w:val="22"/>
              </w:rPr>
              <w:t>19,7</w:t>
            </w:r>
          </w:p>
        </w:tc>
        <w:tc>
          <w:tcPr>
            <w:tcW w:w="1422" w:type="dxa"/>
          </w:tcPr>
          <w:p w:rsidR="00000000" w:rsidRDefault="00000000">
            <w:pPr>
              <w:spacing w:line="240" w:lineRule="auto"/>
              <w:jc w:val="center"/>
              <w:rPr>
                <w:sz w:val="22"/>
              </w:rPr>
            </w:pPr>
            <w:r>
              <w:rPr>
                <w:sz w:val="22"/>
              </w:rPr>
              <w:t>10,9</w:t>
            </w:r>
          </w:p>
        </w:tc>
        <w:tc>
          <w:tcPr>
            <w:tcW w:w="1271" w:type="dxa"/>
          </w:tcPr>
          <w:p w:rsidR="00000000" w:rsidRDefault="00000000">
            <w:pPr>
              <w:spacing w:line="240" w:lineRule="auto"/>
              <w:jc w:val="center"/>
              <w:rPr>
                <w:sz w:val="22"/>
              </w:rPr>
            </w:pPr>
            <w:r>
              <w:rPr>
                <w:sz w:val="22"/>
              </w:rPr>
              <w:t>11,5</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1997 год</w:t>
            </w:r>
          </w:p>
        </w:tc>
        <w:tc>
          <w:tcPr>
            <w:tcW w:w="935" w:type="dxa"/>
          </w:tcPr>
          <w:p w:rsidR="00000000" w:rsidRDefault="00000000">
            <w:pPr>
              <w:spacing w:line="240" w:lineRule="auto"/>
              <w:jc w:val="center"/>
              <w:rPr>
                <w:sz w:val="22"/>
              </w:rPr>
            </w:pPr>
            <w:r>
              <w:rPr>
                <w:sz w:val="22"/>
                <w:lang w:val="en-US"/>
              </w:rPr>
              <w:t>XI</w:t>
            </w:r>
          </w:p>
        </w:tc>
        <w:tc>
          <w:tcPr>
            <w:tcW w:w="1309" w:type="dxa"/>
          </w:tcPr>
          <w:p w:rsidR="00000000" w:rsidRDefault="00000000">
            <w:pPr>
              <w:spacing w:line="240" w:lineRule="auto"/>
              <w:jc w:val="center"/>
              <w:rPr>
                <w:sz w:val="22"/>
              </w:rPr>
            </w:pPr>
            <w:r>
              <w:rPr>
                <w:sz w:val="22"/>
              </w:rPr>
              <w:t>21,9</w:t>
            </w:r>
          </w:p>
        </w:tc>
        <w:tc>
          <w:tcPr>
            <w:tcW w:w="1160" w:type="dxa"/>
          </w:tcPr>
          <w:p w:rsidR="00000000" w:rsidRDefault="00000000">
            <w:pPr>
              <w:spacing w:line="240" w:lineRule="auto"/>
              <w:jc w:val="center"/>
              <w:rPr>
                <w:sz w:val="22"/>
              </w:rPr>
            </w:pPr>
            <w:r>
              <w:rPr>
                <w:sz w:val="22"/>
              </w:rPr>
              <w:t>19,8</w:t>
            </w:r>
          </w:p>
        </w:tc>
        <w:tc>
          <w:tcPr>
            <w:tcW w:w="1422" w:type="dxa"/>
          </w:tcPr>
          <w:p w:rsidR="00000000" w:rsidRDefault="00000000">
            <w:pPr>
              <w:spacing w:line="240" w:lineRule="auto"/>
              <w:jc w:val="center"/>
              <w:rPr>
                <w:sz w:val="22"/>
              </w:rPr>
            </w:pPr>
            <w:r>
              <w:rPr>
                <w:sz w:val="22"/>
              </w:rPr>
              <w:t xml:space="preserve"> 9,9</w:t>
            </w:r>
          </w:p>
        </w:tc>
        <w:tc>
          <w:tcPr>
            <w:tcW w:w="1271" w:type="dxa"/>
          </w:tcPr>
          <w:p w:rsidR="00000000" w:rsidRDefault="00000000">
            <w:pPr>
              <w:spacing w:line="240" w:lineRule="auto"/>
              <w:jc w:val="center"/>
              <w:rPr>
                <w:sz w:val="22"/>
              </w:rPr>
            </w:pPr>
            <w:r>
              <w:rPr>
                <w:sz w:val="22"/>
              </w:rPr>
              <w:t>10,2</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1998 год</w:t>
            </w:r>
          </w:p>
        </w:tc>
        <w:tc>
          <w:tcPr>
            <w:tcW w:w="935" w:type="dxa"/>
          </w:tcPr>
          <w:p w:rsidR="00000000" w:rsidRDefault="00000000">
            <w:pPr>
              <w:spacing w:line="240" w:lineRule="auto"/>
              <w:jc w:val="center"/>
              <w:rPr>
                <w:sz w:val="22"/>
              </w:rPr>
            </w:pPr>
            <w:r>
              <w:rPr>
                <w:sz w:val="22"/>
                <w:lang w:val="en-US"/>
              </w:rPr>
              <w:t>V</w:t>
            </w:r>
          </w:p>
        </w:tc>
        <w:tc>
          <w:tcPr>
            <w:tcW w:w="1309" w:type="dxa"/>
          </w:tcPr>
          <w:p w:rsidR="00000000" w:rsidRDefault="00000000">
            <w:pPr>
              <w:spacing w:line="240" w:lineRule="auto"/>
              <w:jc w:val="center"/>
              <w:rPr>
                <w:sz w:val="22"/>
              </w:rPr>
            </w:pPr>
            <w:r>
              <w:rPr>
                <w:sz w:val="22"/>
              </w:rPr>
              <w:t>22,3</w:t>
            </w:r>
          </w:p>
        </w:tc>
        <w:tc>
          <w:tcPr>
            <w:tcW w:w="1160" w:type="dxa"/>
          </w:tcPr>
          <w:p w:rsidR="00000000" w:rsidRDefault="00000000">
            <w:pPr>
              <w:spacing w:line="240" w:lineRule="auto"/>
              <w:jc w:val="center"/>
              <w:rPr>
                <w:sz w:val="22"/>
              </w:rPr>
            </w:pPr>
            <w:r>
              <w:rPr>
                <w:sz w:val="22"/>
              </w:rPr>
              <w:t>19,7</w:t>
            </w:r>
          </w:p>
        </w:tc>
        <w:tc>
          <w:tcPr>
            <w:tcW w:w="1422" w:type="dxa"/>
          </w:tcPr>
          <w:p w:rsidR="00000000" w:rsidRDefault="00000000">
            <w:pPr>
              <w:spacing w:line="240" w:lineRule="auto"/>
              <w:jc w:val="center"/>
              <w:rPr>
                <w:sz w:val="22"/>
              </w:rPr>
            </w:pPr>
            <w:r>
              <w:rPr>
                <w:sz w:val="22"/>
              </w:rPr>
              <w:t>11,7</w:t>
            </w:r>
          </w:p>
        </w:tc>
        <w:tc>
          <w:tcPr>
            <w:tcW w:w="1271" w:type="dxa"/>
          </w:tcPr>
          <w:p w:rsidR="00000000" w:rsidRDefault="00000000">
            <w:pPr>
              <w:spacing w:line="240" w:lineRule="auto"/>
              <w:jc w:val="center"/>
              <w:rPr>
                <w:sz w:val="22"/>
              </w:rPr>
            </w:pPr>
            <w:r>
              <w:rPr>
                <w:sz w:val="22"/>
              </w:rPr>
              <w:t>10,2</w:t>
            </w:r>
          </w:p>
        </w:tc>
      </w:tr>
      <w:tr w:rsidR="00000000">
        <w:tblPrEx>
          <w:tblCellMar>
            <w:top w:w="0" w:type="dxa"/>
            <w:bottom w:w="0" w:type="dxa"/>
          </w:tblCellMar>
        </w:tblPrEx>
        <w:trPr>
          <w:cantSplit/>
        </w:trPr>
        <w:tc>
          <w:tcPr>
            <w:tcW w:w="9571" w:type="dxa"/>
            <w:gridSpan w:val="6"/>
          </w:tcPr>
          <w:p w:rsidR="00000000" w:rsidRDefault="00000000">
            <w:pPr>
              <w:jc w:val="center"/>
              <w:rPr>
                <w:sz w:val="22"/>
              </w:rPr>
            </w:pPr>
            <w:r>
              <w:rPr>
                <w:sz w:val="22"/>
              </w:rPr>
              <w:t>Май 1998 года:  в разбивке по признакам пола, места жительства и возраста</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Мужчины</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rPr>
            </w:pPr>
            <w:r>
              <w:rPr>
                <w:sz w:val="22"/>
              </w:rPr>
              <w:t>28,2</w:t>
            </w:r>
          </w:p>
        </w:tc>
        <w:tc>
          <w:tcPr>
            <w:tcW w:w="1160" w:type="dxa"/>
          </w:tcPr>
          <w:p w:rsidR="00000000" w:rsidRDefault="00000000">
            <w:pPr>
              <w:spacing w:line="240" w:lineRule="auto"/>
              <w:jc w:val="center"/>
              <w:rPr>
                <w:sz w:val="22"/>
              </w:rPr>
            </w:pPr>
            <w:r>
              <w:rPr>
                <w:sz w:val="22"/>
              </w:rPr>
              <w:t>25,0</w:t>
            </w:r>
          </w:p>
        </w:tc>
        <w:tc>
          <w:tcPr>
            <w:tcW w:w="1422" w:type="dxa"/>
          </w:tcPr>
          <w:p w:rsidR="00000000" w:rsidRDefault="00000000">
            <w:pPr>
              <w:spacing w:line="240" w:lineRule="auto"/>
              <w:jc w:val="center"/>
              <w:rPr>
                <w:sz w:val="22"/>
              </w:rPr>
            </w:pPr>
            <w:r>
              <w:rPr>
                <w:sz w:val="22"/>
              </w:rPr>
              <w:t>11,1</w:t>
            </w:r>
          </w:p>
        </w:tc>
        <w:tc>
          <w:tcPr>
            <w:tcW w:w="1271" w:type="dxa"/>
          </w:tcPr>
          <w:p w:rsidR="00000000" w:rsidRDefault="00000000">
            <w:pPr>
              <w:spacing w:line="240" w:lineRule="auto"/>
              <w:jc w:val="center"/>
              <w:rPr>
                <w:sz w:val="22"/>
              </w:rPr>
            </w:pPr>
            <w:r>
              <w:rPr>
                <w:sz w:val="22"/>
              </w:rPr>
              <w:t xml:space="preserve"> 8,6</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Женщины</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rPr>
            </w:pPr>
            <w:r>
              <w:rPr>
                <w:sz w:val="22"/>
              </w:rPr>
              <w:t>16,9</w:t>
            </w:r>
          </w:p>
        </w:tc>
        <w:tc>
          <w:tcPr>
            <w:tcW w:w="1160" w:type="dxa"/>
          </w:tcPr>
          <w:p w:rsidR="00000000" w:rsidRDefault="00000000">
            <w:pPr>
              <w:spacing w:line="240" w:lineRule="auto"/>
              <w:jc w:val="center"/>
              <w:rPr>
                <w:sz w:val="22"/>
              </w:rPr>
            </w:pPr>
            <w:r>
              <w:rPr>
                <w:sz w:val="22"/>
              </w:rPr>
              <w:t>14,8</w:t>
            </w:r>
          </w:p>
        </w:tc>
        <w:tc>
          <w:tcPr>
            <w:tcW w:w="1422" w:type="dxa"/>
          </w:tcPr>
          <w:p w:rsidR="00000000" w:rsidRDefault="00000000">
            <w:pPr>
              <w:spacing w:line="240" w:lineRule="auto"/>
              <w:jc w:val="center"/>
              <w:rPr>
                <w:sz w:val="22"/>
              </w:rPr>
            </w:pPr>
            <w:r>
              <w:rPr>
                <w:sz w:val="22"/>
              </w:rPr>
              <w:t>12,5</w:t>
            </w:r>
          </w:p>
        </w:tc>
        <w:tc>
          <w:tcPr>
            <w:tcW w:w="1271" w:type="dxa"/>
          </w:tcPr>
          <w:p w:rsidR="00000000" w:rsidRDefault="00000000">
            <w:pPr>
              <w:spacing w:line="240" w:lineRule="auto"/>
              <w:jc w:val="center"/>
              <w:rPr>
                <w:sz w:val="22"/>
              </w:rPr>
            </w:pPr>
            <w:r>
              <w:rPr>
                <w:sz w:val="22"/>
              </w:rPr>
              <w:t>12,2</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Города</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rPr>
            </w:pPr>
            <w:r>
              <w:rPr>
                <w:sz w:val="22"/>
              </w:rPr>
              <w:t>18,6</w:t>
            </w:r>
          </w:p>
        </w:tc>
        <w:tc>
          <w:tcPr>
            <w:tcW w:w="1160" w:type="dxa"/>
          </w:tcPr>
          <w:p w:rsidR="00000000" w:rsidRDefault="00000000">
            <w:pPr>
              <w:spacing w:line="240" w:lineRule="auto"/>
              <w:jc w:val="center"/>
              <w:rPr>
                <w:sz w:val="22"/>
              </w:rPr>
            </w:pPr>
            <w:r>
              <w:rPr>
                <w:sz w:val="22"/>
              </w:rPr>
              <w:t>15,0</w:t>
            </w:r>
          </w:p>
        </w:tc>
        <w:tc>
          <w:tcPr>
            <w:tcW w:w="1422" w:type="dxa"/>
          </w:tcPr>
          <w:p w:rsidR="00000000" w:rsidRDefault="00000000">
            <w:pPr>
              <w:spacing w:line="240" w:lineRule="auto"/>
              <w:jc w:val="center"/>
              <w:rPr>
                <w:sz w:val="22"/>
              </w:rPr>
            </w:pPr>
            <w:r>
              <w:rPr>
                <w:sz w:val="22"/>
              </w:rPr>
              <w:t>19,2</w:t>
            </w:r>
          </w:p>
        </w:tc>
        <w:tc>
          <w:tcPr>
            <w:tcW w:w="1271" w:type="dxa"/>
          </w:tcPr>
          <w:p w:rsidR="00000000" w:rsidRDefault="00000000">
            <w:pPr>
              <w:spacing w:line="240" w:lineRule="auto"/>
              <w:jc w:val="center"/>
              <w:rPr>
                <w:sz w:val="22"/>
              </w:rPr>
            </w:pPr>
            <w:r>
              <w:rPr>
                <w:sz w:val="22"/>
              </w:rPr>
              <w:t>10,7</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Сельские районы</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rPr>
            </w:pPr>
            <w:r>
              <w:rPr>
                <w:sz w:val="22"/>
              </w:rPr>
              <w:t>28,1</w:t>
            </w:r>
          </w:p>
        </w:tc>
        <w:tc>
          <w:tcPr>
            <w:tcW w:w="1160" w:type="dxa"/>
          </w:tcPr>
          <w:p w:rsidR="00000000" w:rsidRDefault="00000000">
            <w:pPr>
              <w:spacing w:line="240" w:lineRule="auto"/>
              <w:jc w:val="center"/>
              <w:rPr>
                <w:sz w:val="22"/>
              </w:rPr>
            </w:pPr>
            <w:r>
              <w:rPr>
                <w:sz w:val="22"/>
              </w:rPr>
              <w:t>27,0</w:t>
            </w:r>
          </w:p>
        </w:tc>
        <w:tc>
          <w:tcPr>
            <w:tcW w:w="1422" w:type="dxa"/>
          </w:tcPr>
          <w:p w:rsidR="00000000" w:rsidRDefault="00000000">
            <w:pPr>
              <w:spacing w:line="240" w:lineRule="auto"/>
              <w:jc w:val="center"/>
              <w:rPr>
                <w:sz w:val="22"/>
              </w:rPr>
            </w:pPr>
            <w:r>
              <w:rPr>
                <w:sz w:val="22"/>
              </w:rPr>
              <w:t xml:space="preserve"> 4,0</w:t>
            </w:r>
          </w:p>
        </w:tc>
        <w:tc>
          <w:tcPr>
            <w:tcW w:w="1271" w:type="dxa"/>
          </w:tcPr>
          <w:p w:rsidR="00000000" w:rsidRDefault="00000000">
            <w:pPr>
              <w:spacing w:line="240" w:lineRule="auto"/>
              <w:jc w:val="center"/>
              <w:rPr>
                <w:sz w:val="22"/>
              </w:rPr>
            </w:pPr>
            <w:r>
              <w:rPr>
                <w:sz w:val="22"/>
              </w:rPr>
              <w:t xml:space="preserve"> 9,4</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15-24 года</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rPr>
            </w:pPr>
            <w:r>
              <w:rPr>
                <w:sz w:val="22"/>
              </w:rPr>
              <w:t>25,8</w:t>
            </w:r>
          </w:p>
        </w:tc>
        <w:tc>
          <w:tcPr>
            <w:tcW w:w="1160" w:type="dxa"/>
          </w:tcPr>
          <w:p w:rsidR="00000000" w:rsidRDefault="00000000">
            <w:pPr>
              <w:spacing w:line="240" w:lineRule="auto"/>
              <w:jc w:val="center"/>
              <w:rPr>
                <w:sz w:val="22"/>
              </w:rPr>
            </w:pPr>
            <w:r>
              <w:rPr>
                <w:sz w:val="22"/>
              </w:rPr>
              <w:t>17,5</w:t>
            </w:r>
          </w:p>
        </w:tc>
        <w:tc>
          <w:tcPr>
            <w:tcW w:w="1422" w:type="dxa"/>
          </w:tcPr>
          <w:p w:rsidR="00000000" w:rsidRDefault="00000000">
            <w:pPr>
              <w:spacing w:line="240" w:lineRule="auto"/>
              <w:jc w:val="center"/>
              <w:rPr>
                <w:sz w:val="22"/>
              </w:rPr>
            </w:pPr>
            <w:r>
              <w:rPr>
                <w:sz w:val="22"/>
              </w:rPr>
              <w:t>32,0</w:t>
            </w:r>
          </w:p>
        </w:tc>
        <w:tc>
          <w:tcPr>
            <w:tcW w:w="1271" w:type="dxa"/>
          </w:tcPr>
          <w:p w:rsidR="00000000" w:rsidRDefault="00000000">
            <w:pPr>
              <w:spacing w:line="240" w:lineRule="auto"/>
              <w:jc w:val="center"/>
              <w:rPr>
                <w:sz w:val="22"/>
              </w:rPr>
            </w:pPr>
            <w:r>
              <w:rPr>
                <w:sz w:val="22"/>
              </w:rPr>
              <w:t>21,8</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ab/>
              <w:t>25-29</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rPr>
            </w:pPr>
            <w:r>
              <w:rPr>
                <w:sz w:val="22"/>
              </w:rPr>
              <w:t>37,8</w:t>
            </w:r>
          </w:p>
        </w:tc>
        <w:tc>
          <w:tcPr>
            <w:tcW w:w="1160" w:type="dxa"/>
          </w:tcPr>
          <w:p w:rsidR="00000000" w:rsidRDefault="00000000">
            <w:pPr>
              <w:spacing w:line="240" w:lineRule="auto"/>
              <w:jc w:val="center"/>
              <w:rPr>
                <w:sz w:val="22"/>
              </w:rPr>
            </w:pPr>
            <w:r>
              <w:rPr>
                <w:sz w:val="22"/>
              </w:rPr>
              <w:t>28,0</w:t>
            </w:r>
          </w:p>
        </w:tc>
        <w:tc>
          <w:tcPr>
            <w:tcW w:w="1422" w:type="dxa"/>
          </w:tcPr>
          <w:p w:rsidR="00000000" w:rsidRDefault="00000000">
            <w:pPr>
              <w:spacing w:line="240" w:lineRule="auto"/>
              <w:jc w:val="center"/>
              <w:rPr>
                <w:sz w:val="22"/>
              </w:rPr>
            </w:pPr>
            <w:r>
              <w:rPr>
                <w:sz w:val="22"/>
              </w:rPr>
              <w:t>22,6</w:t>
            </w:r>
          </w:p>
        </w:tc>
        <w:tc>
          <w:tcPr>
            <w:tcW w:w="1271" w:type="dxa"/>
          </w:tcPr>
          <w:p w:rsidR="00000000" w:rsidRDefault="00000000">
            <w:pPr>
              <w:spacing w:line="240" w:lineRule="auto"/>
              <w:jc w:val="center"/>
              <w:rPr>
                <w:sz w:val="22"/>
              </w:rPr>
            </w:pPr>
            <w:r>
              <w:rPr>
                <w:sz w:val="22"/>
              </w:rPr>
              <w:t>11,9</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ab/>
              <w:t>30-34</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lang w:val="en-US"/>
              </w:rPr>
            </w:pPr>
            <w:r>
              <w:rPr>
                <w:sz w:val="22"/>
                <w:lang w:val="en-US"/>
              </w:rPr>
              <w:t>32,9</w:t>
            </w:r>
          </w:p>
        </w:tc>
        <w:tc>
          <w:tcPr>
            <w:tcW w:w="1160" w:type="dxa"/>
          </w:tcPr>
          <w:p w:rsidR="00000000" w:rsidRDefault="00000000">
            <w:pPr>
              <w:spacing w:line="240" w:lineRule="auto"/>
              <w:jc w:val="center"/>
              <w:rPr>
                <w:sz w:val="22"/>
                <w:lang w:val="en-US"/>
              </w:rPr>
            </w:pPr>
            <w:r>
              <w:rPr>
                <w:sz w:val="22"/>
                <w:lang w:val="en-US"/>
              </w:rPr>
              <w:t>28,0</w:t>
            </w:r>
          </w:p>
        </w:tc>
        <w:tc>
          <w:tcPr>
            <w:tcW w:w="1422" w:type="dxa"/>
          </w:tcPr>
          <w:p w:rsidR="00000000" w:rsidRDefault="00000000">
            <w:pPr>
              <w:spacing w:line="240" w:lineRule="auto"/>
              <w:jc w:val="center"/>
              <w:rPr>
                <w:sz w:val="22"/>
                <w:lang w:val="en-US"/>
              </w:rPr>
            </w:pPr>
            <w:r>
              <w:rPr>
                <w:sz w:val="22"/>
                <w:lang w:val="en-US"/>
              </w:rPr>
              <w:t>18,5</w:t>
            </w:r>
          </w:p>
        </w:tc>
        <w:tc>
          <w:tcPr>
            <w:tcW w:w="1271" w:type="dxa"/>
          </w:tcPr>
          <w:p w:rsidR="00000000" w:rsidRDefault="00000000">
            <w:pPr>
              <w:spacing w:line="240" w:lineRule="auto"/>
              <w:jc w:val="center"/>
              <w:rPr>
                <w:sz w:val="22"/>
                <w:lang w:val="en-US"/>
              </w:rPr>
            </w:pPr>
            <w:r>
              <w:rPr>
                <w:sz w:val="22"/>
                <w:lang w:val="en-US"/>
              </w:rPr>
              <w:t>10,6</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ab/>
              <w:t>35-39</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lang w:val="en-US"/>
              </w:rPr>
            </w:pPr>
            <w:r>
              <w:rPr>
                <w:sz w:val="22"/>
                <w:lang w:val="en-US"/>
              </w:rPr>
              <w:t>37,0</w:t>
            </w:r>
          </w:p>
        </w:tc>
        <w:tc>
          <w:tcPr>
            <w:tcW w:w="1160" w:type="dxa"/>
          </w:tcPr>
          <w:p w:rsidR="00000000" w:rsidRDefault="00000000">
            <w:pPr>
              <w:spacing w:line="240" w:lineRule="auto"/>
              <w:jc w:val="center"/>
              <w:rPr>
                <w:sz w:val="22"/>
                <w:lang w:val="en-US"/>
              </w:rPr>
            </w:pPr>
            <w:r>
              <w:rPr>
                <w:sz w:val="22"/>
                <w:lang w:val="en-US"/>
              </w:rPr>
              <w:t>29,9</w:t>
            </w:r>
          </w:p>
        </w:tc>
        <w:tc>
          <w:tcPr>
            <w:tcW w:w="1422" w:type="dxa"/>
          </w:tcPr>
          <w:p w:rsidR="00000000" w:rsidRDefault="00000000">
            <w:pPr>
              <w:spacing w:line="240" w:lineRule="auto"/>
              <w:jc w:val="center"/>
              <w:rPr>
                <w:sz w:val="22"/>
                <w:lang w:val="en-US"/>
              </w:rPr>
            </w:pPr>
            <w:r>
              <w:rPr>
                <w:sz w:val="22"/>
                <w:lang w:val="en-US"/>
              </w:rPr>
              <w:t>19,3</w:t>
            </w:r>
          </w:p>
        </w:tc>
        <w:tc>
          <w:tcPr>
            <w:tcW w:w="1271" w:type="dxa"/>
          </w:tcPr>
          <w:p w:rsidR="00000000" w:rsidRDefault="00000000">
            <w:pPr>
              <w:spacing w:line="240" w:lineRule="auto"/>
              <w:jc w:val="center"/>
              <w:rPr>
                <w:sz w:val="22"/>
                <w:lang w:val="en-US"/>
              </w:rPr>
            </w:pPr>
            <w:r>
              <w:rPr>
                <w:sz w:val="22"/>
              </w:rPr>
              <w:t xml:space="preserve"> </w:t>
            </w:r>
            <w:r>
              <w:rPr>
                <w:sz w:val="22"/>
                <w:lang w:val="en-US"/>
              </w:rPr>
              <w:t>9,8</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ab/>
              <w:t>40-44</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lang w:val="en-US"/>
              </w:rPr>
            </w:pPr>
            <w:r>
              <w:rPr>
                <w:sz w:val="22"/>
                <w:lang w:val="en-US"/>
              </w:rPr>
              <w:t>32,7</w:t>
            </w:r>
          </w:p>
        </w:tc>
        <w:tc>
          <w:tcPr>
            <w:tcW w:w="1160" w:type="dxa"/>
          </w:tcPr>
          <w:p w:rsidR="00000000" w:rsidRDefault="00000000">
            <w:pPr>
              <w:spacing w:line="240" w:lineRule="auto"/>
              <w:jc w:val="center"/>
              <w:rPr>
                <w:sz w:val="22"/>
                <w:lang w:val="en-US"/>
              </w:rPr>
            </w:pPr>
            <w:r>
              <w:rPr>
                <w:sz w:val="22"/>
                <w:lang w:val="en-US"/>
              </w:rPr>
              <w:t>26,9</w:t>
            </w:r>
          </w:p>
        </w:tc>
        <w:tc>
          <w:tcPr>
            <w:tcW w:w="1422" w:type="dxa"/>
          </w:tcPr>
          <w:p w:rsidR="00000000" w:rsidRDefault="00000000">
            <w:pPr>
              <w:spacing w:line="240" w:lineRule="auto"/>
              <w:jc w:val="center"/>
              <w:rPr>
                <w:sz w:val="22"/>
                <w:lang w:val="en-US"/>
              </w:rPr>
            </w:pPr>
            <w:r>
              <w:rPr>
                <w:sz w:val="22"/>
                <w:lang w:val="en-US"/>
              </w:rPr>
              <w:t>16,5</w:t>
            </w:r>
          </w:p>
        </w:tc>
        <w:tc>
          <w:tcPr>
            <w:tcW w:w="1271" w:type="dxa"/>
          </w:tcPr>
          <w:p w:rsidR="00000000" w:rsidRDefault="00000000">
            <w:pPr>
              <w:spacing w:line="240" w:lineRule="auto"/>
              <w:jc w:val="center"/>
              <w:rPr>
                <w:sz w:val="22"/>
                <w:lang w:val="en-US"/>
              </w:rPr>
            </w:pPr>
            <w:r>
              <w:rPr>
                <w:sz w:val="22"/>
              </w:rPr>
              <w:t xml:space="preserve"> </w:t>
            </w:r>
            <w:r>
              <w:rPr>
                <w:sz w:val="22"/>
                <w:lang w:val="en-US"/>
              </w:rPr>
              <w:t>8,0</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ab/>
              <w:t>45-49</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lang w:val="en-US"/>
              </w:rPr>
            </w:pPr>
            <w:r>
              <w:rPr>
                <w:sz w:val="22"/>
                <w:lang w:val="en-US"/>
              </w:rPr>
              <w:t>34,6</w:t>
            </w:r>
          </w:p>
        </w:tc>
        <w:tc>
          <w:tcPr>
            <w:tcW w:w="1160" w:type="dxa"/>
          </w:tcPr>
          <w:p w:rsidR="00000000" w:rsidRDefault="00000000">
            <w:pPr>
              <w:spacing w:line="240" w:lineRule="auto"/>
              <w:jc w:val="center"/>
              <w:rPr>
                <w:sz w:val="22"/>
                <w:lang w:val="en-US"/>
              </w:rPr>
            </w:pPr>
            <w:r>
              <w:rPr>
                <w:sz w:val="22"/>
                <w:lang w:val="en-US"/>
              </w:rPr>
              <w:t>27,8</w:t>
            </w:r>
          </w:p>
        </w:tc>
        <w:tc>
          <w:tcPr>
            <w:tcW w:w="1422" w:type="dxa"/>
          </w:tcPr>
          <w:p w:rsidR="00000000" w:rsidRDefault="00000000">
            <w:pPr>
              <w:spacing w:line="240" w:lineRule="auto"/>
              <w:jc w:val="center"/>
              <w:rPr>
                <w:sz w:val="22"/>
                <w:lang w:val="en-US"/>
              </w:rPr>
            </w:pPr>
            <w:r>
              <w:rPr>
                <w:sz w:val="22"/>
                <w:lang w:val="en-US"/>
              </w:rPr>
              <w:t>19,6</w:t>
            </w:r>
          </w:p>
        </w:tc>
        <w:tc>
          <w:tcPr>
            <w:tcW w:w="1271" w:type="dxa"/>
          </w:tcPr>
          <w:p w:rsidR="00000000" w:rsidRDefault="00000000">
            <w:pPr>
              <w:spacing w:line="240" w:lineRule="auto"/>
              <w:jc w:val="center"/>
              <w:rPr>
                <w:sz w:val="22"/>
                <w:lang w:val="en-US"/>
              </w:rPr>
            </w:pPr>
            <w:r>
              <w:rPr>
                <w:sz w:val="22"/>
              </w:rPr>
              <w:t xml:space="preserve"> </w:t>
            </w:r>
            <w:r>
              <w:rPr>
                <w:sz w:val="22"/>
                <w:lang w:val="en-US"/>
              </w:rPr>
              <w:t>8,1</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ab/>
              <w:t>50-54</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lang w:val="en-US"/>
              </w:rPr>
            </w:pPr>
            <w:r>
              <w:rPr>
                <w:sz w:val="22"/>
                <w:lang w:val="en-US"/>
              </w:rPr>
              <w:t>31,5</w:t>
            </w:r>
          </w:p>
        </w:tc>
        <w:tc>
          <w:tcPr>
            <w:tcW w:w="1160" w:type="dxa"/>
          </w:tcPr>
          <w:p w:rsidR="00000000" w:rsidRDefault="00000000">
            <w:pPr>
              <w:spacing w:line="240" w:lineRule="auto"/>
              <w:jc w:val="center"/>
              <w:rPr>
                <w:sz w:val="22"/>
                <w:lang w:val="en-US"/>
              </w:rPr>
            </w:pPr>
            <w:r>
              <w:rPr>
                <w:sz w:val="22"/>
                <w:lang w:val="en-US"/>
              </w:rPr>
              <w:t>28,2</w:t>
            </w:r>
          </w:p>
        </w:tc>
        <w:tc>
          <w:tcPr>
            <w:tcW w:w="1422" w:type="dxa"/>
          </w:tcPr>
          <w:p w:rsidR="00000000" w:rsidRDefault="00000000">
            <w:pPr>
              <w:spacing w:line="240" w:lineRule="auto"/>
              <w:jc w:val="center"/>
              <w:rPr>
                <w:sz w:val="22"/>
                <w:lang w:val="en-US"/>
              </w:rPr>
            </w:pPr>
            <w:r>
              <w:rPr>
                <w:sz w:val="22"/>
                <w:lang w:val="en-US"/>
              </w:rPr>
              <w:t>10,4</w:t>
            </w:r>
          </w:p>
        </w:tc>
        <w:tc>
          <w:tcPr>
            <w:tcW w:w="1271" w:type="dxa"/>
          </w:tcPr>
          <w:p w:rsidR="00000000" w:rsidRDefault="00000000">
            <w:pPr>
              <w:spacing w:line="240" w:lineRule="auto"/>
              <w:jc w:val="center"/>
              <w:rPr>
                <w:sz w:val="22"/>
                <w:lang w:val="en-US"/>
              </w:rPr>
            </w:pPr>
            <w:r>
              <w:rPr>
                <w:sz w:val="22"/>
              </w:rPr>
              <w:t xml:space="preserve"> </w:t>
            </w:r>
            <w:r>
              <w:rPr>
                <w:sz w:val="22"/>
                <w:lang w:val="en-US"/>
              </w:rPr>
              <w:t>6,7</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ab/>
              <w:t>55-59</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lang w:val="en-US"/>
              </w:rPr>
            </w:pPr>
            <w:r>
              <w:rPr>
                <w:sz w:val="22"/>
                <w:lang w:val="en-US"/>
              </w:rPr>
              <w:t>27,4</w:t>
            </w:r>
          </w:p>
        </w:tc>
        <w:tc>
          <w:tcPr>
            <w:tcW w:w="1160" w:type="dxa"/>
          </w:tcPr>
          <w:p w:rsidR="00000000" w:rsidRDefault="00000000">
            <w:pPr>
              <w:spacing w:line="240" w:lineRule="auto"/>
              <w:jc w:val="center"/>
              <w:rPr>
                <w:sz w:val="22"/>
                <w:lang w:val="en-US"/>
              </w:rPr>
            </w:pPr>
            <w:r>
              <w:rPr>
                <w:sz w:val="22"/>
                <w:lang w:val="en-US"/>
              </w:rPr>
              <w:t>25,2</w:t>
            </w:r>
          </w:p>
        </w:tc>
        <w:tc>
          <w:tcPr>
            <w:tcW w:w="1422" w:type="dxa"/>
          </w:tcPr>
          <w:p w:rsidR="00000000" w:rsidRDefault="00000000">
            <w:pPr>
              <w:spacing w:line="240" w:lineRule="auto"/>
              <w:jc w:val="center"/>
              <w:rPr>
                <w:sz w:val="22"/>
                <w:lang w:val="en-US"/>
              </w:rPr>
            </w:pPr>
            <w:r>
              <w:rPr>
                <w:sz w:val="22"/>
              </w:rPr>
              <w:t xml:space="preserve"> </w:t>
            </w:r>
            <w:r>
              <w:rPr>
                <w:sz w:val="22"/>
                <w:lang w:val="en-US"/>
              </w:rPr>
              <w:t>8,1</w:t>
            </w:r>
          </w:p>
        </w:tc>
        <w:tc>
          <w:tcPr>
            <w:tcW w:w="1271" w:type="dxa"/>
          </w:tcPr>
          <w:p w:rsidR="00000000" w:rsidRDefault="00000000">
            <w:pPr>
              <w:spacing w:line="240" w:lineRule="auto"/>
              <w:jc w:val="center"/>
              <w:rPr>
                <w:sz w:val="22"/>
                <w:lang w:val="en-US"/>
              </w:rPr>
            </w:pPr>
            <w:r>
              <w:rPr>
                <w:sz w:val="22"/>
              </w:rPr>
              <w:t xml:space="preserve"> </w:t>
            </w:r>
            <w:r>
              <w:rPr>
                <w:sz w:val="22"/>
                <w:lang w:val="en-US"/>
              </w:rPr>
              <w:t>7,0</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ab/>
              <w:t>60-64</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lang w:val="en-US"/>
              </w:rPr>
            </w:pPr>
            <w:r>
              <w:rPr>
                <w:sz w:val="22"/>
                <w:lang w:val="en-US"/>
              </w:rPr>
              <w:t>20,4</w:t>
            </w:r>
          </w:p>
        </w:tc>
        <w:tc>
          <w:tcPr>
            <w:tcW w:w="1160" w:type="dxa"/>
          </w:tcPr>
          <w:p w:rsidR="00000000" w:rsidRDefault="00000000">
            <w:pPr>
              <w:spacing w:line="240" w:lineRule="auto"/>
              <w:jc w:val="center"/>
              <w:rPr>
                <w:sz w:val="22"/>
                <w:lang w:val="en-US"/>
              </w:rPr>
            </w:pPr>
            <w:r>
              <w:rPr>
                <w:sz w:val="22"/>
                <w:lang w:val="en-US"/>
              </w:rPr>
              <w:t>20,0</w:t>
            </w:r>
          </w:p>
        </w:tc>
        <w:tc>
          <w:tcPr>
            <w:tcW w:w="1422" w:type="dxa"/>
          </w:tcPr>
          <w:p w:rsidR="00000000" w:rsidRDefault="00000000">
            <w:pPr>
              <w:spacing w:line="240" w:lineRule="auto"/>
              <w:jc w:val="center"/>
              <w:rPr>
                <w:sz w:val="22"/>
                <w:lang w:val="en-US"/>
              </w:rPr>
            </w:pPr>
            <w:r>
              <w:rPr>
                <w:sz w:val="22"/>
              </w:rPr>
              <w:t xml:space="preserve"> </w:t>
            </w:r>
            <w:r>
              <w:rPr>
                <w:sz w:val="22"/>
                <w:lang w:val="en-US"/>
              </w:rPr>
              <w:t>3,1</w:t>
            </w:r>
          </w:p>
        </w:tc>
        <w:tc>
          <w:tcPr>
            <w:tcW w:w="1271" w:type="dxa"/>
          </w:tcPr>
          <w:p w:rsidR="00000000" w:rsidRDefault="00000000">
            <w:pPr>
              <w:spacing w:line="240" w:lineRule="auto"/>
              <w:jc w:val="center"/>
              <w:rPr>
                <w:sz w:val="22"/>
                <w:lang w:val="en-US"/>
              </w:rPr>
            </w:pPr>
            <w:r>
              <w:rPr>
                <w:sz w:val="22"/>
              </w:rPr>
              <w:t xml:space="preserve"> </w:t>
            </w:r>
            <w:r>
              <w:rPr>
                <w:sz w:val="22"/>
                <w:lang w:val="en-US"/>
              </w:rPr>
              <w:t>4,2</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ab/>
              <w:t>65 лет и старше</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rPr>
            </w:pPr>
            <w:r>
              <w:rPr>
                <w:sz w:val="22"/>
              </w:rPr>
              <w:t xml:space="preserve"> 8,7</w:t>
            </w:r>
          </w:p>
        </w:tc>
        <w:tc>
          <w:tcPr>
            <w:tcW w:w="1160" w:type="dxa"/>
          </w:tcPr>
          <w:p w:rsidR="00000000" w:rsidRDefault="00000000">
            <w:pPr>
              <w:spacing w:line="240" w:lineRule="auto"/>
              <w:jc w:val="center"/>
              <w:rPr>
                <w:sz w:val="22"/>
              </w:rPr>
            </w:pPr>
            <w:r>
              <w:rPr>
                <w:sz w:val="22"/>
              </w:rPr>
              <w:t xml:space="preserve"> 8,6</w:t>
            </w:r>
          </w:p>
        </w:tc>
        <w:tc>
          <w:tcPr>
            <w:tcW w:w="1422" w:type="dxa"/>
          </w:tcPr>
          <w:p w:rsidR="00000000" w:rsidRDefault="00000000">
            <w:pPr>
              <w:spacing w:line="240" w:lineRule="auto"/>
              <w:jc w:val="center"/>
              <w:rPr>
                <w:sz w:val="22"/>
              </w:rPr>
            </w:pPr>
            <w:r>
              <w:rPr>
                <w:sz w:val="22"/>
              </w:rPr>
              <w:t xml:space="preserve"> 0,8</w:t>
            </w:r>
          </w:p>
        </w:tc>
        <w:tc>
          <w:tcPr>
            <w:tcW w:w="1271" w:type="dxa"/>
          </w:tcPr>
          <w:p w:rsidR="00000000" w:rsidRDefault="00000000">
            <w:pPr>
              <w:spacing w:line="240" w:lineRule="auto"/>
              <w:jc w:val="center"/>
              <w:rPr>
                <w:sz w:val="22"/>
              </w:rPr>
            </w:pPr>
            <w:r>
              <w:rPr>
                <w:sz w:val="22"/>
              </w:rPr>
              <w:t xml:space="preserve"> 2,2</w:t>
            </w:r>
          </w:p>
        </w:tc>
      </w:tr>
      <w:tr w:rsidR="00000000">
        <w:tblPrEx>
          <w:tblCellMar>
            <w:top w:w="0" w:type="dxa"/>
            <w:bottom w:w="0" w:type="dxa"/>
          </w:tblCellMar>
        </w:tblPrEx>
        <w:tc>
          <w:tcPr>
            <w:tcW w:w="3474" w:type="dxa"/>
          </w:tcPr>
          <w:p w:rsidR="00000000" w:rsidRDefault="00000000">
            <w:pPr>
              <w:rPr>
                <w:sz w:val="22"/>
              </w:rPr>
            </w:pPr>
            <w:r>
              <w:rPr>
                <w:sz w:val="22"/>
              </w:rPr>
              <w:t>Высшее образование</w:t>
            </w:r>
          </w:p>
        </w:tc>
        <w:tc>
          <w:tcPr>
            <w:tcW w:w="935" w:type="dxa"/>
          </w:tcPr>
          <w:p w:rsidR="00000000" w:rsidRDefault="00000000">
            <w:pPr>
              <w:rPr>
                <w:sz w:val="22"/>
              </w:rPr>
            </w:pPr>
          </w:p>
        </w:tc>
        <w:tc>
          <w:tcPr>
            <w:tcW w:w="1309" w:type="dxa"/>
          </w:tcPr>
          <w:p w:rsidR="00000000" w:rsidRDefault="00000000">
            <w:pPr>
              <w:jc w:val="center"/>
              <w:rPr>
                <w:sz w:val="22"/>
              </w:rPr>
            </w:pPr>
            <w:r>
              <w:rPr>
                <w:sz w:val="22"/>
              </w:rPr>
              <w:t>34,6</w:t>
            </w:r>
          </w:p>
        </w:tc>
        <w:tc>
          <w:tcPr>
            <w:tcW w:w="1160" w:type="dxa"/>
          </w:tcPr>
          <w:p w:rsidR="00000000" w:rsidRDefault="00000000">
            <w:pPr>
              <w:jc w:val="center"/>
              <w:rPr>
                <w:sz w:val="22"/>
              </w:rPr>
            </w:pPr>
            <w:r>
              <w:rPr>
                <w:sz w:val="22"/>
              </w:rPr>
              <w:t>31,9</w:t>
            </w:r>
          </w:p>
        </w:tc>
        <w:tc>
          <w:tcPr>
            <w:tcW w:w="1422" w:type="dxa"/>
          </w:tcPr>
          <w:p w:rsidR="00000000" w:rsidRDefault="00000000">
            <w:pPr>
              <w:jc w:val="center"/>
              <w:rPr>
                <w:sz w:val="22"/>
              </w:rPr>
            </w:pPr>
            <w:r>
              <w:rPr>
                <w:sz w:val="22"/>
              </w:rPr>
              <w:t xml:space="preserve"> 9,1</w:t>
            </w:r>
          </w:p>
        </w:tc>
        <w:tc>
          <w:tcPr>
            <w:tcW w:w="1271" w:type="dxa"/>
          </w:tcPr>
          <w:p w:rsidR="00000000" w:rsidRDefault="00000000">
            <w:pPr>
              <w:jc w:val="center"/>
              <w:rPr>
                <w:sz w:val="22"/>
              </w:rPr>
            </w:pPr>
            <w:r>
              <w:rPr>
                <w:sz w:val="22"/>
              </w:rPr>
              <w:t xml:space="preserve"> 2,4</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Продолженное школьное &amp; среднее специальное образование</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rPr>
            </w:pPr>
            <w:r>
              <w:rPr>
                <w:sz w:val="22"/>
              </w:rPr>
              <w:t>26,2</w:t>
            </w:r>
          </w:p>
        </w:tc>
        <w:tc>
          <w:tcPr>
            <w:tcW w:w="1160" w:type="dxa"/>
          </w:tcPr>
          <w:p w:rsidR="00000000" w:rsidRDefault="00000000">
            <w:pPr>
              <w:spacing w:line="240" w:lineRule="auto"/>
              <w:jc w:val="center"/>
              <w:rPr>
                <w:sz w:val="22"/>
              </w:rPr>
            </w:pPr>
            <w:r>
              <w:rPr>
                <w:sz w:val="22"/>
              </w:rPr>
              <w:t>22,8</w:t>
            </w:r>
          </w:p>
        </w:tc>
        <w:tc>
          <w:tcPr>
            <w:tcW w:w="1422" w:type="dxa"/>
          </w:tcPr>
          <w:p w:rsidR="00000000" w:rsidRDefault="00000000">
            <w:pPr>
              <w:spacing w:line="240" w:lineRule="auto"/>
              <w:jc w:val="center"/>
              <w:rPr>
                <w:sz w:val="22"/>
              </w:rPr>
            </w:pPr>
            <w:r>
              <w:rPr>
                <w:sz w:val="22"/>
              </w:rPr>
              <w:t>13,7</w:t>
            </w:r>
          </w:p>
        </w:tc>
        <w:tc>
          <w:tcPr>
            <w:tcW w:w="1271" w:type="dxa"/>
          </w:tcPr>
          <w:p w:rsidR="00000000" w:rsidRDefault="00000000">
            <w:pPr>
              <w:spacing w:line="240" w:lineRule="auto"/>
              <w:jc w:val="center"/>
              <w:rPr>
                <w:sz w:val="22"/>
              </w:rPr>
            </w:pPr>
            <w:r>
              <w:rPr>
                <w:sz w:val="22"/>
              </w:rPr>
              <w:t xml:space="preserve"> 8,3</w:t>
            </w:r>
          </w:p>
        </w:tc>
      </w:tr>
      <w:tr w:rsidR="00000000">
        <w:tblPrEx>
          <w:tblCellMar>
            <w:top w:w="0" w:type="dxa"/>
            <w:bottom w:w="0" w:type="dxa"/>
          </w:tblCellMar>
        </w:tblPrEx>
        <w:tc>
          <w:tcPr>
            <w:tcW w:w="3474" w:type="dxa"/>
          </w:tcPr>
          <w:p w:rsidR="00000000" w:rsidRDefault="00000000">
            <w:pPr>
              <w:rPr>
                <w:sz w:val="22"/>
              </w:rPr>
            </w:pPr>
            <w:r>
              <w:rPr>
                <w:sz w:val="22"/>
              </w:rPr>
              <w:t>Общее среднее образование</w:t>
            </w:r>
          </w:p>
        </w:tc>
        <w:tc>
          <w:tcPr>
            <w:tcW w:w="935" w:type="dxa"/>
          </w:tcPr>
          <w:p w:rsidR="00000000" w:rsidRDefault="00000000">
            <w:pPr>
              <w:rPr>
                <w:sz w:val="22"/>
              </w:rPr>
            </w:pPr>
          </w:p>
        </w:tc>
        <w:tc>
          <w:tcPr>
            <w:tcW w:w="1309" w:type="dxa"/>
          </w:tcPr>
          <w:p w:rsidR="00000000" w:rsidRDefault="00000000">
            <w:pPr>
              <w:jc w:val="center"/>
              <w:rPr>
                <w:sz w:val="22"/>
              </w:rPr>
            </w:pPr>
            <w:r>
              <w:rPr>
                <w:sz w:val="22"/>
              </w:rPr>
              <w:t>19,9</w:t>
            </w:r>
          </w:p>
        </w:tc>
        <w:tc>
          <w:tcPr>
            <w:tcW w:w="1160" w:type="dxa"/>
          </w:tcPr>
          <w:p w:rsidR="00000000" w:rsidRDefault="00000000">
            <w:pPr>
              <w:jc w:val="center"/>
              <w:rPr>
                <w:sz w:val="22"/>
              </w:rPr>
            </w:pPr>
            <w:r>
              <w:rPr>
                <w:sz w:val="22"/>
              </w:rPr>
              <w:t>15,7</w:t>
            </w:r>
          </w:p>
        </w:tc>
        <w:tc>
          <w:tcPr>
            <w:tcW w:w="1422" w:type="dxa"/>
          </w:tcPr>
          <w:p w:rsidR="00000000" w:rsidRDefault="00000000">
            <w:pPr>
              <w:jc w:val="center"/>
              <w:rPr>
                <w:sz w:val="22"/>
              </w:rPr>
            </w:pPr>
            <w:r>
              <w:rPr>
                <w:sz w:val="22"/>
              </w:rPr>
              <w:t>19,6</w:t>
            </w:r>
          </w:p>
        </w:tc>
        <w:tc>
          <w:tcPr>
            <w:tcW w:w="1271" w:type="dxa"/>
          </w:tcPr>
          <w:p w:rsidR="00000000" w:rsidRDefault="00000000">
            <w:pPr>
              <w:jc w:val="center"/>
              <w:rPr>
                <w:sz w:val="22"/>
              </w:rPr>
            </w:pPr>
            <w:r>
              <w:rPr>
                <w:sz w:val="22"/>
              </w:rPr>
              <w:t>12,9</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Базовое профессионально-техническое образование</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lang w:val="en-US"/>
              </w:rPr>
            </w:pPr>
            <w:r>
              <w:rPr>
                <w:sz w:val="22"/>
                <w:lang w:val="en-US"/>
              </w:rPr>
              <w:t>28,2</w:t>
            </w:r>
          </w:p>
        </w:tc>
        <w:tc>
          <w:tcPr>
            <w:tcW w:w="1160" w:type="dxa"/>
          </w:tcPr>
          <w:p w:rsidR="00000000" w:rsidRDefault="00000000">
            <w:pPr>
              <w:spacing w:line="240" w:lineRule="auto"/>
              <w:jc w:val="center"/>
              <w:rPr>
                <w:sz w:val="22"/>
                <w:lang w:val="en-US"/>
              </w:rPr>
            </w:pPr>
            <w:r>
              <w:rPr>
                <w:sz w:val="22"/>
                <w:lang w:val="en-US"/>
              </w:rPr>
              <w:t>23,9</w:t>
            </w:r>
          </w:p>
        </w:tc>
        <w:tc>
          <w:tcPr>
            <w:tcW w:w="1422" w:type="dxa"/>
          </w:tcPr>
          <w:p w:rsidR="00000000" w:rsidRDefault="00000000">
            <w:pPr>
              <w:spacing w:line="240" w:lineRule="auto"/>
              <w:jc w:val="center"/>
              <w:rPr>
                <w:sz w:val="22"/>
                <w:lang w:val="en-US"/>
              </w:rPr>
            </w:pPr>
            <w:r>
              <w:rPr>
                <w:sz w:val="22"/>
                <w:lang w:val="en-US"/>
              </w:rPr>
              <w:t>15,5</w:t>
            </w:r>
          </w:p>
        </w:tc>
        <w:tc>
          <w:tcPr>
            <w:tcW w:w="1271" w:type="dxa"/>
          </w:tcPr>
          <w:p w:rsidR="00000000" w:rsidRDefault="00000000">
            <w:pPr>
              <w:spacing w:line="240" w:lineRule="auto"/>
              <w:jc w:val="center"/>
              <w:rPr>
                <w:sz w:val="22"/>
                <w:lang w:val="en-US"/>
              </w:rPr>
            </w:pPr>
            <w:r>
              <w:rPr>
                <w:sz w:val="22"/>
                <w:lang w:val="en-US"/>
              </w:rPr>
              <w:t>12,0</w:t>
            </w:r>
          </w:p>
        </w:tc>
      </w:tr>
      <w:tr w:rsidR="00000000">
        <w:tblPrEx>
          <w:tblCellMar>
            <w:top w:w="0" w:type="dxa"/>
            <w:bottom w:w="0" w:type="dxa"/>
          </w:tblCellMar>
        </w:tblPrEx>
        <w:tc>
          <w:tcPr>
            <w:tcW w:w="3474" w:type="dxa"/>
          </w:tcPr>
          <w:p w:rsidR="00000000" w:rsidRDefault="00000000">
            <w:pPr>
              <w:spacing w:line="240" w:lineRule="auto"/>
              <w:rPr>
                <w:sz w:val="22"/>
              </w:rPr>
            </w:pPr>
            <w:r>
              <w:rPr>
                <w:sz w:val="22"/>
              </w:rPr>
              <w:t>Начальное и неполное начальное образование</w:t>
            </w:r>
          </w:p>
        </w:tc>
        <w:tc>
          <w:tcPr>
            <w:tcW w:w="935" w:type="dxa"/>
          </w:tcPr>
          <w:p w:rsidR="00000000" w:rsidRDefault="00000000">
            <w:pPr>
              <w:spacing w:line="240" w:lineRule="auto"/>
              <w:rPr>
                <w:sz w:val="22"/>
              </w:rPr>
            </w:pPr>
          </w:p>
        </w:tc>
        <w:tc>
          <w:tcPr>
            <w:tcW w:w="1309" w:type="dxa"/>
          </w:tcPr>
          <w:p w:rsidR="00000000" w:rsidRDefault="00000000">
            <w:pPr>
              <w:spacing w:line="240" w:lineRule="auto"/>
              <w:jc w:val="center"/>
              <w:rPr>
                <w:sz w:val="22"/>
                <w:lang w:val="en-US"/>
              </w:rPr>
            </w:pPr>
            <w:r>
              <w:rPr>
                <w:sz w:val="22"/>
                <w:lang w:val="en-US"/>
              </w:rPr>
              <w:t>19,4</w:t>
            </w:r>
          </w:p>
        </w:tc>
        <w:tc>
          <w:tcPr>
            <w:tcW w:w="1160" w:type="dxa"/>
          </w:tcPr>
          <w:p w:rsidR="00000000" w:rsidRDefault="00000000">
            <w:pPr>
              <w:spacing w:line="240" w:lineRule="auto"/>
              <w:jc w:val="center"/>
              <w:rPr>
                <w:sz w:val="22"/>
                <w:lang w:val="en-US"/>
              </w:rPr>
            </w:pPr>
            <w:r>
              <w:rPr>
                <w:sz w:val="22"/>
                <w:lang w:val="en-US"/>
              </w:rPr>
              <w:t>17,9</w:t>
            </w:r>
          </w:p>
        </w:tc>
        <w:tc>
          <w:tcPr>
            <w:tcW w:w="1422" w:type="dxa"/>
          </w:tcPr>
          <w:p w:rsidR="00000000" w:rsidRDefault="00000000">
            <w:pPr>
              <w:spacing w:line="240" w:lineRule="auto"/>
              <w:jc w:val="center"/>
              <w:rPr>
                <w:sz w:val="22"/>
                <w:lang w:val="en-US"/>
              </w:rPr>
            </w:pPr>
            <w:r>
              <w:rPr>
                <w:sz w:val="22"/>
              </w:rPr>
              <w:t xml:space="preserve"> </w:t>
            </w:r>
            <w:r>
              <w:rPr>
                <w:sz w:val="22"/>
                <w:lang w:val="en-US"/>
              </w:rPr>
              <w:t>7,4</w:t>
            </w:r>
          </w:p>
        </w:tc>
        <w:tc>
          <w:tcPr>
            <w:tcW w:w="1271" w:type="dxa"/>
          </w:tcPr>
          <w:p w:rsidR="00000000" w:rsidRDefault="00000000">
            <w:pPr>
              <w:spacing w:line="240" w:lineRule="auto"/>
              <w:jc w:val="center"/>
              <w:rPr>
                <w:sz w:val="22"/>
                <w:lang w:val="en-US"/>
              </w:rPr>
            </w:pPr>
            <w:r>
              <w:rPr>
                <w:sz w:val="22"/>
                <w:lang w:val="en-US"/>
              </w:rPr>
              <w:t>13,8</w:t>
            </w:r>
          </w:p>
        </w:tc>
      </w:tr>
    </w:tbl>
    <w:p w:rsidR="00000000" w:rsidRDefault="00000000">
      <w:pPr>
        <w:pStyle w:val="FootnoteText"/>
      </w:pPr>
    </w:p>
    <w:p w:rsidR="00000000" w:rsidRDefault="00000000">
      <w:pPr>
        <w:pStyle w:val="FootnoteText"/>
      </w:pPr>
      <w:r>
        <w:rPr>
          <w:lang w:val="en-US"/>
        </w:rPr>
        <w:tab/>
      </w:r>
      <w:r>
        <w:rPr>
          <w:u w:val="single"/>
        </w:rPr>
        <w:t>Источник</w:t>
      </w:r>
      <w:r>
        <w:t>:  обследование экономической активности населения.</w:t>
      </w:r>
    </w:p>
    <w:p w:rsidR="00000000" w:rsidRDefault="00000000">
      <w:pPr>
        <w:pStyle w:val="FootnoteText"/>
        <w:spacing w:line="288" w:lineRule="auto"/>
      </w:pPr>
    </w:p>
    <w:p w:rsidR="00000000" w:rsidRDefault="00000000">
      <w:pPr>
        <w:pStyle w:val="FootnoteText"/>
        <w:spacing w:line="288" w:lineRule="auto"/>
      </w:pPr>
    </w:p>
    <w:p w:rsidR="00000000" w:rsidRDefault="00000000">
      <w:pPr>
        <w:pStyle w:val="FootnoteText"/>
        <w:spacing w:line="288" w:lineRule="auto"/>
        <w:jc w:val="center"/>
        <w:rPr>
          <w:b/>
          <w:bCs/>
        </w:rPr>
      </w:pPr>
      <w:r>
        <w:rPr>
          <w:b/>
          <w:bCs/>
        </w:rPr>
        <w:t>С.</w:t>
      </w:r>
      <w:r>
        <w:rPr>
          <w:b/>
          <w:bCs/>
        </w:rPr>
        <w:tab/>
        <w:t>Меры по обеспечению занятости трудоспособного населения,</w:t>
      </w:r>
    </w:p>
    <w:p w:rsidR="00000000" w:rsidRDefault="00000000">
      <w:pPr>
        <w:pStyle w:val="FootnoteText"/>
        <w:spacing w:line="288" w:lineRule="auto"/>
        <w:jc w:val="center"/>
        <w:rPr>
          <w:b/>
          <w:bCs/>
        </w:rPr>
      </w:pPr>
      <w:r>
        <w:rPr>
          <w:b/>
          <w:bCs/>
        </w:rPr>
        <w:t>ищущего работу</w:t>
      </w:r>
    </w:p>
    <w:p w:rsidR="00000000" w:rsidRDefault="00000000">
      <w:pPr>
        <w:pStyle w:val="FootnoteText"/>
        <w:spacing w:line="288" w:lineRule="auto"/>
        <w:rPr>
          <w:b/>
          <w:bCs/>
        </w:rPr>
      </w:pPr>
    </w:p>
    <w:p w:rsidR="00000000" w:rsidRDefault="00000000">
      <w:pPr>
        <w:pStyle w:val="FootnoteText"/>
        <w:spacing w:line="288" w:lineRule="auto"/>
      </w:pPr>
      <w:r>
        <w:t>11.</w:t>
      </w:r>
      <w:r>
        <w:tab/>
        <w:t>В соответствии со статьей 4 Закона от 14 декабря 1994 года о занятости и борьбе с безработицей (который вступил в силу 1 января 1995 года, Законодательный вестник № 1 за 1995 год, пункт 1) задачи, стоящие перед государством в данной области, решаются министерством труда и социальной политики при содействии Национального бюро труда, а также бюро по трудоустройству воеводств и районов, которые сотрудничают с местными органами управления, профсоюзами и организациями работодателей и трудящихся.  Консультативные функции выполняют Главный совет по труду и советы по труду воеводств и районов.  Порядок деятельности советов и правила участия в их работе представителей научных кругов и других органов, организаций и учреждений определяются министром труда.  Пособия по безработице выплачиваются из государственного целевого фонда – Фонда труда.</w:t>
      </w:r>
    </w:p>
    <w:p w:rsidR="00000000" w:rsidRDefault="00000000">
      <w:pPr>
        <w:pStyle w:val="FootnoteText"/>
        <w:spacing w:line="288" w:lineRule="auto"/>
      </w:pPr>
    </w:p>
    <w:p w:rsidR="00000000" w:rsidRDefault="00000000">
      <w:pPr>
        <w:pStyle w:val="FootnoteText"/>
        <w:spacing w:line="288" w:lineRule="auto"/>
      </w:pPr>
      <w:r>
        <w:t>12.</w:t>
      </w:r>
      <w:r>
        <w:tab/>
        <w:t>Одной из основных форм оказания помощи безработным является их трудоустройство, которым занимаются районные бюро по трудоустройству.  Их услуги являются бесплатными и предоставляются в соответствии с принципами доступности, добровольного сотрудничества и гласности.  Работодатели обязаны информировать бюро по трудоустройству о наличии вакантных рабочих или производственно-ученических мест.  Закон гарантирует полный доступ к информации о наличии рабочих мест и возможностях в области трудоустройства.  В декабре 1998 года сеть местных бюро по трудоустройству насчитывала 356 отделений, расположенных в районах, в которые можно легко добраться на общественном транспорте.  В 70% бюро по трудоустройству дополнительная помощь оказывалась через "кабинеты профессионально-технической информации".  Услуги в области занятости также предоставлялись центрами профессионально-технической информации, в которых заинтересованные лица могли получить соответствующие сведения и советы от компетентных консультантов.  Первый такой центр был создан в 1995 году.  В конце 1998 года их число достигло 14.  Они располагают печатными материалами о различных профессиях, рынке труда, учебных заведениях и возможностях профессиональной подготовки.  Центры оснащены компьютерами и расположены в крупных городах.  Их услугами также могут воспользоваться школьники.  Консультирование осуществляется специалистами, получившими надлежащую квалификацию в рамках подготовки без отрыва от производства или в аспирантуре.  С 1997 года действует Методологический центр информации и профессионально-технической ориентации, который был создан по решению председателя Национального бюро труда.  Он отвечает за разработку единообразных и постоянно обновляемых пособий по профессионально-техническому обучению и производственным методам для консультантов, работающих в бюро по трудоустройству.</w:t>
      </w:r>
    </w:p>
    <w:p w:rsidR="00000000" w:rsidRDefault="00000000">
      <w:pPr>
        <w:pStyle w:val="FootnoteText"/>
        <w:spacing w:line="288" w:lineRule="auto"/>
      </w:pPr>
    </w:p>
    <w:p w:rsidR="00000000" w:rsidRDefault="00000000">
      <w:pPr>
        <w:pStyle w:val="FootnoteText"/>
        <w:spacing w:line="288" w:lineRule="auto"/>
      </w:pPr>
      <w:r>
        <w:t>13.</w:t>
      </w:r>
      <w:r>
        <w:tab/>
        <w:t xml:space="preserve">Проект поощрения занятости и развития служб обеспечения занятости, который параллельно финансировался за счет займа, предоставленного Всемирным банком, позволил укрепить институциональную систему бюро по трудоустройству.  Для местных бюро были закуплены современные технические средства, подготовлен персонал и привлечены эксперты, задача которых заключалась в том, чтобы адаптировать зарубежные программы поощрения занятости к польским условиям, обеспечить координацию политики в области занятости и провести оценку осуществления указанных программ.  Программы, финансировавшиеся Всемирным банком, лишь косвенно отразились на уровне занятости, поскольку они были главным образом направлены на укрепление сети институтов, обслуживающих рынок труда. </w:t>
      </w:r>
    </w:p>
    <w:p w:rsidR="00000000" w:rsidRDefault="00000000"/>
    <w:p w:rsidR="00000000" w:rsidRDefault="00000000">
      <w:r>
        <w:t>14.</w:t>
      </w:r>
      <w:r>
        <w:tab/>
        <w:t xml:space="preserve">В 1995 году для обуздания роста безработицы и уменьшения ее масштабов, а также для содействия молодежи в области трудоустройства правительство ввело ряд мер, направленных на стимулирование занятости.  </w:t>
      </w:r>
    </w:p>
    <w:p w:rsidR="00000000" w:rsidRDefault="00000000"/>
    <w:p w:rsidR="00000000" w:rsidRDefault="00000000">
      <w:r>
        <w:t>15.</w:t>
      </w:r>
      <w:r>
        <w:tab/>
        <w:t xml:space="preserve">21 ноября 1995 года правительство приняло программу поощрения производительной занятости и сокращения безработицы, которая, в частности, предусматривала реформу школьной системы, развитие институтов рынка труда, развитие регионов, стимулирование строительства жилья и повышение конкурентоспособности промышленных предприятий.  Сейм утвердил эту программу в качестве основы для политики в области обеспечения занятости на 1997-2000 годы.  </w:t>
      </w:r>
    </w:p>
    <w:p w:rsidR="00000000" w:rsidRDefault="00000000"/>
    <w:p w:rsidR="00000000" w:rsidRDefault="00000000">
      <w:r>
        <w:t>16.</w:t>
      </w:r>
      <w:r>
        <w:tab/>
        <w:t>Министерством труда и социальной политики и другими министерствами была разработана программа поощрения профессиональной активности молодежи.  Правительство одобрило программу в июне 1995 года, а в декабре 1995 года она была утверждена сеймом.  Ее цель заключалась в расширении возможностей лиц, впервые ищущих работу, посредством адаптации системы образования и профессионально-технической подготовки к требованиям рыночной экономики, развития способностей выпускников производить благоприятное впечатление на работодателей и психологической подготовки к неопределенностям и колебаниям рынка труда.  В основу программы было заложено пять базовых принципов:</w:t>
      </w:r>
    </w:p>
    <w:p w:rsidR="00000000" w:rsidRDefault="00000000"/>
    <w:p w:rsidR="00000000" w:rsidRDefault="00000000">
      <w:r>
        <w:tab/>
        <w:t>а)</w:t>
      </w:r>
      <w:r>
        <w:tab/>
        <w:t>примат занятости над безработицей, в частности применительно к первой работе;</w:t>
      </w:r>
    </w:p>
    <w:p w:rsidR="00000000" w:rsidRDefault="00000000"/>
    <w:p w:rsidR="00000000" w:rsidRDefault="00000000">
      <w:r>
        <w:tab/>
      </w:r>
      <w:r>
        <w:rPr>
          <w:lang w:val="en-US"/>
        </w:rPr>
        <w:t>b</w:t>
      </w:r>
      <w:r>
        <w:t>)</w:t>
      </w:r>
      <w:r>
        <w:tab/>
        <w:t>примат заработной платы и жалованья над пособиями;</w:t>
      </w:r>
      <w:r>
        <w:tab/>
      </w:r>
    </w:p>
    <w:p w:rsidR="00000000" w:rsidRDefault="00000000"/>
    <w:p w:rsidR="00000000" w:rsidRDefault="00000000">
      <w:r>
        <w:tab/>
        <w:t>с)</w:t>
      </w:r>
      <w:r>
        <w:tab/>
        <w:t>примат постоянной работы над любой формой субсидируемой профессиональной деятельности;</w:t>
      </w:r>
    </w:p>
    <w:p w:rsidR="00000000" w:rsidRDefault="00000000"/>
    <w:p w:rsidR="00000000" w:rsidRDefault="00000000">
      <w:r>
        <w:tab/>
      </w:r>
      <w:r>
        <w:rPr>
          <w:lang w:val="en-US"/>
        </w:rPr>
        <w:t>d</w:t>
      </w:r>
      <w:r>
        <w:t>)</w:t>
      </w:r>
      <w:r>
        <w:tab/>
        <w:t>примат инициативных мер над мерами социальной защиты;</w:t>
      </w:r>
    </w:p>
    <w:p w:rsidR="00000000" w:rsidRDefault="00000000"/>
    <w:p w:rsidR="00000000" w:rsidRDefault="00000000">
      <w:r>
        <w:tab/>
        <w:t>е)</w:t>
      </w:r>
      <w:r>
        <w:tab/>
        <w:t>примат непрерывного образования и подготовки над безработицей.</w:t>
      </w:r>
    </w:p>
    <w:p w:rsidR="00000000" w:rsidRDefault="00000000"/>
    <w:p w:rsidR="00000000" w:rsidRDefault="00000000">
      <w:r>
        <w:t>17.</w:t>
      </w:r>
      <w:r>
        <w:tab/>
        <w:t>Указанные выше меры касались главным образом оказания помощи молодежи в их производственном обучении и трудоустройстве, в расширении сферы их непрерывного образования с целью учета конкретных требований местных рынков труда, обеспечения должного функционирования биржи труда, мер по созданию новых рабочих мест, деятельности клубов занятости и соответствующих местных программ, а также введения системы выплаты стипендий безработным выпускникам.</w:t>
      </w:r>
    </w:p>
    <w:p w:rsidR="00000000" w:rsidRDefault="00000000"/>
    <w:p w:rsidR="00000000" w:rsidRDefault="00000000">
      <w:r>
        <w:t>18.</w:t>
      </w:r>
      <w:r>
        <w:tab/>
        <w:t>Деятельность в интересах представителей молодежи, обделенных вниманием и сталкивающихся с нравственными проблемами, проводится добровольческими трудовыми бригадами, финансируемыми государством.  Каждый год различными мероприятиями, включая курсы профессионального обучения и подготовки к началу трудовой деятельности, охватываются примерно 30 000 человек.  Молодежь получает консультативные услуги, возможность выехать на сезонные работы, молодых людей трудоустраивают и организовывают для них досуг.</w:t>
      </w:r>
    </w:p>
    <w:p w:rsidR="00000000" w:rsidRDefault="00000000"/>
    <w:p w:rsidR="00000000" w:rsidRDefault="00000000">
      <w:pPr>
        <w:pStyle w:val="Heading2"/>
        <w:rPr>
          <w:b/>
          <w:bCs/>
          <w:u w:val="none"/>
        </w:rPr>
      </w:pPr>
      <w:r>
        <w:rPr>
          <w:b/>
          <w:bCs/>
          <w:u w:val="none"/>
        </w:rPr>
        <w:t>Борьба с безработицей в сельских районах</w:t>
      </w:r>
    </w:p>
    <w:p w:rsidR="00000000" w:rsidRDefault="00000000">
      <w:pPr>
        <w:pStyle w:val="Heading2"/>
      </w:pPr>
    </w:p>
    <w:p w:rsidR="00000000" w:rsidRDefault="00000000">
      <w:r>
        <w:t>19.</w:t>
      </w:r>
      <w:r>
        <w:tab/>
        <w:t>Примерно 25% специальных программ борьбы с безработицей были ориентированы на безработных в сельских районах.  Их основными целями являлись:</w:t>
      </w:r>
    </w:p>
    <w:p w:rsidR="00000000" w:rsidRDefault="00000000"/>
    <w:p w:rsidR="00000000" w:rsidRDefault="00000000">
      <w:r>
        <w:tab/>
        <w:t>-</w:t>
      </w:r>
      <w:r>
        <w:tab/>
        <w:t>развитие сельских населенных пунктов;</w:t>
      </w:r>
    </w:p>
    <w:p w:rsidR="00000000" w:rsidRDefault="00000000"/>
    <w:p w:rsidR="00000000" w:rsidRDefault="00000000">
      <w:r>
        <w:tab/>
        <w:t>-</w:t>
      </w:r>
      <w:r>
        <w:tab/>
        <w:t>развитие системы трудоустройства в сельских районах;</w:t>
      </w:r>
    </w:p>
    <w:p w:rsidR="00000000" w:rsidRDefault="00000000"/>
    <w:p w:rsidR="00000000" w:rsidRDefault="00000000">
      <w:pPr>
        <w:ind w:left="1134" w:hanging="1134"/>
      </w:pPr>
      <w:r>
        <w:tab/>
        <w:t>-</w:t>
      </w:r>
      <w:r>
        <w:tab/>
        <w:t>поддержка процесса реструктуризации и модернизации сельского хозяйства (главным образом за счет предоставления льготных кредитов компаниям, которые создают рабочие места, не связанные с сельскохозяйственной деятельностью, и крестьянам, которые создают новые или модернизируют старые фермы);</w:t>
      </w:r>
    </w:p>
    <w:p w:rsidR="00000000" w:rsidRDefault="00000000">
      <w:pPr>
        <w:ind w:left="1134" w:hanging="1134"/>
      </w:pPr>
    </w:p>
    <w:p w:rsidR="00000000" w:rsidRDefault="00000000">
      <w:pPr>
        <w:ind w:left="1134" w:hanging="1134"/>
      </w:pPr>
      <w:r>
        <w:tab/>
        <w:t>-</w:t>
      </w:r>
      <w:r>
        <w:tab/>
        <w:t>стимулирование профессиональной активности бывших работников государственных сельскохозяйственных ферм (ГСФ), которые были задействованы в целом ряде специальных, местных программ;</w:t>
      </w:r>
    </w:p>
    <w:p w:rsidR="00000000" w:rsidRDefault="00000000">
      <w:pPr>
        <w:ind w:left="1134" w:hanging="1134"/>
      </w:pPr>
    </w:p>
    <w:p w:rsidR="00000000" w:rsidRDefault="00000000">
      <w:pPr>
        <w:ind w:left="1134" w:hanging="1134"/>
      </w:pPr>
      <w:r>
        <w:tab/>
        <w:t>-</w:t>
      </w:r>
      <w:r>
        <w:tab/>
        <w:t>развитие агротуризма;</w:t>
      </w:r>
    </w:p>
    <w:p w:rsidR="00000000" w:rsidRDefault="00000000">
      <w:pPr>
        <w:ind w:left="1134" w:hanging="1134"/>
      </w:pPr>
    </w:p>
    <w:p w:rsidR="00000000" w:rsidRDefault="00000000">
      <w:pPr>
        <w:ind w:left="1134" w:hanging="1134"/>
      </w:pPr>
      <w:r>
        <w:tab/>
        <w:t>-</w:t>
      </w:r>
      <w:r>
        <w:tab/>
        <w:t>программа развития инфраструктуры в сельских районах на период до 2000 года.</w:t>
      </w:r>
    </w:p>
    <w:p w:rsidR="00000000" w:rsidRDefault="00000000">
      <w:pPr>
        <w:ind w:left="1134" w:hanging="1134"/>
      </w:pPr>
    </w:p>
    <w:p w:rsidR="00000000" w:rsidRDefault="00000000">
      <w:r>
        <w:t>20.</w:t>
      </w:r>
      <w:r>
        <w:tab/>
        <w:t>В среднесрочной стратегии развития сельского хозяйства и сельских районов, принятой правительством 21 апреля 1998 года, отмечалось, что сократить безработицу возможно лишь благодаря осуществлению программы многопрофильного развития сельских районов, предусматривающей подготовку каждым районом своего плана развития, полное использование существующих в нем условий и потенциала развития и активизацию деятельности местных органов самоуправления.  Программы должны разрабатываться на различных уровнях (в зависимости от потребностей), а их финансирование из государственных источников необходимо диверсифицировать по сфере охвата и направленности.</w:t>
      </w:r>
    </w:p>
    <w:p w:rsidR="00000000" w:rsidRDefault="00000000"/>
    <w:p w:rsidR="00000000" w:rsidRDefault="00000000">
      <w:r>
        <w:t>21.</w:t>
      </w:r>
      <w:r>
        <w:tab/>
        <w:t>В 1995-1998 годах министерство сельского хозяйства и пищевой промышленности предприняло несколько инициатив.  Наиболее важными из них являлись:</w:t>
      </w:r>
    </w:p>
    <w:p w:rsidR="00000000" w:rsidRDefault="00000000"/>
    <w:p w:rsidR="00000000" w:rsidRDefault="00000000">
      <w:r>
        <w:tab/>
        <w:t>а)</w:t>
      </w:r>
      <w:r>
        <w:tab/>
        <w:t>деятельность сельскохозяйственных консультативных центров, которые:</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tabs>
          <w:tab w:val="clear" w:pos="1134"/>
          <w:tab w:val="right" w:pos="1276"/>
        </w:tabs>
        <w:ind w:left="1701" w:hanging="1701"/>
      </w:pPr>
      <w:r>
        <w:tab/>
      </w:r>
      <w:r>
        <w:tab/>
      </w:r>
      <w:r>
        <w:rPr>
          <w:lang w:val="en-US"/>
        </w:rPr>
        <w:t>i</w:t>
      </w:r>
      <w:r>
        <w:t>)</w:t>
      </w:r>
      <w:r>
        <w:tab/>
        <w:t>пропогандировали и поощряли осуществление программ создания рабочих мест вне сельскохозяйственного сектора в сельских районах;</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r>
        <w:rPr>
          <w:lang w:val="en-US"/>
        </w:rPr>
        <w:t>ii</w:t>
      </w:r>
      <w:r>
        <w:t>)</w:t>
      </w:r>
      <w:r>
        <w:tab/>
        <w:t>участвовали в развитии предпринимательства и создании альтернативных источников дохода для молодежи в сельских районах;</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r>
        <w:rPr>
          <w:lang w:val="en-US"/>
        </w:rPr>
        <w:t>iii</w:t>
      </w:r>
      <w:r>
        <w:t>)</w:t>
      </w:r>
      <w:r>
        <w:tab/>
        <w:t>помогали разрабатывать местные программы развития;</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tab/>
      </w:r>
      <w:r>
        <w:tab/>
      </w:r>
      <w:r>
        <w:rPr>
          <w:lang w:val="en-US"/>
        </w:rPr>
        <w:t>iv</w:t>
      </w:r>
      <w:r>
        <w:t>)</w:t>
      </w:r>
      <w:r>
        <w:tab/>
        <w:t>стимулировали расширение знаний и приобретение новых квалификационных навыков населением сельских районов и, в частности, молодежью;</w:t>
      </w:r>
    </w:p>
    <w:p w:rsidR="00000000" w:rsidRDefault="00000000">
      <w:pPr>
        <w:tabs>
          <w:tab w:val="clear" w:pos="1134"/>
          <w:tab w:val="right" w:pos="1276"/>
        </w:tabs>
        <w:ind w:left="1701" w:hanging="1701"/>
      </w:pPr>
    </w:p>
    <w:p w:rsidR="00000000" w:rsidRDefault="00000000">
      <w:pPr>
        <w:tabs>
          <w:tab w:val="clear" w:pos="1134"/>
          <w:tab w:val="right" w:pos="1276"/>
        </w:tabs>
        <w:ind w:left="1701" w:hanging="1701"/>
      </w:pPr>
      <w:r>
        <w:br w:type="page"/>
      </w:r>
      <w:r>
        <w:tab/>
      </w:r>
      <w:r>
        <w:tab/>
      </w:r>
      <w:r>
        <w:rPr>
          <w:lang w:val="en-US"/>
        </w:rPr>
        <w:t>v</w:t>
      </w:r>
      <w:r>
        <w:t>)</w:t>
      </w:r>
      <w:r>
        <w:tab/>
        <w:t>сотрудничали с учреждениями, которые содействуют развитию предпринимательской деятельности среди молодых людей, используя учебные мероприятия, показы, ярмарки, выставки, аукционы и публикации;</w:t>
      </w:r>
    </w:p>
    <w:p w:rsidR="00000000" w:rsidRDefault="00000000">
      <w:pPr>
        <w:tabs>
          <w:tab w:val="clear" w:pos="1134"/>
          <w:tab w:val="right" w:pos="1122"/>
        </w:tabs>
        <w:ind w:left="1701" w:hanging="1701"/>
      </w:pPr>
    </w:p>
    <w:p w:rsidR="00000000" w:rsidRDefault="00000000">
      <w:r>
        <w:tab/>
        <w:t>b)</w:t>
      </w:r>
      <w:r>
        <w:tab/>
        <w:t>осуществление программы заселения государственных земель, рассчитанной в основном на молодых людей из больших крестьянских семей, где их рабочие руки оказываются невостребованными и которые готовы заняться своей сельскохозяйственной деятельностью, и на выпускников средних и высших сельскохозяйственных училищ.  В конце 1998 года в ведении местных отделений Государственного агентства сельскохозяйственного имущества находилось 124 предназначенных под заселение фермы общей площадью 21 166 га, из которых 91 ферма площадью 16 743 га была сдана в аренду.  33 фермы площадью 4 422 га еще оставались незанятыми;</w:t>
      </w:r>
    </w:p>
    <w:p w:rsidR="00000000" w:rsidRDefault="00000000"/>
    <w:p w:rsidR="00000000" w:rsidRDefault="00000000">
      <w:r>
        <w:tab/>
        <w:t>с)</w:t>
      </w:r>
      <w:r>
        <w:tab/>
        <w:t>осуществление экспериментальной программы сокращения безработицы в сельских районах (1996-1998 годы) с охватом 48 общин, т.е. по одной общине в каждом воеводстве, за исключением Варшавского.  В этих общинах были высокие показатели безработицы, слабая техническая инфраструктура и не хватало финансовых ресурсов.  После осуществления программы:</w:t>
      </w:r>
    </w:p>
    <w:p w:rsidR="00000000" w:rsidRDefault="00000000"/>
    <w:p w:rsidR="00000000" w:rsidRDefault="00000000">
      <w:pPr>
        <w:pStyle w:val="BodyTextIndent"/>
        <w:spacing w:line="288" w:lineRule="auto"/>
      </w:pPr>
      <w:r>
        <w:tab/>
      </w:r>
      <w:r>
        <w:tab/>
        <w:t>i)</w:t>
      </w:r>
      <w:r>
        <w:tab/>
        <w:t>безработица в соответствующих общинах сократилась приблизительно на 23%;</w:t>
      </w:r>
    </w:p>
    <w:p w:rsidR="00000000" w:rsidRDefault="00000000">
      <w:pPr>
        <w:pStyle w:val="BodyTextIndent"/>
        <w:spacing w:line="288" w:lineRule="auto"/>
      </w:pPr>
    </w:p>
    <w:p w:rsidR="00000000" w:rsidRDefault="00000000">
      <w:pPr>
        <w:tabs>
          <w:tab w:val="clear" w:pos="1134"/>
          <w:tab w:val="right" w:pos="1309"/>
        </w:tabs>
        <w:ind w:left="1701" w:hanging="1701"/>
      </w:pPr>
      <w:r>
        <w:tab/>
      </w:r>
      <w:r>
        <w:tab/>
        <w:t>ii)</w:t>
      </w:r>
      <w:r>
        <w:tab/>
        <w:t>было создано примерно 4 800 постоянных рабочих мест;</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iii)</w:t>
      </w:r>
      <w:r>
        <w:tab/>
        <w:t>появилось 700 рабочих мест для инвалидов;</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iv)</w:t>
      </w:r>
      <w:r>
        <w:tab/>
        <w:t>активными мерами по борьбе с безработицей было затронуто около 16 000 человек;</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v)</w:t>
      </w:r>
      <w:r>
        <w:tab/>
        <w:t>значительные результаты были достигнуты в области развития технической инфраструктуры;</w:t>
      </w:r>
    </w:p>
    <w:p w:rsidR="00000000" w:rsidRDefault="00000000">
      <w:pPr>
        <w:tabs>
          <w:tab w:val="clear" w:pos="1134"/>
          <w:tab w:val="right" w:pos="1309"/>
        </w:tabs>
        <w:ind w:left="1701" w:hanging="1701"/>
      </w:pPr>
    </w:p>
    <w:p w:rsidR="00000000" w:rsidRDefault="00000000">
      <w:pPr>
        <w:tabs>
          <w:tab w:val="clear" w:pos="1134"/>
          <w:tab w:val="left" w:pos="1122"/>
        </w:tabs>
      </w:pPr>
      <w:r>
        <w:tab/>
        <w:t>d)</w:t>
      </w:r>
      <w:r>
        <w:tab/>
        <w:t>деятельность Агентства по реструктуризации и модернизации сельского хозяйства, которая способствовала созданию свыше 24 000 рабочих мест в несельскохозяйственном секторе в 1995-1998 годах благодаря предоставлению низкопроцентных займов и частичному покрытию расходов, связанных с выплатой процентов по предоставленным займам.  Усилия Агентства были сосредоточены на развитии инфраструктуры:  строительстве систем водоснабжения и канализации, систем очистки питьевой воды и сточных вод, проведении телефонных линий, строительстве и модернизации дорог в общинах;</w:t>
      </w:r>
    </w:p>
    <w:p w:rsidR="00000000" w:rsidRDefault="00000000">
      <w:pPr>
        <w:tabs>
          <w:tab w:val="clear" w:pos="1134"/>
          <w:tab w:val="left" w:pos="1122"/>
        </w:tabs>
      </w:pPr>
    </w:p>
    <w:p w:rsidR="00000000" w:rsidRDefault="00000000">
      <w:pPr>
        <w:tabs>
          <w:tab w:val="clear" w:pos="1134"/>
          <w:tab w:val="left" w:pos="1122"/>
        </w:tabs>
      </w:pPr>
      <w:r>
        <w:tab/>
        <w:t>е)</w:t>
      </w:r>
      <w:r>
        <w:tab/>
        <w:t>реформа системы производственно-технических училищ и сельскохозяйственного образования, направленная на сокращение численности выпускников с "базовым" образованием, фактически пополняющих армию безработных.  Количество учащихся базовых производственно-технических училищ сокращалось и составило в 1998 году примерно 31% общего контингента учащихся.  Доля чисто сельскохозяйственных специальностей в структуре образования также снижалась, однако при этом возрастал относительный вес специальностей, ориентированных на удовлетворение потребностей сельского хозяйства.  За период с сентября 1998 года начало функционировать 211 школ с новыми программами, которые заменили школы старого типа, в том числе 93 средние специальные агропромышленные школы и 83 колледжа по вопросам управления кормопроизводством и ведения хозяйства, т.е. учебные заведения, на практике реализующие новые стратегии образования.  Совершенствование сельскохозяйственного образования также подразумевало формирование новой инфраструктуры и повышение качества практического обучения, в частности, за счет создания функциональных образовательных центров и их оснащения надлежащим оборудованием.  Были подготовлены руководящие принципы для разработки программ и организации деятельности центров и заложена правовая основа для создания первых девяти экспериментальных центров.  Учебные заведения, находящиеся в ведении министерства сельского хозяйства и пищевой промышленности, помимо выполнения своих уставных задач, были привлечены к осуществлению деятельности, связанной с переподготовкой и повышением квалификации, консультированием и распространением информации в области сельского хозяйства.  Такие учебные курсы бы организованы примерно в 50% сельскохозяйственных училищ и ориентированы главным образом на фермеров и безработных из сельских районов;</w:t>
      </w:r>
    </w:p>
    <w:p w:rsidR="00000000" w:rsidRDefault="00000000">
      <w:pPr>
        <w:tabs>
          <w:tab w:val="clear" w:pos="1134"/>
          <w:tab w:val="left" w:pos="1122"/>
        </w:tabs>
      </w:pPr>
    </w:p>
    <w:p w:rsidR="00000000" w:rsidRDefault="00000000">
      <w:pPr>
        <w:tabs>
          <w:tab w:val="clear" w:pos="1134"/>
          <w:tab w:val="left" w:pos="1122"/>
        </w:tabs>
      </w:pPr>
      <w:r>
        <w:tab/>
      </w:r>
      <w:r>
        <w:rPr>
          <w:lang w:val="en-US"/>
        </w:rPr>
        <w:t>f</w:t>
      </w:r>
      <w:r>
        <w:t>)</w:t>
      </w:r>
      <w:r>
        <w:tab/>
        <w:t>разработка в 1998 году программы агротуризма, охватывающей период до 2001 года;  планировалось, что эта программа откроет возможности для регионального развития, создаст альтернативные источники доходов для фермеров и будет связана с охраной окружающей среды и культурного наследия.  В рамках намеченной программы и при международном содействии министерство выполняло соответствующие задачи в сотрудничестве с сельскохозяйственными консультативными центрами;  было налажено взаимодействие с Польской федерацией сельского туризма по линии реализации двух задач:</w:t>
      </w:r>
    </w:p>
    <w:p w:rsidR="00000000" w:rsidRDefault="00000000">
      <w:pPr>
        <w:tabs>
          <w:tab w:val="clear" w:pos="1134"/>
          <w:tab w:val="left" w:pos="1122"/>
        </w:tabs>
      </w:pPr>
    </w:p>
    <w:p w:rsidR="00000000" w:rsidRDefault="00000000">
      <w:pPr>
        <w:pStyle w:val="BodyTextIndent"/>
        <w:spacing w:line="288" w:lineRule="auto"/>
      </w:pPr>
      <w:r>
        <w:tab/>
      </w:r>
      <w:r>
        <w:tab/>
        <w:t>i)</w:t>
      </w:r>
      <w:r>
        <w:tab/>
        <w:t>"Альтернативные источники дохода для населения сельских районов – выходной день на ферме";</w:t>
      </w:r>
    </w:p>
    <w:p w:rsidR="00000000" w:rsidRDefault="00000000">
      <w:pPr>
        <w:pStyle w:val="BodyTextIndent"/>
        <w:spacing w:line="288" w:lineRule="auto"/>
      </w:pPr>
    </w:p>
    <w:p w:rsidR="00000000" w:rsidRDefault="00000000">
      <w:pPr>
        <w:tabs>
          <w:tab w:val="clear" w:pos="1134"/>
          <w:tab w:val="right" w:pos="1309"/>
        </w:tabs>
        <w:ind w:left="1701" w:hanging="1701"/>
      </w:pPr>
      <w:r>
        <w:tab/>
      </w:r>
      <w:r>
        <w:tab/>
        <w:t>ii)</w:t>
      </w:r>
      <w:r>
        <w:tab/>
        <w:t>"Сельский туризм – шаг на пути развития сельских районов:  консультативные услуги для консультантов".</w:t>
      </w:r>
    </w:p>
    <w:p w:rsidR="00000000" w:rsidRDefault="00000000">
      <w:pPr>
        <w:tabs>
          <w:tab w:val="clear" w:pos="1134"/>
          <w:tab w:val="right" w:pos="1309"/>
        </w:tabs>
        <w:ind w:left="1701" w:hanging="1701"/>
      </w:pPr>
    </w:p>
    <w:p w:rsidR="00000000" w:rsidRDefault="00000000">
      <w:pPr>
        <w:tabs>
          <w:tab w:val="clear" w:pos="1134"/>
          <w:tab w:val="left" w:pos="1122"/>
        </w:tabs>
      </w:pPr>
      <w:r>
        <w:t>22.</w:t>
      </w:r>
      <w:r>
        <w:tab/>
        <w:t>Как свидетельствуют данные Национального бюро труда, в конце 1998 года на долю женщин приходилось 57,1% всех безработных в сельских районах.  В бюро по трудоустройству было зарегистрировано 31 170 владельцев ферм, которые составляли лишь 1,7% от числа безработных в сельских районах.</w:t>
      </w:r>
    </w:p>
    <w:p w:rsidR="00000000" w:rsidRDefault="00000000">
      <w:pPr>
        <w:tabs>
          <w:tab w:val="clear" w:pos="1134"/>
          <w:tab w:val="left" w:pos="1122"/>
        </w:tabs>
      </w:pPr>
    </w:p>
    <w:p w:rsidR="00000000" w:rsidRDefault="00000000">
      <w:r>
        <w:t>23.</w:t>
      </w:r>
      <w:r>
        <w:tab/>
        <w:t>Сопоставление уровня занятости на бывших государственных сельскохозяйственных фермах с уровнем занятости на фермах, находящихся в ведении Государственного резервного фонда сельскохозяйственного имущества, т.е. на управляемых фермах, в единоличных хозяйствах Государственного агентства сельскохозяйственного имущества и на фермах арендаторов, свидетельствует о сокращении численности соответствующих работников с 330 000 человек на тот момент, когда Агентства еще не существовало,  до 135 000 человек в сентябре 1997 года.  Таким образом, еще до создания Агентства с государственных сельскохозяйственных ферм ушло (или было уволено) более 100 000 человек.  Следует отметить, что занятость на всех вышеупомянутых фермах, находящихся в ведении Агентства, возросла с 1995 года приблизительно на 12 000 человек.  По данным обследования экономической активности населения, проведенного Главным статистическим управлением, произошло уменьшение количества безработных, которые ранее трудились в государственном секторе сельского хозяйства, охотоводства и лесоводства.  Под определение "безработные", используемое в обследовании экономической активности населения, подпадают достигшие 15 лет лица, которые не занимаются никакой деятельностью, приносящей доход, и активно ищут работу.  По данным Национального бюро труда, на 1 января 1998 года число зарегистрированных безработных в государственных секторах сельского хозяйства, охотоводства и лесоводства составляло примерно 36 000 человек.</w:t>
      </w:r>
    </w:p>
    <w:p w:rsidR="00000000" w:rsidRDefault="00000000"/>
    <w:p w:rsidR="00000000" w:rsidRDefault="00000000">
      <w:r>
        <w:t>24.</w:t>
      </w:r>
      <w:r>
        <w:tab/>
        <w:t>Исходя из своих официально установленных обязанностей, связанных с проведением активной политики обеспечения занятости бывших работников государственных сельскохозяйственных ферм, Агентство сельскохозяйственного имущества, действующее при министерстве государственной казны, занималось реализацией следующих мер:</w:t>
      </w:r>
    </w:p>
    <w:p w:rsidR="00000000" w:rsidRDefault="00000000"/>
    <w:p w:rsidR="00000000" w:rsidRDefault="00000000">
      <w:r>
        <w:tab/>
        <w:t>а)</w:t>
      </w:r>
      <w:r>
        <w:tab/>
        <w:t>обеспечивало сохранение максимального количества рабочих мест в процессе реструктуризации;  местные отделения Агентства заключали контракты аренды, вменяющие в обязанность прием на работу определенного числа лиц (как правило, сроком на два года при соблюдении прежних условий занятости);</w:t>
      </w:r>
    </w:p>
    <w:p w:rsidR="00000000" w:rsidRDefault="00000000"/>
    <w:p w:rsidR="00000000" w:rsidRDefault="00000000">
      <w:r>
        <w:tab/>
      </w:r>
      <w:r>
        <w:rPr>
          <w:lang w:val="en-US"/>
        </w:rPr>
        <w:t>b</w:t>
      </w:r>
      <w:r>
        <w:t>)</w:t>
      </w:r>
      <w:r>
        <w:tab/>
        <w:t>поддерживало экономические инициативы, позволяющие сохранить неизменной или расширить занятость населения с помощью преференциальных схем, направленных на освоение необрабатываемых земель и возобновление деятельности простаивающих ферм (создание рабочих мест);</w:t>
      </w:r>
    </w:p>
    <w:p w:rsidR="00000000" w:rsidRDefault="00000000"/>
    <w:p w:rsidR="00000000" w:rsidRDefault="00000000">
      <w:r>
        <w:tab/>
        <w:t>с)</w:t>
      </w:r>
      <w:r>
        <w:tab/>
        <w:t>поддерживало местные программы борьбы с безработицей;</w:t>
      </w:r>
    </w:p>
    <w:p w:rsidR="00000000" w:rsidRDefault="00000000"/>
    <w:p w:rsidR="00000000" w:rsidRDefault="00000000">
      <w:r>
        <w:tab/>
      </w:r>
      <w:r>
        <w:rPr>
          <w:lang w:val="en-US"/>
        </w:rPr>
        <w:t>d</w:t>
      </w:r>
      <w:r>
        <w:t>)</w:t>
      </w:r>
      <w:r>
        <w:tab/>
        <w:t>занималось созданием рабочих мест с использованием Фонда самодеятельности безработных (около 3,8 млн. экю по линии программ Европейского союза) и преференциальных кредитных линий при обеспечении освоения собственных ресурсов и возможности гарантирования кредитов;  в период 1996-1997 годов Фонд был задействован для осуществления соответствующих задач Агентства, включая в первую очередь:</w:t>
      </w:r>
    </w:p>
    <w:p w:rsidR="00000000" w:rsidRDefault="00000000">
      <w:pPr>
        <w:tabs>
          <w:tab w:val="clear" w:pos="6237"/>
          <w:tab w:val="left" w:pos="567"/>
          <w:tab w:val="left" w:pos="1134"/>
          <w:tab w:val="left" w:pos="1701"/>
          <w:tab w:val="left" w:pos="2268"/>
        </w:tabs>
        <w:ind w:left="1701" w:hanging="1701"/>
      </w:pPr>
    </w:p>
    <w:p w:rsidR="00000000" w:rsidRDefault="00000000">
      <w:pPr>
        <w:tabs>
          <w:tab w:val="clear" w:pos="1134"/>
          <w:tab w:val="clear" w:pos="6237"/>
          <w:tab w:val="left" w:pos="567"/>
          <w:tab w:val="right" w:pos="1309"/>
          <w:tab w:val="left" w:pos="1701"/>
          <w:tab w:val="left" w:pos="2268"/>
        </w:tabs>
        <w:ind w:left="1701" w:hanging="1701"/>
      </w:pPr>
      <w:r>
        <w:tab/>
      </w:r>
      <w:r>
        <w:tab/>
      </w:r>
      <w:r>
        <w:rPr>
          <w:lang w:val="en-US"/>
        </w:rPr>
        <w:t>i</w:t>
      </w:r>
      <w:r>
        <w:t>)</w:t>
      </w:r>
      <w:r>
        <w:tab/>
        <w:t>создание новых рабочих мест для безработных, которые ранее были заняты на государственных сельскохозяйственных фермах;</w:t>
      </w:r>
    </w:p>
    <w:p w:rsidR="00000000" w:rsidRDefault="00000000">
      <w:pPr>
        <w:tabs>
          <w:tab w:val="clear" w:pos="1134"/>
          <w:tab w:val="clear" w:pos="6237"/>
          <w:tab w:val="left" w:pos="567"/>
          <w:tab w:val="right" w:pos="1309"/>
          <w:tab w:val="left" w:pos="1701"/>
          <w:tab w:val="left" w:pos="2268"/>
        </w:tabs>
        <w:ind w:left="1701" w:hanging="1701"/>
      </w:pPr>
    </w:p>
    <w:p w:rsidR="00000000" w:rsidRDefault="00000000">
      <w:pPr>
        <w:tabs>
          <w:tab w:val="clear" w:pos="1134"/>
          <w:tab w:val="clear" w:pos="6237"/>
          <w:tab w:val="left" w:pos="567"/>
          <w:tab w:val="right" w:pos="1309"/>
          <w:tab w:val="left" w:pos="1701"/>
          <w:tab w:val="left" w:pos="2268"/>
        </w:tabs>
        <w:ind w:left="1701" w:hanging="1701"/>
      </w:pPr>
      <w:r>
        <w:tab/>
      </w:r>
      <w:r>
        <w:tab/>
      </w:r>
      <w:r>
        <w:rPr>
          <w:lang w:val="en-US"/>
        </w:rPr>
        <w:t>ii</w:t>
      </w:r>
      <w:r>
        <w:t>)</w:t>
      </w:r>
      <w:r>
        <w:tab/>
        <w:t xml:space="preserve">приватизацию собственности, находящейся в ведении Государственного резервного фонда сельскохозяйственного имущества;  благодаря оказанию помощи по линии программы </w:t>
      </w:r>
      <w:r>
        <w:rPr>
          <w:lang w:val="en-US"/>
        </w:rPr>
        <w:t>PHARE</w:t>
      </w:r>
      <w:r>
        <w:t xml:space="preserve"> в размере 3 849 000 экю работодатели смогли создать свыше 3 580 новых рабочих мест и более 90 бенефициаров открыли свое собственное дело.</w:t>
      </w:r>
    </w:p>
    <w:p w:rsidR="00000000" w:rsidRDefault="00000000">
      <w:pPr>
        <w:tabs>
          <w:tab w:val="clear" w:pos="6237"/>
          <w:tab w:val="left" w:pos="567"/>
          <w:tab w:val="left" w:pos="1134"/>
          <w:tab w:val="left" w:pos="1701"/>
          <w:tab w:val="left" w:pos="2268"/>
        </w:tabs>
        <w:ind w:left="1701" w:hanging="1701"/>
      </w:pPr>
    </w:p>
    <w:p w:rsidR="00000000" w:rsidRDefault="00000000">
      <w:pPr>
        <w:tabs>
          <w:tab w:val="clear" w:pos="1134"/>
          <w:tab w:val="right" w:pos="1122"/>
        </w:tabs>
        <w:jc w:val="center"/>
      </w:pPr>
      <w:r>
        <w:rPr>
          <w:b/>
          <w:bCs/>
          <w:lang w:val="en-US"/>
        </w:rPr>
        <w:t>D</w:t>
      </w:r>
      <w:r>
        <w:rPr>
          <w:b/>
          <w:bCs/>
        </w:rPr>
        <w:t>.</w:t>
      </w:r>
      <w:r>
        <w:rPr>
          <w:b/>
          <w:bCs/>
        </w:rPr>
        <w:tab/>
        <w:t>Меры по обеспечению максимальной производительности труда</w:t>
      </w:r>
    </w:p>
    <w:p w:rsidR="00000000" w:rsidRDefault="00000000">
      <w:pPr>
        <w:tabs>
          <w:tab w:val="clear" w:pos="1134"/>
          <w:tab w:val="right" w:pos="1122"/>
        </w:tabs>
      </w:pPr>
    </w:p>
    <w:p w:rsidR="00000000" w:rsidRDefault="00000000">
      <w:pPr>
        <w:tabs>
          <w:tab w:val="clear" w:pos="1134"/>
          <w:tab w:val="right" w:pos="1122"/>
        </w:tabs>
      </w:pPr>
      <w:r>
        <w:t>25.</w:t>
      </w:r>
      <w:r>
        <w:tab/>
        <w:t>Среди мер, принятых за отчетный период, следует отметить следующие:</w:t>
      </w:r>
    </w:p>
    <w:p w:rsidR="00000000" w:rsidRDefault="00000000">
      <w:pPr>
        <w:tabs>
          <w:tab w:val="clear" w:pos="1134"/>
          <w:tab w:val="right" w:pos="1122"/>
        </w:tabs>
      </w:pPr>
    </w:p>
    <w:p w:rsidR="00000000" w:rsidRDefault="00000000">
      <w:pPr>
        <w:tabs>
          <w:tab w:val="clear" w:pos="1134"/>
          <w:tab w:val="left" w:pos="1122"/>
        </w:tabs>
      </w:pPr>
      <w:r>
        <w:tab/>
        <w:t>а)</w:t>
      </w:r>
      <w:r>
        <w:tab/>
        <w:t>программы реструктуризации различных секторов экономики, включая:</w:t>
      </w:r>
    </w:p>
    <w:p w:rsidR="00000000" w:rsidRDefault="00000000">
      <w:pPr>
        <w:tabs>
          <w:tab w:val="clear" w:pos="1134"/>
          <w:tab w:val="left" w:pos="1122"/>
        </w:tabs>
      </w:pPr>
    </w:p>
    <w:p w:rsidR="00000000" w:rsidRDefault="00000000">
      <w:pPr>
        <w:tabs>
          <w:tab w:val="clear" w:pos="1134"/>
          <w:tab w:val="right" w:pos="1309"/>
        </w:tabs>
        <w:ind w:left="1701" w:hanging="1701"/>
      </w:pPr>
      <w:r>
        <w:tab/>
      </w:r>
      <w:r>
        <w:tab/>
      </w:r>
      <w:r>
        <w:rPr>
          <w:lang w:val="en-US"/>
        </w:rPr>
        <w:t>i</w:t>
      </w:r>
      <w:r>
        <w:t>)</w:t>
      </w:r>
      <w:r>
        <w:tab/>
        <w:t>программу реструктуризации черной металлургии, которая была утверждена советом министров в июне 1998 года;  согласно этой программе, предварительными условиями для достижения устойчивой экономической эффективности сталелитейных заводов и повышения их конкурентоспособности на мировых рынках являются, в частности, разработка современных научно-технических решений, совершенствование технологии и сокращение персонала примерно на 40 000 человек;</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r>
      <w:r>
        <w:rPr>
          <w:lang w:val="en-US"/>
        </w:rPr>
        <w:t>ii</w:t>
      </w:r>
      <w:r>
        <w:t>)</w:t>
      </w:r>
      <w:r>
        <w:tab/>
        <w:t>реформу угледобывающей промышленности, направленную на сокращение мощностей по добыче и избыточной занятости.  Эти меры предусматривают рост экономической эффективности отрасли за счет уменьшения расходов на добычу.  Наряду с этими мерами проводилась техническая перестройка, которая охватывала:</w:t>
      </w:r>
    </w:p>
    <w:p w:rsidR="00000000" w:rsidRDefault="00000000">
      <w:pPr>
        <w:tabs>
          <w:tab w:val="clear" w:pos="1134"/>
          <w:tab w:val="right" w:pos="1122"/>
        </w:tabs>
        <w:ind w:left="1701" w:hanging="1701"/>
      </w:pPr>
    </w:p>
    <w:p w:rsidR="00000000" w:rsidRDefault="00000000">
      <w:pPr>
        <w:tabs>
          <w:tab w:val="clear" w:pos="1134"/>
          <w:tab w:val="right" w:pos="1122"/>
        </w:tabs>
      </w:pPr>
      <w:r>
        <w:tab/>
      </w:r>
      <w:r>
        <w:tab/>
      </w:r>
      <w:r>
        <w:tab/>
        <w:t>-</w:t>
      </w:r>
      <w:r>
        <w:tab/>
        <w:t>упрощение организационной структуры шахт;</w:t>
      </w:r>
    </w:p>
    <w:p w:rsidR="00000000" w:rsidRDefault="00000000">
      <w:pPr>
        <w:tabs>
          <w:tab w:val="clear" w:pos="1134"/>
          <w:tab w:val="right" w:pos="1122"/>
        </w:tabs>
      </w:pPr>
      <w:r>
        <w:tab/>
      </w:r>
      <w:r>
        <w:tab/>
      </w:r>
      <w:r>
        <w:tab/>
        <w:t>-</w:t>
      </w:r>
      <w:r>
        <w:tab/>
        <w:t>ликвидацию наименее рентабельных производственных мощностей;</w:t>
      </w:r>
    </w:p>
    <w:p w:rsidR="00000000" w:rsidRDefault="00000000">
      <w:pPr>
        <w:tabs>
          <w:tab w:val="clear" w:pos="1134"/>
          <w:tab w:val="right" w:pos="1122"/>
        </w:tabs>
      </w:pPr>
      <w:r>
        <w:tab/>
      </w:r>
      <w:r>
        <w:tab/>
      </w:r>
      <w:r>
        <w:tab/>
        <w:t>-</w:t>
      </w:r>
      <w:r>
        <w:tab/>
        <w:t>повышение степени концентрации угледобычи.</w:t>
      </w:r>
    </w:p>
    <w:p w:rsidR="00000000" w:rsidRDefault="00000000">
      <w:pPr>
        <w:tabs>
          <w:tab w:val="clear" w:pos="1134"/>
          <w:tab w:val="right" w:pos="1122"/>
        </w:tabs>
      </w:pPr>
    </w:p>
    <w:p w:rsidR="00000000" w:rsidRDefault="00000000">
      <w:pPr>
        <w:tabs>
          <w:tab w:val="clear" w:pos="1134"/>
          <w:tab w:val="right" w:pos="1122"/>
        </w:tabs>
      </w:pPr>
      <w:r>
        <w:tab/>
        <w:t>Общая выработка составила 2 479 кг/чел./смена в 1995 году и 2 658 кг/чел./смена в 1998 году.</w:t>
      </w:r>
    </w:p>
    <w:p w:rsidR="00000000" w:rsidRDefault="00000000">
      <w:pPr>
        <w:tabs>
          <w:tab w:val="clear" w:pos="1134"/>
          <w:tab w:val="right" w:pos="1122"/>
        </w:tabs>
      </w:pPr>
    </w:p>
    <w:p w:rsidR="00000000" w:rsidRDefault="00000000">
      <w:pPr>
        <w:tabs>
          <w:tab w:val="clear" w:pos="1134"/>
          <w:tab w:val="right" w:pos="1309"/>
        </w:tabs>
        <w:ind w:left="1701" w:hanging="1701"/>
      </w:pPr>
      <w:r>
        <w:tab/>
      </w:r>
      <w:r>
        <w:tab/>
      </w:r>
      <w:r>
        <w:rPr>
          <w:lang w:val="en-US"/>
        </w:rPr>
        <w:t>iii</w:t>
      </w:r>
      <w:r>
        <w:t>)</w:t>
      </w:r>
      <w:r>
        <w:tab/>
        <w:t>Меры, ориентированные на малые и средние предприятия.  В числе наиболее важных задач, сформулированных в документе в контексте повышения производительности труда, можно отметить:</w:t>
      </w:r>
    </w:p>
    <w:p w:rsidR="00000000" w:rsidRDefault="00000000">
      <w:pPr>
        <w:tabs>
          <w:tab w:val="clear" w:pos="1134"/>
          <w:tab w:val="right" w:pos="1122"/>
        </w:tabs>
        <w:ind w:left="1701" w:hanging="1701"/>
      </w:pPr>
    </w:p>
    <w:p w:rsidR="00000000" w:rsidRDefault="00000000">
      <w:pPr>
        <w:tabs>
          <w:tab w:val="clear" w:pos="1134"/>
          <w:tab w:val="right" w:pos="1122"/>
        </w:tabs>
        <w:ind w:left="2268" w:hanging="2268"/>
      </w:pPr>
      <w:r>
        <w:tab/>
      </w:r>
      <w:r>
        <w:tab/>
      </w:r>
      <w:r>
        <w:tab/>
        <w:t>-</w:t>
      </w:r>
      <w:r>
        <w:tab/>
        <w:t>усилия с целью повышения конкурентоспособности сектора малых и средних предприятий;  они включали в себя финансовую поддержку новаторских и практически реализуемых проектов, осуществлявшихся предприятиями (выделение средств на реализацию таких проектов и приобретение научно-технических знаний, патентов, лицензий и осуществление технических усовершенствований);</w:t>
      </w:r>
    </w:p>
    <w:p w:rsidR="00000000" w:rsidRDefault="00000000">
      <w:pPr>
        <w:tabs>
          <w:tab w:val="clear" w:pos="1134"/>
          <w:tab w:val="right" w:pos="1122"/>
        </w:tabs>
        <w:ind w:left="2268" w:hanging="2268"/>
      </w:pPr>
    </w:p>
    <w:p w:rsidR="00000000" w:rsidRDefault="00000000">
      <w:pPr>
        <w:tabs>
          <w:tab w:val="clear" w:pos="1134"/>
          <w:tab w:val="right" w:pos="1122"/>
        </w:tabs>
        <w:ind w:left="2268" w:hanging="2268"/>
      </w:pPr>
      <w:r>
        <w:tab/>
      </w:r>
      <w:r>
        <w:tab/>
      </w:r>
      <w:r>
        <w:tab/>
        <w:t>-</w:t>
      </w:r>
      <w:r>
        <w:tab/>
        <w:t>поощрение исследовательских проектов, результаты которых внедрялись на предприятиях;</w:t>
      </w:r>
    </w:p>
    <w:p w:rsidR="00000000" w:rsidRDefault="00000000">
      <w:pPr>
        <w:tabs>
          <w:tab w:val="clear" w:pos="1134"/>
          <w:tab w:val="right" w:pos="1122"/>
        </w:tabs>
        <w:ind w:left="2268" w:hanging="2268"/>
      </w:pPr>
    </w:p>
    <w:p w:rsidR="00000000" w:rsidRDefault="00000000">
      <w:pPr>
        <w:tabs>
          <w:tab w:val="clear" w:pos="1134"/>
          <w:tab w:val="right" w:pos="1122"/>
        </w:tabs>
        <w:ind w:left="2268" w:hanging="2268"/>
      </w:pPr>
      <w:r>
        <w:tab/>
      </w:r>
      <w:r>
        <w:tab/>
      </w:r>
      <w:r>
        <w:tab/>
        <w:t>-</w:t>
      </w:r>
      <w:r>
        <w:tab/>
        <w:t>информирование, подготовка кадров и рекламно-пропагандистская деятельность в области использования систем гарантирования качества, включая стандарты серии 9000 и 14001 ИСО;</w:t>
      </w:r>
    </w:p>
    <w:p w:rsidR="00000000" w:rsidRDefault="00000000">
      <w:pPr>
        <w:tabs>
          <w:tab w:val="clear" w:pos="1134"/>
          <w:tab w:val="right" w:pos="1122"/>
        </w:tabs>
        <w:ind w:left="2268" w:hanging="2268"/>
      </w:pPr>
    </w:p>
    <w:p w:rsidR="00000000" w:rsidRDefault="00000000">
      <w:pPr>
        <w:tabs>
          <w:tab w:val="clear" w:pos="1134"/>
          <w:tab w:val="right" w:pos="1122"/>
        </w:tabs>
        <w:ind w:left="2268" w:hanging="2268"/>
      </w:pPr>
      <w:r>
        <w:tab/>
      </w:r>
      <w:r>
        <w:tab/>
      </w:r>
      <w:r>
        <w:tab/>
        <w:t>-</w:t>
      </w:r>
      <w:r>
        <w:tab/>
        <w:t>усиление стимулирующего воздействия налоговой системы на инвестиции и облегчение доступа малых и средних предприятий к внешним источникам мобилизации средств (в частности, благодаря созданию системы гарантирования кредитов);</w:t>
      </w:r>
    </w:p>
    <w:p w:rsidR="00000000" w:rsidRDefault="00000000">
      <w:pPr>
        <w:tabs>
          <w:tab w:val="clear" w:pos="1134"/>
          <w:tab w:val="right" w:pos="1122"/>
        </w:tabs>
        <w:ind w:left="2268" w:hanging="2268"/>
      </w:pPr>
    </w:p>
    <w:p w:rsidR="00000000" w:rsidRDefault="00000000">
      <w:pPr>
        <w:tabs>
          <w:tab w:val="clear" w:pos="1134"/>
          <w:tab w:val="left" w:pos="1122"/>
        </w:tabs>
      </w:pPr>
      <w:r>
        <w:tab/>
      </w:r>
      <w:r>
        <w:rPr>
          <w:lang w:val="en-US"/>
        </w:rPr>
        <w:t>b</w:t>
      </w:r>
      <w:r>
        <w:t>)</w:t>
      </w:r>
      <w:r>
        <w:tab/>
        <w:t>создание Агентства по технике и технологиям на основании Закона от 12 апреля 1996 года;  в функции этого Агентства входит:</w:t>
      </w:r>
    </w:p>
    <w:p w:rsidR="00000000" w:rsidRDefault="00000000">
      <w:pPr>
        <w:tabs>
          <w:tab w:val="clear" w:pos="1134"/>
          <w:tab w:val="left" w:pos="1122"/>
        </w:tabs>
      </w:pPr>
    </w:p>
    <w:p w:rsidR="00000000" w:rsidRDefault="00000000">
      <w:pPr>
        <w:tabs>
          <w:tab w:val="clear" w:pos="1134"/>
          <w:tab w:val="left" w:pos="1122"/>
        </w:tabs>
        <w:ind w:left="1701" w:hanging="1701"/>
      </w:pPr>
      <w:r>
        <w:tab/>
      </w:r>
      <w:r>
        <w:tab/>
      </w:r>
      <w:r>
        <w:rPr>
          <w:lang w:val="en-US"/>
        </w:rPr>
        <w:t>i</w:t>
      </w:r>
      <w:r>
        <w:t>)</w:t>
      </w:r>
      <w:r>
        <w:tab/>
        <w:t>поощрение и поддержка процесса разработки новаторских технических методов и технологий, а также коммерциализация результатов исследований с целью повышения степени новизны и конкурентоспособности польской продукции;</w:t>
      </w:r>
    </w:p>
    <w:p w:rsidR="00000000" w:rsidRDefault="00000000">
      <w:pPr>
        <w:tabs>
          <w:tab w:val="clear" w:pos="1134"/>
          <w:tab w:val="left" w:pos="1122"/>
        </w:tabs>
        <w:ind w:left="1701" w:hanging="1701"/>
      </w:pPr>
    </w:p>
    <w:p w:rsidR="00000000" w:rsidRDefault="00000000">
      <w:pPr>
        <w:pStyle w:val="FootnoteText"/>
        <w:tabs>
          <w:tab w:val="clear" w:pos="567"/>
          <w:tab w:val="clear" w:pos="1134"/>
          <w:tab w:val="right" w:pos="1276"/>
        </w:tabs>
        <w:spacing w:line="288" w:lineRule="auto"/>
        <w:ind w:left="1701" w:hanging="1701"/>
      </w:pPr>
      <w:r>
        <w:tab/>
        <w:t>ii)</w:t>
      </w:r>
      <w:r>
        <w:tab/>
        <w:t>содействие осуществлению государственной политики и программ в области использования современных технических методов и технологий в национальной экономике;</w:t>
      </w:r>
    </w:p>
    <w:p w:rsidR="00000000" w:rsidRDefault="00000000">
      <w:pPr>
        <w:pStyle w:val="FootnoteText"/>
        <w:tabs>
          <w:tab w:val="clear" w:pos="567"/>
          <w:tab w:val="clear" w:pos="1134"/>
          <w:tab w:val="right" w:pos="1276"/>
        </w:tabs>
        <w:spacing w:line="288" w:lineRule="auto"/>
        <w:ind w:left="1701" w:hanging="1701"/>
      </w:pPr>
    </w:p>
    <w:p w:rsidR="00000000" w:rsidRDefault="00000000">
      <w:pPr>
        <w:tabs>
          <w:tab w:val="clear" w:pos="567"/>
          <w:tab w:val="clear" w:pos="1134"/>
          <w:tab w:val="right" w:pos="1276"/>
        </w:tabs>
        <w:ind w:left="1701" w:hanging="1701"/>
      </w:pPr>
      <w:r>
        <w:tab/>
        <w:t>iii)</w:t>
      </w:r>
      <w:r>
        <w:tab/>
        <w:t>изыскание, оценка и освоение новых научно-технических и технологических решений с целью их применения в экономике;</w:t>
      </w:r>
    </w:p>
    <w:p w:rsidR="00000000" w:rsidRDefault="00000000">
      <w:pPr>
        <w:tabs>
          <w:tab w:val="clear" w:pos="567"/>
          <w:tab w:val="clear" w:pos="1134"/>
          <w:tab w:val="right" w:pos="1276"/>
        </w:tabs>
        <w:ind w:left="1701" w:hanging="1701"/>
      </w:pPr>
    </w:p>
    <w:p w:rsidR="00000000" w:rsidRDefault="00000000">
      <w:pPr>
        <w:tabs>
          <w:tab w:val="clear" w:pos="567"/>
          <w:tab w:val="clear" w:pos="1134"/>
          <w:tab w:val="right" w:pos="1276"/>
        </w:tabs>
        <w:ind w:left="1701" w:hanging="1701"/>
      </w:pPr>
      <w:r>
        <w:tab/>
        <w:t>iv)</w:t>
      </w:r>
      <w:r>
        <w:tab/>
        <w:t>разработка проектов, стимулирующих дух новаторства среди предпринимателей.</w:t>
      </w:r>
    </w:p>
    <w:p w:rsidR="00000000" w:rsidRDefault="00000000">
      <w:pPr>
        <w:tabs>
          <w:tab w:val="clear" w:pos="567"/>
          <w:tab w:val="right" w:pos="748"/>
        </w:tabs>
        <w:ind w:left="1134" w:hanging="1134"/>
      </w:pPr>
    </w:p>
    <w:p w:rsidR="00000000" w:rsidRDefault="00000000">
      <w:pPr>
        <w:pStyle w:val="FootnoteText"/>
        <w:tabs>
          <w:tab w:val="clear" w:pos="567"/>
          <w:tab w:val="left" w:pos="561"/>
        </w:tabs>
        <w:spacing w:line="288" w:lineRule="auto"/>
        <w:jc w:val="center"/>
      </w:pPr>
      <w:r>
        <w:rPr>
          <w:b/>
          <w:bCs/>
        </w:rPr>
        <w:t>Е.</w:t>
      </w:r>
      <w:r>
        <w:rPr>
          <w:b/>
          <w:bCs/>
        </w:rPr>
        <w:tab/>
        <w:t>Меры по обеспечению свободного выбора работы</w:t>
      </w:r>
    </w:p>
    <w:p w:rsidR="00000000" w:rsidRDefault="00000000">
      <w:pPr>
        <w:pStyle w:val="FootnoteText"/>
        <w:tabs>
          <w:tab w:val="clear" w:pos="567"/>
          <w:tab w:val="left" w:pos="561"/>
        </w:tabs>
        <w:spacing w:line="288" w:lineRule="auto"/>
        <w:jc w:val="center"/>
      </w:pPr>
    </w:p>
    <w:p w:rsidR="00000000" w:rsidRDefault="00000000">
      <w:pPr>
        <w:pStyle w:val="FootnoteText"/>
        <w:tabs>
          <w:tab w:val="clear" w:pos="567"/>
          <w:tab w:val="left" w:pos="561"/>
        </w:tabs>
        <w:spacing w:line="288" w:lineRule="auto"/>
      </w:pPr>
      <w:r>
        <w:t>26.</w:t>
      </w:r>
      <w:r>
        <w:tab/>
        <w:t>Свободный выбор работы гарантируют в Республике Польше следующие нормативные акты:</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а)</w:t>
      </w:r>
      <w:r>
        <w:tab/>
        <w:t>Конституция Республики Польши от 2 апреля 1997 года (Законодательный вестник за 1997 год, № 78, текст 487), статья 65;</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b)</w:t>
      </w:r>
      <w:r>
        <w:tab/>
        <w:t>Закон от 14 декабря 1994 года о занятости и борьбе с безработицей, который упоминался в предыдущем докладе;  в него было внесено ряд поправок, при которых положение о свободном выборе работы сохранилось;</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ab/>
        <w:t>с)</w:t>
      </w:r>
      <w:r>
        <w:tab/>
        <w:t>Кодекс законов о труде, измененный в соответствии с Законом от 2 февраля 1996 года, статья 19, пункт 1;  новое положение гласит:  "Каждый человек имеет право на свободный выбор работы.  Никому, за исключением случаев, предусмотренных статутным правом, не может быть запрещено практиковать ту или иную профессию".</w:t>
      </w:r>
    </w:p>
    <w:p w:rsidR="00000000" w:rsidRDefault="00000000">
      <w:pPr>
        <w:pStyle w:val="FootnoteText"/>
        <w:tabs>
          <w:tab w:val="clear" w:pos="567"/>
          <w:tab w:val="left" w:pos="561"/>
        </w:tabs>
        <w:spacing w:line="288" w:lineRule="auto"/>
        <w:ind w:left="1134" w:hanging="1134"/>
      </w:pPr>
    </w:p>
    <w:p w:rsidR="00000000" w:rsidRDefault="00000000">
      <w:pPr>
        <w:pStyle w:val="FootnoteText"/>
        <w:tabs>
          <w:tab w:val="clear" w:pos="567"/>
          <w:tab w:val="left" w:pos="561"/>
        </w:tabs>
        <w:spacing w:line="288" w:lineRule="auto"/>
        <w:jc w:val="center"/>
      </w:pPr>
      <w:r>
        <w:rPr>
          <w:b/>
          <w:bCs/>
        </w:rPr>
        <w:t>F.</w:t>
      </w:r>
      <w:r>
        <w:rPr>
          <w:b/>
          <w:bCs/>
        </w:rPr>
        <w:tab/>
        <w:t>Программы профессионально-технической подготовки</w:t>
      </w:r>
    </w:p>
    <w:p w:rsidR="00000000" w:rsidRDefault="00000000">
      <w:pPr>
        <w:pStyle w:val="FootnoteText"/>
        <w:tabs>
          <w:tab w:val="clear" w:pos="567"/>
          <w:tab w:val="left" w:pos="561"/>
        </w:tabs>
        <w:spacing w:line="288" w:lineRule="auto"/>
        <w:jc w:val="center"/>
      </w:pPr>
    </w:p>
    <w:p w:rsidR="00000000" w:rsidRDefault="00000000">
      <w:pPr>
        <w:pStyle w:val="FootnoteText"/>
        <w:tabs>
          <w:tab w:val="clear" w:pos="567"/>
          <w:tab w:val="left" w:pos="561"/>
        </w:tabs>
        <w:spacing w:line="288" w:lineRule="auto"/>
      </w:pPr>
      <w:r>
        <w:t>27.</w:t>
      </w:r>
      <w:r>
        <w:tab/>
        <w:t>Профессиональная подготовка осуществлялась в основном в школах.  В течение 1997/98 учебного года 1 560 000 подростков и 202 000 взрослых проходили подготовку на уровне базового и среднего специального образования.  В 1997/98 году учебные заведения продолженного среднего образования окончили 191 000 человек.  За последние пять лет численность учащихся в системе продолженного среднего образования возросла на 42%.</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28.</w:t>
      </w:r>
      <w:r>
        <w:tab/>
        <w:t>В условиях борьбы с безработицей среди молодежи было важно адаптировать структуру образования к потребностям рынка труда.  Анализ спроса на те или иные специальности показал, что найти себе место на рынке труда могут лишь выпускники тех учебных заведений, которые предусматривают не узкоспециализированную подготовку, а обучение различным навыкам и квалификации.  В 1996/97 учебном году приблизительно 28,32% общего контингента учащихся, которые получили начальное образование, проходили обучение в базовых производственно-технических училищах, а в 1997/98 году - 26,58%.  Предполагалось, что с 1 сентября 1999 года (после развертывания школьной реформы) 20% молодых людей будут учиться по двухгодичной программе продолженного среднего образования в профессионально-технических училищах и 80% - в средних общеобразовательных школах с определенным уклоном.</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29.</w:t>
      </w:r>
      <w:r>
        <w:tab/>
        <w:t>Закон предполагал возможность организации стажировки при одновременном гарантировании работодателя возмещения расходов, связанных с такой формой занятости.  Стажеры получали лишь стипендию.  В 1996 году на стажировку было направлено свыше 12 000, в 1997 году - более 19 000 и в 1998 году - свыше 28 000 выпускников школ.  Весьма эффективной была так называемая система последующего распределения.  В 1996 году ею были охвачены 39 000 человек, в 1997 году - свыше 55 000 человек и в 1998 году - 35 000 человек.  В отличие от стажировки в данном случае выпускник заключал трудовой договор с работодателем и получал вознаграждение.  Бюро по трудоустройству покрывало часть расходов, связанных с такого рода работой.  Субсидируемая занятость молодежи являлась существенным элементом специальных программ, ориентированных на так называемые "группы риска".  В 1996 году из 81 специальной программы, утвержденной для осуществления, семь были рассчитаны исключительно на молодежь;  в 1997 году соответствующие цифры были 146 и 17, а в 1998 году - 159 и 26.</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30.</w:t>
      </w:r>
      <w:r>
        <w:tab/>
        <w:t>В 1995-1998 годах отмечался рост количества безработных, прошедших переподготовку по линии бюро по трудоустройству.  В 1995 году их насчитывалось 82 106, в 1996 году - 84 830, в 1997 году - 133 820 и в 1998 году - 141 397 человек, т.е. 7,7% всех безработных, из которых основную часть составляли женщины (58,6%).  Увеличилось число безработных, которые занимались на курсах профессиональной подготовки, организованных на основе трехсторонних соглашений между бюро по трудоустройству, работодателем и учебным заведением.  Свидетельством эффективности этих курсов служит количество выпускников, нашедших работу после получения соответствующего образования (80-100%, т.е. при превышении более чем на 20% по сравнению с другими курсами).  В 1996 году трехсторонние соглашения действовали в 36 воеводствах, в 1997 году - в 43 и в 1998 году - в 45 (тогда еще существовала старая система административного деления страны).  Численность обучавшихся выпускников, прошедших подготовку в соответствии с трехсторонними соглашениями, составляла 4 577 человек в 1996 году, 5 641 человек в 1997 году и 6 356 человек в 1998 году.</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31.</w:t>
      </w:r>
      <w:r>
        <w:tab/>
        <w:t>Начиная с 1997 года, после внесения поправок в законодательство, бюро по трудоустройству смогло финансировать курсы повышения квалификации для лиц, ищущих работу.  В 1997 году такие курсы окончили 19 021 человек, а 24 916 человек получили аналогичную подготовку по программе производственно-технического обучения.  В 1998 году соответствующей подготовкой были охвачены 23 660 и 32 945 человек, соответственно.</w:t>
      </w:r>
    </w:p>
    <w:p w:rsidR="00000000" w:rsidRDefault="00000000">
      <w:pPr>
        <w:pStyle w:val="FootnoteText"/>
        <w:tabs>
          <w:tab w:val="clear" w:pos="567"/>
          <w:tab w:val="left" w:pos="561"/>
        </w:tabs>
        <w:spacing w:line="288" w:lineRule="auto"/>
      </w:pPr>
    </w:p>
    <w:p w:rsidR="00000000" w:rsidRDefault="00000000">
      <w:pPr>
        <w:pStyle w:val="FootnoteText"/>
        <w:tabs>
          <w:tab w:val="clear" w:pos="567"/>
          <w:tab w:val="left" w:pos="561"/>
        </w:tabs>
        <w:spacing w:line="288" w:lineRule="auto"/>
      </w:pPr>
      <w:r>
        <w:t>32.</w:t>
      </w:r>
      <w:r>
        <w:tab/>
        <w:t>Согласно оценкам, в 1995-1998 годах в Польше насчитывалось 5 000 учреждений, занимающихся подготовкой кадров.  Они организовывали, в частности, курсы для сотрудников управленческого звена и специалистов и курсы производственно-технического обучения на различных уровнях, а также курсы по подготовке работников конкретных профессий.  Считается, что в среднем свою квалификацию ежегодно повышают около 2,5 млн. человек.  В 1996/97 году вне системы школьного образования действовало 1 800 зарегистрированных учебных заведений, в которых осуществлялась общеобразовательная и профессиональная подготовка.  Она включала в себя 59 376 курсов для 1 229 000 участников, в том числе для 80 000 безработных.  Курсы профессиональной ориентации в системе внешкольного образования прошли 135 000 человек, курсы для получения диплома по конкретным специальностям </w:t>
      </w:r>
      <w:r>
        <w:noBreakHyphen/>
        <w:t> 112 000, курсы совершенствования производственных навыков - 227 000 человек, курсы по вопросам безопасности и гигиены труда - 391 000 человек и курсы иностранного языка </w:t>
      </w:r>
      <w:r>
        <w:noBreakHyphen/>
        <w:t xml:space="preserve"> 222 000 человек.  Из общего числа всех курсов 29 866 (50%) проводились по инициативе работодателей или бюро по трудоустройству. </w:t>
      </w:r>
    </w:p>
    <w:p w:rsidR="00000000" w:rsidRDefault="00000000"/>
    <w:p w:rsidR="00000000" w:rsidRDefault="00000000">
      <w:r>
        <w:t>33.</w:t>
      </w:r>
      <w:r>
        <w:tab/>
        <w:t>Наибольшее количество участников прошло подготовку по линии следующих учреждений:</w:t>
      </w:r>
    </w:p>
    <w:p w:rsidR="00000000" w:rsidRDefault="00000000"/>
    <w:p w:rsidR="00000000" w:rsidRDefault="00000000">
      <w:pPr>
        <w:ind w:left="1134" w:hanging="1134"/>
      </w:pPr>
      <w:r>
        <w:tab/>
        <w:t>-</w:t>
      </w:r>
      <w:r>
        <w:tab/>
        <w:t>ассоциаций и общественных организаций:  422 000 человек (20 000 курсов), включая 37 000 безработных;</w:t>
      </w:r>
    </w:p>
    <w:p w:rsidR="00000000" w:rsidRDefault="00000000">
      <w:pPr>
        <w:ind w:left="1134" w:hanging="1134"/>
      </w:pPr>
    </w:p>
    <w:p w:rsidR="00000000" w:rsidRDefault="00000000">
      <w:pPr>
        <w:ind w:left="1134" w:hanging="1134"/>
      </w:pPr>
      <w:r>
        <w:tab/>
        <w:t>-</w:t>
      </w:r>
      <w:r>
        <w:tab/>
        <w:t>предприятий, принадлежащих физическим лицам, товариществам и т.д.:  408 000 человек, включая 21 000 безработных;</w:t>
      </w:r>
    </w:p>
    <w:p w:rsidR="00000000" w:rsidRDefault="00000000">
      <w:pPr>
        <w:ind w:left="1134" w:hanging="1134"/>
      </w:pPr>
    </w:p>
    <w:p w:rsidR="00000000" w:rsidRDefault="00000000">
      <w:pPr>
        <w:ind w:left="1134" w:hanging="1134"/>
      </w:pPr>
      <w:r>
        <w:tab/>
        <w:t>-</w:t>
      </w:r>
      <w:r>
        <w:tab/>
        <w:t>коммерческих компаний:  268 000 человек (9 400 курсов), включая 13 000 безработных.</w:t>
      </w:r>
    </w:p>
    <w:p w:rsidR="00000000" w:rsidRDefault="00000000">
      <w:pPr>
        <w:ind w:left="1134" w:hanging="1134"/>
      </w:pPr>
    </w:p>
    <w:p w:rsidR="00000000" w:rsidRDefault="00000000">
      <w:pPr>
        <w:ind w:left="1134" w:hanging="1134"/>
        <w:jc w:val="center"/>
        <w:rPr>
          <w:b/>
        </w:rPr>
      </w:pPr>
      <w:r>
        <w:rPr>
          <w:b/>
          <w:lang w:val="en-US"/>
        </w:rPr>
        <w:t>G</w:t>
      </w:r>
      <w:r>
        <w:rPr>
          <w:b/>
        </w:rPr>
        <w:t>.</w:t>
      </w:r>
      <w:r>
        <w:rPr>
          <w:b/>
        </w:rPr>
        <w:tab/>
        <w:t>Особые трудности, связанные с обеспечением полной занятости</w:t>
      </w:r>
    </w:p>
    <w:p w:rsidR="00000000" w:rsidRDefault="00000000">
      <w:pPr>
        <w:ind w:left="1134" w:hanging="1134"/>
        <w:jc w:val="center"/>
        <w:rPr>
          <w:b/>
        </w:rPr>
      </w:pPr>
      <w:r>
        <w:rPr>
          <w:b/>
        </w:rPr>
        <w:t>при свободном выборе работы</w:t>
      </w:r>
    </w:p>
    <w:p w:rsidR="00000000" w:rsidRDefault="00000000">
      <w:pPr>
        <w:ind w:left="1134" w:hanging="1134"/>
        <w:jc w:val="center"/>
        <w:rPr>
          <w:b/>
        </w:rPr>
      </w:pPr>
    </w:p>
    <w:p w:rsidR="00000000" w:rsidRDefault="00000000">
      <w:r>
        <w:t>34.</w:t>
      </w:r>
      <w:r>
        <w:tab/>
        <w:t xml:space="preserve">Эти трудности обусловливались главным образом тем, что безработица в Польше носила структурный/региональный характер.  Длительно безработные лица, обычно имеющие низкую квалификацию, зачастую воздерживались от поиска работы по своей специальности.  Еще одним препятствием являлась низкая географическая мобильность безработных (жилищные проблемы см. в разделе </w:t>
      </w:r>
      <w:r>
        <w:rPr>
          <w:lang w:val="en-US"/>
        </w:rPr>
        <w:t>VI</w:t>
      </w:r>
      <w:r>
        <w:t>).</w:t>
      </w:r>
    </w:p>
    <w:p w:rsidR="00000000" w:rsidRDefault="00000000"/>
    <w:p w:rsidR="00000000" w:rsidRDefault="00000000">
      <w:r>
        <w:t>35.</w:t>
      </w:r>
      <w:r>
        <w:tab/>
        <w:t>В сельских районах сохранялось сложное положение, поскольку в 1995-1998 годах сельское хозяйство страны находилось в преддверии коренных преобразований.  Площадь большинства фермерских хозяйств составляла лишь несколько гектаров, редко превышая 20 га.  В сельских районах, главным образом в сельском хозяйстве, было задействовано 27% экономически активного населения Польши.  В силу слабой приспособленности к рыночной экономике большинство несельскохозяйственных предприятий в сельских районах и небольших деревнях стали банкротами.  Эти явления были особенно характерны для восточных и северных воеводств, хотя отмечались и в районах, не охваченных структурной безработицей;  это свидетельствует о том, что в действительности они затрагивали практически всю страну.</w:t>
      </w:r>
    </w:p>
    <w:p w:rsidR="00000000" w:rsidRDefault="00000000"/>
    <w:p w:rsidR="00000000" w:rsidRDefault="00000000">
      <w:r>
        <w:t>36.</w:t>
      </w:r>
      <w:r>
        <w:tab/>
        <w:t>Трудное положение на рынке труда существовало также в крупных и средних городах, где на протяжении многих десятилетий сформировались отрасли промышленности, еще не ставшие объектом перестройки или находившиеся в процессе реструктуризации (угледобывающая промышленность;  черная металлургия;  некоторые отрасли тяжелой промышленности, например оборонная промышленность, машиностроение, и легкой промышленности, например текстильная промышленность, производство одежды и пищевая промышленность).  Эти проблемы возникли как на региональном уровне (Верхняя Силезия, Валбжихский угольный бассейн, Лодзь, промышленный район Радом-Кельце-Жешув), так и во многих отдельных городах по всей стране.</w:t>
      </w:r>
    </w:p>
    <w:p w:rsidR="00000000" w:rsidRDefault="00000000"/>
    <w:p w:rsidR="00000000" w:rsidRDefault="00000000">
      <w:r>
        <w:t>37.</w:t>
      </w:r>
      <w:r>
        <w:tab/>
        <w:t>Проблемой другого рода являлась дискриминация в области занятости, практиковавшаяся некоторыми работодателями по отношению к женщинам.  Так, иногда женщинам предлагали пройти тест на беременность;  время от времени появлялись объявления с предложением работы только для небеременных женщин (такие случаи носили редкий характер).  Кроме того, некоторые женщины сталкивались с трудностями в деле получения работы;  к их числу относились молодые замужние женщины, которые могли забеременеть, молодые матери, вынужденные ухаживать за детьми, или женщины старше 40 лет (вследствие недостаточного количества вакантных рабочих мест и их недостаточной квалификации, хотя это могло служить лишь предлогом для отказа в найме на работу).  Мужчины такого же возраста и уровня квалификации, как правило, имели больше шансов на рынке труда.</w:t>
      </w:r>
    </w:p>
    <w:p w:rsidR="00000000" w:rsidRDefault="00000000"/>
    <w:p w:rsidR="00000000" w:rsidRDefault="00000000">
      <w:pPr>
        <w:pStyle w:val="16"/>
        <w:rPr>
          <w:b/>
        </w:rPr>
      </w:pPr>
      <w:r>
        <w:rPr>
          <w:b/>
        </w:rPr>
        <w:t>Н.</w:t>
      </w:r>
      <w:r>
        <w:rPr>
          <w:b/>
        </w:rPr>
        <w:tab/>
        <w:t>Равенство возможностей и обращения в области занятости</w:t>
      </w:r>
    </w:p>
    <w:p w:rsidR="00000000" w:rsidRDefault="00000000">
      <w:pPr>
        <w:pStyle w:val="16"/>
        <w:rPr>
          <w:b/>
        </w:rPr>
      </w:pPr>
    </w:p>
    <w:p w:rsidR="00000000" w:rsidRDefault="00000000">
      <w:r>
        <w:t>38.</w:t>
      </w:r>
      <w:r>
        <w:tab/>
        <w:t>Помимо новой Конституции от 2 апреля 1997 года (ранее упоминавшаяся статья 65, в которой провозглашается принцип свободного выбора работы, но запрещается найм на постоянную работу детей в возрасте до 16 лет), со 2 июня 1996 года вступили в действие следующие положения Кодекса законов о труде:  статья 11(2):  "Трудящиеся имеют равные права в связи с выполнением одинаковых обязанностей;  это касается, в частности, равного статуса мужчин и женщин в области занятости", и статья 11(3):  "Любая дискриминация в сфере трудовых отношений, и в частности по признаку пола, возраста, инвалидности, расы, национальной принадлежности, убеждений, включая политические взгляды или вероисповедание, а также применительно к членству в профсоюзе, запрещается".</w:t>
      </w:r>
    </w:p>
    <w:p w:rsidR="00000000" w:rsidRDefault="00000000"/>
    <w:p w:rsidR="00000000" w:rsidRDefault="00000000">
      <w:r>
        <w:t>39.</w:t>
      </w:r>
      <w:r>
        <w:tab/>
        <w:t>Закон о занятости и борьбе с безработицей от 14 декабря 1994 года и исполнительные акты были согласованы с Конвенцией МОТ № 111 о дискриминации в области труда и занятий (1958 года) и с Директивой ЕС № 76/207 от 9 февраля 1976 года о равном статусе женщин и мужчин с точки зрения доступа к работе.  Вместе с тем в 1995</w:t>
      </w:r>
      <w:r>
        <w:noBreakHyphen/>
        <w:t>1998 годах отмечались случаи дискриминации в отношении женщин, которая проявлялась в более значительной, как правило, доле безработных женщин по сравнению с безработными мужчинами, более высокой численности женщин, затронутых сокращением штатов, и в различиях по заработной плате.  В рамках переговорной подгруппы "Социальная политика" была создана рабочая группа по проблемам равного обращения с женщинами и мужчинами.  Кроме того, был подготовлен проект закона о равном статусе женщин и мужчин, который будет вводить в действие нормативные положения, предусматривающие равный доступ женщин и мужчин к занятости и запрещение таких предложений работы, в рамках которых одним кандидатам отдается предпочтение по признаку их пола.</w:t>
      </w:r>
    </w:p>
    <w:p w:rsidR="00000000" w:rsidRDefault="00000000"/>
    <w:p w:rsidR="00000000" w:rsidRDefault="00000000">
      <w:r>
        <w:t>40.</w:t>
      </w:r>
      <w:r>
        <w:tab/>
        <w:t>В отношении доступа к определенным профессиям существует дифференциация, обусловливаемая гражданством.  В статье 25 Закона от 25 июня 1997 года об иностранцах предусматривается, что "во время своего пребывания на территории Республики Польши иностранцы имеют такие же права и обязанности, как и польские граждане, если только положениями настоящего Закона или другими законодательными актами не предусматривается иное".  Ограничение в отношении занятости иностранцев касается гражданских служащих (Закон от 16 сентября 1982 года о сотрудниках государственных учреждений, Законодательный вестник за 1982 год, № 31, текст 214, с последующими поправками), штатных преподавателей (постановление министерства национального образования от 30 октября 1992 года, Законодательный вестник № 85, текст 432;  в соответствии с пунктом 2 статьи 10 Закона от 26 января 1982 года "Хартия учителей" преподавателями могут назначаться лишь граждане Польши;  если использование труда иностранного гражданина обусловливается потребностями процесса школьного обучения, то он может быть взят на работу в качестве внештатного преподавателя, например учителя иностранного языка) и сотрудников Почтовой службы Польши.  В случае некоторых профессий, которые могут практиковаться иностранцами, проводится разграничение между поляками и остальными гражданами;  это относится к архитекторам, адвокатам, кураторам и представителям схожих профессий.  Подробные положения, регулирующие порядок трудоустройства иностранных граждан, содержатся в Законе от 14 декабря 1994 года о занятости и борьбе с безработицей.  Они предусматривают, что иностранец, не имеющий статуса беженца или вида на постоянное проживание, может работать при том условии, если работодатель получил разрешение от руководителя местного бюро по трудоустройству и если соответствующий иностранный гражданин имеет визу с правом работы или вид на временное проживание на территории Республики Польши и действует с согласия вышеупомянутого руководящего лица.  Иностранцу, имеющему вид на постоянное проживание или статус беженца, никакого разрешения на работу не требуется.</w:t>
      </w:r>
    </w:p>
    <w:p w:rsidR="00000000" w:rsidRDefault="00000000"/>
    <w:p w:rsidR="00000000" w:rsidRDefault="00000000">
      <w:pPr>
        <w:pStyle w:val="Heading7"/>
        <w:spacing w:line="288" w:lineRule="auto"/>
        <w:jc w:val="center"/>
      </w:pPr>
      <w:r>
        <w:t>I.</w:t>
      </w:r>
      <w:r>
        <w:tab/>
        <w:t>Положение в области профессиональной ориентации, подготовки кадров</w:t>
      </w:r>
    </w:p>
    <w:p w:rsidR="00000000" w:rsidRDefault="00000000">
      <w:pPr>
        <w:ind w:left="1134"/>
        <w:rPr>
          <w:b/>
          <w:bCs/>
        </w:rPr>
      </w:pPr>
      <w:r>
        <w:rPr>
          <w:b/>
          <w:bCs/>
        </w:rPr>
        <w:t>и трудоустройства с учетом признаков расы, цвета кожи, пола,</w:t>
      </w:r>
    </w:p>
    <w:p w:rsidR="00000000" w:rsidRDefault="00000000">
      <w:pPr>
        <w:ind w:left="1134" w:hanging="1134"/>
        <w:jc w:val="center"/>
        <w:rPr>
          <w:b/>
          <w:bCs/>
        </w:rPr>
      </w:pPr>
      <w:r>
        <w:rPr>
          <w:b/>
          <w:bCs/>
        </w:rPr>
        <w:t>религии и гражданства</w:t>
      </w:r>
    </w:p>
    <w:p w:rsidR="00000000" w:rsidRDefault="00000000">
      <w:pPr>
        <w:ind w:left="1134" w:hanging="1134"/>
        <w:jc w:val="center"/>
        <w:rPr>
          <w:b/>
          <w:bCs/>
        </w:rPr>
      </w:pPr>
    </w:p>
    <w:p w:rsidR="00000000" w:rsidRDefault="00000000">
      <w:r>
        <w:t>41.</w:t>
      </w:r>
      <w:r>
        <w:tab/>
        <w:t>Закон о занятости и борьбе с безработицей содержит положения о равенстве граждан (независимо от их расы, цвета кожи, пола и религии), которые пользуются услугами по трудоустройству и профессиональной ориентации, оказываемыми местными бюро по трудоустройству (подпункт 3 пункта 2 статьи 12 и подпункт 3 пункта 2 статьи 17 Закона).  Вышеуказанные ограничения распространяются на лиц, не имеющих польского гражданства, тогда как в отношении иностранцев, имеющих разрешения на работу, по аналогии с польскими гражданами, действуют правила, касающиеся профессиональной ориентации и подготовки.  Следует отметить, что в течение отчетного периода граждане других государств не подвергались дискриминационному обращению по признаку их расы, цвета кожи, пола и религии.  В соответствии с положениями Закона о занятости и борьбе с безработицей все безработные, включая граждан других государств, имели доступ к соответствующей профессиональной подготовке, если таковая была необходимой, в пределах финансовых возможностей бюро по трудоустройству (ресурсов Фонда труда).</w:t>
      </w:r>
    </w:p>
    <w:p w:rsidR="00000000" w:rsidRDefault="00000000"/>
    <w:p w:rsidR="00000000" w:rsidRDefault="00000000">
      <w:pPr>
        <w:pStyle w:val="10"/>
        <w:rPr>
          <w:bCs/>
        </w:rPr>
      </w:pPr>
      <w:r>
        <w:rPr>
          <w:bCs/>
        </w:rPr>
        <w:t>J.</w:t>
      </w:r>
      <w:r>
        <w:rPr>
          <w:bCs/>
        </w:rPr>
        <w:tab/>
        <w:t xml:space="preserve">Ограничения, обусловленные требованиями, предъявляемыми </w:t>
      </w:r>
    </w:p>
    <w:p w:rsidR="00000000" w:rsidRDefault="00000000">
      <w:pPr>
        <w:jc w:val="center"/>
        <w:rPr>
          <w:b/>
          <w:bCs/>
        </w:rPr>
      </w:pPr>
      <w:r>
        <w:rPr>
          <w:b/>
          <w:bCs/>
        </w:rPr>
        <w:t>к тем или иным профессиям</w:t>
      </w:r>
    </w:p>
    <w:p w:rsidR="00000000" w:rsidRDefault="00000000">
      <w:pPr>
        <w:jc w:val="center"/>
        <w:rPr>
          <w:b/>
          <w:bCs/>
        </w:rPr>
      </w:pPr>
    </w:p>
    <w:p w:rsidR="00000000" w:rsidRDefault="00000000">
      <w:r>
        <w:t>42.</w:t>
      </w:r>
      <w:r>
        <w:tab/>
        <w:t>Ни одно из вышеупомянутых ограничений не следует трактовать в качестве дискриминационного.  Эти ограничения обусловливаются лишь тем, что некоторые профессии, даже в условиях демократического правового государства, в силу их специфики не могут практиковаться гражданами других государств (список таких профессий в любом государстве аналогичен списку, приведенному выше в разделе Н).  Положения Закона о занятости и борьбе с безработицей обеспечивают возможности для того, чтобы иностранные граждане могли заниматься основными видами профессиональной деятельности на основе четких правил без какой бы то ни было дискриминации.</w:t>
      </w:r>
    </w:p>
    <w:p w:rsidR="00000000" w:rsidRDefault="00000000"/>
    <w:p w:rsidR="00000000" w:rsidRDefault="00000000">
      <w:pPr>
        <w:jc w:val="center"/>
      </w:pPr>
      <w:r>
        <w:rPr>
          <w:b/>
          <w:bCs/>
          <w:lang w:val="en-US"/>
        </w:rPr>
        <w:t>K</w:t>
      </w:r>
      <w:r>
        <w:rPr>
          <w:b/>
          <w:bCs/>
        </w:rPr>
        <w:t>.</w:t>
      </w:r>
      <w:r>
        <w:rPr>
          <w:b/>
          <w:bCs/>
        </w:rPr>
        <w:tab/>
        <w:t>Лица, работающие по совместительству</w:t>
      </w:r>
    </w:p>
    <w:p w:rsidR="00000000" w:rsidRDefault="00000000"/>
    <w:p w:rsidR="00000000" w:rsidRDefault="00000000">
      <w:r>
        <w:t>43.</w:t>
      </w:r>
      <w:r>
        <w:tab/>
        <w:t>В приводимой ниже таблице показана доля лиц, работавших по совместительству в период 1995-1998 годов.</w:t>
      </w:r>
    </w:p>
    <w:p w:rsidR="00000000" w:rsidRDefault="00000000"/>
    <w:p w:rsidR="00000000" w:rsidRDefault="00000000">
      <w:pPr>
        <w:pStyle w:val="10"/>
        <w:rPr>
          <w:b w:val="0"/>
          <w:u w:val="single"/>
        </w:rPr>
      </w:pPr>
      <w:r>
        <w:rPr>
          <w:b w:val="0"/>
          <w:u w:val="single"/>
        </w:rPr>
        <w:t>Таблица 9</w:t>
      </w:r>
      <w:r>
        <w:rPr>
          <w:b w:val="0"/>
        </w:rPr>
        <w:t xml:space="preserve">.  </w:t>
      </w:r>
      <w:r>
        <w:rPr>
          <w:b w:val="0"/>
          <w:u w:val="single"/>
        </w:rPr>
        <w:t>Доля лиц, работающих по совместительству, в общей</w:t>
      </w:r>
    </w:p>
    <w:p w:rsidR="00000000" w:rsidRDefault="00000000">
      <w:pPr>
        <w:pStyle w:val="10"/>
        <w:rPr>
          <w:bCs/>
        </w:rPr>
      </w:pPr>
      <w:r>
        <w:rPr>
          <w:b w:val="0"/>
          <w:u w:val="single"/>
        </w:rPr>
        <w:t>численности трудящегося населения</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7"/>
        <w:gridCol w:w="3927"/>
        <w:gridCol w:w="3666"/>
      </w:tblGrid>
      <w:tr w:rsidR="00000000">
        <w:tblPrEx>
          <w:tblCellMar>
            <w:top w:w="0" w:type="dxa"/>
            <w:bottom w:w="0" w:type="dxa"/>
          </w:tblCellMar>
        </w:tblPrEx>
        <w:tc>
          <w:tcPr>
            <w:tcW w:w="1978" w:type="dxa"/>
          </w:tcPr>
          <w:p w:rsidR="00000000" w:rsidRDefault="00000000">
            <w:pPr>
              <w:jc w:val="center"/>
            </w:pPr>
            <w:r>
              <w:t>Год</w:t>
            </w:r>
          </w:p>
        </w:tc>
        <w:tc>
          <w:tcPr>
            <w:tcW w:w="3927" w:type="dxa"/>
          </w:tcPr>
          <w:p w:rsidR="00000000" w:rsidRDefault="00000000">
            <w:pPr>
              <w:spacing w:line="216" w:lineRule="auto"/>
              <w:jc w:val="center"/>
            </w:pPr>
            <w:r>
              <w:t>Число лиц, работающих по совместительству</w:t>
            </w:r>
          </w:p>
        </w:tc>
        <w:tc>
          <w:tcPr>
            <w:tcW w:w="3666" w:type="dxa"/>
          </w:tcPr>
          <w:p w:rsidR="00000000" w:rsidRDefault="00000000">
            <w:pPr>
              <w:spacing w:line="216" w:lineRule="auto"/>
              <w:jc w:val="center"/>
            </w:pPr>
            <w:r>
              <w:t>Доля в общей численности трудящегося населения</w:t>
            </w:r>
          </w:p>
        </w:tc>
      </w:tr>
      <w:tr w:rsidR="00000000">
        <w:tblPrEx>
          <w:tblCellMar>
            <w:top w:w="0" w:type="dxa"/>
            <w:bottom w:w="0" w:type="dxa"/>
          </w:tblCellMar>
        </w:tblPrEx>
        <w:tc>
          <w:tcPr>
            <w:tcW w:w="1978" w:type="dxa"/>
          </w:tcPr>
          <w:p w:rsidR="00000000" w:rsidRDefault="00000000">
            <w:pPr>
              <w:jc w:val="center"/>
              <w:rPr>
                <w:lang w:val="en-US"/>
              </w:rPr>
            </w:pPr>
            <w:r>
              <w:rPr>
                <w:lang w:val="en-US"/>
              </w:rPr>
              <w:t>1995</w:t>
            </w:r>
          </w:p>
        </w:tc>
        <w:tc>
          <w:tcPr>
            <w:tcW w:w="3927" w:type="dxa"/>
          </w:tcPr>
          <w:p w:rsidR="00000000" w:rsidRDefault="00000000">
            <w:pPr>
              <w:jc w:val="center"/>
              <w:rPr>
                <w:lang w:val="en-US"/>
              </w:rPr>
            </w:pPr>
            <w:r>
              <w:rPr>
                <w:lang w:val="en-US"/>
              </w:rPr>
              <w:t>1 097 000</w:t>
            </w:r>
          </w:p>
        </w:tc>
        <w:tc>
          <w:tcPr>
            <w:tcW w:w="3666" w:type="dxa"/>
          </w:tcPr>
          <w:p w:rsidR="00000000" w:rsidRDefault="00000000">
            <w:pPr>
              <w:jc w:val="center"/>
              <w:rPr>
                <w:lang w:val="en-US"/>
              </w:rPr>
            </w:pPr>
            <w:r>
              <w:rPr>
                <w:lang w:val="en-US"/>
              </w:rPr>
              <w:t>7,43</w:t>
            </w:r>
          </w:p>
        </w:tc>
      </w:tr>
      <w:tr w:rsidR="00000000">
        <w:tblPrEx>
          <w:tblCellMar>
            <w:top w:w="0" w:type="dxa"/>
            <w:bottom w:w="0" w:type="dxa"/>
          </w:tblCellMar>
        </w:tblPrEx>
        <w:tc>
          <w:tcPr>
            <w:tcW w:w="1978" w:type="dxa"/>
          </w:tcPr>
          <w:p w:rsidR="00000000" w:rsidRDefault="00000000">
            <w:pPr>
              <w:jc w:val="center"/>
              <w:rPr>
                <w:lang w:val="en-US"/>
              </w:rPr>
            </w:pPr>
            <w:r>
              <w:rPr>
                <w:lang w:val="en-US"/>
              </w:rPr>
              <w:t>1996</w:t>
            </w:r>
          </w:p>
        </w:tc>
        <w:tc>
          <w:tcPr>
            <w:tcW w:w="3927" w:type="dxa"/>
          </w:tcPr>
          <w:p w:rsidR="00000000" w:rsidRDefault="00000000">
            <w:pPr>
              <w:jc w:val="center"/>
              <w:rPr>
                <w:lang w:val="en-US"/>
              </w:rPr>
            </w:pPr>
            <w:r>
              <w:rPr>
                <w:lang w:val="en-US"/>
              </w:rPr>
              <w:t>1 180 000</w:t>
            </w:r>
          </w:p>
        </w:tc>
        <w:tc>
          <w:tcPr>
            <w:tcW w:w="3666" w:type="dxa"/>
          </w:tcPr>
          <w:p w:rsidR="00000000" w:rsidRDefault="00000000">
            <w:pPr>
              <w:jc w:val="center"/>
              <w:rPr>
                <w:lang w:val="en-US"/>
              </w:rPr>
            </w:pPr>
            <w:r>
              <w:rPr>
                <w:lang w:val="en-US"/>
              </w:rPr>
              <w:t>7, 81</w:t>
            </w:r>
          </w:p>
        </w:tc>
      </w:tr>
      <w:tr w:rsidR="00000000">
        <w:tblPrEx>
          <w:tblCellMar>
            <w:top w:w="0" w:type="dxa"/>
            <w:bottom w:w="0" w:type="dxa"/>
          </w:tblCellMar>
        </w:tblPrEx>
        <w:tc>
          <w:tcPr>
            <w:tcW w:w="1978" w:type="dxa"/>
          </w:tcPr>
          <w:p w:rsidR="00000000" w:rsidRDefault="00000000">
            <w:pPr>
              <w:jc w:val="center"/>
              <w:rPr>
                <w:lang w:val="en-US"/>
              </w:rPr>
            </w:pPr>
            <w:r>
              <w:rPr>
                <w:lang w:val="en-US"/>
              </w:rPr>
              <w:t>1997</w:t>
            </w:r>
          </w:p>
        </w:tc>
        <w:tc>
          <w:tcPr>
            <w:tcW w:w="3927" w:type="dxa"/>
          </w:tcPr>
          <w:p w:rsidR="00000000" w:rsidRDefault="00000000">
            <w:pPr>
              <w:jc w:val="center"/>
              <w:rPr>
                <w:lang w:val="en-US"/>
              </w:rPr>
            </w:pPr>
            <w:r>
              <w:rPr>
                <w:lang w:val="en-US"/>
              </w:rPr>
              <w:t>1 264 000</w:t>
            </w:r>
          </w:p>
        </w:tc>
        <w:tc>
          <w:tcPr>
            <w:tcW w:w="3666" w:type="dxa"/>
          </w:tcPr>
          <w:p w:rsidR="00000000" w:rsidRDefault="00000000">
            <w:pPr>
              <w:jc w:val="center"/>
              <w:rPr>
                <w:lang w:val="en-US"/>
              </w:rPr>
            </w:pPr>
            <w:r>
              <w:rPr>
                <w:lang w:val="en-US"/>
              </w:rPr>
              <w:t>8,25</w:t>
            </w:r>
          </w:p>
        </w:tc>
      </w:tr>
      <w:tr w:rsidR="00000000">
        <w:tblPrEx>
          <w:tblCellMar>
            <w:top w:w="0" w:type="dxa"/>
            <w:bottom w:w="0" w:type="dxa"/>
          </w:tblCellMar>
        </w:tblPrEx>
        <w:tc>
          <w:tcPr>
            <w:tcW w:w="1978" w:type="dxa"/>
          </w:tcPr>
          <w:p w:rsidR="00000000" w:rsidRDefault="00000000">
            <w:pPr>
              <w:jc w:val="center"/>
              <w:rPr>
                <w:lang w:val="en-US"/>
              </w:rPr>
            </w:pPr>
            <w:r>
              <w:rPr>
                <w:lang w:val="en-US"/>
              </w:rPr>
              <w:t>1998</w:t>
            </w:r>
          </w:p>
        </w:tc>
        <w:tc>
          <w:tcPr>
            <w:tcW w:w="3927" w:type="dxa"/>
          </w:tcPr>
          <w:p w:rsidR="00000000" w:rsidRDefault="00000000">
            <w:pPr>
              <w:jc w:val="center"/>
              <w:rPr>
                <w:lang w:val="en-US"/>
              </w:rPr>
            </w:pPr>
            <w:r>
              <w:rPr>
                <w:lang w:val="en-US"/>
              </w:rPr>
              <w:t>1 288 000</w:t>
            </w:r>
          </w:p>
        </w:tc>
        <w:tc>
          <w:tcPr>
            <w:tcW w:w="3666" w:type="dxa"/>
          </w:tcPr>
          <w:p w:rsidR="00000000" w:rsidRDefault="00000000">
            <w:pPr>
              <w:jc w:val="center"/>
              <w:rPr>
                <w:lang w:val="en-US"/>
              </w:rPr>
            </w:pPr>
            <w:r>
              <w:rPr>
                <w:lang w:val="en-US"/>
              </w:rPr>
              <w:t>8,40</w:t>
            </w:r>
          </w:p>
        </w:tc>
      </w:tr>
    </w:tbl>
    <w:p w:rsidR="00000000" w:rsidRDefault="00000000">
      <w:pPr>
        <w:jc w:val="center"/>
        <w:rPr>
          <w:lang w:val="en-US"/>
        </w:rPr>
      </w:pPr>
    </w:p>
    <w:p w:rsidR="00000000" w:rsidRDefault="00000000">
      <w:r>
        <w:rPr>
          <w:lang w:val="en-US"/>
        </w:rPr>
        <w:tab/>
      </w:r>
      <w:r>
        <w:rPr>
          <w:u w:val="single"/>
        </w:rPr>
        <w:t>Источник</w:t>
      </w:r>
      <w:r>
        <w:t>:  Главное статистическое управление (обследование экономической активности населения).</w:t>
      </w:r>
    </w:p>
    <w:p w:rsidR="00000000" w:rsidRDefault="00000000"/>
    <w:p w:rsidR="00000000" w:rsidRDefault="00000000">
      <w:pPr>
        <w:jc w:val="center"/>
        <w:rPr>
          <w:b/>
          <w:bCs/>
        </w:rPr>
      </w:pPr>
      <w:r>
        <w:rPr>
          <w:b/>
          <w:bCs/>
          <w:lang w:val="en-US"/>
        </w:rPr>
        <w:br w:type="page"/>
        <w:t>L</w:t>
      </w:r>
      <w:r>
        <w:rPr>
          <w:b/>
          <w:bCs/>
        </w:rPr>
        <w:t>.</w:t>
      </w:r>
      <w:r>
        <w:rPr>
          <w:b/>
          <w:bCs/>
        </w:rPr>
        <w:tab/>
        <w:t>Законодательные и административные изменения,</w:t>
      </w:r>
    </w:p>
    <w:p w:rsidR="00000000" w:rsidRDefault="00000000">
      <w:pPr>
        <w:pStyle w:val="10"/>
        <w:rPr>
          <w:bCs/>
        </w:rPr>
      </w:pPr>
      <w:r>
        <w:rPr>
          <w:bCs/>
        </w:rPr>
        <w:t>касающиеся статьи 6</w:t>
      </w:r>
    </w:p>
    <w:p w:rsidR="00000000" w:rsidRDefault="00000000">
      <w:pPr>
        <w:pStyle w:val="10"/>
        <w:rPr>
          <w:bCs/>
        </w:rPr>
      </w:pPr>
    </w:p>
    <w:p w:rsidR="00000000" w:rsidRDefault="00000000">
      <w:r>
        <w:t>44.</w:t>
      </w:r>
      <w:r>
        <w:tab/>
        <w:t>Статья 65 новой Конституции от 2 апреля 1997 года (Законодательный вестник за 1997 год, № 78, текст 487) запрещает постоянную занятость детей моложе 16 лет.</w:t>
      </w:r>
    </w:p>
    <w:p w:rsidR="00000000" w:rsidRDefault="00000000"/>
    <w:p w:rsidR="00000000" w:rsidRDefault="00000000">
      <w:r>
        <w:t>45.</w:t>
      </w:r>
      <w:r>
        <w:tab/>
        <w:t>Статья 69 Конституции вменяет в обязанность государства оказывать инвалидам помощь в обеспечении средств к существованию в трудоустройстве и участии в общественной жизни;  кроме того, 1 августа 1997 года сейм принял Хартию прав инвалидов.</w:t>
      </w:r>
    </w:p>
    <w:p w:rsidR="00000000" w:rsidRDefault="00000000"/>
    <w:p w:rsidR="00000000" w:rsidRDefault="00000000">
      <w:r>
        <w:t>46.</w:t>
      </w:r>
      <w:r>
        <w:tab/>
        <w:t xml:space="preserve">На основании Закона от 2 февраля 1996 года (который вступил в силу 2 июня 1996 года) были внесены поправки в статью 10 (свобода выбора работы), статью 11(2) и 11(3) (равные права при выполнении одинаковых обязанностей) и статью 191 (исключения из конституционного запрета на использование труда детей </w:t>
      </w:r>
      <w:r>
        <w:noBreakHyphen/>
        <w:t xml:space="preserve"> см. статью 65 Конституции выше) Кодекса законов о труде.</w:t>
      </w:r>
    </w:p>
    <w:p w:rsidR="00000000" w:rsidRDefault="00000000"/>
    <w:p w:rsidR="00000000" w:rsidRDefault="00000000">
      <w:r>
        <w:t>47.</w:t>
      </w:r>
      <w:r>
        <w:tab/>
        <w:t>1 января 1995 года вступил в силу Закон о занятости и борьбе с безработицей от 14 декабря 1994 года (Законодательный вестник за 1995 год, № 1, текст 1);  этот Закон рассматривался в предыдущем докладе.</w:t>
      </w:r>
    </w:p>
    <w:p w:rsidR="00000000" w:rsidRDefault="00000000"/>
    <w:p w:rsidR="00000000" w:rsidRDefault="00000000">
      <w:r>
        <w:t>48.</w:t>
      </w:r>
      <w:r>
        <w:tab/>
        <w:t>25 июня 1997 года был принят Закон об иностранцах (в статье 25 которого указывается, что "во время своего пребывания на территории Республики Польши иностранцы имеют такие же права и обязанности, что и польские граждане, если положениями настоящего Закона или другими законодательными актами не предусматривается иное").</w:t>
      </w:r>
    </w:p>
    <w:p w:rsidR="00000000" w:rsidRDefault="00000000"/>
    <w:p w:rsidR="00000000" w:rsidRDefault="00000000">
      <w:r>
        <w:t>49.</w:t>
      </w:r>
      <w:r>
        <w:tab/>
        <w:t>1 января 1998 года вступил в силу Закон от 27 августа 1997 года о профессиональной и социальной реабилитации и трудоустройстве инвалидов.</w:t>
      </w:r>
    </w:p>
    <w:p w:rsidR="00000000" w:rsidRDefault="00000000"/>
    <w:p w:rsidR="00000000" w:rsidRDefault="00000000">
      <w:r>
        <w:t>50.</w:t>
      </w:r>
      <w:r>
        <w:tab/>
        <w:t>1 марта 1996 года вступил в действие Закон от 22 декабря 1995 года, касающийся внесения поправок в Закон о занятости и борьбе с безработицей и в некоторые другие законодательные акты (Законодательный вестник за 1995 год, № 5, текст 34).  К числу этих изменений относятся:</w:t>
      </w:r>
    </w:p>
    <w:p w:rsidR="00000000" w:rsidRDefault="00000000"/>
    <w:p w:rsidR="00000000" w:rsidRDefault="00000000">
      <w:r>
        <w:tab/>
      </w:r>
      <w:r>
        <w:rPr>
          <w:lang w:val="en-US"/>
        </w:rPr>
        <w:t>a</w:t>
      </w:r>
      <w:r>
        <w:t>)</w:t>
      </w:r>
      <w:r>
        <w:tab/>
        <w:t>введение системы для выпускников школ вместо существовавшей ранее системы выделения талонов на питание.  Такие стипендии выплачиваются при прохождении ими профессиональной подготовки, стажировке или продолжении обучения в учреждениях неполного среднего и высшего образования для взрослых;</w:t>
      </w:r>
    </w:p>
    <w:p w:rsidR="00000000" w:rsidRDefault="00000000"/>
    <w:p w:rsidR="00000000" w:rsidRDefault="00000000">
      <w:r>
        <w:tab/>
      </w:r>
      <w:r>
        <w:rPr>
          <w:lang w:val="en-US"/>
        </w:rPr>
        <w:t>b</w:t>
      </w:r>
      <w:r>
        <w:t>)</w:t>
      </w:r>
      <w:r>
        <w:tab/>
        <w:t>изменение правил, применяемых при определении размера пособий (денежные пособия корректируются ежеквартально в зависимости от увеличения индекса цен на товары и услуги).  С 1 декабря 1998 года базовое пособие по безработице составляло 378,20 злотых (ПНЗ).  Пособие равнялось 75,6% базовой заработной платы и 30,2% средней заработной платы в национальном масштабе;</w:t>
      </w:r>
    </w:p>
    <w:p w:rsidR="00000000" w:rsidRDefault="00000000"/>
    <w:p w:rsidR="00000000" w:rsidRDefault="00000000">
      <w:r>
        <w:tab/>
      </w:r>
      <w:r>
        <w:rPr>
          <w:lang w:val="en-US"/>
        </w:rPr>
        <w:t>c</w:t>
      </w:r>
      <w:r>
        <w:t>)</w:t>
      </w:r>
      <w:r>
        <w:tab/>
        <w:t>привязка права на получение пособий к условиям прекращения трудового договора с работодателем в период, предшествующий регистрации в местном бюро по трудоустройству:</w:t>
      </w:r>
    </w:p>
    <w:p w:rsidR="00000000" w:rsidRDefault="00000000">
      <w:pPr>
        <w:ind w:left="1134" w:hanging="1134"/>
      </w:pPr>
    </w:p>
    <w:p w:rsidR="00000000" w:rsidRDefault="00000000">
      <w:pPr>
        <w:tabs>
          <w:tab w:val="clear" w:pos="1134"/>
          <w:tab w:val="right" w:pos="1309"/>
        </w:tabs>
        <w:ind w:left="1701" w:hanging="1701"/>
      </w:pPr>
      <w:r>
        <w:tab/>
      </w:r>
      <w:r>
        <w:tab/>
      </w:r>
      <w:r>
        <w:rPr>
          <w:lang w:val="en-US"/>
        </w:rPr>
        <w:t>i</w:t>
      </w:r>
      <w:r>
        <w:t>)</w:t>
      </w:r>
      <w:r>
        <w:tab/>
        <w:t>безработный, прекративший трудовой договор с предварительным уведомлением, приобретает право на получение пособия по истечении 90 дней;</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r>
      <w:r>
        <w:rPr>
          <w:lang w:val="en-US"/>
        </w:rPr>
        <w:t>ii</w:t>
      </w:r>
      <w:r>
        <w:t>)</w:t>
      </w:r>
      <w:r>
        <w:tab/>
        <w:t>безработный, который по своей вине и без предварительного уведомления прекратил трудовой договор или официальные контакты со своим последним работодателем, приобретает право на получение пособия по истечении 180 дней;</w:t>
      </w:r>
    </w:p>
    <w:p w:rsidR="00000000" w:rsidRDefault="00000000">
      <w:pPr>
        <w:tabs>
          <w:tab w:val="clear" w:pos="1134"/>
          <w:tab w:val="right" w:pos="1309"/>
        </w:tabs>
        <w:ind w:left="1701" w:hanging="1701"/>
      </w:pPr>
    </w:p>
    <w:p w:rsidR="00000000" w:rsidRDefault="00000000">
      <w:pPr>
        <w:tabs>
          <w:tab w:val="clear" w:pos="1134"/>
          <w:tab w:val="left" w:pos="1122"/>
        </w:tabs>
      </w:pPr>
      <w:r>
        <w:tab/>
      </w:r>
      <w:r>
        <w:rPr>
          <w:lang w:val="en-US"/>
        </w:rPr>
        <w:t>d</w:t>
      </w:r>
      <w:r>
        <w:t>)</w:t>
      </w:r>
      <w:r>
        <w:tab/>
        <w:t>наделение местного бюро по трудоустройству полномочиями лишать статуса безработного лицо, которое дважды без уважительных причин отказалось от предложения об устройстве на постоянную работу по найму, а также от работ срочного характера или общественных работ;</w:t>
      </w:r>
    </w:p>
    <w:p w:rsidR="00000000" w:rsidRDefault="00000000">
      <w:pPr>
        <w:tabs>
          <w:tab w:val="clear" w:pos="1134"/>
          <w:tab w:val="right" w:pos="1309"/>
        </w:tabs>
      </w:pPr>
    </w:p>
    <w:p w:rsidR="00000000" w:rsidRDefault="00000000">
      <w:r>
        <w:tab/>
        <w:t>е)</w:t>
      </w:r>
      <w:r>
        <w:tab/>
        <w:t>включение новой главы, касающейся стимулирования региональных и местных рынков труда;</w:t>
      </w:r>
    </w:p>
    <w:p w:rsidR="00000000" w:rsidRDefault="00000000"/>
    <w:p w:rsidR="00000000" w:rsidRDefault="00000000">
      <w:r>
        <w:tab/>
      </w:r>
      <w:r>
        <w:rPr>
          <w:lang w:val="en-US"/>
        </w:rPr>
        <w:t>f</w:t>
      </w:r>
      <w:r>
        <w:t>)</w:t>
      </w:r>
      <w:r>
        <w:tab/>
        <w:t>Фонд труда может частично или полностью возмещать расходы на проезд к месту работы и обеспечение жильем лиц, которые проживают в конкретном районе (общине), где существует особая опасность возникновения структурной безработицы, и которые были направлены на работу, стажировку или профессиональную подготовку вне места своего постоянного проживания.</w:t>
      </w:r>
    </w:p>
    <w:p w:rsidR="00000000" w:rsidRDefault="00000000"/>
    <w:p w:rsidR="00000000" w:rsidRDefault="00000000">
      <w:r>
        <w:t>51.</w:t>
      </w:r>
      <w:r>
        <w:tab/>
        <w:t>1 января 1997 года вступил в силу Закон от 6 декабря 1996 года, касающийся внесения поправок в Закон о занятости и борьбе с безработицей и в некоторые другие законодательные акты;  принятые поправки предусматривают:</w:t>
      </w:r>
    </w:p>
    <w:p w:rsidR="00000000" w:rsidRDefault="00000000"/>
    <w:p w:rsidR="00000000" w:rsidRDefault="00000000">
      <w:r>
        <w:tab/>
        <w:t>а)</w:t>
      </w:r>
      <w:r>
        <w:tab/>
        <w:t>реформирование системы выплаты пособий лицам, не имеющим работы, при одновременном приведении прежних нормативных положений в более полное соответствие с целевой моделью, основанной на системе страхования от безработицы;</w:t>
      </w:r>
    </w:p>
    <w:p w:rsidR="00000000" w:rsidRDefault="00000000"/>
    <w:p w:rsidR="00000000" w:rsidRDefault="00000000">
      <w:r>
        <w:tab/>
      </w:r>
      <w:r>
        <w:rPr>
          <w:lang w:val="en-US"/>
        </w:rPr>
        <w:t>b</w:t>
      </w:r>
      <w:r>
        <w:t>)</w:t>
      </w:r>
      <w:r>
        <w:tab/>
        <w:t>рационализацию механизма предоставления пособий ограничивающего возможность злоупотребления правом на получение пособия, и выделение мобилизованных ресурсов на нужды активной борьбы с безработицей;</w:t>
      </w:r>
    </w:p>
    <w:p w:rsidR="00000000" w:rsidRDefault="00000000"/>
    <w:p w:rsidR="00000000" w:rsidRDefault="00000000">
      <w:r>
        <w:tab/>
        <w:t>с)</w:t>
      </w:r>
      <w:r>
        <w:tab/>
        <w:t>совершенствование различных инициатив и программ в интересах безработных, финансируемых за счет Фонда труда, с целью активизации трудовой деятельности таких лиц.</w:t>
      </w:r>
    </w:p>
    <w:p w:rsidR="00000000" w:rsidRDefault="00000000"/>
    <w:p w:rsidR="00000000" w:rsidRDefault="00000000">
      <w:r>
        <w:t>52.</w:t>
      </w:r>
      <w:r>
        <w:tab/>
        <w:t>На основе вышеупомянутого Закона были осуществлены следующие изменения:</w:t>
      </w:r>
    </w:p>
    <w:p w:rsidR="00000000" w:rsidRDefault="00000000"/>
    <w:p w:rsidR="00000000" w:rsidRDefault="00000000">
      <w:r>
        <w:tab/>
        <w:t>а)</w:t>
      </w:r>
      <w:r>
        <w:tab/>
        <w:t>определен размер пособий в зависимости от квалификационного периода (80, 100 и 120% от базового пособия из расчета 5 лет, 5</w:t>
      </w:r>
      <w:r>
        <w:noBreakHyphen/>
        <w:t>20 лет, 20 и более лет трудового стажа, соответственно);</w:t>
      </w:r>
    </w:p>
    <w:p w:rsidR="00000000" w:rsidRDefault="00000000"/>
    <w:p w:rsidR="00000000" w:rsidRDefault="00000000">
      <w:r>
        <w:tab/>
      </w:r>
      <w:r>
        <w:rPr>
          <w:lang w:val="en-US"/>
        </w:rPr>
        <w:t>b</w:t>
      </w:r>
      <w:r>
        <w:t>)</w:t>
      </w:r>
      <w:r>
        <w:tab/>
        <w:t>установлена продолжительность периода выплаты пособий с учетом масштабов безработицы на местном рынке труда;  соответствующими периодами являются 6, 12 и 18 месяцев (нормативные положения вступили в силу 1 апреля 1997 года);</w:t>
      </w:r>
    </w:p>
    <w:p w:rsidR="00000000" w:rsidRDefault="00000000"/>
    <w:p w:rsidR="00000000" w:rsidRDefault="00000000">
      <w:r>
        <w:tab/>
        <w:t>с)</w:t>
      </w:r>
      <w:r>
        <w:tab/>
        <w:t>приобретение права на получение пособия обусловлено такими факторами, как работа по найму, занятие другими доходными видами деятельности или несельскохозяйственной деятельностью на протяжении по меньшей мере 365 дней в течение 18 месяцев, предшествующих регистрации в местном бюро по трудоустройству, при том условии, что заработная плата или иное вознаграждение, лежащее в основе расчета взносов по линии социального страхования и Фонда труда, составляет сумму не ниже минимальной заработной платы;</w:t>
      </w:r>
    </w:p>
    <w:p w:rsidR="00000000" w:rsidRDefault="00000000"/>
    <w:p w:rsidR="00000000" w:rsidRDefault="00000000">
      <w:r>
        <w:tab/>
      </w:r>
      <w:r>
        <w:rPr>
          <w:lang w:val="en-US"/>
        </w:rPr>
        <w:t>d</w:t>
      </w:r>
      <w:r>
        <w:t>)</w:t>
      </w:r>
      <w:r>
        <w:tab/>
        <w:t>предоставление периодических гарантированных пособий в порядке социальной помощи лицам, у которых заканчивается период выплаты пособий по безработице и которые одни воспитывают ребенка в возрасте моложе 15 лет;</w:t>
      </w:r>
    </w:p>
    <w:p w:rsidR="00000000" w:rsidRDefault="00000000"/>
    <w:p w:rsidR="00000000" w:rsidRDefault="00000000">
      <w:r>
        <w:tab/>
        <w:t>е)</w:t>
      </w:r>
      <w:r>
        <w:tab/>
        <w:t>использование новых форм активной борьбы с безработицей (кредиты на профессиональную подготовку, возмещение работодателям расходов, связанных со страховыми взносами, в районах с высоким уровнем безработицы, покрытие реальных расходов на общественные работы и проезд до места работы лиц, направленных на работу, стажировку или профессиональную подготовку вне места своего постоянного проживания);</w:t>
      </w:r>
    </w:p>
    <w:p w:rsidR="00000000" w:rsidRDefault="00000000"/>
    <w:p w:rsidR="00000000" w:rsidRDefault="00000000">
      <w:r>
        <w:tab/>
      </w:r>
      <w:r>
        <w:rPr>
          <w:lang w:val="en-US"/>
        </w:rPr>
        <w:t>f</w:t>
      </w:r>
      <w:r>
        <w:t>)</w:t>
      </w:r>
      <w:r>
        <w:tab/>
        <w:t>предоставление льгот и предпенсионных пособий лицам, имеющим большой стаж работы, до приобретения ими права получения пенсий по старости.</w:t>
      </w:r>
    </w:p>
    <w:p w:rsidR="00000000" w:rsidRDefault="00000000"/>
    <w:p w:rsidR="00000000" w:rsidRDefault="00000000">
      <w:r>
        <w:t>53.</w:t>
      </w:r>
      <w:r>
        <w:tab/>
        <w:t>5 сентября 1998 года вступила в силу поправка к Закону о занятости и борьбе с безработицей от 16 июля 1998 года (Законодательный вестник за 1998 год, № 108, текст 684).  Отныне приостановление права на получение конкретной льготы или предпенсионного пособия не связано со следующими факторами:</w:t>
      </w:r>
    </w:p>
    <w:p w:rsidR="00000000" w:rsidRDefault="00000000"/>
    <w:p w:rsidR="00000000" w:rsidRDefault="00000000">
      <w:r>
        <w:tab/>
        <w:t>а)</w:t>
      </w:r>
      <w:r>
        <w:tab/>
        <w:t>работой по найму, осуществлением других прибыльных занятий или несельскохозяйственной деятельности спустя 3 месяца после приобретения права на получение льготы или предпенсионного пособия, если доходы, получаемые за счет вышеуказанных источников, не превышают половину минимальной заработной платы;</w:t>
      </w:r>
    </w:p>
    <w:p w:rsidR="00000000" w:rsidRDefault="00000000"/>
    <w:p w:rsidR="00000000" w:rsidRDefault="00000000">
      <w:r>
        <w:tab/>
      </w:r>
      <w:r>
        <w:rPr>
          <w:lang w:val="en-US"/>
        </w:rPr>
        <w:t>b</w:t>
      </w:r>
      <w:r>
        <w:t>)</w:t>
      </w:r>
      <w:r>
        <w:tab/>
        <w:t>получением средств от другой налогооблагаемой деятельности, помимо работы по найму, иных категорий прибыльных занятий или несельскохозяйственной деятельности.</w:t>
      </w:r>
    </w:p>
    <w:p w:rsidR="00000000" w:rsidRDefault="00000000"/>
    <w:p w:rsidR="00000000" w:rsidRDefault="00000000">
      <w:r>
        <w:t>54.</w:t>
      </w:r>
      <w:r>
        <w:tab/>
        <w:t>Размер и продолжительность срока получения пособий также зависят от:</w:t>
      </w:r>
    </w:p>
    <w:p w:rsidR="00000000" w:rsidRDefault="00000000"/>
    <w:p w:rsidR="00000000" w:rsidRDefault="00000000">
      <w:r>
        <w:tab/>
        <w:t>а)</w:t>
      </w:r>
      <w:r>
        <w:tab/>
        <w:t>периода занятости на основе трудового договора с целью профессиональной подготовки молодых работников, независимо от величины их доходов в прошлом;</w:t>
      </w:r>
    </w:p>
    <w:p w:rsidR="00000000" w:rsidRDefault="00000000"/>
    <w:p w:rsidR="00000000" w:rsidRDefault="00000000">
      <w:pPr>
        <w:ind w:firstLine="567"/>
      </w:pPr>
      <w:r>
        <w:t>b)</w:t>
      </w:r>
      <w:r>
        <w:tab/>
        <w:t>периода зарубежной трудовой деятельности лица, которое переселилось в страну в рамках программы репатриации (статья 12 Закона от 15 февраля 1962 года о польском гражданстве).</w:t>
      </w:r>
    </w:p>
    <w:p w:rsidR="00000000" w:rsidRDefault="00000000"/>
    <w:p w:rsidR="00000000" w:rsidRDefault="00000000">
      <w:r>
        <w:t>55.</w:t>
      </w:r>
      <w:r>
        <w:tab/>
        <w:t>Был установлен преференциальный режим для права на получение предпенсионных льгот лицами, которые работали на промышленных предприятиях по переработке асбеста.  Период получения безработными компенсации за неправомерное расторжение работодателем трудового договора засчитывается в срок (365 дней), от которого зависит право, размер и период получения пособий (включая предпенсионные льготы).  Законом от 16 июля 1998 года размер предпенсионного пособия был увеличен с 80 до 90% от величины пенсии по старости, которая причиталась бы конкретному лицу при достижении им пенсионного возраста (60 лет для женщин и 65 лет для мужчин).  Лица, удовлетворяющие требованиям в отношении получения права на предпенсионное пособие, которые по экономическим причинам были уволены из учреждений или предприятий, охваченных национальными программами реструктуризации, получают следующие льготы на основании соответствующего постановления правительства:</w:t>
      </w:r>
    </w:p>
    <w:p w:rsidR="00000000" w:rsidRDefault="00000000"/>
    <w:p w:rsidR="00000000" w:rsidRDefault="00000000">
      <w:pPr>
        <w:ind w:firstLine="567"/>
      </w:pPr>
      <w:r>
        <w:t>а)</w:t>
      </w:r>
      <w:r>
        <w:tab/>
        <w:t>предпенсионные пособия в размере 100% (а не 90%) от суммы пенсии по старости, устанавливаемой органом пенсионной системы;  при исчислении предпенсионного пособия учитывается величина пенсии по старости;</w:t>
      </w:r>
    </w:p>
    <w:p w:rsidR="00000000" w:rsidRDefault="00000000"/>
    <w:p w:rsidR="00000000" w:rsidRDefault="00000000">
      <w:pPr>
        <w:ind w:firstLine="567"/>
      </w:pPr>
      <w:r>
        <w:t>b)</w:t>
      </w:r>
      <w:r>
        <w:tab/>
        <w:t>досрочное право на получение предпенсионного пособия при наличии трудового стажа в 35 лет для женщин и 40 лет для мужчин, если расторжение трудового договора произошло по причине реорганизации, и в 34 года для женщин и 39 лет для мужчин, если прекращение трудовых отношений было вызвано неплатежеспособностью работодателя.</w:t>
      </w:r>
    </w:p>
    <w:p w:rsidR="00000000" w:rsidRDefault="00000000"/>
    <w:p w:rsidR="00000000" w:rsidRDefault="00000000">
      <w:r>
        <w:t>56.</w:t>
      </w:r>
      <w:r>
        <w:tab/>
        <w:t>Согласно Закону, послевыпускная стипендия в размере 60% базового пособия стала выплачиваться лицу, проходящему профессиональную подготовку, в течение всего периода, если на день начала подготовки такое лицо имело статус безработного и с момента окончания им учебного заведения прошло не более 12 месяцев;  в случае стажировки без отрыва от производства такая стипендия составляет 100% базового пособия.</w:t>
      </w:r>
    </w:p>
    <w:p w:rsidR="00000000" w:rsidRDefault="00000000"/>
    <w:p w:rsidR="00000000" w:rsidRDefault="00000000">
      <w:r>
        <w:t>57.</w:t>
      </w:r>
      <w:r>
        <w:tab/>
        <w:t>Совет министров принял новые нормативные положения, касающиеся:</w:t>
      </w:r>
    </w:p>
    <w:p w:rsidR="00000000" w:rsidRDefault="00000000"/>
    <w:p w:rsidR="00000000" w:rsidRDefault="00000000">
      <w:pPr>
        <w:ind w:firstLine="567"/>
      </w:pPr>
      <w:r>
        <w:t>а)</w:t>
      </w:r>
      <w:r>
        <w:tab/>
        <w:t>добровольческих трудовых бригад (Законодательный вестник за 1996 год, № 60, текст 278);</w:t>
      </w:r>
    </w:p>
    <w:p w:rsidR="00000000" w:rsidRDefault="00000000">
      <w:pPr>
        <w:ind w:left="1134" w:hanging="567"/>
      </w:pPr>
    </w:p>
    <w:p w:rsidR="00000000" w:rsidRDefault="00000000">
      <w:pPr>
        <w:ind w:firstLine="567"/>
      </w:pPr>
      <w:r>
        <w:t>b)</w:t>
      </w:r>
      <w:r>
        <w:tab/>
        <w:t>перечня общин с высоким уровнем структурной безработицы (Законодательный вестник за 1996 год, № 71, текст 338);</w:t>
      </w:r>
    </w:p>
    <w:p w:rsidR="00000000" w:rsidRDefault="00000000">
      <w:pPr>
        <w:ind w:left="1134" w:hanging="567"/>
      </w:pPr>
    </w:p>
    <w:p w:rsidR="00000000" w:rsidRDefault="00000000">
      <w:pPr>
        <w:ind w:firstLine="567"/>
      </w:pPr>
      <w:r>
        <w:t>с)</w:t>
      </w:r>
      <w:r>
        <w:tab/>
        <w:t>выделения средств из централизованного бюджета 1997 года на цели осуществления региональных программ реструктуризации и создания местных учреждений (Законодательный вестник за 1997 год, № 110, текст 717);</w:t>
      </w:r>
    </w:p>
    <w:p w:rsidR="00000000" w:rsidRDefault="00000000">
      <w:pPr>
        <w:ind w:left="1134" w:hanging="567"/>
      </w:pPr>
    </w:p>
    <w:p w:rsidR="00000000" w:rsidRDefault="00000000">
      <w:pPr>
        <w:ind w:firstLine="567"/>
      </w:pPr>
      <w:r>
        <w:t>d)</w:t>
      </w:r>
      <w:r>
        <w:tab/>
        <w:t>подробных процедур и условий, регламентирующих порядок получения безвозмездной помощи в период реорганизации фермерских хозяйств (Законодательный вестник за 1997 год, № 124, текст 785);</w:t>
      </w:r>
    </w:p>
    <w:p w:rsidR="00000000" w:rsidRDefault="00000000">
      <w:pPr>
        <w:ind w:left="1134" w:hanging="567"/>
      </w:pPr>
    </w:p>
    <w:p w:rsidR="00000000" w:rsidRDefault="00000000">
      <w:pPr>
        <w:ind w:firstLine="567"/>
      </w:pPr>
      <w:r>
        <w:t>e)</w:t>
      </w:r>
      <w:r>
        <w:tab/>
        <w:t>порядка и условий предоставления субсидий из централизованного бюджета для финансирования инфраструктурных проектов в рамках разработки программы общественных работ общинами с высоким уровнем структурной безработицы (Законодательный вестник за 1998 год, № 81, текст 524);</w:t>
      </w:r>
    </w:p>
    <w:p w:rsidR="00000000" w:rsidRDefault="00000000"/>
    <w:p w:rsidR="00000000" w:rsidRDefault="00000000">
      <w:pPr>
        <w:ind w:firstLine="567"/>
      </w:pPr>
      <w:r>
        <w:t>f)</w:t>
      </w:r>
      <w:r>
        <w:tab/>
        <w:t>составления списка воеводств и общин, охватываемых деятельностью местных бюро по трудоустройству, в которых используются специальные экономические, финансовые и другие преференциальные схемы для реструктуризации экономики и уменьшения негативных последствий безработицы (Законодательный вестник за 1998 год, № 90, текст 569);</w:t>
      </w:r>
    </w:p>
    <w:p w:rsidR="00000000" w:rsidRDefault="00000000"/>
    <w:p w:rsidR="00000000" w:rsidRDefault="00000000">
      <w:pPr>
        <w:ind w:firstLine="567"/>
      </w:pPr>
      <w:r>
        <w:t>g)</w:t>
      </w:r>
      <w:r>
        <w:tab/>
        <w:t>предоставления безработным жителям некоторых воеводств и общин, охватываемых деятельностью местных бюро по трудоустройству, права на получение пособий и иных льгот безработными жителями общин с высоким уровнем структурной безработицы (Законодательный вестник за 1998 год, № 90, текст 570).</w:t>
      </w:r>
    </w:p>
    <w:p w:rsidR="00000000" w:rsidRDefault="00000000"/>
    <w:p w:rsidR="00000000" w:rsidRDefault="00000000">
      <w:r>
        <w:t>58.</w:t>
      </w:r>
      <w:r>
        <w:tab/>
        <w:t>В 1995</w:t>
      </w:r>
      <w:r>
        <w:sym w:font="Symbol" w:char="F02D"/>
      </w:r>
      <w:r>
        <w:t>1998 годах министерство труда и социальной политики также издало ряд распоряжений, касающихся:</w:t>
      </w:r>
    </w:p>
    <w:p w:rsidR="00000000" w:rsidRDefault="00000000"/>
    <w:p w:rsidR="00000000" w:rsidRDefault="00000000">
      <w:pPr>
        <w:ind w:firstLine="567"/>
      </w:pPr>
      <w:r>
        <w:t>а)</w:t>
      </w:r>
      <w:r>
        <w:tab/>
        <w:t>внесения изменений в постановление о правилах предоставления кредитов из Фонда труда, уровне процентных ставок и условиях их погашения (Законодательный вестник за 1995 год, № 35, текст 174, за 1997 год, № 25, текст 133, за 1998 год, № 166, текст 1243);</w:t>
      </w:r>
    </w:p>
    <w:p w:rsidR="00000000" w:rsidRDefault="00000000"/>
    <w:p w:rsidR="00000000" w:rsidRDefault="00000000">
      <w:pPr>
        <w:ind w:firstLine="567"/>
      </w:pPr>
      <w:r>
        <w:t>b)</w:t>
      </w:r>
      <w:r>
        <w:tab/>
        <w:t>порядка осуществления платежей в Фонд труда, уплаты взносов по линии социального страхования, а также подробных правил приобретения соответствующих прав и механизма выплаты пособий в счет социального страхования польским гражданам, которые трудились за пределами страны на иностранных работодателей (Законодательный вестник за 1995 год, № 38, текст 192);</w:t>
      </w:r>
    </w:p>
    <w:p w:rsidR="00000000" w:rsidRDefault="00000000">
      <w:pPr>
        <w:rPr>
          <w:lang w:val="en-US"/>
        </w:rPr>
      </w:pPr>
    </w:p>
    <w:p w:rsidR="00000000" w:rsidRDefault="00000000">
      <w:r>
        <w:tab/>
        <w:t>с)</w:t>
      </w:r>
      <w:r>
        <w:tab/>
        <w:t>ассигнования ресурсов из Фонда труда на цели реализации задач, связанных с реструктуризацией авиационной промышленности (Законодательный вестник за 1998 год, № 62, текст 395);</w:t>
      </w:r>
    </w:p>
    <w:p w:rsidR="00000000" w:rsidRDefault="00000000"/>
    <w:p w:rsidR="00000000" w:rsidRDefault="00000000">
      <w:r>
        <w:tab/>
      </w:r>
      <w:r>
        <w:rPr>
          <w:lang w:val="en-US"/>
        </w:rPr>
        <w:t>d</w:t>
      </w:r>
      <w:r>
        <w:t>)</w:t>
      </w:r>
      <w:r>
        <w:tab/>
        <w:t>внесения изменений в постановление, касающееся организации, подробных правил и сферы деятельности Национального бюро труда и местных бюро по трудоустройству (Законодательный вестник за 1995 год, № 38, текст 187, за 1997 год, № 25, текст 136);</w:t>
      </w:r>
    </w:p>
    <w:p w:rsidR="00000000" w:rsidRDefault="00000000"/>
    <w:p w:rsidR="00000000" w:rsidRDefault="00000000">
      <w:r>
        <w:br w:type="page"/>
      </w:r>
      <w:r>
        <w:tab/>
        <w:t>е)</w:t>
      </w:r>
      <w:r>
        <w:tab/>
        <w:t>внесения изменений в постановление, касающееся подробных правил организации работ срочного характера и общественных работ, а также авансовых платежей для финансирования расходов, связанных с проведением общественных работ (Законодательный вестник за 1995 год, № 38, текст 189, за 1997 год, № 25, текст 134, за 1998 год, № 166, текст 1242);</w:t>
      </w:r>
    </w:p>
    <w:p w:rsidR="00000000" w:rsidRDefault="00000000"/>
    <w:p w:rsidR="00000000" w:rsidRDefault="00000000">
      <w:r>
        <w:tab/>
      </w:r>
      <w:r>
        <w:rPr>
          <w:lang w:val="en-US"/>
        </w:rPr>
        <w:t>f</w:t>
      </w:r>
      <w:r>
        <w:t>)</w:t>
      </w:r>
      <w:r>
        <w:tab/>
        <w:t>внесения изменений в постановление, касающееся правил финансирования расходов из Фонда труда и механизма сотрудничества между органами, занимающимися вопросами занятости, деятельности банков и финансовых учреждений (Законодательный вестник за 1995 год, № 41, текст 215, за 1997 год, № 25, текст 135, и № 134, текст 890, за 1998 год, № 37, текст 219, и № 166, текст 1245);</w:t>
      </w:r>
    </w:p>
    <w:p w:rsidR="00000000" w:rsidRDefault="00000000"/>
    <w:p w:rsidR="00000000" w:rsidRDefault="00000000">
      <w:r>
        <w:tab/>
      </w:r>
      <w:r>
        <w:rPr>
          <w:lang w:val="en-US"/>
        </w:rPr>
        <w:t>g</w:t>
      </w:r>
      <w:r>
        <w:t>)</w:t>
      </w:r>
      <w:r>
        <w:tab/>
        <w:t>классификации профессий и специальностей с учетом потребностей рынка труда и сферы ее применения (Законодательный вестник № 48, текст 253);</w:t>
      </w:r>
    </w:p>
    <w:p w:rsidR="00000000" w:rsidRDefault="00000000"/>
    <w:p w:rsidR="00000000" w:rsidRDefault="00000000">
      <w:r>
        <w:tab/>
      </w:r>
      <w:r>
        <w:rPr>
          <w:lang w:val="en-US"/>
        </w:rPr>
        <w:t>h</w:t>
      </w:r>
      <w:r>
        <w:t>)</w:t>
      </w:r>
      <w:r>
        <w:tab/>
        <w:t>специальных программ борьбы с безработицей (Законодательный вестник за 1995 год, № 134, текст 661, за 1998 год, № 156, текст 1023);</w:t>
      </w:r>
    </w:p>
    <w:p w:rsidR="00000000" w:rsidRDefault="00000000"/>
    <w:p w:rsidR="00000000" w:rsidRDefault="00000000">
      <w:r>
        <w:tab/>
      </w:r>
      <w:r>
        <w:rPr>
          <w:lang w:val="en-US"/>
        </w:rPr>
        <w:t>i</w:t>
      </w:r>
      <w:r>
        <w:t>)</w:t>
      </w:r>
      <w:r>
        <w:tab/>
        <w:t>условий прохождения безработными выпускниками школ производственной стажировки (Законодательный вестник за 1996 год, № 45, текст 203, за 1998 год, № 166, текст 1244);</w:t>
      </w:r>
    </w:p>
    <w:p w:rsidR="00000000" w:rsidRDefault="00000000"/>
    <w:p w:rsidR="00000000" w:rsidRDefault="00000000">
      <w:r>
        <w:tab/>
      </w:r>
      <w:r>
        <w:rPr>
          <w:lang w:val="en-US"/>
        </w:rPr>
        <w:t>j</w:t>
      </w:r>
      <w:r>
        <w:t>)</w:t>
      </w:r>
      <w:r>
        <w:tab/>
        <w:t>составления списка районов, где отсутствует опасность структурной безработицы, и местные бюро по трудоустройству могут частично или полностью возмещать расходы, связанные с проездом к месту работы и обеспечением жильем лиц, направленных на работу, стажировку или профессиональную подготовку вне места своего постоянного проживания (Законодательный вестник за 1997 год, № 25, текст 129);</w:t>
      </w:r>
    </w:p>
    <w:p w:rsidR="00000000" w:rsidRDefault="00000000"/>
    <w:p w:rsidR="00000000" w:rsidRDefault="00000000">
      <w:r>
        <w:tab/>
      </w:r>
      <w:r>
        <w:rPr>
          <w:lang w:val="en-US"/>
        </w:rPr>
        <w:t>k</w:t>
      </w:r>
      <w:r>
        <w:t>)</w:t>
      </w:r>
      <w:r>
        <w:tab/>
        <w:t>составления списка административных районов, которым не угрожает структурная безработица и где может быть обеспечено возмещение реальных расходов, связанных с общественными работами (Законодательный вестник за 1997 год, № 25, текст 139);</w:t>
      </w:r>
    </w:p>
    <w:p w:rsidR="00000000" w:rsidRDefault="00000000"/>
    <w:p w:rsidR="00000000" w:rsidRDefault="00000000">
      <w:r>
        <w:tab/>
      </w:r>
      <w:r>
        <w:rPr>
          <w:lang w:val="en-US"/>
        </w:rPr>
        <w:t>l</w:t>
      </w:r>
      <w:r>
        <w:t>)</w:t>
      </w:r>
      <w:r>
        <w:tab/>
        <w:t>подробных правил регистрации и учета безработных и других лиц, ищущих работу (Законодательный вестник за 1997 год, № 25, текст 131, за 1998 год, № 166, текст 1236);</w:t>
      </w:r>
    </w:p>
    <w:p w:rsidR="00000000" w:rsidRDefault="00000000"/>
    <w:p w:rsidR="00000000" w:rsidRDefault="00000000">
      <w:r>
        <w:tab/>
      </w:r>
      <w:r>
        <w:rPr>
          <w:lang w:val="en-US"/>
        </w:rPr>
        <w:t>m</w:t>
      </w:r>
      <w:r>
        <w:t>)</w:t>
      </w:r>
      <w:r>
        <w:tab/>
        <w:t>подробных правил предоставления пособий, предусмотренных в Законе о занятости и борьбе с безработицей (Законодательный вестник за 1997 год, № 25, текст 132, за 1998 год, № 166, текст 1237);</w:t>
      </w:r>
    </w:p>
    <w:p w:rsidR="00000000" w:rsidRDefault="00000000"/>
    <w:p w:rsidR="00000000" w:rsidRDefault="00000000">
      <w:r>
        <w:tab/>
      </w:r>
      <w:r>
        <w:rPr>
          <w:lang w:val="en-US"/>
        </w:rPr>
        <w:t>n</w:t>
      </w:r>
      <w:r>
        <w:t>)</w:t>
      </w:r>
      <w:r>
        <w:tab/>
        <w:t>работы иностранных граждан по найму и осуществления ими другой деятельности, приносящей доход, без необходимости получения разрешения на работу и согласия руководителя воеводского бюро по трудоустройству (Законодательный вестник за 1997 год, № 109, текст 710);</w:t>
      </w:r>
    </w:p>
    <w:p w:rsidR="00000000" w:rsidRDefault="00000000"/>
    <w:p w:rsidR="00000000" w:rsidRDefault="00000000">
      <w:r>
        <w:tab/>
        <w:t>о)</w:t>
      </w:r>
      <w:r>
        <w:tab/>
        <w:t>порядка использования труда иностранных граждан в сфере экспортных услуг иностранными  работодателями в Польше (Законодательный вестник за 1995 год, № 66, текст 340, за 1998 год, № 12, текст 50);</w:t>
      </w:r>
    </w:p>
    <w:p w:rsidR="00000000" w:rsidRDefault="00000000"/>
    <w:p w:rsidR="00000000" w:rsidRDefault="00000000">
      <w:r>
        <w:tab/>
        <w:t>р)</w:t>
      </w:r>
      <w:r>
        <w:tab/>
        <w:t>подробных правил и порядка выдачи разрешений на работу по найму или осуществления другой деятельности, приносящей доход, иностранными гражданами на территории Республики Польши (Законодательный вестник за 1998 год, № 53, текст 336);</w:t>
      </w:r>
    </w:p>
    <w:p w:rsidR="00000000" w:rsidRDefault="00000000"/>
    <w:p w:rsidR="00000000" w:rsidRDefault="00000000">
      <w:r>
        <w:tab/>
      </w:r>
      <w:r>
        <w:rPr>
          <w:lang w:val="en-US"/>
        </w:rPr>
        <w:t>q</w:t>
      </w:r>
      <w:r>
        <w:t>)</w:t>
      </w:r>
      <w:r>
        <w:tab/>
        <w:t>внесения изменений в постановление о возмещении путевых расходов и расходов по обеспечению лиц, которые работают по найму, проходят стажировку или профессиональную подготовку за пределами места своего постоянного проживания (Законодательный вестник за 1996 год, № 45, текст 202, за 1998 год, № 120, текст 778 и № 166, текст 1238);</w:t>
      </w:r>
    </w:p>
    <w:p w:rsidR="00000000" w:rsidRDefault="00000000"/>
    <w:p w:rsidR="00000000" w:rsidRDefault="00000000">
      <w:r>
        <w:tab/>
      </w:r>
      <w:r>
        <w:rPr>
          <w:lang w:val="en-US"/>
        </w:rPr>
        <w:t>r</w:t>
      </w:r>
      <w:r>
        <w:t>)</w:t>
      </w:r>
      <w:r>
        <w:tab/>
        <w:t>внесения изменений в постановление, касающееся подробных правил трудоустройства, профессиональной ориентации и подготовки безработных, создания методологической основы для информирования и консультирования по вопросам занятости, а также организации и финансирования деятельности клубов занятости (Законодательный вестник за 1995 год, № 73, текст 364, за 1998 год, № 166, текст 1235);</w:t>
      </w:r>
    </w:p>
    <w:p w:rsidR="00000000" w:rsidRDefault="00000000"/>
    <w:p w:rsidR="00000000" w:rsidRDefault="00000000">
      <w:r>
        <w:tab/>
      </w:r>
      <w:r>
        <w:rPr>
          <w:lang w:val="en-US"/>
        </w:rPr>
        <w:t>s</w:t>
      </w:r>
      <w:r>
        <w:t>)</w:t>
      </w:r>
      <w:r>
        <w:tab/>
        <w:t>внесения изменений в постановление, касающееся организации и порядка функционирования советов по вопросам занятости, а также участия других органов, научных кругов, организаций и учреждений, не представленных в советах по вопросам занятости, в их заседаниях (Законодательный вестник за 1995 год, № 38, текст 188, за 1998 год, № 166, текст 1239);</w:t>
      </w:r>
    </w:p>
    <w:p w:rsidR="00000000" w:rsidRDefault="00000000"/>
    <w:p w:rsidR="00000000" w:rsidRDefault="00000000">
      <w:pPr>
        <w:ind w:firstLine="567"/>
      </w:pPr>
      <w:r>
        <w:t>t)</w:t>
      </w:r>
      <w:r>
        <w:tab/>
        <w:t>внесения изменений в постановление, касающееся правил покрытия расходов на выплату вознаграждения за сверхурочную работу члену Совета по вопросам занятости, а также расходов, связанных с его поездками для участия в заседаниях Совета (Законодательный вестник за 1995 год, № 38, текст 190, за 1998 год, № 166, текст 1240);</w:t>
      </w:r>
    </w:p>
    <w:p w:rsidR="00000000" w:rsidRDefault="00000000">
      <w:pPr>
        <w:ind w:left="1134" w:hanging="567"/>
      </w:pPr>
    </w:p>
    <w:p w:rsidR="00000000" w:rsidRDefault="00000000">
      <w:pPr>
        <w:ind w:firstLine="567"/>
      </w:pPr>
      <w:r>
        <w:t>u)</w:t>
      </w:r>
      <w:r>
        <w:tab/>
        <w:t>адаптации организационных структур и сферы деятельности воеводских и местных бюро по трудоустройству к требованиям системы государственного управления (Законодательный вестник за 1998 год, № 166, текст 1247).</w:t>
      </w:r>
    </w:p>
    <w:p w:rsidR="00000000" w:rsidRDefault="00000000">
      <w:pPr>
        <w:ind w:left="1134" w:hanging="567"/>
      </w:pPr>
    </w:p>
    <w:p w:rsidR="00000000" w:rsidRDefault="00000000">
      <w:pPr>
        <w:pStyle w:val="FootnoteText"/>
        <w:spacing w:line="288" w:lineRule="auto"/>
        <w:jc w:val="center"/>
        <w:rPr>
          <w:b/>
          <w:bCs/>
        </w:rPr>
      </w:pPr>
      <w:r>
        <w:rPr>
          <w:b/>
          <w:bCs/>
        </w:rPr>
        <w:t>М.</w:t>
      </w:r>
      <w:r>
        <w:rPr>
          <w:b/>
          <w:bCs/>
        </w:rPr>
        <w:tab/>
        <w:t>Международная помощь в контексте осуществления прав, закрепленных в статье 6</w:t>
      </w:r>
    </w:p>
    <w:p w:rsidR="00000000" w:rsidRDefault="00000000">
      <w:pPr>
        <w:pStyle w:val="FootnoteText"/>
        <w:spacing w:line="288" w:lineRule="auto"/>
        <w:jc w:val="center"/>
        <w:rPr>
          <w:b/>
          <w:bCs/>
        </w:rPr>
      </w:pPr>
    </w:p>
    <w:p w:rsidR="00000000" w:rsidRDefault="00000000">
      <w:pPr>
        <w:pStyle w:val="FootnoteText"/>
        <w:spacing w:line="288" w:lineRule="auto"/>
      </w:pPr>
      <w:r>
        <w:t>59.</w:t>
      </w:r>
      <w:r>
        <w:tab/>
        <w:t>В 1995</w:t>
      </w:r>
      <w:r>
        <w:sym w:font="Symbol" w:char="F02D"/>
      </w:r>
      <w:r>
        <w:t>1998 годах Польша использовала помощь и опыт ряда европейских государств </w:t>
      </w:r>
      <w:r>
        <w:sym w:font="Symbol" w:char="F02D"/>
      </w:r>
      <w:r>
        <w:t xml:space="preserve"> Германии, Великобритании, Бельгии, Дании, Франции, Швеции </w:t>
      </w:r>
      <w:r>
        <w:noBreakHyphen/>
        <w:t xml:space="preserve"> и Соединенных Штатов Америки.  Вместе с тем наиболее эффективные результаты принесло полномасштабное осуществление проекта создания и развития служб занятости, который финансировался, в частности, за счет кредита Всемирного банка.  Проект был завершен к декабрю 1998 года.  Его основными элементами являлись:</w:t>
      </w:r>
    </w:p>
    <w:p w:rsidR="00000000" w:rsidRDefault="00000000">
      <w:pPr>
        <w:pStyle w:val="FootnoteText"/>
        <w:spacing w:line="288" w:lineRule="auto"/>
      </w:pPr>
    </w:p>
    <w:p w:rsidR="00000000" w:rsidRDefault="00000000">
      <w:pPr>
        <w:ind w:firstLine="567"/>
      </w:pPr>
      <w:r>
        <w:t>a)</w:t>
      </w:r>
      <w:r>
        <w:tab/>
        <w:t>разработка программы и учебных материалов, касающихся принципов и различных форм оказания услуг службами по трудоустройству;</w:t>
      </w:r>
    </w:p>
    <w:p w:rsidR="00000000" w:rsidRDefault="00000000">
      <w:pPr>
        <w:ind w:left="1134" w:hanging="567"/>
      </w:pPr>
    </w:p>
    <w:p w:rsidR="00000000" w:rsidRDefault="00000000">
      <w:pPr>
        <w:ind w:firstLine="567"/>
      </w:pPr>
      <w:r>
        <w:t>b)</w:t>
      </w:r>
      <w:r>
        <w:tab/>
        <w:t>разработка национальных руководящих принципов размещения, организации деятельности и технического оснащения бюро по трудоустройству, а также единообразной системы визуальной информации для клиентов;</w:t>
      </w:r>
    </w:p>
    <w:p w:rsidR="00000000" w:rsidRDefault="00000000">
      <w:pPr>
        <w:ind w:left="1134" w:hanging="567"/>
      </w:pPr>
    </w:p>
    <w:p w:rsidR="00000000" w:rsidRDefault="00000000">
      <w:pPr>
        <w:ind w:firstLine="567"/>
      </w:pPr>
      <w:r>
        <w:t>c)</w:t>
      </w:r>
      <w:r>
        <w:tab/>
        <w:t>разработка программ подготовки консультантов бюро по трудоустройству на уровне бакалавра и магистра и последующего высшего образования;</w:t>
      </w:r>
    </w:p>
    <w:p w:rsidR="00000000" w:rsidRDefault="00000000">
      <w:pPr>
        <w:ind w:left="1134" w:hanging="567"/>
      </w:pPr>
    </w:p>
    <w:p w:rsidR="00000000" w:rsidRDefault="00000000">
      <w:pPr>
        <w:ind w:firstLine="567"/>
      </w:pPr>
      <w:r>
        <w:t>d)</w:t>
      </w:r>
      <w:r>
        <w:tab/>
        <w:t>разработка краткосрочных программ профессиональной подготовки сотрудников бюро по трудоустройству в целях приобретения ими базовых навыков работы с клиентами;</w:t>
      </w:r>
    </w:p>
    <w:p w:rsidR="00000000" w:rsidRDefault="00000000">
      <w:pPr>
        <w:ind w:left="1134" w:hanging="567"/>
      </w:pPr>
    </w:p>
    <w:p w:rsidR="00000000" w:rsidRDefault="00000000">
      <w:pPr>
        <w:ind w:firstLine="567"/>
      </w:pPr>
      <w:r>
        <w:t>e)</w:t>
      </w:r>
      <w:r>
        <w:tab/>
        <w:t>разработка программ подготовки сотрудников управленческого звена, работающих в бюро по трудоустройству;</w:t>
      </w:r>
    </w:p>
    <w:p w:rsidR="00000000" w:rsidRDefault="00000000">
      <w:pPr>
        <w:ind w:left="1134" w:hanging="567"/>
      </w:pPr>
    </w:p>
    <w:p w:rsidR="00000000" w:rsidRDefault="00000000">
      <w:pPr>
        <w:ind w:firstLine="567"/>
      </w:pPr>
      <w:r>
        <w:t>f)</w:t>
      </w:r>
      <w:r>
        <w:tab/>
        <w:t>разработка программ деятельности клубов занятости, а также программ профессиональной подготовки классных руководителей в клубах занятости;</w:t>
      </w:r>
    </w:p>
    <w:p w:rsidR="00000000" w:rsidRDefault="00000000">
      <w:pPr>
        <w:ind w:left="1134" w:hanging="567"/>
      </w:pPr>
    </w:p>
    <w:p w:rsidR="00000000" w:rsidRDefault="00000000">
      <w:pPr>
        <w:ind w:firstLine="567"/>
      </w:pPr>
      <w:r>
        <w:t>g)</w:t>
      </w:r>
      <w:r>
        <w:tab/>
        <w:t>приобретение лицензий и адаптация к польским условиям американских тестов, связанных с определением круга интересов и естественных способностей по конкретным видам трудовой деятельности;</w:t>
      </w:r>
    </w:p>
    <w:p w:rsidR="00000000" w:rsidRDefault="00000000">
      <w:pPr>
        <w:ind w:left="1134" w:hanging="567"/>
      </w:pPr>
    </w:p>
    <w:p w:rsidR="00000000" w:rsidRDefault="00000000">
      <w:pPr>
        <w:ind w:firstLine="567"/>
      </w:pPr>
      <w:r>
        <w:t>h)</w:t>
      </w:r>
      <w:r>
        <w:tab/>
        <w:t>составление информационного сборника о различных профессиях (с охватом примерно 550 профессий);</w:t>
      </w:r>
    </w:p>
    <w:p w:rsidR="00000000" w:rsidRDefault="00000000">
      <w:pPr>
        <w:ind w:left="1134" w:hanging="567"/>
      </w:pPr>
    </w:p>
    <w:p w:rsidR="00000000" w:rsidRDefault="00000000">
      <w:pPr>
        <w:ind w:firstLine="567"/>
      </w:pPr>
      <w:r>
        <w:t>i)</w:t>
      </w:r>
      <w:r>
        <w:tab/>
        <w:t>разработка компьютерной программы по вопросам профессиональной ориентации;</w:t>
      </w:r>
    </w:p>
    <w:p w:rsidR="00000000" w:rsidRDefault="00000000">
      <w:pPr>
        <w:ind w:left="1134" w:hanging="567"/>
      </w:pPr>
    </w:p>
    <w:p w:rsidR="00000000" w:rsidRDefault="00000000">
      <w:pPr>
        <w:ind w:firstLine="567"/>
      </w:pPr>
      <w:r>
        <w:t>j)</w:t>
      </w:r>
      <w:r>
        <w:tab/>
        <w:t>оснащение бюро по трудоустройству современным канцелярским оборудованием.</w:t>
      </w:r>
    </w:p>
    <w:p w:rsidR="00000000" w:rsidRDefault="00000000">
      <w:pPr>
        <w:ind w:left="1134" w:hanging="567"/>
      </w:pPr>
    </w:p>
    <w:p w:rsidR="00000000" w:rsidRDefault="00000000">
      <w:r>
        <w:t>60.</w:t>
      </w:r>
      <w:r>
        <w:tab/>
        <w:t>Проект способствовал совершенствованию профессиональной подготовки в качестве средства поощрения права, закрепленного в статье 6.  Благодаря этому проекту в польскую систему образования и профессиональной подготовки была интегрирована модульная концепция.  Среди многочисленных особенностей указанной концепции особое значение для повышения уровня занятости имело уделение пристального внимания следующим моментам:  освоению навыков, требующихся для конкретной трудовой деятельности или профессии;  внедрению гибких методов обучения, позволяющих осуществлять подготовку с учетом времени и финансовых средств, имеющихся в распоряжении слушателя;  и возможностям адаптирования модульных программ подготовки кадров к меняющимся требованиям рынка труда.  В рамках реформы образования, которая должна была начаться с 1999 года, упор был сделан на практически целесообразную, конкретно целевую подготовку, считающуюся более эффективной по сравнению с традиционной профессиональной подготовкой.  Для использования в сфере последующего специального среднего образования были разработаны модульные программы, предусматривающие развитие соответствующих профессиональных навыков.  После осуществления проекта были разработаны программы в 21 профессиональной области, которые использовались соответствующими учреждениями для целей непрерывной профессиональной подготовки;  они включали в себя примерно 1 000 модульных единиц (модулей), охватывающих 138 профессий.  Некоторые из 100 учебных заведений, участвовавших в проекте и играющих ведущую роль в разработке программной документации, были оснащены современным техническим и дидактическим оборудованием.</w:t>
      </w:r>
    </w:p>
    <w:p w:rsidR="00000000" w:rsidRDefault="00000000"/>
    <w:p w:rsidR="00000000" w:rsidRDefault="00000000">
      <w:pPr>
        <w:jc w:val="center"/>
        <w:rPr>
          <w:b/>
          <w:bCs/>
        </w:rPr>
      </w:pPr>
      <w:r>
        <w:rPr>
          <w:b/>
          <w:bCs/>
          <w:lang w:val="en-US"/>
        </w:rPr>
        <w:t>II</w:t>
      </w:r>
      <w:r>
        <w:rPr>
          <w:b/>
          <w:bCs/>
        </w:rPr>
        <w:t>.</w:t>
      </w:r>
      <w:r>
        <w:rPr>
          <w:b/>
          <w:bCs/>
        </w:rPr>
        <w:tab/>
        <w:t>ОСУЩЕСТВЛЕНИЕ ПРАВ, ЗАКРЕПЛЕННЫХ В СТАТЬЕ 7</w:t>
      </w:r>
    </w:p>
    <w:p w:rsidR="00000000" w:rsidRDefault="00000000">
      <w:pPr>
        <w:jc w:val="center"/>
        <w:rPr>
          <w:b/>
          <w:bCs/>
        </w:rPr>
      </w:pPr>
    </w:p>
    <w:p w:rsidR="00000000" w:rsidRDefault="00000000">
      <w:pPr>
        <w:pStyle w:val="10"/>
        <w:rPr>
          <w:bCs/>
        </w:rPr>
      </w:pPr>
      <w:r>
        <w:rPr>
          <w:bCs/>
        </w:rPr>
        <w:t>А.</w:t>
      </w:r>
      <w:r>
        <w:rPr>
          <w:bCs/>
        </w:rPr>
        <w:tab/>
        <w:t>Ратифицированные международные договоры</w:t>
      </w:r>
    </w:p>
    <w:p w:rsidR="00000000" w:rsidRDefault="00000000">
      <w:pPr>
        <w:pStyle w:val="10"/>
        <w:rPr>
          <w:bCs/>
        </w:rPr>
      </w:pPr>
    </w:p>
    <w:p w:rsidR="00000000" w:rsidRDefault="00000000">
      <w:r>
        <w:t>61.</w:t>
      </w:r>
      <w:r>
        <w:tab/>
        <w:t>По состоянию на конец 1998 года Польша является участником следующих договоров:</w:t>
      </w:r>
    </w:p>
    <w:p w:rsidR="00000000" w:rsidRDefault="00000000"/>
    <w:p w:rsidR="00000000" w:rsidRDefault="00000000">
      <w:r>
        <w:tab/>
        <w:t>-</w:t>
      </w:r>
      <w:r>
        <w:tab/>
        <w:t>Конвенции о равном вознаграждении 1951 года (№ 100);</w:t>
      </w:r>
    </w:p>
    <w:p w:rsidR="00000000" w:rsidRDefault="00000000"/>
    <w:p w:rsidR="00000000" w:rsidRDefault="00000000">
      <w:r>
        <w:tab/>
        <w:t>-</w:t>
      </w:r>
      <w:r>
        <w:tab/>
        <w:t>Конвенции о еженедельном отдыхе в промышленности 1921 года (№ 14);</w:t>
      </w:r>
    </w:p>
    <w:p w:rsidR="00000000" w:rsidRDefault="00000000"/>
    <w:p w:rsidR="00000000" w:rsidRDefault="00000000">
      <w:r>
        <w:tab/>
        <w:t>-</w:t>
      </w:r>
      <w:r>
        <w:tab/>
        <w:t>Конвенции об инспекции труда 1947 года (№ 81);</w:t>
      </w:r>
    </w:p>
    <w:p w:rsidR="00000000" w:rsidRDefault="00000000"/>
    <w:p w:rsidR="00000000" w:rsidRDefault="00000000">
      <w:r>
        <w:tab/>
        <w:t>-</w:t>
      </w:r>
      <w:r>
        <w:tab/>
        <w:t>Конвенции об инспекции труда в сельском хозяйстве 1969 года (№ 129).</w:t>
      </w:r>
    </w:p>
    <w:p w:rsidR="00000000" w:rsidRDefault="00000000"/>
    <w:p w:rsidR="00000000" w:rsidRDefault="00000000">
      <w:pPr>
        <w:pStyle w:val="16"/>
        <w:rPr>
          <w:b/>
          <w:bCs/>
        </w:rPr>
      </w:pPr>
      <w:r>
        <w:rPr>
          <w:b/>
          <w:bCs/>
        </w:rPr>
        <w:t>В.</w:t>
      </w:r>
      <w:r>
        <w:rPr>
          <w:b/>
          <w:bCs/>
        </w:rPr>
        <w:tab/>
        <w:t>Методы, используемые для установления размера заработной платы</w:t>
      </w:r>
    </w:p>
    <w:p w:rsidR="00000000" w:rsidRDefault="00000000">
      <w:pPr>
        <w:pStyle w:val="16"/>
        <w:rPr>
          <w:b/>
          <w:bCs/>
        </w:rPr>
      </w:pPr>
    </w:p>
    <w:p w:rsidR="00000000" w:rsidRDefault="00000000">
      <w:r>
        <w:t>62.</w:t>
      </w:r>
      <w:r>
        <w:tab/>
        <w:t>Согласно измененным положениям Кодекса законов о труде, действующим со 2 июня 1996 года, в отчетный период условия выплаты вознаграждения и предоставления других пособий определялись коллективными договорами (на уровне предприятий и учреждений и на более высоком уровне, о чем подробно сообщалось в предыдущем докладе), правилами и иными нормативными положениями по вопросам оплаты труда, изданными государственными органами.  Нормативное закрепление условий оплаты труда вменялось в обязанность каждого работодателя, использовавшего труд по меньшей мере пяти работников, которые не были охвачены коллективным договором на уровне соответствующего предприятия или на более высоком уровне, предусматривающем условия выплаты вознаграждения и предоставление других пособий.  Работодатель устанавливал правила оплаты труда;  если же на его предприятии действовала профсоюзная организация, он был обязан согласовывать с этой организацией условия выплаты вознаграждения (пункт 3 статьи 77 Кодекса законов о труде).  Условия выплаты вознаграждения и предоставление других пособий трудящимся, занятым в сфере государственного управления (бюджетных организациях), если они не были охвачены коллективным соглашением на более высоком уровне, устанавливались государственными органами (пункт 3 статьи 77 Кодекса законов о труде).</w:t>
      </w:r>
    </w:p>
    <w:p w:rsidR="00000000" w:rsidRDefault="00000000"/>
    <w:p w:rsidR="00000000" w:rsidRDefault="00000000">
      <w:pPr>
        <w:pStyle w:val="10"/>
        <w:rPr>
          <w:bCs/>
        </w:rPr>
      </w:pPr>
      <w:r>
        <w:rPr>
          <w:bCs/>
        </w:rPr>
        <w:t>С.</w:t>
      </w:r>
      <w:r>
        <w:rPr>
          <w:bCs/>
        </w:rPr>
        <w:tab/>
        <w:t>Система минимальной заработной платы</w:t>
      </w:r>
    </w:p>
    <w:p w:rsidR="00000000" w:rsidRDefault="00000000">
      <w:pPr>
        <w:pStyle w:val="10"/>
        <w:rPr>
          <w:bCs/>
        </w:rPr>
      </w:pPr>
    </w:p>
    <w:p w:rsidR="00000000" w:rsidRDefault="00000000">
      <w:r>
        <w:t>63.</w:t>
      </w:r>
      <w:r>
        <w:tab/>
        <w:t>В 1995</w:t>
      </w:r>
      <w:r>
        <w:noBreakHyphen/>
        <w:t>1998 годах по сравнению с положением, охарактеризованным в предыдущем докладе, никаких изменений не произошло;  начиная с 1 сентября 1990 года действовало правило, в соответствии с которым минимальная заработная плата приравнивалась к полному минимальному вознаграждению, гарантированному всем трудящимся независимо от их места работы и пола за работу в течение всего месяца (42 часа в неделю).  Минимальная ставка оплаты труда не зависела от квалификации рабочего, сетки заработной платы или же количества и отдельных элементов оплаты труда, применяемых на предприятиях и в учреждениях (помимо базового вознаграждения, работодатели зачастую выплачивали различные бонусы, премиальные, надбавки за занимаемую должность, выслугу лет и т.д.).</w:t>
      </w:r>
    </w:p>
    <w:p w:rsidR="00000000" w:rsidRDefault="00000000"/>
    <w:p w:rsidR="00000000" w:rsidRDefault="00000000">
      <w:r>
        <w:t>64.</w:t>
      </w:r>
      <w:r>
        <w:tab/>
        <w:t>Концепция минимальной заработной платы упоминается в статье 65 Конституции от 2 апреля 1997 года, в статье 13, пункте 4 статьи 77, а также в статьях 81 и 137 Кодекса законов о труде.  Минимальный размер заработной платы впервые был установлен в 1956 году на основании распоряжения совета министров.  С января 1990 года он стал устанавливаться по приказу министра труда и социальной политики.  В 1996 году были приняты положения о праве на получение минимального вознаграждения в случае невыполнения трудовых норм (указ министра труда от 26 июня 1996 года, опубликованный в "Монитор польски" от 29 июня 1996 года).  После приведения соответствующих нормативных положений в соответствие с Конституцией Республики Польши вопрос о минимальной заработной плате стал объектом регулирования в рамках более весомого исполнительного акта </w:t>
      </w:r>
      <w:r>
        <w:noBreakHyphen/>
        <w:t xml:space="preserve"> постановления министра труда от 29 января 1998 года о минимальной ставке оплаты труда (Законодательный вестник № 16, текст 74).  Данное постановление не предусматривало никаких новых правил в дополнение к предыдущим указам, касавшимся минимального вознаграждения за труд.  Поддержание реальной величины этого вознаграждения обеспечивалось благодаря системе индексации, привязанной к индексу потребительских цен.  При постоянном снижении инфляции реальная величина минимальной заработной платы возрастала.  В 1997 году минимальную заработную плату получали 3,6% работников (275 000 человек).</w:t>
      </w:r>
    </w:p>
    <w:p w:rsidR="00000000" w:rsidRDefault="00000000"/>
    <w:p w:rsidR="00000000" w:rsidRDefault="00000000">
      <w:pPr>
        <w:pStyle w:val="16"/>
        <w:rPr>
          <w:u w:val="single"/>
        </w:rPr>
      </w:pPr>
      <w:r>
        <w:rPr>
          <w:u w:val="single"/>
        </w:rPr>
        <w:t>Таблица 10</w:t>
      </w:r>
      <w:r>
        <w:t xml:space="preserve">.   </w:t>
      </w:r>
      <w:r>
        <w:rPr>
          <w:u w:val="single"/>
        </w:rPr>
        <w:t>Рост минимальной заработной платы с учетом динамики</w:t>
      </w:r>
    </w:p>
    <w:p w:rsidR="00000000" w:rsidRDefault="00000000">
      <w:pPr>
        <w:jc w:val="center"/>
        <w:rPr>
          <w:b/>
          <w:bCs/>
        </w:rPr>
      </w:pPr>
      <w:r>
        <w:rPr>
          <w:u w:val="single"/>
        </w:rPr>
        <w:t>цен в 1995</w:t>
      </w:r>
      <w:r>
        <w:rPr>
          <w:u w:val="single"/>
        </w:rPr>
        <w:noBreakHyphen/>
        <w:t>1998 годах</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2"/>
        <w:gridCol w:w="1188"/>
        <w:gridCol w:w="1189"/>
        <w:gridCol w:w="1189"/>
        <w:gridCol w:w="1189"/>
      </w:tblGrid>
      <w:tr w:rsidR="00000000">
        <w:tblPrEx>
          <w:tblCellMar>
            <w:top w:w="0" w:type="dxa"/>
            <w:bottom w:w="0" w:type="dxa"/>
          </w:tblCellMar>
        </w:tblPrEx>
        <w:tc>
          <w:tcPr>
            <w:tcW w:w="4222" w:type="dxa"/>
          </w:tcPr>
          <w:p w:rsidR="00000000" w:rsidRDefault="00000000">
            <w:pPr>
              <w:jc w:val="center"/>
            </w:pPr>
          </w:p>
        </w:tc>
        <w:tc>
          <w:tcPr>
            <w:tcW w:w="1188" w:type="dxa"/>
          </w:tcPr>
          <w:p w:rsidR="00000000" w:rsidRDefault="00000000">
            <w:pPr>
              <w:jc w:val="center"/>
            </w:pPr>
            <w:r>
              <w:t>1995 год</w:t>
            </w:r>
          </w:p>
        </w:tc>
        <w:tc>
          <w:tcPr>
            <w:tcW w:w="1189" w:type="dxa"/>
          </w:tcPr>
          <w:p w:rsidR="00000000" w:rsidRDefault="00000000">
            <w:pPr>
              <w:jc w:val="center"/>
            </w:pPr>
            <w:r>
              <w:t>1996 год</w:t>
            </w:r>
          </w:p>
        </w:tc>
        <w:tc>
          <w:tcPr>
            <w:tcW w:w="1189" w:type="dxa"/>
          </w:tcPr>
          <w:p w:rsidR="00000000" w:rsidRDefault="00000000">
            <w:pPr>
              <w:jc w:val="center"/>
            </w:pPr>
            <w:r>
              <w:t>1997 год</w:t>
            </w:r>
          </w:p>
        </w:tc>
        <w:tc>
          <w:tcPr>
            <w:tcW w:w="1189" w:type="dxa"/>
          </w:tcPr>
          <w:p w:rsidR="00000000" w:rsidRDefault="00000000">
            <w:pPr>
              <w:jc w:val="center"/>
            </w:pPr>
            <w:r>
              <w:t>1998 год</w:t>
            </w:r>
          </w:p>
        </w:tc>
      </w:tr>
      <w:tr w:rsidR="00000000">
        <w:tblPrEx>
          <w:tblCellMar>
            <w:top w:w="0" w:type="dxa"/>
            <w:bottom w:w="0" w:type="dxa"/>
          </w:tblCellMar>
        </w:tblPrEx>
        <w:tc>
          <w:tcPr>
            <w:tcW w:w="4222" w:type="dxa"/>
          </w:tcPr>
          <w:p w:rsidR="00000000" w:rsidRDefault="00000000">
            <w:r>
              <w:t>Минимальная заработная плата (предыдущий год</w:t>
            </w:r>
            <w:r>
              <w:rPr>
                <w:lang w:val="en-US"/>
              </w:rPr>
              <w:t> </w:t>
            </w:r>
            <w:r>
              <w:t>= 100)</w:t>
            </w:r>
          </w:p>
        </w:tc>
        <w:tc>
          <w:tcPr>
            <w:tcW w:w="1188" w:type="dxa"/>
          </w:tcPr>
          <w:p w:rsidR="00000000" w:rsidRDefault="00000000">
            <w:pPr>
              <w:jc w:val="center"/>
            </w:pPr>
            <w:r>
              <w:t>132,6</w:t>
            </w:r>
          </w:p>
        </w:tc>
        <w:tc>
          <w:tcPr>
            <w:tcW w:w="1189" w:type="dxa"/>
          </w:tcPr>
          <w:p w:rsidR="00000000" w:rsidRDefault="00000000">
            <w:pPr>
              <w:jc w:val="center"/>
            </w:pPr>
            <w:r>
              <w:t>124,1</w:t>
            </w:r>
          </w:p>
        </w:tc>
        <w:tc>
          <w:tcPr>
            <w:tcW w:w="1189" w:type="dxa"/>
          </w:tcPr>
          <w:p w:rsidR="00000000" w:rsidRDefault="00000000">
            <w:pPr>
              <w:jc w:val="center"/>
            </w:pPr>
            <w:r>
              <w:t>120,6</w:t>
            </w:r>
          </w:p>
        </w:tc>
        <w:tc>
          <w:tcPr>
            <w:tcW w:w="1189" w:type="dxa"/>
          </w:tcPr>
          <w:p w:rsidR="00000000" w:rsidRDefault="00000000">
            <w:pPr>
              <w:jc w:val="center"/>
            </w:pPr>
            <w:r>
              <w:t>116,2</w:t>
            </w:r>
          </w:p>
        </w:tc>
      </w:tr>
      <w:tr w:rsidR="00000000">
        <w:tblPrEx>
          <w:tblCellMar>
            <w:top w:w="0" w:type="dxa"/>
            <w:bottom w:w="0" w:type="dxa"/>
          </w:tblCellMar>
        </w:tblPrEx>
        <w:tc>
          <w:tcPr>
            <w:tcW w:w="4222" w:type="dxa"/>
          </w:tcPr>
          <w:p w:rsidR="00000000" w:rsidRDefault="00000000">
            <w:r>
              <w:t>Цены (предыдущий год = 100)</w:t>
            </w:r>
          </w:p>
        </w:tc>
        <w:tc>
          <w:tcPr>
            <w:tcW w:w="1188" w:type="dxa"/>
          </w:tcPr>
          <w:p w:rsidR="00000000" w:rsidRDefault="00000000">
            <w:pPr>
              <w:jc w:val="center"/>
            </w:pPr>
            <w:r>
              <w:t>127,8</w:t>
            </w:r>
          </w:p>
        </w:tc>
        <w:tc>
          <w:tcPr>
            <w:tcW w:w="1189" w:type="dxa"/>
          </w:tcPr>
          <w:p w:rsidR="00000000" w:rsidRDefault="00000000">
            <w:pPr>
              <w:jc w:val="center"/>
            </w:pPr>
            <w:r>
              <w:t>119,9</w:t>
            </w:r>
          </w:p>
        </w:tc>
        <w:tc>
          <w:tcPr>
            <w:tcW w:w="1189" w:type="dxa"/>
          </w:tcPr>
          <w:p w:rsidR="00000000" w:rsidRDefault="00000000">
            <w:pPr>
              <w:jc w:val="center"/>
            </w:pPr>
            <w:r>
              <w:t>114,9</w:t>
            </w:r>
          </w:p>
        </w:tc>
        <w:tc>
          <w:tcPr>
            <w:tcW w:w="1189" w:type="dxa"/>
          </w:tcPr>
          <w:p w:rsidR="00000000" w:rsidRDefault="00000000">
            <w:pPr>
              <w:jc w:val="center"/>
            </w:pPr>
            <w:r>
              <w:t>111,8</w:t>
            </w:r>
          </w:p>
        </w:tc>
      </w:tr>
    </w:tbl>
    <w:p w:rsidR="00000000" w:rsidRDefault="00000000">
      <w:pPr>
        <w:pStyle w:val="FootnoteText"/>
        <w:spacing w:line="288" w:lineRule="auto"/>
      </w:pPr>
    </w:p>
    <w:p w:rsidR="00000000" w:rsidRDefault="00000000">
      <w:r>
        <w:tab/>
      </w:r>
      <w:r>
        <w:rPr>
          <w:u w:val="single"/>
        </w:rPr>
        <w:t>Источник</w:t>
      </w:r>
      <w:r>
        <w:t>:  данные министерства труда и социальной политики на основе результатов обследований, проведенных Главным статистическим управлением.</w:t>
      </w:r>
    </w:p>
    <w:p w:rsidR="00000000" w:rsidRDefault="00000000"/>
    <w:p w:rsidR="00000000" w:rsidRDefault="00000000">
      <w:r>
        <w:t>65.</w:t>
      </w:r>
      <w:r>
        <w:tab/>
        <w:t>В предыдущем докладе излагались (по-прежнему действующие) правила установления минимального размера заработной платы.  Кроме того, начиная с 1994 года в переговорах участвует Конфедерация польских работодателей.  Ревалоризация минимального размера заработной платы обеспечивала его систематическое увеличение, которое происходило более высокими темпами по сравнению с ростом средней заработной платы в национальной экономике.  В 1996-1998 годах участники переговоров приняли решение об увеличении периода времени между двумя следующими друг за другом датами повышения минимального вознаграждения.  Это стало возможным благодаря снижению уровня инфляции.  В ходе последующих переговоров было достигнуто соглашение о целевых сроках введения в действие системы выплаты минимального вознаграждения.  В случае усиления инфляционных тенденций размер минимальной заработной платы можно было бы пересмотреть.</w:t>
      </w:r>
    </w:p>
    <w:p w:rsidR="00000000" w:rsidRDefault="00000000"/>
    <w:p w:rsidR="00000000" w:rsidRDefault="00000000">
      <w:r>
        <w:t>66.</w:t>
      </w:r>
      <w:r>
        <w:tab/>
        <w:t>Минимальный размер заработной платы устанавливается из расчета стоимости корзины товаров и услуг, которая определяется по результатам обследования бюджетов домашних хозяйств, проводимого Главным статистическим управлением.  В качестве базы для расчета взято так называемое низкое потребление (первые 20% расходов всех членов стандартного домашнего хозяйства трудящихся);  эти расходы были сочтены насущными.  Корзина включала все категории расходов домашнего хозяйства, за исключением расходов на винно-водочные и табачные изделия, а также личный транспорт.  Указанная расчетная база обновлялась каждый год после публикации новых результатов обследования домашних хозяйств.  В формуле, с помощью которой определялся минимальный размер вознаграждения, учитывались следующие другие показатели:</w:t>
      </w:r>
    </w:p>
    <w:p w:rsidR="00000000" w:rsidRDefault="00000000"/>
    <w:p w:rsidR="00000000" w:rsidRDefault="00000000">
      <w:r>
        <w:tab/>
        <w:t>а)</w:t>
      </w:r>
      <w:r>
        <w:tab/>
        <w:t>доля смежных доходов от работы по найму в общем объеме средней заработной платы (минимальное вознаграждение не включало в себя премии, выплаты доли прибыли и другие надбавки, выплачиваемые работникам);</w:t>
      </w:r>
    </w:p>
    <w:p w:rsidR="00000000" w:rsidRDefault="00000000"/>
    <w:p w:rsidR="00000000" w:rsidRDefault="00000000">
      <w:r>
        <w:tab/>
      </w:r>
      <w:r>
        <w:rPr>
          <w:lang w:val="en-US"/>
        </w:rPr>
        <w:t>b</w:t>
      </w:r>
      <w:r>
        <w:t>)</w:t>
      </w:r>
      <w:r>
        <w:tab/>
        <w:t>среднее число лиц, находящихся на содержании одного рабочего (в целях учета факторов семейного характера при выплате вознаграждения);</w:t>
      </w:r>
    </w:p>
    <w:p w:rsidR="00000000" w:rsidRDefault="00000000"/>
    <w:p w:rsidR="00000000" w:rsidRDefault="00000000">
      <w:r>
        <w:tab/>
        <w:t>с)</w:t>
      </w:r>
      <w:r>
        <w:tab/>
        <w:t>индекс потребительских цен (с целью корректировки уровня минимального вознаграждения и предотвращения его обесценения в реальном выражении).</w:t>
      </w:r>
    </w:p>
    <w:p w:rsidR="00000000" w:rsidRDefault="00000000"/>
    <w:p w:rsidR="00000000" w:rsidRDefault="00000000">
      <w:r>
        <w:t>67.</w:t>
      </w:r>
      <w:r>
        <w:tab/>
        <w:t>Как и в период, охватываемый предыдущим докладом, надзор за соблюдением законодательства, касающегося минимальной заработной платы, в 1995</w:t>
      </w:r>
      <w:r>
        <w:noBreakHyphen/>
        <w:t>1998 годах осуществлялся Государственной инспекцией труда.</w:t>
      </w:r>
    </w:p>
    <w:p w:rsidR="00000000" w:rsidRDefault="00000000"/>
    <w:p w:rsidR="00000000" w:rsidRDefault="00000000">
      <w:pPr>
        <w:pStyle w:val="16"/>
        <w:rPr>
          <w:bCs/>
          <w:u w:val="single"/>
        </w:rPr>
      </w:pPr>
      <w:r>
        <w:rPr>
          <w:bCs/>
          <w:u w:val="single"/>
        </w:rPr>
        <w:br w:type="page"/>
        <w:t>Таблица 11</w:t>
      </w:r>
      <w:r>
        <w:rPr>
          <w:bCs/>
        </w:rPr>
        <w:t xml:space="preserve">.  </w:t>
      </w:r>
      <w:r>
        <w:rPr>
          <w:bCs/>
          <w:u w:val="single"/>
        </w:rPr>
        <w:t>Рост минимальных и средних доходов в 1988-1998 годах</w:t>
      </w:r>
    </w:p>
    <w:p w:rsidR="00000000" w:rsidRDefault="00000000">
      <w:pPr>
        <w:pStyle w:val="16"/>
        <w:tabs>
          <w:tab w:val="left" w:pos="567"/>
          <w:tab w:val="left" w:pos="1134"/>
          <w:tab w:val="left" w:pos="1701"/>
          <w:tab w:val="left" w:pos="2268"/>
          <w:tab w:val="left" w:pos="623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12"/>
        <w:gridCol w:w="1496"/>
        <w:gridCol w:w="1496"/>
        <w:gridCol w:w="2057"/>
        <w:gridCol w:w="1609"/>
      </w:tblGrid>
      <w:tr w:rsidR="00000000">
        <w:tblPrEx>
          <w:tblCellMar>
            <w:top w:w="0" w:type="dxa"/>
            <w:bottom w:w="0" w:type="dxa"/>
          </w:tblCellMar>
        </w:tblPrEx>
        <w:tc>
          <w:tcPr>
            <w:tcW w:w="2913" w:type="dxa"/>
          </w:tcPr>
          <w:p w:rsidR="00000000" w:rsidRDefault="00000000">
            <w:pPr>
              <w:spacing w:line="240" w:lineRule="auto"/>
              <w:jc w:val="center"/>
            </w:pPr>
            <w:r>
              <w:t>Показатель</w:t>
            </w:r>
          </w:p>
        </w:tc>
        <w:tc>
          <w:tcPr>
            <w:tcW w:w="1496" w:type="dxa"/>
          </w:tcPr>
          <w:p w:rsidR="00000000" w:rsidRDefault="00000000">
            <w:pPr>
              <w:spacing w:line="240" w:lineRule="auto"/>
              <w:jc w:val="center"/>
            </w:pPr>
            <w:r>
              <w:t>1988</w:t>
            </w:r>
          </w:p>
        </w:tc>
        <w:tc>
          <w:tcPr>
            <w:tcW w:w="1496" w:type="dxa"/>
          </w:tcPr>
          <w:p w:rsidR="00000000" w:rsidRDefault="00000000">
            <w:pPr>
              <w:spacing w:line="240" w:lineRule="auto"/>
              <w:jc w:val="center"/>
            </w:pPr>
            <w:r>
              <w:t>1993</w:t>
            </w:r>
          </w:p>
        </w:tc>
        <w:tc>
          <w:tcPr>
            <w:tcW w:w="2057" w:type="dxa"/>
          </w:tcPr>
          <w:p w:rsidR="00000000" w:rsidRDefault="00000000">
            <w:pPr>
              <w:spacing w:line="240" w:lineRule="auto"/>
              <w:jc w:val="center"/>
            </w:pPr>
            <w:r>
              <w:t>1997</w:t>
            </w:r>
          </w:p>
        </w:tc>
        <w:tc>
          <w:tcPr>
            <w:tcW w:w="1609" w:type="dxa"/>
          </w:tcPr>
          <w:p w:rsidR="00000000" w:rsidRDefault="00000000">
            <w:pPr>
              <w:spacing w:line="240" w:lineRule="auto"/>
              <w:jc w:val="center"/>
            </w:pPr>
            <w:r>
              <w:t>1998</w:t>
            </w:r>
          </w:p>
          <w:p w:rsidR="00000000" w:rsidRDefault="00000000">
            <w:pPr>
              <w:spacing w:line="240" w:lineRule="auto"/>
              <w:jc w:val="center"/>
            </w:pPr>
          </w:p>
        </w:tc>
      </w:tr>
      <w:tr w:rsidR="00000000">
        <w:tblPrEx>
          <w:tblCellMar>
            <w:top w:w="0" w:type="dxa"/>
            <w:bottom w:w="0" w:type="dxa"/>
          </w:tblCellMar>
        </w:tblPrEx>
        <w:tc>
          <w:tcPr>
            <w:tcW w:w="2913" w:type="dxa"/>
          </w:tcPr>
          <w:p w:rsidR="00000000" w:rsidRDefault="00000000">
            <w:pPr>
              <w:spacing w:line="240" w:lineRule="auto"/>
            </w:pPr>
            <w:r>
              <w:t>Чистые минимальные доходы в ПНЗ</w:t>
            </w:r>
          </w:p>
          <w:p w:rsidR="00000000" w:rsidRDefault="00000000">
            <w:pPr>
              <w:spacing w:line="240" w:lineRule="auto"/>
            </w:pPr>
          </w:p>
        </w:tc>
        <w:tc>
          <w:tcPr>
            <w:tcW w:w="1496" w:type="dxa"/>
          </w:tcPr>
          <w:p w:rsidR="00000000" w:rsidRDefault="00000000">
            <w:pPr>
              <w:tabs>
                <w:tab w:val="clear" w:pos="567"/>
                <w:tab w:val="clear" w:pos="1134"/>
              </w:tabs>
              <w:spacing w:line="240" w:lineRule="auto"/>
              <w:ind w:left="266" w:right="266"/>
              <w:jc w:val="right"/>
            </w:pPr>
            <w:r>
              <w:rPr>
                <w:lang w:val="en-US"/>
              </w:rPr>
              <w:t>1,5</w:t>
            </w:r>
          </w:p>
        </w:tc>
        <w:tc>
          <w:tcPr>
            <w:tcW w:w="1496" w:type="dxa"/>
          </w:tcPr>
          <w:p w:rsidR="00000000" w:rsidRDefault="00000000">
            <w:pPr>
              <w:tabs>
                <w:tab w:val="clear" w:pos="567"/>
                <w:tab w:val="clear" w:pos="1134"/>
              </w:tabs>
              <w:spacing w:line="240" w:lineRule="auto"/>
              <w:ind w:left="266" w:right="194"/>
              <w:jc w:val="right"/>
              <w:rPr>
                <w:lang w:val="en-US"/>
              </w:rPr>
            </w:pPr>
            <w:r>
              <w:rPr>
                <w:lang w:val="en-US"/>
              </w:rPr>
              <w:t>138,44</w:t>
            </w:r>
          </w:p>
        </w:tc>
        <w:tc>
          <w:tcPr>
            <w:tcW w:w="2057" w:type="dxa"/>
          </w:tcPr>
          <w:p w:rsidR="00000000" w:rsidRDefault="00000000">
            <w:pPr>
              <w:tabs>
                <w:tab w:val="clear" w:pos="567"/>
                <w:tab w:val="clear" w:pos="1134"/>
                <w:tab w:val="clear" w:pos="1701"/>
              </w:tabs>
              <w:spacing w:line="240" w:lineRule="auto"/>
              <w:ind w:left="453" w:right="381"/>
              <w:jc w:val="right"/>
              <w:rPr>
                <w:lang w:val="en-US"/>
              </w:rPr>
            </w:pPr>
            <w:r>
              <w:rPr>
                <w:lang w:val="en-US"/>
              </w:rPr>
              <w:t>375,01</w:t>
            </w:r>
          </w:p>
        </w:tc>
        <w:tc>
          <w:tcPr>
            <w:tcW w:w="1609" w:type="dxa"/>
          </w:tcPr>
          <w:p w:rsidR="00000000" w:rsidRDefault="00000000">
            <w:pPr>
              <w:tabs>
                <w:tab w:val="clear" w:pos="567"/>
                <w:tab w:val="clear" w:pos="1134"/>
              </w:tabs>
              <w:spacing w:line="240" w:lineRule="auto"/>
              <w:ind w:left="266" w:right="192"/>
              <w:jc w:val="right"/>
              <w:rPr>
                <w:lang w:val="en-US"/>
              </w:rPr>
            </w:pPr>
            <w:r>
              <w:rPr>
                <w:lang w:val="en-US"/>
              </w:rPr>
              <w:t>431,52</w:t>
            </w:r>
          </w:p>
        </w:tc>
      </w:tr>
      <w:tr w:rsidR="00000000">
        <w:tblPrEx>
          <w:tblCellMar>
            <w:top w:w="0" w:type="dxa"/>
            <w:bottom w:w="0" w:type="dxa"/>
          </w:tblCellMar>
        </w:tblPrEx>
        <w:tc>
          <w:tcPr>
            <w:tcW w:w="2913" w:type="dxa"/>
          </w:tcPr>
          <w:p w:rsidR="00000000" w:rsidRDefault="00000000">
            <w:pPr>
              <w:pStyle w:val="FootnoteText"/>
            </w:pPr>
            <w:r>
              <w:t>Средние доходы в ПНЗ</w:t>
            </w:r>
          </w:p>
          <w:p w:rsidR="00000000" w:rsidRDefault="00000000">
            <w:pPr>
              <w:spacing w:line="240" w:lineRule="auto"/>
            </w:pPr>
          </w:p>
        </w:tc>
        <w:tc>
          <w:tcPr>
            <w:tcW w:w="1496" w:type="dxa"/>
          </w:tcPr>
          <w:p w:rsidR="00000000" w:rsidRDefault="00000000">
            <w:pPr>
              <w:tabs>
                <w:tab w:val="clear" w:pos="567"/>
                <w:tab w:val="clear" w:pos="1134"/>
              </w:tabs>
              <w:spacing w:line="240" w:lineRule="auto"/>
              <w:ind w:left="266" w:right="266"/>
              <w:jc w:val="right"/>
              <w:rPr>
                <w:lang w:val="en-US"/>
              </w:rPr>
            </w:pPr>
            <w:r>
              <w:rPr>
                <w:lang w:val="en-US"/>
              </w:rPr>
              <w:t>5,31</w:t>
            </w:r>
          </w:p>
        </w:tc>
        <w:tc>
          <w:tcPr>
            <w:tcW w:w="1496" w:type="dxa"/>
          </w:tcPr>
          <w:p w:rsidR="00000000" w:rsidRDefault="00000000">
            <w:pPr>
              <w:tabs>
                <w:tab w:val="clear" w:pos="567"/>
                <w:tab w:val="clear" w:pos="1134"/>
              </w:tabs>
              <w:spacing w:line="240" w:lineRule="auto"/>
              <w:ind w:left="266" w:right="194"/>
              <w:jc w:val="right"/>
              <w:rPr>
                <w:lang w:val="en-US"/>
              </w:rPr>
            </w:pPr>
            <w:r>
              <w:rPr>
                <w:lang w:val="en-US"/>
              </w:rPr>
              <w:t>320,15</w:t>
            </w:r>
          </w:p>
        </w:tc>
        <w:tc>
          <w:tcPr>
            <w:tcW w:w="2057" w:type="dxa"/>
          </w:tcPr>
          <w:p w:rsidR="00000000" w:rsidRDefault="00000000">
            <w:pPr>
              <w:tabs>
                <w:tab w:val="clear" w:pos="567"/>
                <w:tab w:val="clear" w:pos="1134"/>
                <w:tab w:val="clear" w:pos="1701"/>
              </w:tabs>
              <w:spacing w:line="240" w:lineRule="auto"/>
              <w:ind w:left="453" w:right="381"/>
              <w:jc w:val="right"/>
              <w:rPr>
                <w:lang w:val="en-US"/>
              </w:rPr>
            </w:pPr>
            <w:r>
              <w:rPr>
                <w:lang w:val="en-US"/>
              </w:rPr>
              <w:t>877,29</w:t>
            </w:r>
          </w:p>
        </w:tc>
        <w:tc>
          <w:tcPr>
            <w:tcW w:w="1609" w:type="dxa"/>
          </w:tcPr>
          <w:p w:rsidR="00000000" w:rsidRDefault="00000000">
            <w:pPr>
              <w:tabs>
                <w:tab w:val="clear" w:pos="567"/>
                <w:tab w:val="clear" w:pos="1134"/>
              </w:tabs>
              <w:spacing w:line="240" w:lineRule="auto"/>
              <w:ind w:left="266" w:right="192"/>
              <w:jc w:val="right"/>
              <w:rPr>
                <w:lang w:val="en-US"/>
              </w:rPr>
            </w:pPr>
            <w:r>
              <w:rPr>
                <w:lang w:val="en-US"/>
              </w:rPr>
              <w:t>1 026,70</w:t>
            </w:r>
          </w:p>
        </w:tc>
      </w:tr>
      <w:tr w:rsidR="00000000">
        <w:tblPrEx>
          <w:tblCellMar>
            <w:top w:w="0" w:type="dxa"/>
            <w:bottom w:w="0" w:type="dxa"/>
          </w:tblCellMar>
        </w:tblPrEx>
        <w:tc>
          <w:tcPr>
            <w:tcW w:w="2913" w:type="dxa"/>
          </w:tcPr>
          <w:p w:rsidR="00000000" w:rsidRDefault="00000000">
            <w:pPr>
              <w:pStyle w:val="FootnoteText"/>
            </w:pPr>
            <w:r>
              <w:t>Минимальные доходы/ средние доходы</w:t>
            </w:r>
          </w:p>
          <w:p w:rsidR="00000000" w:rsidRDefault="00000000">
            <w:pPr>
              <w:pStyle w:val="FootnoteText"/>
            </w:pPr>
          </w:p>
        </w:tc>
        <w:tc>
          <w:tcPr>
            <w:tcW w:w="1496" w:type="dxa"/>
          </w:tcPr>
          <w:p w:rsidR="00000000" w:rsidRDefault="00000000">
            <w:pPr>
              <w:tabs>
                <w:tab w:val="clear" w:pos="567"/>
                <w:tab w:val="clear" w:pos="1134"/>
              </w:tabs>
              <w:spacing w:line="240" w:lineRule="auto"/>
              <w:ind w:left="266" w:right="223"/>
              <w:jc w:val="right"/>
            </w:pPr>
            <w:r>
              <w:t>28,2%</w:t>
            </w:r>
          </w:p>
        </w:tc>
        <w:tc>
          <w:tcPr>
            <w:tcW w:w="1496" w:type="dxa"/>
          </w:tcPr>
          <w:p w:rsidR="00000000" w:rsidRDefault="00000000">
            <w:pPr>
              <w:tabs>
                <w:tab w:val="clear" w:pos="567"/>
                <w:tab w:val="clear" w:pos="1134"/>
              </w:tabs>
              <w:spacing w:line="240" w:lineRule="auto"/>
              <w:ind w:left="266" w:right="223"/>
              <w:jc w:val="right"/>
              <w:rPr>
                <w:lang w:val="en-US"/>
              </w:rPr>
            </w:pPr>
            <w:r>
              <w:rPr>
                <w:lang w:val="en-US"/>
              </w:rPr>
              <w:t>43,2%</w:t>
            </w:r>
          </w:p>
        </w:tc>
        <w:tc>
          <w:tcPr>
            <w:tcW w:w="2057" w:type="dxa"/>
          </w:tcPr>
          <w:p w:rsidR="00000000" w:rsidRDefault="00000000">
            <w:pPr>
              <w:tabs>
                <w:tab w:val="clear" w:pos="567"/>
                <w:tab w:val="clear" w:pos="1134"/>
                <w:tab w:val="clear" w:pos="1701"/>
              </w:tabs>
              <w:spacing w:line="240" w:lineRule="auto"/>
              <w:ind w:left="453" w:right="374"/>
              <w:jc w:val="right"/>
              <w:rPr>
                <w:lang w:val="en-US"/>
              </w:rPr>
            </w:pPr>
            <w:r>
              <w:rPr>
                <w:lang w:val="en-US"/>
              </w:rPr>
              <w:t>43,0%</w:t>
            </w:r>
          </w:p>
        </w:tc>
        <w:tc>
          <w:tcPr>
            <w:tcW w:w="1609" w:type="dxa"/>
          </w:tcPr>
          <w:p w:rsidR="00000000" w:rsidRDefault="00000000">
            <w:pPr>
              <w:tabs>
                <w:tab w:val="clear" w:pos="567"/>
                <w:tab w:val="clear" w:pos="1134"/>
              </w:tabs>
              <w:spacing w:line="240" w:lineRule="auto"/>
              <w:ind w:left="266" w:right="223"/>
              <w:jc w:val="right"/>
              <w:rPr>
                <w:lang w:val="en-US"/>
              </w:rPr>
            </w:pPr>
            <w:r>
              <w:rPr>
                <w:lang w:val="en-US"/>
              </w:rPr>
              <w:t>41,9%</w:t>
            </w:r>
          </w:p>
        </w:tc>
      </w:tr>
      <w:tr w:rsidR="00000000">
        <w:tblPrEx>
          <w:tblCellMar>
            <w:top w:w="0" w:type="dxa"/>
            <w:bottom w:w="0" w:type="dxa"/>
          </w:tblCellMar>
        </w:tblPrEx>
        <w:tc>
          <w:tcPr>
            <w:tcW w:w="2913" w:type="dxa"/>
          </w:tcPr>
          <w:p w:rsidR="00000000" w:rsidRDefault="00000000">
            <w:pPr>
              <w:spacing w:line="240" w:lineRule="auto"/>
            </w:pPr>
            <w:r>
              <w:t>Индекс потребительских цен</w:t>
            </w:r>
          </w:p>
          <w:p w:rsidR="00000000" w:rsidRDefault="00000000">
            <w:pPr>
              <w:spacing w:line="240" w:lineRule="auto"/>
            </w:pPr>
          </w:p>
        </w:tc>
        <w:tc>
          <w:tcPr>
            <w:tcW w:w="1496" w:type="dxa"/>
          </w:tcPr>
          <w:p w:rsidR="00000000" w:rsidRDefault="00000000">
            <w:pPr>
              <w:tabs>
                <w:tab w:val="clear" w:pos="567"/>
                <w:tab w:val="clear" w:pos="1134"/>
              </w:tabs>
              <w:spacing w:line="240" w:lineRule="auto"/>
              <w:ind w:left="266" w:right="266"/>
              <w:jc w:val="right"/>
            </w:pPr>
            <w:r>
              <w:t>100,0</w:t>
            </w:r>
          </w:p>
        </w:tc>
        <w:tc>
          <w:tcPr>
            <w:tcW w:w="1496" w:type="dxa"/>
          </w:tcPr>
          <w:p w:rsidR="00000000" w:rsidRDefault="00000000">
            <w:pPr>
              <w:tabs>
                <w:tab w:val="clear" w:pos="567"/>
                <w:tab w:val="clear" w:pos="1134"/>
              </w:tabs>
              <w:spacing w:line="240" w:lineRule="auto"/>
              <w:ind w:left="266" w:right="194"/>
              <w:jc w:val="right"/>
            </w:pPr>
            <w:r>
              <w:t>7 933,7</w:t>
            </w:r>
          </w:p>
        </w:tc>
        <w:tc>
          <w:tcPr>
            <w:tcW w:w="2057" w:type="dxa"/>
          </w:tcPr>
          <w:p w:rsidR="00000000" w:rsidRDefault="00000000">
            <w:pPr>
              <w:tabs>
                <w:tab w:val="clear" w:pos="567"/>
                <w:tab w:val="clear" w:pos="1134"/>
                <w:tab w:val="clear" w:pos="1701"/>
              </w:tabs>
              <w:spacing w:line="240" w:lineRule="auto"/>
              <w:ind w:left="453" w:right="381"/>
              <w:jc w:val="right"/>
              <w:rPr>
                <w:lang w:val="en-US"/>
              </w:rPr>
            </w:pPr>
            <w:r>
              <w:rPr>
                <w:lang w:val="en-US"/>
              </w:rPr>
              <w:t>18 466,2</w:t>
            </w:r>
          </w:p>
        </w:tc>
        <w:tc>
          <w:tcPr>
            <w:tcW w:w="1609" w:type="dxa"/>
          </w:tcPr>
          <w:p w:rsidR="00000000" w:rsidRDefault="00000000">
            <w:pPr>
              <w:tabs>
                <w:tab w:val="clear" w:pos="567"/>
                <w:tab w:val="clear" w:pos="1134"/>
              </w:tabs>
              <w:spacing w:line="240" w:lineRule="auto"/>
              <w:ind w:left="266" w:right="192"/>
              <w:jc w:val="right"/>
              <w:rPr>
                <w:lang w:val="en-US"/>
              </w:rPr>
            </w:pPr>
            <w:r>
              <w:rPr>
                <w:lang w:val="en-US"/>
              </w:rPr>
              <w:t>20 645,2</w:t>
            </w:r>
          </w:p>
          <w:p w:rsidR="00000000" w:rsidRDefault="00000000">
            <w:pPr>
              <w:tabs>
                <w:tab w:val="clear" w:pos="567"/>
                <w:tab w:val="clear" w:pos="1134"/>
              </w:tabs>
              <w:spacing w:line="240" w:lineRule="auto"/>
              <w:ind w:left="266" w:right="192"/>
              <w:jc w:val="right"/>
              <w:rPr>
                <w:lang w:val="en-US"/>
              </w:rPr>
            </w:pPr>
          </w:p>
        </w:tc>
      </w:tr>
      <w:tr w:rsidR="00000000">
        <w:tblPrEx>
          <w:tblCellMar>
            <w:top w:w="0" w:type="dxa"/>
            <w:bottom w:w="0" w:type="dxa"/>
          </w:tblCellMar>
        </w:tblPrEx>
        <w:tc>
          <w:tcPr>
            <w:tcW w:w="2913" w:type="dxa"/>
          </w:tcPr>
          <w:p w:rsidR="00000000" w:rsidRDefault="00000000">
            <w:pPr>
              <w:spacing w:line="240" w:lineRule="auto"/>
            </w:pPr>
            <w:r>
              <w:t>Реальные минимальные доходы</w:t>
            </w:r>
          </w:p>
          <w:p w:rsidR="00000000" w:rsidRDefault="00000000">
            <w:pPr>
              <w:spacing w:line="240" w:lineRule="auto"/>
            </w:pPr>
          </w:p>
        </w:tc>
        <w:tc>
          <w:tcPr>
            <w:tcW w:w="1496" w:type="dxa"/>
          </w:tcPr>
          <w:p w:rsidR="00000000" w:rsidRDefault="00000000">
            <w:pPr>
              <w:tabs>
                <w:tab w:val="clear" w:pos="567"/>
                <w:tab w:val="clear" w:pos="1134"/>
              </w:tabs>
              <w:spacing w:line="240" w:lineRule="auto"/>
              <w:ind w:left="266" w:right="266"/>
              <w:jc w:val="right"/>
            </w:pPr>
            <w:r>
              <w:t>100,0</w:t>
            </w:r>
          </w:p>
        </w:tc>
        <w:tc>
          <w:tcPr>
            <w:tcW w:w="1496" w:type="dxa"/>
          </w:tcPr>
          <w:p w:rsidR="00000000" w:rsidRDefault="00000000">
            <w:pPr>
              <w:tabs>
                <w:tab w:val="clear" w:pos="567"/>
                <w:tab w:val="clear" w:pos="1134"/>
              </w:tabs>
              <w:spacing w:line="240" w:lineRule="auto"/>
              <w:ind w:left="266" w:right="194"/>
              <w:jc w:val="right"/>
            </w:pPr>
            <w:r>
              <w:t>116,3</w:t>
            </w:r>
          </w:p>
        </w:tc>
        <w:tc>
          <w:tcPr>
            <w:tcW w:w="2057" w:type="dxa"/>
          </w:tcPr>
          <w:p w:rsidR="00000000" w:rsidRDefault="00000000">
            <w:pPr>
              <w:tabs>
                <w:tab w:val="clear" w:pos="567"/>
                <w:tab w:val="clear" w:pos="1134"/>
                <w:tab w:val="clear" w:pos="1701"/>
              </w:tabs>
              <w:spacing w:line="240" w:lineRule="auto"/>
              <w:ind w:left="453" w:right="381"/>
              <w:jc w:val="right"/>
              <w:rPr>
                <w:lang w:val="en-US"/>
              </w:rPr>
            </w:pPr>
            <w:r>
              <w:rPr>
                <w:lang w:val="en-US"/>
              </w:rPr>
              <w:t>128,9</w:t>
            </w:r>
          </w:p>
        </w:tc>
        <w:tc>
          <w:tcPr>
            <w:tcW w:w="1609" w:type="dxa"/>
          </w:tcPr>
          <w:p w:rsidR="00000000" w:rsidRDefault="00000000">
            <w:pPr>
              <w:tabs>
                <w:tab w:val="clear" w:pos="567"/>
                <w:tab w:val="clear" w:pos="1134"/>
              </w:tabs>
              <w:spacing w:line="240" w:lineRule="auto"/>
              <w:ind w:left="266" w:right="192"/>
              <w:jc w:val="right"/>
              <w:rPr>
                <w:lang w:val="en-US"/>
              </w:rPr>
            </w:pPr>
            <w:r>
              <w:rPr>
                <w:lang w:val="en-US"/>
              </w:rPr>
              <w:t>135,7</w:t>
            </w:r>
          </w:p>
        </w:tc>
      </w:tr>
      <w:tr w:rsidR="00000000">
        <w:tblPrEx>
          <w:tblCellMar>
            <w:top w:w="0" w:type="dxa"/>
            <w:bottom w:w="0" w:type="dxa"/>
          </w:tblCellMar>
        </w:tblPrEx>
        <w:tc>
          <w:tcPr>
            <w:tcW w:w="2913" w:type="dxa"/>
          </w:tcPr>
          <w:p w:rsidR="00000000" w:rsidRDefault="00000000">
            <w:pPr>
              <w:pStyle w:val="FootnoteText"/>
            </w:pPr>
            <w:r>
              <w:t>Реальные средние доходы</w:t>
            </w:r>
          </w:p>
          <w:p w:rsidR="00000000" w:rsidRDefault="00000000">
            <w:pPr>
              <w:spacing w:line="240" w:lineRule="auto"/>
            </w:pPr>
          </w:p>
        </w:tc>
        <w:tc>
          <w:tcPr>
            <w:tcW w:w="1496" w:type="dxa"/>
          </w:tcPr>
          <w:p w:rsidR="00000000" w:rsidRDefault="00000000">
            <w:pPr>
              <w:tabs>
                <w:tab w:val="clear" w:pos="567"/>
                <w:tab w:val="clear" w:pos="1134"/>
              </w:tabs>
              <w:spacing w:line="240" w:lineRule="auto"/>
              <w:ind w:left="266" w:right="266"/>
              <w:jc w:val="right"/>
            </w:pPr>
            <w:r>
              <w:t>100,0</w:t>
            </w:r>
          </w:p>
        </w:tc>
        <w:tc>
          <w:tcPr>
            <w:tcW w:w="1496" w:type="dxa"/>
          </w:tcPr>
          <w:p w:rsidR="00000000" w:rsidRDefault="00000000">
            <w:pPr>
              <w:tabs>
                <w:tab w:val="clear" w:pos="567"/>
                <w:tab w:val="clear" w:pos="1134"/>
              </w:tabs>
              <w:spacing w:line="240" w:lineRule="auto"/>
              <w:ind w:left="266" w:right="194"/>
              <w:jc w:val="right"/>
            </w:pPr>
            <w:r>
              <w:t>76,0</w:t>
            </w:r>
          </w:p>
        </w:tc>
        <w:tc>
          <w:tcPr>
            <w:tcW w:w="2057" w:type="dxa"/>
          </w:tcPr>
          <w:p w:rsidR="00000000" w:rsidRDefault="00000000">
            <w:pPr>
              <w:tabs>
                <w:tab w:val="clear" w:pos="567"/>
                <w:tab w:val="clear" w:pos="1134"/>
                <w:tab w:val="clear" w:pos="1701"/>
              </w:tabs>
              <w:spacing w:line="240" w:lineRule="auto"/>
              <w:ind w:left="453" w:right="381"/>
              <w:jc w:val="right"/>
            </w:pPr>
            <w:r>
              <w:t>89,5</w:t>
            </w:r>
          </w:p>
        </w:tc>
        <w:tc>
          <w:tcPr>
            <w:tcW w:w="1609" w:type="dxa"/>
          </w:tcPr>
          <w:p w:rsidR="00000000" w:rsidRDefault="00000000">
            <w:pPr>
              <w:tabs>
                <w:tab w:val="clear" w:pos="567"/>
                <w:tab w:val="clear" w:pos="1134"/>
              </w:tabs>
              <w:spacing w:line="240" w:lineRule="auto"/>
              <w:ind w:left="266" w:right="192"/>
              <w:jc w:val="right"/>
            </w:pPr>
            <w:r>
              <w:t>93,7</w:t>
            </w:r>
          </w:p>
        </w:tc>
      </w:tr>
    </w:tbl>
    <w:p w:rsidR="00000000" w:rsidRDefault="00000000">
      <w:pPr>
        <w:spacing w:line="240" w:lineRule="auto"/>
        <w:jc w:val="center"/>
      </w:pPr>
    </w:p>
    <w:p w:rsidR="00000000" w:rsidRDefault="00000000">
      <w:r>
        <w:tab/>
      </w:r>
      <w:r>
        <w:rPr>
          <w:u w:val="single"/>
        </w:rPr>
        <w:t>Источник</w:t>
      </w:r>
      <w:r>
        <w:t>:  данные министерства труда и социальной политики на основе результатов обследований, проведенных Главным статистическим управлением.</w:t>
      </w:r>
    </w:p>
    <w:p w:rsidR="00000000" w:rsidRDefault="00000000"/>
    <w:p w:rsidR="00000000" w:rsidRDefault="00000000">
      <w:r>
        <w:t>68.</w:t>
      </w:r>
      <w:r>
        <w:tab/>
        <w:t>Установленный норматив минимальных доходов по</w:t>
      </w:r>
      <w:r>
        <w:noBreakHyphen/>
        <w:t>прежнему гарантируется государством.  В соответствии с законом работники, заработок которых был ниже минимального уровня доходов, получали месячную компенсацию для достижения соответствующего уровня.  Работники, размер вознаграждения которых устанавливался с нарушением вышеуказанных правил, могли подавать иски в суды по трудовым спорам.  Обеспечением исполнения законодательства, касающегося минимальной заработной платы, продолжала заниматься Государственная инспекция труда, являющаяся надзорным органом государственной администрации;  в сферу ведения этого органа, в частности, входят вопросы контроля за выплатой работникам заработной платы и других пособий.</w:t>
      </w:r>
    </w:p>
    <w:p w:rsidR="00000000" w:rsidRDefault="00000000"/>
    <w:p w:rsidR="00000000" w:rsidRDefault="00000000">
      <w:pPr>
        <w:jc w:val="center"/>
        <w:rPr>
          <w:b/>
        </w:rPr>
      </w:pPr>
      <w:r>
        <w:rPr>
          <w:b/>
          <w:lang w:val="en-US"/>
        </w:rPr>
        <w:t>D</w:t>
      </w:r>
      <w:r>
        <w:rPr>
          <w:b/>
        </w:rPr>
        <w:t>.</w:t>
      </w:r>
      <w:r>
        <w:rPr>
          <w:b/>
        </w:rPr>
        <w:tab/>
        <w:t>Равные условия занятости и заработная плата за труд равной ценности:</w:t>
      </w:r>
    </w:p>
    <w:p w:rsidR="00000000" w:rsidRDefault="00000000">
      <w:pPr>
        <w:pStyle w:val="10"/>
      </w:pPr>
      <w:r>
        <w:t>проблема женщин</w:t>
      </w:r>
    </w:p>
    <w:p w:rsidR="00000000" w:rsidRDefault="00000000"/>
    <w:p w:rsidR="00000000" w:rsidRDefault="00000000">
      <w:r>
        <w:t>69.</w:t>
      </w:r>
      <w:r>
        <w:tab/>
        <w:t>Конституция 1997 года гарантирует представителям обоих полов одинаковые права во всех сферах жизни, включая одинаковые права применительно к получению вознаграждения в соответствии с принципом "равной платы за равный труд".  Начиная с 2 июня 1996 года (даты вступления в силу поправок к Кодексу законов о труде от 2 февраля 1996 года) положения Кодекса законов о труде также гарантируют равенство прав трудящихся (статья 11 (2) касается равноправия мужчин и женщин в области занятости).  Измененные положения Кодекса запрещают какую-либо дискриминацию по признаку пола (статья 11 (3)).  Однако случаи, когда женщины получали более низкое вознаграждение за труд равной ценности, встречались как в частном, так и в государственном секторе (согласно оценке, женщины в среднем зарабатывали на 30% меньше, чем мужчины).  Эта проблема была всеобъемлющим образом рассмотрена в предыдущем докладе, и содержащиеся в нем выводы по</w:t>
      </w:r>
      <w:r>
        <w:noBreakHyphen/>
        <w:t xml:space="preserve">прежнему являются актуальными.  Во многих случаях неравные условия были вызваны тем, что по сравнению с мужчинами женщины чаще работали в отраслях непроизводственной сферы, где заработная плата, в том числе заработная плата мужчин, как правило, была ниже.  Возникли также противоречия по поводу нового Закона от 17 декабря 1998 года о пенсии по возрасту, в силу которого женщины получили возможность выхода на пенсию на пять лет раньше, чем мужчины, а именно в возрасте 60 лет, что отразилось на размере их пенсии за выслугу лет.  Выход на пенсию сразу же по достижении соответствующего возраста был необязательным, однако положение, касающееся досрочного выхода женщин на пенсию, в 1995-1998 годах нередко использовалось работодателями в качестве предлога для разрыва трудовых договоров.  Мнения женщин на этот счет разделились, однако в данной области, вероятно, будут приняты новые решения. </w:t>
      </w:r>
    </w:p>
    <w:p w:rsidR="00000000" w:rsidRDefault="00000000"/>
    <w:p w:rsidR="00000000" w:rsidRDefault="00000000">
      <w:pPr>
        <w:pStyle w:val="10"/>
        <w:rPr>
          <w:b w:val="0"/>
          <w:u w:val="single"/>
        </w:rPr>
      </w:pPr>
      <w:r>
        <w:rPr>
          <w:b w:val="0"/>
          <w:u w:val="single"/>
        </w:rPr>
        <w:t>Таблица 12</w:t>
      </w:r>
      <w:r>
        <w:rPr>
          <w:b w:val="0"/>
        </w:rPr>
        <w:t xml:space="preserve">.   </w:t>
      </w:r>
      <w:r>
        <w:rPr>
          <w:b w:val="0"/>
          <w:u w:val="single"/>
        </w:rPr>
        <w:t>Сопоставление доходов женщин и мужчин, занятых полный рабочий день, по состоянию на сентябрь 1997 года</w:t>
      </w:r>
    </w:p>
    <w:p w:rsidR="00000000" w:rsidRDefault="00000000">
      <w:pPr>
        <w:pStyle w:val="10"/>
        <w:rPr>
          <w:bCs/>
        </w:rPr>
      </w:pP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374"/>
        <w:gridCol w:w="493"/>
        <w:gridCol w:w="558"/>
        <w:gridCol w:w="558"/>
        <w:gridCol w:w="442"/>
        <w:gridCol w:w="558"/>
        <w:gridCol w:w="559"/>
        <w:gridCol w:w="559"/>
        <w:gridCol w:w="592"/>
        <w:gridCol w:w="658"/>
        <w:gridCol w:w="658"/>
        <w:gridCol w:w="658"/>
        <w:gridCol w:w="658"/>
        <w:gridCol w:w="658"/>
        <w:gridCol w:w="813"/>
        <w:gridCol w:w="657"/>
      </w:tblGrid>
      <w:tr w:rsidR="00000000">
        <w:tblPrEx>
          <w:tblCellMar>
            <w:top w:w="0" w:type="dxa"/>
            <w:bottom w:w="0" w:type="dxa"/>
          </w:tblCellMar>
        </w:tblPrEx>
        <w:trPr>
          <w:cantSplit/>
          <w:jc w:val="center"/>
        </w:trPr>
        <w:tc>
          <w:tcPr>
            <w:tcW w:w="381" w:type="dxa"/>
            <w:vMerge w:val="restart"/>
          </w:tcPr>
          <w:p w:rsidR="00000000" w:rsidRDefault="00000000">
            <w:pPr>
              <w:pStyle w:val="FootnoteText"/>
              <w:spacing w:line="288" w:lineRule="auto"/>
              <w:jc w:val="center"/>
              <w:rPr>
                <w:sz w:val="18"/>
              </w:rPr>
            </w:pPr>
          </w:p>
        </w:tc>
        <w:tc>
          <w:tcPr>
            <w:tcW w:w="9072" w:type="dxa"/>
            <w:gridSpan w:val="15"/>
          </w:tcPr>
          <w:p w:rsidR="00000000" w:rsidRDefault="00000000">
            <w:pPr>
              <w:jc w:val="center"/>
              <w:rPr>
                <w:sz w:val="18"/>
              </w:rPr>
            </w:pPr>
            <w:r>
              <w:rPr>
                <w:sz w:val="18"/>
              </w:rPr>
              <w:t xml:space="preserve">Диапазоны валовых доходов в </w:t>
            </w:r>
            <w:r>
              <w:rPr>
                <w:sz w:val="18"/>
                <w:lang w:val="en-US"/>
              </w:rPr>
              <w:t>PLN</w:t>
            </w:r>
            <w:r>
              <w:rPr>
                <w:sz w:val="18"/>
              </w:rPr>
              <w:t xml:space="preserve"> и доля женщин и мужчин в пределах каждого диапазона</w:t>
            </w:r>
          </w:p>
        </w:tc>
      </w:tr>
      <w:tr w:rsidR="00000000">
        <w:tblPrEx>
          <w:tblCellMar>
            <w:top w:w="0" w:type="dxa"/>
            <w:bottom w:w="0" w:type="dxa"/>
          </w:tblCellMar>
        </w:tblPrEx>
        <w:trPr>
          <w:cantSplit/>
          <w:jc w:val="center"/>
        </w:trPr>
        <w:tc>
          <w:tcPr>
            <w:tcW w:w="381" w:type="dxa"/>
            <w:vMerge/>
          </w:tcPr>
          <w:p w:rsidR="00000000" w:rsidRDefault="00000000">
            <w:pPr>
              <w:jc w:val="center"/>
              <w:rPr>
                <w:sz w:val="18"/>
              </w:rPr>
            </w:pPr>
          </w:p>
        </w:tc>
        <w:tc>
          <w:tcPr>
            <w:tcW w:w="500" w:type="dxa"/>
          </w:tcPr>
          <w:p w:rsidR="00000000" w:rsidRDefault="00000000">
            <w:pPr>
              <w:jc w:val="center"/>
              <w:rPr>
                <w:sz w:val="18"/>
              </w:rPr>
            </w:pPr>
            <w:r>
              <w:rPr>
                <w:sz w:val="18"/>
              </w:rPr>
              <w:t>До 460</w:t>
            </w:r>
          </w:p>
        </w:tc>
        <w:tc>
          <w:tcPr>
            <w:tcW w:w="565" w:type="dxa"/>
          </w:tcPr>
          <w:p w:rsidR="00000000" w:rsidRDefault="00000000">
            <w:pPr>
              <w:jc w:val="center"/>
              <w:rPr>
                <w:sz w:val="18"/>
              </w:rPr>
            </w:pPr>
            <w:r>
              <w:rPr>
                <w:sz w:val="18"/>
              </w:rPr>
              <w:t>460-540</w:t>
            </w:r>
          </w:p>
        </w:tc>
        <w:tc>
          <w:tcPr>
            <w:tcW w:w="565" w:type="dxa"/>
          </w:tcPr>
          <w:p w:rsidR="00000000" w:rsidRDefault="00000000">
            <w:pPr>
              <w:jc w:val="center"/>
              <w:rPr>
                <w:sz w:val="18"/>
              </w:rPr>
            </w:pPr>
            <w:r>
              <w:rPr>
                <w:sz w:val="18"/>
              </w:rPr>
              <w:t>540-620</w:t>
            </w:r>
          </w:p>
        </w:tc>
        <w:tc>
          <w:tcPr>
            <w:tcW w:w="442" w:type="dxa"/>
          </w:tcPr>
          <w:p w:rsidR="00000000" w:rsidRDefault="00000000">
            <w:pPr>
              <w:jc w:val="center"/>
              <w:rPr>
                <w:sz w:val="18"/>
              </w:rPr>
            </w:pPr>
            <w:r>
              <w:rPr>
                <w:sz w:val="18"/>
              </w:rPr>
              <w:t>620-700</w:t>
            </w:r>
          </w:p>
        </w:tc>
        <w:tc>
          <w:tcPr>
            <w:tcW w:w="565" w:type="dxa"/>
          </w:tcPr>
          <w:p w:rsidR="00000000" w:rsidRDefault="00000000">
            <w:pPr>
              <w:jc w:val="center"/>
              <w:rPr>
                <w:sz w:val="18"/>
              </w:rPr>
            </w:pPr>
            <w:r>
              <w:rPr>
                <w:sz w:val="18"/>
              </w:rPr>
              <w:t>700-780</w:t>
            </w:r>
          </w:p>
        </w:tc>
        <w:tc>
          <w:tcPr>
            <w:tcW w:w="566" w:type="dxa"/>
          </w:tcPr>
          <w:p w:rsidR="00000000" w:rsidRDefault="00000000">
            <w:pPr>
              <w:jc w:val="center"/>
              <w:rPr>
                <w:sz w:val="18"/>
              </w:rPr>
            </w:pPr>
            <w:r>
              <w:rPr>
                <w:sz w:val="18"/>
              </w:rPr>
              <w:t>780-860</w:t>
            </w:r>
          </w:p>
        </w:tc>
        <w:tc>
          <w:tcPr>
            <w:tcW w:w="566" w:type="dxa"/>
          </w:tcPr>
          <w:p w:rsidR="00000000" w:rsidRDefault="00000000">
            <w:pPr>
              <w:jc w:val="center"/>
              <w:rPr>
                <w:sz w:val="18"/>
              </w:rPr>
            </w:pPr>
            <w:r>
              <w:rPr>
                <w:sz w:val="18"/>
              </w:rPr>
              <w:t>860-940</w:t>
            </w:r>
          </w:p>
        </w:tc>
        <w:tc>
          <w:tcPr>
            <w:tcW w:w="599" w:type="dxa"/>
          </w:tcPr>
          <w:p w:rsidR="00000000" w:rsidRDefault="00000000">
            <w:pPr>
              <w:jc w:val="center"/>
              <w:rPr>
                <w:sz w:val="18"/>
              </w:rPr>
            </w:pPr>
            <w:r>
              <w:rPr>
                <w:sz w:val="18"/>
              </w:rPr>
              <w:t>940-1020</w:t>
            </w:r>
          </w:p>
        </w:tc>
        <w:tc>
          <w:tcPr>
            <w:tcW w:w="665" w:type="dxa"/>
          </w:tcPr>
          <w:p w:rsidR="00000000" w:rsidRDefault="00000000">
            <w:pPr>
              <w:jc w:val="center"/>
              <w:rPr>
                <w:sz w:val="18"/>
              </w:rPr>
            </w:pPr>
            <w:r>
              <w:rPr>
                <w:sz w:val="18"/>
              </w:rPr>
              <w:t>1020-1200</w:t>
            </w:r>
          </w:p>
        </w:tc>
        <w:tc>
          <w:tcPr>
            <w:tcW w:w="665" w:type="dxa"/>
          </w:tcPr>
          <w:p w:rsidR="00000000" w:rsidRDefault="00000000">
            <w:pPr>
              <w:jc w:val="center"/>
              <w:rPr>
                <w:sz w:val="18"/>
              </w:rPr>
            </w:pPr>
            <w:r>
              <w:rPr>
                <w:sz w:val="18"/>
              </w:rPr>
              <w:t>1200-1500</w:t>
            </w:r>
          </w:p>
        </w:tc>
        <w:tc>
          <w:tcPr>
            <w:tcW w:w="665" w:type="dxa"/>
          </w:tcPr>
          <w:p w:rsidR="00000000" w:rsidRDefault="00000000">
            <w:pPr>
              <w:jc w:val="center"/>
              <w:rPr>
                <w:sz w:val="18"/>
              </w:rPr>
            </w:pPr>
            <w:r>
              <w:rPr>
                <w:sz w:val="18"/>
              </w:rPr>
              <w:t>1500-2000</w:t>
            </w:r>
          </w:p>
        </w:tc>
        <w:tc>
          <w:tcPr>
            <w:tcW w:w="665" w:type="dxa"/>
          </w:tcPr>
          <w:p w:rsidR="00000000" w:rsidRDefault="00000000">
            <w:pPr>
              <w:jc w:val="center"/>
              <w:rPr>
                <w:sz w:val="18"/>
              </w:rPr>
            </w:pPr>
            <w:r>
              <w:rPr>
                <w:sz w:val="18"/>
              </w:rPr>
              <w:t>2000-2500</w:t>
            </w:r>
          </w:p>
        </w:tc>
        <w:tc>
          <w:tcPr>
            <w:tcW w:w="665" w:type="dxa"/>
          </w:tcPr>
          <w:p w:rsidR="00000000" w:rsidRDefault="00000000">
            <w:pPr>
              <w:jc w:val="center"/>
              <w:rPr>
                <w:sz w:val="18"/>
              </w:rPr>
            </w:pPr>
            <w:r>
              <w:rPr>
                <w:sz w:val="18"/>
              </w:rPr>
              <w:t>2500-3000</w:t>
            </w:r>
          </w:p>
        </w:tc>
        <w:tc>
          <w:tcPr>
            <w:tcW w:w="830" w:type="dxa"/>
          </w:tcPr>
          <w:p w:rsidR="00000000" w:rsidRDefault="00000000">
            <w:pPr>
              <w:jc w:val="center"/>
              <w:rPr>
                <w:sz w:val="18"/>
              </w:rPr>
            </w:pPr>
            <w:r>
              <w:rPr>
                <w:sz w:val="18"/>
              </w:rPr>
              <w:t>3000-3500</w:t>
            </w:r>
          </w:p>
        </w:tc>
        <w:tc>
          <w:tcPr>
            <w:tcW w:w="549" w:type="dxa"/>
          </w:tcPr>
          <w:p w:rsidR="00000000" w:rsidRDefault="00000000">
            <w:pPr>
              <w:jc w:val="center"/>
              <w:rPr>
                <w:sz w:val="18"/>
              </w:rPr>
            </w:pPr>
            <w:r>
              <w:rPr>
                <w:sz w:val="18"/>
              </w:rPr>
              <w:t>Свыше 3 500</w:t>
            </w:r>
          </w:p>
        </w:tc>
      </w:tr>
      <w:tr w:rsidR="00000000">
        <w:tblPrEx>
          <w:tblCellMar>
            <w:top w:w="0" w:type="dxa"/>
            <w:bottom w:w="0" w:type="dxa"/>
          </w:tblCellMar>
        </w:tblPrEx>
        <w:trPr>
          <w:jc w:val="center"/>
        </w:trPr>
        <w:tc>
          <w:tcPr>
            <w:tcW w:w="381" w:type="dxa"/>
          </w:tcPr>
          <w:p w:rsidR="00000000" w:rsidRDefault="00000000">
            <w:pPr>
              <w:jc w:val="center"/>
              <w:rPr>
                <w:sz w:val="18"/>
              </w:rPr>
            </w:pPr>
            <w:r>
              <w:rPr>
                <w:sz w:val="18"/>
              </w:rPr>
              <w:t>Ж</w:t>
            </w:r>
          </w:p>
        </w:tc>
        <w:tc>
          <w:tcPr>
            <w:tcW w:w="500" w:type="dxa"/>
          </w:tcPr>
          <w:p w:rsidR="00000000" w:rsidRDefault="00000000">
            <w:pPr>
              <w:jc w:val="center"/>
              <w:rPr>
                <w:sz w:val="18"/>
                <w:lang w:val="en-US"/>
              </w:rPr>
            </w:pPr>
            <w:r>
              <w:rPr>
                <w:sz w:val="18"/>
                <w:lang w:val="en-US"/>
              </w:rPr>
              <w:t>5,1</w:t>
            </w:r>
          </w:p>
        </w:tc>
        <w:tc>
          <w:tcPr>
            <w:tcW w:w="565" w:type="dxa"/>
          </w:tcPr>
          <w:p w:rsidR="00000000" w:rsidRDefault="00000000">
            <w:pPr>
              <w:jc w:val="center"/>
              <w:rPr>
                <w:sz w:val="18"/>
                <w:lang w:val="en-US"/>
              </w:rPr>
            </w:pPr>
            <w:r>
              <w:rPr>
                <w:sz w:val="18"/>
                <w:lang w:val="en-US"/>
              </w:rPr>
              <w:t>6,6</w:t>
            </w:r>
          </w:p>
        </w:tc>
        <w:tc>
          <w:tcPr>
            <w:tcW w:w="565" w:type="dxa"/>
          </w:tcPr>
          <w:p w:rsidR="00000000" w:rsidRDefault="00000000">
            <w:pPr>
              <w:jc w:val="center"/>
              <w:rPr>
                <w:sz w:val="18"/>
                <w:lang w:val="en-US"/>
              </w:rPr>
            </w:pPr>
            <w:r>
              <w:rPr>
                <w:sz w:val="18"/>
                <w:lang w:val="en-US"/>
              </w:rPr>
              <w:t>9,4</w:t>
            </w:r>
          </w:p>
        </w:tc>
        <w:tc>
          <w:tcPr>
            <w:tcW w:w="442" w:type="dxa"/>
          </w:tcPr>
          <w:p w:rsidR="00000000" w:rsidRDefault="00000000">
            <w:pPr>
              <w:jc w:val="center"/>
              <w:rPr>
                <w:sz w:val="18"/>
                <w:lang w:val="en-US"/>
              </w:rPr>
            </w:pPr>
            <w:r>
              <w:rPr>
                <w:sz w:val="18"/>
                <w:lang w:val="en-US"/>
              </w:rPr>
              <w:t>10,0</w:t>
            </w:r>
          </w:p>
        </w:tc>
        <w:tc>
          <w:tcPr>
            <w:tcW w:w="565" w:type="dxa"/>
          </w:tcPr>
          <w:p w:rsidR="00000000" w:rsidRDefault="00000000">
            <w:pPr>
              <w:jc w:val="center"/>
              <w:rPr>
                <w:sz w:val="18"/>
                <w:lang w:val="en-US"/>
              </w:rPr>
            </w:pPr>
            <w:r>
              <w:rPr>
                <w:sz w:val="18"/>
                <w:lang w:val="en-US"/>
              </w:rPr>
              <w:t>9,7</w:t>
            </w:r>
          </w:p>
        </w:tc>
        <w:tc>
          <w:tcPr>
            <w:tcW w:w="566" w:type="dxa"/>
          </w:tcPr>
          <w:p w:rsidR="00000000" w:rsidRDefault="00000000">
            <w:pPr>
              <w:jc w:val="center"/>
              <w:rPr>
                <w:sz w:val="18"/>
                <w:lang w:val="en-US"/>
              </w:rPr>
            </w:pPr>
            <w:r>
              <w:rPr>
                <w:sz w:val="18"/>
                <w:lang w:val="en-US"/>
              </w:rPr>
              <w:t>9,6</w:t>
            </w:r>
          </w:p>
        </w:tc>
        <w:tc>
          <w:tcPr>
            <w:tcW w:w="566" w:type="dxa"/>
          </w:tcPr>
          <w:p w:rsidR="00000000" w:rsidRDefault="00000000">
            <w:pPr>
              <w:jc w:val="center"/>
              <w:rPr>
                <w:sz w:val="18"/>
                <w:lang w:val="en-US"/>
              </w:rPr>
            </w:pPr>
            <w:r>
              <w:rPr>
                <w:sz w:val="18"/>
                <w:lang w:val="en-US"/>
              </w:rPr>
              <w:t>8,5</w:t>
            </w:r>
          </w:p>
        </w:tc>
        <w:tc>
          <w:tcPr>
            <w:tcW w:w="599" w:type="dxa"/>
          </w:tcPr>
          <w:p w:rsidR="00000000" w:rsidRDefault="00000000">
            <w:pPr>
              <w:jc w:val="center"/>
              <w:rPr>
                <w:sz w:val="18"/>
                <w:lang w:val="en-US"/>
              </w:rPr>
            </w:pPr>
            <w:r>
              <w:rPr>
                <w:sz w:val="18"/>
                <w:lang w:val="en-US"/>
              </w:rPr>
              <w:t>7,5</w:t>
            </w:r>
          </w:p>
        </w:tc>
        <w:tc>
          <w:tcPr>
            <w:tcW w:w="665" w:type="dxa"/>
          </w:tcPr>
          <w:p w:rsidR="00000000" w:rsidRDefault="00000000">
            <w:pPr>
              <w:jc w:val="center"/>
              <w:rPr>
                <w:sz w:val="18"/>
                <w:lang w:val="en-US"/>
              </w:rPr>
            </w:pPr>
            <w:r>
              <w:rPr>
                <w:sz w:val="18"/>
                <w:lang w:val="en-US"/>
              </w:rPr>
              <w:t>12,0</w:t>
            </w:r>
          </w:p>
        </w:tc>
        <w:tc>
          <w:tcPr>
            <w:tcW w:w="665" w:type="dxa"/>
          </w:tcPr>
          <w:p w:rsidR="00000000" w:rsidRDefault="00000000">
            <w:pPr>
              <w:jc w:val="center"/>
              <w:rPr>
                <w:sz w:val="18"/>
                <w:lang w:val="en-US"/>
              </w:rPr>
            </w:pPr>
            <w:r>
              <w:rPr>
                <w:sz w:val="18"/>
                <w:lang w:val="en-US"/>
              </w:rPr>
              <w:t>10,9</w:t>
            </w:r>
          </w:p>
        </w:tc>
        <w:tc>
          <w:tcPr>
            <w:tcW w:w="665" w:type="dxa"/>
          </w:tcPr>
          <w:p w:rsidR="00000000" w:rsidRDefault="00000000">
            <w:pPr>
              <w:jc w:val="center"/>
              <w:rPr>
                <w:sz w:val="18"/>
                <w:lang w:val="en-US"/>
              </w:rPr>
            </w:pPr>
            <w:r>
              <w:rPr>
                <w:sz w:val="18"/>
                <w:lang w:val="en-US"/>
              </w:rPr>
              <w:t>6,2</w:t>
            </w:r>
          </w:p>
        </w:tc>
        <w:tc>
          <w:tcPr>
            <w:tcW w:w="665" w:type="dxa"/>
          </w:tcPr>
          <w:p w:rsidR="00000000" w:rsidRDefault="00000000">
            <w:pPr>
              <w:jc w:val="center"/>
              <w:rPr>
                <w:sz w:val="18"/>
                <w:lang w:val="en-US"/>
              </w:rPr>
            </w:pPr>
            <w:r>
              <w:rPr>
                <w:sz w:val="18"/>
                <w:lang w:val="en-US"/>
              </w:rPr>
              <w:t>2,1</w:t>
            </w:r>
          </w:p>
        </w:tc>
        <w:tc>
          <w:tcPr>
            <w:tcW w:w="665" w:type="dxa"/>
          </w:tcPr>
          <w:p w:rsidR="00000000" w:rsidRDefault="00000000">
            <w:pPr>
              <w:jc w:val="center"/>
              <w:rPr>
                <w:sz w:val="18"/>
                <w:lang w:val="en-US"/>
              </w:rPr>
            </w:pPr>
            <w:r>
              <w:rPr>
                <w:sz w:val="18"/>
                <w:lang w:val="en-US"/>
              </w:rPr>
              <w:t>1,0</w:t>
            </w:r>
          </w:p>
        </w:tc>
        <w:tc>
          <w:tcPr>
            <w:tcW w:w="830" w:type="dxa"/>
          </w:tcPr>
          <w:p w:rsidR="00000000" w:rsidRDefault="00000000">
            <w:pPr>
              <w:jc w:val="center"/>
              <w:rPr>
                <w:sz w:val="18"/>
                <w:lang w:val="en-US"/>
              </w:rPr>
            </w:pPr>
            <w:r>
              <w:rPr>
                <w:sz w:val="18"/>
                <w:lang w:val="en-US"/>
              </w:rPr>
              <w:t>0,5</w:t>
            </w:r>
          </w:p>
        </w:tc>
        <w:tc>
          <w:tcPr>
            <w:tcW w:w="549" w:type="dxa"/>
          </w:tcPr>
          <w:p w:rsidR="00000000" w:rsidRDefault="00000000">
            <w:pPr>
              <w:jc w:val="center"/>
              <w:rPr>
                <w:sz w:val="18"/>
                <w:lang w:val="en-US"/>
              </w:rPr>
            </w:pPr>
            <w:r>
              <w:rPr>
                <w:sz w:val="18"/>
                <w:lang w:val="en-US"/>
              </w:rPr>
              <w:t>0,9</w:t>
            </w:r>
          </w:p>
        </w:tc>
      </w:tr>
      <w:tr w:rsidR="00000000">
        <w:tblPrEx>
          <w:tblCellMar>
            <w:top w:w="0" w:type="dxa"/>
            <w:bottom w:w="0" w:type="dxa"/>
          </w:tblCellMar>
        </w:tblPrEx>
        <w:trPr>
          <w:jc w:val="center"/>
        </w:trPr>
        <w:tc>
          <w:tcPr>
            <w:tcW w:w="381" w:type="dxa"/>
          </w:tcPr>
          <w:p w:rsidR="00000000" w:rsidRDefault="00000000">
            <w:pPr>
              <w:jc w:val="center"/>
              <w:rPr>
                <w:sz w:val="18"/>
              </w:rPr>
            </w:pPr>
            <w:r>
              <w:rPr>
                <w:sz w:val="18"/>
              </w:rPr>
              <w:t>М</w:t>
            </w:r>
          </w:p>
        </w:tc>
        <w:tc>
          <w:tcPr>
            <w:tcW w:w="500" w:type="dxa"/>
          </w:tcPr>
          <w:p w:rsidR="00000000" w:rsidRDefault="00000000">
            <w:pPr>
              <w:jc w:val="center"/>
              <w:rPr>
                <w:sz w:val="18"/>
                <w:lang w:val="en-US"/>
              </w:rPr>
            </w:pPr>
            <w:r>
              <w:rPr>
                <w:sz w:val="18"/>
                <w:lang w:val="en-US"/>
              </w:rPr>
              <w:t>4,2</w:t>
            </w:r>
          </w:p>
        </w:tc>
        <w:tc>
          <w:tcPr>
            <w:tcW w:w="565" w:type="dxa"/>
          </w:tcPr>
          <w:p w:rsidR="00000000" w:rsidRDefault="00000000">
            <w:pPr>
              <w:jc w:val="center"/>
              <w:rPr>
                <w:sz w:val="18"/>
                <w:lang w:val="en-US"/>
              </w:rPr>
            </w:pPr>
            <w:r>
              <w:rPr>
                <w:sz w:val="18"/>
                <w:lang w:val="en-US"/>
              </w:rPr>
              <w:t>4,8</w:t>
            </w:r>
          </w:p>
        </w:tc>
        <w:tc>
          <w:tcPr>
            <w:tcW w:w="565" w:type="dxa"/>
          </w:tcPr>
          <w:p w:rsidR="00000000" w:rsidRDefault="00000000">
            <w:pPr>
              <w:jc w:val="center"/>
              <w:rPr>
                <w:sz w:val="18"/>
                <w:lang w:val="en-US"/>
              </w:rPr>
            </w:pPr>
            <w:r>
              <w:rPr>
                <w:sz w:val="18"/>
                <w:lang w:val="en-US"/>
              </w:rPr>
              <w:t>5,5</w:t>
            </w:r>
          </w:p>
        </w:tc>
        <w:tc>
          <w:tcPr>
            <w:tcW w:w="442" w:type="dxa"/>
          </w:tcPr>
          <w:p w:rsidR="00000000" w:rsidRDefault="00000000">
            <w:pPr>
              <w:jc w:val="center"/>
              <w:rPr>
                <w:sz w:val="18"/>
                <w:lang w:val="en-US"/>
              </w:rPr>
            </w:pPr>
            <w:r>
              <w:rPr>
                <w:sz w:val="18"/>
                <w:lang w:val="en-US"/>
              </w:rPr>
              <w:t>6,0</w:t>
            </w:r>
          </w:p>
        </w:tc>
        <w:tc>
          <w:tcPr>
            <w:tcW w:w="565" w:type="dxa"/>
          </w:tcPr>
          <w:p w:rsidR="00000000" w:rsidRDefault="00000000">
            <w:pPr>
              <w:jc w:val="center"/>
              <w:rPr>
                <w:sz w:val="18"/>
                <w:lang w:val="en-US"/>
              </w:rPr>
            </w:pPr>
            <w:r>
              <w:rPr>
                <w:sz w:val="18"/>
                <w:lang w:val="en-US"/>
              </w:rPr>
              <w:t>6,4</w:t>
            </w:r>
          </w:p>
        </w:tc>
        <w:tc>
          <w:tcPr>
            <w:tcW w:w="566" w:type="dxa"/>
          </w:tcPr>
          <w:p w:rsidR="00000000" w:rsidRDefault="00000000">
            <w:pPr>
              <w:jc w:val="center"/>
              <w:rPr>
                <w:sz w:val="18"/>
                <w:lang w:val="en-US"/>
              </w:rPr>
            </w:pPr>
            <w:r>
              <w:rPr>
                <w:sz w:val="18"/>
                <w:lang w:val="en-US"/>
              </w:rPr>
              <w:t>7,1</w:t>
            </w:r>
          </w:p>
        </w:tc>
        <w:tc>
          <w:tcPr>
            <w:tcW w:w="566" w:type="dxa"/>
          </w:tcPr>
          <w:p w:rsidR="00000000" w:rsidRDefault="00000000">
            <w:pPr>
              <w:jc w:val="center"/>
              <w:rPr>
                <w:sz w:val="18"/>
                <w:lang w:val="en-US"/>
              </w:rPr>
            </w:pPr>
            <w:r>
              <w:rPr>
                <w:sz w:val="18"/>
                <w:lang w:val="en-US"/>
              </w:rPr>
              <w:t>6,9</w:t>
            </w:r>
          </w:p>
        </w:tc>
        <w:tc>
          <w:tcPr>
            <w:tcW w:w="599" w:type="dxa"/>
          </w:tcPr>
          <w:p w:rsidR="00000000" w:rsidRDefault="00000000">
            <w:pPr>
              <w:jc w:val="center"/>
              <w:rPr>
                <w:sz w:val="18"/>
                <w:lang w:val="en-US"/>
              </w:rPr>
            </w:pPr>
            <w:r>
              <w:rPr>
                <w:sz w:val="18"/>
                <w:lang w:val="en-US"/>
              </w:rPr>
              <w:t>6,8</w:t>
            </w:r>
          </w:p>
        </w:tc>
        <w:tc>
          <w:tcPr>
            <w:tcW w:w="665" w:type="dxa"/>
          </w:tcPr>
          <w:p w:rsidR="00000000" w:rsidRDefault="00000000">
            <w:pPr>
              <w:jc w:val="center"/>
              <w:rPr>
                <w:sz w:val="18"/>
                <w:lang w:val="en-US"/>
              </w:rPr>
            </w:pPr>
            <w:r>
              <w:rPr>
                <w:sz w:val="18"/>
                <w:lang w:val="en-US"/>
              </w:rPr>
              <w:t>12,6</w:t>
            </w:r>
          </w:p>
        </w:tc>
        <w:tc>
          <w:tcPr>
            <w:tcW w:w="665" w:type="dxa"/>
          </w:tcPr>
          <w:p w:rsidR="00000000" w:rsidRDefault="00000000">
            <w:pPr>
              <w:jc w:val="center"/>
              <w:rPr>
                <w:sz w:val="18"/>
                <w:lang w:val="en-US"/>
              </w:rPr>
            </w:pPr>
            <w:r>
              <w:rPr>
                <w:sz w:val="18"/>
                <w:lang w:val="en-US"/>
              </w:rPr>
              <w:t>14,8</w:t>
            </w:r>
          </w:p>
        </w:tc>
        <w:tc>
          <w:tcPr>
            <w:tcW w:w="665" w:type="dxa"/>
          </w:tcPr>
          <w:p w:rsidR="00000000" w:rsidRDefault="00000000">
            <w:pPr>
              <w:jc w:val="center"/>
              <w:rPr>
                <w:sz w:val="18"/>
                <w:lang w:val="en-US"/>
              </w:rPr>
            </w:pPr>
            <w:r>
              <w:rPr>
                <w:sz w:val="18"/>
                <w:lang w:val="en-US"/>
              </w:rPr>
              <w:t>12,7</w:t>
            </w:r>
          </w:p>
        </w:tc>
        <w:tc>
          <w:tcPr>
            <w:tcW w:w="665" w:type="dxa"/>
          </w:tcPr>
          <w:p w:rsidR="00000000" w:rsidRDefault="00000000">
            <w:pPr>
              <w:jc w:val="center"/>
              <w:rPr>
                <w:sz w:val="18"/>
                <w:lang w:val="en-US"/>
              </w:rPr>
            </w:pPr>
            <w:r>
              <w:rPr>
                <w:sz w:val="18"/>
                <w:lang w:val="en-US"/>
              </w:rPr>
              <w:t>6,0</w:t>
            </w:r>
          </w:p>
        </w:tc>
        <w:tc>
          <w:tcPr>
            <w:tcW w:w="665" w:type="dxa"/>
          </w:tcPr>
          <w:p w:rsidR="00000000" w:rsidRDefault="00000000">
            <w:pPr>
              <w:jc w:val="center"/>
              <w:rPr>
                <w:sz w:val="18"/>
                <w:lang w:val="en-US"/>
              </w:rPr>
            </w:pPr>
            <w:r>
              <w:rPr>
                <w:sz w:val="18"/>
                <w:lang w:val="en-US"/>
              </w:rPr>
              <w:t>2,7</w:t>
            </w:r>
          </w:p>
        </w:tc>
        <w:tc>
          <w:tcPr>
            <w:tcW w:w="830" w:type="dxa"/>
          </w:tcPr>
          <w:p w:rsidR="00000000" w:rsidRDefault="00000000">
            <w:pPr>
              <w:jc w:val="center"/>
              <w:rPr>
                <w:sz w:val="18"/>
                <w:lang w:val="en-US"/>
              </w:rPr>
            </w:pPr>
            <w:r>
              <w:rPr>
                <w:sz w:val="18"/>
                <w:lang w:val="en-US"/>
              </w:rPr>
              <w:t>1,3</w:t>
            </w:r>
          </w:p>
        </w:tc>
        <w:tc>
          <w:tcPr>
            <w:tcW w:w="549" w:type="dxa"/>
          </w:tcPr>
          <w:p w:rsidR="00000000" w:rsidRDefault="00000000">
            <w:pPr>
              <w:jc w:val="center"/>
              <w:rPr>
                <w:sz w:val="18"/>
              </w:rPr>
            </w:pPr>
            <w:r>
              <w:rPr>
                <w:sz w:val="18"/>
                <w:lang w:val="en-US"/>
              </w:rPr>
              <w:t>2,2</w:t>
            </w:r>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данные Главного статистического управления.</w:t>
      </w:r>
    </w:p>
    <w:p w:rsidR="00000000" w:rsidRDefault="00000000">
      <w:pPr>
        <w:pStyle w:val="FootnoteText"/>
        <w:spacing w:line="288" w:lineRule="auto"/>
      </w:pPr>
    </w:p>
    <w:p w:rsidR="00000000" w:rsidRDefault="00000000">
      <w:pPr>
        <w:pStyle w:val="FootnoteText"/>
        <w:spacing w:line="288" w:lineRule="auto"/>
      </w:pPr>
      <w:r>
        <w:t>70.</w:t>
      </w:r>
      <w:r>
        <w:tab/>
        <w:t>Если конкретный работник считает, что в нарушение закона он является объектом дискриминации, то он может обратиться в суд по трудовым спорам, который в случае установления факта дискриминации обязывает работодателя придерживаться принципа равной оплаты за труд равной ценности.  По необходимости суд также выносит решение о выплате работнику компенсации.  Последний может также подать жалобу в профсоюз, в Государственную инспекцию труда или уполномоченному по правам граждан.</w:t>
      </w:r>
    </w:p>
    <w:p w:rsidR="00000000" w:rsidRDefault="00000000">
      <w:pPr>
        <w:pStyle w:val="FootnoteText"/>
        <w:spacing w:line="288" w:lineRule="auto"/>
      </w:pPr>
    </w:p>
    <w:p w:rsidR="00000000" w:rsidRDefault="00000000">
      <w:pPr>
        <w:pStyle w:val="FootnoteText"/>
        <w:spacing w:line="288" w:lineRule="auto"/>
      </w:pPr>
      <w:r>
        <w:t>71.</w:t>
      </w:r>
      <w:r>
        <w:tab/>
        <w:t xml:space="preserve">В 1995 году была разработана новая классификация занятий и специальностей;  она заменяет классификацию 1982 года.  Это было связано с ратификацией Польшей Конвенции МОТ № 160 и принятием МОТ директивы № 170 о статистике труда.  Существовала необходимость проведения польской классификации в соответствие с "Международной стандартной классификацией занятий (МСКЗ) - издание 1998 года", которая была принята в 1987 году на </w:t>
      </w:r>
      <w:r>
        <w:rPr>
          <w:lang w:val="en-US"/>
        </w:rPr>
        <w:t>XIV</w:t>
      </w:r>
      <w:r>
        <w:t> Международной конференции статистиков труда в Женеве.  Новая классификация предусматривает единообразный метод оценки сложности работы на основе данных анализа и мониторинга.  Цель такой классификации заключается в разработке стандартной модели, отражающей пропорциональную зависимость заработной платы, при обеспечении использования универсальных показателей учета (физического и умственного труда).  Группа, разрабатывавшая эту методологию, уделяла особое внимание надлежащему учету баллов, начисляемых по конкретным критериям, и объективности оценки.  Критерии для дифференциации были привязаны к особенностям, которые уже существовали в рамках системы оплаты труда, а также согласовывались с критериями, установленными Международной организацией труда.  Также применялся метод, именуемый "комплексной оценкой сложности работы".  Кроме того, предприятия применяли на практике и другие методы оценки сложности работы, помогающие обеспечить осуществление принципа равного вознаграждения за труд равной ценности.</w:t>
      </w:r>
    </w:p>
    <w:p w:rsidR="00000000" w:rsidRDefault="00000000">
      <w:pPr>
        <w:pStyle w:val="FootnoteText"/>
        <w:spacing w:line="288" w:lineRule="auto"/>
      </w:pPr>
    </w:p>
    <w:p w:rsidR="00000000" w:rsidRDefault="00000000">
      <w:pPr>
        <w:pStyle w:val="FootnoteText"/>
        <w:spacing w:line="288" w:lineRule="auto"/>
        <w:jc w:val="center"/>
      </w:pPr>
      <w:r>
        <w:rPr>
          <w:b/>
          <w:bCs/>
        </w:rPr>
        <w:t>Е.</w:t>
      </w:r>
      <w:r>
        <w:rPr>
          <w:b/>
          <w:bCs/>
        </w:rPr>
        <w:tab/>
        <w:t>Заработная плата в государственном и частном секторах</w:t>
      </w:r>
    </w:p>
    <w:p w:rsidR="00000000" w:rsidRDefault="00000000">
      <w:pPr>
        <w:pStyle w:val="FootnoteText"/>
        <w:spacing w:line="288" w:lineRule="auto"/>
        <w:jc w:val="center"/>
      </w:pPr>
    </w:p>
    <w:p w:rsidR="00000000" w:rsidRDefault="00000000">
      <w:pPr>
        <w:pStyle w:val="FootnoteText"/>
        <w:spacing w:line="288" w:lineRule="auto"/>
      </w:pPr>
      <w:r>
        <w:t>72.</w:t>
      </w:r>
      <w:r>
        <w:tab/>
        <w:t>В приводимой ниже таблице приводятся данные о среднемесячной заработной плате в разбивке по секторам в 1995-1998 годах.</w:t>
      </w:r>
    </w:p>
    <w:p w:rsidR="00000000" w:rsidRDefault="00000000">
      <w:pPr>
        <w:pStyle w:val="FootnoteText"/>
        <w:spacing w:line="288" w:lineRule="auto"/>
      </w:pPr>
    </w:p>
    <w:p w:rsidR="00000000" w:rsidRDefault="00000000">
      <w:pPr>
        <w:pStyle w:val="FootnoteText"/>
        <w:spacing w:line="288" w:lineRule="auto"/>
        <w:jc w:val="center"/>
        <w:rPr>
          <w:u w:val="single"/>
        </w:rPr>
      </w:pPr>
      <w:r>
        <w:rPr>
          <w:u w:val="single"/>
        </w:rPr>
        <w:t>Таблица 13</w:t>
      </w:r>
      <w:r>
        <w:t xml:space="preserve">.   </w:t>
      </w:r>
      <w:r>
        <w:rPr>
          <w:u w:val="single"/>
        </w:rPr>
        <w:t>Среднемесячная заработная плата (валовая) по секторам</w:t>
      </w:r>
    </w:p>
    <w:p w:rsidR="00000000" w:rsidRDefault="00000000">
      <w:pPr>
        <w:pStyle w:val="FootnoteText"/>
        <w:spacing w:line="288" w:lineRule="auto"/>
        <w:jc w:val="center"/>
        <w:rPr>
          <w:b/>
          <w:bCs/>
        </w:rPr>
      </w:pPr>
      <w:r>
        <w:rPr>
          <w:u w:val="single"/>
        </w:rPr>
        <w:t>в 1995-1998 годах, выраженная в ПНЗ (всего</w:t>
      </w:r>
      <w:r>
        <w:rPr>
          <w:b/>
          <w:bCs/>
        </w:rPr>
        <w:t>)</w:t>
      </w:r>
    </w:p>
    <w:p w:rsidR="00000000" w:rsidRDefault="00000000">
      <w:pPr>
        <w:pStyle w:val="FootnoteText"/>
        <w:spacing w:line="288" w:lineRule="auto"/>
      </w:pPr>
    </w:p>
    <w:tbl>
      <w:tblP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8"/>
        <w:gridCol w:w="1418"/>
        <w:gridCol w:w="1418"/>
        <w:gridCol w:w="1418"/>
        <w:gridCol w:w="1418"/>
      </w:tblGrid>
      <w:tr w:rsidR="00000000">
        <w:tblPrEx>
          <w:tblCellMar>
            <w:top w:w="0" w:type="dxa"/>
            <w:bottom w:w="0" w:type="dxa"/>
          </w:tblCellMar>
        </w:tblPrEx>
        <w:tc>
          <w:tcPr>
            <w:tcW w:w="3848" w:type="dxa"/>
          </w:tcPr>
          <w:p w:rsidR="00000000" w:rsidRDefault="00000000">
            <w:pPr>
              <w:pStyle w:val="FootnoteText"/>
            </w:pPr>
          </w:p>
        </w:tc>
        <w:tc>
          <w:tcPr>
            <w:tcW w:w="1418" w:type="dxa"/>
          </w:tcPr>
          <w:p w:rsidR="00000000" w:rsidRDefault="00000000">
            <w:pPr>
              <w:pStyle w:val="FootnoteText"/>
              <w:jc w:val="center"/>
            </w:pPr>
            <w:r>
              <w:t>1995 год</w:t>
            </w:r>
          </w:p>
        </w:tc>
        <w:tc>
          <w:tcPr>
            <w:tcW w:w="1418" w:type="dxa"/>
          </w:tcPr>
          <w:p w:rsidR="00000000" w:rsidRDefault="00000000">
            <w:pPr>
              <w:pStyle w:val="FootnoteText"/>
              <w:jc w:val="center"/>
            </w:pPr>
            <w:r>
              <w:t>1996 год</w:t>
            </w:r>
          </w:p>
        </w:tc>
        <w:tc>
          <w:tcPr>
            <w:tcW w:w="1418" w:type="dxa"/>
          </w:tcPr>
          <w:p w:rsidR="00000000" w:rsidRDefault="00000000">
            <w:pPr>
              <w:pStyle w:val="FootnoteText"/>
              <w:jc w:val="center"/>
            </w:pPr>
            <w:r>
              <w:t>1997 год</w:t>
            </w:r>
          </w:p>
        </w:tc>
        <w:tc>
          <w:tcPr>
            <w:tcW w:w="1418" w:type="dxa"/>
          </w:tcPr>
          <w:p w:rsidR="00000000" w:rsidRDefault="00000000">
            <w:pPr>
              <w:pStyle w:val="FootnoteText"/>
              <w:jc w:val="center"/>
            </w:pPr>
            <w:r>
              <w:t>1998 год</w:t>
            </w:r>
          </w:p>
        </w:tc>
      </w:tr>
      <w:tr w:rsidR="00000000">
        <w:tblPrEx>
          <w:tblCellMar>
            <w:top w:w="0" w:type="dxa"/>
            <w:bottom w:w="0" w:type="dxa"/>
          </w:tblCellMar>
        </w:tblPrEx>
        <w:tc>
          <w:tcPr>
            <w:tcW w:w="3848" w:type="dxa"/>
          </w:tcPr>
          <w:p w:rsidR="00000000" w:rsidRDefault="00000000">
            <w:pPr>
              <w:pStyle w:val="FootnoteText"/>
            </w:pPr>
            <w:r>
              <w:t>Всего</w:t>
            </w:r>
          </w:p>
        </w:tc>
        <w:tc>
          <w:tcPr>
            <w:tcW w:w="1418" w:type="dxa"/>
          </w:tcPr>
          <w:p w:rsidR="00000000" w:rsidRDefault="00000000">
            <w:pPr>
              <w:pStyle w:val="FootnoteText"/>
              <w:jc w:val="center"/>
            </w:pPr>
            <w:r>
              <w:t>690,92</w:t>
            </w:r>
          </w:p>
        </w:tc>
        <w:tc>
          <w:tcPr>
            <w:tcW w:w="1418" w:type="dxa"/>
          </w:tcPr>
          <w:p w:rsidR="00000000" w:rsidRDefault="00000000">
            <w:pPr>
              <w:pStyle w:val="FootnoteText"/>
              <w:jc w:val="center"/>
            </w:pPr>
            <w:r>
              <w:t>874,30</w:t>
            </w:r>
          </w:p>
        </w:tc>
        <w:tc>
          <w:tcPr>
            <w:tcW w:w="1418" w:type="dxa"/>
          </w:tcPr>
          <w:p w:rsidR="00000000" w:rsidRDefault="00000000">
            <w:pPr>
              <w:pStyle w:val="FootnoteText"/>
              <w:jc w:val="center"/>
              <w:rPr>
                <w:lang w:val="en-US"/>
              </w:rPr>
            </w:pPr>
            <w:r>
              <w:t>1 065,</w:t>
            </w:r>
            <w:r>
              <w:rPr>
                <w:lang w:val="en-US"/>
              </w:rPr>
              <w:t>76</w:t>
            </w:r>
          </w:p>
        </w:tc>
        <w:tc>
          <w:tcPr>
            <w:tcW w:w="1418" w:type="dxa"/>
          </w:tcPr>
          <w:p w:rsidR="00000000" w:rsidRDefault="00000000">
            <w:pPr>
              <w:pStyle w:val="FootnoteText"/>
              <w:jc w:val="center"/>
              <w:rPr>
                <w:lang w:val="en-US"/>
              </w:rPr>
            </w:pPr>
            <w:r>
              <w:rPr>
                <w:lang w:val="en-US"/>
              </w:rPr>
              <w:t>12 392,69</w:t>
            </w:r>
          </w:p>
        </w:tc>
      </w:tr>
      <w:tr w:rsidR="00000000">
        <w:tblPrEx>
          <w:tblCellMar>
            <w:top w:w="0" w:type="dxa"/>
            <w:bottom w:w="0" w:type="dxa"/>
          </w:tblCellMar>
        </w:tblPrEx>
        <w:tc>
          <w:tcPr>
            <w:tcW w:w="3848" w:type="dxa"/>
          </w:tcPr>
          <w:p w:rsidR="00000000" w:rsidRDefault="00000000">
            <w:pPr>
              <w:pStyle w:val="FootnoteText"/>
            </w:pPr>
            <w:r>
              <w:t>Государственный сектор,</w:t>
            </w:r>
          </w:p>
        </w:tc>
        <w:tc>
          <w:tcPr>
            <w:tcW w:w="1418" w:type="dxa"/>
          </w:tcPr>
          <w:p w:rsidR="00000000" w:rsidRDefault="00000000">
            <w:pPr>
              <w:pStyle w:val="FootnoteText"/>
              <w:jc w:val="center"/>
              <w:rPr>
                <w:lang w:val="en-US"/>
              </w:rPr>
            </w:pPr>
            <w:r>
              <w:rPr>
                <w:lang w:val="en-US"/>
              </w:rPr>
              <w:t>753,53</w:t>
            </w:r>
          </w:p>
        </w:tc>
        <w:tc>
          <w:tcPr>
            <w:tcW w:w="1418" w:type="dxa"/>
          </w:tcPr>
          <w:p w:rsidR="00000000" w:rsidRDefault="00000000">
            <w:pPr>
              <w:pStyle w:val="FootnoteText"/>
              <w:jc w:val="center"/>
              <w:rPr>
                <w:lang w:val="en-US"/>
              </w:rPr>
            </w:pPr>
            <w:r>
              <w:rPr>
                <w:lang w:val="en-US"/>
              </w:rPr>
              <w:t>960,96</w:t>
            </w:r>
          </w:p>
        </w:tc>
        <w:tc>
          <w:tcPr>
            <w:tcW w:w="1418" w:type="dxa"/>
          </w:tcPr>
          <w:p w:rsidR="00000000" w:rsidRDefault="00000000">
            <w:pPr>
              <w:pStyle w:val="FootnoteText"/>
              <w:jc w:val="center"/>
              <w:rPr>
                <w:lang w:val="en-US"/>
              </w:rPr>
            </w:pPr>
            <w:r>
              <w:rPr>
                <w:lang w:val="en-US"/>
              </w:rPr>
              <w:t>1 177,36</w:t>
            </w:r>
          </w:p>
        </w:tc>
        <w:tc>
          <w:tcPr>
            <w:tcW w:w="1418" w:type="dxa"/>
          </w:tcPr>
          <w:p w:rsidR="00000000" w:rsidRDefault="00000000">
            <w:pPr>
              <w:pStyle w:val="FootnoteText"/>
              <w:jc w:val="center"/>
              <w:rPr>
                <w:lang w:val="en-US"/>
              </w:rPr>
            </w:pPr>
            <w:r>
              <w:rPr>
                <w:lang w:val="en-US"/>
              </w:rPr>
              <w:t>1 360,42</w:t>
            </w:r>
          </w:p>
        </w:tc>
      </w:tr>
      <w:tr w:rsidR="00000000">
        <w:tblPrEx>
          <w:tblCellMar>
            <w:top w:w="0" w:type="dxa"/>
            <w:bottom w:w="0" w:type="dxa"/>
          </w:tblCellMar>
        </w:tblPrEx>
        <w:tc>
          <w:tcPr>
            <w:tcW w:w="3848" w:type="dxa"/>
          </w:tcPr>
          <w:p w:rsidR="00000000" w:rsidRDefault="00000000">
            <w:pPr>
              <w:pStyle w:val="FootnoteText"/>
            </w:pPr>
            <w:r>
              <w:t xml:space="preserve">  включая:</w:t>
            </w:r>
          </w:p>
        </w:tc>
        <w:tc>
          <w:tcPr>
            <w:tcW w:w="1418" w:type="dxa"/>
          </w:tcPr>
          <w:p w:rsidR="00000000" w:rsidRDefault="00000000">
            <w:pPr>
              <w:pStyle w:val="FootnoteText"/>
              <w:jc w:val="center"/>
            </w:pPr>
          </w:p>
        </w:tc>
        <w:tc>
          <w:tcPr>
            <w:tcW w:w="1418" w:type="dxa"/>
          </w:tcPr>
          <w:p w:rsidR="00000000" w:rsidRDefault="00000000">
            <w:pPr>
              <w:pStyle w:val="FootnoteText"/>
              <w:jc w:val="center"/>
            </w:pPr>
          </w:p>
        </w:tc>
        <w:tc>
          <w:tcPr>
            <w:tcW w:w="1418" w:type="dxa"/>
          </w:tcPr>
          <w:p w:rsidR="00000000" w:rsidRDefault="00000000">
            <w:pPr>
              <w:pStyle w:val="FootnoteText"/>
              <w:jc w:val="center"/>
            </w:pPr>
          </w:p>
        </w:tc>
        <w:tc>
          <w:tcPr>
            <w:tcW w:w="1418" w:type="dxa"/>
          </w:tcPr>
          <w:p w:rsidR="00000000" w:rsidRDefault="00000000">
            <w:pPr>
              <w:pStyle w:val="FootnoteText"/>
              <w:jc w:val="center"/>
            </w:pPr>
          </w:p>
        </w:tc>
      </w:tr>
      <w:tr w:rsidR="00000000">
        <w:tblPrEx>
          <w:tblCellMar>
            <w:top w:w="0" w:type="dxa"/>
            <w:bottom w:w="0" w:type="dxa"/>
          </w:tblCellMar>
        </w:tblPrEx>
        <w:tc>
          <w:tcPr>
            <w:tcW w:w="3848" w:type="dxa"/>
          </w:tcPr>
          <w:p w:rsidR="00000000" w:rsidRDefault="00000000">
            <w:pPr>
              <w:pStyle w:val="FootnoteText"/>
            </w:pPr>
            <w:r>
              <w:t xml:space="preserve">     предприятия центрального</w:t>
            </w:r>
          </w:p>
          <w:p w:rsidR="00000000" w:rsidRDefault="00000000">
            <w:pPr>
              <w:pStyle w:val="FootnoteText"/>
            </w:pPr>
            <w:r>
              <w:t xml:space="preserve">     подчинения</w:t>
            </w:r>
          </w:p>
        </w:tc>
        <w:tc>
          <w:tcPr>
            <w:tcW w:w="1418" w:type="dxa"/>
          </w:tcPr>
          <w:p w:rsidR="00000000" w:rsidRDefault="00000000">
            <w:pPr>
              <w:pStyle w:val="FootnoteText"/>
              <w:jc w:val="center"/>
            </w:pPr>
            <w:r>
              <w:t>777,73</w:t>
            </w:r>
          </w:p>
        </w:tc>
        <w:tc>
          <w:tcPr>
            <w:tcW w:w="1418" w:type="dxa"/>
          </w:tcPr>
          <w:p w:rsidR="00000000" w:rsidRDefault="00000000">
            <w:pPr>
              <w:pStyle w:val="FootnoteText"/>
              <w:jc w:val="center"/>
            </w:pPr>
            <w:r>
              <w:t>1 014,34</w:t>
            </w:r>
          </w:p>
        </w:tc>
        <w:tc>
          <w:tcPr>
            <w:tcW w:w="1418" w:type="dxa"/>
          </w:tcPr>
          <w:p w:rsidR="00000000" w:rsidRDefault="00000000">
            <w:pPr>
              <w:pStyle w:val="FootnoteText"/>
              <w:jc w:val="center"/>
            </w:pPr>
            <w:r>
              <w:t>1 239,46</w:t>
            </w:r>
          </w:p>
        </w:tc>
        <w:tc>
          <w:tcPr>
            <w:tcW w:w="1418" w:type="dxa"/>
          </w:tcPr>
          <w:p w:rsidR="00000000" w:rsidRDefault="00000000">
            <w:pPr>
              <w:pStyle w:val="FootnoteText"/>
              <w:jc w:val="center"/>
            </w:pPr>
            <w:r>
              <w:t>1 425,22</w:t>
            </w:r>
          </w:p>
        </w:tc>
      </w:tr>
      <w:tr w:rsidR="00000000">
        <w:tblPrEx>
          <w:tblCellMar>
            <w:top w:w="0" w:type="dxa"/>
            <w:bottom w:w="0" w:type="dxa"/>
          </w:tblCellMar>
        </w:tblPrEx>
        <w:tc>
          <w:tcPr>
            <w:tcW w:w="3848" w:type="dxa"/>
          </w:tcPr>
          <w:p w:rsidR="00000000" w:rsidRDefault="00000000">
            <w:pPr>
              <w:pStyle w:val="FootnoteText"/>
            </w:pPr>
            <w:r>
              <w:t xml:space="preserve">     муниципальные предприятия</w:t>
            </w:r>
          </w:p>
        </w:tc>
        <w:tc>
          <w:tcPr>
            <w:tcW w:w="1418" w:type="dxa"/>
          </w:tcPr>
          <w:p w:rsidR="00000000" w:rsidRDefault="00000000">
            <w:pPr>
              <w:pStyle w:val="FootnoteText"/>
              <w:jc w:val="center"/>
            </w:pPr>
            <w:r>
              <w:t>621,64</w:t>
            </w:r>
          </w:p>
        </w:tc>
        <w:tc>
          <w:tcPr>
            <w:tcW w:w="1418" w:type="dxa"/>
          </w:tcPr>
          <w:p w:rsidR="00000000" w:rsidRDefault="00000000">
            <w:pPr>
              <w:pStyle w:val="FootnoteText"/>
              <w:jc w:val="center"/>
            </w:pPr>
            <w:r>
              <w:t>781,39</w:t>
            </w:r>
          </w:p>
        </w:tc>
        <w:tc>
          <w:tcPr>
            <w:tcW w:w="1418" w:type="dxa"/>
          </w:tcPr>
          <w:p w:rsidR="00000000" w:rsidRDefault="00000000">
            <w:pPr>
              <w:pStyle w:val="FootnoteText"/>
              <w:jc w:val="center"/>
            </w:pPr>
            <w:r>
              <w:t>969,15</w:t>
            </w:r>
          </w:p>
        </w:tc>
        <w:tc>
          <w:tcPr>
            <w:tcW w:w="1418" w:type="dxa"/>
          </w:tcPr>
          <w:p w:rsidR="00000000" w:rsidRDefault="00000000">
            <w:pPr>
              <w:pStyle w:val="FootnoteText"/>
              <w:jc w:val="center"/>
            </w:pPr>
            <w:r>
              <w:t>1 136,72</w:t>
            </w:r>
          </w:p>
        </w:tc>
      </w:tr>
      <w:tr w:rsidR="00000000">
        <w:tblPrEx>
          <w:tblCellMar>
            <w:top w:w="0" w:type="dxa"/>
            <w:bottom w:w="0" w:type="dxa"/>
          </w:tblCellMar>
        </w:tblPrEx>
        <w:tc>
          <w:tcPr>
            <w:tcW w:w="3848" w:type="dxa"/>
          </w:tcPr>
          <w:p w:rsidR="00000000" w:rsidRDefault="00000000">
            <w:pPr>
              <w:pStyle w:val="FootnoteText"/>
            </w:pPr>
            <w:r>
              <w:t>Частный сектор,</w:t>
            </w:r>
          </w:p>
        </w:tc>
        <w:tc>
          <w:tcPr>
            <w:tcW w:w="1418" w:type="dxa"/>
          </w:tcPr>
          <w:p w:rsidR="00000000" w:rsidRDefault="00000000">
            <w:pPr>
              <w:pStyle w:val="FootnoteText"/>
              <w:jc w:val="center"/>
              <w:rPr>
                <w:lang w:val="en-US"/>
              </w:rPr>
            </w:pPr>
            <w:r>
              <w:rPr>
                <w:lang w:val="en-US"/>
              </w:rPr>
              <w:t>598,95</w:t>
            </w:r>
          </w:p>
        </w:tc>
        <w:tc>
          <w:tcPr>
            <w:tcW w:w="1418" w:type="dxa"/>
          </w:tcPr>
          <w:p w:rsidR="00000000" w:rsidRDefault="00000000">
            <w:pPr>
              <w:pStyle w:val="FootnoteText"/>
              <w:jc w:val="center"/>
              <w:rPr>
                <w:lang w:val="en-US"/>
              </w:rPr>
            </w:pPr>
            <w:r>
              <w:rPr>
                <w:lang w:val="en-US"/>
              </w:rPr>
              <w:t>759,41</w:t>
            </w:r>
          </w:p>
        </w:tc>
        <w:tc>
          <w:tcPr>
            <w:tcW w:w="1418" w:type="dxa"/>
          </w:tcPr>
          <w:p w:rsidR="00000000" w:rsidRDefault="00000000">
            <w:pPr>
              <w:pStyle w:val="FootnoteText"/>
              <w:jc w:val="center"/>
              <w:rPr>
                <w:lang w:val="en-US"/>
              </w:rPr>
            </w:pPr>
            <w:r>
              <w:rPr>
                <w:lang w:val="en-US"/>
              </w:rPr>
              <w:t>956,26</w:t>
            </w:r>
          </w:p>
        </w:tc>
        <w:tc>
          <w:tcPr>
            <w:tcW w:w="1418" w:type="dxa"/>
          </w:tcPr>
          <w:p w:rsidR="00000000" w:rsidRDefault="00000000">
            <w:pPr>
              <w:pStyle w:val="FootnoteText"/>
              <w:jc w:val="center"/>
              <w:rPr>
                <w:lang w:val="en-US"/>
              </w:rPr>
            </w:pPr>
            <w:r>
              <w:rPr>
                <w:lang w:val="en-US"/>
              </w:rPr>
              <w:t>1 119,96</w:t>
            </w:r>
          </w:p>
        </w:tc>
      </w:tr>
      <w:tr w:rsidR="00000000">
        <w:tblPrEx>
          <w:tblCellMar>
            <w:top w:w="0" w:type="dxa"/>
            <w:bottom w:w="0" w:type="dxa"/>
          </w:tblCellMar>
        </w:tblPrEx>
        <w:tc>
          <w:tcPr>
            <w:tcW w:w="3848" w:type="dxa"/>
          </w:tcPr>
          <w:p w:rsidR="00000000" w:rsidRDefault="00000000">
            <w:pPr>
              <w:pStyle w:val="FootnoteText"/>
            </w:pPr>
            <w:r>
              <w:t xml:space="preserve">  включая:</w:t>
            </w:r>
          </w:p>
        </w:tc>
        <w:tc>
          <w:tcPr>
            <w:tcW w:w="1418" w:type="dxa"/>
          </w:tcPr>
          <w:p w:rsidR="00000000" w:rsidRDefault="00000000">
            <w:pPr>
              <w:pStyle w:val="FootnoteText"/>
              <w:jc w:val="center"/>
            </w:pPr>
          </w:p>
        </w:tc>
        <w:tc>
          <w:tcPr>
            <w:tcW w:w="1418" w:type="dxa"/>
          </w:tcPr>
          <w:p w:rsidR="00000000" w:rsidRDefault="00000000">
            <w:pPr>
              <w:pStyle w:val="FootnoteText"/>
              <w:jc w:val="center"/>
            </w:pPr>
          </w:p>
        </w:tc>
        <w:tc>
          <w:tcPr>
            <w:tcW w:w="1418" w:type="dxa"/>
          </w:tcPr>
          <w:p w:rsidR="00000000" w:rsidRDefault="00000000">
            <w:pPr>
              <w:pStyle w:val="FootnoteText"/>
              <w:jc w:val="center"/>
            </w:pPr>
          </w:p>
        </w:tc>
        <w:tc>
          <w:tcPr>
            <w:tcW w:w="1418" w:type="dxa"/>
          </w:tcPr>
          <w:p w:rsidR="00000000" w:rsidRDefault="00000000">
            <w:pPr>
              <w:pStyle w:val="FootnoteText"/>
              <w:jc w:val="center"/>
            </w:pPr>
          </w:p>
        </w:tc>
      </w:tr>
      <w:tr w:rsidR="00000000">
        <w:tblPrEx>
          <w:tblCellMar>
            <w:top w:w="0" w:type="dxa"/>
            <w:bottom w:w="0" w:type="dxa"/>
          </w:tblCellMar>
        </w:tblPrEx>
        <w:tc>
          <w:tcPr>
            <w:tcW w:w="3848" w:type="dxa"/>
          </w:tcPr>
          <w:p w:rsidR="00000000" w:rsidRDefault="00000000">
            <w:pPr>
              <w:pStyle w:val="FootnoteText"/>
            </w:pPr>
            <w:r>
              <w:t xml:space="preserve">     отечественные частные </w:t>
            </w:r>
          </w:p>
          <w:p w:rsidR="00000000" w:rsidRDefault="00000000">
            <w:pPr>
              <w:pStyle w:val="FootnoteText"/>
            </w:pPr>
            <w:r>
              <w:t xml:space="preserve">      предприятия,</w:t>
            </w:r>
          </w:p>
        </w:tc>
        <w:tc>
          <w:tcPr>
            <w:tcW w:w="1418" w:type="dxa"/>
          </w:tcPr>
          <w:p w:rsidR="00000000" w:rsidRDefault="00000000">
            <w:pPr>
              <w:pStyle w:val="FootnoteText"/>
              <w:jc w:val="center"/>
            </w:pPr>
            <w:r>
              <w:t>543,05</w:t>
            </w:r>
          </w:p>
        </w:tc>
        <w:tc>
          <w:tcPr>
            <w:tcW w:w="1418" w:type="dxa"/>
          </w:tcPr>
          <w:p w:rsidR="00000000" w:rsidRDefault="00000000">
            <w:pPr>
              <w:pStyle w:val="FootnoteText"/>
              <w:jc w:val="center"/>
            </w:pPr>
            <w:r>
              <w:t>681,23</w:t>
            </w:r>
          </w:p>
        </w:tc>
        <w:tc>
          <w:tcPr>
            <w:tcW w:w="1418" w:type="dxa"/>
          </w:tcPr>
          <w:p w:rsidR="00000000" w:rsidRDefault="00000000">
            <w:pPr>
              <w:pStyle w:val="FootnoteText"/>
              <w:jc w:val="center"/>
            </w:pPr>
            <w:r>
              <w:t>844,23</w:t>
            </w:r>
          </w:p>
        </w:tc>
        <w:tc>
          <w:tcPr>
            <w:tcW w:w="1418" w:type="dxa"/>
          </w:tcPr>
          <w:p w:rsidR="00000000" w:rsidRDefault="00000000">
            <w:pPr>
              <w:pStyle w:val="FootnoteText"/>
              <w:jc w:val="center"/>
            </w:pPr>
            <w:r>
              <w:t>983,94</w:t>
            </w:r>
          </w:p>
        </w:tc>
      </w:tr>
      <w:tr w:rsidR="00000000">
        <w:tblPrEx>
          <w:tblCellMar>
            <w:top w:w="0" w:type="dxa"/>
            <w:bottom w:w="0" w:type="dxa"/>
          </w:tblCellMar>
        </w:tblPrEx>
        <w:tc>
          <w:tcPr>
            <w:tcW w:w="3848" w:type="dxa"/>
          </w:tcPr>
          <w:p w:rsidR="00000000" w:rsidRDefault="00000000">
            <w:pPr>
              <w:pStyle w:val="FootnoteText"/>
            </w:pPr>
            <w:r>
              <w:t xml:space="preserve">     </w:t>
            </w:r>
            <w:r>
              <w:rPr>
                <w:i/>
                <w:iCs/>
              </w:rPr>
              <w:t>в том числе кооперативы</w:t>
            </w:r>
          </w:p>
        </w:tc>
        <w:tc>
          <w:tcPr>
            <w:tcW w:w="1418" w:type="dxa"/>
          </w:tcPr>
          <w:p w:rsidR="00000000" w:rsidRDefault="00000000">
            <w:pPr>
              <w:pStyle w:val="FootnoteText"/>
              <w:jc w:val="center"/>
              <w:rPr>
                <w:lang w:val="en-US"/>
              </w:rPr>
            </w:pPr>
            <w:r>
              <w:rPr>
                <w:lang w:val="en-US"/>
              </w:rPr>
              <w:t>558,67</w:t>
            </w:r>
          </w:p>
        </w:tc>
        <w:tc>
          <w:tcPr>
            <w:tcW w:w="1418" w:type="dxa"/>
          </w:tcPr>
          <w:p w:rsidR="00000000" w:rsidRDefault="00000000">
            <w:pPr>
              <w:pStyle w:val="FootnoteText"/>
              <w:jc w:val="center"/>
              <w:rPr>
                <w:lang w:val="en-US"/>
              </w:rPr>
            </w:pPr>
            <w:r>
              <w:rPr>
                <w:lang w:val="en-US"/>
              </w:rPr>
              <w:t>715,82</w:t>
            </w:r>
          </w:p>
        </w:tc>
        <w:tc>
          <w:tcPr>
            <w:tcW w:w="1418" w:type="dxa"/>
          </w:tcPr>
          <w:p w:rsidR="00000000" w:rsidRDefault="00000000">
            <w:pPr>
              <w:pStyle w:val="FootnoteText"/>
              <w:jc w:val="center"/>
              <w:rPr>
                <w:lang w:val="en-US"/>
              </w:rPr>
            </w:pPr>
            <w:r>
              <w:rPr>
                <w:lang w:val="en-US"/>
              </w:rPr>
              <w:t>884,88</w:t>
            </w:r>
          </w:p>
        </w:tc>
        <w:tc>
          <w:tcPr>
            <w:tcW w:w="1418" w:type="dxa"/>
          </w:tcPr>
          <w:p w:rsidR="00000000" w:rsidRDefault="00000000">
            <w:pPr>
              <w:pStyle w:val="FootnoteText"/>
              <w:jc w:val="center"/>
              <w:rPr>
                <w:lang w:val="en-US"/>
              </w:rPr>
            </w:pPr>
            <w:r>
              <w:rPr>
                <w:lang w:val="en-US"/>
              </w:rPr>
              <w:t>1 023,90</w:t>
            </w:r>
          </w:p>
        </w:tc>
      </w:tr>
      <w:tr w:rsidR="00000000">
        <w:tblPrEx>
          <w:tblCellMar>
            <w:top w:w="0" w:type="dxa"/>
            <w:bottom w:w="0" w:type="dxa"/>
          </w:tblCellMar>
        </w:tblPrEx>
        <w:tc>
          <w:tcPr>
            <w:tcW w:w="3848" w:type="dxa"/>
          </w:tcPr>
          <w:p w:rsidR="00000000" w:rsidRDefault="00000000">
            <w:pPr>
              <w:pStyle w:val="FootnoteText"/>
            </w:pPr>
            <w:r>
              <w:t xml:space="preserve">     иностранные частные </w:t>
            </w:r>
          </w:p>
          <w:p w:rsidR="00000000" w:rsidRDefault="00000000">
            <w:pPr>
              <w:pStyle w:val="FootnoteText"/>
            </w:pPr>
            <w:r>
              <w:t xml:space="preserve">     предприятия</w:t>
            </w:r>
          </w:p>
        </w:tc>
        <w:tc>
          <w:tcPr>
            <w:tcW w:w="1418" w:type="dxa"/>
          </w:tcPr>
          <w:p w:rsidR="00000000" w:rsidRDefault="00000000">
            <w:pPr>
              <w:pStyle w:val="FootnoteText"/>
              <w:jc w:val="center"/>
            </w:pPr>
            <w:r>
              <w:t>899,33</w:t>
            </w:r>
          </w:p>
        </w:tc>
        <w:tc>
          <w:tcPr>
            <w:tcW w:w="1418" w:type="dxa"/>
          </w:tcPr>
          <w:p w:rsidR="00000000" w:rsidRDefault="00000000">
            <w:pPr>
              <w:pStyle w:val="FootnoteText"/>
              <w:jc w:val="center"/>
            </w:pPr>
            <w:r>
              <w:t>1 166,84</w:t>
            </w:r>
          </w:p>
        </w:tc>
        <w:tc>
          <w:tcPr>
            <w:tcW w:w="1418" w:type="dxa"/>
          </w:tcPr>
          <w:p w:rsidR="00000000" w:rsidRDefault="00000000">
            <w:pPr>
              <w:pStyle w:val="FootnoteText"/>
              <w:jc w:val="center"/>
            </w:pPr>
            <w:r>
              <w:t>1 431,50</w:t>
            </w:r>
          </w:p>
        </w:tc>
        <w:tc>
          <w:tcPr>
            <w:tcW w:w="1418" w:type="dxa"/>
          </w:tcPr>
          <w:p w:rsidR="00000000" w:rsidRDefault="00000000">
            <w:pPr>
              <w:pStyle w:val="FootnoteText"/>
              <w:jc w:val="center"/>
            </w:pPr>
            <w:r>
              <w:t>1 654,27</w:t>
            </w:r>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данные министерства труда и социальной политики на основе результатов обследований, проведенных Главным статистическим управлением.</w:t>
      </w:r>
    </w:p>
    <w:p w:rsidR="00000000" w:rsidRDefault="00000000"/>
    <w:p w:rsidR="00000000" w:rsidRDefault="00000000">
      <w:pPr>
        <w:jc w:val="center"/>
        <w:rPr>
          <w:b/>
          <w:bCs/>
        </w:rPr>
      </w:pPr>
      <w:r>
        <w:rPr>
          <w:u w:val="single"/>
        </w:rPr>
        <w:t>Таблица 14</w:t>
      </w:r>
      <w:r>
        <w:t xml:space="preserve">.   </w:t>
      </w:r>
      <w:r>
        <w:rPr>
          <w:u w:val="single"/>
        </w:rPr>
        <w:t>Среднемесячная заработная плата (валовая) в различных секторах в 1995</w:t>
      </w:r>
      <w:r>
        <w:rPr>
          <w:u w:val="single"/>
        </w:rPr>
        <w:noBreakHyphen/>
        <w:t>1998 годах, выраженная в ПНЗ (по отраслям</w:t>
      </w:r>
      <w:r>
        <w:rPr>
          <w:b/>
          <w:bCs/>
        </w:rPr>
        <w:t>)</w:t>
      </w:r>
    </w:p>
    <w:p w:rsidR="00000000" w:rsidRDefault="00000000">
      <w:pPr>
        <w:jc w:val="center"/>
      </w:pPr>
    </w:p>
    <w:tbl>
      <w:tblPr>
        <w:tblW w:w="9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438"/>
        <w:gridCol w:w="880"/>
        <w:gridCol w:w="880"/>
        <w:gridCol w:w="880"/>
        <w:gridCol w:w="847"/>
        <w:gridCol w:w="33"/>
        <w:gridCol w:w="880"/>
        <w:gridCol w:w="880"/>
        <w:gridCol w:w="880"/>
        <w:gridCol w:w="881"/>
      </w:tblGrid>
      <w:tr w:rsidR="00000000">
        <w:tblPrEx>
          <w:tblCellMar>
            <w:top w:w="0" w:type="dxa"/>
            <w:bottom w:w="0" w:type="dxa"/>
          </w:tblCellMar>
        </w:tblPrEx>
        <w:trPr>
          <w:cantSplit/>
        </w:trPr>
        <w:tc>
          <w:tcPr>
            <w:tcW w:w="2438" w:type="dxa"/>
            <w:vMerge w:val="restart"/>
          </w:tcPr>
          <w:p w:rsidR="00000000" w:rsidRDefault="00000000">
            <w:pPr>
              <w:rPr>
                <w:sz w:val="18"/>
              </w:rPr>
            </w:pPr>
          </w:p>
        </w:tc>
        <w:tc>
          <w:tcPr>
            <w:tcW w:w="3487" w:type="dxa"/>
            <w:gridSpan w:val="4"/>
          </w:tcPr>
          <w:p w:rsidR="00000000" w:rsidRDefault="00000000">
            <w:pPr>
              <w:pStyle w:val="FootnoteText"/>
              <w:spacing w:line="288" w:lineRule="auto"/>
              <w:jc w:val="center"/>
              <w:rPr>
                <w:sz w:val="18"/>
              </w:rPr>
            </w:pPr>
            <w:r>
              <w:rPr>
                <w:sz w:val="18"/>
              </w:rPr>
              <w:t>Государственный сектор</w:t>
            </w:r>
          </w:p>
        </w:tc>
        <w:tc>
          <w:tcPr>
            <w:tcW w:w="3554" w:type="dxa"/>
            <w:gridSpan w:val="5"/>
          </w:tcPr>
          <w:p w:rsidR="00000000" w:rsidRDefault="00000000">
            <w:pPr>
              <w:jc w:val="center"/>
              <w:rPr>
                <w:sz w:val="18"/>
              </w:rPr>
            </w:pPr>
            <w:r>
              <w:rPr>
                <w:sz w:val="18"/>
              </w:rPr>
              <w:t>Частный сектор</w:t>
            </w:r>
          </w:p>
        </w:tc>
      </w:tr>
      <w:tr w:rsidR="00000000">
        <w:tblPrEx>
          <w:tblCellMar>
            <w:top w:w="0" w:type="dxa"/>
            <w:bottom w:w="0" w:type="dxa"/>
          </w:tblCellMar>
        </w:tblPrEx>
        <w:trPr>
          <w:cantSplit/>
        </w:trPr>
        <w:tc>
          <w:tcPr>
            <w:tcW w:w="2438" w:type="dxa"/>
            <w:vMerge/>
          </w:tcPr>
          <w:p w:rsidR="00000000" w:rsidRDefault="00000000">
            <w:pPr>
              <w:rPr>
                <w:sz w:val="18"/>
              </w:rPr>
            </w:pPr>
          </w:p>
        </w:tc>
        <w:tc>
          <w:tcPr>
            <w:tcW w:w="880" w:type="dxa"/>
          </w:tcPr>
          <w:p w:rsidR="00000000" w:rsidRDefault="00000000">
            <w:pPr>
              <w:jc w:val="center"/>
              <w:rPr>
                <w:sz w:val="18"/>
              </w:rPr>
            </w:pPr>
            <w:r>
              <w:rPr>
                <w:sz w:val="18"/>
              </w:rPr>
              <w:t>1995 год</w:t>
            </w:r>
          </w:p>
        </w:tc>
        <w:tc>
          <w:tcPr>
            <w:tcW w:w="880" w:type="dxa"/>
          </w:tcPr>
          <w:p w:rsidR="00000000" w:rsidRDefault="00000000">
            <w:pPr>
              <w:jc w:val="center"/>
              <w:rPr>
                <w:sz w:val="18"/>
              </w:rPr>
            </w:pPr>
            <w:r>
              <w:rPr>
                <w:sz w:val="18"/>
              </w:rPr>
              <w:t>1996 год</w:t>
            </w:r>
          </w:p>
        </w:tc>
        <w:tc>
          <w:tcPr>
            <w:tcW w:w="880" w:type="dxa"/>
          </w:tcPr>
          <w:p w:rsidR="00000000" w:rsidRDefault="00000000">
            <w:pPr>
              <w:jc w:val="center"/>
              <w:rPr>
                <w:sz w:val="18"/>
              </w:rPr>
            </w:pPr>
            <w:r>
              <w:rPr>
                <w:sz w:val="18"/>
              </w:rPr>
              <w:t>1997 год</w:t>
            </w:r>
          </w:p>
        </w:tc>
        <w:tc>
          <w:tcPr>
            <w:tcW w:w="880" w:type="dxa"/>
            <w:gridSpan w:val="2"/>
          </w:tcPr>
          <w:p w:rsidR="00000000" w:rsidRDefault="00000000">
            <w:pPr>
              <w:jc w:val="center"/>
              <w:rPr>
                <w:sz w:val="18"/>
              </w:rPr>
            </w:pPr>
            <w:r>
              <w:rPr>
                <w:sz w:val="18"/>
              </w:rPr>
              <w:t>1998 год</w:t>
            </w:r>
          </w:p>
        </w:tc>
        <w:tc>
          <w:tcPr>
            <w:tcW w:w="880" w:type="dxa"/>
          </w:tcPr>
          <w:p w:rsidR="00000000" w:rsidRDefault="00000000">
            <w:pPr>
              <w:jc w:val="center"/>
              <w:rPr>
                <w:sz w:val="18"/>
              </w:rPr>
            </w:pPr>
            <w:r>
              <w:rPr>
                <w:sz w:val="18"/>
              </w:rPr>
              <w:t>1995 год</w:t>
            </w:r>
          </w:p>
        </w:tc>
        <w:tc>
          <w:tcPr>
            <w:tcW w:w="880" w:type="dxa"/>
          </w:tcPr>
          <w:p w:rsidR="00000000" w:rsidRDefault="00000000">
            <w:pPr>
              <w:jc w:val="center"/>
              <w:rPr>
                <w:sz w:val="18"/>
              </w:rPr>
            </w:pPr>
            <w:r>
              <w:rPr>
                <w:sz w:val="18"/>
              </w:rPr>
              <w:t>1996 год</w:t>
            </w:r>
          </w:p>
        </w:tc>
        <w:tc>
          <w:tcPr>
            <w:tcW w:w="880" w:type="dxa"/>
          </w:tcPr>
          <w:p w:rsidR="00000000" w:rsidRDefault="00000000">
            <w:pPr>
              <w:jc w:val="center"/>
              <w:rPr>
                <w:sz w:val="18"/>
              </w:rPr>
            </w:pPr>
            <w:r>
              <w:rPr>
                <w:sz w:val="18"/>
              </w:rPr>
              <w:t>1997 год</w:t>
            </w:r>
          </w:p>
        </w:tc>
        <w:tc>
          <w:tcPr>
            <w:tcW w:w="881" w:type="dxa"/>
          </w:tcPr>
          <w:p w:rsidR="00000000" w:rsidRDefault="00000000">
            <w:pPr>
              <w:jc w:val="center"/>
              <w:rPr>
                <w:sz w:val="18"/>
              </w:rPr>
            </w:pPr>
            <w:r>
              <w:rPr>
                <w:sz w:val="18"/>
              </w:rPr>
              <w:t>1998 год</w:t>
            </w:r>
          </w:p>
        </w:tc>
      </w:tr>
      <w:tr w:rsidR="00000000">
        <w:tblPrEx>
          <w:tblCellMar>
            <w:top w:w="0" w:type="dxa"/>
            <w:bottom w:w="0" w:type="dxa"/>
          </w:tblCellMar>
        </w:tblPrEx>
        <w:tc>
          <w:tcPr>
            <w:tcW w:w="2438" w:type="dxa"/>
          </w:tcPr>
          <w:p w:rsidR="00000000" w:rsidRDefault="00000000">
            <w:pPr>
              <w:spacing w:line="240" w:lineRule="auto"/>
              <w:rPr>
                <w:sz w:val="18"/>
              </w:rPr>
            </w:pPr>
            <w:r>
              <w:rPr>
                <w:sz w:val="18"/>
              </w:rPr>
              <w:t>Сельское хозяйство, охотоводство и лесное хозяйство</w:t>
            </w:r>
          </w:p>
        </w:tc>
        <w:tc>
          <w:tcPr>
            <w:tcW w:w="880" w:type="dxa"/>
            <w:vAlign w:val="bottom"/>
          </w:tcPr>
          <w:p w:rsidR="00000000" w:rsidRDefault="00000000">
            <w:pPr>
              <w:spacing w:line="240" w:lineRule="auto"/>
              <w:jc w:val="right"/>
              <w:rPr>
                <w:sz w:val="18"/>
              </w:rPr>
            </w:pPr>
            <w:r>
              <w:rPr>
                <w:sz w:val="18"/>
              </w:rPr>
              <w:t>707,29</w:t>
            </w:r>
          </w:p>
        </w:tc>
        <w:tc>
          <w:tcPr>
            <w:tcW w:w="880" w:type="dxa"/>
            <w:vAlign w:val="bottom"/>
          </w:tcPr>
          <w:p w:rsidR="00000000" w:rsidRDefault="00000000">
            <w:pPr>
              <w:spacing w:line="240" w:lineRule="auto"/>
              <w:jc w:val="right"/>
              <w:rPr>
                <w:sz w:val="18"/>
              </w:rPr>
            </w:pPr>
            <w:r>
              <w:rPr>
                <w:sz w:val="18"/>
              </w:rPr>
              <w:t>947,41</w:t>
            </w:r>
          </w:p>
        </w:tc>
        <w:tc>
          <w:tcPr>
            <w:tcW w:w="880" w:type="dxa"/>
            <w:vAlign w:val="bottom"/>
          </w:tcPr>
          <w:p w:rsidR="00000000" w:rsidRDefault="00000000">
            <w:pPr>
              <w:spacing w:line="240" w:lineRule="auto"/>
              <w:jc w:val="right"/>
              <w:rPr>
                <w:sz w:val="18"/>
              </w:rPr>
            </w:pPr>
            <w:r>
              <w:rPr>
                <w:sz w:val="18"/>
              </w:rPr>
              <w:t>1 176,73</w:t>
            </w:r>
          </w:p>
        </w:tc>
        <w:tc>
          <w:tcPr>
            <w:tcW w:w="880" w:type="dxa"/>
            <w:gridSpan w:val="2"/>
            <w:vAlign w:val="bottom"/>
          </w:tcPr>
          <w:p w:rsidR="00000000" w:rsidRDefault="00000000">
            <w:pPr>
              <w:spacing w:line="240" w:lineRule="auto"/>
              <w:jc w:val="right"/>
              <w:rPr>
                <w:sz w:val="18"/>
              </w:rPr>
            </w:pPr>
            <w:r>
              <w:rPr>
                <w:sz w:val="18"/>
              </w:rPr>
              <w:t>1 434,98</w:t>
            </w:r>
          </w:p>
        </w:tc>
        <w:tc>
          <w:tcPr>
            <w:tcW w:w="880" w:type="dxa"/>
            <w:vAlign w:val="bottom"/>
          </w:tcPr>
          <w:p w:rsidR="00000000" w:rsidRDefault="00000000">
            <w:pPr>
              <w:spacing w:line="240" w:lineRule="auto"/>
              <w:jc w:val="right"/>
              <w:rPr>
                <w:sz w:val="18"/>
              </w:rPr>
            </w:pPr>
            <w:r>
              <w:rPr>
                <w:sz w:val="18"/>
              </w:rPr>
              <w:t>496,42</w:t>
            </w:r>
          </w:p>
        </w:tc>
        <w:tc>
          <w:tcPr>
            <w:tcW w:w="880" w:type="dxa"/>
            <w:vAlign w:val="bottom"/>
          </w:tcPr>
          <w:p w:rsidR="00000000" w:rsidRDefault="00000000">
            <w:pPr>
              <w:spacing w:line="240" w:lineRule="auto"/>
              <w:jc w:val="right"/>
              <w:rPr>
                <w:sz w:val="18"/>
              </w:rPr>
            </w:pPr>
            <w:r>
              <w:rPr>
                <w:sz w:val="18"/>
              </w:rPr>
              <w:t>637,60</w:t>
            </w:r>
          </w:p>
        </w:tc>
        <w:tc>
          <w:tcPr>
            <w:tcW w:w="880" w:type="dxa"/>
            <w:vAlign w:val="bottom"/>
          </w:tcPr>
          <w:p w:rsidR="00000000" w:rsidRDefault="00000000">
            <w:pPr>
              <w:spacing w:line="240" w:lineRule="auto"/>
              <w:jc w:val="right"/>
              <w:rPr>
                <w:sz w:val="18"/>
              </w:rPr>
            </w:pPr>
            <w:r>
              <w:rPr>
                <w:sz w:val="18"/>
              </w:rPr>
              <w:t>759,32</w:t>
            </w:r>
          </w:p>
        </w:tc>
        <w:tc>
          <w:tcPr>
            <w:tcW w:w="881" w:type="dxa"/>
            <w:vAlign w:val="bottom"/>
          </w:tcPr>
          <w:p w:rsidR="00000000" w:rsidRDefault="00000000">
            <w:pPr>
              <w:spacing w:line="240" w:lineRule="auto"/>
              <w:jc w:val="right"/>
              <w:rPr>
                <w:sz w:val="18"/>
              </w:rPr>
            </w:pPr>
            <w:r>
              <w:rPr>
                <w:sz w:val="18"/>
              </w:rPr>
              <w:t>885,71</w:t>
            </w:r>
          </w:p>
        </w:tc>
      </w:tr>
      <w:tr w:rsidR="00000000">
        <w:tblPrEx>
          <w:tblCellMar>
            <w:top w:w="0" w:type="dxa"/>
            <w:bottom w:w="0" w:type="dxa"/>
          </w:tblCellMar>
        </w:tblPrEx>
        <w:tc>
          <w:tcPr>
            <w:tcW w:w="2438" w:type="dxa"/>
          </w:tcPr>
          <w:p w:rsidR="00000000" w:rsidRDefault="00000000">
            <w:pPr>
              <w:spacing w:line="240" w:lineRule="auto"/>
              <w:rPr>
                <w:sz w:val="18"/>
              </w:rPr>
            </w:pPr>
            <w:r>
              <w:rPr>
                <w:sz w:val="18"/>
              </w:rPr>
              <w:t>Рыболовство и смежные отрасли</w:t>
            </w:r>
          </w:p>
        </w:tc>
        <w:tc>
          <w:tcPr>
            <w:tcW w:w="880" w:type="dxa"/>
            <w:vAlign w:val="bottom"/>
          </w:tcPr>
          <w:p w:rsidR="00000000" w:rsidRDefault="00000000">
            <w:pPr>
              <w:jc w:val="right"/>
              <w:rPr>
                <w:sz w:val="18"/>
              </w:rPr>
            </w:pPr>
            <w:r>
              <w:rPr>
                <w:sz w:val="18"/>
              </w:rPr>
              <w:t>611,93</w:t>
            </w:r>
          </w:p>
        </w:tc>
        <w:tc>
          <w:tcPr>
            <w:tcW w:w="880" w:type="dxa"/>
            <w:vAlign w:val="bottom"/>
          </w:tcPr>
          <w:p w:rsidR="00000000" w:rsidRDefault="00000000">
            <w:pPr>
              <w:jc w:val="right"/>
              <w:rPr>
                <w:sz w:val="18"/>
              </w:rPr>
            </w:pPr>
            <w:r>
              <w:rPr>
                <w:sz w:val="18"/>
              </w:rPr>
              <w:t>784,34</w:t>
            </w:r>
          </w:p>
        </w:tc>
        <w:tc>
          <w:tcPr>
            <w:tcW w:w="880" w:type="dxa"/>
            <w:vAlign w:val="bottom"/>
          </w:tcPr>
          <w:p w:rsidR="00000000" w:rsidRDefault="00000000">
            <w:pPr>
              <w:jc w:val="right"/>
              <w:rPr>
                <w:sz w:val="18"/>
              </w:rPr>
            </w:pPr>
            <w:r>
              <w:rPr>
                <w:sz w:val="18"/>
              </w:rPr>
              <w:t>931,66</w:t>
            </w:r>
          </w:p>
        </w:tc>
        <w:tc>
          <w:tcPr>
            <w:tcW w:w="880" w:type="dxa"/>
            <w:gridSpan w:val="2"/>
            <w:vAlign w:val="bottom"/>
          </w:tcPr>
          <w:p w:rsidR="00000000" w:rsidRDefault="00000000">
            <w:pPr>
              <w:jc w:val="right"/>
              <w:rPr>
                <w:sz w:val="18"/>
              </w:rPr>
            </w:pPr>
            <w:r>
              <w:rPr>
                <w:sz w:val="18"/>
              </w:rPr>
              <w:t>1 207,97</w:t>
            </w:r>
          </w:p>
        </w:tc>
        <w:tc>
          <w:tcPr>
            <w:tcW w:w="880" w:type="dxa"/>
            <w:vAlign w:val="bottom"/>
          </w:tcPr>
          <w:p w:rsidR="00000000" w:rsidRDefault="00000000">
            <w:pPr>
              <w:jc w:val="right"/>
              <w:rPr>
                <w:sz w:val="18"/>
              </w:rPr>
            </w:pPr>
            <w:r>
              <w:rPr>
                <w:sz w:val="18"/>
              </w:rPr>
              <w:t>500,05</w:t>
            </w:r>
          </w:p>
        </w:tc>
        <w:tc>
          <w:tcPr>
            <w:tcW w:w="880" w:type="dxa"/>
            <w:vAlign w:val="bottom"/>
          </w:tcPr>
          <w:p w:rsidR="00000000" w:rsidRDefault="00000000">
            <w:pPr>
              <w:jc w:val="right"/>
              <w:rPr>
                <w:sz w:val="18"/>
              </w:rPr>
            </w:pPr>
            <w:r>
              <w:rPr>
                <w:sz w:val="18"/>
              </w:rPr>
              <w:t>665,01</w:t>
            </w:r>
          </w:p>
        </w:tc>
        <w:tc>
          <w:tcPr>
            <w:tcW w:w="880" w:type="dxa"/>
            <w:vAlign w:val="bottom"/>
          </w:tcPr>
          <w:p w:rsidR="00000000" w:rsidRDefault="00000000">
            <w:pPr>
              <w:jc w:val="right"/>
              <w:rPr>
                <w:sz w:val="18"/>
              </w:rPr>
            </w:pPr>
            <w:r>
              <w:rPr>
                <w:sz w:val="18"/>
              </w:rPr>
              <w:t>979,91</w:t>
            </w:r>
          </w:p>
        </w:tc>
        <w:tc>
          <w:tcPr>
            <w:tcW w:w="881" w:type="dxa"/>
            <w:vAlign w:val="bottom"/>
          </w:tcPr>
          <w:p w:rsidR="00000000" w:rsidRDefault="00000000">
            <w:pPr>
              <w:jc w:val="right"/>
              <w:rPr>
                <w:sz w:val="18"/>
              </w:rPr>
            </w:pPr>
            <w:r>
              <w:rPr>
                <w:sz w:val="18"/>
              </w:rPr>
              <w:t>969,22</w:t>
            </w:r>
          </w:p>
        </w:tc>
      </w:tr>
      <w:tr w:rsidR="00000000">
        <w:tblPrEx>
          <w:tblCellMar>
            <w:top w:w="0" w:type="dxa"/>
            <w:bottom w:w="0" w:type="dxa"/>
          </w:tblCellMar>
        </w:tblPrEx>
        <w:tc>
          <w:tcPr>
            <w:tcW w:w="2438" w:type="dxa"/>
          </w:tcPr>
          <w:p w:rsidR="00000000" w:rsidRDefault="00000000">
            <w:pPr>
              <w:rPr>
                <w:sz w:val="18"/>
              </w:rPr>
            </w:pPr>
            <w:r>
              <w:rPr>
                <w:sz w:val="18"/>
              </w:rPr>
              <w:t>Промышленность</w:t>
            </w:r>
          </w:p>
        </w:tc>
        <w:tc>
          <w:tcPr>
            <w:tcW w:w="880" w:type="dxa"/>
            <w:vAlign w:val="bottom"/>
          </w:tcPr>
          <w:p w:rsidR="00000000" w:rsidRDefault="00000000">
            <w:pPr>
              <w:jc w:val="right"/>
              <w:rPr>
                <w:sz w:val="18"/>
              </w:rPr>
            </w:pPr>
            <w:r>
              <w:rPr>
                <w:sz w:val="18"/>
              </w:rPr>
              <w:t>885,80</w:t>
            </w:r>
          </w:p>
        </w:tc>
        <w:tc>
          <w:tcPr>
            <w:tcW w:w="880" w:type="dxa"/>
            <w:vAlign w:val="bottom"/>
          </w:tcPr>
          <w:p w:rsidR="00000000" w:rsidRDefault="00000000">
            <w:pPr>
              <w:jc w:val="right"/>
              <w:rPr>
                <w:sz w:val="18"/>
              </w:rPr>
            </w:pPr>
            <w:r>
              <w:rPr>
                <w:sz w:val="18"/>
              </w:rPr>
              <w:t>1 132,46</w:t>
            </w:r>
          </w:p>
        </w:tc>
        <w:tc>
          <w:tcPr>
            <w:tcW w:w="880" w:type="dxa"/>
            <w:vAlign w:val="bottom"/>
          </w:tcPr>
          <w:p w:rsidR="00000000" w:rsidRDefault="00000000">
            <w:pPr>
              <w:jc w:val="right"/>
              <w:rPr>
                <w:sz w:val="18"/>
              </w:rPr>
            </w:pPr>
            <w:r>
              <w:rPr>
                <w:sz w:val="18"/>
              </w:rPr>
              <w:t>1 446,90</w:t>
            </w:r>
          </w:p>
        </w:tc>
        <w:tc>
          <w:tcPr>
            <w:tcW w:w="880" w:type="dxa"/>
            <w:gridSpan w:val="2"/>
            <w:vAlign w:val="bottom"/>
          </w:tcPr>
          <w:p w:rsidR="00000000" w:rsidRDefault="00000000">
            <w:pPr>
              <w:jc w:val="right"/>
              <w:rPr>
                <w:sz w:val="18"/>
              </w:rPr>
            </w:pPr>
            <w:r>
              <w:rPr>
                <w:sz w:val="18"/>
              </w:rPr>
              <w:t>1 570,82</w:t>
            </w:r>
          </w:p>
        </w:tc>
        <w:tc>
          <w:tcPr>
            <w:tcW w:w="880" w:type="dxa"/>
            <w:vAlign w:val="bottom"/>
          </w:tcPr>
          <w:p w:rsidR="00000000" w:rsidRDefault="00000000">
            <w:pPr>
              <w:jc w:val="right"/>
              <w:rPr>
                <w:sz w:val="18"/>
              </w:rPr>
            </w:pPr>
            <w:r>
              <w:rPr>
                <w:sz w:val="18"/>
              </w:rPr>
              <w:t>605,46</w:t>
            </w:r>
          </w:p>
        </w:tc>
        <w:tc>
          <w:tcPr>
            <w:tcW w:w="880" w:type="dxa"/>
            <w:vAlign w:val="bottom"/>
          </w:tcPr>
          <w:p w:rsidR="00000000" w:rsidRDefault="00000000">
            <w:pPr>
              <w:jc w:val="right"/>
              <w:rPr>
                <w:sz w:val="18"/>
              </w:rPr>
            </w:pPr>
            <w:r>
              <w:rPr>
                <w:sz w:val="18"/>
              </w:rPr>
              <w:t>770,34</w:t>
            </w:r>
          </w:p>
        </w:tc>
        <w:tc>
          <w:tcPr>
            <w:tcW w:w="880" w:type="dxa"/>
            <w:vAlign w:val="bottom"/>
          </w:tcPr>
          <w:p w:rsidR="00000000" w:rsidRDefault="00000000">
            <w:pPr>
              <w:jc w:val="right"/>
              <w:rPr>
                <w:sz w:val="18"/>
              </w:rPr>
            </w:pPr>
            <w:r>
              <w:rPr>
                <w:sz w:val="18"/>
              </w:rPr>
              <w:t>967,41</w:t>
            </w:r>
          </w:p>
        </w:tc>
        <w:tc>
          <w:tcPr>
            <w:tcW w:w="881" w:type="dxa"/>
            <w:vAlign w:val="bottom"/>
          </w:tcPr>
          <w:p w:rsidR="00000000" w:rsidRDefault="00000000">
            <w:pPr>
              <w:jc w:val="right"/>
              <w:rPr>
                <w:sz w:val="18"/>
              </w:rPr>
            </w:pPr>
            <w:r>
              <w:rPr>
                <w:sz w:val="18"/>
              </w:rPr>
              <w:t>1 122,06</w:t>
            </w:r>
          </w:p>
        </w:tc>
      </w:tr>
      <w:tr w:rsidR="00000000">
        <w:tblPrEx>
          <w:tblCellMar>
            <w:top w:w="0" w:type="dxa"/>
            <w:bottom w:w="0" w:type="dxa"/>
          </w:tblCellMar>
        </w:tblPrEx>
        <w:tc>
          <w:tcPr>
            <w:tcW w:w="2438" w:type="dxa"/>
          </w:tcPr>
          <w:p w:rsidR="00000000" w:rsidRDefault="00000000">
            <w:pPr>
              <w:spacing w:line="240" w:lineRule="auto"/>
              <w:rPr>
                <w:sz w:val="18"/>
              </w:rPr>
            </w:pPr>
            <w:r>
              <w:rPr>
                <w:sz w:val="18"/>
              </w:rPr>
              <w:t>Горнодобывающая промышленность и смежные отрасли</w:t>
            </w:r>
          </w:p>
        </w:tc>
        <w:tc>
          <w:tcPr>
            <w:tcW w:w="880" w:type="dxa"/>
            <w:vAlign w:val="bottom"/>
          </w:tcPr>
          <w:p w:rsidR="00000000" w:rsidRDefault="00000000">
            <w:pPr>
              <w:jc w:val="right"/>
              <w:rPr>
                <w:sz w:val="18"/>
              </w:rPr>
            </w:pPr>
            <w:r>
              <w:rPr>
                <w:sz w:val="18"/>
              </w:rPr>
              <w:t>1 350,32</w:t>
            </w:r>
          </w:p>
        </w:tc>
        <w:tc>
          <w:tcPr>
            <w:tcW w:w="880" w:type="dxa"/>
            <w:vAlign w:val="bottom"/>
          </w:tcPr>
          <w:p w:rsidR="00000000" w:rsidRDefault="00000000">
            <w:pPr>
              <w:jc w:val="right"/>
              <w:rPr>
                <w:sz w:val="18"/>
              </w:rPr>
            </w:pPr>
            <w:r>
              <w:rPr>
                <w:sz w:val="18"/>
              </w:rPr>
              <w:t>1 693,04</w:t>
            </w:r>
          </w:p>
        </w:tc>
        <w:tc>
          <w:tcPr>
            <w:tcW w:w="880" w:type="dxa"/>
            <w:vAlign w:val="bottom"/>
          </w:tcPr>
          <w:p w:rsidR="00000000" w:rsidRDefault="00000000">
            <w:pPr>
              <w:jc w:val="right"/>
              <w:rPr>
                <w:sz w:val="18"/>
              </w:rPr>
            </w:pPr>
            <w:r>
              <w:rPr>
                <w:sz w:val="18"/>
              </w:rPr>
              <w:t>1 986,57</w:t>
            </w:r>
          </w:p>
        </w:tc>
        <w:tc>
          <w:tcPr>
            <w:tcW w:w="880" w:type="dxa"/>
            <w:gridSpan w:val="2"/>
            <w:vAlign w:val="bottom"/>
          </w:tcPr>
          <w:p w:rsidR="00000000" w:rsidRDefault="00000000">
            <w:pPr>
              <w:jc w:val="right"/>
              <w:rPr>
                <w:sz w:val="18"/>
              </w:rPr>
            </w:pPr>
            <w:r>
              <w:rPr>
                <w:sz w:val="18"/>
              </w:rPr>
              <w:t>2 176,87</w:t>
            </w:r>
          </w:p>
        </w:tc>
        <w:tc>
          <w:tcPr>
            <w:tcW w:w="880" w:type="dxa"/>
            <w:vAlign w:val="bottom"/>
          </w:tcPr>
          <w:p w:rsidR="00000000" w:rsidRDefault="00000000">
            <w:pPr>
              <w:jc w:val="right"/>
              <w:rPr>
                <w:sz w:val="18"/>
              </w:rPr>
            </w:pPr>
            <w:r>
              <w:rPr>
                <w:sz w:val="18"/>
              </w:rPr>
              <w:t>884,69</w:t>
            </w:r>
          </w:p>
        </w:tc>
        <w:tc>
          <w:tcPr>
            <w:tcW w:w="880" w:type="dxa"/>
            <w:vAlign w:val="bottom"/>
          </w:tcPr>
          <w:p w:rsidR="00000000" w:rsidRDefault="00000000">
            <w:pPr>
              <w:jc w:val="right"/>
              <w:rPr>
                <w:sz w:val="18"/>
              </w:rPr>
            </w:pPr>
            <w:r>
              <w:rPr>
                <w:sz w:val="18"/>
              </w:rPr>
              <w:t>1 106,95</w:t>
            </w:r>
          </w:p>
        </w:tc>
        <w:tc>
          <w:tcPr>
            <w:tcW w:w="880" w:type="dxa"/>
            <w:vAlign w:val="bottom"/>
          </w:tcPr>
          <w:p w:rsidR="00000000" w:rsidRDefault="00000000">
            <w:pPr>
              <w:jc w:val="right"/>
              <w:rPr>
                <w:sz w:val="18"/>
              </w:rPr>
            </w:pPr>
            <w:r>
              <w:rPr>
                <w:sz w:val="18"/>
              </w:rPr>
              <w:t>1 415,26</w:t>
            </w:r>
          </w:p>
        </w:tc>
        <w:tc>
          <w:tcPr>
            <w:tcW w:w="881" w:type="dxa"/>
            <w:vAlign w:val="bottom"/>
          </w:tcPr>
          <w:p w:rsidR="00000000" w:rsidRDefault="00000000">
            <w:pPr>
              <w:jc w:val="right"/>
              <w:rPr>
                <w:sz w:val="18"/>
              </w:rPr>
            </w:pPr>
            <w:r>
              <w:rPr>
                <w:sz w:val="18"/>
              </w:rPr>
              <w:t>1 674,57</w:t>
            </w:r>
          </w:p>
        </w:tc>
      </w:tr>
      <w:tr w:rsidR="00000000">
        <w:tblPrEx>
          <w:tblCellMar>
            <w:top w:w="0" w:type="dxa"/>
            <w:bottom w:w="0" w:type="dxa"/>
          </w:tblCellMar>
        </w:tblPrEx>
        <w:tc>
          <w:tcPr>
            <w:tcW w:w="2438" w:type="dxa"/>
          </w:tcPr>
          <w:p w:rsidR="00000000" w:rsidRDefault="00000000">
            <w:pPr>
              <w:rPr>
                <w:sz w:val="18"/>
              </w:rPr>
            </w:pPr>
            <w:r>
              <w:rPr>
                <w:sz w:val="18"/>
              </w:rPr>
              <w:t>Производственная сфера</w:t>
            </w:r>
          </w:p>
        </w:tc>
        <w:tc>
          <w:tcPr>
            <w:tcW w:w="880" w:type="dxa"/>
            <w:vAlign w:val="bottom"/>
          </w:tcPr>
          <w:p w:rsidR="00000000" w:rsidRDefault="00000000">
            <w:pPr>
              <w:jc w:val="right"/>
              <w:rPr>
                <w:sz w:val="18"/>
                <w:lang w:val="en-US"/>
              </w:rPr>
            </w:pPr>
            <w:r>
              <w:rPr>
                <w:sz w:val="18"/>
                <w:lang w:val="en-US"/>
              </w:rPr>
              <w:t>723,83</w:t>
            </w:r>
          </w:p>
        </w:tc>
        <w:tc>
          <w:tcPr>
            <w:tcW w:w="880" w:type="dxa"/>
            <w:vAlign w:val="bottom"/>
          </w:tcPr>
          <w:p w:rsidR="00000000" w:rsidRDefault="00000000">
            <w:pPr>
              <w:jc w:val="right"/>
              <w:rPr>
                <w:sz w:val="18"/>
                <w:lang w:val="en-US"/>
              </w:rPr>
            </w:pPr>
            <w:r>
              <w:rPr>
                <w:sz w:val="18"/>
                <w:lang w:val="en-US"/>
              </w:rPr>
              <w:t>929,75</w:t>
            </w:r>
          </w:p>
        </w:tc>
        <w:tc>
          <w:tcPr>
            <w:tcW w:w="880" w:type="dxa"/>
            <w:vAlign w:val="bottom"/>
          </w:tcPr>
          <w:p w:rsidR="00000000" w:rsidRDefault="00000000">
            <w:pPr>
              <w:jc w:val="right"/>
              <w:rPr>
                <w:sz w:val="18"/>
                <w:lang w:val="en-US"/>
              </w:rPr>
            </w:pPr>
            <w:r>
              <w:rPr>
                <w:sz w:val="18"/>
                <w:lang w:val="en-US"/>
              </w:rPr>
              <w:t>1 177,64</w:t>
            </w:r>
          </w:p>
        </w:tc>
        <w:tc>
          <w:tcPr>
            <w:tcW w:w="880" w:type="dxa"/>
            <w:gridSpan w:val="2"/>
            <w:vAlign w:val="bottom"/>
          </w:tcPr>
          <w:p w:rsidR="00000000" w:rsidRDefault="00000000">
            <w:pPr>
              <w:jc w:val="right"/>
              <w:rPr>
                <w:sz w:val="18"/>
                <w:lang w:val="en-US"/>
              </w:rPr>
            </w:pPr>
            <w:r>
              <w:rPr>
                <w:sz w:val="18"/>
                <w:lang w:val="en-US"/>
              </w:rPr>
              <w:t>1 379,31</w:t>
            </w:r>
          </w:p>
        </w:tc>
        <w:tc>
          <w:tcPr>
            <w:tcW w:w="880" w:type="dxa"/>
            <w:vAlign w:val="bottom"/>
          </w:tcPr>
          <w:p w:rsidR="00000000" w:rsidRDefault="00000000">
            <w:pPr>
              <w:jc w:val="right"/>
              <w:rPr>
                <w:sz w:val="18"/>
                <w:lang w:val="en-US"/>
              </w:rPr>
            </w:pPr>
            <w:r>
              <w:rPr>
                <w:sz w:val="18"/>
                <w:lang w:val="en-US"/>
              </w:rPr>
              <w:t>602,04</w:t>
            </w:r>
          </w:p>
        </w:tc>
        <w:tc>
          <w:tcPr>
            <w:tcW w:w="880" w:type="dxa"/>
            <w:vAlign w:val="bottom"/>
          </w:tcPr>
          <w:p w:rsidR="00000000" w:rsidRDefault="00000000">
            <w:pPr>
              <w:jc w:val="right"/>
              <w:rPr>
                <w:sz w:val="18"/>
                <w:lang w:val="en-US"/>
              </w:rPr>
            </w:pPr>
            <w:r>
              <w:rPr>
                <w:sz w:val="18"/>
                <w:lang w:val="en-US"/>
              </w:rPr>
              <w:t>766,75</w:t>
            </w:r>
          </w:p>
        </w:tc>
        <w:tc>
          <w:tcPr>
            <w:tcW w:w="880" w:type="dxa"/>
            <w:vAlign w:val="bottom"/>
          </w:tcPr>
          <w:p w:rsidR="00000000" w:rsidRDefault="00000000">
            <w:pPr>
              <w:jc w:val="right"/>
              <w:rPr>
                <w:sz w:val="18"/>
                <w:lang w:val="en-US"/>
              </w:rPr>
            </w:pPr>
            <w:r>
              <w:rPr>
                <w:sz w:val="18"/>
                <w:lang w:val="en-US"/>
              </w:rPr>
              <w:t>962,55</w:t>
            </w:r>
          </w:p>
        </w:tc>
        <w:tc>
          <w:tcPr>
            <w:tcW w:w="881" w:type="dxa"/>
            <w:vAlign w:val="bottom"/>
          </w:tcPr>
          <w:p w:rsidR="00000000" w:rsidRDefault="00000000">
            <w:pPr>
              <w:jc w:val="right"/>
              <w:rPr>
                <w:sz w:val="18"/>
                <w:lang w:val="en-US"/>
              </w:rPr>
            </w:pPr>
            <w:r>
              <w:rPr>
                <w:sz w:val="18"/>
                <w:lang w:val="en-US"/>
              </w:rPr>
              <w:t>1 114,81</w:t>
            </w:r>
          </w:p>
        </w:tc>
      </w:tr>
      <w:tr w:rsidR="00000000">
        <w:tblPrEx>
          <w:tblCellMar>
            <w:top w:w="0" w:type="dxa"/>
            <w:bottom w:w="0" w:type="dxa"/>
          </w:tblCellMar>
        </w:tblPrEx>
        <w:tc>
          <w:tcPr>
            <w:tcW w:w="2438" w:type="dxa"/>
          </w:tcPr>
          <w:p w:rsidR="00000000" w:rsidRDefault="00000000">
            <w:pPr>
              <w:tabs>
                <w:tab w:val="clear" w:pos="567"/>
                <w:tab w:val="left" w:pos="284"/>
              </w:tabs>
              <w:rPr>
                <w:sz w:val="18"/>
              </w:rPr>
            </w:pPr>
            <w:r>
              <w:rPr>
                <w:sz w:val="18"/>
              </w:rPr>
              <w:t>-</w:t>
            </w:r>
            <w:r>
              <w:rPr>
                <w:sz w:val="18"/>
              </w:rPr>
              <w:tab/>
              <w:t>энергетика</w:t>
            </w:r>
          </w:p>
          <w:p w:rsidR="00000000" w:rsidRDefault="00000000">
            <w:pPr>
              <w:tabs>
                <w:tab w:val="clear" w:pos="567"/>
                <w:tab w:val="left" w:pos="284"/>
              </w:tabs>
              <w:rPr>
                <w:sz w:val="18"/>
              </w:rPr>
            </w:pPr>
            <w:r>
              <w:rPr>
                <w:sz w:val="18"/>
              </w:rPr>
              <w:t>-</w:t>
            </w:r>
            <w:r>
              <w:rPr>
                <w:sz w:val="18"/>
              </w:rPr>
              <w:tab/>
              <w:t>газовая промышленность</w:t>
            </w:r>
          </w:p>
          <w:p w:rsidR="00000000" w:rsidRDefault="00000000">
            <w:pPr>
              <w:tabs>
                <w:tab w:val="clear" w:pos="567"/>
                <w:tab w:val="left" w:pos="284"/>
              </w:tabs>
              <w:rPr>
                <w:sz w:val="18"/>
              </w:rPr>
            </w:pPr>
            <w:r>
              <w:rPr>
                <w:sz w:val="18"/>
              </w:rPr>
              <w:t>-</w:t>
            </w:r>
            <w:r>
              <w:rPr>
                <w:sz w:val="18"/>
              </w:rPr>
              <w:tab/>
              <w:t>водоснабжение</w:t>
            </w:r>
          </w:p>
        </w:tc>
        <w:tc>
          <w:tcPr>
            <w:tcW w:w="880" w:type="dxa"/>
            <w:vAlign w:val="bottom"/>
          </w:tcPr>
          <w:p w:rsidR="00000000" w:rsidRDefault="00000000">
            <w:pPr>
              <w:jc w:val="right"/>
              <w:rPr>
                <w:sz w:val="18"/>
              </w:rPr>
            </w:pPr>
            <w:r>
              <w:rPr>
                <w:sz w:val="18"/>
              </w:rPr>
              <w:t>1 015,77</w:t>
            </w:r>
          </w:p>
        </w:tc>
        <w:tc>
          <w:tcPr>
            <w:tcW w:w="880" w:type="dxa"/>
            <w:vAlign w:val="bottom"/>
          </w:tcPr>
          <w:p w:rsidR="00000000" w:rsidRDefault="00000000">
            <w:pPr>
              <w:jc w:val="right"/>
              <w:rPr>
                <w:sz w:val="18"/>
              </w:rPr>
            </w:pPr>
            <w:r>
              <w:rPr>
                <w:sz w:val="18"/>
              </w:rPr>
              <w:t>1 266,72</w:t>
            </w:r>
          </w:p>
        </w:tc>
        <w:tc>
          <w:tcPr>
            <w:tcW w:w="880" w:type="dxa"/>
            <w:vAlign w:val="bottom"/>
          </w:tcPr>
          <w:p w:rsidR="00000000" w:rsidRDefault="00000000">
            <w:pPr>
              <w:jc w:val="right"/>
              <w:rPr>
                <w:sz w:val="18"/>
              </w:rPr>
            </w:pPr>
            <w:r>
              <w:rPr>
                <w:sz w:val="18"/>
              </w:rPr>
              <w:t>1 494,19</w:t>
            </w:r>
          </w:p>
        </w:tc>
        <w:tc>
          <w:tcPr>
            <w:tcW w:w="880" w:type="dxa"/>
            <w:gridSpan w:val="2"/>
            <w:vAlign w:val="bottom"/>
          </w:tcPr>
          <w:p w:rsidR="00000000" w:rsidRDefault="00000000">
            <w:pPr>
              <w:jc w:val="right"/>
              <w:rPr>
                <w:sz w:val="18"/>
              </w:rPr>
            </w:pPr>
            <w:r>
              <w:rPr>
                <w:sz w:val="18"/>
              </w:rPr>
              <w:t>1 637,81</w:t>
            </w:r>
          </w:p>
        </w:tc>
        <w:tc>
          <w:tcPr>
            <w:tcW w:w="880" w:type="dxa"/>
            <w:vAlign w:val="bottom"/>
          </w:tcPr>
          <w:p w:rsidR="00000000" w:rsidRDefault="00000000">
            <w:pPr>
              <w:jc w:val="right"/>
              <w:rPr>
                <w:sz w:val="18"/>
              </w:rPr>
            </w:pPr>
            <w:r>
              <w:rPr>
                <w:sz w:val="18"/>
              </w:rPr>
              <w:t>849,61</w:t>
            </w:r>
          </w:p>
        </w:tc>
        <w:tc>
          <w:tcPr>
            <w:tcW w:w="880" w:type="dxa"/>
            <w:vAlign w:val="bottom"/>
          </w:tcPr>
          <w:p w:rsidR="00000000" w:rsidRDefault="00000000">
            <w:pPr>
              <w:jc w:val="right"/>
              <w:rPr>
                <w:sz w:val="18"/>
              </w:rPr>
            </w:pPr>
            <w:r>
              <w:rPr>
                <w:sz w:val="18"/>
              </w:rPr>
              <w:t>1 016,21</w:t>
            </w:r>
          </w:p>
        </w:tc>
        <w:tc>
          <w:tcPr>
            <w:tcW w:w="880" w:type="dxa"/>
            <w:vAlign w:val="bottom"/>
          </w:tcPr>
          <w:p w:rsidR="00000000" w:rsidRDefault="00000000">
            <w:pPr>
              <w:jc w:val="right"/>
              <w:rPr>
                <w:sz w:val="18"/>
              </w:rPr>
            </w:pPr>
            <w:r>
              <w:rPr>
                <w:sz w:val="18"/>
              </w:rPr>
              <w:t>1 202,77</w:t>
            </w:r>
          </w:p>
        </w:tc>
        <w:tc>
          <w:tcPr>
            <w:tcW w:w="881" w:type="dxa"/>
            <w:vAlign w:val="bottom"/>
          </w:tcPr>
          <w:p w:rsidR="00000000" w:rsidRDefault="00000000">
            <w:pPr>
              <w:jc w:val="right"/>
              <w:rPr>
                <w:sz w:val="18"/>
              </w:rPr>
            </w:pPr>
            <w:r>
              <w:rPr>
                <w:sz w:val="18"/>
              </w:rPr>
              <w:t>1 524,69</w:t>
            </w:r>
          </w:p>
        </w:tc>
      </w:tr>
      <w:tr w:rsidR="00000000">
        <w:tblPrEx>
          <w:tblCellMar>
            <w:top w:w="0" w:type="dxa"/>
            <w:bottom w:w="0" w:type="dxa"/>
          </w:tblCellMar>
        </w:tblPrEx>
        <w:tc>
          <w:tcPr>
            <w:tcW w:w="2438" w:type="dxa"/>
          </w:tcPr>
          <w:p w:rsidR="00000000" w:rsidRDefault="00000000">
            <w:pPr>
              <w:rPr>
                <w:sz w:val="18"/>
              </w:rPr>
            </w:pPr>
            <w:r>
              <w:rPr>
                <w:sz w:val="18"/>
              </w:rPr>
              <w:t>Строительство</w:t>
            </w:r>
          </w:p>
        </w:tc>
        <w:tc>
          <w:tcPr>
            <w:tcW w:w="880" w:type="dxa"/>
            <w:vAlign w:val="bottom"/>
          </w:tcPr>
          <w:p w:rsidR="00000000" w:rsidRDefault="00000000">
            <w:pPr>
              <w:jc w:val="right"/>
              <w:rPr>
                <w:sz w:val="18"/>
              </w:rPr>
            </w:pPr>
            <w:r>
              <w:rPr>
                <w:sz w:val="18"/>
              </w:rPr>
              <w:t>649,04</w:t>
            </w:r>
          </w:p>
        </w:tc>
        <w:tc>
          <w:tcPr>
            <w:tcW w:w="880" w:type="dxa"/>
            <w:vAlign w:val="bottom"/>
          </w:tcPr>
          <w:p w:rsidR="00000000" w:rsidRDefault="00000000">
            <w:pPr>
              <w:jc w:val="right"/>
              <w:rPr>
                <w:sz w:val="18"/>
              </w:rPr>
            </w:pPr>
            <w:r>
              <w:rPr>
                <w:sz w:val="18"/>
              </w:rPr>
              <w:t>852,08</w:t>
            </w:r>
          </w:p>
        </w:tc>
        <w:tc>
          <w:tcPr>
            <w:tcW w:w="880" w:type="dxa"/>
            <w:vAlign w:val="bottom"/>
          </w:tcPr>
          <w:p w:rsidR="00000000" w:rsidRDefault="00000000">
            <w:pPr>
              <w:jc w:val="right"/>
              <w:rPr>
                <w:sz w:val="18"/>
              </w:rPr>
            </w:pPr>
            <w:r>
              <w:rPr>
                <w:sz w:val="18"/>
              </w:rPr>
              <w:t>1 056,49</w:t>
            </w:r>
          </w:p>
        </w:tc>
        <w:tc>
          <w:tcPr>
            <w:tcW w:w="880" w:type="dxa"/>
            <w:gridSpan w:val="2"/>
            <w:vAlign w:val="bottom"/>
          </w:tcPr>
          <w:p w:rsidR="00000000" w:rsidRDefault="00000000">
            <w:pPr>
              <w:jc w:val="right"/>
              <w:rPr>
                <w:sz w:val="18"/>
              </w:rPr>
            </w:pPr>
            <w:r>
              <w:rPr>
                <w:sz w:val="18"/>
              </w:rPr>
              <w:t>1 379,52</w:t>
            </w:r>
          </w:p>
        </w:tc>
        <w:tc>
          <w:tcPr>
            <w:tcW w:w="880" w:type="dxa"/>
            <w:vAlign w:val="bottom"/>
          </w:tcPr>
          <w:p w:rsidR="00000000" w:rsidRDefault="00000000">
            <w:pPr>
              <w:jc w:val="right"/>
              <w:rPr>
                <w:sz w:val="18"/>
              </w:rPr>
            </w:pPr>
            <w:r>
              <w:rPr>
                <w:sz w:val="18"/>
              </w:rPr>
              <w:t>586,61</w:t>
            </w:r>
          </w:p>
        </w:tc>
        <w:tc>
          <w:tcPr>
            <w:tcW w:w="880" w:type="dxa"/>
            <w:vAlign w:val="bottom"/>
          </w:tcPr>
          <w:p w:rsidR="00000000" w:rsidRDefault="00000000">
            <w:pPr>
              <w:jc w:val="right"/>
              <w:rPr>
                <w:sz w:val="18"/>
              </w:rPr>
            </w:pPr>
            <w:r>
              <w:rPr>
                <w:sz w:val="18"/>
              </w:rPr>
              <w:t>741,68</w:t>
            </w:r>
          </w:p>
        </w:tc>
        <w:tc>
          <w:tcPr>
            <w:tcW w:w="880" w:type="dxa"/>
            <w:vAlign w:val="bottom"/>
          </w:tcPr>
          <w:p w:rsidR="00000000" w:rsidRDefault="00000000">
            <w:pPr>
              <w:jc w:val="right"/>
              <w:rPr>
                <w:sz w:val="18"/>
              </w:rPr>
            </w:pPr>
            <w:r>
              <w:rPr>
                <w:sz w:val="18"/>
              </w:rPr>
              <w:t>948,24</w:t>
            </w:r>
          </w:p>
        </w:tc>
        <w:tc>
          <w:tcPr>
            <w:tcW w:w="881" w:type="dxa"/>
            <w:vAlign w:val="bottom"/>
          </w:tcPr>
          <w:p w:rsidR="00000000" w:rsidRDefault="00000000">
            <w:pPr>
              <w:jc w:val="right"/>
              <w:rPr>
                <w:sz w:val="18"/>
              </w:rPr>
            </w:pPr>
            <w:r>
              <w:rPr>
                <w:sz w:val="18"/>
              </w:rPr>
              <w:t>1 118,20</w:t>
            </w:r>
          </w:p>
        </w:tc>
      </w:tr>
      <w:tr w:rsidR="00000000">
        <w:tblPrEx>
          <w:tblCellMar>
            <w:top w:w="0" w:type="dxa"/>
            <w:bottom w:w="0" w:type="dxa"/>
          </w:tblCellMar>
        </w:tblPrEx>
        <w:tc>
          <w:tcPr>
            <w:tcW w:w="2438" w:type="dxa"/>
          </w:tcPr>
          <w:p w:rsidR="00000000" w:rsidRDefault="00000000">
            <w:pPr>
              <w:spacing w:line="240" w:lineRule="auto"/>
              <w:rPr>
                <w:sz w:val="18"/>
              </w:rPr>
            </w:pPr>
            <w:r>
              <w:rPr>
                <w:sz w:val="18"/>
              </w:rPr>
              <w:t>Торговля и ремонтные работы</w:t>
            </w:r>
          </w:p>
        </w:tc>
        <w:tc>
          <w:tcPr>
            <w:tcW w:w="880" w:type="dxa"/>
            <w:vAlign w:val="bottom"/>
          </w:tcPr>
          <w:p w:rsidR="00000000" w:rsidRDefault="00000000">
            <w:pPr>
              <w:jc w:val="right"/>
              <w:rPr>
                <w:sz w:val="18"/>
              </w:rPr>
            </w:pPr>
            <w:r>
              <w:rPr>
                <w:sz w:val="18"/>
              </w:rPr>
              <w:t>843,93</w:t>
            </w:r>
          </w:p>
        </w:tc>
        <w:tc>
          <w:tcPr>
            <w:tcW w:w="880" w:type="dxa"/>
            <w:vAlign w:val="bottom"/>
          </w:tcPr>
          <w:p w:rsidR="00000000" w:rsidRDefault="00000000">
            <w:pPr>
              <w:jc w:val="right"/>
              <w:rPr>
                <w:sz w:val="18"/>
              </w:rPr>
            </w:pPr>
            <w:r>
              <w:rPr>
                <w:sz w:val="18"/>
              </w:rPr>
              <w:t>1 070,66</w:t>
            </w:r>
          </w:p>
        </w:tc>
        <w:tc>
          <w:tcPr>
            <w:tcW w:w="880" w:type="dxa"/>
            <w:vAlign w:val="bottom"/>
          </w:tcPr>
          <w:p w:rsidR="00000000" w:rsidRDefault="00000000">
            <w:pPr>
              <w:jc w:val="right"/>
              <w:rPr>
                <w:sz w:val="18"/>
              </w:rPr>
            </w:pPr>
            <w:r>
              <w:rPr>
                <w:sz w:val="18"/>
              </w:rPr>
              <w:t>1 330,84</w:t>
            </w:r>
          </w:p>
        </w:tc>
        <w:tc>
          <w:tcPr>
            <w:tcW w:w="880" w:type="dxa"/>
            <w:gridSpan w:val="2"/>
            <w:vAlign w:val="bottom"/>
          </w:tcPr>
          <w:p w:rsidR="00000000" w:rsidRDefault="00000000">
            <w:pPr>
              <w:jc w:val="right"/>
              <w:rPr>
                <w:sz w:val="18"/>
              </w:rPr>
            </w:pPr>
            <w:r>
              <w:rPr>
                <w:sz w:val="18"/>
              </w:rPr>
              <w:t>1 619,96</w:t>
            </w:r>
          </w:p>
        </w:tc>
        <w:tc>
          <w:tcPr>
            <w:tcW w:w="880" w:type="dxa"/>
            <w:vAlign w:val="bottom"/>
          </w:tcPr>
          <w:p w:rsidR="00000000" w:rsidRDefault="00000000">
            <w:pPr>
              <w:jc w:val="right"/>
              <w:rPr>
                <w:sz w:val="18"/>
              </w:rPr>
            </w:pPr>
            <w:r>
              <w:rPr>
                <w:sz w:val="18"/>
              </w:rPr>
              <w:t>548,18</w:t>
            </w:r>
          </w:p>
        </w:tc>
        <w:tc>
          <w:tcPr>
            <w:tcW w:w="880" w:type="dxa"/>
            <w:vAlign w:val="bottom"/>
          </w:tcPr>
          <w:p w:rsidR="00000000" w:rsidRDefault="00000000">
            <w:pPr>
              <w:jc w:val="right"/>
              <w:rPr>
                <w:sz w:val="18"/>
              </w:rPr>
            </w:pPr>
            <w:r>
              <w:rPr>
                <w:sz w:val="18"/>
              </w:rPr>
              <w:t>689,26</w:t>
            </w:r>
          </w:p>
        </w:tc>
        <w:tc>
          <w:tcPr>
            <w:tcW w:w="880" w:type="dxa"/>
            <w:vAlign w:val="bottom"/>
          </w:tcPr>
          <w:p w:rsidR="00000000" w:rsidRDefault="00000000">
            <w:pPr>
              <w:jc w:val="right"/>
              <w:rPr>
                <w:sz w:val="18"/>
              </w:rPr>
            </w:pPr>
            <w:r>
              <w:rPr>
                <w:sz w:val="18"/>
              </w:rPr>
              <w:t>864,84</w:t>
            </w:r>
          </w:p>
        </w:tc>
        <w:tc>
          <w:tcPr>
            <w:tcW w:w="881" w:type="dxa"/>
            <w:vAlign w:val="bottom"/>
          </w:tcPr>
          <w:p w:rsidR="00000000" w:rsidRDefault="00000000">
            <w:pPr>
              <w:jc w:val="right"/>
              <w:rPr>
                <w:sz w:val="18"/>
              </w:rPr>
            </w:pPr>
            <w:r>
              <w:rPr>
                <w:sz w:val="18"/>
              </w:rPr>
              <w:t>1 014,62</w:t>
            </w:r>
          </w:p>
        </w:tc>
      </w:tr>
      <w:tr w:rsidR="00000000">
        <w:tblPrEx>
          <w:tblCellMar>
            <w:top w:w="0" w:type="dxa"/>
            <w:bottom w:w="0" w:type="dxa"/>
          </w:tblCellMar>
        </w:tblPrEx>
        <w:tc>
          <w:tcPr>
            <w:tcW w:w="2438" w:type="dxa"/>
          </w:tcPr>
          <w:p w:rsidR="00000000" w:rsidRDefault="00000000">
            <w:pPr>
              <w:rPr>
                <w:sz w:val="18"/>
              </w:rPr>
            </w:pPr>
            <w:r>
              <w:rPr>
                <w:sz w:val="18"/>
              </w:rPr>
              <w:t>Гостиницы и рестораны</w:t>
            </w:r>
          </w:p>
        </w:tc>
        <w:tc>
          <w:tcPr>
            <w:tcW w:w="880" w:type="dxa"/>
            <w:vAlign w:val="bottom"/>
          </w:tcPr>
          <w:p w:rsidR="00000000" w:rsidRDefault="00000000">
            <w:pPr>
              <w:jc w:val="right"/>
              <w:rPr>
                <w:sz w:val="18"/>
              </w:rPr>
            </w:pPr>
            <w:r>
              <w:rPr>
                <w:sz w:val="18"/>
              </w:rPr>
              <w:t>594,27</w:t>
            </w:r>
          </w:p>
        </w:tc>
        <w:tc>
          <w:tcPr>
            <w:tcW w:w="880" w:type="dxa"/>
            <w:vAlign w:val="bottom"/>
          </w:tcPr>
          <w:p w:rsidR="00000000" w:rsidRDefault="00000000">
            <w:pPr>
              <w:jc w:val="right"/>
              <w:rPr>
                <w:sz w:val="18"/>
              </w:rPr>
            </w:pPr>
            <w:r>
              <w:rPr>
                <w:sz w:val="18"/>
              </w:rPr>
              <w:t>743,76</w:t>
            </w:r>
          </w:p>
        </w:tc>
        <w:tc>
          <w:tcPr>
            <w:tcW w:w="880" w:type="dxa"/>
            <w:vAlign w:val="bottom"/>
          </w:tcPr>
          <w:p w:rsidR="00000000" w:rsidRDefault="00000000">
            <w:pPr>
              <w:jc w:val="right"/>
              <w:rPr>
                <w:sz w:val="18"/>
              </w:rPr>
            </w:pPr>
            <w:r>
              <w:rPr>
                <w:sz w:val="18"/>
              </w:rPr>
              <w:t>939,66</w:t>
            </w:r>
          </w:p>
        </w:tc>
        <w:tc>
          <w:tcPr>
            <w:tcW w:w="880" w:type="dxa"/>
            <w:gridSpan w:val="2"/>
            <w:vAlign w:val="bottom"/>
          </w:tcPr>
          <w:p w:rsidR="00000000" w:rsidRDefault="00000000">
            <w:pPr>
              <w:jc w:val="right"/>
              <w:rPr>
                <w:sz w:val="18"/>
              </w:rPr>
            </w:pPr>
            <w:r>
              <w:rPr>
                <w:sz w:val="18"/>
              </w:rPr>
              <w:t>1 320,65</w:t>
            </w:r>
          </w:p>
        </w:tc>
        <w:tc>
          <w:tcPr>
            <w:tcW w:w="880" w:type="dxa"/>
            <w:vAlign w:val="bottom"/>
          </w:tcPr>
          <w:p w:rsidR="00000000" w:rsidRDefault="00000000">
            <w:pPr>
              <w:jc w:val="right"/>
              <w:rPr>
                <w:sz w:val="18"/>
              </w:rPr>
            </w:pPr>
            <w:r>
              <w:rPr>
                <w:sz w:val="18"/>
              </w:rPr>
              <w:t>428,96</w:t>
            </w:r>
          </w:p>
        </w:tc>
        <w:tc>
          <w:tcPr>
            <w:tcW w:w="880" w:type="dxa"/>
            <w:vAlign w:val="bottom"/>
          </w:tcPr>
          <w:p w:rsidR="00000000" w:rsidRDefault="00000000">
            <w:pPr>
              <w:jc w:val="right"/>
              <w:rPr>
                <w:sz w:val="18"/>
              </w:rPr>
            </w:pPr>
            <w:r>
              <w:rPr>
                <w:sz w:val="18"/>
              </w:rPr>
              <w:t>530,41</w:t>
            </w:r>
          </w:p>
        </w:tc>
        <w:tc>
          <w:tcPr>
            <w:tcW w:w="880" w:type="dxa"/>
            <w:vAlign w:val="bottom"/>
          </w:tcPr>
          <w:p w:rsidR="00000000" w:rsidRDefault="00000000">
            <w:pPr>
              <w:jc w:val="right"/>
              <w:rPr>
                <w:sz w:val="18"/>
              </w:rPr>
            </w:pPr>
            <w:r>
              <w:rPr>
                <w:sz w:val="18"/>
              </w:rPr>
              <w:t>675,30</w:t>
            </w:r>
          </w:p>
        </w:tc>
        <w:tc>
          <w:tcPr>
            <w:tcW w:w="881" w:type="dxa"/>
            <w:vAlign w:val="bottom"/>
          </w:tcPr>
          <w:p w:rsidR="00000000" w:rsidRDefault="00000000">
            <w:pPr>
              <w:jc w:val="right"/>
              <w:rPr>
                <w:sz w:val="18"/>
              </w:rPr>
            </w:pPr>
            <w:r>
              <w:rPr>
                <w:sz w:val="18"/>
              </w:rPr>
              <w:t>807,53</w:t>
            </w:r>
          </w:p>
        </w:tc>
      </w:tr>
      <w:tr w:rsidR="00000000">
        <w:tblPrEx>
          <w:tblCellMar>
            <w:top w:w="0" w:type="dxa"/>
            <w:bottom w:w="0" w:type="dxa"/>
          </w:tblCellMar>
        </w:tblPrEx>
        <w:tc>
          <w:tcPr>
            <w:tcW w:w="2438" w:type="dxa"/>
          </w:tcPr>
          <w:p w:rsidR="00000000" w:rsidRDefault="00000000">
            <w:pPr>
              <w:spacing w:line="240" w:lineRule="auto"/>
              <w:rPr>
                <w:sz w:val="18"/>
              </w:rPr>
            </w:pPr>
            <w:r>
              <w:rPr>
                <w:sz w:val="18"/>
              </w:rPr>
              <w:t>Транспорт, складское хозяйство и связь</w:t>
            </w:r>
          </w:p>
        </w:tc>
        <w:tc>
          <w:tcPr>
            <w:tcW w:w="880" w:type="dxa"/>
            <w:vAlign w:val="bottom"/>
          </w:tcPr>
          <w:p w:rsidR="00000000" w:rsidRDefault="00000000">
            <w:pPr>
              <w:jc w:val="right"/>
              <w:rPr>
                <w:sz w:val="18"/>
              </w:rPr>
            </w:pPr>
            <w:r>
              <w:rPr>
                <w:sz w:val="18"/>
              </w:rPr>
              <w:t>728,17</w:t>
            </w:r>
          </w:p>
        </w:tc>
        <w:tc>
          <w:tcPr>
            <w:tcW w:w="880" w:type="dxa"/>
            <w:vAlign w:val="bottom"/>
          </w:tcPr>
          <w:p w:rsidR="00000000" w:rsidRDefault="00000000">
            <w:pPr>
              <w:jc w:val="right"/>
              <w:rPr>
                <w:sz w:val="18"/>
              </w:rPr>
            </w:pPr>
            <w:r>
              <w:rPr>
                <w:sz w:val="18"/>
              </w:rPr>
              <w:t>928,73</w:t>
            </w:r>
          </w:p>
        </w:tc>
        <w:tc>
          <w:tcPr>
            <w:tcW w:w="880" w:type="dxa"/>
            <w:vAlign w:val="bottom"/>
          </w:tcPr>
          <w:p w:rsidR="00000000" w:rsidRDefault="00000000">
            <w:pPr>
              <w:jc w:val="right"/>
              <w:rPr>
                <w:sz w:val="18"/>
              </w:rPr>
            </w:pPr>
            <w:r>
              <w:rPr>
                <w:sz w:val="18"/>
              </w:rPr>
              <w:t>1 157,17</w:t>
            </w:r>
          </w:p>
        </w:tc>
        <w:tc>
          <w:tcPr>
            <w:tcW w:w="880" w:type="dxa"/>
            <w:gridSpan w:val="2"/>
            <w:vAlign w:val="bottom"/>
          </w:tcPr>
          <w:p w:rsidR="00000000" w:rsidRDefault="00000000">
            <w:pPr>
              <w:jc w:val="right"/>
              <w:rPr>
                <w:sz w:val="18"/>
              </w:rPr>
            </w:pPr>
            <w:r>
              <w:rPr>
                <w:sz w:val="18"/>
              </w:rPr>
              <w:t>1 371,90</w:t>
            </w:r>
          </w:p>
        </w:tc>
        <w:tc>
          <w:tcPr>
            <w:tcW w:w="880" w:type="dxa"/>
            <w:vAlign w:val="bottom"/>
          </w:tcPr>
          <w:p w:rsidR="00000000" w:rsidRDefault="00000000">
            <w:pPr>
              <w:jc w:val="right"/>
              <w:rPr>
                <w:sz w:val="18"/>
              </w:rPr>
            </w:pPr>
            <w:r>
              <w:rPr>
                <w:sz w:val="18"/>
              </w:rPr>
              <w:t>718,77</w:t>
            </w:r>
          </w:p>
        </w:tc>
        <w:tc>
          <w:tcPr>
            <w:tcW w:w="880" w:type="dxa"/>
            <w:vAlign w:val="bottom"/>
          </w:tcPr>
          <w:p w:rsidR="00000000" w:rsidRDefault="00000000">
            <w:pPr>
              <w:jc w:val="right"/>
              <w:rPr>
                <w:sz w:val="18"/>
              </w:rPr>
            </w:pPr>
            <w:r>
              <w:rPr>
                <w:sz w:val="18"/>
              </w:rPr>
              <w:t>854,19</w:t>
            </w:r>
          </w:p>
        </w:tc>
        <w:tc>
          <w:tcPr>
            <w:tcW w:w="880" w:type="dxa"/>
            <w:vAlign w:val="bottom"/>
          </w:tcPr>
          <w:p w:rsidR="00000000" w:rsidRDefault="00000000">
            <w:pPr>
              <w:jc w:val="right"/>
              <w:rPr>
                <w:sz w:val="18"/>
              </w:rPr>
            </w:pPr>
            <w:r>
              <w:rPr>
                <w:sz w:val="18"/>
              </w:rPr>
              <w:t>1 038,96</w:t>
            </w:r>
          </w:p>
        </w:tc>
        <w:tc>
          <w:tcPr>
            <w:tcW w:w="881" w:type="dxa"/>
            <w:vAlign w:val="bottom"/>
          </w:tcPr>
          <w:p w:rsidR="00000000" w:rsidRDefault="00000000">
            <w:pPr>
              <w:jc w:val="right"/>
              <w:rPr>
                <w:sz w:val="18"/>
              </w:rPr>
            </w:pPr>
            <w:r>
              <w:rPr>
                <w:sz w:val="18"/>
              </w:rPr>
              <w:t>1 226,40</w:t>
            </w:r>
          </w:p>
        </w:tc>
      </w:tr>
      <w:tr w:rsidR="00000000">
        <w:tblPrEx>
          <w:tblCellMar>
            <w:top w:w="0" w:type="dxa"/>
            <w:bottom w:w="0" w:type="dxa"/>
          </w:tblCellMar>
        </w:tblPrEx>
        <w:tc>
          <w:tcPr>
            <w:tcW w:w="2438" w:type="dxa"/>
          </w:tcPr>
          <w:p w:rsidR="00000000" w:rsidRDefault="00000000">
            <w:pPr>
              <w:spacing w:line="240" w:lineRule="auto"/>
              <w:rPr>
                <w:sz w:val="18"/>
              </w:rPr>
            </w:pPr>
            <w:r>
              <w:rPr>
                <w:sz w:val="18"/>
              </w:rPr>
              <w:t>Посреднические финансовые услуги</w:t>
            </w:r>
          </w:p>
        </w:tc>
        <w:tc>
          <w:tcPr>
            <w:tcW w:w="880" w:type="dxa"/>
            <w:vAlign w:val="bottom"/>
          </w:tcPr>
          <w:p w:rsidR="00000000" w:rsidRDefault="00000000">
            <w:pPr>
              <w:jc w:val="right"/>
              <w:rPr>
                <w:sz w:val="18"/>
              </w:rPr>
            </w:pPr>
            <w:r>
              <w:rPr>
                <w:sz w:val="18"/>
              </w:rPr>
              <w:t>973,37</w:t>
            </w:r>
          </w:p>
        </w:tc>
        <w:tc>
          <w:tcPr>
            <w:tcW w:w="880" w:type="dxa"/>
            <w:vAlign w:val="bottom"/>
          </w:tcPr>
          <w:p w:rsidR="00000000" w:rsidRDefault="00000000">
            <w:pPr>
              <w:jc w:val="right"/>
              <w:rPr>
                <w:sz w:val="18"/>
              </w:rPr>
            </w:pPr>
            <w:r>
              <w:rPr>
                <w:sz w:val="18"/>
              </w:rPr>
              <w:t>1 271,36</w:t>
            </w:r>
          </w:p>
        </w:tc>
        <w:tc>
          <w:tcPr>
            <w:tcW w:w="880" w:type="dxa"/>
            <w:vAlign w:val="bottom"/>
          </w:tcPr>
          <w:p w:rsidR="00000000" w:rsidRDefault="00000000">
            <w:pPr>
              <w:jc w:val="right"/>
              <w:rPr>
                <w:sz w:val="18"/>
              </w:rPr>
            </w:pPr>
            <w:r>
              <w:rPr>
                <w:sz w:val="18"/>
              </w:rPr>
              <w:t>1 540,16</w:t>
            </w:r>
          </w:p>
        </w:tc>
        <w:tc>
          <w:tcPr>
            <w:tcW w:w="880" w:type="dxa"/>
            <w:gridSpan w:val="2"/>
            <w:vAlign w:val="bottom"/>
          </w:tcPr>
          <w:p w:rsidR="00000000" w:rsidRDefault="00000000">
            <w:pPr>
              <w:jc w:val="right"/>
              <w:rPr>
                <w:sz w:val="18"/>
              </w:rPr>
            </w:pPr>
            <w:r>
              <w:rPr>
                <w:sz w:val="18"/>
              </w:rPr>
              <w:t>1 749,30</w:t>
            </w:r>
          </w:p>
        </w:tc>
        <w:tc>
          <w:tcPr>
            <w:tcW w:w="880" w:type="dxa"/>
            <w:vAlign w:val="bottom"/>
          </w:tcPr>
          <w:p w:rsidR="00000000" w:rsidRDefault="00000000">
            <w:pPr>
              <w:jc w:val="right"/>
              <w:rPr>
                <w:sz w:val="18"/>
              </w:rPr>
            </w:pPr>
            <w:r>
              <w:rPr>
                <w:sz w:val="18"/>
              </w:rPr>
              <w:t>1 062,93</w:t>
            </w:r>
          </w:p>
        </w:tc>
        <w:tc>
          <w:tcPr>
            <w:tcW w:w="880" w:type="dxa"/>
            <w:vAlign w:val="bottom"/>
          </w:tcPr>
          <w:p w:rsidR="00000000" w:rsidRDefault="00000000">
            <w:pPr>
              <w:jc w:val="right"/>
              <w:rPr>
                <w:sz w:val="18"/>
              </w:rPr>
            </w:pPr>
            <w:r>
              <w:rPr>
                <w:sz w:val="18"/>
              </w:rPr>
              <w:t>1 388,93</w:t>
            </w:r>
          </w:p>
        </w:tc>
        <w:tc>
          <w:tcPr>
            <w:tcW w:w="880" w:type="dxa"/>
            <w:vAlign w:val="bottom"/>
          </w:tcPr>
          <w:p w:rsidR="00000000" w:rsidRDefault="00000000">
            <w:pPr>
              <w:jc w:val="right"/>
              <w:rPr>
                <w:sz w:val="18"/>
              </w:rPr>
            </w:pPr>
            <w:r>
              <w:rPr>
                <w:sz w:val="18"/>
              </w:rPr>
              <w:t>1 810,11</w:t>
            </w:r>
          </w:p>
        </w:tc>
        <w:tc>
          <w:tcPr>
            <w:tcW w:w="881" w:type="dxa"/>
            <w:vAlign w:val="bottom"/>
          </w:tcPr>
          <w:p w:rsidR="00000000" w:rsidRDefault="00000000">
            <w:pPr>
              <w:jc w:val="right"/>
              <w:rPr>
                <w:sz w:val="18"/>
              </w:rPr>
            </w:pPr>
            <w:r>
              <w:rPr>
                <w:sz w:val="18"/>
              </w:rPr>
              <w:t>2 199,19</w:t>
            </w:r>
          </w:p>
        </w:tc>
      </w:tr>
      <w:tr w:rsidR="00000000">
        <w:tblPrEx>
          <w:tblCellMar>
            <w:top w:w="0" w:type="dxa"/>
            <w:bottom w:w="0" w:type="dxa"/>
          </w:tblCellMar>
        </w:tblPrEx>
        <w:tc>
          <w:tcPr>
            <w:tcW w:w="2438" w:type="dxa"/>
          </w:tcPr>
          <w:p w:rsidR="00000000" w:rsidRDefault="00000000">
            <w:pPr>
              <w:spacing w:line="240" w:lineRule="auto"/>
              <w:rPr>
                <w:sz w:val="18"/>
              </w:rPr>
            </w:pPr>
            <w:r>
              <w:rPr>
                <w:sz w:val="18"/>
              </w:rPr>
              <w:t>Недвижимость и деловые услуги</w:t>
            </w:r>
          </w:p>
        </w:tc>
        <w:tc>
          <w:tcPr>
            <w:tcW w:w="880" w:type="dxa"/>
            <w:vAlign w:val="bottom"/>
          </w:tcPr>
          <w:p w:rsidR="00000000" w:rsidRDefault="00000000">
            <w:pPr>
              <w:jc w:val="right"/>
              <w:rPr>
                <w:sz w:val="18"/>
              </w:rPr>
            </w:pPr>
            <w:r>
              <w:rPr>
                <w:sz w:val="18"/>
              </w:rPr>
              <w:t>764,51</w:t>
            </w:r>
          </w:p>
        </w:tc>
        <w:tc>
          <w:tcPr>
            <w:tcW w:w="880" w:type="dxa"/>
            <w:vAlign w:val="bottom"/>
          </w:tcPr>
          <w:p w:rsidR="00000000" w:rsidRDefault="00000000">
            <w:pPr>
              <w:jc w:val="right"/>
              <w:rPr>
                <w:sz w:val="18"/>
              </w:rPr>
            </w:pPr>
            <w:r>
              <w:rPr>
                <w:sz w:val="18"/>
              </w:rPr>
              <w:t>980,64</w:t>
            </w:r>
          </w:p>
        </w:tc>
        <w:tc>
          <w:tcPr>
            <w:tcW w:w="880" w:type="dxa"/>
            <w:vAlign w:val="bottom"/>
          </w:tcPr>
          <w:p w:rsidR="00000000" w:rsidRDefault="00000000">
            <w:pPr>
              <w:jc w:val="right"/>
              <w:rPr>
                <w:sz w:val="18"/>
              </w:rPr>
            </w:pPr>
            <w:r>
              <w:rPr>
                <w:sz w:val="18"/>
              </w:rPr>
              <w:t>1 241,35</w:t>
            </w:r>
          </w:p>
        </w:tc>
        <w:tc>
          <w:tcPr>
            <w:tcW w:w="880" w:type="dxa"/>
            <w:gridSpan w:val="2"/>
            <w:vAlign w:val="bottom"/>
          </w:tcPr>
          <w:p w:rsidR="00000000" w:rsidRDefault="00000000">
            <w:pPr>
              <w:jc w:val="right"/>
              <w:rPr>
                <w:sz w:val="18"/>
              </w:rPr>
            </w:pPr>
            <w:r>
              <w:rPr>
                <w:sz w:val="18"/>
              </w:rPr>
              <w:t>1 509,00</w:t>
            </w:r>
          </w:p>
        </w:tc>
        <w:tc>
          <w:tcPr>
            <w:tcW w:w="880" w:type="dxa"/>
            <w:vAlign w:val="bottom"/>
          </w:tcPr>
          <w:p w:rsidR="00000000" w:rsidRDefault="00000000">
            <w:pPr>
              <w:jc w:val="right"/>
              <w:rPr>
                <w:sz w:val="18"/>
              </w:rPr>
            </w:pPr>
            <w:r>
              <w:rPr>
                <w:sz w:val="18"/>
              </w:rPr>
              <w:t>715,39</w:t>
            </w:r>
          </w:p>
        </w:tc>
        <w:tc>
          <w:tcPr>
            <w:tcW w:w="880" w:type="dxa"/>
            <w:vAlign w:val="bottom"/>
          </w:tcPr>
          <w:p w:rsidR="00000000" w:rsidRDefault="00000000">
            <w:pPr>
              <w:jc w:val="right"/>
              <w:rPr>
                <w:sz w:val="18"/>
              </w:rPr>
            </w:pPr>
            <w:r>
              <w:rPr>
                <w:sz w:val="18"/>
              </w:rPr>
              <w:t>931,72</w:t>
            </w:r>
          </w:p>
        </w:tc>
        <w:tc>
          <w:tcPr>
            <w:tcW w:w="880" w:type="dxa"/>
            <w:vAlign w:val="bottom"/>
          </w:tcPr>
          <w:p w:rsidR="00000000" w:rsidRDefault="00000000">
            <w:pPr>
              <w:jc w:val="right"/>
              <w:rPr>
                <w:sz w:val="18"/>
              </w:rPr>
            </w:pPr>
            <w:r>
              <w:rPr>
                <w:sz w:val="18"/>
              </w:rPr>
              <w:t>1 130,74</w:t>
            </w:r>
          </w:p>
        </w:tc>
        <w:tc>
          <w:tcPr>
            <w:tcW w:w="881" w:type="dxa"/>
            <w:vAlign w:val="bottom"/>
          </w:tcPr>
          <w:p w:rsidR="00000000" w:rsidRDefault="00000000">
            <w:pPr>
              <w:jc w:val="right"/>
              <w:rPr>
                <w:sz w:val="18"/>
              </w:rPr>
            </w:pPr>
            <w:r>
              <w:rPr>
                <w:sz w:val="18"/>
              </w:rPr>
              <w:t>1 283,50</w:t>
            </w:r>
          </w:p>
        </w:tc>
      </w:tr>
      <w:tr w:rsidR="00000000">
        <w:tblPrEx>
          <w:tblCellMar>
            <w:top w:w="0" w:type="dxa"/>
            <w:bottom w:w="0" w:type="dxa"/>
          </w:tblCellMar>
        </w:tblPrEx>
        <w:tc>
          <w:tcPr>
            <w:tcW w:w="2438" w:type="dxa"/>
          </w:tcPr>
          <w:p w:rsidR="00000000" w:rsidRDefault="00000000">
            <w:pPr>
              <w:spacing w:line="240" w:lineRule="auto"/>
              <w:rPr>
                <w:sz w:val="18"/>
              </w:rPr>
            </w:pPr>
            <w:r>
              <w:rPr>
                <w:sz w:val="18"/>
              </w:rPr>
              <w:t>Государственное управление, национальная оборона</w:t>
            </w:r>
          </w:p>
        </w:tc>
        <w:tc>
          <w:tcPr>
            <w:tcW w:w="880" w:type="dxa"/>
            <w:vAlign w:val="bottom"/>
          </w:tcPr>
          <w:p w:rsidR="00000000" w:rsidRDefault="00000000">
            <w:pPr>
              <w:jc w:val="right"/>
              <w:rPr>
                <w:sz w:val="18"/>
              </w:rPr>
            </w:pPr>
            <w:r>
              <w:rPr>
                <w:sz w:val="18"/>
              </w:rPr>
              <w:t>858,73</w:t>
            </w:r>
          </w:p>
        </w:tc>
        <w:tc>
          <w:tcPr>
            <w:tcW w:w="880" w:type="dxa"/>
            <w:vAlign w:val="bottom"/>
          </w:tcPr>
          <w:p w:rsidR="00000000" w:rsidRDefault="00000000">
            <w:pPr>
              <w:jc w:val="right"/>
              <w:rPr>
                <w:sz w:val="18"/>
              </w:rPr>
            </w:pPr>
            <w:r>
              <w:rPr>
                <w:sz w:val="18"/>
              </w:rPr>
              <w:t>1 131,15</w:t>
            </w:r>
          </w:p>
        </w:tc>
        <w:tc>
          <w:tcPr>
            <w:tcW w:w="880" w:type="dxa"/>
            <w:vAlign w:val="bottom"/>
          </w:tcPr>
          <w:p w:rsidR="00000000" w:rsidRDefault="00000000">
            <w:pPr>
              <w:jc w:val="right"/>
              <w:rPr>
                <w:sz w:val="18"/>
              </w:rPr>
            </w:pPr>
            <w:r>
              <w:rPr>
                <w:sz w:val="18"/>
              </w:rPr>
              <w:t>1 362,99</w:t>
            </w:r>
          </w:p>
        </w:tc>
        <w:tc>
          <w:tcPr>
            <w:tcW w:w="880" w:type="dxa"/>
            <w:gridSpan w:val="2"/>
            <w:vAlign w:val="bottom"/>
          </w:tcPr>
          <w:p w:rsidR="00000000" w:rsidRDefault="00000000">
            <w:pPr>
              <w:jc w:val="right"/>
              <w:rPr>
                <w:sz w:val="18"/>
              </w:rPr>
            </w:pPr>
            <w:r>
              <w:rPr>
                <w:sz w:val="18"/>
              </w:rPr>
              <w:t>1 573,85</w:t>
            </w:r>
          </w:p>
        </w:tc>
        <w:tc>
          <w:tcPr>
            <w:tcW w:w="880" w:type="dxa"/>
            <w:vAlign w:val="bottom"/>
          </w:tcPr>
          <w:p w:rsidR="00000000" w:rsidRDefault="00000000">
            <w:pPr>
              <w:jc w:val="right"/>
              <w:rPr>
                <w:sz w:val="18"/>
              </w:rPr>
            </w:pPr>
            <w:r>
              <w:rPr>
                <w:sz w:val="18"/>
              </w:rPr>
              <w:t>906,75</w:t>
            </w:r>
          </w:p>
        </w:tc>
        <w:tc>
          <w:tcPr>
            <w:tcW w:w="880" w:type="dxa"/>
            <w:vAlign w:val="bottom"/>
          </w:tcPr>
          <w:p w:rsidR="00000000" w:rsidRDefault="00000000">
            <w:pPr>
              <w:jc w:val="right"/>
              <w:rPr>
                <w:sz w:val="18"/>
              </w:rPr>
            </w:pPr>
            <w:r>
              <w:rPr>
                <w:sz w:val="18"/>
              </w:rPr>
              <w:t>1 168,73</w:t>
            </w:r>
          </w:p>
        </w:tc>
        <w:tc>
          <w:tcPr>
            <w:tcW w:w="880" w:type="dxa"/>
            <w:vAlign w:val="bottom"/>
          </w:tcPr>
          <w:p w:rsidR="00000000" w:rsidRDefault="00000000">
            <w:pPr>
              <w:jc w:val="right"/>
              <w:rPr>
                <w:sz w:val="18"/>
              </w:rPr>
            </w:pPr>
            <w:r>
              <w:rPr>
                <w:sz w:val="18"/>
              </w:rPr>
              <w:t>1 374,08</w:t>
            </w:r>
          </w:p>
        </w:tc>
        <w:tc>
          <w:tcPr>
            <w:tcW w:w="881" w:type="dxa"/>
            <w:vAlign w:val="bottom"/>
          </w:tcPr>
          <w:p w:rsidR="00000000" w:rsidRDefault="00000000">
            <w:pPr>
              <w:jc w:val="right"/>
              <w:rPr>
                <w:sz w:val="18"/>
              </w:rPr>
            </w:pPr>
            <w:r>
              <w:rPr>
                <w:sz w:val="18"/>
              </w:rPr>
              <w:t>1 775,54</w:t>
            </w:r>
          </w:p>
        </w:tc>
      </w:tr>
      <w:tr w:rsidR="00000000">
        <w:tblPrEx>
          <w:tblCellMar>
            <w:top w:w="0" w:type="dxa"/>
            <w:bottom w:w="0" w:type="dxa"/>
          </w:tblCellMar>
        </w:tblPrEx>
        <w:tc>
          <w:tcPr>
            <w:tcW w:w="2438" w:type="dxa"/>
          </w:tcPr>
          <w:p w:rsidR="00000000" w:rsidRDefault="00000000">
            <w:pPr>
              <w:rPr>
                <w:sz w:val="18"/>
              </w:rPr>
            </w:pPr>
            <w:r>
              <w:rPr>
                <w:sz w:val="18"/>
              </w:rPr>
              <w:t>Образование</w:t>
            </w:r>
          </w:p>
        </w:tc>
        <w:tc>
          <w:tcPr>
            <w:tcW w:w="880" w:type="dxa"/>
            <w:vAlign w:val="bottom"/>
          </w:tcPr>
          <w:p w:rsidR="00000000" w:rsidRDefault="00000000">
            <w:pPr>
              <w:jc w:val="right"/>
              <w:rPr>
                <w:sz w:val="18"/>
              </w:rPr>
            </w:pPr>
            <w:r>
              <w:rPr>
                <w:sz w:val="18"/>
              </w:rPr>
              <w:t>618,09</w:t>
            </w:r>
          </w:p>
        </w:tc>
        <w:tc>
          <w:tcPr>
            <w:tcW w:w="880" w:type="dxa"/>
            <w:vAlign w:val="bottom"/>
          </w:tcPr>
          <w:p w:rsidR="00000000" w:rsidRDefault="00000000">
            <w:pPr>
              <w:jc w:val="right"/>
              <w:rPr>
                <w:sz w:val="18"/>
              </w:rPr>
            </w:pPr>
            <w:r>
              <w:rPr>
                <w:sz w:val="18"/>
              </w:rPr>
              <w:t>790,78</w:t>
            </w:r>
          </w:p>
        </w:tc>
        <w:tc>
          <w:tcPr>
            <w:tcW w:w="880" w:type="dxa"/>
            <w:vAlign w:val="bottom"/>
          </w:tcPr>
          <w:p w:rsidR="00000000" w:rsidRDefault="00000000">
            <w:pPr>
              <w:jc w:val="right"/>
              <w:rPr>
                <w:sz w:val="18"/>
              </w:rPr>
            </w:pPr>
            <w:r>
              <w:rPr>
                <w:sz w:val="18"/>
              </w:rPr>
              <w:t>976,58</w:t>
            </w:r>
          </w:p>
        </w:tc>
        <w:tc>
          <w:tcPr>
            <w:tcW w:w="880" w:type="dxa"/>
            <w:gridSpan w:val="2"/>
            <w:vAlign w:val="bottom"/>
          </w:tcPr>
          <w:p w:rsidR="00000000" w:rsidRDefault="00000000">
            <w:pPr>
              <w:jc w:val="right"/>
              <w:rPr>
                <w:sz w:val="18"/>
              </w:rPr>
            </w:pPr>
            <w:r>
              <w:rPr>
                <w:sz w:val="18"/>
              </w:rPr>
              <w:t>1 148,91</w:t>
            </w:r>
          </w:p>
        </w:tc>
        <w:tc>
          <w:tcPr>
            <w:tcW w:w="880" w:type="dxa"/>
            <w:vAlign w:val="bottom"/>
          </w:tcPr>
          <w:p w:rsidR="00000000" w:rsidRDefault="00000000">
            <w:pPr>
              <w:jc w:val="right"/>
              <w:rPr>
                <w:sz w:val="18"/>
              </w:rPr>
            </w:pPr>
            <w:r>
              <w:rPr>
                <w:sz w:val="18"/>
              </w:rPr>
              <w:t>620,04</w:t>
            </w:r>
          </w:p>
        </w:tc>
        <w:tc>
          <w:tcPr>
            <w:tcW w:w="880" w:type="dxa"/>
            <w:vAlign w:val="bottom"/>
          </w:tcPr>
          <w:p w:rsidR="00000000" w:rsidRDefault="00000000">
            <w:pPr>
              <w:jc w:val="right"/>
              <w:rPr>
                <w:sz w:val="18"/>
              </w:rPr>
            </w:pPr>
            <w:r>
              <w:rPr>
                <w:sz w:val="18"/>
              </w:rPr>
              <w:t>784,14</w:t>
            </w:r>
          </w:p>
        </w:tc>
        <w:tc>
          <w:tcPr>
            <w:tcW w:w="880" w:type="dxa"/>
            <w:vAlign w:val="bottom"/>
          </w:tcPr>
          <w:p w:rsidR="00000000" w:rsidRDefault="00000000">
            <w:pPr>
              <w:jc w:val="right"/>
              <w:rPr>
                <w:sz w:val="18"/>
              </w:rPr>
            </w:pPr>
            <w:r>
              <w:rPr>
                <w:sz w:val="18"/>
              </w:rPr>
              <w:t>997,12</w:t>
            </w:r>
          </w:p>
        </w:tc>
        <w:tc>
          <w:tcPr>
            <w:tcW w:w="881" w:type="dxa"/>
            <w:vAlign w:val="bottom"/>
          </w:tcPr>
          <w:p w:rsidR="00000000" w:rsidRDefault="00000000">
            <w:pPr>
              <w:jc w:val="right"/>
              <w:rPr>
                <w:sz w:val="18"/>
              </w:rPr>
            </w:pPr>
            <w:r>
              <w:rPr>
                <w:sz w:val="18"/>
              </w:rPr>
              <w:t>1 229,61</w:t>
            </w:r>
          </w:p>
        </w:tc>
      </w:tr>
      <w:tr w:rsidR="00000000">
        <w:tblPrEx>
          <w:tblCellMar>
            <w:top w:w="0" w:type="dxa"/>
            <w:bottom w:w="0" w:type="dxa"/>
          </w:tblCellMar>
        </w:tblPrEx>
        <w:tc>
          <w:tcPr>
            <w:tcW w:w="2438" w:type="dxa"/>
          </w:tcPr>
          <w:p w:rsidR="00000000" w:rsidRDefault="00000000">
            <w:pPr>
              <w:spacing w:line="240" w:lineRule="auto"/>
              <w:rPr>
                <w:sz w:val="18"/>
              </w:rPr>
            </w:pPr>
            <w:r>
              <w:rPr>
                <w:sz w:val="18"/>
              </w:rPr>
              <w:t>Здравоохранение и социальная помощь</w:t>
            </w:r>
          </w:p>
        </w:tc>
        <w:tc>
          <w:tcPr>
            <w:tcW w:w="880" w:type="dxa"/>
            <w:vAlign w:val="bottom"/>
          </w:tcPr>
          <w:p w:rsidR="00000000" w:rsidRDefault="00000000">
            <w:pPr>
              <w:jc w:val="right"/>
              <w:rPr>
                <w:sz w:val="18"/>
              </w:rPr>
            </w:pPr>
            <w:r>
              <w:rPr>
                <w:sz w:val="18"/>
              </w:rPr>
              <w:t>574,98</w:t>
            </w:r>
          </w:p>
        </w:tc>
        <w:tc>
          <w:tcPr>
            <w:tcW w:w="880" w:type="dxa"/>
            <w:vAlign w:val="bottom"/>
          </w:tcPr>
          <w:p w:rsidR="00000000" w:rsidRDefault="00000000">
            <w:pPr>
              <w:jc w:val="right"/>
              <w:rPr>
                <w:sz w:val="18"/>
              </w:rPr>
            </w:pPr>
            <w:r>
              <w:rPr>
                <w:sz w:val="18"/>
              </w:rPr>
              <w:t>717,67</w:t>
            </w:r>
          </w:p>
        </w:tc>
        <w:tc>
          <w:tcPr>
            <w:tcW w:w="880" w:type="dxa"/>
            <w:vAlign w:val="bottom"/>
          </w:tcPr>
          <w:p w:rsidR="00000000" w:rsidRDefault="00000000">
            <w:pPr>
              <w:jc w:val="right"/>
              <w:rPr>
                <w:sz w:val="18"/>
              </w:rPr>
            </w:pPr>
            <w:r>
              <w:rPr>
                <w:sz w:val="18"/>
              </w:rPr>
              <w:t>1 017,83</w:t>
            </w:r>
          </w:p>
        </w:tc>
        <w:tc>
          <w:tcPr>
            <w:tcW w:w="880" w:type="dxa"/>
            <w:gridSpan w:val="2"/>
            <w:vAlign w:val="bottom"/>
          </w:tcPr>
          <w:p w:rsidR="00000000" w:rsidRDefault="00000000">
            <w:pPr>
              <w:jc w:val="right"/>
              <w:rPr>
                <w:sz w:val="18"/>
              </w:rPr>
            </w:pPr>
            <w:r>
              <w:rPr>
                <w:sz w:val="18"/>
              </w:rPr>
              <w:t>507,55</w:t>
            </w:r>
          </w:p>
        </w:tc>
        <w:tc>
          <w:tcPr>
            <w:tcW w:w="880" w:type="dxa"/>
            <w:vAlign w:val="bottom"/>
          </w:tcPr>
          <w:p w:rsidR="00000000" w:rsidRDefault="00000000">
            <w:pPr>
              <w:jc w:val="right"/>
              <w:rPr>
                <w:sz w:val="18"/>
              </w:rPr>
            </w:pPr>
            <w:r>
              <w:rPr>
                <w:sz w:val="18"/>
              </w:rPr>
              <w:t>648,69</w:t>
            </w:r>
          </w:p>
        </w:tc>
        <w:tc>
          <w:tcPr>
            <w:tcW w:w="880" w:type="dxa"/>
            <w:vAlign w:val="bottom"/>
          </w:tcPr>
          <w:p w:rsidR="00000000" w:rsidRDefault="00000000">
            <w:pPr>
              <w:jc w:val="right"/>
              <w:rPr>
                <w:sz w:val="18"/>
              </w:rPr>
            </w:pPr>
            <w:r>
              <w:rPr>
                <w:sz w:val="18"/>
              </w:rPr>
              <w:t>767,10</w:t>
            </w:r>
          </w:p>
        </w:tc>
        <w:tc>
          <w:tcPr>
            <w:tcW w:w="880" w:type="dxa"/>
            <w:vAlign w:val="bottom"/>
          </w:tcPr>
          <w:p w:rsidR="00000000" w:rsidRDefault="00000000">
            <w:pPr>
              <w:jc w:val="right"/>
              <w:rPr>
                <w:sz w:val="18"/>
              </w:rPr>
            </w:pPr>
            <w:r>
              <w:rPr>
                <w:sz w:val="18"/>
              </w:rPr>
              <w:t>767,10</w:t>
            </w:r>
          </w:p>
        </w:tc>
        <w:tc>
          <w:tcPr>
            <w:tcW w:w="881" w:type="dxa"/>
            <w:vAlign w:val="bottom"/>
          </w:tcPr>
          <w:p w:rsidR="00000000" w:rsidRDefault="00000000">
            <w:pPr>
              <w:jc w:val="right"/>
              <w:rPr>
                <w:sz w:val="18"/>
              </w:rPr>
            </w:pPr>
            <w:r>
              <w:rPr>
                <w:sz w:val="18"/>
              </w:rPr>
              <w:t>986,20</w:t>
            </w:r>
          </w:p>
        </w:tc>
      </w:tr>
      <w:tr w:rsidR="00000000">
        <w:tblPrEx>
          <w:tblCellMar>
            <w:top w:w="0" w:type="dxa"/>
            <w:bottom w:w="0" w:type="dxa"/>
          </w:tblCellMar>
        </w:tblPrEx>
        <w:tc>
          <w:tcPr>
            <w:tcW w:w="2438" w:type="dxa"/>
          </w:tcPr>
          <w:p w:rsidR="00000000" w:rsidRDefault="00000000">
            <w:pPr>
              <w:spacing w:line="240" w:lineRule="auto"/>
              <w:rPr>
                <w:sz w:val="18"/>
              </w:rPr>
            </w:pPr>
            <w:r>
              <w:rPr>
                <w:sz w:val="18"/>
              </w:rPr>
              <w:t>Прочая муниципальная, социальная и индивидуальная деятельность</w:t>
            </w:r>
          </w:p>
        </w:tc>
        <w:tc>
          <w:tcPr>
            <w:tcW w:w="880" w:type="dxa"/>
            <w:vAlign w:val="bottom"/>
          </w:tcPr>
          <w:p w:rsidR="00000000" w:rsidRDefault="00000000">
            <w:pPr>
              <w:jc w:val="right"/>
              <w:rPr>
                <w:sz w:val="18"/>
              </w:rPr>
            </w:pPr>
            <w:r>
              <w:rPr>
                <w:sz w:val="18"/>
              </w:rPr>
              <w:t>697,35</w:t>
            </w:r>
          </w:p>
        </w:tc>
        <w:tc>
          <w:tcPr>
            <w:tcW w:w="880" w:type="dxa"/>
            <w:vAlign w:val="bottom"/>
          </w:tcPr>
          <w:p w:rsidR="00000000" w:rsidRDefault="00000000">
            <w:pPr>
              <w:jc w:val="right"/>
              <w:rPr>
                <w:sz w:val="18"/>
              </w:rPr>
            </w:pPr>
            <w:r>
              <w:rPr>
                <w:sz w:val="18"/>
              </w:rPr>
              <w:t>874,93</w:t>
            </w:r>
          </w:p>
        </w:tc>
        <w:tc>
          <w:tcPr>
            <w:tcW w:w="880" w:type="dxa"/>
            <w:vAlign w:val="bottom"/>
          </w:tcPr>
          <w:p w:rsidR="00000000" w:rsidRDefault="00000000">
            <w:pPr>
              <w:jc w:val="right"/>
              <w:rPr>
                <w:sz w:val="18"/>
              </w:rPr>
            </w:pPr>
            <w:r>
              <w:rPr>
                <w:sz w:val="18"/>
              </w:rPr>
              <w:t>1 093,73</w:t>
            </w:r>
          </w:p>
        </w:tc>
        <w:tc>
          <w:tcPr>
            <w:tcW w:w="880" w:type="dxa"/>
            <w:gridSpan w:val="2"/>
            <w:vAlign w:val="bottom"/>
          </w:tcPr>
          <w:p w:rsidR="00000000" w:rsidRDefault="00000000">
            <w:pPr>
              <w:jc w:val="right"/>
              <w:rPr>
                <w:sz w:val="18"/>
              </w:rPr>
            </w:pPr>
            <w:r>
              <w:rPr>
                <w:sz w:val="18"/>
              </w:rPr>
              <w:t>1 307,77</w:t>
            </w:r>
          </w:p>
        </w:tc>
        <w:tc>
          <w:tcPr>
            <w:tcW w:w="880" w:type="dxa"/>
            <w:vAlign w:val="bottom"/>
          </w:tcPr>
          <w:p w:rsidR="00000000" w:rsidRDefault="00000000">
            <w:pPr>
              <w:jc w:val="right"/>
              <w:rPr>
                <w:sz w:val="18"/>
              </w:rPr>
            </w:pPr>
            <w:r>
              <w:rPr>
                <w:sz w:val="18"/>
              </w:rPr>
              <w:t>566,29</w:t>
            </w:r>
          </w:p>
        </w:tc>
        <w:tc>
          <w:tcPr>
            <w:tcW w:w="880" w:type="dxa"/>
            <w:vAlign w:val="bottom"/>
          </w:tcPr>
          <w:p w:rsidR="00000000" w:rsidRDefault="00000000">
            <w:pPr>
              <w:jc w:val="right"/>
              <w:rPr>
                <w:sz w:val="18"/>
              </w:rPr>
            </w:pPr>
            <w:r>
              <w:rPr>
                <w:sz w:val="18"/>
              </w:rPr>
              <w:t>697,32</w:t>
            </w:r>
          </w:p>
        </w:tc>
        <w:tc>
          <w:tcPr>
            <w:tcW w:w="880" w:type="dxa"/>
            <w:vAlign w:val="bottom"/>
          </w:tcPr>
          <w:p w:rsidR="00000000" w:rsidRDefault="00000000">
            <w:pPr>
              <w:jc w:val="right"/>
              <w:rPr>
                <w:sz w:val="18"/>
              </w:rPr>
            </w:pPr>
            <w:r>
              <w:rPr>
                <w:sz w:val="18"/>
              </w:rPr>
              <w:t>849,36</w:t>
            </w:r>
          </w:p>
        </w:tc>
        <w:tc>
          <w:tcPr>
            <w:tcW w:w="881" w:type="dxa"/>
            <w:vAlign w:val="bottom"/>
          </w:tcPr>
          <w:p w:rsidR="00000000" w:rsidRDefault="00000000">
            <w:pPr>
              <w:jc w:val="right"/>
              <w:rPr>
                <w:sz w:val="18"/>
              </w:rPr>
            </w:pPr>
            <w:r>
              <w:rPr>
                <w:sz w:val="18"/>
              </w:rPr>
              <w:t>994,18</w:t>
            </w:r>
          </w:p>
        </w:tc>
      </w:tr>
    </w:tbl>
    <w:p w:rsidR="00000000" w:rsidRDefault="00000000"/>
    <w:p w:rsidR="00000000" w:rsidRDefault="00000000">
      <w:r>
        <w:tab/>
      </w:r>
      <w:r>
        <w:rPr>
          <w:u w:val="single"/>
        </w:rPr>
        <w:t>Источник</w:t>
      </w:r>
      <w:r>
        <w:t>:  данные министерства труда на основе результатов обследований, проведенных Главным статистическим управлением.</w:t>
      </w:r>
    </w:p>
    <w:p w:rsidR="00000000" w:rsidRDefault="00000000"/>
    <w:p w:rsidR="00000000" w:rsidRDefault="00000000">
      <w:pPr>
        <w:pStyle w:val="FootnoteText"/>
        <w:spacing w:line="288" w:lineRule="auto"/>
      </w:pPr>
      <w:r>
        <w:t>73.</w:t>
      </w:r>
      <w:r>
        <w:tab/>
        <w:t>Как и в предыдущем докладе, в данном случае по</w:t>
      </w:r>
      <w:r>
        <w:noBreakHyphen/>
        <w:t>прежнему отмечаются различия в заработной плате, являющейся более низкой в частном секторе.  В 1995-1998 годах такой разрыв продолжал увеличиваться в целом ряде секторов экономики.  Исключение составляла сфера "посреднических финансовых услуг" (растущий сектор частной банковской и финансовой деятельности).  Представляется вероятным, что в обозримом будущем, учитывая увеличение веса частного сектора в ВВП, а также повышение доли лиц, занятых в этом секторе, положение может измениться не в пользу государственного сектора.  Однако прежде чем это произойдет, необходимо провести коренную перестройку частного, но малодоходного сельского хозяйства, а также приватизировать все еще значительное число государственных промышленных предприятий, включая шахты и сталеплавильные заводы.</w:t>
      </w:r>
    </w:p>
    <w:p w:rsidR="00000000" w:rsidRDefault="00000000">
      <w:pPr>
        <w:pStyle w:val="FootnoteText"/>
        <w:spacing w:line="288" w:lineRule="auto"/>
      </w:pPr>
    </w:p>
    <w:p w:rsidR="00000000" w:rsidRDefault="00000000">
      <w:pPr>
        <w:pStyle w:val="FootnoteText"/>
        <w:spacing w:line="288" w:lineRule="auto"/>
        <w:jc w:val="center"/>
      </w:pPr>
      <w:r>
        <w:rPr>
          <w:b/>
          <w:bCs/>
          <w:lang w:val="en-US"/>
        </w:rPr>
        <w:t>F</w:t>
      </w:r>
      <w:r>
        <w:rPr>
          <w:b/>
          <w:bCs/>
        </w:rPr>
        <w:t>.</w:t>
      </w:r>
      <w:r>
        <w:rPr>
          <w:b/>
          <w:bCs/>
        </w:rPr>
        <w:tab/>
        <w:t>Законодательные и административные нормы, касающиеся безопасности и гигиены труда</w:t>
      </w:r>
    </w:p>
    <w:p w:rsidR="00000000" w:rsidRDefault="00000000">
      <w:pPr>
        <w:pStyle w:val="FootnoteText"/>
        <w:spacing w:line="288" w:lineRule="auto"/>
        <w:jc w:val="center"/>
      </w:pPr>
    </w:p>
    <w:p w:rsidR="00000000" w:rsidRDefault="00000000">
      <w:pPr>
        <w:pStyle w:val="FootnoteText"/>
        <w:spacing w:line="288" w:lineRule="auto"/>
      </w:pPr>
      <w:r>
        <w:t>74.</w:t>
      </w:r>
      <w:r>
        <w:tab/>
        <w:t>В статье 66 Конституции Республики Польши указывается, что каждый человек имеет право на безопасные и гигиеничные условия труда (порядок реализации этого права определяется законом).  Конституция также предусматривает, что труд находится под охраной государства, которое осуществляет надзор за его условиями (статья 24), и что, кроме этого, каждый человек имеет право на охрану здоровья (статья 68).</w:t>
      </w:r>
    </w:p>
    <w:p w:rsidR="00000000" w:rsidRDefault="00000000">
      <w:pPr>
        <w:pStyle w:val="FootnoteText"/>
        <w:spacing w:line="288" w:lineRule="auto"/>
      </w:pPr>
    </w:p>
    <w:p w:rsidR="00000000" w:rsidRDefault="00000000">
      <w:pPr>
        <w:pStyle w:val="FootnoteText"/>
        <w:spacing w:line="288" w:lineRule="auto"/>
      </w:pPr>
      <w:r>
        <w:t>75.</w:t>
      </w:r>
      <w:r>
        <w:tab/>
        <w:t xml:space="preserve">В Законе от 26 июня 1974 года - Кодексе законов о труде, раздел </w:t>
      </w:r>
      <w:r>
        <w:rPr>
          <w:lang w:val="en-US"/>
        </w:rPr>
        <w:t>X</w:t>
      </w:r>
      <w:r>
        <w:t xml:space="preserve"> "Безопасность и гигиена труда", определяются обязанности работодателя в данной области (он должен обеспечивать охрану здоровья и жизни трудящихся).  Положения об охране жизни и здоровья работников также содержатся в разделе </w:t>
      </w:r>
      <w:r>
        <w:rPr>
          <w:lang w:val="en-US"/>
        </w:rPr>
        <w:t>VIII</w:t>
      </w:r>
      <w:r>
        <w:t xml:space="preserve"> Кодекса "Охрана труда женщин" и разделе</w:t>
      </w:r>
      <w:r>
        <w:rPr>
          <w:lang w:val="en-US"/>
        </w:rPr>
        <w:t> IX</w:t>
      </w:r>
      <w:r>
        <w:t xml:space="preserve"> "Использование труда подростков".  Положения Кодекса наряду с положениями, определяющими права профессиональных союзов и общественной инспекции труда, а также законодательными актами, регламентирующими деятельность органов по надзору и контролю за условиями труда (государственной инспекции труда, санитарной инспекции и т.д.), образуют нормативную базу системы охраны труда.  Кодекс законов о труде, измененный на основании Закона от 2 февраля 1996 года (Законодательный вестник за 1996 год, № 24, текст 110), предусматривает приведение трудовых норм, касающихся производственной безопасности и гигиены, в соответствие с рыночными правилами и стандартами, установленными в директивах Европейского сообщества и конвенциях МОТ.  Поправки, внесенные в раздел Х Кодекса, касаются определения основных обязанностей работодателей по отношению к работникам, а также основных прав и обязанностей работников в области безопасности и гигиены труда.  Согласно пункту 1 статьи 207 Кодекса, работодатель несет полную ответственность за обеспечение безопасных и здоровых условий труда.  В пределах круга своего ведения он должен быть осведомлен о нормах охраны труда, включая положения и правила, касающиеся производственной безопасности и гигиены (пункт 3 статьи 207 Кодекса).</w:t>
      </w:r>
    </w:p>
    <w:p w:rsidR="00000000" w:rsidRDefault="00000000">
      <w:pPr>
        <w:pStyle w:val="FootnoteText"/>
        <w:spacing w:line="288" w:lineRule="auto"/>
      </w:pPr>
    </w:p>
    <w:p w:rsidR="00000000" w:rsidRDefault="00000000">
      <w:pPr>
        <w:pStyle w:val="FootnoteText"/>
        <w:spacing w:line="288" w:lineRule="auto"/>
      </w:pPr>
      <w:r>
        <w:t>76.</w:t>
      </w:r>
      <w:r>
        <w:tab/>
        <w:t>В предыдущем докладе подробно излагались положения измененного Кодекса, которые были разработаны в то время и вступили в силу в 1996 году.  Другие новые положения, которые обсуждались в предыдущем докладе, включают в себя следующее:</w:t>
      </w:r>
    </w:p>
    <w:p w:rsidR="00000000" w:rsidRDefault="00000000">
      <w:pPr>
        <w:pStyle w:val="FootnoteText"/>
        <w:spacing w:line="288" w:lineRule="auto"/>
      </w:pPr>
    </w:p>
    <w:p w:rsidR="00000000" w:rsidRDefault="00000000">
      <w:pPr>
        <w:pStyle w:val="FootnoteText"/>
        <w:spacing w:line="288" w:lineRule="auto"/>
      </w:pPr>
      <w:r>
        <w:tab/>
        <w:t>а)</w:t>
      </w:r>
      <w:r>
        <w:tab/>
        <w:t>установление ответственности руководства предприятия, деятельность которого может повлечь за собой внезапную угрозу для здоровья и жизни работников, за принятие мер по предотвращению такой опасности (пункт 1 статьи 224);</w:t>
      </w:r>
    </w:p>
    <w:p w:rsidR="00000000" w:rsidRDefault="00000000">
      <w:pPr>
        <w:pStyle w:val="FootnoteText"/>
        <w:spacing w:line="288" w:lineRule="auto"/>
      </w:pPr>
    </w:p>
    <w:p w:rsidR="00000000" w:rsidRDefault="00000000">
      <w:pPr>
        <w:pStyle w:val="FootnoteText"/>
        <w:spacing w:line="288" w:lineRule="auto"/>
      </w:pPr>
      <w:r>
        <w:tab/>
      </w:r>
      <w:r>
        <w:rPr>
          <w:lang w:val="en-US"/>
        </w:rPr>
        <w:t>b</w:t>
      </w:r>
      <w:r>
        <w:t>)</w:t>
      </w:r>
      <w:r>
        <w:tab/>
        <w:t>обязанность работодателя обеспечивать, чтобы работа, которая может угрожать здоровью или жизни людей, в интересах безопасности выполнялась по меньшей мере двумя людьми;</w:t>
      </w:r>
    </w:p>
    <w:p w:rsidR="00000000" w:rsidRDefault="00000000">
      <w:pPr>
        <w:pStyle w:val="FootnoteText"/>
        <w:spacing w:line="288" w:lineRule="auto"/>
      </w:pPr>
    </w:p>
    <w:p w:rsidR="00000000" w:rsidRDefault="00000000">
      <w:pPr>
        <w:pStyle w:val="FootnoteText"/>
        <w:spacing w:line="288" w:lineRule="auto"/>
      </w:pPr>
      <w:r>
        <w:tab/>
        <w:t>с)</w:t>
      </w:r>
      <w:r>
        <w:tab/>
        <w:t>обязанность работодателя организовывать подготовку для работников по вопросам безопасности и гигиены труда до их приема на работу, а также периодические учебные курсы, проводимые за счет предприятия в рабочее время (пункты 2 и 3 статьи 237);</w:t>
      </w:r>
    </w:p>
    <w:p w:rsidR="00000000" w:rsidRDefault="00000000">
      <w:pPr>
        <w:pStyle w:val="FootnoteText"/>
        <w:spacing w:line="288" w:lineRule="auto"/>
      </w:pPr>
    </w:p>
    <w:p w:rsidR="00000000" w:rsidRDefault="00000000">
      <w:r>
        <w:rPr>
          <w:lang w:val="en-US"/>
        </w:rPr>
        <w:tab/>
        <w:t>d</w:t>
      </w:r>
      <w:r>
        <w:t>)</w:t>
      </w:r>
      <w:r>
        <w:tab/>
        <w:t>обязанность работодателя, использующего труд более 10 человек, обеспечить создание служб безопасности и гигиены труда, осуществляющих консультативные и наблюдательные функции в данной области (пункт 1 статьи 237).</w:t>
      </w:r>
    </w:p>
    <w:p w:rsidR="00000000" w:rsidRDefault="00000000"/>
    <w:p w:rsidR="00000000" w:rsidRDefault="00000000">
      <w:r>
        <w:t>77.</w:t>
      </w:r>
      <w:r>
        <w:tab/>
        <w:t>Надзор и контроль за соблюдением трудового законодательства, включая положения и правила в области безопасности и гигиены труда, осуществляются Государственной инспекцией труда, подотчетной сейму Республики Польши.  Инспекция обладает широкой компетенцией и контролирует вопросы безопасности и гигиены труда на всех промышленных предприятиях, проверяя состояние зданий, сооружений и конкретных участков работы, а также машин и оборудования.  Сотрудники инспекции труда выступают государственными обвинителями в судах по делам о мисдиминорах, когда речь идет о нарушениях прав работников, предусмотренных Кодексом законов о труде и другими нормативными актами.</w:t>
      </w:r>
    </w:p>
    <w:p w:rsidR="00000000" w:rsidRDefault="00000000"/>
    <w:p w:rsidR="00000000" w:rsidRDefault="00000000">
      <w:r>
        <w:t>78.</w:t>
      </w:r>
      <w:r>
        <w:tab/>
        <w:t>В ведении министерства труда и социальной политики находится Санитарная инспекция, которая осуществляет надзор, в частности, за обеспечением безопасности и гигиены труда с целью охраны здоровья людей от воздействия вредных и опасных факторов, в том числе с целью предотвращения профессиональных заболеваний, связанных с трудовой деятельностью.  Она занимается инспекцией предприятий и учреждений, а также контролем за соблюдением правил безопасности и гигиены в производственной среде.</w:t>
      </w:r>
    </w:p>
    <w:p w:rsidR="00000000" w:rsidRDefault="00000000"/>
    <w:p w:rsidR="00000000" w:rsidRDefault="00000000">
      <w:r>
        <w:t>79.</w:t>
      </w:r>
      <w:r>
        <w:tab/>
        <w:t>В соответствии с новым Уголовным кодексом установлена уголовная ответственность работодателей за серьезные нарушения стандартов производственной безопасности и гигиены.</w:t>
      </w:r>
    </w:p>
    <w:p w:rsidR="00000000" w:rsidRDefault="00000000"/>
    <w:p w:rsidR="00000000" w:rsidRDefault="00000000">
      <w:r>
        <w:t>80.</w:t>
      </w:r>
      <w:r>
        <w:tab/>
        <w:t>Из сферы действия вышеуказанных правил в 1995-1998 годах не была исключена ни одна категория работников.  Положения раздела Х Кодекса законов о труде, касающегося безопасности и гигиены труда, и относящиеся к нему исполнительные положения охватывали всех работников, включая лиц, работающих по контракту, назначенных на должность, в том числе на выборную, или работающих по кооперативному договору.  В соответствии со статьей 304 Кодекса работодатель обязан обеспечивать безопасные и здоровые условия для лиц физического труда, выполняющих работу на основе иных договоренностей, помимо штатной работы по найму (сдельные или аккордные работы), на предприятии или в месте, указанном работодателем.</w:t>
      </w:r>
    </w:p>
    <w:p w:rsidR="00000000" w:rsidRDefault="00000000"/>
    <w:p w:rsidR="00000000" w:rsidRDefault="00000000">
      <w:r>
        <w:t>81.</w:t>
      </w:r>
      <w:r>
        <w:tab/>
        <w:t>В приводимой ниже таблице приводятся статистические данные о несчастных случаях на производстве и профессиональных заболеваниях.</w:t>
      </w:r>
    </w:p>
    <w:p w:rsidR="00000000" w:rsidRDefault="00000000"/>
    <w:p w:rsidR="00000000" w:rsidRDefault="00000000">
      <w:pPr>
        <w:pStyle w:val="BodyText"/>
        <w:tabs>
          <w:tab w:val="clear" w:pos="2268"/>
        </w:tabs>
        <w:spacing w:line="288" w:lineRule="auto"/>
        <w:ind w:left="1985" w:hanging="1985"/>
        <w:rPr>
          <w:b w:val="0"/>
          <w:bCs w:val="0"/>
          <w:u w:val="single"/>
        </w:rPr>
      </w:pPr>
      <w:r>
        <w:rPr>
          <w:b w:val="0"/>
          <w:bCs w:val="0"/>
        </w:rPr>
        <w:tab/>
      </w:r>
      <w:r>
        <w:rPr>
          <w:b w:val="0"/>
          <w:bCs w:val="0"/>
          <w:u w:val="single"/>
        </w:rPr>
        <w:t>Таблица 15</w:t>
      </w:r>
      <w:r>
        <w:rPr>
          <w:b w:val="0"/>
          <w:bCs w:val="0"/>
        </w:rPr>
        <w:t>.</w:t>
      </w:r>
      <w:r>
        <w:rPr>
          <w:b w:val="0"/>
          <w:bCs w:val="0"/>
        </w:rPr>
        <w:tab/>
      </w:r>
      <w:r>
        <w:rPr>
          <w:b w:val="0"/>
          <w:bCs w:val="0"/>
          <w:u w:val="single"/>
        </w:rPr>
        <w:t xml:space="preserve">Лица, пострадавшие от несчастных случаев на производстве </w:t>
      </w:r>
      <w:r>
        <w:rPr>
          <w:b w:val="0"/>
          <w:bCs w:val="0"/>
        </w:rPr>
        <w:t>(</w:t>
      </w:r>
      <w:r>
        <w:rPr>
          <w:b w:val="0"/>
          <w:bCs w:val="0"/>
          <w:u w:val="single"/>
        </w:rPr>
        <w:t>помимо единоличных сельскохозяйственных ферм) и количество дней временной нетрудоспособности, связанной с несчастными случаями, в 1995-1998 годах по сравнению с 1990 годом</w:t>
      </w:r>
    </w:p>
    <w:p w:rsidR="00000000" w:rsidRDefault="00000000">
      <w:pPr>
        <w:pStyle w:val="BodyText"/>
        <w:spacing w:line="288" w:lineRule="auto"/>
        <w:rPr>
          <w:b w:val="0"/>
          <w:bCs w:val="0"/>
        </w:rPr>
      </w:pP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1282"/>
        <w:gridCol w:w="1134"/>
        <w:gridCol w:w="992"/>
        <w:gridCol w:w="992"/>
        <w:gridCol w:w="992"/>
        <w:gridCol w:w="993"/>
        <w:gridCol w:w="1275"/>
        <w:gridCol w:w="1276"/>
      </w:tblGrid>
      <w:tr w:rsidR="00000000">
        <w:tblPrEx>
          <w:tblCellMar>
            <w:top w:w="0" w:type="dxa"/>
            <w:bottom w:w="0" w:type="dxa"/>
          </w:tblCellMar>
        </w:tblPrEx>
        <w:trPr>
          <w:cantSplit/>
        </w:trPr>
        <w:tc>
          <w:tcPr>
            <w:tcW w:w="669" w:type="dxa"/>
            <w:vMerge w:val="restart"/>
            <w:vAlign w:val="center"/>
          </w:tcPr>
          <w:p w:rsidR="00000000" w:rsidRDefault="00000000">
            <w:pPr>
              <w:pStyle w:val="FootnoteText"/>
              <w:spacing w:line="288" w:lineRule="auto"/>
              <w:jc w:val="center"/>
              <w:rPr>
                <w:sz w:val="18"/>
              </w:rPr>
            </w:pPr>
            <w:r>
              <w:rPr>
                <w:sz w:val="18"/>
              </w:rPr>
              <w:t>Год</w:t>
            </w:r>
          </w:p>
        </w:tc>
        <w:tc>
          <w:tcPr>
            <w:tcW w:w="1282" w:type="dxa"/>
            <w:vAlign w:val="center"/>
          </w:tcPr>
          <w:p w:rsidR="00000000" w:rsidRDefault="00000000">
            <w:pPr>
              <w:pStyle w:val="FootnoteText"/>
              <w:spacing w:line="288" w:lineRule="auto"/>
              <w:jc w:val="center"/>
              <w:rPr>
                <w:sz w:val="18"/>
              </w:rPr>
            </w:pPr>
            <w:r>
              <w:rPr>
                <w:sz w:val="18"/>
              </w:rPr>
              <w:t>Всего</w:t>
            </w:r>
          </w:p>
        </w:tc>
        <w:tc>
          <w:tcPr>
            <w:tcW w:w="3118" w:type="dxa"/>
            <w:gridSpan w:val="3"/>
            <w:vAlign w:val="center"/>
          </w:tcPr>
          <w:p w:rsidR="00000000" w:rsidRDefault="00000000">
            <w:pPr>
              <w:jc w:val="center"/>
              <w:rPr>
                <w:sz w:val="18"/>
              </w:rPr>
            </w:pPr>
            <w:r>
              <w:rPr>
                <w:sz w:val="18"/>
              </w:rPr>
              <w:t>Несчастные случаи</w:t>
            </w:r>
          </w:p>
        </w:tc>
        <w:tc>
          <w:tcPr>
            <w:tcW w:w="1985" w:type="dxa"/>
            <w:gridSpan w:val="2"/>
            <w:vAlign w:val="center"/>
          </w:tcPr>
          <w:p w:rsidR="00000000" w:rsidRDefault="00000000">
            <w:pPr>
              <w:jc w:val="center"/>
              <w:rPr>
                <w:sz w:val="18"/>
              </w:rPr>
            </w:pPr>
            <w:r>
              <w:rPr>
                <w:sz w:val="18"/>
              </w:rPr>
              <w:t>В том числе</w:t>
            </w:r>
          </w:p>
        </w:tc>
        <w:tc>
          <w:tcPr>
            <w:tcW w:w="2551" w:type="dxa"/>
            <w:gridSpan w:val="2"/>
          </w:tcPr>
          <w:p w:rsidR="00000000" w:rsidRDefault="00000000">
            <w:pPr>
              <w:rPr>
                <w:sz w:val="18"/>
              </w:rPr>
            </w:pPr>
            <w:r>
              <w:rPr>
                <w:sz w:val="18"/>
              </w:rPr>
              <w:t>Количество дней временной нетрудоспособности</w:t>
            </w:r>
          </w:p>
        </w:tc>
      </w:tr>
      <w:tr w:rsidR="00000000">
        <w:tblPrEx>
          <w:tblCellMar>
            <w:top w:w="0" w:type="dxa"/>
            <w:bottom w:w="0" w:type="dxa"/>
          </w:tblCellMar>
        </w:tblPrEx>
        <w:trPr>
          <w:cantSplit/>
        </w:trPr>
        <w:tc>
          <w:tcPr>
            <w:tcW w:w="669" w:type="dxa"/>
            <w:vMerge/>
          </w:tcPr>
          <w:p w:rsidR="00000000" w:rsidRDefault="00000000">
            <w:pPr>
              <w:rPr>
                <w:b/>
                <w:bCs/>
                <w:sz w:val="18"/>
              </w:rPr>
            </w:pPr>
          </w:p>
        </w:tc>
        <w:tc>
          <w:tcPr>
            <w:tcW w:w="1282" w:type="dxa"/>
          </w:tcPr>
          <w:p w:rsidR="00000000" w:rsidRDefault="00000000">
            <w:pPr>
              <w:pStyle w:val="FootnoteText"/>
              <w:spacing w:line="288" w:lineRule="auto"/>
              <w:rPr>
                <w:sz w:val="16"/>
              </w:rPr>
            </w:pPr>
            <w:r>
              <w:rPr>
                <w:sz w:val="16"/>
              </w:rPr>
              <w:t>В абсолютном выражении</w:t>
            </w:r>
          </w:p>
        </w:tc>
        <w:tc>
          <w:tcPr>
            <w:tcW w:w="1134" w:type="dxa"/>
            <w:vAlign w:val="center"/>
          </w:tcPr>
          <w:p w:rsidR="00000000" w:rsidRDefault="00000000">
            <w:pPr>
              <w:jc w:val="center"/>
              <w:rPr>
                <w:sz w:val="16"/>
              </w:rPr>
            </w:pPr>
            <w:r>
              <w:rPr>
                <w:sz w:val="16"/>
              </w:rPr>
              <w:t>Смертельные</w:t>
            </w:r>
          </w:p>
        </w:tc>
        <w:tc>
          <w:tcPr>
            <w:tcW w:w="992" w:type="dxa"/>
            <w:vAlign w:val="center"/>
          </w:tcPr>
          <w:p w:rsidR="00000000" w:rsidRDefault="00000000">
            <w:pPr>
              <w:jc w:val="center"/>
              <w:rPr>
                <w:sz w:val="16"/>
              </w:rPr>
            </w:pPr>
            <w:r>
              <w:rPr>
                <w:sz w:val="16"/>
              </w:rPr>
              <w:t>Серьезные</w:t>
            </w:r>
          </w:p>
        </w:tc>
        <w:tc>
          <w:tcPr>
            <w:tcW w:w="992" w:type="dxa"/>
            <w:vAlign w:val="center"/>
          </w:tcPr>
          <w:p w:rsidR="00000000" w:rsidRDefault="00000000">
            <w:pPr>
              <w:jc w:val="center"/>
              <w:rPr>
                <w:sz w:val="16"/>
              </w:rPr>
            </w:pPr>
            <w:r>
              <w:rPr>
                <w:sz w:val="16"/>
              </w:rPr>
              <w:t>Прочие</w:t>
            </w:r>
          </w:p>
        </w:tc>
        <w:tc>
          <w:tcPr>
            <w:tcW w:w="992" w:type="dxa"/>
            <w:vAlign w:val="center"/>
          </w:tcPr>
          <w:p w:rsidR="00000000" w:rsidRDefault="00000000">
            <w:pPr>
              <w:jc w:val="center"/>
              <w:rPr>
                <w:sz w:val="16"/>
              </w:rPr>
            </w:pPr>
            <w:r>
              <w:rPr>
                <w:sz w:val="16"/>
              </w:rPr>
              <w:t>Женщины</w:t>
            </w:r>
          </w:p>
        </w:tc>
        <w:tc>
          <w:tcPr>
            <w:tcW w:w="993" w:type="dxa"/>
            <w:vAlign w:val="center"/>
          </w:tcPr>
          <w:p w:rsidR="00000000" w:rsidRDefault="00000000">
            <w:pPr>
              <w:jc w:val="center"/>
              <w:rPr>
                <w:sz w:val="16"/>
              </w:rPr>
            </w:pPr>
            <w:r>
              <w:rPr>
                <w:sz w:val="16"/>
              </w:rPr>
              <w:t>Молодежь</w:t>
            </w:r>
          </w:p>
        </w:tc>
        <w:tc>
          <w:tcPr>
            <w:tcW w:w="1275" w:type="dxa"/>
          </w:tcPr>
          <w:p w:rsidR="00000000" w:rsidRDefault="00000000">
            <w:pPr>
              <w:rPr>
                <w:sz w:val="16"/>
              </w:rPr>
            </w:pPr>
            <w:r>
              <w:rPr>
                <w:sz w:val="16"/>
              </w:rPr>
              <w:t>В абсолютном выражении</w:t>
            </w:r>
          </w:p>
        </w:tc>
        <w:tc>
          <w:tcPr>
            <w:tcW w:w="1276" w:type="dxa"/>
          </w:tcPr>
          <w:p w:rsidR="00000000" w:rsidRDefault="00000000">
            <w:pPr>
              <w:rPr>
                <w:sz w:val="16"/>
              </w:rPr>
            </w:pPr>
            <w:r>
              <w:rPr>
                <w:sz w:val="16"/>
              </w:rPr>
              <w:t>В расчете на одного постра-давшего</w:t>
            </w:r>
          </w:p>
        </w:tc>
      </w:tr>
      <w:tr w:rsidR="00000000">
        <w:tblPrEx>
          <w:tblCellMar>
            <w:top w:w="0" w:type="dxa"/>
            <w:bottom w:w="0" w:type="dxa"/>
          </w:tblCellMar>
        </w:tblPrEx>
        <w:tc>
          <w:tcPr>
            <w:tcW w:w="669" w:type="dxa"/>
          </w:tcPr>
          <w:p w:rsidR="00000000" w:rsidRDefault="00000000">
            <w:pPr>
              <w:jc w:val="center"/>
              <w:rPr>
                <w:sz w:val="18"/>
              </w:rPr>
            </w:pPr>
            <w:r>
              <w:rPr>
                <w:sz w:val="18"/>
              </w:rPr>
              <w:t>1</w:t>
            </w:r>
          </w:p>
        </w:tc>
        <w:tc>
          <w:tcPr>
            <w:tcW w:w="1282" w:type="dxa"/>
          </w:tcPr>
          <w:p w:rsidR="00000000" w:rsidRDefault="00000000">
            <w:pPr>
              <w:jc w:val="center"/>
              <w:rPr>
                <w:sz w:val="18"/>
              </w:rPr>
            </w:pPr>
            <w:r>
              <w:rPr>
                <w:sz w:val="18"/>
              </w:rPr>
              <w:t>2</w:t>
            </w:r>
          </w:p>
        </w:tc>
        <w:tc>
          <w:tcPr>
            <w:tcW w:w="1134" w:type="dxa"/>
          </w:tcPr>
          <w:p w:rsidR="00000000" w:rsidRDefault="00000000">
            <w:pPr>
              <w:jc w:val="center"/>
              <w:rPr>
                <w:sz w:val="18"/>
              </w:rPr>
            </w:pPr>
            <w:r>
              <w:rPr>
                <w:sz w:val="18"/>
              </w:rPr>
              <w:t>3</w:t>
            </w:r>
          </w:p>
        </w:tc>
        <w:tc>
          <w:tcPr>
            <w:tcW w:w="992" w:type="dxa"/>
          </w:tcPr>
          <w:p w:rsidR="00000000" w:rsidRDefault="00000000">
            <w:pPr>
              <w:jc w:val="center"/>
              <w:rPr>
                <w:sz w:val="18"/>
              </w:rPr>
            </w:pPr>
            <w:r>
              <w:rPr>
                <w:sz w:val="18"/>
              </w:rPr>
              <w:t>4</w:t>
            </w:r>
          </w:p>
        </w:tc>
        <w:tc>
          <w:tcPr>
            <w:tcW w:w="992" w:type="dxa"/>
          </w:tcPr>
          <w:p w:rsidR="00000000" w:rsidRDefault="00000000">
            <w:pPr>
              <w:jc w:val="center"/>
              <w:rPr>
                <w:sz w:val="18"/>
              </w:rPr>
            </w:pPr>
            <w:r>
              <w:rPr>
                <w:sz w:val="18"/>
              </w:rPr>
              <w:t>5</w:t>
            </w:r>
          </w:p>
        </w:tc>
        <w:tc>
          <w:tcPr>
            <w:tcW w:w="992" w:type="dxa"/>
          </w:tcPr>
          <w:p w:rsidR="00000000" w:rsidRDefault="00000000">
            <w:pPr>
              <w:jc w:val="center"/>
              <w:rPr>
                <w:sz w:val="18"/>
              </w:rPr>
            </w:pPr>
            <w:r>
              <w:rPr>
                <w:sz w:val="18"/>
              </w:rPr>
              <w:t>6</w:t>
            </w:r>
          </w:p>
        </w:tc>
        <w:tc>
          <w:tcPr>
            <w:tcW w:w="993" w:type="dxa"/>
          </w:tcPr>
          <w:p w:rsidR="00000000" w:rsidRDefault="00000000">
            <w:pPr>
              <w:jc w:val="center"/>
              <w:rPr>
                <w:sz w:val="18"/>
              </w:rPr>
            </w:pPr>
            <w:r>
              <w:rPr>
                <w:sz w:val="18"/>
              </w:rPr>
              <w:t>7</w:t>
            </w:r>
          </w:p>
        </w:tc>
        <w:tc>
          <w:tcPr>
            <w:tcW w:w="1275" w:type="dxa"/>
          </w:tcPr>
          <w:p w:rsidR="00000000" w:rsidRDefault="00000000">
            <w:pPr>
              <w:jc w:val="center"/>
              <w:rPr>
                <w:sz w:val="18"/>
              </w:rPr>
            </w:pPr>
            <w:r>
              <w:rPr>
                <w:sz w:val="18"/>
              </w:rPr>
              <w:t>8</w:t>
            </w:r>
          </w:p>
        </w:tc>
        <w:tc>
          <w:tcPr>
            <w:tcW w:w="1276" w:type="dxa"/>
          </w:tcPr>
          <w:p w:rsidR="00000000" w:rsidRDefault="00000000">
            <w:pPr>
              <w:jc w:val="center"/>
              <w:rPr>
                <w:sz w:val="18"/>
              </w:rPr>
            </w:pPr>
            <w:r>
              <w:rPr>
                <w:sz w:val="18"/>
              </w:rPr>
              <w:t>9</w:t>
            </w:r>
          </w:p>
        </w:tc>
      </w:tr>
      <w:tr w:rsidR="00000000">
        <w:tblPrEx>
          <w:tblCellMar>
            <w:top w:w="0" w:type="dxa"/>
            <w:bottom w:w="0" w:type="dxa"/>
          </w:tblCellMar>
        </w:tblPrEx>
        <w:tc>
          <w:tcPr>
            <w:tcW w:w="669" w:type="dxa"/>
          </w:tcPr>
          <w:p w:rsidR="00000000" w:rsidRDefault="00000000">
            <w:pPr>
              <w:rPr>
                <w:sz w:val="18"/>
              </w:rPr>
            </w:pPr>
            <w:r>
              <w:rPr>
                <w:sz w:val="18"/>
              </w:rPr>
              <w:t>1990</w:t>
            </w:r>
          </w:p>
        </w:tc>
        <w:tc>
          <w:tcPr>
            <w:tcW w:w="1282" w:type="dxa"/>
          </w:tcPr>
          <w:p w:rsidR="00000000" w:rsidRDefault="00000000">
            <w:pPr>
              <w:jc w:val="center"/>
              <w:rPr>
                <w:sz w:val="18"/>
              </w:rPr>
            </w:pPr>
            <w:r>
              <w:rPr>
                <w:sz w:val="18"/>
              </w:rPr>
              <w:t>108 274</w:t>
            </w:r>
          </w:p>
        </w:tc>
        <w:tc>
          <w:tcPr>
            <w:tcW w:w="1134" w:type="dxa"/>
          </w:tcPr>
          <w:p w:rsidR="00000000" w:rsidRDefault="00000000">
            <w:pPr>
              <w:jc w:val="center"/>
              <w:rPr>
                <w:sz w:val="18"/>
              </w:rPr>
            </w:pPr>
            <w:r>
              <w:rPr>
                <w:sz w:val="18"/>
              </w:rPr>
              <w:t>850</w:t>
            </w:r>
          </w:p>
        </w:tc>
        <w:tc>
          <w:tcPr>
            <w:tcW w:w="992" w:type="dxa"/>
          </w:tcPr>
          <w:p w:rsidR="00000000" w:rsidRDefault="00000000">
            <w:pPr>
              <w:jc w:val="center"/>
              <w:rPr>
                <w:sz w:val="18"/>
              </w:rPr>
            </w:pPr>
            <w:r>
              <w:rPr>
                <w:sz w:val="18"/>
              </w:rPr>
              <w:t>5 507</w:t>
            </w:r>
          </w:p>
        </w:tc>
        <w:tc>
          <w:tcPr>
            <w:tcW w:w="992" w:type="dxa"/>
          </w:tcPr>
          <w:p w:rsidR="00000000" w:rsidRDefault="00000000">
            <w:pPr>
              <w:jc w:val="center"/>
              <w:rPr>
                <w:sz w:val="18"/>
              </w:rPr>
            </w:pPr>
            <w:r>
              <w:rPr>
                <w:sz w:val="18"/>
              </w:rPr>
              <w:t>101 917</w:t>
            </w:r>
          </w:p>
        </w:tc>
        <w:tc>
          <w:tcPr>
            <w:tcW w:w="992" w:type="dxa"/>
          </w:tcPr>
          <w:p w:rsidR="00000000" w:rsidRDefault="00000000">
            <w:pPr>
              <w:jc w:val="center"/>
              <w:rPr>
                <w:sz w:val="18"/>
              </w:rPr>
            </w:pPr>
            <w:r>
              <w:rPr>
                <w:sz w:val="18"/>
              </w:rPr>
              <w:t>18 905</w:t>
            </w:r>
          </w:p>
        </w:tc>
        <w:tc>
          <w:tcPr>
            <w:tcW w:w="993" w:type="dxa"/>
          </w:tcPr>
          <w:p w:rsidR="00000000" w:rsidRDefault="00000000">
            <w:pPr>
              <w:jc w:val="center"/>
              <w:rPr>
                <w:sz w:val="18"/>
              </w:rPr>
            </w:pPr>
            <w:r>
              <w:rPr>
                <w:sz w:val="18"/>
              </w:rPr>
              <w:t>1 204</w:t>
            </w:r>
          </w:p>
        </w:tc>
        <w:tc>
          <w:tcPr>
            <w:tcW w:w="1275" w:type="dxa"/>
          </w:tcPr>
          <w:p w:rsidR="00000000" w:rsidRDefault="00000000">
            <w:pPr>
              <w:jc w:val="center"/>
              <w:rPr>
                <w:sz w:val="18"/>
              </w:rPr>
            </w:pPr>
            <w:r>
              <w:rPr>
                <w:sz w:val="18"/>
              </w:rPr>
              <w:t>4 083 407</w:t>
            </w:r>
          </w:p>
        </w:tc>
        <w:tc>
          <w:tcPr>
            <w:tcW w:w="1276" w:type="dxa"/>
          </w:tcPr>
          <w:p w:rsidR="00000000" w:rsidRDefault="00000000">
            <w:pPr>
              <w:jc w:val="center"/>
              <w:rPr>
                <w:sz w:val="18"/>
              </w:rPr>
            </w:pPr>
            <w:r>
              <w:rPr>
                <w:sz w:val="18"/>
              </w:rPr>
              <w:t>38,0</w:t>
            </w:r>
          </w:p>
        </w:tc>
      </w:tr>
      <w:tr w:rsidR="00000000">
        <w:tblPrEx>
          <w:tblCellMar>
            <w:top w:w="0" w:type="dxa"/>
            <w:bottom w:w="0" w:type="dxa"/>
          </w:tblCellMar>
        </w:tblPrEx>
        <w:tc>
          <w:tcPr>
            <w:tcW w:w="669" w:type="dxa"/>
          </w:tcPr>
          <w:p w:rsidR="00000000" w:rsidRDefault="00000000">
            <w:pPr>
              <w:rPr>
                <w:sz w:val="18"/>
              </w:rPr>
            </w:pPr>
            <w:r>
              <w:rPr>
                <w:sz w:val="18"/>
              </w:rPr>
              <w:t>1995</w:t>
            </w:r>
          </w:p>
        </w:tc>
        <w:tc>
          <w:tcPr>
            <w:tcW w:w="1282" w:type="dxa"/>
          </w:tcPr>
          <w:p w:rsidR="00000000" w:rsidRDefault="00000000">
            <w:pPr>
              <w:jc w:val="center"/>
              <w:rPr>
                <w:sz w:val="18"/>
              </w:rPr>
            </w:pPr>
            <w:r>
              <w:rPr>
                <w:sz w:val="18"/>
              </w:rPr>
              <w:t>112 205</w:t>
            </w:r>
          </w:p>
        </w:tc>
        <w:tc>
          <w:tcPr>
            <w:tcW w:w="1134" w:type="dxa"/>
          </w:tcPr>
          <w:p w:rsidR="00000000" w:rsidRDefault="00000000">
            <w:pPr>
              <w:jc w:val="center"/>
              <w:rPr>
                <w:sz w:val="18"/>
              </w:rPr>
            </w:pPr>
            <w:r>
              <w:rPr>
                <w:sz w:val="18"/>
              </w:rPr>
              <w:t>624</w:t>
            </w:r>
          </w:p>
        </w:tc>
        <w:tc>
          <w:tcPr>
            <w:tcW w:w="992" w:type="dxa"/>
          </w:tcPr>
          <w:p w:rsidR="00000000" w:rsidRDefault="00000000">
            <w:pPr>
              <w:jc w:val="center"/>
              <w:rPr>
                <w:sz w:val="18"/>
              </w:rPr>
            </w:pPr>
            <w:r>
              <w:rPr>
                <w:sz w:val="18"/>
              </w:rPr>
              <w:t>2 249</w:t>
            </w:r>
          </w:p>
        </w:tc>
        <w:tc>
          <w:tcPr>
            <w:tcW w:w="992" w:type="dxa"/>
          </w:tcPr>
          <w:p w:rsidR="00000000" w:rsidRDefault="00000000">
            <w:pPr>
              <w:jc w:val="center"/>
              <w:rPr>
                <w:sz w:val="18"/>
              </w:rPr>
            </w:pPr>
            <w:r>
              <w:rPr>
                <w:sz w:val="18"/>
              </w:rPr>
              <w:t>109 332</w:t>
            </w:r>
          </w:p>
        </w:tc>
        <w:tc>
          <w:tcPr>
            <w:tcW w:w="992" w:type="dxa"/>
          </w:tcPr>
          <w:p w:rsidR="00000000" w:rsidRDefault="00000000">
            <w:pPr>
              <w:jc w:val="center"/>
              <w:rPr>
                <w:sz w:val="18"/>
              </w:rPr>
            </w:pPr>
            <w:r>
              <w:rPr>
                <w:sz w:val="18"/>
              </w:rPr>
              <w:t>23 688</w:t>
            </w:r>
          </w:p>
        </w:tc>
        <w:tc>
          <w:tcPr>
            <w:tcW w:w="993" w:type="dxa"/>
          </w:tcPr>
          <w:p w:rsidR="00000000" w:rsidRDefault="00000000">
            <w:pPr>
              <w:jc w:val="center"/>
              <w:rPr>
                <w:sz w:val="18"/>
              </w:rPr>
            </w:pPr>
            <w:r>
              <w:rPr>
                <w:sz w:val="18"/>
              </w:rPr>
              <w:t>1 009</w:t>
            </w:r>
          </w:p>
        </w:tc>
        <w:tc>
          <w:tcPr>
            <w:tcW w:w="1275" w:type="dxa"/>
          </w:tcPr>
          <w:p w:rsidR="00000000" w:rsidRDefault="00000000">
            <w:pPr>
              <w:jc w:val="center"/>
              <w:rPr>
                <w:sz w:val="18"/>
              </w:rPr>
            </w:pPr>
            <w:r>
              <w:rPr>
                <w:sz w:val="18"/>
              </w:rPr>
              <w:t>4 518 221</w:t>
            </w:r>
          </w:p>
        </w:tc>
        <w:tc>
          <w:tcPr>
            <w:tcW w:w="1276" w:type="dxa"/>
          </w:tcPr>
          <w:p w:rsidR="00000000" w:rsidRDefault="00000000">
            <w:pPr>
              <w:jc w:val="center"/>
              <w:rPr>
                <w:sz w:val="18"/>
              </w:rPr>
            </w:pPr>
            <w:r>
              <w:rPr>
                <w:sz w:val="18"/>
              </w:rPr>
              <w:t>40,5</w:t>
            </w:r>
          </w:p>
        </w:tc>
      </w:tr>
      <w:tr w:rsidR="00000000">
        <w:tblPrEx>
          <w:tblCellMar>
            <w:top w:w="0" w:type="dxa"/>
            <w:bottom w:w="0" w:type="dxa"/>
          </w:tblCellMar>
        </w:tblPrEx>
        <w:tc>
          <w:tcPr>
            <w:tcW w:w="669" w:type="dxa"/>
          </w:tcPr>
          <w:p w:rsidR="00000000" w:rsidRDefault="00000000">
            <w:pPr>
              <w:rPr>
                <w:sz w:val="18"/>
              </w:rPr>
            </w:pPr>
            <w:r>
              <w:rPr>
                <w:sz w:val="18"/>
              </w:rPr>
              <w:t>1996</w:t>
            </w:r>
          </w:p>
        </w:tc>
        <w:tc>
          <w:tcPr>
            <w:tcW w:w="1282" w:type="dxa"/>
          </w:tcPr>
          <w:p w:rsidR="00000000" w:rsidRDefault="00000000">
            <w:pPr>
              <w:jc w:val="center"/>
              <w:rPr>
                <w:sz w:val="18"/>
              </w:rPr>
            </w:pPr>
            <w:r>
              <w:rPr>
                <w:sz w:val="18"/>
              </w:rPr>
              <w:t>117 119</w:t>
            </w:r>
          </w:p>
        </w:tc>
        <w:tc>
          <w:tcPr>
            <w:tcW w:w="1134" w:type="dxa"/>
          </w:tcPr>
          <w:p w:rsidR="00000000" w:rsidRDefault="00000000">
            <w:pPr>
              <w:jc w:val="center"/>
              <w:rPr>
                <w:sz w:val="18"/>
              </w:rPr>
            </w:pPr>
            <w:r>
              <w:rPr>
                <w:sz w:val="18"/>
              </w:rPr>
              <w:t>647</w:t>
            </w:r>
          </w:p>
        </w:tc>
        <w:tc>
          <w:tcPr>
            <w:tcW w:w="992" w:type="dxa"/>
          </w:tcPr>
          <w:p w:rsidR="00000000" w:rsidRDefault="00000000">
            <w:pPr>
              <w:jc w:val="center"/>
              <w:rPr>
                <w:sz w:val="18"/>
              </w:rPr>
            </w:pPr>
            <w:r>
              <w:rPr>
                <w:sz w:val="18"/>
              </w:rPr>
              <w:t>2 106</w:t>
            </w:r>
          </w:p>
        </w:tc>
        <w:tc>
          <w:tcPr>
            <w:tcW w:w="992" w:type="dxa"/>
          </w:tcPr>
          <w:p w:rsidR="00000000" w:rsidRDefault="00000000">
            <w:pPr>
              <w:jc w:val="center"/>
              <w:rPr>
                <w:sz w:val="18"/>
              </w:rPr>
            </w:pPr>
            <w:r>
              <w:rPr>
                <w:sz w:val="18"/>
              </w:rPr>
              <w:t>114 366</w:t>
            </w:r>
          </w:p>
        </w:tc>
        <w:tc>
          <w:tcPr>
            <w:tcW w:w="992" w:type="dxa"/>
          </w:tcPr>
          <w:p w:rsidR="00000000" w:rsidRDefault="00000000">
            <w:pPr>
              <w:jc w:val="center"/>
              <w:rPr>
                <w:sz w:val="18"/>
              </w:rPr>
            </w:pPr>
            <w:r>
              <w:rPr>
                <w:sz w:val="18"/>
              </w:rPr>
              <w:t>26 907</w:t>
            </w:r>
          </w:p>
        </w:tc>
        <w:tc>
          <w:tcPr>
            <w:tcW w:w="993" w:type="dxa"/>
          </w:tcPr>
          <w:p w:rsidR="00000000" w:rsidRDefault="00000000">
            <w:pPr>
              <w:jc w:val="center"/>
              <w:rPr>
                <w:sz w:val="18"/>
              </w:rPr>
            </w:pPr>
            <w:r>
              <w:rPr>
                <w:sz w:val="18"/>
              </w:rPr>
              <w:t>1 039</w:t>
            </w:r>
          </w:p>
        </w:tc>
        <w:tc>
          <w:tcPr>
            <w:tcW w:w="1275" w:type="dxa"/>
          </w:tcPr>
          <w:p w:rsidR="00000000" w:rsidRDefault="00000000">
            <w:pPr>
              <w:jc w:val="center"/>
              <w:rPr>
                <w:sz w:val="18"/>
              </w:rPr>
            </w:pPr>
            <w:r>
              <w:rPr>
                <w:sz w:val="18"/>
              </w:rPr>
              <w:t>4 856 192</w:t>
            </w:r>
          </w:p>
        </w:tc>
        <w:tc>
          <w:tcPr>
            <w:tcW w:w="1276" w:type="dxa"/>
          </w:tcPr>
          <w:p w:rsidR="00000000" w:rsidRDefault="00000000">
            <w:pPr>
              <w:jc w:val="center"/>
              <w:rPr>
                <w:sz w:val="18"/>
              </w:rPr>
            </w:pPr>
            <w:r>
              <w:rPr>
                <w:sz w:val="18"/>
              </w:rPr>
              <w:t>41,7</w:t>
            </w:r>
          </w:p>
        </w:tc>
      </w:tr>
      <w:tr w:rsidR="00000000">
        <w:tblPrEx>
          <w:tblCellMar>
            <w:top w:w="0" w:type="dxa"/>
            <w:bottom w:w="0" w:type="dxa"/>
          </w:tblCellMar>
        </w:tblPrEx>
        <w:tc>
          <w:tcPr>
            <w:tcW w:w="669" w:type="dxa"/>
          </w:tcPr>
          <w:p w:rsidR="00000000" w:rsidRDefault="00000000">
            <w:pPr>
              <w:rPr>
                <w:sz w:val="18"/>
              </w:rPr>
            </w:pPr>
            <w:r>
              <w:rPr>
                <w:sz w:val="18"/>
              </w:rPr>
              <w:t>1997</w:t>
            </w:r>
          </w:p>
        </w:tc>
        <w:tc>
          <w:tcPr>
            <w:tcW w:w="1282" w:type="dxa"/>
          </w:tcPr>
          <w:p w:rsidR="00000000" w:rsidRDefault="00000000">
            <w:pPr>
              <w:jc w:val="center"/>
              <w:rPr>
                <w:sz w:val="18"/>
              </w:rPr>
            </w:pPr>
            <w:r>
              <w:rPr>
                <w:sz w:val="18"/>
              </w:rPr>
              <w:t>120 897</w:t>
            </w:r>
          </w:p>
        </w:tc>
        <w:tc>
          <w:tcPr>
            <w:tcW w:w="1134" w:type="dxa"/>
          </w:tcPr>
          <w:p w:rsidR="00000000" w:rsidRDefault="00000000">
            <w:pPr>
              <w:jc w:val="center"/>
              <w:rPr>
                <w:sz w:val="18"/>
              </w:rPr>
            </w:pPr>
            <w:r>
              <w:rPr>
                <w:sz w:val="18"/>
              </w:rPr>
              <w:t>702</w:t>
            </w:r>
          </w:p>
        </w:tc>
        <w:tc>
          <w:tcPr>
            <w:tcW w:w="992" w:type="dxa"/>
          </w:tcPr>
          <w:p w:rsidR="00000000" w:rsidRDefault="00000000">
            <w:pPr>
              <w:jc w:val="center"/>
              <w:rPr>
                <w:sz w:val="18"/>
              </w:rPr>
            </w:pPr>
            <w:r>
              <w:rPr>
                <w:sz w:val="18"/>
              </w:rPr>
              <w:t>2 014</w:t>
            </w:r>
          </w:p>
        </w:tc>
        <w:tc>
          <w:tcPr>
            <w:tcW w:w="992" w:type="dxa"/>
          </w:tcPr>
          <w:p w:rsidR="00000000" w:rsidRDefault="00000000">
            <w:pPr>
              <w:jc w:val="center"/>
              <w:rPr>
                <w:sz w:val="18"/>
              </w:rPr>
            </w:pPr>
            <w:r>
              <w:rPr>
                <w:sz w:val="18"/>
              </w:rPr>
              <w:t>118 181</w:t>
            </w:r>
          </w:p>
        </w:tc>
        <w:tc>
          <w:tcPr>
            <w:tcW w:w="992" w:type="dxa"/>
          </w:tcPr>
          <w:p w:rsidR="00000000" w:rsidRDefault="00000000">
            <w:pPr>
              <w:jc w:val="center"/>
              <w:rPr>
                <w:sz w:val="18"/>
              </w:rPr>
            </w:pPr>
            <w:r>
              <w:rPr>
                <w:sz w:val="18"/>
              </w:rPr>
              <w:t>28 715</w:t>
            </w:r>
          </w:p>
        </w:tc>
        <w:tc>
          <w:tcPr>
            <w:tcW w:w="993" w:type="dxa"/>
          </w:tcPr>
          <w:p w:rsidR="00000000" w:rsidRDefault="00000000">
            <w:pPr>
              <w:jc w:val="center"/>
              <w:rPr>
                <w:sz w:val="18"/>
              </w:rPr>
            </w:pPr>
            <w:r>
              <w:rPr>
                <w:sz w:val="18"/>
              </w:rPr>
              <w:t>1 047</w:t>
            </w:r>
          </w:p>
        </w:tc>
        <w:tc>
          <w:tcPr>
            <w:tcW w:w="1275" w:type="dxa"/>
          </w:tcPr>
          <w:p w:rsidR="00000000" w:rsidRDefault="00000000">
            <w:pPr>
              <w:jc w:val="center"/>
              <w:rPr>
                <w:sz w:val="18"/>
              </w:rPr>
            </w:pPr>
            <w:r>
              <w:rPr>
                <w:sz w:val="18"/>
              </w:rPr>
              <w:t>5 130 073</w:t>
            </w:r>
          </w:p>
        </w:tc>
        <w:tc>
          <w:tcPr>
            <w:tcW w:w="1276" w:type="dxa"/>
          </w:tcPr>
          <w:p w:rsidR="00000000" w:rsidRDefault="00000000">
            <w:pPr>
              <w:jc w:val="center"/>
              <w:rPr>
                <w:sz w:val="18"/>
              </w:rPr>
            </w:pPr>
            <w:r>
              <w:rPr>
                <w:sz w:val="18"/>
              </w:rPr>
              <w:t>42,7</w:t>
            </w:r>
          </w:p>
        </w:tc>
      </w:tr>
      <w:tr w:rsidR="00000000">
        <w:tblPrEx>
          <w:tblCellMar>
            <w:top w:w="0" w:type="dxa"/>
            <w:bottom w:w="0" w:type="dxa"/>
          </w:tblCellMar>
        </w:tblPrEx>
        <w:tc>
          <w:tcPr>
            <w:tcW w:w="669" w:type="dxa"/>
          </w:tcPr>
          <w:p w:rsidR="00000000" w:rsidRDefault="00000000">
            <w:pPr>
              <w:rPr>
                <w:sz w:val="18"/>
              </w:rPr>
            </w:pPr>
            <w:r>
              <w:rPr>
                <w:sz w:val="18"/>
              </w:rPr>
              <w:t>1998</w:t>
            </w:r>
          </w:p>
        </w:tc>
        <w:tc>
          <w:tcPr>
            <w:tcW w:w="1282" w:type="dxa"/>
          </w:tcPr>
          <w:p w:rsidR="00000000" w:rsidRDefault="00000000">
            <w:pPr>
              <w:jc w:val="center"/>
              <w:rPr>
                <w:sz w:val="18"/>
              </w:rPr>
            </w:pPr>
            <w:r>
              <w:rPr>
                <w:sz w:val="18"/>
              </w:rPr>
              <w:t>117 518</w:t>
            </w:r>
          </w:p>
        </w:tc>
        <w:tc>
          <w:tcPr>
            <w:tcW w:w="1134" w:type="dxa"/>
          </w:tcPr>
          <w:p w:rsidR="00000000" w:rsidRDefault="00000000">
            <w:pPr>
              <w:jc w:val="center"/>
              <w:rPr>
                <w:sz w:val="18"/>
              </w:rPr>
            </w:pPr>
            <w:r>
              <w:rPr>
                <w:sz w:val="18"/>
              </w:rPr>
              <w:t>651</w:t>
            </w:r>
          </w:p>
        </w:tc>
        <w:tc>
          <w:tcPr>
            <w:tcW w:w="992" w:type="dxa"/>
          </w:tcPr>
          <w:p w:rsidR="00000000" w:rsidRDefault="00000000">
            <w:pPr>
              <w:jc w:val="center"/>
              <w:rPr>
                <w:sz w:val="18"/>
              </w:rPr>
            </w:pPr>
            <w:r>
              <w:rPr>
                <w:sz w:val="18"/>
              </w:rPr>
              <w:t>1 862</w:t>
            </w:r>
          </w:p>
        </w:tc>
        <w:tc>
          <w:tcPr>
            <w:tcW w:w="992" w:type="dxa"/>
          </w:tcPr>
          <w:p w:rsidR="00000000" w:rsidRDefault="00000000">
            <w:pPr>
              <w:jc w:val="center"/>
              <w:rPr>
                <w:sz w:val="18"/>
              </w:rPr>
            </w:pPr>
            <w:r>
              <w:rPr>
                <w:sz w:val="18"/>
              </w:rPr>
              <w:t>115 002</w:t>
            </w:r>
          </w:p>
        </w:tc>
        <w:tc>
          <w:tcPr>
            <w:tcW w:w="992" w:type="dxa"/>
          </w:tcPr>
          <w:p w:rsidR="00000000" w:rsidRDefault="00000000">
            <w:pPr>
              <w:jc w:val="center"/>
              <w:rPr>
                <w:sz w:val="18"/>
              </w:rPr>
            </w:pPr>
            <w:r>
              <w:rPr>
                <w:sz w:val="18"/>
              </w:rPr>
              <w:t>28 859</w:t>
            </w:r>
          </w:p>
        </w:tc>
        <w:tc>
          <w:tcPr>
            <w:tcW w:w="993" w:type="dxa"/>
          </w:tcPr>
          <w:p w:rsidR="00000000" w:rsidRDefault="00000000">
            <w:pPr>
              <w:jc w:val="center"/>
              <w:rPr>
                <w:sz w:val="18"/>
              </w:rPr>
            </w:pPr>
            <w:r>
              <w:rPr>
                <w:sz w:val="18"/>
              </w:rPr>
              <w:t>1 015</w:t>
            </w:r>
          </w:p>
        </w:tc>
        <w:tc>
          <w:tcPr>
            <w:tcW w:w="1275" w:type="dxa"/>
          </w:tcPr>
          <w:p w:rsidR="00000000" w:rsidRDefault="00000000">
            <w:pPr>
              <w:jc w:val="center"/>
              <w:rPr>
                <w:sz w:val="18"/>
              </w:rPr>
            </w:pPr>
            <w:r>
              <w:rPr>
                <w:sz w:val="18"/>
              </w:rPr>
              <w:t>4 097 667</w:t>
            </w:r>
          </w:p>
        </w:tc>
        <w:tc>
          <w:tcPr>
            <w:tcW w:w="1276" w:type="dxa"/>
          </w:tcPr>
          <w:p w:rsidR="00000000" w:rsidRDefault="00000000">
            <w:pPr>
              <w:jc w:val="center"/>
              <w:rPr>
                <w:sz w:val="18"/>
              </w:rPr>
            </w:pPr>
            <w:r>
              <w:rPr>
                <w:sz w:val="18"/>
              </w:rPr>
              <w:t>35,1</w:t>
            </w:r>
          </w:p>
        </w:tc>
      </w:tr>
    </w:tbl>
    <w:p w:rsidR="00000000" w:rsidRDefault="00000000">
      <w:pPr>
        <w:rPr>
          <w:b/>
          <w:bCs/>
        </w:rPr>
      </w:pPr>
    </w:p>
    <w:p w:rsidR="00000000" w:rsidRDefault="00000000">
      <w:pPr>
        <w:pStyle w:val="16"/>
        <w:jc w:val="left"/>
        <w:rPr>
          <w:b/>
          <w:bCs/>
        </w:rPr>
      </w:pPr>
      <w:r>
        <w:tab/>
      </w:r>
      <w:r>
        <w:rPr>
          <w:u w:val="single"/>
        </w:rPr>
        <w:t>Источник</w:t>
      </w:r>
      <w:r>
        <w:t>:  данные Главного статистического управления.</w:t>
      </w:r>
    </w:p>
    <w:p w:rsidR="00000000" w:rsidRDefault="00000000">
      <w:pPr>
        <w:pStyle w:val="16"/>
        <w:rPr>
          <w:b/>
          <w:bCs/>
        </w:rPr>
      </w:pPr>
    </w:p>
    <w:p w:rsidR="00000000" w:rsidRDefault="00000000">
      <w:pPr>
        <w:pStyle w:val="10"/>
        <w:rPr>
          <w:b w:val="0"/>
          <w:u w:val="single"/>
        </w:rPr>
      </w:pPr>
      <w:r>
        <w:rPr>
          <w:b w:val="0"/>
          <w:u w:val="single"/>
        </w:rPr>
        <w:t>Таблица 16</w:t>
      </w:r>
      <w:r>
        <w:rPr>
          <w:b w:val="0"/>
        </w:rPr>
        <w:t xml:space="preserve">.   </w:t>
      </w:r>
      <w:r>
        <w:rPr>
          <w:b w:val="0"/>
          <w:u w:val="single"/>
        </w:rPr>
        <w:t>Несчастные случаи на производстве и профессиональные заболевания в сельском хозяйстве в 1995-1998 годах</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9"/>
        <w:gridCol w:w="1683"/>
        <w:gridCol w:w="1496"/>
        <w:gridCol w:w="1683"/>
        <w:gridCol w:w="1609"/>
      </w:tblGrid>
      <w:tr w:rsidR="00000000">
        <w:tblPrEx>
          <w:tblCellMar>
            <w:top w:w="0" w:type="dxa"/>
            <w:bottom w:w="0" w:type="dxa"/>
          </w:tblCellMar>
        </w:tblPrEx>
        <w:tc>
          <w:tcPr>
            <w:tcW w:w="3100" w:type="dxa"/>
            <w:vAlign w:val="center"/>
          </w:tcPr>
          <w:p w:rsidR="00000000" w:rsidRDefault="00000000">
            <w:pPr>
              <w:pStyle w:val="FootnoteText"/>
              <w:spacing w:line="288" w:lineRule="auto"/>
              <w:jc w:val="center"/>
            </w:pPr>
            <w:r>
              <w:t>Показатель</w:t>
            </w:r>
          </w:p>
        </w:tc>
        <w:tc>
          <w:tcPr>
            <w:tcW w:w="1683" w:type="dxa"/>
            <w:vAlign w:val="center"/>
          </w:tcPr>
          <w:p w:rsidR="00000000" w:rsidRDefault="00000000">
            <w:pPr>
              <w:jc w:val="center"/>
            </w:pPr>
            <w:r>
              <w:t>1995</w:t>
            </w:r>
          </w:p>
        </w:tc>
        <w:tc>
          <w:tcPr>
            <w:tcW w:w="1496" w:type="dxa"/>
            <w:vAlign w:val="center"/>
          </w:tcPr>
          <w:p w:rsidR="00000000" w:rsidRDefault="00000000">
            <w:pPr>
              <w:jc w:val="center"/>
            </w:pPr>
            <w:r>
              <w:t>1996</w:t>
            </w:r>
          </w:p>
        </w:tc>
        <w:tc>
          <w:tcPr>
            <w:tcW w:w="1683" w:type="dxa"/>
            <w:vAlign w:val="center"/>
          </w:tcPr>
          <w:p w:rsidR="00000000" w:rsidRDefault="00000000">
            <w:pPr>
              <w:pStyle w:val="16"/>
              <w:tabs>
                <w:tab w:val="clear" w:pos="567"/>
                <w:tab w:val="clear" w:pos="1134"/>
              </w:tabs>
            </w:pPr>
            <w:r>
              <w:t>1997</w:t>
            </w:r>
          </w:p>
        </w:tc>
        <w:tc>
          <w:tcPr>
            <w:tcW w:w="1609" w:type="dxa"/>
            <w:vAlign w:val="center"/>
          </w:tcPr>
          <w:p w:rsidR="00000000" w:rsidRDefault="00000000">
            <w:pPr>
              <w:jc w:val="center"/>
            </w:pPr>
            <w:r>
              <w:t>1998</w:t>
            </w:r>
          </w:p>
        </w:tc>
      </w:tr>
      <w:tr w:rsidR="00000000">
        <w:tblPrEx>
          <w:tblCellMar>
            <w:top w:w="0" w:type="dxa"/>
            <w:bottom w:w="0" w:type="dxa"/>
          </w:tblCellMar>
        </w:tblPrEx>
        <w:tc>
          <w:tcPr>
            <w:tcW w:w="3100" w:type="dxa"/>
          </w:tcPr>
          <w:p w:rsidR="00000000" w:rsidRDefault="00000000">
            <w:pPr>
              <w:pStyle w:val="FootnoteText"/>
            </w:pPr>
            <w:r>
              <w:t>Всего несчастных случаев на производстве (в сельском хозяйстве)</w:t>
            </w:r>
          </w:p>
        </w:tc>
        <w:tc>
          <w:tcPr>
            <w:tcW w:w="1683" w:type="dxa"/>
          </w:tcPr>
          <w:p w:rsidR="00000000" w:rsidRDefault="00000000">
            <w:pPr>
              <w:pStyle w:val="FootnoteText"/>
              <w:tabs>
                <w:tab w:val="clear" w:pos="567"/>
                <w:tab w:val="clear" w:pos="1134"/>
              </w:tabs>
              <w:ind w:right="455"/>
              <w:jc w:val="right"/>
            </w:pPr>
            <w:r>
              <w:t>39 864</w:t>
            </w:r>
          </w:p>
        </w:tc>
        <w:tc>
          <w:tcPr>
            <w:tcW w:w="1496" w:type="dxa"/>
          </w:tcPr>
          <w:p w:rsidR="00000000" w:rsidRDefault="00000000">
            <w:pPr>
              <w:tabs>
                <w:tab w:val="clear" w:pos="567"/>
                <w:tab w:val="clear" w:pos="1134"/>
                <w:tab w:val="clear" w:pos="1701"/>
                <w:tab w:val="clear" w:pos="2268"/>
              </w:tabs>
              <w:spacing w:line="240" w:lineRule="auto"/>
              <w:ind w:right="392"/>
              <w:jc w:val="right"/>
            </w:pPr>
            <w:r>
              <w:t>39 408</w:t>
            </w:r>
          </w:p>
        </w:tc>
        <w:tc>
          <w:tcPr>
            <w:tcW w:w="1683" w:type="dxa"/>
          </w:tcPr>
          <w:p w:rsidR="00000000" w:rsidRDefault="00000000">
            <w:pPr>
              <w:tabs>
                <w:tab w:val="clear" w:pos="567"/>
                <w:tab w:val="clear" w:pos="1134"/>
                <w:tab w:val="clear" w:pos="1701"/>
                <w:tab w:val="clear" w:pos="2268"/>
              </w:tabs>
              <w:spacing w:line="240" w:lineRule="auto"/>
              <w:ind w:right="515"/>
              <w:jc w:val="right"/>
            </w:pPr>
            <w:r>
              <w:t>41 560</w:t>
            </w:r>
          </w:p>
        </w:tc>
        <w:tc>
          <w:tcPr>
            <w:tcW w:w="1609" w:type="dxa"/>
          </w:tcPr>
          <w:p w:rsidR="00000000" w:rsidRDefault="00000000">
            <w:pPr>
              <w:tabs>
                <w:tab w:val="clear" w:pos="567"/>
                <w:tab w:val="clear" w:pos="1134"/>
                <w:tab w:val="clear" w:pos="1701"/>
                <w:tab w:val="clear" w:pos="2268"/>
                <w:tab w:val="left" w:pos="828"/>
              </w:tabs>
              <w:spacing w:line="240" w:lineRule="auto"/>
              <w:ind w:right="423"/>
              <w:jc w:val="right"/>
            </w:pPr>
            <w:r>
              <w:t>29 777</w:t>
            </w:r>
          </w:p>
        </w:tc>
      </w:tr>
      <w:tr w:rsidR="00000000">
        <w:tblPrEx>
          <w:tblCellMar>
            <w:top w:w="0" w:type="dxa"/>
            <w:bottom w:w="0" w:type="dxa"/>
          </w:tblCellMar>
        </w:tblPrEx>
        <w:tc>
          <w:tcPr>
            <w:tcW w:w="3100" w:type="dxa"/>
          </w:tcPr>
          <w:p w:rsidR="00000000" w:rsidRDefault="00000000">
            <w:pPr>
              <w:spacing w:line="240" w:lineRule="auto"/>
            </w:pPr>
            <w:r>
              <w:t>В том числе:  со смертельным исходом</w:t>
            </w:r>
          </w:p>
        </w:tc>
        <w:tc>
          <w:tcPr>
            <w:tcW w:w="1683" w:type="dxa"/>
          </w:tcPr>
          <w:p w:rsidR="00000000" w:rsidRDefault="00000000">
            <w:pPr>
              <w:tabs>
                <w:tab w:val="clear" w:pos="567"/>
                <w:tab w:val="clear" w:pos="1134"/>
              </w:tabs>
              <w:spacing w:line="240" w:lineRule="auto"/>
              <w:ind w:right="455"/>
              <w:jc w:val="right"/>
            </w:pPr>
            <w:r>
              <w:t>318</w:t>
            </w:r>
          </w:p>
        </w:tc>
        <w:tc>
          <w:tcPr>
            <w:tcW w:w="1496" w:type="dxa"/>
          </w:tcPr>
          <w:p w:rsidR="00000000" w:rsidRDefault="00000000">
            <w:pPr>
              <w:tabs>
                <w:tab w:val="clear" w:pos="567"/>
                <w:tab w:val="clear" w:pos="1134"/>
                <w:tab w:val="clear" w:pos="1701"/>
                <w:tab w:val="clear" w:pos="2268"/>
              </w:tabs>
              <w:spacing w:line="240" w:lineRule="auto"/>
              <w:ind w:right="392"/>
              <w:jc w:val="right"/>
            </w:pPr>
            <w:r>
              <w:t>250</w:t>
            </w:r>
          </w:p>
        </w:tc>
        <w:tc>
          <w:tcPr>
            <w:tcW w:w="1683" w:type="dxa"/>
          </w:tcPr>
          <w:p w:rsidR="00000000" w:rsidRDefault="00000000">
            <w:pPr>
              <w:tabs>
                <w:tab w:val="clear" w:pos="567"/>
                <w:tab w:val="clear" w:pos="1134"/>
                <w:tab w:val="clear" w:pos="1701"/>
                <w:tab w:val="clear" w:pos="2268"/>
              </w:tabs>
              <w:spacing w:line="240" w:lineRule="auto"/>
              <w:ind w:right="515"/>
              <w:jc w:val="right"/>
            </w:pPr>
            <w:r>
              <w:t>334</w:t>
            </w:r>
          </w:p>
        </w:tc>
        <w:tc>
          <w:tcPr>
            <w:tcW w:w="1609" w:type="dxa"/>
          </w:tcPr>
          <w:p w:rsidR="00000000" w:rsidRDefault="00000000">
            <w:pPr>
              <w:tabs>
                <w:tab w:val="clear" w:pos="567"/>
                <w:tab w:val="clear" w:pos="1134"/>
                <w:tab w:val="clear" w:pos="1701"/>
                <w:tab w:val="clear" w:pos="2268"/>
                <w:tab w:val="left" w:pos="828"/>
              </w:tabs>
              <w:spacing w:line="240" w:lineRule="auto"/>
              <w:ind w:right="423"/>
              <w:jc w:val="right"/>
            </w:pPr>
            <w:r>
              <w:t>288</w:t>
            </w:r>
          </w:p>
        </w:tc>
      </w:tr>
      <w:tr w:rsidR="00000000">
        <w:tblPrEx>
          <w:tblCellMar>
            <w:top w:w="0" w:type="dxa"/>
            <w:bottom w:w="0" w:type="dxa"/>
          </w:tblCellMar>
        </w:tblPrEx>
        <w:tc>
          <w:tcPr>
            <w:tcW w:w="3100" w:type="dxa"/>
          </w:tcPr>
          <w:p w:rsidR="00000000" w:rsidRDefault="00000000">
            <w:pPr>
              <w:spacing w:line="240" w:lineRule="auto"/>
            </w:pPr>
            <w:r>
              <w:t>Всего профессиональных заболеваний</w:t>
            </w:r>
          </w:p>
        </w:tc>
        <w:tc>
          <w:tcPr>
            <w:tcW w:w="1683" w:type="dxa"/>
          </w:tcPr>
          <w:p w:rsidR="00000000" w:rsidRDefault="00000000">
            <w:pPr>
              <w:tabs>
                <w:tab w:val="clear" w:pos="567"/>
                <w:tab w:val="clear" w:pos="1134"/>
              </w:tabs>
              <w:spacing w:line="240" w:lineRule="auto"/>
              <w:ind w:right="455"/>
              <w:jc w:val="right"/>
            </w:pPr>
            <w:r>
              <w:t>80</w:t>
            </w:r>
          </w:p>
        </w:tc>
        <w:tc>
          <w:tcPr>
            <w:tcW w:w="1496" w:type="dxa"/>
          </w:tcPr>
          <w:p w:rsidR="00000000" w:rsidRDefault="00000000">
            <w:pPr>
              <w:tabs>
                <w:tab w:val="clear" w:pos="567"/>
                <w:tab w:val="clear" w:pos="1134"/>
                <w:tab w:val="clear" w:pos="1701"/>
                <w:tab w:val="clear" w:pos="2268"/>
              </w:tabs>
              <w:spacing w:line="240" w:lineRule="auto"/>
              <w:ind w:right="392"/>
              <w:jc w:val="right"/>
            </w:pPr>
            <w:r>
              <w:t>82</w:t>
            </w:r>
          </w:p>
        </w:tc>
        <w:tc>
          <w:tcPr>
            <w:tcW w:w="1683" w:type="dxa"/>
          </w:tcPr>
          <w:p w:rsidR="00000000" w:rsidRDefault="00000000">
            <w:pPr>
              <w:tabs>
                <w:tab w:val="clear" w:pos="567"/>
                <w:tab w:val="clear" w:pos="1134"/>
                <w:tab w:val="clear" w:pos="1701"/>
                <w:tab w:val="clear" w:pos="2268"/>
              </w:tabs>
              <w:spacing w:line="240" w:lineRule="auto"/>
              <w:ind w:right="515"/>
              <w:jc w:val="right"/>
            </w:pPr>
            <w:r>
              <w:t>139</w:t>
            </w:r>
          </w:p>
        </w:tc>
        <w:tc>
          <w:tcPr>
            <w:tcW w:w="1609" w:type="dxa"/>
          </w:tcPr>
          <w:p w:rsidR="00000000" w:rsidRDefault="00000000">
            <w:pPr>
              <w:tabs>
                <w:tab w:val="clear" w:pos="567"/>
                <w:tab w:val="clear" w:pos="1134"/>
                <w:tab w:val="clear" w:pos="1701"/>
                <w:tab w:val="clear" w:pos="2268"/>
                <w:tab w:val="left" w:pos="828"/>
              </w:tabs>
              <w:spacing w:line="240" w:lineRule="auto"/>
              <w:ind w:right="423"/>
              <w:jc w:val="right"/>
            </w:pPr>
            <w:r>
              <w:t>141</w:t>
            </w:r>
          </w:p>
        </w:tc>
      </w:tr>
      <w:tr w:rsidR="00000000">
        <w:tblPrEx>
          <w:tblCellMar>
            <w:top w:w="0" w:type="dxa"/>
            <w:bottom w:w="0" w:type="dxa"/>
          </w:tblCellMar>
        </w:tblPrEx>
        <w:tc>
          <w:tcPr>
            <w:tcW w:w="3100" w:type="dxa"/>
          </w:tcPr>
          <w:p w:rsidR="00000000" w:rsidRDefault="00000000">
            <w:pPr>
              <w:spacing w:line="240" w:lineRule="auto"/>
            </w:pPr>
            <w:r>
              <w:t>Количество несчастных случаев в расчете на 1 000 человек, застрахованных в единоличных фермерских хозяйствах</w:t>
            </w:r>
          </w:p>
        </w:tc>
        <w:tc>
          <w:tcPr>
            <w:tcW w:w="1683" w:type="dxa"/>
          </w:tcPr>
          <w:p w:rsidR="00000000" w:rsidRDefault="00000000">
            <w:pPr>
              <w:tabs>
                <w:tab w:val="clear" w:pos="567"/>
                <w:tab w:val="clear" w:pos="1134"/>
              </w:tabs>
              <w:spacing w:line="240" w:lineRule="auto"/>
              <w:ind w:right="455"/>
              <w:jc w:val="right"/>
            </w:pPr>
            <w:r>
              <w:t>27,9</w:t>
            </w:r>
          </w:p>
        </w:tc>
        <w:tc>
          <w:tcPr>
            <w:tcW w:w="1496" w:type="dxa"/>
          </w:tcPr>
          <w:p w:rsidR="00000000" w:rsidRDefault="00000000">
            <w:pPr>
              <w:tabs>
                <w:tab w:val="clear" w:pos="567"/>
                <w:tab w:val="clear" w:pos="1134"/>
                <w:tab w:val="clear" w:pos="1701"/>
                <w:tab w:val="clear" w:pos="2268"/>
              </w:tabs>
              <w:spacing w:line="240" w:lineRule="auto"/>
              <w:ind w:right="392"/>
              <w:jc w:val="right"/>
            </w:pPr>
            <w:r>
              <w:t>28,4</w:t>
            </w:r>
          </w:p>
        </w:tc>
        <w:tc>
          <w:tcPr>
            <w:tcW w:w="1683" w:type="dxa"/>
          </w:tcPr>
          <w:p w:rsidR="00000000" w:rsidRDefault="00000000">
            <w:pPr>
              <w:tabs>
                <w:tab w:val="clear" w:pos="567"/>
                <w:tab w:val="clear" w:pos="1134"/>
                <w:tab w:val="clear" w:pos="1701"/>
                <w:tab w:val="clear" w:pos="2268"/>
              </w:tabs>
              <w:spacing w:line="240" w:lineRule="auto"/>
              <w:ind w:right="515"/>
              <w:jc w:val="right"/>
            </w:pPr>
            <w:r>
              <w:t>29,3</w:t>
            </w:r>
          </w:p>
        </w:tc>
        <w:tc>
          <w:tcPr>
            <w:tcW w:w="1609" w:type="dxa"/>
          </w:tcPr>
          <w:p w:rsidR="00000000" w:rsidRDefault="00000000">
            <w:pPr>
              <w:tabs>
                <w:tab w:val="clear" w:pos="567"/>
                <w:tab w:val="clear" w:pos="1134"/>
                <w:tab w:val="clear" w:pos="1701"/>
                <w:tab w:val="clear" w:pos="2268"/>
                <w:tab w:val="left" w:pos="828"/>
              </w:tabs>
              <w:spacing w:line="240" w:lineRule="auto"/>
              <w:ind w:right="423"/>
              <w:jc w:val="right"/>
            </w:pPr>
            <w:r>
              <w:t>21,0</w:t>
            </w:r>
          </w:p>
        </w:tc>
      </w:tr>
    </w:tbl>
    <w:p w:rsidR="00000000" w:rsidRDefault="00000000"/>
    <w:p w:rsidR="00000000" w:rsidRDefault="00000000">
      <w:r>
        <w:tab/>
      </w:r>
      <w:r>
        <w:rPr>
          <w:u w:val="single"/>
        </w:rPr>
        <w:t>Источник</w:t>
      </w:r>
      <w:r>
        <w:t>:  информация министерства сельского хозяйства и пищевой промышленности.</w:t>
      </w:r>
    </w:p>
    <w:p w:rsidR="00000000" w:rsidRDefault="00000000"/>
    <w:p w:rsidR="00000000" w:rsidRDefault="00000000">
      <w:r>
        <w:t>82.</w:t>
      </w:r>
      <w:r>
        <w:tab/>
        <w:t>Анализ несчастных случаев со смертельным исходом в сельском хозяйстве показывает, что в 1995-1998 годах больше всего человек погибли в результате дорожно-транспортных происшествий.  Другой причиной смертности явились падения, а к третьей категории относятся случаи заболеваний и смерти во время или после выполнения сельскохозяйственных работ.</w:t>
      </w:r>
    </w:p>
    <w:p w:rsidR="00000000" w:rsidRDefault="00000000"/>
    <w:p w:rsidR="00000000" w:rsidRDefault="00000000">
      <w:r>
        <w:t>83.</w:t>
      </w:r>
      <w:r>
        <w:tab/>
        <w:t>Ниже излагается позиция министерства сельского хозяйства и пищевой промышленности на замечания, высказанные Комитетом по предыдущему докладу в отношении безопасности и гигиены труда.</w:t>
      </w:r>
    </w:p>
    <w:p w:rsidR="00000000" w:rsidRDefault="00000000"/>
    <w:p w:rsidR="00000000" w:rsidRDefault="00000000">
      <w:r>
        <w:tab/>
        <w:t>а)</w:t>
      </w:r>
      <w:r>
        <w:tab/>
        <w:t>Обязательную силу для государственных учреждений, находящихся в ведении министерства сельского хозяйства, имеют следующие нормативные положения:</w:t>
      </w:r>
    </w:p>
    <w:p w:rsidR="00000000" w:rsidRDefault="00000000"/>
    <w:p w:rsidR="00000000" w:rsidRDefault="00000000">
      <w:pPr>
        <w:ind w:left="1134" w:hanging="1134"/>
      </w:pPr>
      <w:r>
        <w:tab/>
        <w:t>-</w:t>
      </w:r>
      <w:r>
        <w:tab/>
        <w:t>Закон от 26 июня 1974 года о Кодексе законов о труде (Законодательный вестник № 24, текст 141, с последующими поправками);</w:t>
      </w:r>
    </w:p>
    <w:p w:rsidR="00000000" w:rsidRDefault="00000000">
      <w:pPr>
        <w:ind w:left="1134" w:hanging="1134"/>
      </w:pPr>
    </w:p>
    <w:p w:rsidR="00000000" w:rsidRDefault="00000000">
      <w:pPr>
        <w:ind w:left="1134" w:hanging="1134"/>
      </w:pPr>
      <w:r>
        <w:tab/>
        <w:t>-</w:t>
      </w:r>
      <w:r>
        <w:tab/>
        <w:t>Закон от 12 июня 1975 года о пособиях в случае несчастных случаев на производстве и профессиональных заболеваний (Законодательный вестник № 20, текст 105);</w:t>
      </w:r>
    </w:p>
    <w:p w:rsidR="00000000" w:rsidRDefault="00000000">
      <w:pPr>
        <w:ind w:left="1134" w:hanging="1134"/>
      </w:pPr>
    </w:p>
    <w:p w:rsidR="00000000" w:rsidRDefault="00000000">
      <w:pPr>
        <w:ind w:left="1134" w:hanging="1134"/>
      </w:pPr>
      <w:r>
        <w:tab/>
        <w:t>-</w:t>
      </w:r>
      <w:r>
        <w:tab/>
        <w:t>Закон от 27 июня 1997 года о службе гигиены труда (Законодательный вестник за 1997 год, № 96, текст 593);</w:t>
      </w:r>
    </w:p>
    <w:p w:rsidR="00000000" w:rsidRDefault="00000000">
      <w:pPr>
        <w:ind w:left="1134" w:hanging="1134"/>
      </w:pPr>
    </w:p>
    <w:p w:rsidR="00000000" w:rsidRDefault="00000000">
      <w:pPr>
        <w:ind w:left="1134" w:hanging="1134"/>
      </w:pPr>
      <w:r>
        <w:tab/>
        <w:t>-</w:t>
      </w:r>
      <w:r>
        <w:tab/>
        <w:t>Постановление совета министров об установлении обстоятельств и причин несчастных случаев на производстве (Законодательный вестник за 1998 год, № 115, текст 744);</w:t>
      </w:r>
    </w:p>
    <w:p w:rsidR="00000000" w:rsidRDefault="00000000">
      <w:pPr>
        <w:ind w:left="1134" w:hanging="1134"/>
      </w:pPr>
    </w:p>
    <w:p w:rsidR="00000000" w:rsidRDefault="00000000">
      <w:pPr>
        <w:ind w:left="1134" w:hanging="1134"/>
      </w:pPr>
      <w:r>
        <w:tab/>
        <w:t>-</w:t>
      </w:r>
      <w:r>
        <w:tab/>
        <w:t>Постановление министра труда и социальной политики от 26 сентября 1997 года об общих правилах безопасности и гигиены труда (Законодательный вестник № 129, текст 844);</w:t>
      </w:r>
    </w:p>
    <w:p w:rsidR="00000000" w:rsidRDefault="00000000">
      <w:pPr>
        <w:ind w:left="1134" w:hanging="1134"/>
      </w:pPr>
    </w:p>
    <w:p w:rsidR="00000000" w:rsidRDefault="00000000">
      <w:pPr>
        <w:ind w:left="1134" w:hanging="1134"/>
      </w:pPr>
      <w:r>
        <w:tab/>
        <w:t>-</w:t>
      </w:r>
      <w:r>
        <w:tab/>
        <w:t>Постановление министра труда и социальной политики от 30 мая 1996 года о проведении медицинских осмотров трудящихся службой охраны здоровья и медицинских сертификатах, выдаваемых в соответствии с Кодексом законов о труде (Законодательный вестник за 1996 год, № 86, текст 394);</w:t>
      </w:r>
    </w:p>
    <w:p w:rsidR="00000000" w:rsidRDefault="00000000">
      <w:pPr>
        <w:ind w:left="1134" w:hanging="1134"/>
      </w:pPr>
    </w:p>
    <w:p w:rsidR="00000000" w:rsidRDefault="00000000">
      <w:pPr>
        <w:ind w:left="1134" w:hanging="1134"/>
      </w:pPr>
      <w:r>
        <w:tab/>
        <w:t>-</w:t>
      </w:r>
      <w:r>
        <w:tab/>
        <w:t>Постановление министра труда, заработной платы и социальных дел и министра здравоохранения и социального обеспечения о правилах и процедуре установления факта нанесения вреда здоровью и выплате пособий при несчастных случаях на производстве, по пути на работу и с работы и при профессиональных заболеваниях (Законодательный вестник № 36, текст 199).</w:t>
      </w:r>
    </w:p>
    <w:p w:rsidR="00000000" w:rsidRDefault="00000000">
      <w:pPr>
        <w:ind w:left="1134" w:hanging="1134"/>
      </w:pPr>
    </w:p>
    <w:p w:rsidR="00000000" w:rsidRDefault="00000000">
      <w:r>
        <w:tab/>
        <w:t>b)</w:t>
      </w:r>
      <w:r>
        <w:tab/>
        <w:t>В отношении единоличных сельскохозяйственных ферм обязательную силу имели следующие положения:</w:t>
      </w:r>
    </w:p>
    <w:p w:rsidR="00000000" w:rsidRDefault="00000000">
      <w:pPr>
        <w:ind w:left="567" w:hanging="567"/>
      </w:pPr>
    </w:p>
    <w:p w:rsidR="00000000" w:rsidRDefault="00000000">
      <w:pPr>
        <w:ind w:left="1134" w:hanging="1134"/>
      </w:pPr>
      <w:r>
        <w:tab/>
        <w:t>-</w:t>
      </w:r>
      <w:r>
        <w:tab/>
        <w:t>в случае использования наемной рабочей силы действуют положения, указанные в пункте а);</w:t>
      </w:r>
    </w:p>
    <w:p w:rsidR="00000000" w:rsidRDefault="00000000">
      <w:pPr>
        <w:ind w:left="1134" w:hanging="1134"/>
      </w:pPr>
    </w:p>
    <w:p w:rsidR="00000000" w:rsidRDefault="00000000">
      <w:pPr>
        <w:ind w:left="1134" w:hanging="1134"/>
      </w:pPr>
      <w:r>
        <w:tab/>
        <w:t>-</w:t>
      </w:r>
      <w:r>
        <w:tab/>
        <w:t>на частных собственников ферм распространяются:</w:t>
      </w:r>
    </w:p>
    <w:p w:rsidR="00000000" w:rsidRDefault="00000000">
      <w:pPr>
        <w:ind w:left="1134" w:hanging="1134"/>
      </w:pPr>
    </w:p>
    <w:p w:rsidR="00000000" w:rsidRDefault="00000000">
      <w:pPr>
        <w:ind w:left="1695" w:hanging="1695"/>
      </w:pPr>
      <w:r>
        <w:tab/>
      </w:r>
      <w:r>
        <w:tab/>
        <w:t>-</w:t>
      </w:r>
      <w:r>
        <w:tab/>
        <w:t>Закон от 20 декабря 1990 года о социальном страховании фермеров (Законодательный вестник за 1993 год, № 71, текст 342, с поправками);</w:t>
      </w:r>
    </w:p>
    <w:p w:rsidR="00000000" w:rsidRDefault="00000000">
      <w:pPr>
        <w:ind w:left="1134" w:hanging="1134"/>
      </w:pPr>
    </w:p>
    <w:p w:rsidR="00000000" w:rsidRDefault="00000000">
      <w:pPr>
        <w:ind w:left="1701" w:hanging="1701"/>
      </w:pPr>
      <w:r>
        <w:tab/>
      </w:r>
      <w:r>
        <w:tab/>
        <w:t>-</w:t>
      </w:r>
      <w:r>
        <w:tab/>
        <w:t>Закон от 12 июня 1975 года о пособиях, выплачиваемых при несчастных случаях на производстве и профессиональных заболеваниях, см. выше;</w:t>
      </w:r>
    </w:p>
    <w:p w:rsidR="00000000" w:rsidRDefault="00000000">
      <w:pPr>
        <w:ind w:left="1701" w:hanging="1701"/>
      </w:pPr>
    </w:p>
    <w:p w:rsidR="00000000" w:rsidRDefault="00000000">
      <w:pPr>
        <w:ind w:left="1701" w:hanging="1701"/>
      </w:pPr>
      <w:r>
        <w:tab/>
      </w:r>
      <w:r>
        <w:tab/>
        <w:t>-</w:t>
      </w:r>
      <w:r>
        <w:tab/>
        <w:t>Постановление министра труда, заработной платы и социальных дел и министра здравоохранения и социального обеспечения от 17 октября 1975 года, см. выше;</w:t>
      </w:r>
    </w:p>
    <w:p w:rsidR="00000000" w:rsidRDefault="00000000">
      <w:pPr>
        <w:ind w:left="1701" w:hanging="1701"/>
      </w:pPr>
    </w:p>
    <w:p w:rsidR="00000000" w:rsidRDefault="00000000">
      <w:pPr>
        <w:ind w:left="1701" w:hanging="1701"/>
      </w:pPr>
      <w:r>
        <w:tab/>
      </w:r>
      <w:r>
        <w:tab/>
        <w:t>-</w:t>
      </w:r>
      <w:r>
        <w:tab/>
        <w:t>Постановление министра сельского хозяйства и пищевой промышленности от 21 октября 1991 года о разработке правил, устанавливающих право на получение сельскохозяйственными работниками пенсии по инвалидности, а также порядок указания и выяснения обстоятельств и причин несчастных случаев на производстве в сельскохозяйственном секторе (Законодательный вестник № 103, текст 449);</w:t>
      </w:r>
    </w:p>
    <w:p w:rsidR="00000000" w:rsidRDefault="00000000">
      <w:pPr>
        <w:ind w:left="1701" w:hanging="1701"/>
      </w:pPr>
    </w:p>
    <w:p w:rsidR="00000000" w:rsidRDefault="00000000">
      <w:pPr>
        <w:ind w:left="1701" w:hanging="1701"/>
      </w:pPr>
      <w:r>
        <w:tab/>
      </w:r>
      <w:r>
        <w:tab/>
        <w:t>-</w:t>
      </w:r>
      <w:r>
        <w:tab/>
        <w:t>Постановление министра сельского хозяйства и пищевой промышленности от 10 декабря 1991 года об установлении правил, предусматривающих определение размера единовременной компенсации при несчастном случае на производстве в сельскохозяйственном секторе и профессиональных заболеваниях, а также пособия по болезни (Законодательный вестник за 1991 год, № 117, текст 509);</w:t>
      </w:r>
    </w:p>
    <w:p w:rsidR="00000000" w:rsidRDefault="00000000">
      <w:pPr>
        <w:ind w:left="1701" w:hanging="1701"/>
      </w:pPr>
    </w:p>
    <w:p w:rsidR="00000000" w:rsidRDefault="00000000">
      <w:pPr>
        <w:ind w:left="1701" w:hanging="1701"/>
      </w:pPr>
      <w:r>
        <w:tab/>
      </w:r>
      <w:r>
        <w:tab/>
        <w:t>-</w:t>
      </w:r>
      <w:r>
        <w:tab/>
        <w:t>Указ № 51 президента Сельскохозяйственного фонда социального обеспечения от 5 сентября 1994 года о введении в действие "Правил и процедуры регистрации несчастных случаев на производстве в сельскохозяйственном секторе и рассмотрения заявлений застрахованных лиц о выплате единовременной компенсации при непоправимом или длительном нарушении здоровья или смерти в результате несчастного случая на производстве или профессионального заболевания в сельском хозяйстве" (не опубликован).</w:t>
      </w:r>
    </w:p>
    <w:p w:rsidR="00000000" w:rsidRDefault="00000000">
      <w:pPr>
        <w:ind w:left="1134" w:hanging="1134"/>
      </w:pPr>
    </w:p>
    <w:p w:rsidR="00000000" w:rsidRDefault="00000000">
      <w:r>
        <w:tab/>
        <w:t>с)</w:t>
      </w:r>
      <w:r>
        <w:tab/>
        <w:t>Вопросами контроля за исполнением нормативных положений и правил безопасности и гигиены труда на государственных предприятиях, подчиняющихся министерству сельского хозяйства, занимается Государственная инспекция труда.  Надзор за соблюдением распоряжений и постановлений (перечисленных в пункте 18) на частных сельскохозяйственных фермах, охваченных страхованием по линии Сельскохозяйственного фонда социального обеспечения, осуществляется инспекторами региональных отделений Фонда, в том числе отделами профилактических мероприятий и реабилитации;  их компетенция обусловливается действующими нормативными положениями и признается единоличными фермерами (частными собственниками).</w:t>
      </w:r>
    </w:p>
    <w:p w:rsidR="00000000" w:rsidRDefault="00000000"/>
    <w:p w:rsidR="00000000" w:rsidRDefault="00000000">
      <w:pPr>
        <w:pStyle w:val="10"/>
        <w:rPr>
          <w:b w:val="0"/>
          <w:u w:val="single"/>
        </w:rPr>
      </w:pPr>
      <w:r>
        <w:rPr>
          <w:b w:val="0"/>
          <w:u w:val="single"/>
        </w:rPr>
        <w:t>Таблица 17</w:t>
      </w:r>
      <w:r>
        <w:rPr>
          <w:b w:val="0"/>
        </w:rPr>
        <w:t xml:space="preserve">.  </w:t>
      </w:r>
      <w:r>
        <w:rPr>
          <w:b w:val="0"/>
          <w:u w:val="single"/>
        </w:rPr>
        <w:t>Несчастные случаи в расчете на 1 000 работающих в отдельных</w:t>
      </w:r>
    </w:p>
    <w:p w:rsidR="00000000" w:rsidRDefault="00000000">
      <w:pPr>
        <w:jc w:val="center"/>
        <w:rPr>
          <w:u w:val="single"/>
        </w:rPr>
      </w:pPr>
      <w:r>
        <w:rPr>
          <w:u w:val="single"/>
        </w:rPr>
        <w:t>секторах в 1997-1998 годах (за исключением единоличных ферм</w:t>
      </w:r>
    </w:p>
    <w:p w:rsidR="00000000" w:rsidRDefault="00000000">
      <w:pPr>
        <w:pStyle w:val="10"/>
        <w:rPr>
          <w:bCs/>
        </w:rPr>
      </w:pPr>
      <w:r>
        <w:rPr>
          <w:b w:val="0"/>
          <w:u w:val="single"/>
        </w:rPr>
        <w:t>в сельском хозяйстве</w:t>
      </w:r>
      <w:r>
        <w:rPr>
          <w:bCs/>
        </w:rPr>
        <w:t>)</w:t>
      </w:r>
    </w:p>
    <w:p w:rsidR="00000000" w:rsidRDefault="00000000">
      <w:pPr>
        <w:pStyle w:val="10"/>
        <w:rPr>
          <w:bCs/>
        </w:rPr>
      </w:pP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88"/>
        <w:gridCol w:w="1309"/>
        <w:gridCol w:w="1309"/>
        <w:gridCol w:w="1309"/>
        <w:gridCol w:w="1309"/>
        <w:gridCol w:w="1309"/>
        <w:gridCol w:w="1147"/>
      </w:tblGrid>
      <w:tr w:rsidR="00000000">
        <w:tblPrEx>
          <w:tblCellMar>
            <w:top w:w="0" w:type="dxa"/>
            <w:bottom w:w="0" w:type="dxa"/>
          </w:tblCellMar>
        </w:tblPrEx>
        <w:trPr>
          <w:tblHeader/>
        </w:trPr>
        <w:tc>
          <w:tcPr>
            <w:tcW w:w="1688" w:type="dxa"/>
            <w:tcBorders>
              <w:bottom w:val="nil"/>
            </w:tcBorders>
          </w:tcPr>
          <w:p w:rsidR="00000000" w:rsidRDefault="00000000">
            <w:pPr>
              <w:pStyle w:val="FootnoteText"/>
              <w:spacing w:line="288" w:lineRule="auto"/>
              <w:jc w:val="center"/>
              <w:rPr>
                <w:sz w:val="20"/>
              </w:rPr>
            </w:pPr>
            <w:r>
              <w:rPr>
                <w:sz w:val="20"/>
              </w:rPr>
              <w:t>Сектор</w:t>
            </w:r>
          </w:p>
        </w:tc>
        <w:tc>
          <w:tcPr>
            <w:tcW w:w="1309" w:type="dxa"/>
          </w:tcPr>
          <w:p w:rsidR="00000000" w:rsidRDefault="00000000">
            <w:pPr>
              <w:jc w:val="center"/>
              <w:rPr>
                <w:sz w:val="20"/>
              </w:rPr>
            </w:pPr>
            <w:r>
              <w:rPr>
                <w:sz w:val="20"/>
              </w:rPr>
              <w:t>Пострадавшие</w:t>
            </w:r>
          </w:p>
        </w:tc>
        <w:tc>
          <w:tcPr>
            <w:tcW w:w="1309" w:type="dxa"/>
          </w:tcPr>
          <w:p w:rsidR="00000000" w:rsidRDefault="00000000">
            <w:pPr>
              <w:jc w:val="center"/>
              <w:rPr>
                <w:sz w:val="20"/>
              </w:rPr>
            </w:pPr>
            <w:r>
              <w:rPr>
                <w:sz w:val="20"/>
              </w:rPr>
              <w:t>Смертельный исход</w:t>
            </w:r>
          </w:p>
        </w:tc>
        <w:tc>
          <w:tcPr>
            <w:tcW w:w="1309" w:type="dxa"/>
          </w:tcPr>
          <w:p w:rsidR="00000000" w:rsidRDefault="00000000">
            <w:pPr>
              <w:jc w:val="center"/>
              <w:rPr>
                <w:sz w:val="20"/>
              </w:rPr>
            </w:pPr>
            <w:r>
              <w:rPr>
                <w:sz w:val="20"/>
              </w:rPr>
              <w:t>Тяжкие последствия</w:t>
            </w:r>
          </w:p>
        </w:tc>
        <w:tc>
          <w:tcPr>
            <w:tcW w:w="1309" w:type="dxa"/>
          </w:tcPr>
          <w:p w:rsidR="00000000" w:rsidRDefault="00000000">
            <w:pPr>
              <w:jc w:val="center"/>
              <w:rPr>
                <w:sz w:val="20"/>
              </w:rPr>
            </w:pPr>
            <w:r>
              <w:rPr>
                <w:sz w:val="20"/>
              </w:rPr>
              <w:t>Пострадавшие</w:t>
            </w:r>
          </w:p>
        </w:tc>
        <w:tc>
          <w:tcPr>
            <w:tcW w:w="1309" w:type="dxa"/>
          </w:tcPr>
          <w:p w:rsidR="00000000" w:rsidRDefault="00000000">
            <w:pPr>
              <w:jc w:val="center"/>
              <w:rPr>
                <w:sz w:val="20"/>
              </w:rPr>
            </w:pPr>
            <w:r>
              <w:rPr>
                <w:sz w:val="20"/>
              </w:rPr>
              <w:t>Смертельный исход</w:t>
            </w:r>
          </w:p>
        </w:tc>
        <w:tc>
          <w:tcPr>
            <w:tcW w:w="1147" w:type="dxa"/>
          </w:tcPr>
          <w:p w:rsidR="00000000" w:rsidRDefault="00000000">
            <w:pPr>
              <w:jc w:val="center"/>
              <w:rPr>
                <w:sz w:val="20"/>
              </w:rPr>
            </w:pPr>
            <w:r>
              <w:rPr>
                <w:sz w:val="20"/>
              </w:rPr>
              <w:t>Тяжкие последствия</w:t>
            </w:r>
          </w:p>
        </w:tc>
      </w:tr>
      <w:tr w:rsidR="00000000">
        <w:tblPrEx>
          <w:tblCellMar>
            <w:top w:w="0" w:type="dxa"/>
            <w:bottom w:w="0" w:type="dxa"/>
          </w:tblCellMar>
        </w:tblPrEx>
        <w:trPr>
          <w:cantSplit/>
          <w:tblHeader/>
        </w:trPr>
        <w:tc>
          <w:tcPr>
            <w:tcW w:w="1688" w:type="dxa"/>
            <w:tcBorders>
              <w:top w:val="nil"/>
            </w:tcBorders>
          </w:tcPr>
          <w:p w:rsidR="00000000" w:rsidRDefault="00000000">
            <w:pPr>
              <w:rPr>
                <w:sz w:val="20"/>
              </w:rPr>
            </w:pPr>
          </w:p>
        </w:tc>
        <w:tc>
          <w:tcPr>
            <w:tcW w:w="3927" w:type="dxa"/>
            <w:gridSpan w:val="3"/>
          </w:tcPr>
          <w:p w:rsidR="00000000" w:rsidRDefault="00000000">
            <w:pPr>
              <w:pStyle w:val="16"/>
              <w:rPr>
                <w:sz w:val="20"/>
              </w:rPr>
            </w:pPr>
            <w:r>
              <w:rPr>
                <w:sz w:val="20"/>
              </w:rPr>
              <w:t>1997</w:t>
            </w:r>
          </w:p>
        </w:tc>
        <w:tc>
          <w:tcPr>
            <w:tcW w:w="3765" w:type="dxa"/>
            <w:gridSpan w:val="3"/>
          </w:tcPr>
          <w:p w:rsidR="00000000" w:rsidRDefault="00000000">
            <w:pPr>
              <w:pStyle w:val="16"/>
              <w:rPr>
                <w:sz w:val="20"/>
              </w:rPr>
            </w:pPr>
            <w:r>
              <w:rPr>
                <w:sz w:val="20"/>
              </w:rPr>
              <w:t>1998</w:t>
            </w:r>
          </w:p>
        </w:tc>
      </w:tr>
      <w:tr w:rsidR="00000000">
        <w:tblPrEx>
          <w:tblCellMar>
            <w:top w:w="0" w:type="dxa"/>
            <w:bottom w:w="0" w:type="dxa"/>
          </w:tblCellMar>
        </w:tblPrEx>
        <w:tc>
          <w:tcPr>
            <w:tcW w:w="1688" w:type="dxa"/>
          </w:tcPr>
          <w:p w:rsidR="00000000" w:rsidRDefault="00000000">
            <w:pPr>
              <w:rPr>
                <w:sz w:val="20"/>
              </w:rPr>
            </w:pPr>
            <w:r>
              <w:rPr>
                <w:sz w:val="20"/>
              </w:rPr>
              <w:t>Всего, в том числе:</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10,33</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0,060</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0,17</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9,86</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0,055</w:t>
            </w:r>
          </w:p>
        </w:tc>
        <w:tc>
          <w:tcPr>
            <w:tcW w:w="1147"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0,16</w:t>
            </w:r>
          </w:p>
        </w:tc>
      </w:tr>
      <w:tr w:rsidR="00000000">
        <w:tblPrEx>
          <w:tblCellMar>
            <w:top w:w="0" w:type="dxa"/>
            <w:bottom w:w="0" w:type="dxa"/>
          </w:tblCellMar>
        </w:tblPrEx>
        <w:tc>
          <w:tcPr>
            <w:tcW w:w="1688" w:type="dxa"/>
          </w:tcPr>
          <w:p w:rsidR="00000000" w:rsidRDefault="00000000">
            <w:pPr>
              <w:rPr>
                <w:sz w:val="20"/>
              </w:rPr>
            </w:pPr>
            <w:r>
              <w:rPr>
                <w:sz w:val="20"/>
              </w:rPr>
              <w:t>Рыболовство, охотоводство и лесное хозяйство</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14,67</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0,121</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0,33</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13,42</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0,120</w:t>
            </w:r>
          </w:p>
        </w:tc>
        <w:tc>
          <w:tcPr>
            <w:tcW w:w="1147"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0,25</w:t>
            </w:r>
          </w:p>
        </w:tc>
      </w:tr>
      <w:tr w:rsidR="00000000">
        <w:tblPrEx>
          <w:tblCellMar>
            <w:top w:w="0" w:type="dxa"/>
            <w:bottom w:w="0" w:type="dxa"/>
          </w:tblCellMar>
        </w:tblPrEx>
        <w:tc>
          <w:tcPr>
            <w:tcW w:w="1688" w:type="dxa"/>
          </w:tcPr>
          <w:p w:rsidR="00000000" w:rsidRDefault="00000000">
            <w:pPr>
              <w:rPr>
                <w:sz w:val="20"/>
              </w:rPr>
            </w:pPr>
            <w:r>
              <w:rPr>
                <w:sz w:val="20"/>
              </w:rPr>
              <w:t>Рыболовство и рыбная промышленность</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10,97</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0,627</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0,47</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10,53</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0,239</w:t>
            </w:r>
          </w:p>
        </w:tc>
        <w:tc>
          <w:tcPr>
            <w:tcW w:w="1147"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0,24</w:t>
            </w:r>
          </w:p>
        </w:tc>
      </w:tr>
      <w:tr w:rsidR="00000000">
        <w:tblPrEx>
          <w:tblCellMar>
            <w:top w:w="0" w:type="dxa"/>
            <w:bottom w:w="0" w:type="dxa"/>
          </w:tblCellMar>
        </w:tblPrEx>
        <w:tc>
          <w:tcPr>
            <w:tcW w:w="1688" w:type="dxa"/>
          </w:tcPr>
          <w:p w:rsidR="00000000" w:rsidRDefault="00000000">
            <w:pPr>
              <w:keepNext/>
              <w:rPr>
                <w:sz w:val="20"/>
              </w:rPr>
            </w:pPr>
            <w:r>
              <w:rPr>
                <w:sz w:val="20"/>
              </w:rPr>
              <w:t>Горнодобывающая промышленность и смежные отрасли</w:t>
            </w:r>
          </w:p>
        </w:tc>
        <w:tc>
          <w:tcPr>
            <w:tcW w:w="1309" w:type="dxa"/>
          </w:tcPr>
          <w:p w:rsidR="00000000" w:rsidRDefault="00000000">
            <w:pPr>
              <w:keepNext/>
              <w:tabs>
                <w:tab w:val="clear" w:pos="567"/>
                <w:tab w:val="clear" w:pos="1701"/>
                <w:tab w:val="clear" w:pos="2268"/>
                <w:tab w:val="left" w:pos="374"/>
                <w:tab w:val="left" w:pos="2244"/>
              </w:tabs>
              <w:ind w:left="-1683" w:right="489" w:firstLine="1683"/>
              <w:jc w:val="right"/>
              <w:rPr>
                <w:sz w:val="20"/>
              </w:rPr>
            </w:pPr>
            <w:r>
              <w:rPr>
                <w:sz w:val="20"/>
              </w:rPr>
              <w:t>29,16</w:t>
            </w:r>
          </w:p>
        </w:tc>
        <w:tc>
          <w:tcPr>
            <w:tcW w:w="1309" w:type="dxa"/>
          </w:tcPr>
          <w:p w:rsidR="00000000" w:rsidRDefault="00000000">
            <w:pPr>
              <w:keepNext/>
              <w:tabs>
                <w:tab w:val="clear" w:pos="567"/>
                <w:tab w:val="clear" w:pos="1701"/>
                <w:tab w:val="clear" w:pos="2268"/>
                <w:tab w:val="left" w:pos="374"/>
                <w:tab w:val="left" w:pos="2244"/>
              </w:tabs>
              <w:ind w:left="-1683" w:right="489" w:firstLine="1683"/>
              <w:jc w:val="right"/>
              <w:rPr>
                <w:sz w:val="20"/>
              </w:rPr>
            </w:pPr>
            <w:r>
              <w:rPr>
                <w:sz w:val="20"/>
              </w:rPr>
              <w:t>0,111</w:t>
            </w:r>
          </w:p>
        </w:tc>
        <w:tc>
          <w:tcPr>
            <w:tcW w:w="1309" w:type="dxa"/>
          </w:tcPr>
          <w:p w:rsidR="00000000" w:rsidRDefault="00000000">
            <w:pPr>
              <w:keepNext/>
              <w:tabs>
                <w:tab w:val="clear" w:pos="567"/>
                <w:tab w:val="clear" w:pos="1701"/>
                <w:tab w:val="clear" w:pos="2268"/>
                <w:tab w:val="left" w:pos="374"/>
                <w:tab w:val="left" w:pos="2244"/>
              </w:tabs>
              <w:ind w:left="-1683" w:right="489" w:firstLine="1683"/>
              <w:jc w:val="right"/>
              <w:rPr>
                <w:sz w:val="20"/>
              </w:rPr>
            </w:pPr>
            <w:r>
              <w:rPr>
                <w:sz w:val="20"/>
              </w:rPr>
              <w:t>0,19</w:t>
            </w:r>
          </w:p>
        </w:tc>
        <w:tc>
          <w:tcPr>
            <w:tcW w:w="1309" w:type="dxa"/>
          </w:tcPr>
          <w:p w:rsidR="00000000" w:rsidRDefault="00000000">
            <w:pPr>
              <w:keepNext/>
              <w:tabs>
                <w:tab w:val="clear" w:pos="567"/>
                <w:tab w:val="clear" w:pos="1701"/>
                <w:tab w:val="clear" w:pos="2268"/>
                <w:tab w:val="left" w:pos="374"/>
                <w:tab w:val="left" w:pos="2244"/>
              </w:tabs>
              <w:ind w:left="-1683" w:right="489" w:firstLine="1683"/>
              <w:jc w:val="right"/>
              <w:rPr>
                <w:sz w:val="20"/>
              </w:rPr>
            </w:pPr>
            <w:r>
              <w:rPr>
                <w:sz w:val="20"/>
              </w:rPr>
              <w:t>24,39</w:t>
            </w:r>
          </w:p>
        </w:tc>
        <w:tc>
          <w:tcPr>
            <w:tcW w:w="1309" w:type="dxa"/>
          </w:tcPr>
          <w:p w:rsidR="00000000" w:rsidRDefault="00000000">
            <w:pPr>
              <w:keepNext/>
              <w:tabs>
                <w:tab w:val="clear" w:pos="567"/>
                <w:tab w:val="clear" w:pos="1701"/>
                <w:tab w:val="clear" w:pos="2268"/>
                <w:tab w:val="left" w:pos="374"/>
                <w:tab w:val="left" w:pos="2244"/>
              </w:tabs>
              <w:ind w:left="-1683" w:right="489" w:firstLine="1683"/>
              <w:jc w:val="right"/>
              <w:rPr>
                <w:sz w:val="20"/>
              </w:rPr>
            </w:pPr>
            <w:r>
              <w:rPr>
                <w:sz w:val="20"/>
              </w:rPr>
              <w:t>0,157</w:t>
            </w:r>
          </w:p>
        </w:tc>
        <w:tc>
          <w:tcPr>
            <w:tcW w:w="1147" w:type="dxa"/>
          </w:tcPr>
          <w:p w:rsidR="00000000" w:rsidRDefault="00000000">
            <w:pPr>
              <w:keepNext/>
              <w:tabs>
                <w:tab w:val="clear" w:pos="567"/>
                <w:tab w:val="clear" w:pos="1701"/>
                <w:tab w:val="clear" w:pos="2268"/>
                <w:tab w:val="left" w:pos="374"/>
                <w:tab w:val="left" w:pos="2244"/>
              </w:tabs>
              <w:ind w:left="-1683" w:right="489" w:firstLine="1683"/>
              <w:jc w:val="right"/>
              <w:rPr>
                <w:sz w:val="20"/>
              </w:rPr>
            </w:pPr>
            <w:r>
              <w:rPr>
                <w:sz w:val="20"/>
              </w:rPr>
              <w:t>0,20</w:t>
            </w:r>
          </w:p>
        </w:tc>
      </w:tr>
      <w:tr w:rsidR="00000000">
        <w:tblPrEx>
          <w:tblCellMar>
            <w:top w:w="0" w:type="dxa"/>
            <w:bottom w:w="0" w:type="dxa"/>
          </w:tblCellMar>
        </w:tblPrEx>
        <w:tc>
          <w:tcPr>
            <w:tcW w:w="1688" w:type="dxa"/>
          </w:tcPr>
          <w:p w:rsidR="00000000" w:rsidRDefault="00000000">
            <w:pPr>
              <w:rPr>
                <w:sz w:val="20"/>
              </w:rPr>
            </w:pPr>
            <w:r>
              <w:rPr>
                <w:sz w:val="20"/>
              </w:rPr>
              <w:t>Производственная сфере</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15,82</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0,058</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0,5</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15,45</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0,055</w:t>
            </w:r>
          </w:p>
        </w:tc>
        <w:tc>
          <w:tcPr>
            <w:tcW w:w="1147"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0,24</w:t>
            </w:r>
          </w:p>
        </w:tc>
      </w:tr>
      <w:tr w:rsidR="00000000">
        <w:tblPrEx>
          <w:tblCellMar>
            <w:top w:w="0" w:type="dxa"/>
            <w:bottom w:w="0" w:type="dxa"/>
          </w:tblCellMar>
        </w:tblPrEx>
        <w:tc>
          <w:tcPr>
            <w:tcW w:w="1688" w:type="dxa"/>
          </w:tcPr>
          <w:p w:rsidR="00000000" w:rsidRDefault="00000000">
            <w:pPr>
              <w:rPr>
                <w:sz w:val="20"/>
              </w:rPr>
            </w:pPr>
            <w:r>
              <w:rPr>
                <w:sz w:val="20"/>
              </w:rPr>
              <w:t>Электро-, газо- и водоснабжение</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10,05</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0,062</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0,15</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10,10</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0,082</w:t>
            </w:r>
          </w:p>
        </w:tc>
        <w:tc>
          <w:tcPr>
            <w:tcW w:w="1147"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0,12</w:t>
            </w:r>
          </w:p>
        </w:tc>
      </w:tr>
      <w:tr w:rsidR="00000000">
        <w:tblPrEx>
          <w:tblCellMar>
            <w:top w:w="0" w:type="dxa"/>
            <w:bottom w:w="0" w:type="dxa"/>
          </w:tblCellMar>
        </w:tblPrEx>
        <w:tc>
          <w:tcPr>
            <w:tcW w:w="1688" w:type="dxa"/>
          </w:tcPr>
          <w:p w:rsidR="00000000" w:rsidRDefault="00000000">
            <w:pPr>
              <w:rPr>
                <w:sz w:val="20"/>
              </w:rPr>
            </w:pPr>
            <w:r>
              <w:rPr>
                <w:sz w:val="20"/>
              </w:rPr>
              <w:t>Строительная промышленность</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14,72</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0,195</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0,33</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14,12</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0,143</w:t>
            </w:r>
          </w:p>
        </w:tc>
        <w:tc>
          <w:tcPr>
            <w:tcW w:w="1147" w:type="dxa"/>
          </w:tcPr>
          <w:p w:rsidR="00000000" w:rsidRDefault="00000000">
            <w:pPr>
              <w:tabs>
                <w:tab w:val="clear" w:pos="567"/>
                <w:tab w:val="clear" w:pos="1701"/>
                <w:tab w:val="clear" w:pos="2268"/>
                <w:tab w:val="left" w:pos="374"/>
                <w:tab w:val="left" w:pos="2244"/>
              </w:tabs>
              <w:ind w:left="-1683" w:right="489" w:firstLine="1683"/>
              <w:jc w:val="right"/>
              <w:rPr>
                <w:sz w:val="20"/>
              </w:rPr>
            </w:pPr>
            <w:r>
              <w:rPr>
                <w:sz w:val="20"/>
              </w:rPr>
              <w:t>0,32</w:t>
            </w:r>
          </w:p>
        </w:tc>
      </w:tr>
      <w:tr w:rsidR="00000000">
        <w:tblPrEx>
          <w:tblCellMar>
            <w:top w:w="0" w:type="dxa"/>
            <w:bottom w:w="0" w:type="dxa"/>
          </w:tblCellMar>
        </w:tblPrEx>
        <w:tc>
          <w:tcPr>
            <w:tcW w:w="1688" w:type="dxa"/>
          </w:tcPr>
          <w:p w:rsidR="00000000" w:rsidRDefault="00000000">
            <w:pPr>
              <w:rPr>
                <w:sz w:val="20"/>
              </w:rPr>
            </w:pPr>
            <w:r>
              <w:rPr>
                <w:sz w:val="20"/>
              </w:rPr>
              <w:t>Торговля и ремонтные работы</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lang w:val="en-US"/>
              </w:rPr>
            </w:pPr>
            <w:r>
              <w:rPr>
                <w:sz w:val="20"/>
                <w:lang w:val="en-US"/>
              </w:rPr>
              <w:t>3,74</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lang w:val="en-US"/>
              </w:rPr>
            </w:pPr>
            <w:r>
              <w:rPr>
                <w:sz w:val="20"/>
                <w:lang w:val="en-US"/>
              </w:rPr>
              <w:t>0,039</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lang w:val="en-US"/>
              </w:rPr>
            </w:pPr>
            <w:r>
              <w:rPr>
                <w:sz w:val="20"/>
                <w:lang w:val="en-US"/>
              </w:rPr>
              <w:t>0,10</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lang w:val="en-US"/>
              </w:rPr>
            </w:pPr>
            <w:r>
              <w:rPr>
                <w:sz w:val="20"/>
                <w:lang w:val="en-US"/>
              </w:rPr>
              <w:t>4,07</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lang w:val="en-US"/>
              </w:rPr>
            </w:pPr>
            <w:r>
              <w:rPr>
                <w:sz w:val="20"/>
                <w:lang w:val="en-US"/>
              </w:rPr>
              <w:t>0,035</w:t>
            </w:r>
          </w:p>
        </w:tc>
        <w:tc>
          <w:tcPr>
            <w:tcW w:w="1147" w:type="dxa"/>
          </w:tcPr>
          <w:p w:rsidR="00000000" w:rsidRDefault="00000000">
            <w:pPr>
              <w:tabs>
                <w:tab w:val="clear" w:pos="567"/>
                <w:tab w:val="clear" w:pos="1701"/>
                <w:tab w:val="clear" w:pos="2268"/>
                <w:tab w:val="left" w:pos="374"/>
                <w:tab w:val="left" w:pos="2244"/>
              </w:tabs>
              <w:ind w:left="-1683" w:right="489" w:firstLine="1683"/>
              <w:jc w:val="right"/>
              <w:rPr>
                <w:sz w:val="20"/>
                <w:lang w:val="en-US"/>
              </w:rPr>
            </w:pPr>
            <w:r>
              <w:rPr>
                <w:sz w:val="20"/>
                <w:lang w:val="en-US"/>
              </w:rPr>
              <w:t>0,08</w:t>
            </w:r>
          </w:p>
        </w:tc>
      </w:tr>
      <w:tr w:rsidR="00000000">
        <w:tblPrEx>
          <w:tblCellMar>
            <w:top w:w="0" w:type="dxa"/>
            <w:bottom w:w="0" w:type="dxa"/>
          </w:tblCellMar>
        </w:tblPrEx>
        <w:tc>
          <w:tcPr>
            <w:tcW w:w="1688" w:type="dxa"/>
          </w:tcPr>
          <w:p w:rsidR="00000000" w:rsidRDefault="00000000">
            <w:pPr>
              <w:rPr>
                <w:sz w:val="20"/>
              </w:rPr>
            </w:pPr>
            <w:r>
              <w:rPr>
                <w:sz w:val="20"/>
              </w:rPr>
              <w:t>Транспорт, складское хозяйство и связь</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lang w:val="en-US"/>
              </w:rPr>
            </w:pPr>
            <w:r>
              <w:rPr>
                <w:sz w:val="20"/>
                <w:lang w:val="en-US"/>
              </w:rPr>
              <w:t>9,51</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lang w:val="en-US"/>
              </w:rPr>
            </w:pPr>
            <w:r>
              <w:rPr>
                <w:sz w:val="20"/>
                <w:lang w:val="en-US"/>
              </w:rPr>
              <w:t>0,098</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lang w:val="en-US"/>
              </w:rPr>
            </w:pPr>
            <w:r>
              <w:rPr>
                <w:sz w:val="20"/>
                <w:lang w:val="en-US"/>
              </w:rPr>
              <w:t>0,18</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lang w:val="en-US"/>
              </w:rPr>
            </w:pPr>
            <w:r>
              <w:rPr>
                <w:sz w:val="20"/>
                <w:lang w:val="en-US"/>
              </w:rPr>
              <w:t>8,73</w:t>
            </w:r>
          </w:p>
        </w:tc>
        <w:tc>
          <w:tcPr>
            <w:tcW w:w="1309" w:type="dxa"/>
          </w:tcPr>
          <w:p w:rsidR="00000000" w:rsidRDefault="00000000">
            <w:pPr>
              <w:tabs>
                <w:tab w:val="clear" w:pos="567"/>
                <w:tab w:val="clear" w:pos="1701"/>
                <w:tab w:val="clear" w:pos="2268"/>
                <w:tab w:val="left" w:pos="374"/>
                <w:tab w:val="left" w:pos="2244"/>
              </w:tabs>
              <w:ind w:left="-1683" w:right="489" w:firstLine="1683"/>
              <w:jc w:val="right"/>
              <w:rPr>
                <w:sz w:val="20"/>
                <w:lang w:val="en-US"/>
              </w:rPr>
            </w:pPr>
            <w:r>
              <w:rPr>
                <w:sz w:val="20"/>
                <w:lang w:val="en-US"/>
              </w:rPr>
              <w:t>0,081</w:t>
            </w:r>
          </w:p>
        </w:tc>
        <w:tc>
          <w:tcPr>
            <w:tcW w:w="1147" w:type="dxa"/>
          </w:tcPr>
          <w:p w:rsidR="00000000" w:rsidRDefault="00000000">
            <w:pPr>
              <w:tabs>
                <w:tab w:val="clear" w:pos="567"/>
                <w:tab w:val="clear" w:pos="1701"/>
                <w:tab w:val="clear" w:pos="2268"/>
                <w:tab w:val="left" w:pos="374"/>
                <w:tab w:val="left" w:pos="2244"/>
              </w:tabs>
              <w:ind w:left="-1683" w:right="489" w:firstLine="1683"/>
              <w:jc w:val="right"/>
              <w:rPr>
                <w:sz w:val="20"/>
                <w:lang w:val="en-US"/>
              </w:rPr>
            </w:pPr>
            <w:r>
              <w:rPr>
                <w:sz w:val="20"/>
                <w:lang w:val="en-US"/>
              </w:rPr>
              <w:t>0,15</w:t>
            </w:r>
          </w:p>
        </w:tc>
      </w:tr>
    </w:tbl>
    <w:p w:rsidR="00000000" w:rsidRDefault="00000000"/>
    <w:p w:rsidR="00000000" w:rsidRDefault="00000000">
      <w:r>
        <w:tab/>
      </w:r>
      <w:r>
        <w:rPr>
          <w:u w:val="single"/>
        </w:rPr>
        <w:t>Источник</w:t>
      </w:r>
      <w:r>
        <w:t>:  данные Главного статистического управления.</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pStyle w:val="10"/>
        <w:rPr>
          <w:b w:val="0"/>
          <w:u w:val="single"/>
        </w:rPr>
      </w:pPr>
      <w:r>
        <w:rPr>
          <w:b w:val="0"/>
          <w:u w:val="single"/>
        </w:rPr>
        <w:t>Таблица 18</w:t>
      </w:r>
      <w:r>
        <w:rPr>
          <w:b w:val="0"/>
        </w:rPr>
        <w:t>.</w:t>
      </w:r>
      <w:r>
        <w:rPr>
          <w:b w:val="0"/>
        </w:rPr>
        <w:tab/>
      </w:r>
      <w:r>
        <w:rPr>
          <w:b w:val="0"/>
          <w:u w:val="single"/>
        </w:rPr>
        <w:t>Профессиональные заболевания в 1988-1998 годах</w:t>
      </w:r>
    </w:p>
    <w:p w:rsidR="00000000" w:rsidRDefault="00000000">
      <w:pPr>
        <w:pStyle w:val="10"/>
        <w:rPr>
          <w:bCs/>
        </w:rPr>
      </w:pPr>
    </w:p>
    <w:tbl>
      <w:tblPr>
        <w:tblW w:w="0" w:type="auto"/>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9"/>
        <w:gridCol w:w="6919"/>
      </w:tblGrid>
      <w:tr w:rsidR="00000000">
        <w:tblPrEx>
          <w:tblCellMar>
            <w:top w:w="0" w:type="dxa"/>
            <w:bottom w:w="0" w:type="dxa"/>
          </w:tblCellMar>
        </w:tblPrEx>
        <w:tc>
          <w:tcPr>
            <w:tcW w:w="1309" w:type="dxa"/>
            <w:tcBorders>
              <w:bottom w:val="nil"/>
            </w:tcBorders>
          </w:tcPr>
          <w:p w:rsidR="00000000" w:rsidRDefault="00000000">
            <w:pPr>
              <w:pStyle w:val="FootnoteText"/>
            </w:pPr>
            <w:r>
              <w:t>1988 год</w:t>
            </w:r>
          </w:p>
        </w:tc>
        <w:tc>
          <w:tcPr>
            <w:tcW w:w="6919" w:type="dxa"/>
            <w:tcBorders>
              <w:bottom w:val="nil"/>
            </w:tcBorders>
          </w:tcPr>
          <w:p w:rsidR="00000000" w:rsidRDefault="00000000">
            <w:pPr>
              <w:spacing w:line="240" w:lineRule="auto"/>
            </w:pPr>
            <w:r>
              <w:t>Общее количество профессиональных заболеваний - 9 604</w:t>
            </w:r>
          </w:p>
        </w:tc>
      </w:tr>
      <w:tr w:rsidR="00000000">
        <w:tblPrEx>
          <w:tblCellMar>
            <w:top w:w="0" w:type="dxa"/>
            <w:bottom w:w="0" w:type="dxa"/>
          </w:tblCellMar>
        </w:tblPrEx>
        <w:tc>
          <w:tcPr>
            <w:tcW w:w="1309" w:type="dxa"/>
            <w:tcBorders>
              <w:top w:val="nil"/>
            </w:tcBorders>
          </w:tcPr>
          <w:p w:rsidR="00000000" w:rsidRDefault="00000000">
            <w:pPr>
              <w:spacing w:line="240" w:lineRule="auto"/>
            </w:pPr>
          </w:p>
        </w:tc>
        <w:tc>
          <w:tcPr>
            <w:tcW w:w="6919" w:type="dxa"/>
            <w:tcBorders>
              <w:top w:val="nil"/>
            </w:tcBorders>
          </w:tcPr>
          <w:p w:rsidR="00000000" w:rsidRDefault="00000000">
            <w:pPr>
              <w:spacing w:line="240" w:lineRule="auto"/>
            </w:pPr>
            <w:r>
              <w:t>В расчете на 100 000 человек - 77,0</w:t>
            </w:r>
          </w:p>
        </w:tc>
      </w:tr>
      <w:tr w:rsidR="00000000">
        <w:tblPrEx>
          <w:tblCellMar>
            <w:top w:w="0" w:type="dxa"/>
            <w:bottom w:w="0" w:type="dxa"/>
          </w:tblCellMar>
        </w:tblPrEx>
        <w:tc>
          <w:tcPr>
            <w:tcW w:w="1309" w:type="dxa"/>
            <w:tcBorders>
              <w:bottom w:val="nil"/>
            </w:tcBorders>
          </w:tcPr>
          <w:p w:rsidR="00000000" w:rsidRDefault="00000000">
            <w:pPr>
              <w:spacing w:line="240" w:lineRule="auto"/>
            </w:pPr>
            <w:r>
              <w:t>1993 год</w:t>
            </w:r>
          </w:p>
        </w:tc>
        <w:tc>
          <w:tcPr>
            <w:tcW w:w="6919" w:type="dxa"/>
            <w:tcBorders>
              <w:bottom w:val="nil"/>
            </w:tcBorders>
          </w:tcPr>
          <w:p w:rsidR="00000000" w:rsidRDefault="00000000">
            <w:pPr>
              <w:spacing w:line="240" w:lineRule="auto"/>
            </w:pPr>
            <w:r>
              <w:t>Общее количество профессиональных заболеваний - 10 955</w:t>
            </w:r>
          </w:p>
        </w:tc>
      </w:tr>
      <w:tr w:rsidR="00000000">
        <w:tblPrEx>
          <w:tblCellMar>
            <w:top w:w="0" w:type="dxa"/>
            <w:bottom w:w="0" w:type="dxa"/>
          </w:tblCellMar>
        </w:tblPrEx>
        <w:tc>
          <w:tcPr>
            <w:tcW w:w="1309" w:type="dxa"/>
            <w:tcBorders>
              <w:top w:val="nil"/>
            </w:tcBorders>
          </w:tcPr>
          <w:p w:rsidR="00000000" w:rsidRDefault="00000000">
            <w:pPr>
              <w:spacing w:line="240" w:lineRule="auto"/>
            </w:pPr>
          </w:p>
        </w:tc>
        <w:tc>
          <w:tcPr>
            <w:tcW w:w="6919" w:type="dxa"/>
            <w:tcBorders>
              <w:top w:val="nil"/>
            </w:tcBorders>
          </w:tcPr>
          <w:p w:rsidR="00000000" w:rsidRDefault="00000000">
            <w:pPr>
              <w:spacing w:line="240" w:lineRule="auto"/>
            </w:pPr>
            <w:r>
              <w:t>В расчете на 100 000 человек - 128,7</w:t>
            </w:r>
          </w:p>
        </w:tc>
      </w:tr>
      <w:tr w:rsidR="00000000">
        <w:tblPrEx>
          <w:tblCellMar>
            <w:top w:w="0" w:type="dxa"/>
            <w:bottom w:w="0" w:type="dxa"/>
          </w:tblCellMar>
        </w:tblPrEx>
        <w:tc>
          <w:tcPr>
            <w:tcW w:w="1309" w:type="dxa"/>
            <w:tcBorders>
              <w:bottom w:val="nil"/>
            </w:tcBorders>
          </w:tcPr>
          <w:p w:rsidR="00000000" w:rsidRDefault="00000000">
            <w:pPr>
              <w:spacing w:line="240" w:lineRule="auto"/>
            </w:pPr>
            <w:r>
              <w:t>1997 год</w:t>
            </w:r>
          </w:p>
        </w:tc>
        <w:tc>
          <w:tcPr>
            <w:tcW w:w="6919" w:type="dxa"/>
            <w:tcBorders>
              <w:bottom w:val="nil"/>
            </w:tcBorders>
          </w:tcPr>
          <w:p w:rsidR="00000000" w:rsidRDefault="00000000">
            <w:pPr>
              <w:spacing w:line="240" w:lineRule="auto"/>
            </w:pPr>
            <w:r>
              <w:t>Общее количество профессиональных заболеваний - 11 685</w:t>
            </w:r>
          </w:p>
        </w:tc>
      </w:tr>
      <w:tr w:rsidR="00000000">
        <w:tblPrEx>
          <w:tblCellMar>
            <w:top w:w="0" w:type="dxa"/>
            <w:bottom w:w="0" w:type="dxa"/>
          </w:tblCellMar>
        </w:tblPrEx>
        <w:tc>
          <w:tcPr>
            <w:tcW w:w="1309" w:type="dxa"/>
            <w:tcBorders>
              <w:top w:val="nil"/>
            </w:tcBorders>
          </w:tcPr>
          <w:p w:rsidR="00000000" w:rsidRDefault="00000000">
            <w:pPr>
              <w:spacing w:line="240" w:lineRule="auto"/>
            </w:pPr>
          </w:p>
        </w:tc>
        <w:tc>
          <w:tcPr>
            <w:tcW w:w="6919" w:type="dxa"/>
            <w:tcBorders>
              <w:top w:val="nil"/>
            </w:tcBorders>
          </w:tcPr>
          <w:p w:rsidR="00000000" w:rsidRDefault="00000000">
            <w:pPr>
              <w:spacing w:line="240" w:lineRule="auto"/>
            </w:pPr>
            <w:r>
              <w:t>В расчете на 100 000 человек - 116,9</w:t>
            </w:r>
          </w:p>
        </w:tc>
      </w:tr>
      <w:tr w:rsidR="00000000">
        <w:tblPrEx>
          <w:tblCellMar>
            <w:top w:w="0" w:type="dxa"/>
            <w:bottom w:w="0" w:type="dxa"/>
          </w:tblCellMar>
        </w:tblPrEx>
        <w:tc>
          <w:tcPr>
            <w:tcW w:w="1309" w:type="dxa"/>
            <w:tcBorders>
              <w:bottom w:val="nil"/>
            </w:tcBorders>
          </w:tcPr>
          <w:p w:rsidR="00000000" w:rsidRDefault="00000000">
            <w:pPr>
              <w:spacing w:line="240" w:lineRule="auto"/>
            </w:pPr>
            <w:r>
              <w:t>1998 год</w:t>
            </w:r>
          </w:p>
        </w:tc>
        <w:tc>
          <w:tcPr>
            <w:tcW w:w="6919" w:type="dxa"/>
            <w:tcBorders>
              <w:bottom w:val="nil"/>
            </w:tcBorders>
          </w:tcPr>
          <w:p w:rsidR="00000000" w:rsidRDefault="00000000">
            <w:pPr>
              <w:spacing w:line="240" w:lineRule="auto"/>
            </w:pPr>
            <w:r>
              <w:t>Общее количество профессиональных заболеваний - 12 017</w:t>
            </w:r>
          </w:p>
        </w:tc>
      </w:tr>
      <w:tr w:rsidR="00000000">
        <w:tblPrEx>
          <w:tblCellMar>
            <w:top w:w="0" w:type="dxa"/>
            <w:bottom w:w="0" w:type="dxa"/>
          </w:tblCellMar>
        </w:tblPrEx>
        <w:tc>
          <w:tcPr>
            <w:tcW w:w="1309" w:type="dxa"/>
            <w:tcBorders>
              <w:top w:val="nil"/>
            </w:tcBorders>
          </w:tcPr>
          <w:p w:rsidR="00000000" w:rsidRDefault="00000000">
            <w:pPr>
              <w:spacing w:line="240" w:lineRule="auto"/>
            </w:pPr>
          </w:p>
        </w:tc>
        <w:tc>
          <w:tcPr>
            <w:tcW w:w="6919" w:type="dxa"/>
            <w:tcBorders>
              <w:top w:val="nil"/>
            </w:tcBorders>
          </w:tcPr>
          <w:p w:rsidR="00000000" w:rsidRDefault="00000000">
            <w:pPr>
              <w:spacing w:line="240" w:lineRule="auto"/>
            </w:pPr>
            <w:r>
              <w:t>В расчете на 100 000 человек - 117,3</w:t>
            </w:r>
          </w:p>
        </w:tc>
      </w:tr>
    </w:tbl>
    <w:p w:rsidR="00000000" w:rsidRDefault="00000000"/>
    <w:p w:rsidR="00000000" w:rsidRDefault="00000000">
      <w:r>
        <w:tab/>
      </w:r>
      <w:r>
        <w:tab/>
      </w:r>
      <w:r>
        <w:rPr>
          <w:u w:val="single"/>
        </w:rPr>
        <w:t>Источник</w:t>
      </w:r>
      <w:r>
        <w:t>:  данные Главного статистического управления.</w:t>
      </w:r>
    </w:p>
    <w:p w:rsidR="00000000" w:rsidRDefault="00000000"/>
    <w:p w:rsidR="00000000" w:rsidRDefault="00000000">
      <w:pPr>
        <w:pStyle w:val="10"/>
        <w:rPr>
          <w:bCs/>
        </w:rPr>
      </w:pPr>
      <w:r>
        <w:rPr>
          <w:bCs/>
        </w:rPr>
        <w:t>G.</w:t>
      </w:r>
      <w:r>
        <w:rPr>
          <w:bCs/>
        </w:rPr>
        <w:tab/>
        <w:t>Принцип равных возможностей продвижения по службе</w:t>
      </w:r>
    </w:p>
    <w:p w:rsidR="00000000" w:rsidRDefault="00000000">
      <w:pPr>
        <w:pStyle w:val="10"/>
        <w:rPr>
          <w:bCs/>
        </w:rPr>
      </w:pPr>
    </w:p>
    <w:p w:rsidR="00000000" w:rsidRDefault="00000000">
      <w:r>
        <w:t>84.</w:t>
      </w:r>
      <w:r>
        <w:tab/>
        <w:t>Этот принцип в 1995-1998 годах гарантировался законодательными актами, неоднократно упоминающимися в данном докладе (Конституцией, Кодексом законов о труде и т.д.), и подзаконными актами, такими, как постановления и указы совета министров и конкретных министерств.  Однако на практике, как и в любой другой стране, положение в данной области было много сложнее (продвижение по службе женщин было сопряжено с большими трудностями), несмотря на отсутствие каких-либо правовых ограничений.  Решающее значение имел уровень компетентности, а иногда и выслуга лет, в частности в "бюджетных" организациях.</w:t>
      </w:r>
    </w:p>
    <w:p w:rsidR="00000000" w:rsidRDefault="00000000"/>
    <w:p w:rsidR="00000000" w:rsidRDefault="00000000">
      <w:r>
        <w:t>85.</w:t>
      </w:r>
      <w:r>
        <w:tab/>
        <w:t>Ни одна группа не являлась объектом официальной дискриминации;  однако на практике, как и в любой другой стране, факты нарушения вышеуказанного принципа все же отмечались.  Положение женщин тесно связано с их статусом на рынке труда и с условиями выхода на пенсию (выше упоминалось о случаях дискриминации, особенно в отношении беременных женщин, в области заработной платы и ухода на пенсию).  Женщинам отказывают в назначении на более высокие должности по различным причинам.  Такое положение некоторые работодатели чаще всего объясняют такими причинами, как беременность, возможность беременности, необходимость выполнения женщинами домашних обязанностей, возраст, физическое и психическое состояние и квалификация.  Однако постепенно такая практика должна сходить на нет в результате того пристального внимания, которое на протяжении последних нескольких лет уделяется фактическому, а не формальному равенству женщин, в том числе в социальный сфере.  Статья 11.3 Кодекса, запрещая дискриминацию, в то же время не предусматривает никаких санкций в случае ее существования.  Вместе с тем лица и группы лиц, ставшие объектом дискриминации, могут обратиться в суд по трудовым спорам с целью отстаивания своих прав, предусмотренных Кодексом законов о труде и другими положениями трудового законодательства, что не раз имело место в 1995-1998 годах.  В соответствии с пунктом 1 статьи 35, текст 3 Закона от 23 мая 1991 года о профессиональных союзах, любое лицо, которое в силу занимаемой им должности или выполняемой работы осуществляет дискриминацию в отношении того или иного лица в связи с его членством в профсоюзе, подвергается наказанию в виде штрафа.  В других случаях работник мог отстаивать свои права опосредованно, подавая жалобу в профсоюз, суд по трудовым спорам, Государственную инспекцию труда или уполномоченному по правам граждан.</w:t>
      </w:r>
    </w:p>
    <w:p w:rsidR="00000000" w:rsidRDefault="00000000"/>
    <w:p w:rsidR="00000000" w:rsidRDefault="00000000">
      <w:pPr>
        <w:pStyle w:val="10"/>
        <w:keepNext/>
        <w:rPr>
          <w:bCs/>
        </w:rPr>
      </w:pPr>
      <w:r>
        <w:rPr>
          <w:bCs/>
        </w:rPr>
        <w:t>Н.</w:t>
      </w:r>
      <w:r>
        <w:rPr>
          <w:bCs/>
        </w:rPr>
        <w:tab/>
        <w:t>Законодательство и практика, касающиеся отдыха и свободного времени</w:t>
      </w:r>
    </w:p>
    <w:p w:rsidR="00000000" w:rsidRDefault="00000000">
      <w:pPr>
        <w:pStyle w:val="10"/>
        <w:keepNext/>
        <w:rPr>
          <w:bCs/>
        </w:rPr>
      </w:pPr>
    </w:p>
    <w:p w:rsidR="00000000" w:rsidRDefault="00000000">
      <w:r>
        <w:t>86.</w:t>
      </w:r>
      <w:r>
        <w:tab/>
        <w:t>В соответствии со статьей 66 Конституции от 2 апреля 1997 года граждане имеют право на дни, свободные от работы.  Разделы 6 и 7 Кодекса законов о труде посвящены рабочему времени и отпускам трудящихся.  Статья 14 Кодекса гарантирует право на отдых, которое регламентируется положениями о рабочем времени, праздниках и отпусках.  Согласно статье 128, под "рабочим временем" понимается время, в течение которого трудящийся находится в распоряжении работодателя на предприятии или в ином месте, предназначенном для выполнения работы.  Рабочее время охватывает не только время фактического выполнения работы, но и время подготовки к работе и перерывы в работе, которые в юридически установленном порядке засчитываются в общее рабочее время.  В Кодексе закреплены нормы, которые ограничивают рабочее время 8 часами в день и в среднем 42 часами в неделю в течение расчетного периода до трех месяцев.  При этом необходимо также исходить из 39 выходных на протяжении календарного года и не менее 9 выходных в течение любого непрерывного трехмесячного периода.  Другие нормы рабочего времени установлены для следующих категорий рабочих:</w:t>
      </w:r>
    </w:p>
    <w:p w:rsidR="00000000" w:rsidRDefault="00000000"/>
    <w:p w:rsidR="00000000" w:rsidRDefault="00000000">
      <w:r>
        <w:tab/>
        <w:t>а)</w:t>
      </w:r>
      <w:r>
        <w:tab/>
        <w:t>молодых работников (согласно статье 202 Кодекса, продолжительность рабочего времени подростка моложе 16 лет не может превышать 6 часов в день, а по достижении этого возраста - 8 часов в день);</w:t>
      </w:r>
    </w:p>
    <w:p w:rsidR="00000000" w:rsidRDefault="00000000"/>
    <w:p w:rsidR="00000000" w:rsidRDefault="00000000">
      <w:r>
        <w:tab/>
        <w:t>b)</w:t>
      </w:r>
      <w:r>
        <w:tab/>
        <w:t>трудящихся, работающих на конвейере (согласно пункту 2 статьи 132, время работы на конвейере не может превышать 8 часов в день и в среднем 48 часов в неделю в течение расчетного периода до 4 недель);</w:t>
      </w:r>
    </w:p>
    <w:p w:rsidR="00000000" w:rsidRDefault="00000000"/>
    <w:p w:rsidR="00000000" w:rsidRDefault="00000000">
      <w:r>
        <w:tab/>
        <w:t>с)</w:t>
      </w:r>
      <w:r>
        <w:tab/>
        <w:t>трудящихся, работающих в четыре смены или по другой схожей системе (согласно пункту 4 статьи 132, их рабочее время не может превышать 8 часов в день и в среднем 40 часов в неделю на протяжении расчетного периода до 4 месяцев).</w:t>
      </w:r>
    </w:p>
    <w:p w:rsidR="00000000" w:rsidRDefault="00000000"/>
    <w:p w:rsidR="00000000" w:rsidRDefault="00000000">
      <w:r>
        <w:t>87.</w:t>
      </w:r>
      <w:r>
        <w:tab/>
        <w:t>Более низкая по сравнению с предусмотренной в Кодексе продолжительность рабочего времени была у некоторых других лиц наемного труда.  Их обязанности и права определяются положениями иных законов, которые касаются, в частности:</w:t>
      </w:r>
    </w:p>
    <w:p w:rsidR="00000000" w:rsidRDefault="00000000"/>
    <w:p w:rsidR="00000000" w:rsidRDefault="00000000">
      <w:r>
        <w:tab/>
        <w:t>а)</w:t>
      </w:r>
      <w:r>
        <w:tab/>
        <w:t>государственных служащих (Закон от 16 сентября о государственных служащих, Законодательный вестник № 31, текст 214, с последующими поправками);</w:t>
      </w:r>
    </w:p>
    <w:p w:rsidR="00000000" w:rsidRDefault="00000000"/>
    <w:p w:rsidR="00000000" w:rsidRDefault="00000000">
      <w:r>
        <w:tab/>
      </w:r>
      <w:r>
        <w:rPr>
          <w:lang w:val="en-US"/>
        </w:rPr>
        <w:t>b</w:t>
      </w:r>
      <w:r>
        <w:t>)</w:t>
      </w:r>
      <w:r>
        <w:tab/>
        <w:t>трудящихся-инвалидов (Закон от 27 августа 1997 года о профессиональной и социальной реабилитации и трудоустройстве инвалидов, Законодательный вестник № 123, текст 776, с последующими поправками);</w:t>
      </w:r>
    </w:p>
    <w:p w:rsidR="00000000" w:rsidRDefault="00000000"/>
    <w:p w:rsidR="00000000" w:rsidRDefault="00000000">
      <w:r>
        <w:tab/>
        <w:t>c)</w:t>
      </w:r>
      <w:r>
        <w:tab/>
        <w:t>учителей (Закон от 26 января 1982 года - "Преподавательская хартия", законодательный вестник № 56 за 1997 год, текст 357);</w:t>
      </w:r>
    </w:p>
    <w:p w:rsidR="00000000" w:rsidRDefault="00000000"/>
    <w:p w:rsidR="00000000" w:rsidRDefault="00000000">
      <w:r>
        <w:tab/>
        <w:t>d)</w:t>
      </w:r>
      <w:r>
        <w:tab/>
        <w:t>муниципальных служащих (Закон от 5 июля 1996 года о муниципальной службе, Законодательный вестник № 21, текст 124, с поправками).</w:t>
      </w:r>
    </w:p>
    <w:p w:rsidR="00000000" w:rsidRDefault="00000000"/>
    <w:p w:rsidR="00000000" w:rsidRDefault="00000000">
      <w:r>
        <w:t>88.</w:t>
      </w:r>
      <w:r>
        <w:tab/>
        <w:t>В отчетный период более низкие нормативы рабочего времени можно было также устанавливать на основе коллективных договоров.</w:t>
      </w:r>
    </w:p>
    <w:p w:rsidR="00000000" w:rsidRDefault="00000000"/>
    <w:p w:rsidR="00000000" w:rsidRDefault="00000000">
      <w:r>
        <w:t>89.</w:t>
      </w:r>
      <w:r>
        <w:tab/>
        <w:t>Для ограничения рабочего времени лиц, занятых на особо тяжелых или вредных для здоровья работах, использовался иной механизм.  Более короткая продолжительность рабочего времени для указанной категории трудящихся устанавливалась в соответствии с нормативным актом совета министров.  Указанные положения должны были действовать в течение трех лет с момента вступления в силу измененного раздела 6 Кодекса законов о труде, т.е. до 31 декабря 1999 года.  После внесения поправок в Кодекс сокращать продолжительность рабочего времени лиц, работающих в особо тяжелых или вредных для здоровья условиях, можно было лишь на основе положений коллективных соглашений или уставных документов (статья 130).  Работа, выполняемая сверх установленных норм рабочего времени, считалась сверхурочной.  Такая работа допускалась лишь при проведении спасательных операций для защиты жизни или здоровья людей, охраны имущества, устранения последствий аварии или при возникновении особых потребностей работодателя.  Сверхурочная работа, вызванная особыми потребностями работодателя, ограничивалась 4 часами в день и 150 часами в год.  Помимо обычного жалования, трудящийся, выполняющий сверхурочную работу, имеет право на получение дополнительного вознаграждения (в размере 50% за первые два сверхурочных часа и 100% за сверхурочные часы, выпадающие на ночное время, воскресные или праздничные дни) или компенсационного отпуска.  При сверхурочной работе в течение дополнительного дня отдыха, за который не было предоставлено свободного дня, трудящийся имеет право на получение 100-процентной надбавки к соответствующему вознаграждению.  В случае работы в ночное время трудящемуся выплачивается надбавка на уровне 20% обычного вознаграждения (статья 137 Кодекса).</w:t>
      </w:r>
    </w:p>
    <w:p w:rsidR="00000000" w:rsidRDefault="00000000"/>
    <w:p w:rsidR="00000000" w:rsidRDefault="00000000">
      <w:r>
        <w:t>90.</w:t>
      </w:r>
      <w:r>
        <w:tab/>
        <w:t>В соответствии со статьей 152 Кодекса законов о труде трудящийся имеет право на ежегодный непрерывный оплачиваемый отпуск.  Он не может отказаться от такого отпуска.  Продолжительность предоставляемого отпуска составляет 18 рабочих дней после одного года работы, 20 рабочих дней после 6 лет работы и 26 рабочих дней после 10 лет работы.  Трудящийся получает право на свой первый отпуск после шести месяцев работы;  продолжительность такого отпуска должна составлять половину продолжительности отпуска, предоставляемого после одного года работы.  В нормативных положениях, касающихся некоторых категорий трудящихся (преподавателей, инвалидов, военнослужащих), предусматривается более длительный отпуск.  Более длительная продолжительность отпуска могла быть также установлена в рамках коллективных договоров.  Согласно положениям Кодекса, продолжительность отпуска определяется на основе общего трудового стажа (выслуги лет) и с учетом времени обучения в средних и высших учебных заведениях.  Трудовой стаж, от которого зависит право на отпуск и его продолжительность, рассчитывается независимо от перерывов в работе и формы прекращения трудовых отношений.  В течение календарного года, в котором с работником были разорваны трудовые отношения, он имеет право на получение отпуска, пропорционального количеству проработанного времени.  Такой отпуск также положен трудящемуся, сменившему место работы в течение соответствующего календарного года, соразмерно проработанному периоду времени.  Кроме того, пропорциональная формула применяется при расчете продолжительности отпуска трудящегося, который в течение календарного года возобновил работу после по меньшей мере одного месяца неоплачиваемого отпуска или другого перерыва в работе, не дающего права на приобретение отпуска.  Сезонные рабочие имеют право на 1,5 дня отпуска за каждый отработанный месяц независимо от стажа работы и образования.  Отпуск начисляется за рабочие дни, т.е. за все дни, исключая воскресные и праздничные дни.  Дополнительные дни отдыха не считаются отпускными.  Работодатели обязаны предоставлять трудящимся отпуск в тот календарный год, в который последние приобретают на него право или не позднее окончания первого квартала следующего календарного года.  Отпуска должны предоставляться в соответствии с графиком отпусков, который составляется работодателем по согласованию с профсоюзной организацией;  при этом также необходимо учитывать пожелания трудящихся.  По просьбе трудящегося отпуск ему может предоставляться частями;  однако продолжительность одной части такого отпуска должна составлять как минимум 14 календарных дней подряд.  Трудящийся, находящийся в отпуске, имеет право на вознаграждение, которое он получил бы, если бы работал в этот период.  Если на момент прекращения работы трудящийся не использовал свой отпуск, он был вправе получить за него денежную компенсацию.</w:t>
      </w:r>
    </w:p>
    <w:p w:rsidR="00000000" w:rsidRDefault="00000000"/>
    <w:p w:rsidR="00000000" w:rsidRDefault="00000000">
      <w:pPr>
        <w:jc w:val="center"/>
        <w:rPr>
          <w:b/>
        </w:rPr>
      </w:pPr>
      <w:r>
        <w:rPr>
          <w:b/>
          <w:lang w:val="en-US"/>
        </w:rPr>
        <w:t>I</w:t>
      </w:r>
      <w:r>
        <w:rPr>
          <w:b/>
        </w:rPr>
        <w:t>.</w:t>
      </w:r>
      <w:r>
        <w:rPr>
          <w:b/>
        </w:rPr>
        <w:tab/>
        <w:t>Новые законодательные и административные акты, касающиеся статьи 7</w:t>
      </w:r>
    </w:p>
    <w:p w:rsidR="00000000" w:rsidRDefault="00000000">
      <w:pPr>
        <w:jc w:val="center"/>
        <w:rPr>
          <w:b/>
        </w:rPr>
      </w:pPr>
    </w:p>
    <w:p w:rsidR="00000000" w:rsidRDefault="00000000">
      <w:r>
        <w:t>91.</w:t>
      </w:r>
      <w:r>
        <w:tab/>
        <w:t>К числу таких актов относятся:</w:t>
      </w:r>
    </w:p>
    <w:p w:rsidR="00000000" w:rsidRDefault="00000000"/>
    <w:p w:rsidR="00000000" w:rsidRDefault="00000000">
      <w:pPr>
        <w:ind w:left="1134" w:hanging="1134"/>
      </w:pPr>
      <w:r>
        <w:tab/>
        <w:t>-</w:t>
      </w:r>
      <w:r>
        <w:tab/>
        <w:t>статья 24 Конституции (охрана труда и надзор за его условиями со стороны государства);</w:t>
      </w:r>
    </w:p>
    <w:p w:rsidR="00000000" w:rsidRDefault="00000000">
      <w:pPr>
        <w:ind w:left="1134" w:hanging="1134"/>
        <w:rPr>
          <w:lang w:val="en-US"/>
        </w:rPr>
      </w:pPr>
    </w:p>
    <w:p w:rsidR="00000000" w:rsidRDefault="00000000">
      <w:pPr>
        <w:ind w:left="1134" w:hanging="1134"/>
      </w:pPr>
      <w:r>
        <w:tab/>
        <w:t>-</w:t>
      </w:r>
      <w:r>
        <w:tab/>
        <w:t>статья 65, пункт 4, Конституции (минимальный размер вознаграждения;  ожидает принятия);</w:t>
      </w:r>
    </w:p>
    <w:p w:rsidR="00000000" w:rsidRDefault="00000000">
      <w:pPr>
        <w:ind w:left="1134" w:hanging="1134"/>
      </w:pPr>
    </w:p>
    <w:p w:rsidR="00000000" w:rsidRDefault="00000000">
      <w:pPr>
        <w:ind w:left="1134" w:hanging="1134"/>
      </w:pPr>
      <w:r>
        <w:tab/>
        <w:t>-</w:t>
      </w:r>
      <w:r>
        <w:tab/>
        <w:t>статья 66 Конституции, пункт 1 (безопасность и гигиена труда), пункт 2 (право на дни, свободные от работы);</w:t>
      </w:r>
    </w:p>
    <w:p w:rsidR="00000000" w:rsidRDefault="00000000">
      <w:pPr>
        <w:ind w:left="1134" w:hanging="1134"/>
      </w:pPr>
    </w:p>
    <w:p w:rsidR="00000000" w:rsidRDefault="00000000">
      <w:pPr>
        <w:ind w:left="1134" w:hanging="1134"/>
      </w:pPr>
      <w:r>
        <w:tab/>
        <w:t>-</w:t>
      </w:r>
      <w:r>
        <w:tab/>
        <w:t>статья 68 Конституции (право на охрану здоровья);</w:t>
      </w:r>
    </w:p>
    <w:p w:rsidR="00000000" w:rsidRDefault="00000000">
      <w:pPr>
        <w:ind w:left="1134" w:hanging="1134"/>
      </w:pPr>
    </w:p>
    <w:p w:rsidR="00000000" w:rsidRDefault="00000000">
      <w:pPr>
        <w:ind w:left="1134" w:hanging="1134"/>
      </w:pPr>
      <w:r>
        <w:tab/>
        <w:t>-</w:t>
      </w:r>
      <w:r>
        <w:tab/>
        <w:t>поправка к Кодексу законов о труде, принятая сеймом 2 февраля 1996 года (Законодательный вестник за 1996 год, № 24, текст 110, с последующими поправками);</w:t>
      </w:r>
    </w:p>
    <w:p w:rsidR="00000000" w:rsidRDefault="00000000">
      <w:pPr>
        <w:ind w:left="1134" w:hanging="1134"/>
      </w:pPr>
    </w:p>
    <w:p w:rsidR="00000000" w:rsidRDefault="00000000">
      <w:pPr>
        <w:ind w:left="1134" w:hanging="1134"/>
      </w:pPr>
      <w:r>
        <w:tab/>
        <w:t>-</w:t>
      </w:r>
      <w:r>
        <w:tab/>
        <w:t>Закон от 27 августа 1997 года о реабилитации и занятости инвалидов (Законодательный вестник № 123, текст 776);</w:t>
      </w:r>
    </w:p>
    <w:p w:rsidR="00000000" w:rsidRDefault="00000000">
      <w:pPr>
        <w:ind w:left="1134" w:hanging="1134"/>
      </w:pPr>
    </w:p>
    <w:p w:rsidR="00000000" w:rsidRDefault="00000000">
      <w:pPr>
        <w:ind w:left="1134" w:hanging="1134"/>
      </w:pPr>
      <w:r>
        <w:tab/>
        <w:t>-</w:t>
      </w:r>
      <w:r>
        <w:tab/>
        <w:t>Закон от 5 июля 1996 года о гражданской службе (Законодательный вестник № 21, текст 124);</w:t>
      </w:r>
    </w:p>
    <w:p w:rsidR="00000000" w:rsidRDefault="00000000">
      <w:pPr>
        <w:ind w:left="1134" w:hanging="1134"/>
      </w:pPr>
    </w:p>
    <w:p w:rsidR="00000000" w:rsidRDefault="00000000">
      <w:pPr>
        <w:ind w:left="1134" w:hanging="1134"/>
      </w:pPr>
      <w:r>
        <w:tab/>
        <w:t>-</w:t>
      </w:r>
      <w:r>
        <w:tab/>
        <w:t>Постановление министра труда и социальной политики от 29 января 1998 года о минимальном вознаграждении (Законодательный вестник № 16, текст 74);</w:t>
      </w:r>
    </w:p>
    <w:p w:rsidR="00000000" w:rsidRDefault="00000000">
      <w:pPr>
        <w:ind w:left="1134" w:hanging="1134"/>
      </w:pPr>
    </w:p>
    <w:p w:rsidR="00000000" w:rsidRDefault="00000000">
      <w:pPr>
        <w:ind w:left="1134" w:hanging="1134"/>
      </w:pPr>
      <w:r>
        <w:tab/>
        <w:t>-</w:t>
      </w:r>
      <w:r>
        <w:tab/>
        <w:t>Постановление министра здравоохранения и социального обеспечения от 19 июня 1996 года о безопасных и гигиеничных условиях труда при подготовке, использовании и хранении цитостатических лекарственных средств в медицинских учреждениях (Законодательный вестник № 80, текст 376);</w:t>
      </w:r>
    </w:p>
    <w:p w:rsidR="00000000" w:rsidRDefault="00000000">
      <w:pPr>
        <w:ind w:left="1134" w:hanging="1134"/>
      </w:pPr>
    </w:p>
    <w:p w:rsidR="00000000" w:rsidRDefault="00000000">
      <w:pPr>
        <w:ind w:left="1134" w:hanging="1134"/>
      </w:pPr>
      <w:r>
        <w:tab/>
        <w:t>-</w:t>
      </w:r>
      <w:r>
        <w:tab/>
        <w:t>Постановление министра здравоохранения и социального обеспечения от 6 июля 1998 года о вакцинации медицинского персонала против гепатита В (Законодательный вестник № 9, текст 600);</w:t>
      </w:r>
    </w:p>
    <w:p w:rsidR="00000000" w:rsidRDefault="00000000">
      <w:pPr>
        <w:ind w:left="1134" w:hanging="1134"/>
      </w:pPr>
    </w:p>
    <w:p w:rsidR="00000000" w:rsidRDefault="00000000">
      <w:pPr>
        <w:ind w:left="1134" w:hanging="1134"/>
      </w:pPr>
      <w:r>
        <w:tab/>
        <w:t>-</w:t>
      </w:r>
      <w:r>
        <w:tab/>
        <w:t>Постановление министра здравоохранения и социального обеспечения от 12 июля 1996 года о списке учреждений, уполномоченных заниматься изучением материалов и технологических процессов с целью установления степени их вредного воздействия (Законодательный вестник № 101, текст 473);</w:t>
      </w:r>
    </w:p>
    <w:p w:rsidR="00000000" w:rsidRDefault="00000000">
      <w:pPr>
        <w:ind w:left="1134" w:hanging="1134"/>
      </w:pPr>
    </w:p>
    <w:p w:rsidR="00000000" w:rsidRDefault="00000000">
      <w:pPr>
        <w:ind w:left="1134" w:hanging="1134"/>
      </w:pPr>
      <w:r>
        <w:tab/>
        <w:t>-</w:t>
      </w:r>
      <w:r>
        <w:tab/>
        <w:t>Постановление министра здравоохранения и социального обеспечения от 1 июля 1996 года о запрещении использования, коммерческой реализации и перевозки некоторых опасных химических веществ (Законодательный вестник № 86, текст 393);</w:t>
      </w:r>
    </w:p>
    <w:p w:rsidR="00000000" w:rsidRDefault="00000000">
      <w:pPr>
        <w:ind w:left="1134" w:hanging="1134"/>
      </w:pPr>
    </w:p>
    <w:p w:rsidR="00000000" w:rsidRDefault="00000000">
      <w:pPr>
        <w:ind w:left="1134" w:hanging="1134"/>
      </w:pPr>
      <w:r>
        <w:tab/>
        <w:t>-</w:t>
      </w:r>
      <w:r>
        <w:tab/>
        <w:t>Постановление министра здравоохранения и социального обеспечения от 21 августа 1997 года о химических веществах, представляющих опасность для здоровья или жизни (Законодательный вестник № 105, текст 671);</w:t>
      </w:r>
    </w:p>
    <w:p w:rsidR="00000000" w:rsidRDefault="00000000">
      <w:pPr>
        <w:ind w:left="1134" w:hanging="1134"/>
      </w:pPr>
    </w:p>
    <w:p w:rsidR="00000000" w:rsidRDefault="00000000">
      <w:pPr>
        <w:ind w:left="1134" w:hanging="1134"/>
      </w:pPr>
      <w:r>
        <w:tab/>
        <w:t>-</w:t>
      </w:r>
      <w:r>
        <w:tab/>
        <w:t>Постановление министра здравоохранения и социального обеспечения о канцерогенных факторах на производстве и охране здоровья трудящихся от воздействия таких факторов (Законодательный вестник № 121, текст 571);</w:t>
      </w:r>
    </w:p>
    <w:p w:rsidR="00000000" w:rsidRDefault="00000000">
      <w:pPr>
        <w:ind w:left="1134" w:hanging="1134"/>
      </w:pPr>
    </w:p>
    <w:p w:rsidR="00000000" w:rsidRDefault="00000000">
      <w:pPr>
        <w:ind w:left="1134" w:hanging="1134"/>
      </w:pPr>
      <w:r>
        <w:tab/>
        <w:t>-</w:t>
      </w:r>
      <w:r>
        <w:tab/>
        <w:t>Постановление министра здравоохранения и социального обеспечения от 9 июля 1996 года о выявлении и оценке факторов, наносящих вред здоровью на производстве (Законодательный вестник № 86, текст 394);</w:t>
      </w:r>
    </w:p>
    <w:p w:rsidR="00000000" w:rsidRDefault="00000000">
      <w:pPr>
        <w:ind w:left="1134" w:hanging="1134"/>
      </w:pPr>
    </w:p>
    <w:p w:rsidR="00000000" w:rsidRDefault="00000000">
      <w:pPr>
        <w:ind w:left="1134" w:hanging="1134"/>
      </w:pPr>
      <w:r>
        <w:tab/>
        <w:t>-</w:t>
      </w:r>
      <w:r>
        <w:tab/>
        <w:t>Постановление министра труда и социальной политики от 26 сентября 1996 года об общих правилах безопасности и гигиены труда (Законодательный вестник № 129, текст 844);</w:t>
      </w:r>
    </w:p>
    <w:p w:rsidR="00000000" w:rsidRDefault="00000000">
      <w:pPr>
        <w:ind w:left="1134" w:hanging="1134"/>
      </w:pPr>
    </w:p>
    <w:p w:rsidR="00000000" w:rsidRDefault="00000000">
      <w:pPr>
        <w:ind w:left="1134" w:hanging="1134"/>
      </w:pPr>
      <w:r>
        <w:tab/>
        <w:t>-</w:t>
      </w:r>
      <w:r>
        <w:tab/>
        <w:t>Постановление министра труда и социальной политики от 28 мая 1996 года о видах работ, требующих особых физических и умственных способностей (Законодательный вестник № 62, текст 287);</w:t>
      </w:r>
    </w:p>
    <w:p w:rsidR="00000000" w:rsidRDefault="00000000">
      <w:pPr>
        <w:ind w:left="1134" w:hanging="1134"/>
      </w:pPr>
    </w:p>
    <w:p w:rsidR="00000000" w:rsidRDefault="00000000">
      <w:pPr>
        <w:ind w:left="1134" w:hanging="1134"/>
      </w:pPr>
      <w:r>
        <w:tab/>
        <w:t>-</w:t>
      </w:r>
      <w:r>
        <w:tab/>
        <w:t>Постановление министра труда и социальной политики от 28 мая 1996 года о видах работ, которые должны выполнять по меньшей мере два человека (Законодательный вестник № 62, текст 288);</w:t>
      </w:r>
    </w:p>
    <w:p w:rsidR="00000000" w:rsidRDefault="00000000">
      <w:pPr>
        <w:ind w:left="1134" w:hanging="1134"/>
      </w:pPr>
    </w:p>
    <w:p w:rsidR="00000000" w:rsidRDefault="00000000">
      <w:pPr>
        <w:ind w:left="1134" w:hanging="1134"/>
      </w:pPr>
      <w:r>
        <w:tab/>
        <w:t>-</w:t>
      </w:r>
      <w:r>
        <w:tab/>
        <w:t>Постановление министра труда и социальной политики от 17 июня 1998 года о максимально допустимых концентрациях и силе воздействия факторов, наносящих вред здоровью на производстве (Законодательный вестник № 79, текст 513);</w:t>
      </w:r>
    </w:p>
    <w:p w:rsidR="00000000" w:rsidRDefault="00000000">
      <w:pPr>
        <w:ind w:left="1134" w:hanging="1134"/>
      </w:pPr>
    </w:p>
    <w:p w:rsidR="00000000" w:rsidRDefault="00000000">
      <w:pPr>
        <w:ind w:left="1134" w:hanging="1134"/>
      </w:pPr>
      <w:r>
        <w:tab/>
        <w:t>-</w:t>
      </w:r>
      <w:r>
        <w:tab/>
        <w:t>Постановление министра здравоохранения и социального обеспечения от 30 мая 1996 года о проведении медицинских осмотров трудящихся, сфере охвата услуг по охране их здоровья и медицинских сертификатах, выдаваемых в соответствии с Кодексом законов о труде (Законодательный вестник № 69, текст 332, за 1997 год, № 60, текст 375, и за 1998 год, № 159, текст 1057);</w:t>
      </w:r>
    </w:p>
    <w:p w:rsidR="00000000" w:rsidRDefault="00000000">
      <w:pPr>
        <w:ind w:left="1134" w:hanging="1134"/>
      </w:pPr>
    </w:p>
    <w:p w:rsidR="00000000" w:rsidRDefault="00000000">
      <w:pPr>
        <w:ind w:left="1134" w:hanging="1134"/>
      </w:pPr>
      <w:r>
        <w:tab/>
        <w:t>-</w:t>
      </w:r>
      <w:r>
        <w:tab/>
        <w:t>Постановление совета министров от 28 июля 1996 года о продуктах питания и напитках, имеющих профилактическое воздействие (Законодательный вестник № 50, текст 279);</w:t>
      </w:r>
    </w:p>
    <w:p w:rsidR="00000000" w:rsidRDefault="00000000">
      <w:pPr>
        <w:ind w:left="1134" w:hanging="1134"/>
      </w:pPr>
    </w:p>
    <w:p w:rsidR="00000000" w:rsidRDefault="00000000">
      <w:pPr>
        <w:ind w:left="1134" w:hanging="1134"/>
      </w:pPr>
      <w:r>
        <w:tab/>
        <w:t>-</w:t>
      </w:r>
      <w:r>
        <w:tab/>
        <w:t>Постановление совета министров от 2 сентября 1997 года о службах производственной безопасности и гигиены (Законодательный вестник № 109, текст 704);</w:t>
      </w:r>
    </w:p>
    <w:p w:rsidR="00000000" w:rsidRDefault="00000000">
      <w:pPr>
        <w:ind w:left="1134" w:hanging="1134"/>
      </w:pPr>
    </w:p>
    <w:p w:rsidR="00000000" w:rsidRDefault="00000000">
      <w:pPr>
        <w:ind w:left="1134" w:hanging="1134"/>
      </w:pPr>
      <w:r>
        <w:tab/>
        <w:t>-</w:t>
      </w:r>
      <w:r>
        <w:tab/>
        <w:t>Постановление министра труда и социальной политики от 28 мая 1996 года о правилах подготовки кадров в области безопасности и гигиены труда (Законодательный вестник № 62, текст 285);</w:t>
      </w:r>
    </w:p>
    <w:p w:rsidR="00000000" w:rsidRDefault="00000000">
      <w:pPr>
        <w:ind w:left="1134" w:hanging="1134"/>
      </w:pPr>
    </w:p>
    <w:p w:rsidR="00000000" w:rsidRDefault="00000000">
      <w:pPr>
        <w:ind w:left="1134" w:hanging="1134"/>
      </w:pPr>
      <w:r>
        <w:tab/>
        <w:t>-</w:t>
      </w:r>
      <w:r>
        <w:tab/>
        <w:t>Постановление совета министров от 29 июля 1998 года, касающееся установления обстоятельств и причин несчастных случаев на производстве и механизмов их документирования, а также объема информации, заносимой в отчет о несчастных случаях на производстве (Законодательный вестник № 115, текст 744);</w:t>
      </w:r>
    </w:p>
    <w:p w:rsidR="00000000" w:rsidRDefault="00000000">
      <w:pPr>
        <w:ind w:left="1134" w:hanging="1134"/>
      </w:pPr>
    </w:p>
    <w:p w:rsidR="00000000" w:rsidRDefault="00000000">
      <w:pPr>
        <w:ind w:left="1134" w:hanging="1134"/>
      </w:pPr>
      <w:r>
        <w:tab/>
        <w:t>-</w:t>
      </w:r>
      <w:r>
        <w:tab/>
        <w:t>Постановление министра труда и социальной политики от 2 октября 1998 года о типовой форме доклада, касающегося установления обстоятельств и причин несчастных случаев на производстве (Законодательный вестник № 128, текст 849);</w:t>
      </w:r>
    </w:p>
    <w:p w:rsidR="00000000" w:rsidRDefault="00000000">
      <w:pPr>
        <w:ind w:left="1134" w:hanging="1134"/>
      </w:pPr>
    </w:p>
    <w:p w:rsidR="00000000" w:rsidRDefault="00000000">
      <w:pPr>
        <w:ind w:left="1134" w:hanging="1134"/>
      </w:pPr>
      <w:r>
        <w:tab/>
        <w:t>-</w:t>
      </w:r>
      <w:r>
        <w:tab/>
        <w:t>Указ министра труда и социальной политики от 30 декабря 1996 года о разработке типовой карточки статистического учета несчастных случаев на производстве и связанных с этим мерах ("Монитор польски" за 1997 год, № 1, пункт 1, пункт 6);</w:t>
      </w:r>
    </w:p>
    <w:p w:rsidR="00000000" w:rsidRDefault="00000000">
      <w:pPr>
        <w:ind w:left="1134" w:hanging="1134"/>
      </w:pPr>
    </w:p>
    <w:p w:rsidR="00000000" w:rsidRDefault="00000000">
      <w:pPr>
        <w:ind w:left="1134" w:hanging="1134"/>
      </w:pPr>
      <w:r>
        <w:tab/>
        <w:t>-</w:t>
      </w:r>
      <w:r>
        <w:tab/>
        <w:t>Постановление министра труда и социальной политики от 1 декабря 1998 года о безопасности и гигиене труда на рабочих местах, оснащенных компьютерными мониторами (Законодательный вестник № 148, текст 973);</w:t>
      </w:r>
    </w:p>
    <w:p w:rsidR="00000000" w:rsidRDefault="00000000">
      <w:pPr>
        <w:ind w:left="1134" w:hanging="1134"/>
      </w:pPr>
    </w:p>
    <w:p w:rsidR="00000000" w:rsidRDefault="00000000">
      <w:pPr>
        <w:ind w:left="1134" w:hanging="1134"/>
      </w:pPr>
      <w:r>
        <w:tab/>
        <w:t>-</w:t>
      </w:r>
      <w:r>
        <w:tab/>
        <w:t>Постановление совета министров о работах, на которых запрещается использование труда женщин (Законодательный вестник № 114, текст Постановления совета министров 545);</w:t>
      </w:r>
    </w:p>
    <w:p w:rsidR="00000000" w:rsidRDefault="00000000">
      <w:pPr>
        <w:ind w:left="1134" w:hanging="1134"/>
      </w:pPr>
    </w:p>
    <w:p w:rsidR="00000000" w:rsidRDefault="00000000">
      <w:pPr>
        <w:ind w:left="1134" w:hanging="1134"/>
      </w:pPr>
      <w:r>
        <w:tab/>
        <w:t>-</w:t>
      </w:r>
      <w:r>
        <w:tab/>
        <w:t>Постановление совета министров о регистре работ, на которых запрещено использование труда молодежи (Законодательный вестник № 85, текст 500, за 1992 год, № 1, текст 1, за 1998 год, № 105, текст 658);</w:t>
      </w:r>
    </w:p>
    <w:p w:rsidR="00000000" w:rsidRDefault="00000000">
      <w:pPr>
        <w:ind w:left="1134" w:hanging="1134"/>
      </w:pPr>
    </w:p>
    <w:p w:rsidR="00000000" w:rsidRDefault="00000000">
      <w:pPr>
        <w:ind w:left="1134" w:hanging="1134"/>
      </w:pPr>
      <w:r>
        <w:tab/>
        <w:t>-</w:t>
      </w:r>
      <w:r>
        <w:tab/>
        <w:t>Указ министра труда и социальной политики от 26 июня о минимальном размере оплаты труда.</w:t>
      </w:r>
    </w:p>
    <w:p w:rsidR="00000000" w:rsidRDefault="00000000"/>
    <w:p w:rsidR="00000000" w:rsidRDefault="00000000">
      <w:pPr>
        <w:pStyle w:val="16"/>
        <w:rPr>
          <w:b/>
          <w:bCs/>
        </w:rPr>
      </w:pPr>
      <w:r>
        <w:rPr>
          <w:b/>
          <w:bCs/>
        </w:rPr>
        <w:t>III.</w:t>
      </w:r>
      <w:r>
        <w:rPr>
          <w:b/>
          <w:bCs/>
        </w:rPr>
        <w:tab/>
        <w:t>ОСУЩЕСТВЛЕНИЕ ПРАВ, ЗАКРЕПЛЕННЫХ В СТАТЬЕ 9</w:t>
      </w:r>
    </w:p>
    <w:p w:rsidR="00000000" w:rsidRDefault="00000000">
      <w:pPr>
        <w:pStyle w:val="16"/>
        <w:rPr>
          <w:b/>
          <w:bCs/>
        </w:rPr>
      </w:pPr>
    </w:p>
    <w:p w:rsidR="00000000" w:rsidRDefault="00000000">
      <w:pPr>
        <w:jc w:val="center"/>
      </w:pPr>
      <w:r>
        <w:rPr>
          <w:b/>
          <w:bCs/>
        </w:rPr>
        <w:t>А.</w:t>
      </w:r>
      <w:r>
        <w:rPr>
          <w:b/>
          <w:bCs/>
        </w:rPr>
        <w:tab/>
        <w:t>Ратифицированные международные договоры</w:t>
      </w:r>
    </w:p>
    <w:p w:rsidR="00000000" w:rsidRDefault="00000000">
      <w:pPr>
        <w:jc w:val="center"/>
      </w:pPr>
    </w:p>
    <w:p w:rsidR="00000000" w:rsidRDefault="00000000">
      <w:r>
        <w:t>92.</w:t>
      </w:r>
      <w:r>
        <w:tab/>
        <w:t>По состоянию на конец 1998 года Польшей были ратифицированы следующие международные договоры:</w:t>
      </w:r>
    </w:p>
    <w:p w:rsidR="00000000" w:rsidRDefault="00000000"/>
    <w:p w:rsidR="00000000" w:rsidRDefault="00000000">
      <w:pPr>
        <w:ind w:left="1134" w:hanging="1134"/>
      </w:pPr>
      <w:r>
        <w:tab/>
        <w:t>-</w:t>
      </w:r>
      <w:r>
        <w:tab/>
        <w:t>Международный пакт о гражданских и политических правах;</w:t>
      </w:r>
    </w:p>
    <w:p w:rsidR="00000000" w:rsidRDefault="00000000">
      <w:pPr>
        <w:ind w:left="1134" w:hanging="1134"/>
      </w:pPr>
    </w:p>
    <w:p w:rsidR="00000000" w:rsidRDefault="00000000">
      <w:pPr>
        <w:ind w:left="1134" w:hanging="1134"/>
      </w:pPr>
      <w:r>
        <w:tab/>
        <w:t>-</w:t>
      </w:r>
      <w:r>
        <w:tab/>
        <w:t>Конвенция МОТ о свободе ассоциации и защите права на организацию 1948 года (№ 87);</w:t>
      </w:r>
    </w:p>
    <w:p w:rsidR="00000000" w:rsidRDefault="00000000">
      <w:pPr>
        <w:ind w:left="1134" w:hanging="1134"/>
      </w:pPr>
    </w:p>
    <w:p w:rsidR="00000000" w:rsidRDefault="00000000">
      <w:pPr>
        <w:ind w:left="1134" w:hanging="1134"/>
      </w:pPr>
      <w:r>
        <w:tab/>
        <w:t>-</w:t>
      </w:r>
      <w:r>
        <w:tab/>
        <w:t>Конвенция МОТ о праве на организацию и на ведение коллективных переговоров 1949 года (№ 98);</w:t>
      </w:r>
    </w:p>
    <w:p w:rsidR="00000000" w:rsidRDefault="00000000">
      <w:pPr>
        <w:ind w:left="1134" w:hanging="1134"/>
      </w:pPr>
    </w:p>
    <w:p w:rsidR="00000000" w:rsidRDefault="00000000">
      <w:pPr>
        <w:ind w:left="1134" w:hanging="1134"/>
      </w:pPr>
      <w:r>
        <w:tab/>
        <w:t>-</w:t>
      </w:r>
      <w:r>
        <w:tab/>
        <w:t>Конвенция МОТ о трудовых отношениях на государственной службе 1978 года (№ 151), а также Конвенция МОТ об организациях сельских трудящихся 1975 года (№ 141).</w:t>
      </w:r>
    </w:p>
    <w:p w:rsidR="00000000" w:rsidRDefault="00000000"/>
    <w:p w:rsidR="00000000" w:rsidRDefault="00000000">
      <w:r>
        <w:t>93.</w:t>
      </w:r>
      <w:r>
        <w:tab/>
        <w:t>Обсуждение проблем, связанных со статьей 8, являлось составной частью докладов правительства Республики Польши о применении в национальном законодательстве и на практике положений конвенций МОТ, ратифицированных Польшей (а именно № 87, 98 и 151).</w:t>
      </w:r>
    </w:p>
    <w:p w:rsidR="00000000" w:rsidRDefault="00000000"/>
    <w:p w:rsidR="00000000" w:rsidRDefault="00000000">
      <w:pPr>
        <w:pStyle w:val="10"/>
        <w:rPr>
          <w:bCs/>
        </w:rPr>
      </w:pPr>
      <w:r>
        <w:rPr>
          <w:bCs/>
        </w:rPr>
        <w:t>В.</w:t>
      </w:r>
      <w:r>
        <w:rPr>
          <w:bCs/>
        </w:rPr>
        <w:tab/>
        <w:t>Условия вступления в профессиональные союзы и образования</w:t>
      </w:r>
    </w:p>
    <w:p w:rsidR="00000000" w:rsidRDefault="00000000">
      <w:pPr>
        <w:jc w:val="center"/>
        <w:rPr>
          <w:b/>
          <w:bCs/>
        </w:rPr>
      </w:pPr>
      <w:r>
        <w:rPr>
          <w:b/>
          <w:bCs/>
        </w:rPr>
        <w:t>профессиональных союзов</w:t>
      </w:r>
    </w:p>
    <w:p w:rsidR="00000000" w:rsidRDefault="00000000">
      <w:pPr>
        <w:jc w:val="center"/>
        <w:rPr>
          <w:b/>
          <w:bCs/>
        </w:rPr>
      </w:pPr>
    </w:p>
    <w:p w:rsidR="00000000" w:rsidRDefault="00000000">
      <w:r>
        <w:t>94.</w:t>
      </w:r>
      <w:r>
        <w:tab/>
        <w:t>В течение отчетного периода польское законодательство согласовывалось с требованиями Пакта.  Статья 59 Конституции от 2 апреля 1997 года гарантирует:</w:t>
      </w:r>
    </w:p>
    <w:p w:rsidR="00000000" w:rsidRDefault="00000000"/>
    <w:p w:rsidR="00000000" w:rsidRDefault="00000000">
      <w:pPr>
        <w:ind w:left="1134" w:hanging="1134"/>
      </w:pPr>
      <w:r>
        <w:tab/>
        <w:t>-</w:t>
      </w:r>
      <w:r>
        <w:tab/>
        <w:t>право на объединение в профессиональные союзы, организации земледельцев и в организации работодателей;</w:t>
      </w:r>
    </w:p>
    <w:p w:rsidR="00000000" w:rsidRDefault="00000000">
      <w:pPr>
        <w:ind w:left="1134" w:hanging="1134"/>
      </w:pPr>
    </w:p>
    <w:p w:rsidR="00000000" w:rsidRDefault="00000000">
      <w:pPr>
        <w:ind w:left="1134" w:hanging="1134"/>
      </w:pPr>
      <w:r>
        <w:tab/>
        <w:t>-</w:t>
      </w:r>
      <w:r>
        <w:tab/>
        <w:t>право профессиональных союзов, а также работодателей и их организаций на переговоры, в частности, с целью разрешения коллективных споров, а также на заключение коллективных трудовых договоров и иных соглашений;</w:t>
      </w:r>
    </w:p>
    <w:p w:rsidR="00000000" w:rsidRDefault="00000000">
      <w:pPr>
        <w:ind w:left="1134" w:hanging="1134"/>
      </w:pPr>
    </w:p>
    <w:p w:rsidR="00000000" w:rsidRDefault="00000000">
      <w:pPr>
        <w:ind w:left="1134" w:hanging="1134"/>
      </w:pPr>
      <w:r>
        <w:tab/>
        <w:t>-</w:t>
      </w:r>
      <w:r>
        <w:tab/>
        <w:t>право на организацию рабочих забастовок и протестов в других формах при том условии, что это право может быть ограничено по отношению к некоторым категориям трудящихся или секторам экономики или же забастовки могут быть полностью запрещены;</w:t>
      </w:r>
    </w:p>
    <w:p w:rsidR="00000000" w:rsidRDefault="00000000"/>
    <w:p w:rsidR="00000000" w:rsidRDefault="00000000">
      <w:pPr>
        <w:ind w:left="1134" w:hanging="1134"/>
      </w:pPr>
      <w:r>
        <w:tab/>
        <w:t>-</w:t>
      </w:r>
      <w:r>
        <w:tab/>
        <w:t>что право на образование профессиональных союзов или организаций работодателей может подлежать только таким законодательным ограничениям, которые допускаются международными соглашениями, стороной которых является Республика Польша.</w:t>
      </w:r>
    </w:p>
    <w:p w:rsidR="00000000" w:rsidRDefault="00000000"/>
    <w:p w:rsidR="00000000" w:rsidRDefault="00000000">
      <w:r>
        <w:t>95.</w:t>
      </w:r>
      <w:r>
        <w:tab/>
        <w:t>Официальные условия регистрации были изложены в предыдущем докладе, охватывавшем 1992-1994 годы.  В 1996-1997 годах Закон от 23 мая 1991 года о профессиональных союзах (Законодательный вестник за 1991 год, № 55, текст 234) изменялся восемь раз.  Внесение поправок было вызвано необходимостью приведения Кодекса законов о труде в соответствие с требованиями рыночной экономики и профсоюзными свободами (Законодательный вестник за 1996 год, № 24, текст 110).  Они предусматривали создание механизмов сотрудничества между работодателями и профсоюзами на условиях профсоюзного плюрализма и института освобожденных профсоюзных работников (с сохранением или без сохранения оклада).  Была установлена уголовная ответственность за нарушение профсоюзных прав сотрудниками управленческого звена и за действия профсоюзных лидеров, противоречащие закону (Законодательный вестник за 1997 год, № 88, текст 554).  Сфера применения Закона была распространена на полицию, пограничные войска, тюремную охрану и государственную пожарную охрану.  Были определены критерии раздела имущества между профсоюзом "Солидарность" (НСПП "Солидарность") и Всепольским соглашением профессиональных союзов (ВСПС) (Законодательный вестник за 1996 год, № 75, текст 355).</w:t>
      </w:r>
    </w:p>
    <w:p w:rsidR="00000000" w:rsidRDefault="00000000"/>
    <w:p w:rsidR="00000000" w:rsidRDefault="00000000">
      <w:r>
        <w:t>96.</w:t>
      </w:r>
      <w:r>
        <w:tab/>
        <w:t>Нижеследующие положения регламентируют порядок образования профсоюзов конкретными категориями работников (в дополнение к ним действуют правила, касающиеся кадровых военнослужащих):</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ind w:left="1134" w:hanging="1134"/>
      </w:pPr>
      <w:r>
        <w:tab/>
        <w:t>-</w:t>
      </w:r>
      <w:r>
        <w:tab/>
        <w:t>Закон от 5 июля 1996 года о гражданской службе (Законодательный вестник № 89, текст 402, с последующими поправками), пункт 3 статьи 49 которого гласит следующее:  "Гражданский служащий, входящий в категорию А должностных лиц, не имеет права создавать профессиональные союзы или политические партии, а также к ним присоединяться.  В соответствии с законом членство конкретного должностного лица в профсоюзах и политических партиях прекращается в тот день, когда он становится должностным лицом категории А";</w:t>
      </w:r>
    </w:p>
    <w:p w:rsidR="00000000" w:rsidRDefault="00000000">
      <w:pPr>
        <w:ind w:left="1134" w:hanging="1134"/>
      </w:pPr>
    </w:p>
    <w:p w:rsidR="00000000" w:rsidRDefault="00000000">
      <w:pPr>
        <w:ind w:left="1134" w:hanging="1134"/>
      </w:pPr>
      <w:r>
        <w:tab/>
        <w:t>-</w:t>
      </w:r>
      <w:r>
        <w:tab/>
        <w:t>Закон от 6 апреля 1990 года об Управлении государственной безопасности (Законодательный вестник № 30, текст 180, с поправками), в статье 54 которого отмечается:  "Сотрудники органов государственной безопасности не могут объединяться в профсоюз";</w:t>
      </w:r>
    </w:p>
    <w:p w:rsidR="00000000" w:rsidRDefault="00000000">
      <w:pPr>
        <w:ind w:left="1134" w:hanging="1134"/>
      </w:pPr>
    </w:p>
    <w:p w:rsidR="00000000" w:rsidRDefault="00000000">
      <w:pPr>
        <w:ind w:left="1134" w:hanging="1134"/>
      </w:pPr>
      <w:r>
        <w:tab/>
        <w:t>-</w:t>
      </w:r>
      <w:r>
        <w:tab/>
        <w:t>Закон от 12 октября 1990 года о пограничной охране (Законодательный вестник № 78, текст 462, с поправками), в статье 72 которого указывается, что пограничники могут объединяться в профсоюз работников пограничной службы;  положения Закона о профессиональных союзах применяются в данном случае с той оговоркой, что в рамках пограничной охраны может действовать только один профсоюз, который не имеет права на проведение забастовок;</w:t>
      </w:r>
    </w:p>
    <w:p w:rsidR="00000000" w:rsidRDefault="00000000">
      <w:pPr>
        <w:ind w:left="1134" w:hanging="1134"/>
      </w:pPr>
    </w:p>
    <w:p w:rsidR="00000000" w:rsidRDefault="00000000">
      <w:pPr>
        <w:ind w:left="1134" w:hanging="1134"/>
      </w:pPr>
      <w:r>
        <w:tab/>
        <w:t>-</w:t>
      </w:r>
      <w:r>
        <w:tab/>
        <w:t>Закон от 30 июня 1970 года о военной службе кадровых военнослужащих (Законодательный вестник за 1997 год, № 10, текст 55, с поправками), пункт 1 статьи 70 которого гласит:  "Кадровые военнослужащие не могут создавать или объединяться в профсоюзы";</w:t>
      </w:r>
    </w:p>
    <w:p w:rsidR="00000000" w:rsidRDefault="00000000">
      <w:pPr>
        <w:ind w:left="1134" w:hanging="1134"/>
      </w:pPr>
    </w:p>
    <w:p w:rsidR="00000000" w:rsidRDefault="00000000">
      <w:pPr>
        <w:ind w:left="1134" w:hanging="1134"/>
      </w:pPr>
      <w:r>
        <w:tab/>
        <w:t>-</w:t>
      </w:r>
      <w:r>
        <w:tab/>
        <w:t>Закон от 21 ноября 1967 года о всеобщей обязанности по защите Республики Польши (Законодательный вестник за 1992 года, № 4, текст 16, с поправками), в пункте 5 статьи 65 которого отмечается:  "Военнослужащие, проходящие действительную военную службу, не могут создавать профсоюзы и к ним присоединяться или принимать участие в деятельности профсоюзов, членами которых они являлись на момент призыва на соответствующую службу";</w:t>
      </w:r>
    </w:p>
    <w:p w:rsidR="00000000" w:rsidRDefault="00000000">
      <w:pPr>
        <w:ind w:left="1134" w:hanging="1134"/>
      </w:pPr>
    </w:p>
    <w:p w:rsidR="00000000" w:rsidRDefault="00000000">
      <w:pPr>
        <w:ind w:left="1134" w:hanging="1134"/>
      </w:pPr>
      <w:r>
        <w:tab/>
        <w:t>-</w:t>
      </w:r>
      <w:r>
        <w:tab/>
        <w:t>Закон от 26 апреля 1996 года о тюремной охране (Законодательный вестник № 61, текст 283, с поправками), в статье 14 которого указывается, что тюремные надзиратели могут объединяться в профсоюз работников тюремной охраны;  положения Закона от 23 мая 1991 года имеют обязательную силу применительно к тюремной охране, однако в данном случае может действовать только один профсоюз, не имеющий права на проведение забастовок;</w:t>
      </w:r>
    </w:p>
    <w:p w:rsidR="00000000" w:rsidRDefault="00000000">
      <w:pPr>
        <w:ind w:left="1134" w:hanging="1134"/>
      </w:pPr>
    </w:p>
    <w:p w:rsidR="00000000" w:rsidRDefault="00000000">
      <w:pPr>
        <w:ind w:left="1134" w:hanging="1134"/>
      </w:pPr>
      <w:r>
        <w:tab/>
        <w:t>-</w:t>
      </w:r>
      <w:r>
        <w:tab/>
        <w:t>Закон от 6 апреля 1990 года о полиции (Законодательный вестник № 39, текст 179, с поправками), в статье 67 которого отмечается, что полицейские могут объединяться в профсоюз сотрудников полиции;  положения Закона от 23 мая 1991 года имеют обязательную силу применительно к полиции, однако в данном случае может действовать только один профсоюз, не имеющий право на проведение забастовок;</w:t>
      </w:r>
    </w:p>
    <w:p w:rsidR="00000000" w:rsidRDefault="00000000">
      <w:pPr>
        <w:ind w:left="1134" w:hanging="1134"/>
      </w:pPr>
    </w:p>
    <w:p w:rsidR="00000000" w:rsidRDefault="00000000">
      <w:pPr>
        <w:ind w:left="1134" w:hanging="1134"/>
      </w:pPr>
      <w:r>
        <w:tab/>
        <w:t>-</w:t>
      </w:r>
      <w:r>
        <w:tab/>
        <w:t>Закон от 23 декабря 1994 года о Высшей контрольной палате (Законодательный вестник за 1995 год, № 13, текст 59, с поправками), в статье 86 которого указывается, что сотрудники Высшей контрольной палаты, за исключением председателя, заместителей председателя, генерального директора, руководителей и заместителей руководителей ее организационных подразделений, а также советников председателя, имеют право объединяться в профессиональные союзы;  инспектора или работники, выполняющие надзорные функции, могут принадлежать к профсоюзной организации, объединяющей исключительно работников Высшей контрольной палаты.  В Высшей контрольной палате может действовать только один профсоюз.</w:t>
      </w:r>
    </w:p>
    <w:p w:rsidR="00000000" w:rsidRDefault="00000000">
      <w:pPr>
        <w:ind w:left="1134" w:hanging="1134"/>
      </w:pPr>
    </w:p>
    <w:p w:rsidR="00000000" w:rsidRDefault="00000000">
      <w:pPr>
        <w:pStyle w:val="10"/>
        <w:rPr>
          <w:bCs/>
        </w:rPr>
      </w:pPr>
      <w:r>
        <w:rPr>
          <w:bCs/>
        </w:rPr>
        <w:t>С.</w:t>
      </w:r>
      <w:r>
        <w:rPr>
          <w:bCs/>
        </w:rPr>
        <w:tab/>
        <w:t>Ограничения права на организацию и на создание профсоюзов</w:t>
      </w:r>
    </w:p>
    <w:p w:rsidR="00000000" w:rsidRDefault="00000000">
      <w:pPr>
        <w:pStyle w:val="10"/>
        <w:rPr>
          <w:bCs/>
        </w:rPr>
      </w:pPr>
    </w:p>
    <w:p w:rsidR="00000000" w:rsidRDefault="00000000">
      <w:r>
        <w:t>97.</w:t>
      </w:r>
      <w:r>
        <w:tab/>
        <w:t>В отчетный период деятельность, связанная с организацией и созданием профсоюзов, могла ограничиваться лишь на основе принципов, обсуждавшихся в предыдущем докладе, и Закона от 23 мая 1991 года о профессиональных союзах, о котором говорилось в прошлом докладе.</w:t>
      </w:r>
    </w:p>
    <w:p w:rsidR="00000000" w:rsidRDefault="00000000"/>
    <w:p w:rsidR="00000000" w:rsidRDefault="00000000">
      <w:pPr>
        <w:ind w:left="1134" w:hanging="1134"/>
        <w:jc w:val="center"/>
      </w:pPr>
      <w:r>
        <w:rPr>
          <w:b/>
          <w:bCs/>
          <w:lang w:val="en-US"/>
        </w:rPr>
        <w:t>D</w:t>
      </w:r>
      <w:r>
        <w:rPr>
          <w:b/>
          <w:bCs/>
        </w:rPr>
        <w:t>.</w:t>
      </w:r>
      <w:r>
        <w:rPr>
          <w:b/>
          <w:bCs/>
        </w:rPr>
        <w:tab/>
        <w:t>Предусмотренные правительством гарантии права профессиональных союзов на образование федераций и на присоединение к международным профсоюзным организациям</w:t>
      </w:r>
    </w:p>
    <w:p w:rsidR="00000000" w:rsidRDefault="00000000">
      <w:pPr>
        <w:jc w:val="center"/>
      </w:pPr>
    </w:p>
    <w:p w:rsidR="00000000" w:rsidRDefault="00000000">
      <w:r>
        <w:t>98.</w:t>
      </w:r>
      <w:r>
        <w:tab/>
        <w:t>В соответствии со статьей 11 Закона от 23 мая 1991 года о профессиональных союзах:</w:t>
      </w:r>
    </w:p>
    <w:p w:rsidR="00000000" w:rsidRDefault="00000000"/>
    <w:p w:rsidR="00000000" w:rsidRDefault="00000000">
      <w:r>
        <w:tab/>
        <w:t>а)</w:t>
      </w:r>
      <w:r>
        <w:tab/>
        <w:t>профессиональные союзы имеют право создавать национальные ассоциации (федерации) профсоюзов;</w:t>
      </w:r>
    </w:p>
    <w:p w:rsidR="00000000" w:rsidRDefault="00000000"/>
    <w:p w:rsidR="00000000" w:rsidRDefault="00000000">
      <w:r>
        <w:tab/>
      </w:r>
      <w:r>
        <w:rPr>
          <w:lang w:val="en-US"/>
        </w:rPr>
        <w:t>b</w:t>
      </w:r>
      <w:r>
        <w:t>)</w:t>
      </w:r>
      <w:r>
        <w:tab/>
        <w:t>национальные профессиональные союзы и ассоциации профессиональных союзов могут создавать межотраслевые профсоюзные организации (конфедерации);</w:t>
      </w:r>
    </w:p>
    <w:p w:rsidR="00000000" w:rsidRDefault="00000000"/>
    <w:p w:rsidR="00000000" w:rsidRDefault="00000000">
      <w:r>
        <w:tab/>
        <w:t>с)</w:t>
      </w:r>
      <w:r>
        <w:tab/>
        <w:t>профсоюзные организации, в том числе федерации и конфедерации, имеют право создавать международные организации трудящихся и присоединяться к ним.</w:t>
      </w:r>
    </w:p>
    <w:p w:rsidR="00000000" w:rsidRDefault="00000000">
      <w:pPr>
        <w:ind w:left="1134" w:hanging="1134"/>
      </w:pPr>
    </w:p>
    <w:p w:rsidR="00000000" w:rsidRDefault="00000000">
      <w:r>
        <w:t>99.</w:t>
      </w:r>
      <w:r>
        <w:tab/>
        <w:t>Нарушения указанных гарантий наказывались штрафом или ограничением свободы (статья 35 Закона о профессиональных союзах).  На практике рассматриваемое право может осуществляться без каких-либо препятствий (судебных дел не зарегистрировано).</w:t>
      </w:r>
    </w:p>
    <w:p w:rsidR="00000000" w:rsidRDefault="00000000"/>
    <w:p w:rsidR="00000000" w:rsidRDefault="00000000">
      <w:pPr>
        <w:pStyle w:val="10"/>
        <w:rPr>
          <w:bCs/>
        </w:rPr>
      </w:pPr>
      <w:r>
        <w:rPr>
          <w:bCs/>
        </w:rPr>
        <w:t>Е.</w:t>
      </w:r>
      <w:r>
        <w:rPr>
          <w:bCs/>
        </w:rPr>
        <w:tab/>
        <w:t>Регламентирование свободы деятельности профессиональных союзов</w:t>
      </w:r>
    </w:p>
    <w:p w:rsidR="00000000" w:rsidRDefault="00000000">
      <w:pPr>
        <w:pStyle w:val="10"/>
        <w:rPr>
          <w:bCs/>
        </w:rPr>
      </w:pPr>
    </w:p>
    <w:p w:rsidR="00000000" w:rsidRDefault="00000000">
      <w:r>
        <w:t>100.</w:t>
      </w:r>
      <w:r>
        <w:tab/>
        <w:t>В течение отчетного периода профсоюзы были и продолжают оставаться независимыми от работодателей, государственных властей, местных органов самоуправления и других организаций.  Материальной гарантией свободы профсоюзов служит обязанность работодателя обеспечивать профсоюзную организацию своего предприятия помещениями и техническим оборудованием, необходимыми для осуществления ее деятельности.  Обе стороны согласовывают размер соответствующих обязательств.  Свобода действий профсоюзов ограничивается необходимостью соблюдения закона.  Его нарушение предполагает применение санкций, например в виде штрафа или ограничения свободы, по отношению к профсоюзным активистам.  Профсоюзы могут требовать от работодателя предоставить им нужную информацию, в частности, касающуюся условий труда и заработной платы.  Профсоюзные представители не должны разглашать конфиденциальную информацию, полученную от работодателя.  Кроме того, они обязаны соблюдать положения Закона о защите личных данных.</w:t>
      </w:r>
    </w:p>
    <w:p w:rsidR="00000000" w:rsidRDefault="00000000"/>
    <w:p w:rsidR="00000000" w:rsidRDefault="00000000">
      <w:r>
        <w:t>101.</w:t>
      </w:r>
      <w:r>
        <w:tab/>
        <w:t>При министерстве труда и социальной политики действует Комиссия по коллективным трудовым договорам.  В ее состав входят представители государственных органов управления, профсоюзов и организаций работодателей.  Комиссия, в частности, оказывает сторонам помощь в заключении коллективных трудовых договоров, представляя заинтересованным участникам информацию о правилах, касающихся коллективных трудовых договоров, об их толковании и о судебных решениях, принятых в данной области, а также занимается распространением своего опыта деятельности.  Под эгидой министерства труда и социальной политики проводились конференции, семинары и совещания, посвященные коллективным трудовым договорам.  Был также выпущен ряд публикаций по вопросам права трудовых соглашений.</w:t>
      </w:r>
    </w:p>
    <w:p w:rsidR="00000000" w:rsidRDefault="00000000"/>
    <w:p w:rsidR="00000000" w:rsidRDefault="00000000">
      <w:pPr>
        <w:jc w:val="center"/>
      </w:pPr>
      <w:r>
        <w:rPr>
          <w:b/>
          <w:bCs/>
          <w:lang w:val="en-US"/>
        </w:rPr>
        <w:t>F</w:t>
      </w:r>
      <w:r>
        <w:rPr>
          <w:b/>
          <w:bCs/>
        </w:rPr>
        <w:t>.</w:t>
      </w:r>
      <w:r>
        <w:rPr>
          <w:b/>
          <w:bCs/>
        </w:rPr>
        <w:tab/>
        <w:t>Данные о профсоюзах и их членском составе</w:t>
      </w:r>
    </w:p>
    <w:p w:rsidR="00000000" w:rsidRDefault="00000000">
      <w:pPr>
        <w:jc w:val="center"/>
      </w:pPr>
    </w:p>
    <w:p w:rsidR="00000000" w:rsidRDefault="00000000">
      <w:r>
        <w:t>102.</w:t>
      </w:r>
      <w:r>
        <w:tab/>
        <w:t>По данным министерства юстиции, сообщенным регистрационными судами, на начало 1998 года в Польше насчитывалось в общей сложности 23 956 зарегистрированных профсоюзных организаций, 172 межучрежденческие организации и 163 ассоциации профсоюзов.  Данные о численном составе профсоюзов в течение отчетного периода в рамках официальной статистики не собирались.  Информация, полученная от конкретных профсоюзных организаций, носила противоречивый и не очень точный характер.  Согласно оценкам, профсоюзным движением были охвачены 30% трудящихся.  По их собственной информации, наиболее многочисленными национальными профсоюзными организациями являлись:</w:t>
      </w:r>
    </w:p>
    <w:p w:rsidR="00000000" w:rsidRDefault="00000000"/>
    <w:p w:rsidR="00000000" w:rsidRDefault="00000000">
      <w:r>
        <w:tab/>
        <w:t>а)</w:t>
      </w:r>
      <w:r>
        <w:tab/>
        <w:t xml:space="preserve">Всепольское соглашение профессиональных союзов (ВСПС) - национальная федерация, объединяющая 97 отраслевых профсоюзов (данные от 31 декабря 1998 года, официально объявленные на </w:t>
      </w:r>
      <w:r>
        <w:rPr>
          <w:lang w:val="en-US"/>
        </w:rPr>
        <w:t>IV</w:t>
      </w:r>
      <w:r>
        <w:t> конгрессе ВСПС в марте 1998 года).  Согласно тем же данным, в состав ВСПС входили 2 426 300 членов, уплачивающих взносы;  в частности, насчитывалось 520 000 лиц, получающих пенсию по старости, иных пенсионеров и безработных, а также 2 426 300 представителей экономически активного населения.  Однако эти цифры не являются достаточно точными.  По другим оценкам, численный состав мог составлять более половины этого количества.  Широкий диапазон оценок (от 1 миллиона примерно до 3 миллионов членов) указывает на то, что без серьезного статистического обследования такие данные не заслуживают доверия.  Во главе ВСПС стоит Председатель, а его штаб-квартира находится в Варшаве.  Организационная структура ВСПС является сложной, поскольку она включает в себя структурные подразделения различных профсоюзов.  По состоянию на конец 1998 года ВСПС входило в состав Союза демократических левых сил (СДЛС), объединения политических партий, профсоюзов и общественных организаций, считающих себя левыми;</w:t>
      </w:r>
    </w:p>
    <w:p w:rsidR="00000000" w:rsidRDefault="00000000"/>
    <w:p w:rsidR="00000000" w:rsidRDefault="00000000">
      <w:r>
        <w:tab/>
        <w:t>b)</w:t>
      </w:r>
      <w:r>
        <w:tab/>
        <w:t>независимый самоуправляемый профсоюз "Солидарность" (НСПП "Солидарность"), включающий национальные и местные отделения, построенные по отраслевому принципу.  В структуре этого профсоюза действовало 37 "региональных групп".  Крупнейшей среди них была "Сласко-Добровская" региональная группа (около 200 000 членов в рамках свыше 1 000 "ячеек", созданных на уровне предприятий).  По данным за март 1999 года, в этом профсоюзе насчитывалось 1,2 млн. уплачивающих взносы членов, которые были объединены примерно в 13 000 "ячеек".  С точки зрения численного состава в случае "Солидарности" не прослеживалось никаких значительных расхождений.  Далее профсоюз подразделялся на 16 национальных секретариатов, которые включали в себя 92 национальных бюро.  На секретариаты приходилось 809 000 членов профсоюза (секретариат горнодобывающей промышленности и энергетики, являвшийся крупнейшим, насчитывал 132 000 членов).  Во главе профсоюза стоит Председатель Всепольской комиссии, штаб-квартира которой находится в Гданьске.  По состоянию на конец 1998 года "Солидарность" входила в состав политического блока АВС («Акция выборча "Солидарность"»).  Однако в то же время в АВС началась реорганизация, направленная на сохранение "Солидарности" в качестве профсоюза и выведение ее за пределы партийных структур;</w:t>
      </w:r>
    </w:p>
    <w:p w:rsidR="00000000" w:rsidRDefault="00000000"/>
    <w:p w:rsidR="00000000" w:rsidRDefault="00000000">
      <w:r>
        <w:tab/>
        <w:t>с)</w:t>
      </w:r>
      <w:r>
        <w:tab/>
        <w:t>Национальный профсоюз крестьян и работников сельскохозяйственных объединений и организаций - национальная профсоюзная организация крестьян, которая на рубеже 1997 и 1998 годов включала в себя приблизительно 25 000 сельскохозяйственных объединений и примерно 30 000 объединений сельских домохозяек.  Количество членов, согласно оценкам, составляло около 1,3 млн. человек, из которых 820 000 человек были женщины.  Во главе профсоюза, штаб-квартира которого расположена в Варшаве, стоит председатель;</w:t>
      </w:r>
    </w:p>
    <w:p w:rsidR="00000000" w:rsidRDefault="00000000"/>
    <w:p w:rsidR="00000000" w:rsidRDefault="00000000">
      <w:r>
        <w:tab/>
        <w:t>d)</w:t>
      </w:r>
      <w:r>
        <w:tab/>
        <w:t>Независимый самоуправляемый профсоюз крестьян единоличников "Солидарность" - национальная профсоюзная организация крестьян, которая имеет более однородную структуру, чем Национальный профсоюз крестьян и работников сельскохозяйственных объединений и организаций.  По состоянию на 31 декабря 1998 года этот профсоюз охватывал 11 011 объединений, в состав которых входило в общей сложности 333 974 члена, уплачивающего членские взносы;  в их числе было 66 796 женщин, 54 000 человек в возрасте моложе 30 лет и 73 000 престарелых и других пенсионеров.  Организация возглавляется Председателем Всепольского совета;  штаб-квартира находится в Варшаве.  Другими организационными единицами по нисходящей линии являлись:  советы воеводств, советы повятов (с 1 января 1999 года), советы гмин и поселковые советы;</w:t>
      </w:r>
    </w:p>
    <w:p w:rsidR="00000000" w:rsidRDefault="00000000"/>
    <w:p w:rsidR="00000000" w:rsidRDefault="00000000">
      <w:r>
        <w:tab/>
        <w:t>е)</w:t>
      </w:r>
      <w:r>
        <w:tab/>
        <w:t>Сельскохозяйственный профсоюз "Самооборона" - национальная крестьянская организация, включающая также представителей других социально-профессиональных групп.  Подтвержденные данные о численном составе организации отсутствуют.  Во главе организации стоит председатель, а ее штаб-квартира находится в Варшаве.</w:t>
      </w:r>
    </w:p>
    <w:p w:rsidR="00000000" w:rsidRDefault="00000000"/>
    <w:p w:rsidR="00000000" w:rsidRDefault="00000000">
      <w:pPr>
        <w:pStyle w:val="10"/>
        <w:rPr>
          <w:bCs/>
        </w:rPr>
      </w:pPr>
      <w:r>
        <w:rPr>
          <w:bCs/>
        </w:rPr>
        <w:t>G.</w:t>
      </w:r>
      <w:r>
        <w:rPr>
          <w:bCs/>
        </w:rPr>
        <w:tab/>
        <w:t>Право на забастовку</w:t>
      </w:r>
    </w:p>
    <w:p w:rsidR="00000000" w:rsidRDefault="00000000">
      <w:pPr>
        <w:pStyle w:val="10"/>
        <w:rPr>
          <w:bCs/>
        </w:rPr>
      </w:pPr>
    </w:p>
    <w:p w:rsidR="00000000" w:rsidRDefault="00000000">
      <w:pPr>
        <w:pStyle w:val="10"/>
        <w:jc w:val="left"/>
        <w:rPr>
          <w:bCs/>
        </w:rPr>
      </w:pPr>
      <w:r>
        <w:rPr>
          <w:bCs/>
        </w:rPr>
        <w:tab/>
        <w:t>1.</w:t>
      </w:r>
      <w:r>
        <w:rPr>
          <w:bCs/>
        </w:rPr>
        <w:tab/>
        <w:t>Конституционные гарантии права на забастовку</w:t>
      </w:r>
    </w:p>
    <w:p w:rsidR="00000000" w:rsidRDefault="00000000">
      <w:pPr>
        <w:pStyle w:val="10"/>
        <w:jc w:val="left"/>
        <w:rPr>
          <w:bCs/>
        </w:rPr>
      </w:pPr>
    </w:p>
    <w:p w:rsidR="00000000" w:rsidRDefault="00000000">
      <w:r>
        <w:t>103.</w:t>
      </w:r>
      <w:r>
        <w:tab/>
        <w:t>Статья 59 Конституции от 2 апреля 1997 года предусматривает, что профессиональным союзам должно быть обеспечено право на организацию забастовок работников в пределах, установленных законом.  Соответствующие ограничения подробно излагаются в Законе от 23 мая 1991 года о разрешении трудовых споров (Законодательный вестник за 1991 год, № 55, текст 236, с поправками).</w:t>
      </w:r>
    </w:p>
    <w:p w:rsidR="00000000" w:rsidRDefault="00000000"/>
    <w:p w:rsidR="00000000" w:rsidRDefault="00000000">
      <w:pPr>
        <w:rPr>
          <w:b/>
          <w:bCs/>
        </w:rPr>
      </w:pPr>
      <w:r>
        <w:tab/>
      </w:r>
      <w:r>
        <w:rPr>
          <w:b/>
          <w:bCs/>
        </w:rPr>
        <w:t>2.</w:t>
      </w:r>
      <w:r>
        <w:rPr>
          <w:b/>
          <w:bCs/>
        </w:rPr>
        <w:tab/>
        <w:t>Ограничения права на забастовку</w:t>
      </w:r>
    </w:p>
    <w:p w:rsidR="00000000" w:rsidRDefault="00000000">
      <w:pPr>
        <w:rPr>
          <w:b/>
          <w:bCs/>
        </w:rPr>
      </w:pPr>
    </w:p>
    <w:p w:rsidR="00000000" w:rsidRDefault="00000000">
      <w:r>
        <w:t>104.</w:t>
      </w:r>
      <w:r>
        <w:tab/>
        <w:t>Закон от 23 мая 1991 года о разрешении трудовых споров (Законодательный вестник № 55, текст 236, с поправками) признает право на забастовку в поддержку требований, связанных с трудовым спором.  Это право является одним из прав трудящихся, однако забастовки могут проводиться только профсоюзами.  Работодатель должен быть уведомлен о забастовке не позднее чем за 14 дней до ее начала.  Забастовка является крайней мерой и может быть организована лишь по исчерпании всех средств, предусмотренных в уставе, включая переговоры и посреднические услуги.  Если прийти к согласию невозможно и этап посредничества завершается подписанием протокола о разногласиях, то стороны могут попытаться урегулировать спорный вопрос, передав его на рассмотрение общественного арбитражного совета.  Постановление арбитров имеет обязательную силу, если ни одна из сторон не принимает иного решения.  Если посредническая деятельность не привела к достижению договоренности и услуги по арбитражу не были задействованы, то профсоюз может организовать забастовку.  Забастовка может быть объявлена после того, как за ее проведение выскажется большинство участников собрания, на котором должно присутствовать не менее 50% трудящихся предприятия.  Участие в забастовке является добровольным.  Во время забастовки нельзя мешать сотрудникам управленческого звена, а также трудящимися, не участвующими в забастовке, в выполнении ими своих функций.  Должна быть обеспечена возможность охраны имущества, принадлежащего предприятию, и поддержания в состоянии эксплуатации оборудования, необходимого для возобновления работы после забастовки.  Не допускается прекращения в связи с забастовкой работы на производственных объектах, участках и линиях, где такая приостановка может создавать угрозу для здоровья и жизни людей или государственной безопасности.  Не разрешается проведение забастовок в управлении государственной безопасности, подразделениях полиции и вооруженных сил Республики Польши, службе тюремной и пограничной охраны, а также в частях пожарной охраны.  Сотрудники органов государственной власти, центрального правительства и самоуправления, судьи и работники прокуратуры не имеют права на забастовку.  Профсоюз другого учреждения может организовать забастовку солидарности с целью отстаивания прав и интересов вышеуказанных категорий трудящихся в течение срока, не превышающего половину рабочего дня.</w:t>
      </w:r>
    </w:p>
    <w:p w:rsidR="00000000" w:rsidRDefault="00000000"/>
    <w:p w:rsidR="00000000" w:rsidRDefault="00000000">
      <w:pPr>
        <w:pStyle w:val="10"/>
        <w:ind w:left="1134" w:hanging="1134"/>
        <w:jc w:val="left"/>
        <w:rPr>
          <w:bCs/>
        </w:rPr>
      </w:pPr>
      <w:r>
        <w:rPr>
          <w:bCs/>
        </w:rPr>
        <w:tab/>
        <w:t>3.</w:t>
      </w:r>
      <w:r>
        <w:rPr>
          <w:bCs/>
        </w:rPr>
        <w:tab/>
        <w:t>Правила, регулирующие право на забастовку некоторых категорий трудящихся</w:t>
      </w:r>
    </w:p>
    <w:p w:rsidR="00000000" w:rsidRDefault="00000000">
      <w:pPr>
        <w:pStyle w:val="10"/>
        <w:rPr>
          <w:bCs/>
        </w:rPr>
      </w:pPr>
    </w:p>
    <w:p w:rsidR="00000000" w:rsidRDefault="00000000">
      <w:r>
        <w:t>105.</w:t>
      </w:r>
      <w:r>
        <w:tab/>
        <w:t>Определенные категории трудящихся, которые имеют право объединяться в профсоюзы или в один профсоюз, не могут проводить забастовки.  Это касается:</w:t>
      </w:r>
    </w:p>
    <w:p w:rsidR="00000000" w:rsidRDefault="00000000"/>
    <w:p w:rsidR="00000000" w:rsidRDefault="00000000">
      <w:pPr>
        <w:ind w:left="1134" w:hanging="1134"/>
      </w:pPr>
      <w:r>
        <w:tab/>
        <w:t>-</w:t>
      </w:r>
      <w:r>
        <w:tab/>
        <w:t>пограничников - пункт 2 статьи 72 Закона от 12 октября 1990 года о пограничной охране;</w:t>
      </w:r>
    </w:p>
    <w:p w:rsidR="00000000" w:rsidRDefault="00000000">
      <w:pPr>
        <w:ind w:left="1134" w:hanging="1134"/>
      </w:pPr>
    </w:p>
    <w:p w:rsidR="00000000" w:rsidRDefault="00000000">
      <w:pPr>
        <w:ind w:left="1134" w:hanging="1134"/>
      </w:pPr>
      <w:r>
        <w:tab/>
        <w:t>-</w:t>
      </w:r>
      <w:r>
        <w:tab/>
        <w:t>сотрудников тюремной службы - пункт 2 статьи 14 Закона от 26 апреля 1996 года о тюремной охране;</w:t>
      </w:r>
    </w:p>
    <w:p w:rsidR="00000000" w:rsidRDefault="00000000">
      <w:pPr>
        <w:ind w:left="1134" w:hanging="1134"/>
      </w:pPr>
    </w:p>
    <w:p w:rsidR="00000000" w:rsidRDefault="00000000">
      <w:pPr>
        <w:ind w:left="1134" w:hanging="1134"/>
      </w:pPr>
      <w:r>
        <w:tab/>
        <w:t>-</w:t>
      </w:r>
      <w:r>
        <w:tab/>
        <w:t>сотрудников муниципальной охраны - пункт 1 статьи 30 Закона от 29 августа 1997 года о муниципальной охране;</w:t>
      </w:r>
    </w:p>
    <w:p w:rsidR="00000000" w:rsidRDefault="00000000">
      <w:pPr>
        <w:ind w:left="1134" w:hanging="1134"/>
      </w:pPr>
    </w:p>
    <w:p w:rsidR="00000000" w:rsidRDefault="00000000">
      <w:pPr>
        <w:ind w:left="1134" w:hanging="1134"/>
      </w:pPr>
      <w:r>
        <w:tab/>
        <w:t>-</w:t>
      </w:r>
      <w:r>
        <w:tab/>
        <w:t>служащих Высшей контрольной палаты - статья 87 Закона от 23 декабря 1994 года о Высшей контрольной палате;</w:t>
      </w:r>
    </w:p>
    <w:p w:rsidR="00000000" w:rsidRDefault="00000000">
      <w:pPr>
        <w:ind w:left="1134" w:hanging="1134"/>
      </w:pPr>
    </w:p>
    <w:p w:rsidR="00000000" w:rsidRDefault="00000000">
      <w:pPr>
        <w:ind w:left="1134" w:hanging="1134"/>
      </w:pPr>
      <w:r>
        <w:tab/>
        <w:t>-</w:t>
      </w:r>
      <w:r>
        <w:tab/>
        <w:t>полицейских - пункт 2 статьи 67 Закона от 6 апреля 1990 года о полиции.</w:t>
      </w:r>
    </w:p>
    <w:p w:rsidR="00000000" w:rsidRDefault="00000000">
      <w:pPr>
        <w:ind w:left="1134" w:hanging="1134"/>
      </w:pPr>
    </w:p>
    <w:p w:rsidR="00000000" w:rsidRDefault="00000000">
      <w:r>
        <w:t>106.</w:t>
      </w:r>
      <w:r>
        <w:tab/>
        <w:t>Лимитированным правом на забастовку обладают призывники, проходящие альтернативную службу.  Они могут принимать участие в забастовке, организованной конкретным профсоюзом, или в забастовке, охватывающей всех трудящихся предприятия, к которому они приписаны (пункт 5 статьи 194 Закона от 21 ноября 1967 года о всеобщей обязанности по защите Республики Польши).</w:t>
      </w:r>
    </w:p>
    <w:p w:rsidR="00000000" w:rsidRDefault="00000000"/>
    <w:p w:rsidR="00000000" w:rsidRDefault="00000000">
      <w:pPr>
        <w:ind w:left="1134" w:hanging="1134"/>
        <w:jc w:val="center"/>
        <w:rPr>
          <w:b/>
          <w:bCs/>
        </w:rPr>
      </w:pPr>
      <w:r>
        <w:rPr>
          <w:b/>
          <w:bCs/>
          <w:lang w:val="en-US"/>
        </w:rPr>
        <w:t>H</w:t>
      </w:r>
      <w:r>
        <w:rPr>
          <w:b/>
          <w:bCs/>
        </w:rPr>
        <w:t>.</w:t>
      </w:r>
      <w:r>
        <w:rPr>
          <w:b/>
          <w:bCs/>
        </w:rPr>
        <w:tab/>
        <w:t>Ограничения профсоюзных прав служащих вооруженных сил, полиции и государственных органов управления</w:t>
      </w:r>
    </w:p>
    <w:p w:rsidR="00000000" w:rsidRDefault="00000000">
      <w:pPr>
        <w:jc w:val="center"/>
        <w:rPr>
          <w:b/>
          <w:bCs/>
        </w:rPr>
      </w:pPr>
    </w:p>
    <w:p w:rsidR="00000000" w:rsidRDefault="00000000">
      <w:r>
        <w:t>107.</w:t>
      </w:r>
      <w:r>
        <w:tab/>
        <w:t>Указанные ограничения были исчерпывающим образом разъяснены.  Что касается вооруженных сил, то 10 августа 1998 года уполномоченный по правам человека начал обжалование в Конституционном суде пункта 1 статьи 70 Закона от 30 июня 1970 года о военной службе кадровых военнослужащих, запрещающего им создавать профессиональные союзы и объединяться в них.  Уполномоченный высказал возражения на тот счет, что рассматриваемые положения противоречат статье 31, пункт 3, статье 32 и статье 59, пункты 1 и 4, Конституции, а также статье 11, пункт 2, статье 14 и статье 17 Европейской конвенции о правах человека.</w:t>
      </w:r>
    </w:p>
    <w:p w:rsidR="00000000" w:rsidRDefault="00000000"/>
    <w:p w:rsidR="00000000" w:rsidRDefault="00000000">
      <w:pPr>
        <w:pStyle w:val="10"/>
        <w:rPr>
          <w:bCs/>
        </w:rPr>
      </w:pPr>
      <w:r>
        <w:rPr>
          <w:bCs/>
        </w:rPr>
        <w:t>I.</w:t>
      </w:r>
      <w:r>
        <w:rPr>
          <w:bCs/>
        </w:rPr>
        <w:tab/>
        <w:t>Новые законодательные и исполнительные акты, касающиеся статьи 8</w:t>
      </w:r>
    </w:p>
    <w:p w:rsidR="00000000" w:rsidRDefault="00000000">
      <w:pPr>
        <w:pStyle w:val="10"/>
        <w:rPr>
          <w:bCs/>
        </w:rPr>
      </w:pPr>
    </w:p>
    <w:p w:rsidR="00000000" w:rsidRDefault="00000000">
      <w:r>
        <w:t>108.</w:t>
      </w:r>
      <w:r>
        <w:tab/>
        <w:t>К числу этих актов относятся:</w:t>
      </w:r>
    </w:p>
    <w:p w:rsidR="00000000" w:rsidRDefault="00000000"/>
    <w:p w:rsidR="00000000" w:rsidRDefault="00000000">
      <w:pPr>
        <w:ind w:left="1134" w:hanging="1134"/>
      </w:pPr>
      <w:r>
        <w:tab/>
        <w:t>-</w:t>
      </w:r>
      <w:r>
        <w:tab/>
        <w:t>Закон о профессиональных союзах от 23 мая 1991 года (Законодательный вестник за 1991 год № 55, текст 234;  в 1996-1997 годах в текст этого Закона восемь раз вносились поправки);</w:t>
      </w:r>
    </w:p>
    <w:p w:rsidR="00000000" w:rsidRDefault="00000000"/>
    <w:p w:rsidR="00000000" w:rsidRDefault="00000000">
      <w:pPr>
        <w:ind w:left="1134" w:hanging="1134"/>
      </w:pPr>
      <w:r>
        <w:tab/>
        <w:t>-</w:t>
      </w:r>
      <w:r>
        <w:tab/>
        <w:t>Закон от 16 декабря 1994 года о согласовании системы повышения средней заработной платы на уровне хозяйственных субъектов и о внесении изменений в некоторые законы (Законодательный вестник за 1995 год № 1, текст 2);  этот Закон регламентирует порядок принятия решения о повышении заработной платы в рамках Трехсторонней комиссии по социально-экономическим вопросам, которая служит форумом для сотрудничества главных органов управления, профсоюзов и организаций работодателей (созданной на основании решения № 7/94 совета министров от 15 февраля 1994 года);</w:t>
      </w:r>
    </w:p>
    <w:p w:rsidR="00000000" w:rsidRDefault="00000000"/>
    <w:p w:rsidR="00000000" w:rsidRDefault="00000000">
      <w:pPr>
        <w:ind w:left="1134" w:hanging="1134"/>
      </w:pPr>
      <w:r>
        <w:tab/>
        <w:t>-</w:t>
      </w:r>
      <w:r>
        <w:tab/>
        <w:t>Закон от 23 декабря 1994 года о Высшей контрольной палате (Законодательный вестник за 1995 год № 13, текст 59);</w:t>
      </w:r>
    </w:p>
    <w:p w:rsidR="00000000" w:rsidRDefault="00000000"/>
    <w:p w:rsidR="00000000" w:rsidRDefault="00000000">
      <w:pPr>
        <w:ind w:left="1134" w:hanging="1134"/>
      </w:pPr>
      <w:r>
        <w:tab/>
        <w:t>-</w:t>
      </w:r>
      <w:r>
        <w:tab/>
        <w:t>Закон от 23 декабря 1994 года об установлении механизмов оплаты труды в государственных бюджетных организациях и о внесении изменений в некоторые другие нормативные акты (Законодательный вестник за 1995 год № 34, текст 163, статья 4);</w:t>
      </w:r>
    </w:p>
    <w:p w:rsidR="00000000" w:rsidRDefault="00000000"/>
    <w:p w:rsidR="00000000" w:rsidRDefault="00000000">
      <w:pPr>
        <w:ind w:left="1134" w:hanging="1134"/>
      </w:pPr>
      <w:r>
        <w:tab/>
        <w:t>-</w:t>
      </w:r>
      <w:r>
        <w:tab/>
        <w:t>Закон от 26 апреля 1996 года о тюремной службе (Законодательный вестник за 1996 год № 61, текст 283);</w:t>
      </w:r>
    </w:p>
    <w:p w:rsidR="00000000" w:rsidRDefault="00000000"/>
    <w:p w:rsidR="00000000" w:rsidRDefault="00000000">
      <w:pPr>
        <w:ind w:left="1134" w:hanging="1134"/>
      </w:pPr>
      <w:r>
        <w:tab/>
        <w:t>-</w:t>
      </w:r>
      <w:r>
        <w:tab/>
        <w:t>Закон от 5 июля 1996 года о гражданской службе (Законодательный вестник № 89, текст 402);</w:t>
      </w:r>
    </w:p>
    <w:p w:rsidR="00000000" w:rsidRDefault="00000000"/>
    <w:p w:rsidR="00000000" w:rsidRDefault="00000000">
      <w:r>
        <w:tab/>
        <w:t>-</w:t>
      </w:r>
      <w:r>
        <w:tab/>
        <w:t>Закон от 29 августа 1997 года о сотрудниках муниципальной охраны;</w:t>
      </w:r>
    </w:p>
    <w:p w:rsidR="00000000" w:rsidRDefault="00000000"/>
    <w:p w:rsidR="00000000" w:rsidRDefault="00000000">
      <w:pPr>
        <w:ind w:left="1134" w:hanging="1134"/>
      </w:pPr>
      <w:r>
        <w:tab/>
        <w:t>-</w:t>
      </w:r>
      <w:r>
        <w:tab/>
        <w:t>Постановление совета министров от 11 июня 1996 года о механизме предоставления неоплачиваемых отпусков и специальных отпусков трудящимся, находящимся на выборных должностях в профессиональных союзах или организациях работодателей, а также об объеме их прав во время неоплачиваемого отпуска или специального отпуска (Законодательный вестник за 1996 год № 71, текст 336);  этот нормативный акт является исполнительным применительно к Закону о профессиональных союзах от 23 мая 1991 года.</w:t>
      </w:r>
    </w:p>
    <w:p w:rsidR="00000000" w:rsidRDefault="00000000"/>
    <w:p w:rsidR="00000000" w:rsidRDefault="00000000">
      <w:pPr>
        <w:jc w:val="center"/>
        <w:rPr>
          <w:b/>
          <w:bCs/>
        </w:rPr>
      </w:pPr>
      <w:r>
        <w:rPr>
          <w:b/>
          <w:bCs/>
          <w:lang w:val="en-US"/>
        </w:rPr>
        <w:t>IV</w:t>
      </w:r>
      <w:r>
        <w:rPr>
          <w:b/>
          <w:bCs/>
        </w:rPr>
        <w:t>.</w:t>
      </w:r>
      <w:r>
        <w:rPr>
          <w:b/>
          <w:bCs/>
        </w:rPr>
        <w:tab/>
        <w:t>ОСУЩЕСТВЛЕНИЕ ПРАВ, ЗАКРЕПЛЕННЫХ В СТАТЬЕ 9</w:t>
      </w:r>
    </w:p>
    <w:p w:rsidR="00000000" w:rsidRDefault="00000000">
      <w:pPr>
        <w:jc w:val="center"/>
        <w:rPr>
          <w:b/>
          <w:bCs/>
        </w:rPr>
      </w:pPr>
    </w:p>
    <w:p w:rsidR="00000000" w:rsidRDefault="00000000">
      <w:pPr>
        <w:jc w:val="center"/>
        <w:rPr>
          <w:b/>
          <w:bCs/>
        </w:rPr>
      </w:pPr>
      <w:r>
        <w:rPr>
          <w:b/>
          <w:bCs/>
        </w:rPr>
        <w:t>А.</w:t>
      </w:r>
      <w:r>
        <w:rPr>
          <w:b/>
          <w:bCs/>
        </w:rPr>
        <w:tab/>
        <w:t>Ратифицированные международные договоры</w:t>
      </w:r>
    </w:p>
    <w:p w:rsidR="00000000" w:rsidRDefault="00000000">
      <w:pPr>
        <w:jc w:val="center"/>
        <w:rPr>
          <w:b/>
          <w:bCs/>
        </w:rPr>
      </w:pPr>
    </w:p>
    <w:p w:rsidR="00000000" w:rsidRDefault="00000000">
      <w:r>
        <w:t>109.</w:t>
      </w:r>
      <w:r>
        <w:tab/>
        <w:t>В отчетный период Польша еще не являлась участником какой-либо из соответствующих конвенций МОТ.  Министр труда и социальной политики обратился к министру иностранных дел с просьбой начать процедуру ратификации Конвенции № 102 МОТ.  По состоянию на конец 1998 года консультации по данному вопросу еще продолжались.  Ожидалось, что процедура ратификации будет начата в отношении конвенций № 121, 128, 130 и 168.</w:t>
      </w:r>
    </w:p>
    <w:p w:rsidR="00000000" w:rsidRDefault="00000000"/>
    <w:p w:rsidR="00000000" w:rsidRDefault="00000000">
      <w:pPr>
        <w:pStyle w:val="10"/>
        <w:rPr>
          <w:bCs/>
        </w:rPr>
      </w:pPr>
      <w:r>
        <w:rPr>
          <w:bCs/>
        </w:rPr>
        <w:t>В.</w:t>
      </w:r>
      <w:r>
        <w:rPr>
          <w:bCs/>
        </w:rPr>
        <w:tab/>
        <w:t>Виды социального обеспечения в Польше</w:t>
      </w:r>
    </w:p>
    <w:p w:rsidR="00000000" w:rsidRDefault="00000000">
      <w:pPr>
        <w:pStyle w:val="10"/>
        <w:rPr>
          <w:bCs/>
        </w:rPr>
      </w:pPr>
    </w:p>
    <w:p w:rsidR="00000000" w:rsidRDefault="00000000">
      <w:r>
        <w:t>110.</w:t>
      </w:r>
      <w:r>
        <w:tab/>
        <w:t>В 1995-1998 годах в Польше имелись все виды социального обеспечения, упомянутые в руководящих принципах.  Ниже приводится их описание с учетом изменений в этой области, которые произошли после 1 января 1995 года, по сравнению с ситуацией, отраженной в предыдущем докладе за 1992-1994 годы.</w:t>
      </w:r>
    </w:p>
    <w:p w:rsidR="00000000" w:rsidRDefault="00000000"/>
    <w:p w:rsidR="00000000" w:rsidRDefault="00000000">
      <w:pPr>
        <w:pStyle w:val="10"/>
        <w:rPr>
          <w:bCs/>
        </w:rPr>
      </w:pPr>
      <w:r>
        <w:rPr>
          <w:bCs/>
        </w:rPr>
        <w:br w:type="page"/>
        <w:t>С.</w:t>
      </w:r>
      <w:r>
        <w:rPr>
          <w:bCs/>
        </w:rPr>
        <w:tab/>
        <w:t>Основные особенности системы социального обеспечения, характер</w:t>
      </w:r>
    </w:p>
    <w:p w:rsidR="00000000" w:rsidRDefault="00000000">
      <w:pPr>
        <w:pStyle w:val="10"/>
        <w:rPr>
          <w:bCs/>
        </w:rPr>
      </w:pPr>
      <w:r>
        <w:rPr>
          <w:bCs/>
        </w:rPr>
        <w:t>и уровень пособий, вопросы финансирования</w:t>
      </w:r>
    </w:p>
    <w:p w:rsidR="00000000" w:rsidRDefault="00000000">
      <w:pPr>
        <w:pStyle w:val="10"/>
        <w:rPr>
          <w:bCs/>
        </w:rPr>
      </w:pPr>
    </w:p>
    <w:p w:rsidR="00000000" w:rsidRDefault="00000000">
      <w:pPr>
        <w:pStyle w:val="10"/>
        <w:jc w:val="left"/>
        <w:rPr>
          <w:bCs/>
        </w:rPr>
      </w:pPr>
      <w:r>
        <w:rPr>
          <w:bCs/>
        </w:rPr>
        <w:tab/>
        <w:t>1.</w:t>
      </w:r>
      <w:r>
        <w:rPr>
          <w:bCs/>
        </w:rPr>
        <w:tab/>
        <w:t>Общая организация системы социального обеспечения</w:t>
      </w:r>
    </w:p>
    <w:p w:rsidR="00000000" w:rsidRDefault="00000000">
      <w:pPr>
        <w:pStyle w:val="10"/>
        <w:rPr>
          <w:b w:val="0"/>
          <w:u w:val="single"/>
        </w:rPr>
      </w:pPr>
    </w:p>
    <w:p w:rsidR="00000000" w:rsidRDefault="00000000">
      <w:pPr>
        <w:pStyle w:val="10"/>
        <w:jc w:val="left"/>
        <w:rPr>
          <w:b w:val="0"/>
        </w:rPr>
      </w:pPr>
      <w:r>
        <w:rPr>
          <w:b w:val="0"/>
        </w:rPr>
        <w:t>111.</w:t>
      </w:r>
      <w:r>
        <w:rPr>
          <w:b w:val="0"/>
        </w:rPr>
        <w:tab/>
        <w:t>Система пособий распространяется на всех экономически активных лиц и членов их семей.  Система социального обеспечения рабочих и крестьян основана на страховании и полностью финансируется из текущих доходов.  Система социального обеспечения для военнослужащих и работников полиции, судов, государственной прокуратуры и членов их семей является по своему характеру пенсионной и полностью финансируется из государственного бюджета.  В соответствии с существующей традицией управление системой социального страхования работников железнодорожного транспорта по</w:t>
      </w:r>
      <w:r>
        <w:rPr>
          <w:b w:val="0"/>
        </w:rPr>
        <w:noBreakHyphen/>
        <w:t>прежнему осуществляется органами, управляющими этим сектором.  Социальным страхованием работников сельского хозяйства занимается Фонд социального страхования фермеров.  Выдачей пособий по безработице ведают управления труда воеводств и местных органов власти, подотчетные Национальному управлению труда, являющемуся центральным государственным административным органом, действующим под контролем министерства труда и социальной политики.  При этом министерстве и управлениях труда действуют консультативные советы по вопросам занятости, в состав которых входит равное число представителей трудящихся, работодателей, органов государственного управления и местных органов самоуправления.  Органы, подведомственные министерству здравоохранения и социального обеспечения, занимаются предоставлением пособий по болезни, которые выплачиваются всем застрахованным и другим лицам, имеющим право на их получение.  Закон разрешает создавать негосударственные медицинские учреждения, находящиеся в собственности местных органов самоуправления, кооперативов и частных лиц.  Ответственность за выплату пособий военнослужащим и членам их семей, работникам полиции и членам их семей, а также отдельным категориям государственных служащих и членам их семей несут соответствующие министры.</w:t>
      </w:r>
    </w:p>
    <w:p w:rsidR="00000000" w:rsidRDefault="00000000">
      <w:pPr>
        <w:pStyle w:val="10"/>
        <w:jc w:val="left"/>
        <w:rPr>
          <w:b w:val="0"/>
        </w:rPr>
      </w:pPr>
    </w:p>
    <w:p w:rsidR="00000000" w:rsidRDefault="00000000">
      <w:pPr>
        <w:pStyle w:val="10"/>
        <w:jc w:val="left"/>
        <w:rPr>
          <w:b w:val="0"/>
        </w:rPr>
      </w:pPr>
      <w:r>
        <w:rPr>
          <w:b w:val="0"/>
        </w:rPr>
        <w:t>112.</w:t>
      </w:r>
      <w:r>
        <w:rPr>
          <w:b w:val="0"/>
        </w:rPr>
        <w:tab/>
        <w:t>В соответствии с законодательством в период 1995-1998 годов основные функции, связанные с социальным страхованием, по</w:t>
      </w:r>
      <w:r>
        <w:rPr>
          <w:b w:val="0"/>
        </w:rPr>
        <w:noBreakHyphen/>
        <w:t>прежнему были возложены на Управление социального страхования (УСС), которое является государственным учреждением, подотчетным министерству труда и социальной политики.  В своей деятельности УСС опирается на региональные отделения, существующие во всех районах страны, и инспекции, находящиеся в ведении этих отделений.  Общественный контроль за деятельностью УСС осуществляют контрольные комиссии.  Предприятия рассчитывают и выплачивают работникам краткосрочные пособия и согласовывают с УСС размеры причитающихся взносов с учетом суммы выплаченных пособий.  УСС занимается вопросами, связанными с социальным страхованием как наемных работников, так и других социально-профессиональных групп.</w:t>
      </w:r>
    </w:p>
    <w:p w:rsidR="00000000" w:rsidRDefault="00000000">
      <w:pPr>
        <w:pStyle w:val="10"/>
        <w:jc w:val="left"/>
        <w:rPr>
          <w:b w:val="0"/>
        </w:rPr>
      </w:pPr>
    </w:p>
    <w:p w:rsidR="00000000" w:rsidRDefault="00000000">
      <w:pPr>
        <w:pStyle w:val="10"/>
        <w:jc w:val="left"/>
        <w:rPr>
          <w:bCs/>
        </w:rPr>
      </w:pPr>
      <w:r>
        <w:rPr>
          <w:bCs/>
        </w:rPr>
        <w:tab/>
        <w:t>2.</w:t>
      </w:r>
      <w:r>
        <w:rPr>
          <w:bCs/>
        </w:rPr>
        <w:tab/>
        <w:t>Пособия и льготы в области здравоохранения</w:t>
      </w:r>
    </w:p>
    <w:p w:rsidR="00000000" w:rsidRDefault="00000000">
      <w:pPr>
        <w:pStyle w:val="10"/>
        <w:rPr>
          <w:b w:val="0"/>
          <w:u w:val="single"/>
        </w:rPr>
      </w:pPr>
    </w:p>
    <w:p w:rsidR="00000000" w:rsidRDefault="00000000">
      <w:pPr>
        <w:pStyle w:val="10"/>
        <w:jc w:val="left"/>
        <w:rPr>
          <w:b w:val="0"/>
        </w:rPr>
      </w:pPr>
      <w:r>
        <w:rPr>
          <w:b w:val="0"/>
        </w:rPr>
        <w:t>113.</w:t>
      </w:r>
      <w:r>
        <w:rPr>
          <w:b w:val="0"/>
        </w:rPr>
        <w:tab/>
        <w:t>Эти пособия и льготы могут предоставляться медицинскими учреждениями или обладающими соответствующей квалификацией частными лицами.  Услуги в этой области могут быть платными или бесплатными.  В течение отчетного периода пособия предоставлялись бесплатно следующим категориям лиц:</w:t>
      </w:r>
    </w:p>
    <w:p w:rsidR="00000000" w:rsidRDefault="00000000">
      <w:pPr>
        <w:pStyle w:val="10"/>
        <w:jc w:val="left"/>
        <w:rPr>
          <w:b w:val="0"/>
        </w:rPr>
      </w:pPr>
    </w:p>
    <w:p w:rsidR="00000000" w:rsidRDefault="00000000">
      <w:pPr>
        <w:pStyle w:val="10"/>
        <w:ind w:left="1134" w:hanging="1134"/>
        <w:jc w:val="left"/>
        <w:rPr>
          <w:b w:val="0"/>
        </w:rPr>
      </w:pPr>
      <w:r>
        <w:rPr>
          <w:b w:val="0"/>
        </w:rPr>
        <w:tab/>
        <w:t>-</w:t>
      </w:r>
      <w:r>
        <w:rPr>
          <w:b w:val="0"/>
        </w:rPr>
        <w:tab/>
        <w:t>застрахованным, лицам, лицам, получающим пенсии по старости, другим пенсионерам и членам их семей;</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учащимся школ и лицам моложе 18 лет, не посещающим школы;</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некоторым категориям государственных служащих и членам их семей, а также лицам, охваченным пенсионной схемой для отдельных категорий государственных служащих и членов их семей;</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инвалидам войны и членам их семей;</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лицам, получающим пособия по безработице, и лицам, не имеющим права на получение таких пособий или пособий на профессиональную подготовку, и членам их семей;</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лицам, получающим постоянное пособие по линии социального вспомоществования;</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студентам и их неработающим супругам и детям;</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спортсменам, получающим спортивные стипендии, и членам их семей;</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некоторым категориям лиц, имеющим право на получение таких пособий (например, слепым).</w:t>
      </w:r>
    </w:p>
    <w:p w:rsidR="00000000" w:rsidRDefault="00000000">
      <w:pPr>
        <w:pStyle w:val="10"/>
        <w:ind w:left="1134" w:hanging="1134"/>
        <w:jc w:val="left"/>
        <w:rPr>
          <w:b w:val="0"/>
        </w:rPr>
      </w:pPr>
    </w:p>
    <w:p w:rsidR="00000000" w:rsidRDefault="00000000">
      <w:pPr>
        <w:pStyle w:val="10"/>
        <w:jc w:val="left"/>
        <w:rPr>
          <w:b w:val="0"/>
        </w:rPr>
      </w:pPr>
      <w:r>
        <w:rPr>
          <w:b w:val="0"/>
        </w:rPr>
        <w:t>114.</w:t>
      </w:r>
      <w:r>
        <w:rPr>
          <w:b w:val="0"/>
        </w:rPr>
        <w:tab/>
        <w:t>В дополнение к этому некоторые бесплатные услуги по профилактике и лечению заболеваний предоставляются всему населению, включая:</w:t>
      </w:r>
    </w:p>
    <w:p w:rsidR="00000000" w:rsidRDefault="00000000">
      <w:pPr>
        <w:pStyle w:val="10"/>
        <w:jc w:val="left"/>
        <w:rPr>
          <w:b w:val="0"/>
        </w:rPr>
      </w:pPr>
    </w:p>
    <w:p w:rsidR="00000000" w:rsidRDefault="00000000">
      <w:pPr>
        <w:pStyle w:val="10"/>
        <w:ind w:left="1134" w:hanging="1134"/>
        <w:jc w:val="left"/>
        <w:rPr>
          <w:b w:val="0"/>
        </w:rPr>
      </w:pPr>
      <w:r>
        <w:rPr>
          <w:b w:val="0"/>
        </w:rPr>
        <w:tab/>
        <w:t>-</w:t>
      </w:r>
      <w:r>
        <w:rPr>
          <w:b w:val="0"/>
        </w:rPr>
        <w:tab/>
        <w:t>лечение некоторых заболеваний (туберкулеза, инфекционных заболеваний, лечение которых осуществляется в принудительном порядке, венерических заболеваний, эпилепсии, психических расстройств, алкоголизма, токсикомании и наркологической зависимости от психотропных веществ);</w:t>
      </w:r>
    </w:p>
    <w:p w:rsidR="00000000" w:rsidRDefault="00000000">
      <w:pPr>
        <w:pStyle w:val="10"/>
        <w:jc w:val="left"/>
        <w:rPr>
          <w:b w:val="0"/>
        </w:rPr>
      </w:pPr>
    </w:p>
    <w:p w:rsidR="00000000" w:rsidRDefault="00000000">
      <w:pPr>
        <w:pStyle w:val="10"/>
        <w:ind w:left="1134" w:hanging="1134"/>
        <w:jc w:val="left"/>
        <w:rPr>
          <w:b w:val="0"/>
        </w:rPr>
      </w:pPr>
      <w:r>
        <w:rPr>
          <w:b w:val="0"/>
        </w:rPr>
        <w:tab/>
        <w:t>-</w:t>
      </w:r>
      <w:r>
        <w:rPr>
          <w:b w:val="0"/>
        </w:rPr>
        <w:tab/>
        <w:t>услуги публичных учреждений здравоохранения (поликлиник, в частности для детей, молодежи и женщин);</w:t>
      </w:r>
    </w:p>
    <w:p w:rsidR="00000000" w:rsidRDefault="00000000"/>
    <w:p w:rsidR="00000000" w:rsidRDefault="00000000">
      <w:pPr>
        <w:ind w:left="1134" w:hanging="1134"/>
      </w:pPr>
      <w:r>
        <w:tab/>
        <w:t>-</w:t>
      </w:r>
      <w:r>
        <w:tab/>
        <w:t>услуги закрытых медицинских учреждений (например, для новорожденных и детей в возрасте до 1 года);</w:t>
      </w:r>
    </w:p>
    <w:p w:rsidR="00000000" w:rsidRDefault="00000000">
      <w:pPr>
        <w:ind w:left="1134" w:hanging="1134"/>
      </w:pPr>
    </w:p>
    <w:p w:rsidR="00000000" w:rsidRDefault="00000000">
      <w:pPr>
        <w:ind w:left="1134" w:hanging="1134"/>
      </w:pPr>
      <w:r>
        <w:tab/>
        <w:t>-</w:t>
      </w:r>
      <w:r>
        <w:tab/>
        <w:t>амбулаторные услуги, предоставляемые жертвам несчастных случаев и больным, проходящим принудительное лечение.</w:t>
      </w:r>
    </w:p>
    <w:p w:rsidR="00000000" w:rsidRDefault="00000000">
      <w:pPr>
        <w:ind w:left="1134" w:hanging="1134"/>
      </w:pPr>
    </w:p>
    <w:p w:rsidR="00000000" w:rsidRDefault="00000000">
      <w:r>
        <w:t>115.</w:t>
      </w:r>
      <w:r>
        <w:tab/>
        <w:t>Лица, имеющие право на лечение в больницах и других стационарных медицинских учреждениях, имеют право на получение бесплатных лекарств и санитарно-гигиенических средств;  это же относится к лицам, проходящим лечение и обследование в государственных учреждениях системы здравоохранения.  Кроме того, в государственных учреждениях системы здравоохранения бесплатно предоставляются лекарства и санитарно-гигиенические средства во время лечения в экстренных случаях.  Право на получение бесплатных лекарств имеют инвалиды войны, военнослужащие и члены их семей, а также почетные доноры.  Размеры платы за лекарства, отпускаемые по рецепту, зависят от вида лекарств.  Основные лекарственные препараты (жизненно необходимые средства или лекарства, требующиеся для лечения заболеваний и поддержания здоровья, чаще других прописываемые из той или иной группы лекарств), отпускаются лицам, имеющим право на получение соответствующих льгот, бесплатно или же за символическую фиксированную плату.  Дополнительные лекарства (усиливающие или поддерживающие действие основных лекарств, а также дорогостоящие лекарства нового поколения, имеющие аналогичные терапевтические свойства) отпускаются лицам, имеющим право на получение соответствующих льгот, с 70-процентной скидкой.  Бесплатно отпускаются также некоторые лекарства лицам, страдающим психическими расстройствами, инфекционными заболеваниями, фенилкетонурией, кишечными патологиями, синдромом неусвояемости, эпилепсией, миастенией, муковисцидозом, диабетом и раковыми заболеваниями, а также лекарства для лечения детей, страдающих гипофизарной карликовостью.</w:t>
      </w:r>
    </w:p>
    <w:p w:rsidR="00000000" w:rsidRDefault="00000000"/>
    <w:p w:rsidR="00000000" w:rsidRDefault="00000000">
      <w:pPr>
        <w:rPr>
          <w:b/>
          <w:bCs/>
        </w:rPr>
      </w:pPr>
      <w:r>
        <w:rPr>
          <w:b/>
          <w:bCs/>
        </w:rPr>
        <w:br w:type="page"/>
      </w:r>
      <w:r>
        <w:rPr>
          <w:b/>
          <w:bCs/>
        </w:rPr>
        <w:tab/>
        <w:t>3.</w:t>
      </w:r>
      <w:r>
        <w:rPr>
          <w:b/>
          <w:bCs/>
        </w:rPr>
        <w:tab/>
        <w:t>Пособия по болезни</w:t>
      </w:r>
    </w:p>
    <w:p w:rsidR="00000000" w:rsidRDefault="00000000">
      <w:pPr>
        <w:pStyle w:val="ListBullet"/>
        <w:numPr>
          <w:ilvl w:val="0"/>
          <w:numId w:val="0"/>
        </w:numPr>
      </w:pPr>
    </w:p>
    <w:p w:rsidR="00000000" w:rsidRDefault="00000000">
      <w:r>
        <w:t>116.</w:t>
      </w:r>
      <w:r>
        <w:tab/>
        <w:t>Предоставление этих пособий регулируется Законом от 17 декабря 1974 года о выплате в рамках социальной помощи денежных пособий по болезни и по беременности и родам (Законодательный вестник за 1983 год № 30, текст 143) с поправками, внесенными Законом от 3 февраля 1995 года об изменении Закона о выплате в рамках социальной помощи денежных пособий по болезни и по беременности и родам и Кодекса законов о труде (Законодательный вестник за 1995 год № 17, текст 77), который вступил в силу 1 марта 1995 года.  Затем было принято решение о том, что работник будет получать вознаграждение в течение первых 35 дней болезни за счет средств предприятия, в котором он работает.  Лишь начиная с 36 дня он получает пособие по болезни из Фонда социального страхования.  Вознаграждение, выплачиваемое в период болезни, не может составлять менее 80% от заработной платы.  Оно может быть выше, если это предусмотрено коллективными трудовыми соглашениями или соглашениями об оплате труда.  Если нетрудоспособность вызвана несчастным случаем на производстве, несчастным случаем по пути на работу или с работы, профессиональным заболеванием или заболеванием во время беременности, то в течение периода нетрудоспособности продолжительностью до 35 дней в данном календарном году работник сохраняет право на получение 100</w:t>
      </w:r>
      <w:r>
        <w:noBreakHyphen/>
        <w:t>процентного вознаграждения.  Начиная с 36-го дня работник имеет право на получение пособия по болезни из Фонда (в размере 80% от базовой расчетной ставки пособия).  Ежемесячное пособие составляет до 100% базовой расчетной ставки, если:</w:t>
      </w:r>
    </w:p>
    <w:p w:rsidR="00000000" w:rsidRDefault="00000000"/>
    <w:p w:rsidR="00000000" w:rsidRDefault="00000000">
      <w:r>
        <w:tab/>
        <w:t>а)</w:t>
      </w:r>
      <w:r>
        <w:tab/>
        <w:t>нетрудоспособность вызвана несчастным случаем на производстве или несчастным случаем по пути на работу или с работы или же профессиональным заболеванием;</w:t>
      </w:r>
    </w:p>
    <w:p w:rsidR="00000000" w:rsidRDefault="00000000">
      <w:pPr>
        <w:ind w:left="1134" w:hanging="1134"/>
      </w:pPr>
    </w:p>
    <w:p w:rsidR="00000000" w:rsidRDefault="00000000">
      <w:pPr>
        <w:ind w:left="1134" w:hanging="1134"/>
      </w:pPr>
      <w:r>
        <w:tab/>
      </w:r>
      <w:r>
        <w:rPr>
          <w:lang w:val="en-US"/>
        </w:rPr>
        <w:t>b</w:t>
      </w:r>
      <w:r>
        <w:t>)</w:t>
      </w:r>
      <w:r>
        <w:tab/>
        <w:t>нетрудоспособность вызвана болезнью во время беременности;</w:t>
      </w:r>
    </w:p>
    <w:p w:rsidR="00000000" w:rsidRDefault="00000000">
      <w:pPr>
        <w:ind w:left="1134" w:hanging="1134"/>
      </w:pPr>
    </w:p>
    <w:p w:rsidR="00000000" w:rsidRDefault="00000000">
      <w:r>
        <w:tab/>
        <w:t>с)</w:t>
      </w:r>
      <w:r>
        <w:tab/>
        <w:t>период нетрудоспособности продолжается без перерывов более 90 дней;  при этом выплата такого пособия начинается с 91-го дня периода нетрудоспособности.</w:t>
      </w:r>
    </w:p>
    <w:p w:rsidR="00000000" w:rsidRDefault="00000000">
      <w:pPr>
        <w:ind w:left="1134" w:hanging="1134"/>
      </w:pPr>
    </w:p>
    <w:p w:rsidR="00000000" w:rsidRDefault="00000000">
      <w:r>
        <w:t>117.</w:t>
      </w:r>
      <w:r>
        <w:tab/>
        <w:t>Базовая расчетная ставка пособия складывается из компонентов вознаграждения, за которые выплачивается взнос по линии социального страхования.  Большинство работников имеют право на получение пособия начиная с первого дня работы и сохраняют это право в течение определенного времени после прекращения работы.  Лица, работающие по контракту и взятые на испытательный срок, на какой-либо установленный ограниченный срок или на период выполнения той или иной работы, получают право на пособие, отработав по меньшей мере один месяц.  Работающие по найму имеют право на получение пособия независимо от продолжительности периода нетрудоспособности, начиная с первого дня заболевания.  Для лиц, не являющихся наемными работниками, право на получение пособия возникает в случае заболевания, ведущего к более длительной нетрудоспособности (минимум 30 дней).  Как для работающих по найму, так и для других групп период получения пособий ограничен.</w:t>
      </w:r>
    </w:p>
    <w:p w:rsidR="00000000" w:rsidRDefault="00000000"/>
    <w:p w:rsidR="00000000" w:rsidRDefault="00000000">
      <w:pPr>
        <w:rPr>
          <w:b/>
          <w:bCs/>
        </w:rPr>
      </w:pPr>
      <w:r>
        <w:rPr>
          <w:b/>
          <w:bCs/>
        </w:rPr>
        <w:tab/>
        <w:t>4.</w:t>
      </w:r>
      <w:r>
        <w:rPr>
          <w:b/>
          <w:bCs/>
        </w:rPr>
        <w:tab/>
        <w:t>Пособия по безработице</w:t>
      </w:r>
    </w:p>
    <w:p w:rsidR="00000000" w:rsidRDefault="00000000">
      <w:pPr>
        <w:jc w:val="center"/>
      </w:pPr>
    </w:p>
    <w:p w:rsidR="00000000" w:rsidRDefault="00000000">
      <w:r>
        <w:t>118.</w:t>
      </w:r>
      <w:r>
        <w:tab/>
        <w:t>Эти пособия регулируются Законом от 14 декабря 1994 года о занятости и борьбе с безработицей (Законодательный вестник за 1998 год № 25, текст 126 с последующими поправками).  Положения, содержащиеся в этом законе и поправках, внесенных в 1995</w:t>
      </w:r>
      <w:r>
        <w:noBreakHyphen/>
        <w:t>1998 годах, направлены на обеспечение:</w:t>
      </w:r>
    </w:p>
    <w:p w:rsidR="00000000" w:rsidRDefault="00000000"/>
    <w:p w:rsidR="00000000" w:rsidRDefault="00000000">
      <w:r>
        <w:tab/>
        <w:t>а)</w:t>
      </w:r>
      <w:r>
        <w:tab/>
        <w:t>перестройки системы пособий, предоставляемых не имеющим работы лицам, в целях согласования принятых ранее решений с целевой моделью, основанной на системе страхования по безработице;</w:t>
      </w:r>
    </w:p>
    <w:p w:rsidR="00000000" w:rsidRDefault="00000000">
      <w:pPr>
        <w:ind w:left="1134" w:hanging="1134"/>
      </w:pPr>
    </w:p>
    <w:p w:rsidR="00000000" w:rsidRDefault="00000000">
      <w:r>
        <w:tab/>
      </w:r>
      <w:r>
        <w:rPr>
          <w:lang w:val="en-US"/>
        </w:rPr>
        <w:t>b</w:t>
      </w:r>
      <w:r>
        <w:t>)</w:t>
      </w:r>
      <w:r>
        <w:tab/>
        <w:t>упорядочения норм, регулирующих предоставление пособий безработным, предотвращения случаев злоупотребления правом на получение таких пособий, перераспределения сэкономленных средств для активных мер по борьбе с безработицей;</w:t>
      </w:r>
    </w:p>
    <w:p w:rsidR="00000000" w:rsidRDefault="00000000">
      <w:pPr>
        <w:ind w:left="1134" w:hanging="1134"/>
      </w:pPr>
    </w:p>
    <w:p w:rsidR="00000000" w:rsidRDefault="00000000">
      <w:r>
        <w:tab/>
        <w:t>с)</w:t>
      </w:r>
      <w:r>
        <w:tab/>
        <w:t>повышения привлекательности новых мер, которые могут финансироваться за счет средств Трудового фонда, в интересах не имеющих работы лиц, с целью активизации их профессиональной деятельности.</w:t>
      </w:r>
    </w:p>
    <w:p w:rsidR="00000000" w:rsidRDefault="00000000"/>
    <w:p w:rsidR="00000000" w:rsidRDefault="00000000">
      <w:r>
        <w:t>119.</w:t>
      </w:r>
      <w:r>
        <w:tab/>
        <w:t>В соответствии с законодательством, действовавшим в конце 1998 года, право на получение пособия возникало на седьмой день после регистрации в местном бюро по трудоустройству и предоставлялось лицам, которые не имели приемлемых предложений постоянной, временной или общественной работы, если при этом отсутствовала возможность создания дополнительных рабочих мест, и которые в течение года, предшествовавшего дню регистрации, по меньшей мере в течение 365 дней:</w:t>
      </w:r>
    </w:p>
    <w:p w:rsidR="00000000" w:rsidRDefault="00000000"/>
    <w:p w:rsidR="00000000" w:rsidRDefault="00000000">
      <w:r>
        <w:tab/>
        <w:t>а)</w:t>
      </w:r>
      <w:r>
        <w:tab/>
        <w:t>работали по найму и получали вознаграждение, равное, по меньшей мере, минимальной заработной плате;</w:t>
      </w:r>
    </w:p>
    <w:p w:rsidR="00000000" w:rsidRDefault="00000000"/>
    <w:p w:rsidR="00000000" w:rsidRDefault="00000000">
      <w:r>
        <w:tab/>
      </w:r>
      <w:r>
        <w:rPr>
          <w:lang w:val="en-US"/>
        </w:rPr>
        <w:t>b</w:t>
      </w:r>
      <w:r>
        <w:t>)</w:t>
      </w:r>
      <w:r>
        <w:tab/>
        <w:t>выполняли работу на дому по договорам найма, если сумма их вознаграждения в соответствии с этими договорами составляла не менее минимальной заработной платы;</w:t>
      </w:r>
    </w:p>
    <w:p w:rsidR="00000000" w:rsidRDefault="00000000"/>
    <w:p w:rsidR="00000000" w:rsidRDefault="00000000">
      <w:r>
        <w:tab/>
      </w:r>
      <w:r>
        <w:rPr>
          <w:lang w:val="en-US"/>
        </w:rPr>
        <w:t>c</w:t>
      </w:r>
      <w:r>
        <w:t>)</w:t>
      </w:r>
      <w:r>
        <w:tab/>
        <w:t>работали по специальным контрактам или контрактам на проведение конкретных работ, если расчетная ставка выплат в фонд социального обеспечения и Трудовой фонд была, по меньшей мере, равна минимальной заработной плате;</w:t>
      </w:r>
    </w:p>
    <w:p w:rsidR="00000000" w:rsidRDefault="00000000"/>
    <w:p w:rsidR="00000000" w:rsidRDefault="00000000">
      <w:r>
        <w:tab/>
      </w:r>
      <w:r>
        <w:rPr>
          <w:lang w:val="en-US"/>
        </w:rPr>
        <w:t>d</w:t>
      </w:r>
      <w:r>
        <w:t>)</w:t>
      </w:r>
      <w:r>
        <w:tab/>
        <w:t>были участниками программы социального страхования или пенсионного фонда, занимаясь несельскохозяйственной или кооперативной деятельностью, если расчетная ставка взносов по линии социального обеспечения или взноса в пенсионный и Трудовой фонд была, по меньшей мере, равна минимальной заработной плате (ранее половине минимальной заработной платы;  начиная с 1 января 1997 года работодатели не выплачивают взносов в Трудовой фонд для работников, вознаграждение которых, определяющее расчетную ставку взноса по линии социального обеспечения, составляет сумму меньше минимальной заработной платы);</w:t>
      </w:r>
    </w:p>
    <w:p w:rsidR="00000000" w:rsidRDefault="00000000"/>
    <w:p w:rsidR="00000000" w:rsidRDefault="00000000">
      <w:r>
        <w:tab/>
      </w:r>
      <w:r>
        <w:rPr>
          <w:lang w:val="en-US"/>
        </w:rPr>
        <w:t>e</w:t>
      </w:r>
      <w:r>
        <w:t>)</w:t>
      </w:r>
      <w:r>
        <w:tab/>
        <w:t>работали в период временного содержания под стражей или отбытия срока тюремного заключения, если расчетная ставка взноса по линии социального обеспечения и в Трудовой фонд равнялась, по меньшей мере, минимальной заработной плате;</w:t>
      </w:r>
    </w:p>
    <w:p w:rsidR="00000000" w:rsidRDefault="00000000"/>
    <w:p w:rsidR="00000000" w:rsidRDefault="00000000">
      <w:r>
        <w:tab/>
      </w:r>
      <w:r>
        <w:rPr>
          <w:lang w:val="en-US"/>
        </w:rPr>
        <w:t>f</w:t>
      </w:r>
      <w:r>
        <w:t>)</w:t>
      </w:r>
      <w:r>
        <w:tab/>
        <w:t>работали в сельскохозяйственном производственном кооперативе или сельском кооперативе (сектор сельскохозяйственных услуг) в качестве члена такого кооператива, если расчетная ставка взноса по линии социального обеспечения и в Трудовой фонд равнялась, по меньшей мере, заработной плате;</w:t>
      </w:r>
    </w:p>
    <w:p w:rsidR="00000000" w:rsidRDefault="00000000"/>
    <w:p w:rsidR="00000000" w:rsidRDefault="00000000">
      <w:r>
        <w:tab/>
      </w:r>
      <w:r>
        <w:rPr>
          <w:lang w:val="en-US"/>
        </w:rPr>
        <w:t>g</w:t>
      </w:r>
      <w:r>
        <w:t>)</w:t>
      </w:r>
      <w:r>
        <w:tab/>
        <w:t>выплачивали взносы в Трудовой фонд в связи с работой на иностранного работодателя за границей.</w:t>
      </w:r>
    </w:p>
    <w:p w:rsidR="00000000" w:rsidRDefault="00000000"/>
    <w:p w:rsidR="00000000" w:rsidRDefault="00000000">
      <w:r>
        <w:t>120.</w:t>
      </w:r>
      <w:r>
        <w:tab/>
        <w:t>Уровень пособия по безработице колебался, составляя:</w:t>
      </w:r>
    </w:p>
    <w:p w:rsidR="00000000" w:rsidRDefault="00000000"/>
    <w:p w:rsidR="00000000" w:rsidRDefault="00000000">
      <w:r>
        <w:tab/>
        <w:t>а)</w:t>
      </w:r>
      <w:r>
        <w:tab/>
        <w:t>100% базового пособия, предоставляемого лицам с трудовым стажем (работы по найму, прочей доходной деятельности, несельскохозяйственной экономической деятельности), превышающим 5 лет, но не превышающим 20 лет;</w:t>
      </w:r>
    </w:p>
    <w:p w:rsidR="00000000" w:rsidRDefault="00000000"/>
    <w:p w:rsidR="00000000" w:rsidRDefault="00000000">
      <w:r>
        <w:tab/>
      </w:r>
      <w:r>
        <w:rPr>
          <w:lang w:val="en-US"/>
        </w:rPr>
        <w:t>b</w:t>
      </w:r>
      <w:r>
        <w:t>)</w:t>
      </w:r>
      <w:r>
        <w:tab/>
        <w:t>80% пособия для лиц, имеющих трудовой стаж не более 5 лет;</w:t>
      </w:r>
    </w:p>
    <w:p w:rsidR="00000000" w:rsidRDefault="00000000"/>
    <w:p w:rsidR="00000000" w:rsidRDefault="00000000">
      <w:r>
        <w:tab/>
        <w:t>с)</w:t>
      </w:r>
      <w:r>
        <w:tab/>
        <w:t>120% пособия для лиц, имеющих трудовой стаж от 20 лет и более.</w:t>
      </w:r>
    </w:p>
    <w:p w:rsidR="00000000" w:rsidRDefault="00000000"/>
    <w:p w:rsidR="00000000" w:rsidRDefault="00000000">
      <w:r>
        <w:t>121.</w:t>
      </w:r>
      <w:r>
        <w:tab/>
        <w:t>Начиная с 1 апреля 1997 года безработные имеют право получать пособие в течение периода, составляющего:</w:t>
      </w:r>
    </w:p>
    <w:p w:rsidR="00000000" w:rsidRDefault="00000000"/>
    <w:p w:rsidR="00000000" w:rsidRDefault="00000000">
      <w:pPr>
        <w:ind w:left="1134" w:hanging="1134"/>
      </w:pPr>
      <w:r>
        <w:tab/>
        <w:t>-</w:t>
      </w:r>
      <w:r>
        <w:tab/>
        <w:t>6 месяцев - для лиц, проживающих в районе деятельности местного бюро по трудоустройству, где уровень безработицы по состоянию на 30 июня предшествовавшего года не превышал среднего уровня безработицы по стране;</w:t>
      </w:r>
    </w:p>
    <w:p w:rsidR="00000000" w:rsidRDefault="00000000">
      <w:pPr>
        <w:ind w:left="1134" w:hanging="1134"/>
      </w:pPr>
    </w:p>
    <w:p w:rsidR="00000000" w:rsidRDefault="00000000">
      <w:pPr>
        <w:ind w:left="1134" w:hanging="1134"/>
      </w:pPr>
      <w:r>
        <w:tab/>
        <w:t>-</w:t>
      </w:r>
      <w:r>
        <w:tab/>
        <w:t>12 месяцев - для лиц, проживающих в районе, где уровень безработицы превышал общенациональный показатель;</w:t>
      </w:r>
    </w:p>
    <w:p w:rsidR="00000000" w:rsidRDefault="00000000">
      <w:pPr>
        <w:ind w:left="1134" w:hanging="1134"/>
      </w:pPr>
    </w:p>
    <w:p w:rsidR="00000000" w:rsidRDefault="00000000">
      <w:pPr>
        <w:ind w:left="1134" w:hanging="1134"/>
      </w:pPr>
      <w:r>
        <w:tab/>
        <w:t>-</w:t>
      </w:r>
      <w:r>
        <w:tab/>
        <w:t>18 месяцев - для лиц, имеющих, по меньшей мере, 20-летний трудовой стаж и проживающих в районах, где уровень безработицы вдвое превышал общенациональный средний показатель безработицы.</w:t>
      </w:r>
    </w:p>
    <w:p w:rsidR="00000000" w:rsidRDefault="00000000">
      <w:pPr>
        <w:ind w:left="1134" w:hanging="1134"/>
      </w:pPr>
    </w:p>
    <w:p w:rsidR="00000000" w:rsidRDefault="00000000">
      <w:r>
        <w:t>122.</w:t>
      </w:r>
      <w:r>
        <w:tab/>
        <w:t>Для того чтобы иметь право на получение пособия в течение 18 месяцев, безработный должен был также иметь, по меньшей мере, одного ребенка в возрасте до 15 лет и супруга(гу), не имеющего(щую) работы и утратившего(шую) право на получение пособия по безработице в связи с истечением срока его предоставления.</w:t>
      </w:r>
    </w:p>
    <w:p w:rsidR="00000000" w:rsidRDefault="00000000"/>
    <w:p w:rsidR="00000000" w:rsidRDefault="00000000">
      <w:r>
        <w:t>123.</w:t>
      </w:r>
      <w:r>
        <w:tab/>
        <w:t>На базе Трудового фонда были введены новые предпенсионные пособия.  Право на получение предпенсионного пособия предоставляется лицу, отвечающему установленным в законе требованиям для получения статуса безработного и права на получение пособия и имеющему трудовой стаж, дающий право на получение пенсии по старости, если такое лицо достигло возраста 58 лет (для женщин) или 63 лет (для мужчин) и имеет трудовой стаж, дающий право на получение пенсии по старости, т.е. стаж, составляющий 30 лет для женщин и 35 лет для мужчин или же 25 лет для женщин и 30 лет для мужчин, из которых в течение, по меньшей мере 15 лет, они находились на работе, считающейся, согласно трудовым нормам, работой в особых условиях или в особом качестве.</w:t>
      </w:r>
    </w:p>
    <w:p w:rsidR="00000000" w:rsidRDefault="00000000"/>
    <w:p w:rsidR="00000000" w:rsidRDefault="00000000">
      <w:r>
        <w:t>124.</w:t>
      </w:r>
      <w:r>
        <w:tab/>
        <w:t>Сумма предпенсионного пособия составляла 120% базового пособия по безработице, если лицо, имеющее право на получение предпенсионного пособия:</w:t>
      </w:r>
    </w:p>
    <w:p w:rsidR="00000000" w:rsidRDefault="00000000"/>
    <w:p w:rsidR="00000000" w:rsidRDefault="00000000">
      <w:pPr>
        <w:ind w:left="1134" w:hanging="1134"/>
      </w:pPr>
      <w:r>
        <w:tab/>
        <w:t>-</w:t>
      </w:r>
      <w:r>
        <w:tab/>
        <w:t>проживало в районе, где, как считается, существует опасность высокой структурной безработицы, и если это лицо потеряло работу по вине предприятия;</w:t>
      </w:r>
    </w:p>
    <w:p w:rsidR="00000000" w:rsidRDefault="00000000">
      <w:pPr>
        <w:ind w:left="1134" w:hanging="1134"/>
      </w:pPr>
    </w:p>
    <w:p w:rsidR="00000000" w:rsidRDefault="00000000">
      <w:pPr>
        <w:ind w:left="1134" w:hanging="1134"/>
      </w:pPr>
      <w:r>
        <w:tab/>
        <w:t>-</w:t>
      </w:r>
      <w:r>
        <w:tab/>
        <w:t>не проживало в таком районе, но стало безработным по вине предприятия вследствие разового сокращения или сокращения численности рабочей силы по меньшей мере на 100 человек в период продолжительностью не более трех месяцев и если в то время это лицо получало предпенсионное пособие, составляющее 160% базового пособия по безработице, но не свыше 90% месячного вознаграждения, составляющего базовую расчетную ставку взноса по линии социального обеспечения и взноса в Трудовой фонд, в течение 12 календарных месяцев, предшествовавших назначению предпенсионного пособия.  Вместе с тем это пособие не может составлять менее 120% базового пособия по безработице.</w:t>
      </w:r>
    </w:p>
    <w:p w:rsidR="00000000" w:rsidRDefault="00000000">
      <w:pPr>
        <w:ind w:left="1134" w:hanging="1134"/>
      </w:pPr>
    </w:p>
    <w:p w:rsidR="00000000" w:rsidRDefault="00000000">
      <w:r>
        <w:t>125.</w:t>
      </w:r>
      <w:r>
        <w:tab/>
        <w:t>Право на получение предпенсионного пособия имеют лица, отвечающие установленным требованиям для получения статуса безработных и имеющие право на получение пособия, если данное лицо:</w:t>
      </w:r>
    </w:p>
    <w:p w:rsidR="00000000" w:rsidRDefault="00000000"/>
    <w:p w:rsidR="00000000" w:rsidRDefault="00000000">
      <w:pPr>
        <w:ind w:left="1134" w:hanging="1134"/>
      </w:pPr>
      <w:r>
        <w:tab/>
        <w:t>-</w:t>
      </w:r>
      <w:r>
        <w:tab/>
        <w:t>достигло возраста 58 лет (для женщин) или 63 лет (для мужчин) и имеет трудовой стаж, дающий право на получение пенсии по старости;  или</w:t>
      </w:r>
    </w:p>
    <w:p w:rsidR="00000000" w:rsidRDefault="00000000">
      <w:pPr>
        <w:ind w:left="1134" w:hanging="1134"/>
      </w:pPr>
    </w:p>
    <w:p w:rsidR="00000000" w:rsidRDefault="00000000">
      <w:pPr>
        <w:ind w:left="1134" w:hanging="1134"/>
      </w:pPr>
      <w:r>
        <w:tab/>
        <w:t>-</w:t>
      </w:r>
      <w:r>
        <w:tab/>
        <w:t>в календарном году, в котором были прекращены трудовые отношения по вине предприятия, это лицо достигло возраста 55 лет (для женщин) или 60 лет (для мужчин) и имело трудовой стаж, дающий право на получение пенсии по старости;  или</w:t>
      </w:r>
    </w:p>
    <w:p w:rsidR="00000000" w:rsidRDefault="00000000">
      <w:pPr>
        <w:ind w:left="1134" w:hanging="1134"/>
      </w:pPr>
    </w:p>
    <w:p w:rsidR="00000000" w:rsidRDefault="00000000">
      <w:pPr>
        <w:ind w:left="1134" w:hanging="1134"/>
      </w:pPr>
      <w:r>
        <w:tab/>
        <w:t>-</w:t>
      </w:r>
      <w:r>
        <w:tab/>
        <w:t>трудовой стаж этого лица, дающий право на получение пенсии по старости, ко дню прекращения трудовых отношений составлял не менее 35 лет для женщин и 40 лет для мужчин.</w:t>
      </w:r>
    </w:p>
    <w:p w:rsidR="00000000" w:rsidRDefault="00000000">
      <w:pPr>
        <w:ind w:left="1134" w:hanging="1134"/>
      </w:pPr>
    </w:p>
    <w:p w:rsidR="00000000" w:rsidRDefault="00000000">
      <w:r>
        <w:t>126.</w:t>
      </w:r>
      <w:r>
        <w:tab/>
        <w:t>До 4 сентября 1998 года предпенсионное пособие в случае досрочного выхода на пенсию было равно 80% размера пенсии за выслугу лет в случае достижения соответствующими лицами возраста 60 лет (для женщин) или 65 лет (для мужчин).  С 5 сентября по конец отчетного периода размеры предпенсионного пособия составляли 90% пенсии по старости, установленной решением пенсионного органа.  Такие пособия не могли быть ниже уровня предпенсионных выплат (120-160% суммы базового пособия по безработице).  В то же время были упразднены положения, касающиеся выплаты пособий до получения права выхода на пенсию;  также было упразднено положение, касающееся возможности получения пособия до предложения о работе для безработного лица, имеющего по меньшей мере одного ребенка и обладающего правом на семейное пособие, если:</w:t>
      </w:r>
    </w:p>
    <w:p w:rsidR="00000000" w:rsidRDefault="00000000"/>
    <w:p w:rsidR="00000000" w:rsidRDefault="00000000">
      <w:r>
        <w:tab/>
        <w:t>-</w:t>
      </w:r>
      <w:r>
        <w:tab/>
        <w:t>это безработное лицо в одиночку воспитывает ребенка (детей);</w:t>
      </w:r>
    </w:p>
    <w:p w:rsidR="00000000" w:rsidRDefault="00000000"/>
    <w:p w:rsidR="00000000" w:rsidRDefault="00000000">
      <w:pPr>
        <w:ind w:left="1134" w:hanging="1134"/>
      </w:pPr>
      <w:r>
        <w:tab/>
        <w:t>-</w:t>
      </w:r>
      <w:r>
        <w:tab/>
        <w:t>его/ее супруга (супруг) также не имеет работы и более не получает пособия в связи с истечением периода его выплаты.</w:t>
      </w:r>
    </w:p>
    <w:p w:rsidR="00000000" w:rsidRDefault="00000000">
      <w:pPr>
        <w:ind w:left="1134" w:hanging="1134"/>
      </w:pPr>
    </w:p>
    <w:p w:rsidR="00000000" w:rsidRDefault="00000000">
      <w:r>
        <w:t>127.</w:t>
      </w:r>
      <w:r>
        <w:tab/>
        <w:t>Было также отменено положение, которое давало право на получение пособия после окончания специальных и общественных работ.  Одинокие лица были исключены из системы защиты, предусмотренной Законом о занятости и борьбе с безработицей;  наряду с этим была установлена возможность получения гарантированного периодического пособия, выплачиваемого центрами социального вспомоществования в течение 36 месяцев.</w:t>
      </w:r>
    </w:p>
    <w:p w:rsidR="00000000" w:rsidRDefault="00000000"/>
    <w:p w:rsidR="00000000" w:rsidRDefault="00000000">
      <w:r>
        <w:t>128.</w:t>
      </w:r>
      <w:r>
        <w:tab/>
        <w:t>В период 1995-1998 годов в целях содействия трудоустройству безработных были введены новые меры:</w:t>
      </w:r>
    </w:p>
    <w:p w:rsidR="00000000" w:rsidRDefault="00000000"/>
    <w:p w:rsidR="00000000" w:rsidRDefault="00000000">
      <w:r>
        <w:tab/>
        <w:t>а)</w:t>
      </w:r>
      <w:r>
        <w:tab/>
        <w:t>было пересмотрено определение "профессиональной подготовки";  до недавнего времени этот термин относился к профессиональной подготовке по месту работы, переподготовке или повышению квалификации;  начиная с 1 января получение навыков, необходимых для поиска и нахождения работы, также рассматривается как профессиональная подготовка;</w:t>
      </w:r>
    </w:p>
    <w:p w:rsidR="00000000" w:rsidRDefault="00000000">
      <w:pPr>
        <w:ind w:left="1134" w:hanging="1134"/>
      </w:pPr>
    </w:p>
    <w:p w:rsidR="00000000" w:rsidRDefault="00000000">
      <w:r>
        <w:tab/>
        <w:t>b)</w:t>
      </w:r>
      <w:r>
        <w:tab/>
        <w:t>были введены надбавки в связи с профессиональной подготовкой в сумме, равной 20% базового пособия по безработице, которые причитались лицам, проходящим профессиональную подготовку, независимо от того, имеют ли они право на получение пособия;  эти надбавки распространялись на лиц, профессиональная подготовка которых началась после 1 января 1997 года;</w:t>
      </w:r>
    </w:p>
    <w:p w:rsidR="00000000" w:rsidRDefault="00000000">
      <w:pPr>
        <w:ind w:left="1134" w:hanging="1134"/>
      </w:pPr>
    </w:p>
    <w:p w:rsidR="00000000" w:rsidRDefault="00000000">
      <w:r>
        <w:tab/>
        <w:t>с)</w:t>
      </w:r>
      <w:r>
        <w:tab/>
        <w:t>в соответствии с соглашениями, заключаемыми местными бюро по трудоустройству с безработными относительно предоставления займов в связи с началом экономической или сельскохозяйственной деятельности, может предусматриваться компенсация этими бюро до 80% документально подтвержденных расходов на профессиональную подготовку, консультации и специальные юридические услуги;</w:t>
      </w:r>
    </w:p>
    <w:p w:rsidR="00000000" w:rsidRDefault="00000000">
      <w:pPr>
        <w:ind w:left="1134" w:hanging="1134"/>
      </w:pPr>
    </w:p>
    <w:p w:rsidR="00000000" w:rsidRDefault="00000000">
      <w:r>
        <w:tab/>
        <w:t>d)</w:t>
      </w:r>
      <w:r>
        <w:tab/>
        <w:t>местное бюро по трудоустройству могло предоставлять безработному по заявлению беспроцентный заем из Трудового фонда для оплаты расходов по профессиональной подготовке (например, в связи со специальной или особо дорогостоящей подготовкой);  сумма этого займа не могла превышать четырехкратной средней заработной платы с погашением не позднее чем через полтора года после завершения подготовки;</w:t>
      </w:r>
    </w:p>
    <w:p w:rsidR="00000000" w:rsidRDefault="00000000">
      <w:pPr>
        <w:ind w:left="1134" w:hanging="1134"/>
      </w:pPr>
    </w:p>
    <w:p w:rsidR="00000000" w:rsidRDefault="00000000">
      <w:r>
        <w:tab/>
        <w:t>е)</w:t>
      </w:r>
      <w:r>
        <w:tab/>
        <w:t>бюро могло заключить соглашение с работодателем, предусматривающее компенсацию расходов, понесенных при выплате взносов в фонды социального страхования, в связи с наймом лица, направленного на работу этим бюро.  Сумма возмещаемых выплат не могла превышать трехкратной суммы минимальной обязательной дневной заработной платы в случае выполнения следующих условий:</w:t>
      </w:r>
    </w:p>
    <w:p w:rsidR="00000000" w:rsidRDefault="00000000">
      <w:pPr>
        <w:ind w:left="1134" w:hanging="1134"/>
      </w:pPr>
    </w:p>
    <w:p w:rsidR="00000000" w:rsidRDefault="00000000">
      <w:pPr>
        <w:tabs>
          <w:tab w:val="clear" w:pos="1134"/>
          <w:tab w:val="right" w:pos="1276"/>
        </w:tabs>
        <w:ind w:left="1701" w:hanging="1701"/>
      </w:pPr>
      <w:r>
        <w:tab/>
      </w:r>
      <w:r>
        <w:tab/>
        <w:t>i)</w:t>
      </w:r>
      <w:r>
        <w:tab/>
        <w:t>работодатель обеспечил полную занятость безработного на протяжении 12-месячного периода;  и</w:t>
      </w:r>
    </w:p>
    <w:p w:rsidR="00000000" w:rsidRDefault="00000000">
      <w:pPr>
        <w:tabs>
          <w:tab w:val="clear" w:pos="1134"/>
          <w:tab w:val="right" w:pos="1276"/>
        </w:tabs>
        <w:ind w:left="1701" w:hanging="1701"/>
      </w:pPr>
    </w:p>
    <w:p w:rsidR="00000000" w:rsidRDefault="00000000">
      <w:pPr>
        <w:pStyle w:val="BodyTextIndent"/>
        <w:tabs>
          <w:tab w:val="clear" w:pos="1309"/>
          <w:tab w:val="right" w:pos="1276"/>
        </w:tabs>
        <w:spacing w:line="288" w:lineRule="auto"/>
      </w:pPr>
      <w:r>
        <w:tab/>
      </w:r>
      <w:r>
        <w:tab/>
        <w:t>ii)</w:t>
      </w:r>
      <w:r>
        <w:tab/>
        <w:t>через 12 месяцев трудовой договор сохраняется в качестве постоянного договора найма;</w:t>
      </w:r>
    </w:p>
    <w:p w:rsidR="00000000" w:rsidRDefault="00000000">
      <w:pPr>
        <w:tabs>
          <w:tab w:val="clear" w:pos="1134"/>
          <w:tab w:val="right" w:pos="1276"/>
        </w:tabs>
        <w:ind w:left="1701" w:hanging="1701"/>
      </w:pPr>
    </w:p>
    <w:p w:rsidR="00000000" w:rsidRDefault="00000000">
      <w:r>
        <w:tab/>
        <w:t>f)</w:t>
      </w:r>
      <w:r>
        <w:tab/>
        <w:t>по заявлению работодателя, число наемных работников которого составляет по меньшей мере 20 человек, бюро могло компенсировать Трудовому фонду до 50% расходов по профессиональной подготовке этих сотрудников, но в сумме, не превышающей размер средней заработной платы, если после завершения подготовки эти лица работали на других должностях в течение по меньшей мере одного года.</w:t>
      </w:r>
    </w:p>
    <w:p w:rsidR="00000000" w:rsidRDefault="00000000">
      <w:pPr>
        <w:ind w:left="1134" w:hanging="1134"/>
      </w:pPr>
    </w:p>
    <w:p w:rsidR="00000000" w:rsidRDefault="00000000">
      <w:pPr>
        <w:rPr>
          <w:b/>
          <w:bCs/>
        </w:rPr>
      </w:pPr>
      <w:r>
        <w:rPr>
          <w:b/>
          <w:bCs/>
        </w:rPr>
        <w:tab/>
        <w:t>5.</w:t>
      </w:r>
      <w:r>
        <w:rPr>
          <w:b/>
          <w:bCs/>
        </w:rPr>
        <w:tab/>
        <w:t>Пенсии по старости</w:t>
      </w:r>
    </w:p>
    <w:p w:rsidR="00000000" w:rsidRDefault="00000000">
      <w:pPr>
        <w:rPr>
          <w:u w:val="single"/>
        </w:rPr>
      </w:pPr>
    </w:p>
    <w:p w:rsidR="00000000" w:rsidRDefault="00000000">
      <w:r>
        <w:t>129.</w:t>
      </w:r>
      <w:r>
        <w:tab/>
        <w:t>Основными законами в этой области являются:  Закон от 14 декабря 1982 года о предоставлении пенсий по старости трудящимся и членам их семей (Законодательный вестник № 40, текст 267 с последующими поправками) и Закон от 17 октября 1991 года об индексации пенсий по старости и других пенсий, принципах начисления пенсий по старости и других пенсий и внесении изменений в некоторые законы (Законодательный вестник № 104, текст 450 с последующими поправками).  Право на получение пенсий по старости предоставляется лицу, отвечающему следующим двум требованиям:</w:t>
      </w:r>
    </w:p>
    <w:p w:rsidR="00000000" w:rsidRDefault="00000000"/>
    <w:p w:rsidR="00000000" w:rsidRDefault="00000000">
      <w:r>
        <w:tab/>
        <w:t>а)</w:t>
      </w:r>
      <w:r>
        <w:tab/>
        <w:t>достижение пенсионного возраста, который, как правило, составляет 60 лет для женщин и 65 лет для мужчин, хотя значительная часть застрахованных лиц пользуется исключениями из этого правила;</w:t>
      </w:r>
    </w:p>
    <w:p w:rsidR="00000000" w:rsidRDefault="00000000">
      <w:pPr>
        <w:ind w:left="1134" w:hanging="1134"/>
      </w:pPr>
    </w:p>
    <w:p w:rsidR="00000000" w:rsidRDefault="00000000">
      <w:r>
        <w:tab/>
        <w:t>b)</w:t>
      </w:r>
      <w:r>
        <w:tab/>
        <w:t>подтвержденное накопление требуемого трудового (страхового) стажа, который в принципе составляет по меньшей мере 20 лет для женщин и 25 лет для мужчин.  При этом допускается возможность включения в стаж различных периодов, в течение которых трудовая деятельность не осуществлялась, а взносы не уплачивались.</w:t>
      </w:r>
    </w:p>
    <w:p w:rsidR="00000000" w:rsidRDefault="00000000">
      <w:pPr>
        <w:ind w:left="1134" w:hanging="1134"/>
      </w:pPr>
    </w:p>
    <w:p w:rsidR="00000000" w:rsidRDefault="00000000">
      <w:r>
        <w:t>130.</w:t>
      </w:r>
      <w:r>
        <w:tab/>
        <w:t>Что касается взносов, то существует два вида периодов:  периоды уплаты взносов и периоды неуплаты взносов (определяемые в законе), например период ухода за ребенком и период получения высшего образования.  Продолжительность периодов неуплаты взносов не может составлять более одной трети продолжительности периода уплаты взносов.  Размеры пособия зависят от базы исчисления, суммы периодов уплаты взносов и периоды неуплаты взносов, а также базовой суммы.</w:t>
      </w:r>
    </w:p>
    <w:p w:rsidR="00000000" w:rsidRDefault="00000000"/>
    <w:p w:rsidR="00000000" w:rsidRDefault="00000000">
      <w:r>
        <w:t>131.</w:t>
      </w:r>
      <w:r>
        <w:tab/>
        <w:t xml:space="preserve">База начисления пенсий по старости (по законодательству на конец 1998 года) определяется в зависимости от дохода застрахованного лица, который составляет основу для расчета взносов (в 1998 году были выбраны девять последовательных лет в период после 1979 года).  Для определения базы начисления пенсий по старости необходимо: </w:t>
      </w:r>
    </w:p>
    <w:p w:rsidR="00000000" w:rsidRDefault="00000000"/>
    <w:p w:rsidR="00000000" w:rsidRDefault="00000000">
      <w:r>
        <w:tab/>
        <w:t>а)</w:t>
      </w:r>
      <w:r>
        <w:tab/>
        <w:t>определить общую сумму вознаграждения, составлявшего основу для расчета взносов в каждом календарном году, за период, выбранный данным лицом;</w:t>
      </w:r>
    </w:p>
    <w:p w:rsidR="00000000" w:rsidRDefault="00000000">
      <w:pPr>
        <w:ind w:left="1134" w:hanging="1134"/>
      </w:pPr>
    </w:p>
    <w:p w:rsidR="00000000" w:rsidRDefault="00000000">
      <w:r>
        <w:tab/>
        <w:t>b)</w:t>
      </w:r>
      <w:r>
        <w:tab/>
        <w:t>подсчитать выраженное в процентах отношение каждой из этих сумм вознаграждения к сумме среднегодового вознаграждения, объявленной за данный календарный год;</w:t>
      </w:r>
    </w:p>
    <w:p w:rsidR="00000000" w:rsidRDefault="00000000">
      <w:pPr>
        <w:ind w:left="1134" w:hanging="1134"/>
      </w:pPr>
    </w:p>
    <w:p w:rsidR="00000000" w:rsidRDefault="00000000">
      <w:r>
        <w:tab/>
        <w:t>с)</w:t>
      </w:r>
      <w:r>
        <w:tab/>
        <w:t>определить среднеарифметическое значение этих показателей, которое служило коэффициентом базы начисления пенсии по старости или другой пенсии;  и затем</w:t>
      </w:r>
    </w:p>
    <w:p w:rsidR="00000000" w:rsidRDefault="00000000">
      <w:pPr>
        <w:ind w:left="1134" w:hanging="1134"/>
      </w:pPr>
    </w:p>
    <w:p w:rsidR="00000000" w:rsidRDefault="00000000">
      <w:r>
        <w:tab/>
        <w:t>d)</w:t>
      </w:r>
      <w:r>
        <w:tab/>
        <w:t>умножить базовую сумму на этот коэффициент, получив таким образом базу для расчета суммы пособия.</w:t>
      </w:r>
    </w:p>
    <w:p w:rsidR="00000000" w:rsidRDefault="00000000">
      <w:pPr>
        <w:ind w:left="1134" w:hanging="1134"/>
      </w:pPr>
    </w:p>
    <w:p w:rsidR="00000000" w:rsidRDefault="00000000">
      <w:r>
        <w:t>132.</w:t>
      </w:r>
      <w:r>
        <w:tab/>
        <w:t>Коэффициент базы исчисления не может превышать 250%, т.е. сумма базы начисления пенсии по старости или иной пенсии не может превышать 250% от базовой суммы.  После даты первой индексации в 1996 году базовая сумма составляла 94% среднего вознаграждения за календарный квартал, предшествовавший дате последней по времени индексации.  С 1 сентября 1997 года эта сумма была увеличена до 95% среднего вознаграждения, а с 1 марта 1998 года - до 97%.  Сумма пенсии по старости составляла:</w:t>
      </w:r>
    </w:p>
    <w:p w:rsidR="00000000" w:rsidRDefault="00000000"/>
    <w:p w:rsidR="00000000" w:rsidRDefault="00000000">
      <w:r>
        <w:rPr>
          <w:lang w:val="en-US"/>
        </w:rPr>
        <w:tab/>
        <w:t>a</w:t>
      </w:r>
      <w:r>
        <w:t>)</w:t>
      </w:r>
      <w:r>
        <w:tab/>
        <w:t>24% от базовой суммы и;</w:t>
      </w:r>
    </w:p>
    <w:p w:rsidR="00000000" w:rsidRDefault="00000000"/>
    <w:p w:rsidR="00000000" w:rsidRDefault="00000000">
      <w:r>
        <w:tab/>
      </w:r>
      <w:r>
        <w:rPr>
          <w:lang w:val="en-US"/>
        </w:rPr>
        <w:t>b</w:t>
      </w:r>
      <w:r>
        <w:t>)</w:t>
      </w:r>
      <w:r>
        <w:tab/>
        <w:t>1,3% базы исчисления за каждый год периода уплаты взносов;</w:t>
      </w:r>
    </w:p>
    <w:p w:rsidR="00000000" w:rsidRDefault="00000000"/>
    <w:p w:rsidR="00000000" w:rsidRDefault="00000000">
      <w:r>
        <w:tab/>
      </w:r>
      <w:r>
        <w:rPr>
          <w:lang w:val="en-US"/>
        </w:rPr>
        <w:t>c</w:t>
      </w:r>
      <w:r>
        <w:t>)</w:t>
      </w:r>
      <w:r>
        <w:tab/>
        <w:t>0,7% базы исчисления за каждый год периода неуплаты взносов.</w:t>
      </w:r>
    </w:p>
    <w:p w:rsidR="00000000" w:rsidRDefault="00000000"/>
    <w:p w:rsidR="00000000" w:rsidRDefault="00000000">
      <w:r>
        <w:t>133.</w:t>
      </w:r>
      <w:r>
        <w:tab/>
        <w:t>Принципы и метод индексации определены Законом от 25 октября 1996 года об индексации пенсии по старости и других пенсий и о внесении изменений в некоторые законы (Законодательный вестник № 136, текст 636).  Этот Закон полностью вступил в силу с 1 января 1998 года, а 31 декабря 1996 года вступили в силу его положения, касающиеся индексации за 1997 год.  Базой для установления индексированных пособий является прогнозируемый среднегодовой рост цен на товары и потребительские услуги для домашнего хозяйства лиц, получающих пенсии по старости, и других пенсионеров или прогнозируемый среднегодовой рост цен на товары и услуги в целом, если этот показатель выше.  Число индексаций в том или ином году зависит от темпов роста цен на товары и потребительские услуги.  В случае, если темпы роста составляют 10% и более, пенсии по старости и другие пенсии индексируются дважды в год – 1 марта и 1 сентября – с применением одинаковых коэффициентов. Если темпы роста составляют менее 10%, то проводится лишь одна индексация - 1 июня.  В том случае, когда поддержание реальной стоимости гарантируемых данным Законом пособий не обеспечивается, при следующей индексации в том же году увеличивается коэффициент индексации.  Одновременно выплачивается разовое пособие, дополняющее общую сумму пособий, выплаченных в предыдущем году, до уровня, достигнутого после увеличения размера этих пособий с применением контрольного индекса (см. ниже).</w:t>
      </w:r>
    </w:p>
    <w:p w:rsidR="00000000" w:rsidRDefault="00000000"/>
    <w:p w:rsidR="00000000" w:rsidRDefault="00000000">
      <w:r>
        <w:t>134.</w:t>
      </w:r>
      <w:r>
        <w:tab/>
        <w:t>Установление размера индексированных пенсий по старости или других пенсий состоит в следующем:</w:t>
      </w:r>
    </w:p>
    <w:p w:rsidR="00000000" w:rsidRDefault="00000000"/>
    <w:p w:rsidR="00000000" w:rsidRDefault="00000000">
      <w:pPr>
        <w:ind w:left="1134" w:hanging="1134"/>
      </w:pPr>
      <w:r>
        <w:tab/>
        <w:t>-</w:t>
      </w:r>
      <w:r>
        <w:tab/>
        <w:t>повышении базы исчисления пособий с применением коэффициента индексации;</w:t>
      </w:r>
    </w:p>
    <w:p w:rsidR="00000000" w:rsidRDefault="00000000">
      <w:pPr>
        <w:ind w:left="1134" w:hanging="1134"/>
      </w:pPr>
    </w:p>
    <w:p w:rsidR="00000000" w:rsidRDefault="00000000">
      <w:pPr>
        <w:ind w:left="1134" w:hanging="1134"/>
      </w:pPr>
      <w:r>
        <w:tab/>
        <w:t>-</w:t>
      </w:r>
      <w:r>
        <w:tab/>
        <w:t>умножении установленной таким образом базы на коэффициент исчисления пособий.</w:t>
      </w:r>
    </w:p>
    <w:p w:rsidR="00000000" w:rsidRDefault="00000000">
      <w:pPr>
        <w:ind w:left="1134" w:hanging="1134"/>
      </w:pPr>
    </w:p>
    <w:p w:rsidR="00000000" w:rsidRDefault="00000000">
      <w:r>
        <w:t>135.</w:t>
      </w:r>
      <w:r>
        <w:tab/>
        <w:t xml:space="preserve">Коэффициент исчисления пособий представляет собой отношение суммы пособия к ее базе исчисления.  Этот показатель выражается в процентах.  Повышение пенсий по старости и других пенсий осуществляется </w:t>
      </w:r>
      <w:r>
        <w:rPr>
          <w:lang w:val="en-US"/>
        </w:rPr>
        <w:t>ex</w:t>
      </w:r>
      <w:r>
        <w:t xml:space="preserve"> </w:t>
      </w:r>
      <w:r>
        <w:rPr>
          <w:lang w:val="en-US"/>
        </w:rPr>
        <w:t>officio</w:t>
      </w:r>
      <w:r>
        <w:t xml:space="preserve"> в рамках индексации, а если выплата пенсий приостанавливается, то это делается после возобновления выплат с учетом всех последовательных индексаций за период, когда пенсии не выплачивались.  В 1997 году была проведена индексация пенсий по старости и других пенсий, вследствие чего реальные пенсии (брутто) увеличились по меньшей мере на 1,5% по сравнению с 1996 годом (были проведены две индексации).  В целях достижения гарантированного реального роста в размере 2,5% в 1996 году по сравнению с 1995 годом начиная с 1 марта 1997 года был увеличен (с применением контрольного индекса) коэффициент индексации пособий, подлежавших индексации в 1996 году.  В марте для компенсации этого роста были осуществлены также разовые выплаты.</w:t>
      </w:r>
    </w:p>
    <w:p w:rsidR="00000000" w:rsidRDefault="00000000"/>
    <w:p w:rsidR="00000000" w:rsidRDefault="00000000">
      <w:r>
        <w:t>136.</w:t>
      </w:r>
      <w:r>
        <w:tab/>
        <w:t>При расчете каждой пенсии по старости существует компонент, одинаковый для всех пособий и установленный в размере 24% от базовой суммы.  Он представляет собой социальный компонент, предназначенный для защиты лиц с низкими доходами и непродолжительным рабочим стажем.  Лица, достигшие 75-летнего возраста или представившие доказательства своей полной нетрудоспособности и неспособности самостоятельно зарабатывать на жизнь, имеют право на получение сверх пенсии по старости надбавки за уход;  данная надбавка индексируется при каждой индексации пособия с применением коэффициента индексации (в силу статьи 22 Закона об индексации).  Законодательство Польши предусматривает минимальный уровень пенсий за выслугу лет и иных пенсионных пособий.  Сумма минимальных пособий увеличивается с использованием коэффициента индексации начиная с того месяца, в котором проводится индексация.</w:t>
      </w:r>
    </w:p>
    <w:p w:rsidR="00000000" w:rsidRDefault="00000000"/>
    <w:p w:rsidR="00000000" w:rsidRDefault="00000000">
      <w:pPr>
        <w:pStyle w:val="BodyTextIndent2"/>
      </w:pPr>
      <w:r>
        <w:tab/>
        <w:t>6.</w:t>
      </w:r>
      <w:r>
        <w:tab/>
        <w:t>Пособия, выплачиваемые в связи с несчастными случаями на производстве и профессиональными заболеваниями</w:t>
      </w:r>
    </w:p>
    <w:p w:rsidR="00000000" w:rsidRDefault="00000000">
      <w:pPr>
        <w:jc w:val="center"/>
        <w:rPr>
          <w:u w:val="single"/>
        </w:rPr>
      </w:pPr>
    </w:p>
    <w:p w:rsidR="00000000" w:rsidRDefault="00000000">
      <w:r>
        <w:t>137.</w:t>
      </w:r>
      <w:r>
        <w:tab/>
        <w:t>Основополагающим правовым актом в этой области является Закон от 12 июня 1975 года о назначении пособий в связи с несчастными случаями на производстве и профессиональными заболеваниями (Законодательный вестник за 1983 год № 30, текст 144 с последующими поправками).  Пенсии по нетрудоспособности, вызванной несчастным случаем на производстве или профессиональным заболеванием, рассчитываются так же, так и пенсии, причитающиеся в силу других обстоятельств.  Вместе с тем размеры этой пенсии не могут быть ниже:</w:t>
      </w:r>
    </w:p>
    <w:p w:rsidR="00000000" w:rsidRDefault="00000000"/>
    <w:p w:rsidR="00000000" w:rsidRDefault="00000000">
      <w:pPr>
        <w:ind w:left="1134" w:hanging="1134"/>
      </w:pPr>
      <w:r>
        <w:tab/>
        <w:t>-</w:t>
      </w:r>
      <w:r>
        <w:tab/>
        <w:t>80% базы исчисления для лиц, являющихся полностью нетрудоспособными и неспособными самостоятельно зарабатывать на жизнь;  не менее 120% минимальной пенсии в связи с такой нетрудоспособностью;</w:t>
      </w:r>
    </w:p>
    <w:p w:rsidR="00000000" w:rsidRDefault="00000000">
      <w:pPr>
        <w:ind w:left="1134" w:hanging="1134"/>
      </w:pPr>
    </w:p>
    <w:p w:rsidR="00000000" w:rsidRDefault="00000000">
      <w:pPr>
        <w:ind w:left="1134" w:hanging="1134"/>
      </w:pPr>
      <w:r>
        <w:tab/>
        <w:t>-</w:t>
      </w:r>
      <w:r>
        <w:tab/>
        <w:t>60% базы исчисления для лиц, являющихся частично нетрудоспособным;  не менее 120% указанного выше пособия;</w:t>
      </w:r>
    </w:p>
    <w:p w:rsidR="00000000" w:rsidRDefault="00000000">
      <w:pPr>
        <w:ind w:left="1134" w:hanging="1134"/>
      </w:pPr>
    </w:p>
    <w:p w:rsidR="00000000" w:rsidRDefault="00000000">
      <w:pPr>
        <w:ind w:left="1134" w:hanging="1134"/>
      </w:pPr>
      <w:r>
        <w:tab/>
        <w:t>-</w:t>
      </w:r>
      <w:r>
        <w:tab/>
        <w:t>100% базы исчисления для лиц, получающих пенсию в период профессионального обучения в связи с переподготовкой.</w:t>
      </w:r>
    </w:p>
    <w:p w:rsidR="00000000" w:rsidRDefault="00000000"/>
    <w:p w:rsidR="00000000" w:rsidRDefault="00000000">
      <w:r>
        <w:t>138.</w:t>
      </w:r>
      <w:r>
        <w:tab/>
        <w:t>Минимальная пенсия по нетрудоспособности в результате несчастного случая на производстве или профессионального заболевания составляла для полностью нетрудоспособных лиц 45,8% от их средней заработной платы за предыдущий квартал, а для частично нетрудоспособных - 36%.  Эти пособия могут увеличиваться в соответствии с правилами, применяемыми при индексации пенсий по старости и других пенсий.  Эти пенсии выплачиваются на постоянной основе или периодически в зависимости от степени нетрудоспособности.</w:t>
      </w:r>
    </w:p>
    <w:p w:rsidR="00000000" w:rsidRDefault="00000000"/>
    <w:p w:rsidR="00000000" w:rsidRDefault="00000000">
      <w:pPr>
        <w:rPr>
          <w:b/>
          <w:bCs/>
        </w:rPr>
      </w:pPr>
      <w:r>
        <w:rPr>
          <w:b/>
          <w:bCs/>
        </w:rPr>
        <w:tab/>
        <w:t>7.</w:t>
      </w:r>
      <w:r>
        <w:rPr>
          <w:b/>
          <w:bCs/>
        </w:rPr>
        <w:tab/>
        <w:t>Выплаты в рамках семейных пособий</w:t>
      </w:r>
    </w:p>
    <w:p w:rsidR="00000000" w:rsidRDefault="00000000"/>
    <w:p w:rsidR="00000000" w:rsidRDefault="00000000">
      <w:pPr>
        <w:rPr>
          <w:b/>
          <w:bCs/>
        </w:rPr>
      </w:pPr>
      <w:r>
        <w:rPr>
          <w:b/>
          <w:bCs/>
        </w:rPr>
        <w:t>а)</w:t>
      </w:r>
      <w:r>
        <w:rPr>
          <w:b/>
          <w:bCs/>
        </w:rPr>
        <w:tab/>
        <w:t xml:space="preserve">Семейные пособия </w:t>
      </w:r>
    </w:p>
    <w:p w:rsidR="00000000" w:rsidRDefault="00000000"/>
    <w:p w:rsidR="00000000" w:rsidRDefault="00000000">
      <w:r>
        <w:t>139.</w:t>
      </w:r>
      <w:r>
        <w:tab/>
        <w:t>Закон от 1 декабря 1994 года о семейных пособиях и пособиях по уходу (Законодательный вестник за 1995 год № 4, текст 170), который вступил в силу 1 марта 1995 года, изменил характер этих пособий.  Прежде они представляли собой страховые пособия.  С 1 марта 1995 года семейные пособия и пособия по уходу носят социальный характер и выплачиваются независимо от социального вспомоществования, в случае если (для семейных пособий) их выплата оправдана материальным положением семьи и если (в случае пособий по уходу) она оправдана состоянием здоровья.  Принятым впоследствии Законом от 1 сентября 1997 года, который вступил в силу с 1 января 1998 года, дополнительно была введена система диверсифицированных пособий (ранее выплачивалось единое пособие в размере 29,10 новых польских злотых).  На 31 декабря 1998 года семейное пособие устанавливалось в сумме:</w:t>
      </w:r>
    </w:p>
    <w:p w:rsidR="00000000" w:rsidRDefault="00000000"/>
    <w:p w:rsidR="00000000" w:rsidRDefault="00000000">
      <w:pPr>
        <w:ind w:left="1134" w:hanging="1134"/>
      </w:pPr>
      <w:r>
        <w:tab/>
        <w:t>-</w:t>
      </w:r>
      <w:r>
        <w:tab/>
        <w:t>32,30 польских новых злотых в месяц на супруга (супругу) и первого и второго ребенка;</w:t>
      </w:r>
    </w:p>
    <w:p w:rsidR="00000000" w:rsidRDefault="00000000">
      <w:pPr>
        <w:ind w:left="1134" w:hanging="1134"/>
      </w:pPr>
    </w:p>
    <w:p w:rsidR="00000000" w:rsidRDefault="00000000">
      <w:r>
        <w:tab/>
        <w:t>-</w:t>
      </w:r>
      <w:r>
        <w:tab/>
        <w:t>40,00 польских новых злотых в месяц на третьего ребенка;</w:t>
      </w:r>
    </w:p>
    <w:p w:rsidR="00000000" w:rsidRDefault="00000000"/>
    <w:p w:rsidR="00000000" w:rsidRDefault="00000000">
      <w:pPr>
        <w:ind w:left="1134" w:hanging="1134"/>
      </w:pPr>
      <w:r>
        <w:tab/>
        <w:t>-</w:t>
      </w:r>
      <w:r>
        <w:tab/>
        <w:t>50,00 новых польских злотых в месяц на четвертого и каждого последующего ребенка.</w:t>
      </w:r>
    </w:p>
    <w:p w:rsidR="00000000" w:rsidRDefault="00000000">
      <w:pPr>
        <w:ind w:left="1134" w:hanging="1134"/>
      </w:pPr>
    </w:p>
    <w:p w:rsidR="00000000" w:rsidRDefault="00000000">
      <w:r>
        <w:t>140.</w:t>
      </w:r>
      <w:r>
        <w:tab/>
        <w:t>Эти пособия подлежат ежегодной индексации и финансируются из государственного бюджета.  Как и прежде, пособие на ребенка выплачивается до достижения им 16 лет, а если он учится в школе - до завершения им обучения, но не позднее достижения им 20</w:t>
      </w:r>
      <w:r>
        <w:noBreakHyphen/>
        <w:t>летнего возраста (за исключением отдельных случаев).  Пособие на ребенка выплачивается независимо от его возраста, если он имеет высокую и среднюю степень инвалидности.  Оно выплачивается также супругу (супруге), если:</w:t>
      </w:r>
    </w:p>
    <w:p w:rsidR="00000000" w:rsidRDefault="00000000"/>
    <w:p w:rsidR="00000000" w:rsidRDefault="00000000">
      <w:pPr>
        <w:ind w:left="1134" w:hanging="1134"/>
      </w:pPr>
      <w:r>
        <w:tab/>
        <w:t>-</w:t>
      </w:r>
      <w:r>
        <w:tab/>
        <w:t>он (она) воспитывает ребенка, испытывающего особые проблемы и имеющего право на специальный уход;</w:t>
      </w:r>
    </w:p>
    <w:p w:rsidR="00000000" w:rsidRDefault="00000000">
      <w:pPr>
        <w:ind w:left="1134" w:hanging="1134"/>
      </w:pPr>
    </w:p>
    <w:p w:rsidR="00000000" w:rsidRDefault="00000000">
      <w:pPr>
        <w:ind w:left="1134" w:hanging="1134"/>
      </w:pPr>
      <w:r>
        <w:tab/>
        <w:t>-</w:t>
      </w:r>
      <w:r>
        <w:tab/>
        <w:t>он (она) достиг (достигла) 60-летнего возраста (для женщин) или 65-летнего возраста (для мужчин);</w:t>
      </w:r>
    </w:p>
    <w:p w:rsidR="00000000" w:rsidRDefault="00000000">
      <w:pPr>
        <w:ind w:left="1134" w:hanging="1134"/>
      </w:pPr>
    </w:p>
    <w:p w:rsidR="00000000" w:rsidRDefault="00000000">
      <w:r>
        <w:tab/>
        <w:t>-</w:t>
      </w:r>
      <w:r>
        <w:tab/>
        <w:t>он (она) имеет инвалидность высокой или средней степени.</w:t>
      </w:r>
    </w:p>
    <w:p w:rsidR="00000000" w:rsidRDefault="00000000"/>
    <w:p w:rsidR="00000000" w:rsidRDefault="00000000">
      <w:r>
        <w:t>141.</w:t>
      </w:r>
      <w:r>
        <w:tab/>
        <w:t>Супруг (супруга) лишается права на получение пособия за тот или иной конкретный месяц, если в этом месяце уровень его (ее) дохода по меньшей мере равен минимальной пенсии в системе пенсионного обеспечения наемных работников.  Начиная с 1 сентября работник имеет право на получение семейного пособия, если душевой доход семьи не превышает суммы, равной 50% средней заработной платы, объявленной для целей определения пенсий по выслуге лет за календарный год, предшествующий периоду получения пособия.  Право на получения пособия устанавливается на год с 1 июня по 31 мая следующего года с учетом дохода семьи, полученного в предыдущем календарном году.</w:t>
      </w:r>
    </w:p>
    <w:p w:rsidR="00000000" w:rsidRDefault="00000000"/>
    <w:p w:rsidR="00000000" w:rsidRDefault="00000000">
      <w:pPr>
        <w:rPr>
          <w:b/>
          <w:bCs/>
        </w:rPr>
      </w:pPr>
      <w:r>
        <w:rPr>
          <w:b/>
          <w:bCs/>
          <w:lang w:val="en-US"/>
        </w:rPr>
        <w:t>b</w:t>
      </w:r>
      <w:r>
        <w:rPr>
          <w:b/>
          <w:bCs/>
        </w:rPr>
        <w:t>)</w:t>
      </w:r>
      <w:r>
        <w:rPr>
          <w:b/>
          <w:bCs/>
        </w:rPr>
        <w:tab/>
        <w:t>Пособие по уходу</w:t>
      </w:r>
    </w:p>
    <w:p w:rsidR="00000000" w:rsidRDefault="00000000"/>
    <w:p w:rsidR="00000000" w:rsidRDefault="00000000">
      <w:r>
        <w:t>142.</w:t>
      </w:r>
      <w:r>
        <w:tab/>
        <w:t>Выплата этого пособия не зависит от выплаты семейного пособия.  Оно выплачивается лицам, отвечающим соответствующим критериям в отношении здоровья и возраста, независимо от размеров дохода семьи:</w:t>
      </w:r>
    </w:p>
    <w:p w:rsidR="00000000" w:rsidRDefault="00000000"/>
    <w:p w:rsidR="00000000" w:rsidRDefault="00000000">
      <w:pPr>
        <w:ind w:left="1134" w:hanging="1134"/>
      </w:pPr>
      <w:r>
        <w:tab/>
        <w:t>-</w:t>
      </w:r>
      <w:r>
        <w:tab/>
        <w:t>лицам в возрасте до 16 лет, если государственное медицинское учреждение установило, что данное лицо по состоянию здоровья нуждается в регулярном специальном уходе или систематической помощи в форме медицинских и реабилитационных процедур;</w:t>
      </w:r>
    </w:p>
    <w:p w:rsidR="00000000" w:rsidRDefault="00000000">
      <w:pPr>
        <w:ind w:left="1134" w:hanging="1134"/>
      </w:pPr>
    </w:p>
    <w:p w:rsidR="00000000" w:rsidRDefault="00000000">
      <w:pPr>
        <w:ind w:left="1134" w:hanging="1134"/>
      </w:pPr>
      <w:r>
        <w:tab/>
        <w:t>-</w:t>
      </w:r>
      <w:r>
        <w:tab/>
        <w:t>лицам в возрасте старше 16 лет, если они имеют среднюю степень инвалидности и если эта инвалидность возникла в возрасте, когда данные лица приобрели право на получение семейного пособия;</w:t>
      </w:r>
    </w:p>
    <w:p w:rsidR="00000000" w:rsidRDefault="00000000">
      <w:pPr>
        <w:ind w:left="1134" w:hanging="1134"/>
      </w:pPr>
    </w:p>
    <w:p w:rsidR="00000000" w:rsidRDefault="00000000">
      <w:r>
        <w:tab/>
        <w:t>-</w:t>
      </w:r>
      <w:r>
        <w:tab/>
        <w:t>лицам, достигшим 75-летнего возраста;</w:t>
      </w:r>
    </w:p>
    <w:p w:rsidR="00000000" w:rsidRDefault="00000000"/>
    <w:p w:rsidR="00000000" w:rsidRDefault="00000000">
      <w:r>
        <w:tab/>
        <w:t>-</w:t>
      </w:r>
      <w:r>
        <w:tab/>
        <w:t>лицам, имеющим высокую степень инвалидности.</w:t>
      </w:r>
    </w:p>
    <w:p w:rsidR="00000000" w:rsidRDefault="00000000"/>
    <w:p w:rsidR="00000000" w:rsidRDefault="00000000">
      <w:r>
        <w:t>143.</w:t>
      </w:r>
      <w:r>
        <w:tab/>
        <w:t>Пособие по уходу за ребенком в возрасте до 16 лет выплачивается до завершения ребенком школьного образования, если врач устанавливает, что этот ребенок отвечает соответствующим критериям в отношении здоровья, но не после достижения им 24</w:t>
      </w:r>
      <w:r>
        <w:noBreakHyphen/>
        <w:t>летнего возраста.  Пособие по уходу составляет 10% средней заработной платы, составляющей базу последней индексации пенсии по старости и других пенсий (с 1 июня 1998 года - 106,41 польских новых злотых).</w:t>
      </w:r>
    </w:p>
    <w:p w:rsidR="00000000" w:rsidRDefault="00000000"/>
    <w:p w:rsidR="00000000" w:rsidRDefault="00000000">
      <w:pPr>
        <w:rPr>
          <w:b/>
          <w:bCs/>
        </w:rPr>
      </w:pPr>
      <w:r>
        <w:rPr>
          <w:b/>
          <w:bCs/>
        </w:rPr>
        <w:br w:type="page"/>
        <w:t>с)</w:t>
      </w:r>
      <w:r>
        <w:rPr>
          <w:b/>
          <w:bCs/>
        </w:rPr>
        <w:tab/>
        <w:t>Пособие по уходу за ребенком</w:t>
      </w:r>
    </w:p>
    <w:p w:rsidR="00000000" w:rsidRDefault="00000000"/>
    <w:p w:rsidR="00000000" w:rsidRDefault="00000000">
      <w:r>
        <w:t>144.</w:t>
      </w:r>
      <w:r>
        <w:tab/>
        <w:t>Предоставление отпуска и пособий по уходу за детьми регулируется постановлением Совета министров от 28 мая 1996 года (Законодательный вестник № 60, текст 277).  Эти пособия предоставляются лицу, находящемуся в трехгодичном отпуске в связи с рождением ребенка и по уходу за ребенком в возрасте до четырех лет.  Оно выплачивается в течение двухгодичного периода, а в случае работающей женщины, в одиночку воспитывающей ребенка, - в течение трех лет.  Пособие по уходу за ребенком подлежит индексации.  Для лиц, в одиночку воспитывающих ребенка, устанавливается более высокая ставка.  После 1 июня 1998 года сумма пособий по уходу за ребенком составляла 248,80 новых польских злотых, а для матерей-одиночек - 386,10 новых польских злотых.  Пособия назначались в том случае, если душевой доход не превышал 25% средней заработной платы в предыдущем году.  Лица, ухаживающие за детьми-инвалидами, имели право на получение отпуска в связи с рождением ребенка и пособия по уходу за ребенком в течение 72 месяцев.</w:t>
      </w:r>
    </w:p>
    <w:p w:rsidR="00000000" w:rsidRDefault="00000000"/>
    <w:p w:rsidR="00000000" w:rsidRDefault="00000000">
      <w:pPr>
        <w:rPr>
          <w:b/>
          <w:bCs/>
        </w:rPr>
      </w:pPr>
      <w:r>
        <w:rPr>
          <w:b/>
          <w:bCs/>
        </w:rPr>
        <w:t>d)</w:t>
      </w:r>
      <w:r>
        <w:rPr>
          <w:b/>
          <w:bCs/>
        </w:rPr>
        <w:tab/>
        <w:t>Пособие по уходу</w:t>
      </w:r>
    </w:p>
    <w:p w:rsidR="00000000" w:rsidRDefault="00000000"/>
    <w:p w:rsidR="00000000" w:rsidRDefault="00000000">
      <w:r>
        <w:t>145.</w:t>
      </w:r>
      <w:r>
        <w:tab/>
        <w:t>Данное пособие выплачивается родителю, уволившемуся с работы вследствие необходимости ухода:</w:t>
      </w:r>
    </w:p>
    <w:p w:rsidR="00000000" w:rsidRDefault="00000000"/>
    <w:p w:rsidR="00000000" w:rsidRDefault="00000000">
      <w:pPr>
        <w:ind w:left="1134" w:hanging="1134"/>
      </w:pPr>
      <w:r>
        <w:tab/>
        <w:t>-</w:t>
      </w:r>
      <w:r>
        <w:tab/>
        <w:t>за здоровым ребенком в возрасте до восьми лет в строго определенных случаях;</w:t>
      </w:r>
    </w:p>
    <w:p w:rsidR="00000000" w:rsidRDefault="00000000">
      <w:pPr>
        <w:ind w:left="1134" w:hanging="1134"/>
      </w:pPr>
    </w:p>
    <w:p w:rsidR="00000000" w:rsidRDefault="00000000">
      <w:pPr>
        <w:ind w:left="1134" w:hanging="1134"/>
      </w:pPr>
      <w:r>
        <w:tab/>
        <w:t>-</w:t>
      </w:r>
      <w:r>
        <w:tab/>
        <w:t>за больным ребенком в возрасте до 14 лет;</w:t>
      </w:r>
    </w:p>
    <w:p w:rsidR="00000000" w:rsidRDefault="00000000">
      <w:pPr>
        <w:ind w:left="1134" w:hanging="1134"/>
      </w:pPr>
    </w:p>
    <w:p w:rsidR="00000000" w:rsidRDefault="00000000">
      <w:pPr>
        <w:ind w:left="1134" w:hanging="1134"/>
      </w:pPr>
      <w:r>
        <w:tab/>
        <w:t>-</w:t>
      </w:r>
      <w:r>
        <w:tab/>
        <w:t>за больным членом семьи.</w:t>
      </w:r>
    </w:p>
    <w:p w:rsidR="00000000" w:rsidRDefault="00000000">
      <w:pPr>
        <w:ind w:left="1134" w:hanging="1134"/>
      </w:pPr>
    </w:p>
    <w:p w:rsidR="00000000" w:rsidRDefault="00000000">
      <w:r>
        <w:t>146.</w:t>
      </w:r>
      <w:r>
        <w:tab/>
        <w:t>Пособие, выплачиваемое в связи с уходом за  ребенком, предоставляется в течение периода до 60 дней в одном году, а пособие в связи с уходом за больным членом семьи - в течение 14 дней;  совокупное число дней ухода не может превышать 60 дней в году.  Данное пособие выплачивается в размере 80% заработной платы, составляющей базу исчисления пособия.</w:t>
      </w:r>
    </w:p>
    <w:p w:rsidR="00000000" w:rsidRDefault="00000000"/>
    <w:p w:rsidR="00000000" w:rsidRDefault="00000000">
      <w:pPr>
        <w:rPr>
          <w:b/>
          <w:bCs/>
        </w:rPr>
      </w:pPr>
      <w:r>
        <w:rPr>
          <w:b/>
          <w:bCs/>
        </w:rPr>
        <w:tab/>
        <w:t>8.</w:t>
      </w:r>
      <w:r>
        <w:rPr>
          <w:b/>
          <w:bCs/>
        </w:rPr>
        <w:tab/>
        <w:t>Выплаты в связи с беременностью и родами</w:t>
      </w:r>
    </w:p>
    <w:p w:rsidR="00000000" w:rsidRDefault="00000000"/>
    <w:p w:rsidR="00000000" w:rsidRDefault="00000000">
      <w:r>
        <w:t>147.</w:t>
      </w:r>
      <w:r>
        <w:tab/>
        <w:t>Сюда включаются пособия по беременности и родам и послеродовое пособие.  Пособие по беременности и родам выплачивается в течение периода, составляющего:</w:t>
      </w:r>
    </w:p>
    <w:p w:rsidR="00000000" w:rsidRDefault="00000000"/>
    <w:p w:rsidR="00000000" w:rsidRDefault="00000000">
      <w:r>
        <w:tab/>
        <w:t>-</w:t>
      </w:r>
      <w:r>
        <w:tab/>
        <w:t>16 недель при рождении первого ребенка;</w:t>
      </w:r>
    </w:p>
    <w:p w:rsidR="00000000" w:rsidRDefault="00000000"/>
    <w:p w:rsidR="00000000" w:rsidRDefault="00000000">
      <w:r>
        <w:tab/>
        <w:t>-</w:t>
      </w:r>
      <w:r>
        <w:tab/>
        <w:t>18 недель при рождении второго и каждого последующего ребенка;</w:t>
      </w:r>
    </w:p>
    <w:p w:rsidR="00000000" w:rsidRDefault="00000000"/>
    <w:p w:rsidR="00000000" w:rsidRDefault="00000000">
      <w:r>
        <w:tab/>
        <w:t>-</w:t>
      </w:r>
      <w:r>
        <w:tab/>
        <w:t>26 недель в случае рождения двойни, тройни и т.д.</w:t>
      </w:r>
    </w:p>
    <w:p w:rsidR="00000000" w:rsidRDefault="00000000"/>
    <w:p w:rsidR="00000000" w:rsidRDefault="00000000">
      <w:r>
        <w:t>148.</w:t>
      </w:r>
      <w:r>
        <w:tab/>
        <w:t>Сумма пособия по беременности и родам равна 100% заработной платы, составляющей базу исчисления пособия.  Послеродовое пособие выплачивается единовременно после рождения ребенка и составляет до 15% средней заработной платы.</w:t>
      </w:r>
    </w:p>
    <w:p w:rsidR="00000000" w:rsidRDefault="00000000"/>
    <w:p w:rsidR="00000000" w:rsidRDefault="00000000">
      <w:pPr>
        <w:rPr>
          <w:b/>
          <w:bCs/>
        </w:rPr>
      </w:pPr>
      <w:r>
        <w:rPr>
          <w:b/>
          <w:bCs/>
        </w:rPr>
        <w:tab/>
        <w:t>9.</w:t>
      </w:r>
      <w:r>
        <w:rPr>
          <w:b/>
          <w:bCs/>
        </w:rPr>
        <w:tab/>
        <w:t>Пенсия по инвалидности</w:t>
      </w:r>
    </w:p>
    <w:p w:rsidR="00000000" w:rsidRDefault="00000000"/>
    <w:p w:rsidR="00000000" w:rsidRDefault="00000000">
      <w:r>
        <w:t>149.</w:t>
      </w:r>
      <w:r>
        <w:tab/>
        <w:t>Эта пенсия выплачивается застрахованному нетрудоспособному лицу, имеющему требуемый стаж работы (в зависимости от возраста работника - от одного года до пяти лет).  База исчисления определяется так же, как и в случае пенсии по старости.  Сумма пенсии устанавливается так же, как и сумма пенсии по старости, за исключением того, что может приниматься во внимание продолжительность так называемого "гипотетического" периода, т.е. периода, недостающего до полных 25 лет трудового стажа, в течение которого выплачивались и не выплачивались взносы (но не свыше периода со дня подачи ходатайства о пенсии до достижения 60-летнего возраста).  Для полностью нетрудоспособных лиц пенсия по инвалидности составляет:</w:t>
      </w:r>
    </w:p>
    <w:p w:rsidR="00000000" w:rsidRDefault="00000000"/>
    <w:p w:rsidR="00000000" w:rsidRDefault="00000000">
      <w:r>
        <w:tab/>
        <w:t>-</w:t>
      </w:r>
      <w:r>
        <w:tab/>
        <w:t>24% от базовой суммы и</w:t>
      </w:r>
    </w:p>
    <w:p w:rsidR="00000000" w:rsidRDefault="00000000"/>
    <w:p w:rsidR="00000000" w:rsidRDefault="00000000">
      <w:r>
        <w:tab/>
        <w:t>-</w:t>
      </w:r>
      <w:r>
        <w:tab/>
        <w:t>1,3% от базы исчисления за каждый год периода выплаты взносов и</w:t>
      </w:r>
    </w:p>
    <w:p w:rsidR="00000000" w:rsidRDefault="00000000"/>
    <w:p w:rsidR="00000000" w:rsidRDefault="00000000">
      <w:r>
        <w:tab/>
        <w:t>-</w:t>
      </w:r>
      <w:r>
        <w:tab/>
        <w:t>0,7% базы исчисления за каждый год периода невыплаты взносов, а также</w:t>
      </w:r>
    </w:p>
    <w:p w:rsidR="00000000" w:rsidRDefault="00000000"/>
    <w:p w:rsidR="00000000" w:rsidRDefault="00000000">
      <w:pPr>
        <w:ind w:left="1134" w:hanging="1134"/>
      </w:pPr>
      <w:r>
        <w:tab/>
        <w:t>-</w:t>
      </w:r>
      <w:r>
        <w:tab/>
        <w:t>0,7% базы исчисления за каждый год так называемого "гипотетического" периода (см. выше).</w:t>
      </w:r>
    </w:p>
    <w:p w:rsidR="00000000" w:rsidRDefault="00000000">
      <w:pPr>
        <w:ind w:left="1134" w:hanging="1134"/>
      </w:pPr>
    </w:p>
    <w:p w:rsidR="00000000" w:rsidRDefault="00000000">
      <w:r>
        <w:t>150.</w:t>
      </w:r>
      <w:r>
        <w:tab/>
        <w:t>Пенсия частично нетрудоспособных составляет 75% указанных выше пособий.  Лица, являющиеся полностью нетрудоспособными и неспособными самостоятельно зарабатывать на жизнь, имеют право на получение пособия по уходу за больными.</w:t>
      </w:r>
    </w:p>
    <w:p w:rsidR="00000000" w:rsidRDefault="00000000"/>
    <w:p w:rsidR="00000000" w:rsidRDefault="00000000">
      <w:pPr>
        <w:rPr>
          <w:b/>
          <w:bCs/>
        </w:rPr>
      </w:pPr>
      <w:r>
        <w:rPr>
          <w:b/>
          <w:bCs/>
        </w:rPr>
        <w:tab/>
        <w:t>10.</w:t>
      </w:r>
      <w:r>
        <w:rPr>
          <w:b/>
          <w:bCs/>
        </w:rPr>
        <w:tab/>
        <w:t>Пенсия по случаю потери кормильца</w:t>
      </w:r>
    </w:p>
    <w:p w:rsidR="00000000" w:rsidRDefault="00000000"/>
    <w:p w:rsidR="00000000" w:rsidRDefault="00000000">
      <w:r>
        <w:t>151.</w:t>
      </w:r>
      <w:r>
        <w:tab/>
        <w:t>Эта пенсия после смерти застрахованного лица назначается следующим членам семьи:</w:t>
      </w:r>
    </w:p>
    <w:p w:rsidR="00000000" w:rsidRDefault="00000000"/>
    <w:p w:rsidR="00000000" w:rsidRDefault="00000000">
      <w:r>
        <w:tab/>
        <w:t>-</w:t>
      </w:r>
      <w:r>
        <w:tab/>
        <w:t>детям в возрасте до 16 лет или в возрасте до 25 лет, если они учатся в школе;</w:t>
      </w:r>
    </w:p>
    <w:p w:rsidR="00000000" w:rsidRDefault="00000000"/>
    <w:p w:rsidR="00000000" w:rsidRDefault="00000000">
      <w:pPr>
        <w:ind w:left="1134" w:hanging="1134"/>
      </w:pPr>
      <w:r>
        <w:tab/>
        <w:t>-</w:t>
      </w:r>
      <w:r>
        <w:tab/>
        <w:t>вдовам, достигшим 50-летнего возраста или воспитывающим ребенка в возрасте до 16 лет;</w:t>
      </w:r>
    </w:p>
    <w:p w:rsidR="00000000" w:rsidRDefault="00000000">
      <w:pPr>
        <w:ind w:left="1134" w:hanging="1134"/>
      </w:pPr>
    </w:p>
    <w:p w:rsidR="00000000" w:rsidRDefault="00000000">
      <w:pPr>
        <w:ind w:left="1134" w:hanging="1134"/>
      </w:pPr>
      <w:r>
        <w:tab/>
        <w:t>-</w:t>
      </w:r>
      <w:r>
        <w:tab/>
        <w:t>вдовцам в возрасте старше 65 лет.</w:t>
      </w:r>
    </w:p>
    <w:p w:rsidR="00000000" w:rsidRDefault="00000000"/>
    <w:p w:rsidR="00000000" w:rsidRDefault="00000000">
      <w:r>
        <w:t>152.</w:t>
      </w:r>
      <w:r>
        <w:tab/>
        <w:t>Размер пенсии составляет 85% суммы пособия, которое получал бы покойный, т.е. причитающейся ему пенсии по старости или по инвалидности (из расчета на одного человека;  на двух человек эта цифра составляет 90%, а на трех и более </w:t>
      </w:r>
      <w:r>
        <w:noBreakHyphen/>
        <w:t xml:space="preserve"> 95%).  В случае потери кормильца гарантируется минимальный размер пенсии.  Пенсии в случае потери кормильца индексируются так же, как и пенсии по старости и другие пенсии.</w:t>
      </w:r>
    </w:p>
    <w:p w:rsidR="00000000" w:rsidRDefault="00000000"/>
    <w:p w:rsidR="00000000" w:rsidRDefault="00000000">
      <w:pPr>
        <w:rPr>
          <w:b/>
          <w:bCs/>
        </w:rPr>
      </w:pPr>
      <w:r>
        <w:rPr>
          <w:b/>
          <w:bCs/>
        </w:rPr>
        <w:tab/>
        <w:t>11.</w:t>
      </w:r>
      <w:r>
        <w:rPr>
          <w:b/>
          <w:bCs/>
        </w:rPr>
        <w:tab/>
        <w:t>Финансирование рассматриваемых выше пособий</w:t>
      </w:r>
    </w:p>
    <w:p w:rsidR="00000000" w:rsidRDefault="00000000"/>
    <w:p w:rsidR="00000000" w:rsidRDefault="00000000">
      <w:r>
        <w:t>153.</w:t>
      </w:r>
      <w:r>
        <w:tab/>
        <w:t>Большинство пособий (пособия по болезни начиная с тридцать шестого дня, пособия в связи с несчастным случаем на производстве и профессиональным заболеванием, часть пособий, выплачиваемых в связи с потерей кормильца, пособия по беременности и родам, пенсии по инвалидности и пенсии по случаю потери кормильца) финансируются из специального Фонда социального страхования.  Средства этого Фонда пополняются за счет взносов на социальное страхование и дополнительных ассигнований из государственного бюджета.  Взносы на социальное страхование трудящихся выплачиваются работодателями;  они составляют 45% фонда заработной платы.  В учреждениях и на предприятиях с защищенной занятостью эти взносы составляют 5% от базы исчисления.  Взносы за лиц с высокой и средней степенью инвалидности, работающих на небольших предприятиях и в учреждениях (до 50 работников), для которых не предусмотрена защищенная занятость, составляют 22,5% базы исчисления.  В случае ухудшения условий работы может требоваться дополнительный взнос, составляющий от 1 до 7%.  В предыдущем докладе указаны другие ставки взносов в зависимости от характера работы, профессии и т.д.  Медицинские услуги финансируются из государственных средств.  Пособия по безработице (включая предпенсионные пособия и выплаты) финансируются из Трудового фонда, являющегося специальным государственным фондом.  Основным источником поступлений в этот Фонд являются дополнительные ассигнования из госбюджета и взносы, взимаемые вместе со взносом в Фонд социального страхования и составляющие 3%.  Размеры взносов в Трудовой фонд устанавливаются с учетом сумм, составляющих базу исчисления взносов на социальное страхование и пенсий по старости, если они равны по меньшей мере 50% минимальной заработной платы.  Данные взносы выплачиваются работодателями.  Семейные пособия частично финансируются из государственного бюджета.</w:t>
      </w:r>
    </w:p>
    <w:p w:rsidR="00000000" w:rsidRDefault="00000000"/>
    <w:p w:rsidR="00000000" w:rsidRDefault="00000000">
      <w:pPr>
        <w:rPr>
          <w:b/>
          <w:bCs/>
        </w:rPr>
      </w:pPr>
      <w:r>
        <w:rPr>
          <w:b/>
          <w:bCs/>
        </w:rPr>
        <w:tab/>
        <w:t>12.</w:t>
      </w:r>
      <w:r>
        <w:rPr>
          <w:b/>
          <w:bCs/>
        </w:rPr>
        <w:tab/>
        <w:t>Социальное вспомоществование</w:t>
      </w:r>
    </w:p>
    <w:p w:rsidR="00000000" w:rsidRDefault="00000000"/>
    <w:p w:rsidR="00000000" w:rsidRDefault="00000000">
      <w:r>
        <w:t>154.</w:t>
      </w:r>
      <w:r>
        <w:tab/>
        <w:t>Органы социального вспомоществования начинают действовать в тех случаях, когда какие</w:t>
      </w:r>
      <w:r>
        <w:noBreakHyphen/>
        <w:t>либо лица или семьи не могут самостоятельно преодолеть жизненные трудности независимо от того, возникли ли они по вине пострадавшей стороны или случайного стечения обстоятельств.  Несмотря на то, что в действовавшем в период 1995</w:t>
      </w:r>
      <w:r>
        <w:noBreakHyphen/>
        <w:t>1998 годов законодательстве не предусматривалось понятие "минимальных средств к существованию" или "гарантированных пособий", при рассмотрении вопроса о праве на получение пособий возникали определенные элементы, указывающие на существование некоторых минимальных пособий или гарантированных сумм.  Законом о социальном вспомоществовании от 29 ноября 1990 года с поправками, внесенными 28 июня 1996 года (единый текст, Законодательный вестник № 64, текст 414, с последующими поправками), были изменены положения, касающиеся критерия  размера доходов, дающего право на получение пособий.  Для определения размеров пособий частных лиц и семей была введена шкала совокупного дохода.  Была принята шкала эквивалентности, установленная ОЭСР (предлагаемая для статистической оценки показателей бедности на уровне Европейского союза), с помощью которой стало возможным диверсифицировать критерии доходов в зависимости от числа членов домохозяйств и возраста детей.  Отсутствие такой шкалы вело к тому, что одинокие лица и домохозяйства, состоящие из нескольких человек, имели неравные возможности в плане получения пособий.  Основанием для назначения пособий, в частности, являлись:  состояние нищеты, сиротство, отсутствие  жилья, продолжительная болезнь, необходимость защиты материнства, помощь в деле ухода и ведения домашнего хозяйства, алкоголизм и наркомания, сложности, связанные с адаптацией после освобождения из тюрьмы, природные или экологические бедствия.  Право на получение денежных выплат имели лица и семьи, доходы которых отвечали установленным Законом критериям при наличии по меньшей мере одного из вышеупомянутых обстоятельств.</w:t>
      </w:r>
    </w:p>
    <w:p w:rsidR="00000000" w:rsidRDefault="00000000"/>
    <w:p w:rsidR="00000000" w:rsidRDefault="00000000">
      <w:r>
        <w:t>155.</w:t>
      </w:r>
      <w:r>
        <w:tab/>
        <w:t>Пороговые уровни доходов, установленные в результате внесения поправок в Закон о социальном вспомоществовании, были определены на основе анализа стоимости жизни и с учетом средней заработной платы.  Размеры совокупного дохода, определяемые в этом Законе, подлежат индексации в соответствии со среднегодовым индексом потребительских цен.  В зависимости от величины этого индекса индексация проводится один или два раза в год.</w:t>
      </w:r>
    </w:p>
    <w:p w:rsidR="00000000" w:rsidRDefault="00000000"/>
    <w:p w:rsidR="00000000" w:rsidRDefault="00000000">
      <w:r>
        <w:t>156.</w:t>
      </w:r>
      <w:r>
        <w:tab/>
        <w:t>В 1995</w:t>
      </w:r>
      <w:r>
        <w:noBreakHyphen/>
        <w:t>1998 годах в рамках социального вспомоществования предоставлялись следующие денежные выплаты:  социальные пенсии, постоянные пособия, постоянные компенсации, периодические пособия, гарантированные периодические пособия, специальные периодические пособия, денежные выплаты беременным женщинам, целевые выплаты и надбавки к социальным пенсиям, постоянным пособиям и компенсациям.  Наряду с пособиями выплачивались также взносы за лиц, имеющих страхование по старости.  Некоторые пособия носят компенсационный характер, и их выплата зависит от доходов соответствующего лица или семьи;  другие (социальная пенсия, постоянное пособие, гарантированное периодическое пособие) гарантируются законом, носят обязательный характер и предоставляются государством при выполнении установленных условий.</w:t>
      </w:r>
    </w:p>
    <w:p w:rsidR="00000000" w:rsidRDefault="00000000"/>
    <w:p w:rsidR="00000000" w:rsidRDefault="00000000">
      <w:r>
        <w:t>157.</w:t>
      </w:r>
      <w:r>
        <w:tab/>
        <w:t>Социальная пенсия стала выплачиваться после внесения поправки в Закон о социальном вспомоществовании в июне 1996 года;  это пособие предоставляется независимо от уровня доходов лиц, являющихся полностью нетрудоспособными в силу инвалидности, возникшей до достижения ими 18-летнего возраста, или же в силу инвалидности, возникшей в период учебы в среднем специальном или высшем учебном заведении до достижения 25-летнего возраста или же в период обучения в аспирантуре или докторантуре (статья 27а Закона о социальном вспомоществовании).</w:t>
      </w:r>
    </w:p>
    <w:p w:rsidR="00000000" w:rsidRDefault="00000000"/>
    <w:p w:rsidR="00000000" w:rsidRDefault="00000000">
      <w:r>
        <w:t>158.</w:t>
      </w:r>
      <w:r>
        <w:tab/>
        <w:t>Постоянное пособие выплачивается неработающему лицу, воспитывающему ребенка, который нуждается в регулярном уходе в виде прямой личной помощи или услуг няни или же в систематической помощи в деле обучения или проведения лечебных или реабилитационных процедур, если такой ребенок имеет право на получение пособия по уходу и если доход семьи не превышает двукратной суммы критерия доходов.  Взнос в счет страхования пенсии по старости или иного вида пенсионного страхования выплачивается за лиц, имеющих право на это пособие, если только на такое лицо не распространяется требование об обязательном страховании в силу иных оснований.</w:t>
      </w:r>
    </w:p>
    <w:p w:rsidR="00000000" w:rsidRDefault="00000000"/>
    <w:p w:rsidR="00000000" w:rsidRDefault="00000000">
      <w:r>
        <w:t>159.</w:t>
      </w:r>
      <w:r>
        <w:tab/>
        <w:t>Постоянная компенсация (статья 27, пункты 4, 6 и 7) выплачивается одиноким лицам или членам семей, являющимся полностью нетрудоспособными по причине возраста или инвалидности.  Размер компенсации зависит от доходов и является надбавкой к сумме, определяемой с использованием критерия дохода данного лица или семьи.</w:t>
      </w:r>
    </w:p>
    <w:p w:rsidR="00000000" w:rsidRDefault="00000000"/>
    <w:p w:rsidR="00000000" w:rsidRDefault="00000000">
      <w:r>
        <w:t>160.</w:t>
      </w:r>
      <w:r>
        <w:tab/>
        <w:t>Периодическое пособие (статья 31, пункты 1-4) назначается лицам или семьям в тех случаях, когда их доходы не превышают критерия доходов и их собственные средства не являются достаточными для удовлетворения их основных потребностей, в частности по причине длительной болезни, инвалидности, безработицы, отсутствия права на получение пенсии по случаю потери кормильца после смерти лица, выплачивающего алименты, а также в силу невозможности сохранения права на получение пособий из других систем социального страхования.  Периодическое пособие устанавливается в размере суммы, составляющей разницу между критерием доходов лица, в одиночку ведущего домашнее хозяйство, или критерием доходов для данного вида семьи и доходом конкретного лица или конкретной семьи.</w:t>
      </w:r>
    </w:p>
    <w:p w:rsidR="00000000" w:rsidRDefault="00000000"/>
    <w:p w:rsidR="00000000" w:rsidRDefault="00000000">
      <w:r>
        <w:t>161.</w:t>
      </w:r>
      <w:r>
        <w:tab/>
        <w:t xml:space="preserve">Гарантированное периодическое пособие выплачивается лицам, которые утратили право на получение пособия по безработице в силу истечения периода выплаты такого пособия и которые на день истечения этого срока и на протяжении всего периода получения такого пособия в одиночку воспитывали по меньшей мере одного ребенка в возрасте до 15 лет.  Период выплаты такого пособия не превышает трех лет.  Его сумма равна критерию дохода лица, в одиночку ведущего домашнее хозяйство, в течение первого года и 80% от этой суммы в течение последующих двух лет (статья 31, пункты 4 а) - 4 </w:t>
      </w:r>
      <w:r>
        <w:rPr>
          <w:lang w:val="en-US"/>
        </w:rPr>
        <w:t>d</w:t>
      </w:r>
      <w:r>
        <w:t>)).  За лиц, имеющих право на получение такого пособия, выплачивается взнос в счет страхования пенсии по старости или иного вида пенсионного страхования, если только на данное лицо не распространяется требование об обязательном страховании в силу иных обстоятельств.</w:t>
      </w:r>
    </w:p>
    <w:p w:rsidR="00000000" w:rsidRDefault="00000000"/>
    <w:p w:rsidR="00000000" w:rsidRDefault="00000000">
      <w:r>
        <w:t>162.</w:t>
      </w:r>
      <w:r>
        <w:tab/>
        <w:t>Специальные или целевые периодические пособия - это не подлежащие возврату выплаты, осуществляемые в строго определенных случаях лицам или семьям, превышающим соответствующий критерий дохода, установленный Законом.</w:t>
      </w:r>
    </w:p>
    <w:p w:rsidR="00000000" w:rsidRDefault="00000000"/>
    <w:p w:rsidR="00000000" w:rsidRDefault="00000000">
      <w:r>
        <w:t>163.</w:t>
      </w:r>
      <w:r>
        <w:tab/>
        <w:t>Право на получение денежных выплат, в частности, имеют беременные женщины и женщины, воспитывающие ребенка, если уровень их дохода (для лиц, ведущих домашнее хозяйство в одиночку) или дохода на каждого члена семьи не превышает суммы месячного дохода лица, ведущего домашнее хозяйство в одиночку.  Денежные выплаты осуществляются с восьмого месяца беременности до рождения ребенка и в течение двух месяцев после его рождения, а в случае мертворожденного ребенка или смерти ребенка - в течение одного месяца после родов.  Сумма пособия зависит от уровня дохода;  она составляет разницу между полученным доходом и суммой в размере 351 нового злотого.  Размеры этого пособия не могут превышать 318 новых злотых в месяц.  Помимо выплат, о которых говорится выше, при рождении каждого ребенка выплачивается единовременное пособие в размере 153 новых злотых.  Помимо этого, осуществляются выплаты натурой в виде так называемого "приданого новорожденного" (если женщина не получила пособия в связи с рождением ребенка);  кроме того, полностью возмещаются расходы, понесенные в связи с беременностью, родами и в послеродовой период, для оплаты:</w:t>
      </w:r>
    </w:p>
    <w:p w:rsidR="00000000" w:rsidRDefault="00000000"/>
    <w:p w:rsidR="00000000" w:rsidRDefault="00000000">
      <w:r>
        <w:tab/>
        <w:t>-</w:t>
      </w:r>
      <w:r>
        <w:tab/>
        <w:t>лечения в государственных медицинских учреждениях;</w:t>
      </w:r>
    </w:p>
    <w:p w:rsidR="00000000" w:rsidRDefault="00000000"/>
    <w:p w:rsidR="00000000" w:rsidRDefault="00000000">
      <w:r>
        <w:tab/>
        <w:t>-</w:t>
      </w:r>
      <w:r>
        <w:tab/>
        <w:t>лекарств, назначенных специалистом-гинекологом.</w:t>
      </w:r>
    </w:p>
    <w:p w:rsidR="00000000" w:rsidRDefault="00000000"/>
    <w:p w:rsidR="00000000" w:rsidRDefault="00000000">
      <w:r>
        <w:t>164.</w:t>
      </w:r>
      <w:r>
        <w:tab/>
        <w:t xml:space="preserve">В соответствующих установленных случаях женщина, находящаяся в критической жизненной ситуации (например, беременная женщина или женщина, воспитывающая ребенка, которая в силу различных причин не может сохранить свое место жительства или поменять его), может обратиться за помощью в социальный приют для беременных женщин и матерей, имеющих малолетних детей. </w:t>
      </w:r>
    </w:p>
    <w:p w:rsidR="00000000" w:rsidRDefault="00000000"/>
    <w:p w:rsidR="00000000" w:rsidRDefault="00000000">
      <w:r>
        <w:t>165.</w:t>
      </w:r>
      <w:r>
        <w:tab/>
        <w:t>Целевое пособие (пункты 1-5 статьи 32 Закона о социальном вспомоществовании) предоставляется в целях удовлетворения какой-либо конкретной потребности (лечение, ремонт, оплата пребывания ребенка в яслях или детском саду, похороны).  Общины могут также предоставлять помощь тому или иному лицу или семье для обеспечения их экономической независимости.  Помощь может предоставляться натурой или в денежной форме (статья 24).  Эти виды финансовой помощи предоставляются за счет собственных ресурсов общины.  Целевое пособие предоставляется также лицам, которые пострадали от стихийных или экологических бедствий.  В этом случае пособие финансируется из бюджета центрального правительства.  Оно может предоставляться независимо от уровня доходов и на безвозмездной основе.</w:t>
      </w:r>
    </w:p>
    <w:p w:rsidR="00000000" w:rsidRDefault="00000000"/>
    <w:p w:rsidR="00000000" w:rsidRDefault="00000000">
      <w:pPr>
        <w:pStyle w:val="10"/>
        <w:ind w:left="1695" w:hanging="1695"/>
        <w:jc w:val="left"/>
        <w:rPr>
          <w:b w:val="0"/>
          <w:u w:val="single"/>
        </w:rPr>
      </w:pPr>
      <w:r>
        <w:rPr>
          <w:b w:val="0"/>
          <w:u w:val="single"/>
        </w:rPr>
        <w:t>Таблица 19</w:t>
      </w:r>
      <w:r>
        <w:rPr>
          <w:b w:val="0"/>
        </w:rPr>
        <w:t>.</w:t>
      </w:r>
      <w:r>
        <w:rPr>
          <w:b w:val="0"/>
        </w:rPr>
        <w:tab/>
      </w:r>
      <w:r>
        <w:rPr>
          <w:b w:val="0"/>
          <w:u w:val="single"/>
        </w:rPr>
        <w:t>Пособия по линии социальной помощи, предоставленные женщинам и лицам, воспитывающим детей, в период 1996-1998 годов</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7"/>
        <w:gridCol w:w="2992"/>
        <w:gridCol w:w="2731"/>
      </w:tblGrid>
      <w:tr w:rsidR="00000000">
        <w:tblPrEx>
          <w:tblCellMar>
            <w:top w:w="0" w:type="dxa"/>
            <w:bottom w:w="0" w:type="dxa"/>
          </w:tblCellMar>
        </w:tblPrEx>
        <w:trPr>
          <w:tblHeader/>
        </w:trPr>
        <w:tc>
          <w:tcPr>
            <w:tcW w:w="3847" w:type="dxa"/>
          </w:tcPr>
          <w:p w:rsidR="00000000" w:rsidRDefault="00000000">
            <w:pPr>
              <w:pStyle w:val="FootnoteText"/>
              <w:spacing w:line="216" w:lineRule="auto"/>
              <w:jc w:val="center"/>
            </w:pPr>
          </w:p>
        </w:tc>
        <w:tc>
          <w:tcPr>
            <w:tcW w:w="2992" w:type="dxa"/>
          </w:tcPr>
          <w:p w:rsidR="00000000" w:rsidRDefault="00000000">
            <w:pPr>
              <w:pStyle w:val="16"/>
              <w:spacing w:line="216" w:lineRule="auto"/>
            </w:pPr>
            <w:r>
              <w:t>Число лиц, которым были предоставлены пособия</w:t>
            </w:r>
          </w:p>
        </w:tc>
        <w:tc>
          <w:tcPr>
            <w:tcW w:w="2731" w:type="dxa"/>
          </w:tcPr>
          <w:p w:rsidR="00000000" w:rsidRDefault="00000000">
            <w:pPr>
              <w:pStyle w:val="16"/>
              <w:spacing w:line="216" w:lineRule="auto"/>
            </w:pPr>
            <w:r>
              <w:t>Сумма пособий (в новых польских злотых)</w:t>
            </w:r>
          </w:p>
        </w:tc>
      </w:tr>
      <w:tr w:rsidR="00000000">
        <w:tblPrEx>
          <w:tblCellMar>
            <w:top w:w="0" w:type="dxa"/>
            <w:bottom w:w="0" w:type="dxa"/>
          </w:tblCellMar>
        </w:tblPrEx>
        <w:tc>
          <w:tcPr>
            <w:tcW w:w="3847" w:type="dxa"/>
          </w:tcPr>
          <w:p w:rsidR="00000000" w:rsidRDefault="00000000">
            <w:pPr>
              <w:pStyle w:val="FootnoteText"/>
              <w:spacing w:line="216" w:lineRule="auto"/>
            </w:pPr>
            <w:r>
              <w:t xml:space="preserve">Защита материнства (функции, возложенные на общины), </w:t>
            </w:r>
          </w:p>
          <w:p w:rsidR="00000000" w:rsidRDefault="00000000">
            <w:pPr>
              <w:pStyle w:val="FootnoteText"/>
              <w:tabs>
                <w:tab w:val="clear" w:pos="567"/>
              </w:tabs>
            </w:pPr>
            <w:r>
              <w:t>в том числе:</w:t>
            </w:r>
          </w:p>
        </w:tc>
        <w:tc>
          <w:tcPr>
            <w:tcW w:w="2992" w:type="dxa"/>
          </w:tcPr>
          <w:p w:rsidR="00000000" w:rsidRDefault="00000000">
            <w:pPr>
              <w:tabs>
                <w:tab w:val="clear" w:pos="567"/>
                <w:tab w:val="clear" w:pos="1701"/>
                <w:tab w:val="clear" w:pos="2268"/>
                <w:tab w:val="clear" w:pos="6237"/>
                <w:tab w:val="decimal" w:pos="1134"/>
              </w:tabs>
              <w:spacing w:line="240" w:lineRule="auto"/>
            </w:pPr>
          </w:p>
        </w:tc>
        <w:tc>
          <w:tcPr>
            <w:tcW w:w="2731" w:type="dxa"/>
          </w:tcPr>
          <w:p w:rsidR="00000000" w:rsidRDefault="00000000">
            <w:pPr>
              <w:tabs>
                <w:tab w:val="clear" w:pos="567"/>
                <w:tab w:val="clear" w:pos="1134"/>
                <w:tab w:val="clear" w:pos="1701"/>
                <w:tab w:val="clear" w:pos="2268"/>
                <w:tab w:val="clear" w:pos="6237"/>
                <w:tab w:val="decimal" w:pos="851"/>
              </w:tabs>
              <w:spacing w:line="240" w:lineRule="auto"/>
            </w:pPr>
          </w:p>
        </w:tc>
      </w:tr>
      <w:tr w:rsidR="00000000">
        <w:tblPrEx>
          <w:tblCellMar>
            <w:top w:w="0" w:type="dxa"/>
            <w:bottom w:w="0" w:type="dxa"/>
          </w:tblCellMar>
        </w:tblPrEx>
        <w:tc>
          <w:tcPr>
            <w:tcW w:w="3847" w:type="dxa"/>
          </w:tcPr>
          <w:p w:rsidR="00000000" w:rsidRDefault="00000000">
            <w:pPr>
              <w:pStyle w:val="FootnoteText"/>
              <w:tabs>
                <w:tab w:val="clear" w:pos="567"/>
              </w:tabs>
              <w:ind w:left="426"/>
            </w:pPr>
            <w:r>
              <w:t>пособия беременным женщинам и лицам, воспитывающим детей</w:t>
            </w:r>
          </w:p>
        </w:tc>
        <w:tc>
          <w:tcPr>
            <w:tcW w:w="2992" w:type="dxa"/>
          </w:tcPr>
          <w:p w:rsidR="00000000" w:rsidRDefault="00000000">
            <w:pPr>
              <w:tabs>
                <w:tab w:val="clear" w:pos="567"/>
                <w:tab w:val="clear" w:pos="1701"/>
                <w:tab w:val="clear" w:pos="2268"/>
                <w:tab w:val="clear" w:pos="6237"/>
                <w:tab w:val="decimal" w:pos="1134"/>
              </w:tabs>
              <w:spacing w:line="240" w:lineRule="auto"/>
            </w:pPr>
            <w:r>
              <w:t>1996 - 160 033</w:t>
            </w:r>
          </w:p>
          <w:p w:rsidR="00000000" w:rsidRDefault="00000000">
            <w:pPr>
              <w:tabs>
                <w:tab w:val="clear" w:pos="567"/>
                <w:tab w:val="clear" w:pos="1701"/>
                <w:tab w:val="clear" w:pos="2268"/>
                <w:tab w:val="clear" w:pos="6237"/>
                <w:tab w:val="decimal" w:pos="1134"/>
              </w:tabs>
              <w:spacing w:line="240" w:lineRule="auto"/>
            </w:pPr>
            <w:r>
              <w:t>1997 - 141 486</w:t>
            </w:r>
          </w:p>
          <w:p w:rsidR="00000000" w:rsidRDefault="00000000">
            <w:pPr>
              <w:tabs>
                <w:tab w:val="clear" w:pos="567"/>
                <w:tab w:val="clear" w:pos="1701"/>
                <w:tab w:val="clear" w:pos="2268"/>
                <w:tab w:val="clear" w:pos="6237"/>
                <w:tab w:val="decimal" w:pos="1134"/>
              </w:tabs>
              <w:spacing w:line="240" w:lineRule="auto"/>
            </w:pPr>
            <w:r>
              <w:t>1998 - 130 557</w:t>
            </w:r>
          </w:p>
        </w:tc>
        <w:tc>
          <w:tcPr>
            <w:tcW w:w="2731" w:type="dxa"/>
          </w:tcPr>
          <w:p w:rsidR="00000000" w:rsidRDefault="00000000">
            <w:pPr>
              <w:tabs>
                <w:tab w:val="clear" w:pos="567"/>
                <w:tab w:val="clear" w:pos="1134"/>
                <w:tab w:val="clear" w:pos="1701"/>
                <w:tab w:val="clear" w:pos="2268"/>
                <w:tab w:val="clear" w:pos="6237"/>
                <w:tab w:val="decimal" w:pos="851"/>
              </w:tabs>
              <w:spacing w:line="240" w:lineRule="auto"/>
            </w:pPr>
            <w:r>
              <w:t>1996 - 60 331 427</w:t>
            </w:r>
          </w:p>
          <w:p w:rsidR="00000000" w:rsidRDefault="00000000">
            <w:pPr>
              <w:tabs>
                <w:tab w:val="clear" w:pos="567"/>
                <w:tab w:val="clear" w:pos="1134"/>
                <w:tab w:val="clear" w:pos="1701"/>
                <w:tab w:val="clear" w:pos="2268"/>
                <w:tab w:val="clear" w:pos="6237"/>
                <w:tab w:val="decimal" w:pos="851"/>
              </w:tabs>
              <w:spacing w:line="240" w:lineRule="auto"/>
            </w:pPr>
            <w:r>
              <w:t>1997 - 60 188 883</w:t>
            </w:r>
          </w:p>
          <w:p w:rsidR="00000000" w:rsidRDefault="00000000">
            <w:pPr>
              <w:tabs>
                <w:tab w:val="clear" w:pos="567"/>
                <w:tab w:val="clear" w:pos="1134"/>
                <w:tab w:val="clear" w:pos="1701"/>
                <w:tab w:val="clear" w:pos="2268"/>
                <w:tab w:val="clear" w:pos="6237"/>
                <w:tab w:val="decimal" w:pos="851"/>
              </w:tabs>
              <w:spacing w:line="240" w:lineRule="auto"/>
            </w:pPr>
            <w:r>
              <w:t>1998 - 64 033 839</w:t>
            </w:r>
          </w:p>
        </w:tc>
      </w:tr>
      <w:tr w:rsidR="00000000">
        <w:tblPrEx>
          <w:tblCellMar>
            <w:top w:w="0" w:type="dxa"/>
            <w:bottom w:w="0" w:type="dxa"/>
          </w:tblCellMar>
        </w:tblPrEx>
        <w:tc>
          <w:tcPr>
            <w:tcW w:w="3847" w:type="dxa"/>
          </w:tcPr>
          <w:p w:rsidR="00000000" w:rsidRDefault="00000000">
            <w:pPr>
              <w:pStyle w:val="FootnoteText"/>
              <w:ind w:left="426"/>
            </w:pPr>
            <w:r>
              <w:t>разовое денежное пособие за ребенка</w:t>
            </w:r>
          </w:p>
        </w:tc>
        <w:tc>
          <w:tcPr>
            <w:tcW w:w="2992" w:type="dxa"/>
          </w:tcPr>
          <w:p w:rsidR="00000000" w:rsidRDefault="00000000">
            <w:pPr>
              <w:tabs>
                <w:tab w:val="clear" w:pos="567"/>
                <w:tab w:val="clear" w:pos="1701"/>
                <w:tab w:val="clear" w:pos="2268"/>
                <w:tab w:val="clear" w:pos="6237"/>
                <w:tab w:val="decimal" w:pos="1134"/>
              </w:tabs>
              <w:spacing w:line="240" w:lineRule="auto"/>
            </w:pPr>
            <w:r>
              <w:t>1996 - 130 012</w:t>
            </w:r>
          </w:p>
          <w:p w:rsidR="00000000" w:rsidRDefault="00000000">
            <w:pPr>
              <w:tabs>
                <w:tab w:val="clear" w:pos="567"/>
                <w:tab w:val="clear" w:pos="1701"/>
                <w:tab w:val="clear" w:pos="2268"/>
                <w:tab w:val="clear" w:pos="6237"/>
                <w:tab w:val="decimal" w:pos="1134"/>
              </w:tabs>
              <w:spacing w:line="240" w:lineRule="auto"/>
            </w:pPr>
            <w:r>
              <w:t>1997 - 115 071</w:t>
            </w:r>
          </w:p>
          <w:p w:rsidR="00000000" w:rsidRDefault="00000000">
            <w:pPr>
              <w:tabs>
                <w:tab w:val="clear" w:pos="567"/>
                <w:tab w:val="clear" w:pos="1701"/>
                <w:tab w:val="clear" w:pos="2268"/>
                <w:tab w:val="clear" w:pos="6237"/>
                <w:tab w:val="decimal" w:pos="1134"/>
              </w:tabs>
              <w:spacing w:line="240" w:lineRule="auto"/>
            </w:pPr>
            <w:r>
              <w:t>1998 - 106 354</w:t>
            </w:r>
          </w:p>
        </w:tc>
        <w:tc>
          <w:tcPr>
            <w:tcW w:w="2731" w:type="dxa"/>
          </w:tcPr>
          <w:p w:rsidR="00000000" w:rsidRDefault="00000000">
            <w:pPr>
              <w:tabs>
                <w:tab w:val="clear" w:pos="567"/>
                <w:tab w:val="clear" w:pos="1134"/>
                <w:tab w:val="clear" w:pos="1701"/>
                <w:tab w:val="clear" w:pos="2268"/>
                <w:tab w:val="clear" w:pos="6237"/>
                <w:tab w:val="decimal" w:pos="851"/>
              </w:tabs>
              <w:spacing w:line="240" w:lineRule="auto"/>
            </w:pPr>
            <w:r>
              <w:t>1996 - 13 807 103</w:t>
            </w:r>
          </w:p>
          <w:p w:rsidR="00000000" w:rsidRDefault="00000000">
            <w:pPr>
              <w:tabs>
                <w:tab w:val="clear" w:pos="567"/>
                <w:tab w:val="clear" w:pos="1134"/>
                <w:tab w:val="clear" w:pos="1701"/>
                <w:tab w:val="clear" w:pos="2268"/>
                <w:tab w:val="clear" w:pos="6237"/>
                <w:tab w:val="decimal" w:pos="851"/>
              </w:tabs>
              <w:spacing w:line="240" w:lineRule="auto"/>
            </w:pPr>
            <w:r>
              <w:t>1997 - 15 083 925</w:t>
            </w:r>
          </w:p>
          <w:p w:rsidR="00000000" w:rsidRDefault="00000000">
            <w:pPr>
              <w:tabs>
                <w:tab w:val="clear" w:pos="567"/>
                <w:tab w:val="clear" w:pos="1134"/>
                <w:tab w:val="clear" w:pos="1701"/>
                <w:tab w:val="clear" w:pos="2268"/>
                <w:tab w:val="clear" w:pos="6237"/>
                <w:tab w:val="decimal" w:pos="851"/>
              </w:tabs>
              <w:spacing w:line="240" w:lineRule="auto"/>
            </w:pPr>
            <w:r>
              <w:t>1998 - 15 703 942</w:t>
            </w:r>
          </w:p>
        </w:tc>
      </w:tr>
      <w:tr w:rsidR="00000000">
        <w:tblPrEx>
          <w:tblCellMar>
            <w:top w:w="0" w:type="dxa"/>
            <w:bottom w:w="0" w:type="dxa"/>
          </w:tblCellMar>
        </w:tblPrEx>
        <w:tc>
          <w:tcPr>
            <w:tcW w:w="3847" w:type="dxa"/>
          </w:tcPr>
          <w:p w:rsidR="00000000" w:rsidRDefault="00000000">
            <w:pPr>
              <w:pStyle w:val="FootnoteText"/>
            </w:pPr>
            <w:r>
              <w:t>Итого</w:t>
            </w:r>
          </w:p>
        </w:tc>
        <w:tc>
          <w:tcPr>
            <w:tcW w:w="2992" w:type="dxa"/>
          </w:tcPr>
          <w:p w:rsidR="00000000" w:rsidRDefault="00000000">
            <w:pPr>
              <w:tabs>
                <w:tab w:val="clear" w:pos="567"/>
                <w:tab w:val="clear" w:pos="1701"/>
                <w:tab w:val="clear" w:pos="2268"/>
                <w:tab w:val="clear" w:pos="6237"/>
                <w:tab w:val="decimal" w:pos="1134"/>
              </w:tabs>
              <w:spacing w:line="240" w:lineRule="auto"/>
            </w:pPr>
            <w:r>
              <w:t>1996 - 160 710</w:t>
            </w:r>
          </w:p>
          <w:p w:rsidR="00000000" w:rsidRDefault="00000000">
            <w:pPr>
              <w:tabs>
                <w:tab w:val="clear" w:pos="567"/>
                <w:tab w:val="clear" w:pos="1701"/>
                <w:tab w:val="clear" w:pos="2268"/>
                <w:tab w:val="clear" w:pos="6237"/>
                <w:tab w:val="decimal" w:pos="1134"/>
              </w:tabs>
              <w:spacing w:line="240" w:lineRule="auto"/>
            </w:pPr>
            <w:r>
              <w:t>1997 - 141 635</w:t>
            </w:r>
          </w:p>
          <w:p w:rsidR="00000000" w:rsidRDefault="00000000">
            <w:pPr>
              <w:tabs>
                <w:tab w:val="clear" w:pos="567"/>
                <w:tab w:val="clear" w:pos="1701"/>
                <w:tab w:val="clear" w:pos="2268"/>
                <w:tab w:val="clear" w:pos="6237"/>
                <w:tab w:val="decimal" w:pos="1134"/>
              </w:tabs>
              <w:spacing w:line="240" w:lineRule="auto"/>
            </w:pPr>
            <w:r>
              <w:t>1998 - 130 954</w:t>
            </w:r>
          </w:p>
        </w:tc>
        <w:tc>
          <w:tcPr>
            <w:tcW w:w="2731" w:type="dxa"/>
          </w:tcPr>
          <w:p w:rsidR="00000000" w:rsidRDefault="00000000">
            <w:pPr>
              <w:tabs>
                <w:tab w:val="clear" w:pos="567"/>
                <w:tab w:val="clear" w:pos="1134"/>
                <w:tab w:val="clear" w:pos="1701"/>
                <w:tab w:val="clear" w:pos="2268"/>
                <w:tab w:val="clear" w:pos="6237"/>
                <w:tab w:val="decimal" w:pos="851"/>
              </w:tabs>
              <w:spacing w:line="240" w:lineRule="auto"/>
            </w:pPr>
            <w:r>
              <w:t>1996 - 74 138 530</w:t>
            </w:r>
          </w:p>
          <w:p w:rsidR="00000000" w:rsidRDefault="00000000">
            <w:pPr>
              <w:tabs>
                <w:tab w:val="clear" w:pos="567"/>
                <w:tab w:val="clear" w:pos="1134"/>
                <w:tab w:val="clear" w:pos="1701"/>
                <w:tab w:val="clear" w:pos="2268"/>
                <w:tab w:val="clear" w:pos="6237"/>
                <w:tab w:val="decimal" w:pos="851"/>
              </w:tabs>
              <w:spacing w:line="240" w:lineRule="auto"/>
            </w:pPr>
            <w:r>
              <w:t>1997 - 75 272 535</w:t>
            </w:r>
          </w:p>
          <w:p w:rsidR="00000000" w:rsidRDefault="00000000">
            <w:pPr>
              <w:tabs>
                <w:tab w:val="clear" w:pos="567"/>
                <w:tab w:val="clear" w:pos="1134"/>
                <w:tab w:val="clear" w:pos="1701"/>
                <w:tab w:val="clear" w:pos="2268"/>
                <w:tab w:val="clear" w:pos="6237"/>
                <w:tab w:val="decimal" w:pos="851"/>
              </w:tabs>
              <w:spacing w:line="240" w:lineRule="auto"/>
            </w:pPr>
            <w:r>
              <w:t>1998 - 79 709 236</w:t>
            </w:r>
          </w:p>
        </w:tc>
      </w:tr>
      <w:tr w:rsidR="00000000">
        <w:tblPrEx>
          <w:tblCellMar>
            <w:top w:w="0" w:type="dxa"/>
            <w:bottom w:w="0" w:type="dxa"/>
          </w:tblCellMar>
        </w:tblPrEx>
        <w:tc>
          <w:tcPr>
            <w:tcW w:w="3847" w:type="dxa"/>
          </w:tcPr>
          <w:p w:rsidR="00000000" w:rsidRDefault="00000000">
            <w:pPr>
              <w:pStyle w:val="FootnoteText"/>
            </w:pPr>
            <w:r>
              <w:t>Гарантированные периодические выплаты (функции, возложенные на общины)</w:t>
            </w:r>
          </w:p>
        </w:tc>
        <w:tc>
          <w:tcPr>
            <w:tcW w:w="2992" w:type="dxa"/>
          </w:tcPr>
          <w:p w:rsidR="00000000" w:rsidRDefault="00000000">
            <w:pPr>
              <w:tabs>
                <w:tab w:val="clear" w:pos="567"/>
                <w:tab w:val="clear" w:pos="1701"/>
                <w:tab w:val="clear" w:pos="2268"/>
                <w:tab w:val="clear" w:pos="6237"/>
                <w:tab w:val="decimal" w:pos="1134"/>
              </w:tabs>
              <w:spacing w:line="240" w:lineRule="auto"/>
            </w:pPr>
            <w:r>
              <w:t>1996 - 26 000</w:t>
            </w:r>
          </w:p>
          <w:p w:rsidR="00000000" w:rsidRDefault="00000000">
            <w:pPr>
              <w:tabs>
                <w:tab w:val="clear" w:pos="567"/>
                <w:tab w:val="clear" w:pos="1701"/>
                <w:tab w:val="clear" w:pos="2268"/>
                <w:tab w:val="clear" w:pos="6237"/>
                <w:tab w:val="decimal" w:pos="1134"/>
              </w:tabs>
              <w:spacing w:line="240" w:lineRule="auto"/>
            </w:pPr>
            <w:r>
              <w:t>1997 - 51 314</w:t>
            </w:r>
          </w:p>
          <w:p w:rsidR="00000000" w:rsidRDefault="00000000">
            <w:pPr>
              <w:tabs>
                <w:tab w:val="clear" w:pos="567"/>
                <w:tab w:val="clear" w:pos="1701"/>
                <w:tab w:val="clear" w:pos="2268"/>
                <w:tab w:val="clear" w:pos="6237"/>
                <w:tab w:val="decimal" w:pos="1134"/>
              </w:tabs>
              <w:spacing w:line="240" w:lineRule="auto"/>
            </w:pPr>
            <w:r>
              <w:t>1998 - 58 740</w:t>
            </w:r>
          </w:p>
        </w:tc>
        <w:tc>
          <w:tcPr>
            <w:tcW w:w="2731" w:type="dxa"/>
          </w:tcPr>
          <w:p w:rsidR="00000000" w:rsidRDefault="00000000">
            <w:pPr>
              <w:tabs>
                <w:tab w:val="clear" w:pos="567"/>
                <w:tab w:val="clear" w:pos="1134"/>
                <w:tab w:val="clear" w:pos="1701"/>
                <w:tab w:val="clear" w:pos="2268"/>
                <w:tab w:val="clear" w:pos="6237"/>
                <w:tab w:val="decimal" w:pos="851"/>
              </w:tabs>
              <w:spacing w:line="240" w:lineRule="auto"/>
            </w:pPr>
            <w:r>
              <w:t>1996 - 10 616 000</w:t>
            </w:r>
          </w:p>
          <w:p w:rsidR="00000000" w:rsidRDefault="00000000">
            <w:pPr>
              <w:tabs>
                <w:tab w:val="clear" w:pos="567"/>
                <w:tab w:val="clear" w:pos="1134"/>
                <w:tab w:val="clear" w:pos="1701"/>
                <w:tab w:val="clear" w:pos="2268"/>
                <w:tab w:val="clear" w:pos="6237"/>
                <w:tab w:val="decimal" w:pos="851"/>
              </w:tabs>
              <w:spacing w:line="240" w:lineRule="auto"/>
            </w:pPr>
            <w:r>
              <w:t>1997 - 86 788 259</w:t>
            </w:r>
          </w:p>
          <w:p w:rsidR="00000000" w:rsidRDefault="00000000">
            <w:pPr>
              <w:tabs>
                <w:tab w:val="clear" w:pos="567"/>
                <w:tab w:val="clear" w:pos="1134"/>
                <w:tab w:val="clear" w:pos="1701"/>
                <w:tab w:val="clear" w:pos="2268"/>
                <w:tab w:val="clear" w:pos="6237"/>
                <w:tab w:val="decimal" w:pos="851"/>
              </w:tabs>
              <w:spacing w:line="240" w:lineRule="auto"/>
            </w:pPr>
            <w:r>
              <w:t>1998 - 187 947 246</w:t>
            </w:r>
          </w:p>
        </w:tc>
      </w:tr>
      <w:tr w:rsidR="00000000">
        <w:tblPrEx>
          <w:tblCellMar>
            <w:top w:w="0" w:type="dxa"/>
            <w:bottom w:w="0" w:type="dxa"/>
          </w:tblCellMar>
        </w:tblPrEx>
        <w:tc>
          <w:tcPr>
            <w:tcW w:w="3847" w:type="dxa"/>
          </w:tcPr>
          <w:p w:rsidR="00000000" w:rsidRDefault="00000000">
            <w:pPr>
              <w:pStyle w:val="FootnoteText"/>
              <w:keepNext/>
            </w:pPr>
            <w:r>
              <w:t>Постоянные пособия (функции, возложенные на общины), в том числе:</w:t>
            </w:r>
          </w:p>
        </w:tc>
        <w:tc>
          <w:tcPr>
            <w:tcW w:w="2992" w:type="dxa"/>
          </w:tcPr>
          <w:p w:rsidR="00000000" w:rsidRDefault="00000000">
            <w:pPr>
              <w:tabs>
                <w:tab w:val="clear" w:pos="567"/>
                <w:tab w:val="clear" w:pos="1701"/>
                <w:tab w:val="clear" w:pos="2268"/>
                <w:tab w:val="clear" w:pos="6237"/>
                <w:tab w:val="decimal" w:pos="1134"/>
              </w:tabs>
              <w:spacing w:line="240" w:lineRule="auto"/>
            </w:pPr>
          </w:p>
        </w:tc>
        <w:tc>
          <w:tcPr>
            <w:tcW w:w="2731" w:type="dxa"/>
          </w:tcPr>
          <w:p w:rsidR="00000000" w:rsidRDefault="00000000">
            <w:pPr>
              <w:tabs>
                <w:tab w:val="clear" w:pos="567"/>
                <w:tab w:val="clear" w:pos="1134"/>
                <w:tab w:val="clear" w:pos="1701"/>
                <w:tab w:val="clear" w:pos="2268"/>
                <w:tab w:val="clear" w:pos="6237"/>
                <w:tab w:val="decimal" w:pos="851"/>
              </w:tabs>
              <w:spacing w:line="240" w:lineRule="auto"/>
            </w:pPr>
          </w:p>
        </w:tc>
      </w:tr>
      <w:tr w:rsidR="00000000">
        <w:tblPrEx>
          <w:tblCellMar>
            <w:top w:w="0" w:type="dxa"/>
            <w:bottom w:w="0" w:type="dxa"/>
          </w:tblCellMar>
        </w:tblPrEx>
        <w:tc>
          <w:tcPr>
            <w:tcW w:w="3847" w:type="dxa"/>
          </w:tcPr>
          <w:p w:rsidR="00000000" w:rsidRDefault="00000000">
            <w:pPr>
              <w:pStyle w:val="FootnoteText"/>
              <w:keepNext/>
              <w:ind w:left="425"/>
            </w:pPr>
            <w:r>
              <w:t>для лиц, не поступающих на работу или уходящих с работы для воспитания детей, нуждающихся в уходе</w:t>
            </w:r>
          </w:p>
        </w:tc>
        <w:tc>
          <w:tcPr>
            <w:tcW w:w="2992" w:type="dxa"/>
          </w:tcPr>
          <w:p w:rsidR="00000000" w:rsidRDefault="00000000">
            <w:pPr>
              <w:tabs>
                <w:tab w:val="clear" w:pos="567"/>
                <w:tab w:val="clear" w:pos="1701"/>
                <w:tab w:val="clear" w:pos="2268"/>
                <w:tab w:val="clear" w:pos="6237"/>
                <w:tab w:val="decimal" w:pos="1134"/>
              </w:tabs>
              <w:spacing w:line="240" w:lineRule="auto"/>
            </w:pPr>
            <w:r>
              <w:t>1996 - 11 178</w:t>
            </w:r>
          </w:p>
          <w:p w:rsidR="00000000" w:rsidRDefault="00000000">
            <w:pPr>
              <w:tabs>
                <w:tab w:val="clear" w:pos="567"/>
                <w:tab w:val="clear" w:pos="1701"/>
                <w:tab w:val="clear" w:pos="2268"/>
                <w:tab w:val="clear" w:pos="6237"/>
                <w:tab w:val="decimal" w:pos="1134"/>
              </w:tabs>
              <w:spacing w:line="240" w:lineRule="auto"/>
            </w:pPr>
            <w:r>
              <w:t>1997 - 14 236</w:t>
            </w:r>
          </w:p>
          <w:p w:rsidR="00000000" w:rsidRDefault="00000000">
            <w:pPr>
              <w:tabs>
                <w:tab w:val="clear" w:pos="567"/>
                <w:tab w:val="clear" w:pos="1701"/>
                <w:tab w:val="clear" w:pos="2268"/>
                <w:tab w:val="clear" w:pos="6237"/>
                <w:tab w:val="decimal" w:pos="1134"/>
              </w:tabs>
              <w:spacing w:line="240" w:lineRule="auto"/>
            </w:pPr>
            <w:r>
              <w:t>1998 - 20 314</w:t>
            </w:r>
          </w:p>
        </w:tc>
        <w:tc>
          <w:tcPr>
            <w:tcW w:w="2731" w:type="dxa"/>
          </w:tcPr>
          <w:p w:rsidR="00000000" w:rsidRDefault="00000000">
            <w:pPr>
              <w:tabs>
                <w:tab w:val="clear" w:pos="567"/>
                <w:tab w:val="clear" w:pos="1134"/>
                <w:tab w:val="clear" w:pos="1701"/>
                <w:tab w:val="clear" w:pos="2268"/>
                <w:tab w:val="clear" w:pos="6237"/>
                <w:tab w:val="decimal" w:pos="851"/>
              </w:tabs>
              <w:spacing w:line="240" w:lineRule="auto"/>
            </w:pPr>
            <w:r>
              <w:t>1996 - 9 193 206</w:t>
            </w:r>
          </w:p>
          <w:p w:rsidR="00000000" w:rsidRDefault="00000000">
            <w:pPr>
              <w:tabs>
                <w:tab w:val="clear" w:pos="567"/>
                <w:tab w:val="clear" w:pos="1134"/>
                <w:tab w:val="clear" w:pos="1701"/>
                <w:tab w:val="clear" w:pos="2268"/>
                <w:tab w:val="clear" w:pos="6237"/>
                <w:tab w:val="decimal" w:pos="851"/>
              </w:tabs>
              <w:spacing w:line="240" w:lineRule="auto"/>
            </w:pPr>
            <w:r>
              <w:t>1997 - 34 570 246</w:t>
            </w:r>
          </w:p>
          <w:p w:rsidR="00000000" w:rsidRDefault="00000000">
            <w:pPr>
              <w:tabs>
                <w:tab w:val="clear" w:pos="567"/>
                <w:tab w:val="clear" w:pos="1134"/>
                <w:tab w:val="clear" w:pos="1701"/>
                <w:tab w:val="clear" w:pos="2268"/>
                <w:tab w:val="clear" w:pos="6237"/>
                <w:tab w:val="decimal" w:pos="851"/>
              </w:tabs>
              <w:spacing w:line="240" w:lineRule="auto"/>
            </w:pPr>
            <w:r>
              <w:t>1998 - 59 290 333</w:t>
            </w:r>
          </w:p>
        </w:tc>
      </w:tr>
      <w:tr w:rsidR="00000000">
        <w:tblPrEx>
          <w:tblCellMar>
            <w:top w:w="0" w:type="dxa"/>
            <w:bottom w:w="0" w:type="dxa"/>
          </w:tblCellMar>
        </w:tblPrEx>
        <w:tc>
          <w:tcPr>
            <w:tcW w:w="3847" w:type="dxa"/>
          </w:tcPr>
          <w:p w:rsidR="00000000" w:rsidRDefault="00000000">
            <w:pPr>
              <w:pStyle w:val="FootnoteText"/>
              <w:ind w:left="426"/>
            </w:pPr>
            <w:r>
              <w:t>для лиц, воспитывающих детей, достигших 18-летнего возраста и не способных самостоятельно заботиться о себе</w:t>
            </w:r>
          </w:p>
        </w:tc>
        <w:tc>
          <w:tcPr>
            <w:tcW w:w="2992" w:type="dxa"/>
          </w:tcPr>
          <w:p w:rsidR="00000000" w:rsidRDefault="00000000">
            <w:pPr>
              <w:tabs>
                <w:tab w:val="clear" w:pos="567"/>
                <w:tab w:val="clear" w:pos="1701"/>
                <w:tab w:val="clear" w:pos="2268"/>
                <w:tab w:val="clear" w:pos="6237"/>
                <w:tab w:val="decimal" w:pos="1134"/>
              </w:tabs>
              <w:spacing w:line="240" w:lineRule="auto"/>
            </w:pPr>
            <w:r>
              <w:t>1996 - 434</w:t>
            </w:r>
          </w:p>
          <w:p w:rsidR="00000000" w:rsidRDefault="00000000">
            <w:pPr>
              <w:tabs>
                <w:tab w:val="clear" w:pos="567"/>
                <w:tab w:val="clear" w:pos="1701"/>
                <w:tab w:val="clear" w:pos="2268"/>
                <w:tab w:val="clear" w:pos="6237"/>
                <w:tab w:val="decimal" w:pos="1134"/>
              </w:tabs>
              <w:spacing w:line="240" w:lineRule="auto"/>
            </w:pPr>
            <w:r>
              <w:t>1997 - 530</w:t>
            </w:r>
          </w:p>
          <w:p w:rsidR="00000000" w:rsidRDefault="00000000">
            <w:pPr>
              <w:tabs>
                <w:tab w:val="clear" w:pos="567"/>
                <w:tab w:val="clear" w:pos="1701"/>
                <w:tab w:val="clear" w:pos="2268"/>
                <w:tab w:val="clear" w:pos="6237"/>
                <w:tab w:val="decimal" w:pos="1134"/>
              </w:tabs>
              <w:spacing w:line="240" w:lineRule="auto"/>
            </w:pPr>
            <w:r>
              <w:t>1998 - 690</w:t>
            </w:r>
          </w:p>
        </w:tc>
        <w:tc>
          <w:tcPr>
            <w:tcW w:w="2731" w:type="dxa"/>
          </w:tcPr>
          <w:p w:rsidR="00000000" w:rsidRDefault="00000000">
            <w:pPr>
              <w:tabs>
                <w:tab w:val="clear" w:pos="567"/>
                <w:tab w:val="clear" w:pos="1134"/>
                <w:tab w:val="clear" w:pos="1701"/>
                <w:tab w:val="clear" w:pos="2268"/>
                <w:tab w:val="clear" w:pos="6237"/>
                <w:tab w:val="decimal" w:pos="851"/>
              </w:tabs>
              <w:spacing w:line="240" w:lineRule="auto"/>
            </w:pPr>
            <w:r>
              <w:t>1996 - 366 373</w:t>
            </w:r>
          </w:p>
          <w:p w:rsidR="00000000" w:rsidRDefault="00000000">
            <w:pPr>
              <w:tabs>
                <w:tab w:val="clear" w:pos="567"/>
                <w:tab w:val="clear" w:pos="1134"/>
                <w:tab w:val="clear" w:pos="1701"/>
                <w:tab w:val="clear" w:pos="2268"/>
                <w:tab w:val="clear" w:pos="6237"/>
                <w:tab w:val="decimal" w:pos="851"/>
              </w:tabs>
              <w:spacing w:line="240" w:lineRule="auto"/>
            </w:pPr>
            <w:r>
              <w:t>1997 -1 287 302</w:t>
            </w:r>
          </w:p>
          <w:p w:rsidR="00000000" w:rsidRDefault="00000000">
            <w:pPr>
              <w:tabs>
                <w:tab w:val="clear" w:pos="567"/>
                <w:tab w:val="clear" w:pos="1134"/>
                <w:tab w:val="clear" w:pos="1701"/>
                <w:tab w:val="clear" w:pos="2268"/>
                <w:tab w:val="clear" w:pos="6237"/>
                <w:tab w:val="decimal" w:pos="851"/>
              </w:tabs>
              <w:spacing w:line="240" w:lineRule="auto"/>
            </w:pPr>
            <w:r>
              <w:t>1998 - 2 088 834</w:t>
            </w:r>
          </w:p>
        </w:tc>
      </w:tr>
      <w:tr w:rsidR="00000000">
        <w:tblPrEx>
          <w:tblCellMar>
            <w:top w:w="0" w:type="dxa"/>
            <w:bottom w:w="0" w:type="dxa"/>
          </w:tblCellMar>
        </w:tblPrEx>
        <w:tc>
          <w:tcPr>
            <w:tcW w:w="3847" w:type="dxa"/>
          </w:tcPr>
          <w:p w:rsidR="00000000" w:rsidRDefault="00000000">
            <w:pPr>
              <w:pStyle w:val="FootnoteText"/>
            </w:pPr>
            <w:r>
              <w:t>Выплаты натурой ("приданое")</w:t>
            </w:r>
          </w:p>
          <w:p w:rsidR="00000000" w:rsidRDefault="00000000">
            <w:pPr>
              <w:pStyle w:val="FootnoteText"/>
            </w:pPr>
            <w:r>
              <w:t>(функции общины)</w:t>
            </w:r>
          </w:p>
        </w:tc>
        <w:tc>
          <w:tcPr>
            <w:tcW w:w="2992" w:type="dxa"/>
          </w:tcPr>
          <w:p w:rsidR="00000000" w:rsidRDefault="00000000">
            <w:pPr>
              <w:tabs>
                <w:tab w:val="clear" w:pos="567"/>
                <w:tab w:val="clear" w:pos="1701"/>
                <w:tab w:val="clear" w:pos="2268"/>
                <w:tab w:val="clear" w:pos="6237"/>
                <w:tab w:val="decimal" w:pos="1134"/>
              </w:tabs>
              <w:spacing w:line="240" w:lineRule="auto"/>
            </w:pPr>
            <w:r>
              <w:t>1996 - 22 821</w:t>
            </w:r>
          </w:p>
          <w:p w:rsidR="00000000" w:rsidRDefault="00000000">
            <w:pPr>
              <w:tabs>
                <w:tab w:val="clear" w:pos="567"/>
                <w:tab w:val="clear" w:pos="1701"/>
                <w:tab w:val="clear" w:pos="2268"/>
                <w:tab w:val="clear" w:pos="6237"/>
                <w:tab w:val="decimal" w:pos="1134"/>
              </w:tabs>
              <w:spacing w:line="240" w:lineRule="auto"/>
            </w:pPr>
            <w:r>
              <w:t>1997 - 22 463</w:t>
            </w:r>
          </w:p>
          <w:p w:rsidR="00000000" w:rsidRDefault="00000000">
            <w:pPr>
              <w:pStyle w:val="FootnoteText"/>
              <w:tabs>
                <w:tab w:val="clear" w:pos="567"/>
                <w:tab w:val="clear" w:pos="1701"/>
                <w:tab w:val="clear" w:pos="2268"/>
                <w:tab w:val="clear" w:pos="6237"/>
                <w:tab w:val="decimal" w:pos="1134"/>
              </w:tabs>
            </w:pPr>
            <w:r>
              <w:t>1998 - 24 164</w:t>
            </w:r>
          </w:p>
        </w:tc>
        <w:tc>
          <w:tcPr>
            <w:tcW w:w="2731" w:type="dxa"/>
          </w:tcPr>
          <w:p w:rsidR="00000000" w:rsidRDefault="00000000">
            <w:pPr>
              <w:tabs>
                <w:tab w:val="clear" w:pos="567"/>
                <w:tab w:val="clear" w:pos="1134"/>
                <w:tab w:val="clear" w:pos="1701"/>
                <w:tab w:val="clear" w:pos="2268"/>
                <w:tab w:val="clear" w:pos="6237"/>
                <w:tab w:val="decimal" w:pos="851"/>
              </w:tabs>
              <w:spacing w:line="240" w:lineRule="auto"/>
            </w:pPr>
            <w:r>
              <w:t>1996 - 2 274 297</w:t>
            </w:r>
          </w:p>
          <w:p w:rsidR="00000000" w:rsidRDefault="00000000">
            <w:pPr>
              <w:tabs>
                <w:tab w:val="clear" w:pos="567"/>
                <w:tab w:val="clear" w:pos="1134"/>
                <w:tab w:val="clear" w:pos="1701"/>
                <w:tab w:val="clear" w:pos="2268"/>
                <w:tab w:val="clear" w:pos="6237"/>
                <w:tab w:val="decimal" w:pos="851"/>
              </w:tabs>
              <w:spacing w:line="240" w:lineRule="auto"/>
            </w:pPr>
            <w:r>
              <w:t>1997 - 2 563 134</w:t>
            </w:r>
          </w:p>
          <w:p w:rsidR="00000000" w:rsidRDefault="00000000">
            <w:pPr>
              <w:tabs>
                <w:tab w:val="clear" w:pos="567"/>
                <w:tab w:val="clear" w:pos="1134"/>
                <w:tab w:val="clear" w:pos="1701"/>
                <w:tab w:val="clear" w:pos="2268"/>
                <w:tab w:val="clear" w:pos="6237"/>
                <w:tab w:val="decimal" w:pos="851"/>
              </w:tabs>
              <w:spacing w:line="240" w:lineRule="auto"/>
            </w:pPr>
            <w:r>
              <w:t>1998 - 3 075 304</w:t>
            </w:r>
          </w:p>
        </w:tc>
      </w:tr>
    </w:tbl>
    <w:p w:rsidR="00000000" w:rsidRDefault="00000000">
      <w:pPr>
        <w:pStyle w:val="FootnoteText"/>
      </w:pPr>
    </w:p>
    <w:p w:rsidR="00000000" w:rsidRDefault="00000000">
      <w:pPr>
        <w:spacing w:line="240" w:lineRule="auto"/>
      </w:pPr>
      <w:r>
        <w:tab/>
      </w:r>
      <w:r>
        <w:rPr>
          <w:u w:val="single"/>
        </w:rPr>
        <w:t>Источник</w:t>
      </w:r>
      <w:r>
        <w:t>:  данные Департамента социальной помощи министерства труда и социальной политики.</w:t>
      </w:r>
    </w:p>
    <w:p w:rsidR="00000000" w:rsidRDefault="00000000"/>
    <w:p w:rsidR="00000000" w:rsidRDefault="00000000">
      <w:r>
        <w:t>166.</w:t>
      </w:r>
      <w:r>
        <w:tab/>
        <w:t>Отдельные лица или члены семей, нуждающиеся в уходе в связи с возрастом, состоянием здоровья или в силу иных причин, могут получать помощь от центров социальной помощи в виде простых или специальных услуг по уходу.  Основные услуги по уходу включают помощь в удовлетворении основных потребностей (например, покупка необходимых товаров, приготовление пищи), гигиенический уход, уход, рекомендованный врачом, и, по возможности, обеспечение общения с окружающим миром.  Специальные услуги по уходу предоставляются в соответствии с конкретными потребностями пациента или инвалида и оказываются лицами, прошедшими специальную подготовку.  Эти услуги можно получить по месту жительства, а также в центрах поддержки (социальных приютах, общинных центрах самопомощи и центрах по уходу), где организовано питание, трудотерапия, реабилитационные процедуры и культурно-развлекательные мероприятия.</w:t>
      </w:r>
    </w:p>
    <w:p w:rsidR="00000000" w:rsidRDefault="00000000"/>
    <w:p w:rsidR="00000000" w:rsidRDefault="00000000">
      <w:r>
        <w:t>167.</w:t>
      </w:r>
      <w:r>
        <w:tab/>
        <w:t>Если предоставление таких услуг по месту жительства является невозможным или неоправданным в силу определенных обстоятельств (материальных, семейных или жилищных), соответствующее лицо может ходатайствовать о помещении его в социальный приют, являющийся учреждением для постоянного проживания, где обеспечивается круглосуточный уход.  Эти заведения в зависимости от категории лиц, для которых они предназначены, делятся на следующие категории:</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ind w:left="1134" w:hanging="567"/>
      </w:pPr>
      <w:r>
        <w:t>-</w:t>
      </w:r>
      <w:r>
        <w:tab/>
        <w:t>дома престарелых;</w:t>
      </w:r>
    </w:p>
    <w:p w:rsidR="00000000" w:rsidRDefault="00000000">
      <w:pPr>
        <w:ind w:left="1134" w:hanging="567"/>
      </w:pPr>
      <w:r>
        <w:t>-</w:t>
      </w:r>
      <w:r>
        <w:tab/>
        <w:t>дома для лиц с хроническими соматическими заболеваниями;</w:t>
      </w:r>
    </w:p>
    <w:p w:rsidR="00000000" w:rsidRDefault="00000000">
      <w:pPr>
        <w:ind w:left="1134" w:hanging="567"/>
      </w:pPr>
      <w:r>
        <w:t>-</w:t>
      </w:r>
      <w:r>
        <w:tab/>
        <w:t>дома для душевнобольных;</w:t>
      </w:r>
    </w:p>
    <w:p w:rsidR="00000000" w:rsidRDefault="00000000">
      <w:pPr>
        <w:ind w:left="1134" w:hanging="567"/>
      </w:pPr>
      <w:r>
        <w:t>-</w:t>
      </w:r>
      <w:r>
        <w:tab/>
        <w:t>дома для лиц, страдающих хроническими психическими заболеваниями;</w:t>
      </w:r>
    </w:p>
    <w:p w:rsidR="00000000" w:rsidRDefault="00000000">
      <w:pPr>
        <w:ind w:left="1134" w:hanging="567"/>
      </w:pPr>
      <w:r>
        <w:t>-</w:t>
      </w:r>
      <w:r>
        <w:tab/>
        <w:t>дома для лиц с физической инвалидностью;</w:t>
      </w:r>
    </w:p>
    <w:p w:rsidR="00000000" w:rsidRDefault="00000000">
      <w:pPr>
        <w:ind w:left="1134" w:hanging="567"/>
      </w:pPr>
      <w:r>
        <w:t>-</w:t>
      </w:r>
      <w:r>
        <w:tab/>
        <w:t>дома для одиноких беременных женщин и матерей-одиночек, имеющих малолетних детей.</w:t>
      </w:r>
    </w:p>
    <w:p w:rsidR="00000000" w:rsidRDefault="00000000"/>
    <w:p w:rsidR="00000000" w:rsidRDefault="00000000">
      <w:r>
        <w:t>168.</w:t>
      </w:r>
      <w:r>
        <w:tab/>
        <w:t>В центрах социальной помощи обеспечивается повседневный уход и удовлетворение основных образовательных, социальных и религиозных потребностей согласно соответствующим стандартам.  Плата за пребывание в этих учреждениях устанавливается в зависимости от уровня дохода данного лица или душевого дохода семьи.</w:t>
      </w:r>
    </w:p>
    <w:p w:rsidR="00000000" w:rsidRDefault="00000000"/>
    <w:p w:rsidR="00000000" w:rsidRDefault="00000000">
      <w:r>
        <w:t>169.</w:t>
      </w:r>
      <w:r>
        <w:tab/>
        <w:t>Центры социальной помощи также предоставляют помощь лицам и семьям, находящимся в затруднительном положении, в форме социальной деятельности и оказания специальных консультативных услуг, включая услуги юристов, психологов и педагогов.  Социальный работник может также оказывать помощь в выполнении некоторых формальностей или в вопросах, касающихся жилищных условий, а также в деле общения с окружающим миром.  Помощь в виде социальной работы и консультаций предоставляется независимо от дохода.</w:t>
      </w:r>
    </w:p>
    <w:p w:rsidR="00000000" w:rsidRDefault="00000000"/>
    <w:p w:rsidR="00000000" w:rsidRDefault="00000000">
      <w:r>
        <w:t>170.</w:t>
      </w:r>
      <w:r>
        <w:tab/>
        <w:t>Помимо социальной работы и выполнения обязательств, вытекающих из Закона о социальном вспомоществовании и правительственных постановлений в отношении лиц и семей, находящихся в затруднительном положении, были учреждены различные программы помощи в интересах наиболее уязвимых групп общества.  На протяжении ряда лет детям из беднейших семей предоставляется дополнительное питание, а для детей, проживающих в крупных городах и районах с высокой степенью загрязнения окружающей среды, организуются программы отдыха в период каникул.  К числу других видов помощи можно отнести:  санаторно-курортное лечение для взрослых и детей-инвалидов, кампании по борьбе с насилием в семье, меры в интересах престарелых (организация кружков для престарелых и пенсионеров), а также многие другие мероприятия, обусловленные текущими потребностями.  Зачастую инициативу на местах проявляют сами заинтересованные лица в целях объединения, установления личных контактов, обмена информацией и оказания взаимной помощи.  В результате инициатив самопомощи, предпринятых в интересах лиц, страдающих алкоголизмом и наркоманией, были созданы специальные телефонные линии, по которым можно в любое время получить консультации и поддержку специалистов.</w:t>
      </w:r>
    </w:p>
    <w:p w:rsidR="00000000" w:rsidRDefault="00000000"/>
    <w:p w:rsidR="00000000" w:rsidRDefault="00000000">
      <w:r>
        <w:t>171.</w:t>
      </w:r>
      <w:r>
        <w:tab/>
        <w:t>За последние несколько лет была расширена система образования для подготовки сотрудников системы социального вспомоществования и профессиональной подготовки лиц, уже работающих в центрах социальной помощи.  В 1995 году решением министра труда и социальной политики была утверждена программная документация для работников социальной сферы, в соответствии с которой была установлена минимальная обязательная учебная программа для учебных заведений по подготовке работников социальной сферы.  В 1997 году распоряжением министра были установлены специальные степени в деле социальной деятельности для профессиональных работников социальной сферы.  Проводятся специальные занятия в области организации социальной помощи для лиц, возглавляющих или готовящихся возглавить организационные подразделения системы социального вспомоществования.</w:t>
      </w:r>
    </w:p>
    <w:p w:rsidR="00000000" w:rsidRDefault="00000000"/>
    <w:p w:rsidR="00000000" w:rsidRDefault="00000000">
      <w:r>
        <w:t>172.</w:t>
      </w:r>
      <w:r>
        <w:tab/>
        <w:t>Работа государственных учреждений в области социального вспомоществования дополняется деятельностью добровольцев, входящих в различные общественные организации самопомощи, общества, фонды и религиозные группы.  Органы государственного управления и местные органы самоуправления могут на контрактной основе привлекать к выполнению задач в области социальной помощи общественные организации, церкви и группы верующих, фонды, ассоциации, работодателей, а также физических и юридических лиц (статья 12 Закона о социальном вспомоществовании).</w:t>
      </w:r>
    </w:p>
    <w:p w:rsidR="00000000" w:rsidRDefault="00000000"/>
    <w:p w:rsidR="00000000" w:rsidRDefault="00000000">
      <w:r>
        <w:t>173.</w:t>
      </w:r>
      <w:r>
        <w:tab/>
        <w:t>Закон о социальном вспомоществовании имеет обязательную силу на территории всей страны;  право на социальную защиту предоставляется также иностранцам, имеющим вид на жительство или статус беженцев или постоянно проживающим на территории Республики Польши.</w:t>
      </w:r>
    </w:p>
    <w:p w:rsidR="00000000" w:rsidRDefault="00000000"/>
    <w:p w:rsidR="00000000" w:rsidRDefault="00000000">
      <w:pPr>
        <w:pStyle w:val="Heading3"/>
        <w:keepNext w:val="0"/>
        <w:rPr>
          <w:b/>
          <w:bCs/>
          <w:i w:val="0"/>
        </w:rPr>
      </w:pPr>
      <w:r>
        <w:rPr>
          <w:b/>
          <w:bCs/>
          <w:i w:val="0"/>
        </w:rPr>
        <w:t>Социальная помощь и инвалиды</w:t>
      </w:r>
    </w:p>
    <w:p w:rsidR="00000000" w:rsidRDefault="00000000">
      <w:pPr>
        <w:pStyle w:val="Heading3"/>
        <w:keepNext w:val="0"/>
        <w:rPr>
          <w:iCs/>
        </w:rPr>
      </w:pPr>
    </w:p>
    <w:p w:rsidR="00000000" w:rsidRDefault="00000000">
      <w:r>
        <w:t>174.</w:t>
      </w:r>
      <w:r>
        <w:tab/>
        <w:t>Инвалиды и ухаживающие за ними лица/семьи могли в 1995-1998 годах ходатайствовать о предоставлении следующих пособий:</w:t>
      </w:r>
    </w:p>
    <w:p w:rsidR="00000000" w:rsidRDefault="00000000"/>
    <w:p w:rsidR="00000000" w:rsidRDefault="00000000">
      <w:pPr>
        <w:ind w:left="1134" w:hanging="1134"/>
      </w:pPr>
      <w:r>
        <w:tab/>
        <w:t>-</w:t>
      </w:r>
      <w:r>
        <w:tab/>
        <w:t>постоянного пособия для неработающих лиц, воспитывающих ребенка, который нуждается в регулярном уходе в форме личной помощи и услуг няни или же в систематической помощи в деле обучения и проведения лечебных или реабилитационных процедур, если такой ребенок имеет право на получение пособия по уходу и если доход семьи не превышает двукратной суммы критерия дохода.  За лиц, имеющих право на получение данного пособия, выплачивается взнос по линии страхования пенсии за выслугу лет или иного пенсионного страхования, если только на такое лицо не распространяется положение об обязательном страховании в силу иных обстоятельств;</w:t>
      </w:r>
    </w:p>
    <w:p w:rsidR="00000000" w:rsidRDefault="00000000">
      <w:pPr>
        <w:ind w:left="1134" w:hanging="1134"/>
      </w:pPr>
    </w:p>
    <w:p w:rsidR="00000000" w:rsidRDefault="00000000">
      <w:pPr>
        <w:ind w:left="1134" w:hanging="1134"/>
      </w:pPr>
      <w:r>
        <w:tab/>
        <w:t>-</w:t>
      </w:r>
      <w:r>
        <w:tab/>
        <w:t>постоянной компенсации одиноким или семейным лицам, являющимся нетрудоспособными, в частности вследствие инвалидности;</w:t>
      </w:r>
    </w:p>
    <w:p w:rsidR="00000000" w:rsidRDefault="00000000">
      <w:pPr>
        <w:ind w:left="1134" w:hanging="1134"/>
      </w:pPr>
    </w:p>
    <w:p w:rsidR="00000000" w:rsidRDefault="00000000">
      <w:pPr>
        <w:ind w:left="1134" w:hanging="1134"/>
      </w:pPr>
      <w:r>
        <w:tab/>
        <w:t>-</w:t>
      </w:r>
      <w:r>
        <w:tab/>
        <w:t>периодических пособий, предоставляемых в связи с инвалидностью или временно низким доходом;</w:t>
      </w:r>
    </w:p>
    <w:p w:rsidR="00000000" w:rsidRDefault="00000000">
      <w:pPr>
        <w:ind w:left="1134" w:hanging="1134"/>
      </w:pPr>
    </w:p>
    <w:p w:rsidR="00000000" w:rsidRDefault="00000000">
      <w:pPr>
        <w:ind w:left="1134" w:hanging="1134"/>
      </w:pPr>
      <w:r>
        <w:tab/>
        <w:t>-</w:t>
      </w:r>
      <w:r>
        <w:tab/>
        <w:t>социальной пенсии для лиц, являющихся полностью нетрудоспособными по причине инвалидности.</w:t>
      </w:r>
    </w:p>
    <w:p w:rsidR="00000000" w:rsidRDefault="00000000">
      <w:pPr>
        <w:ind w:left="1134" w:hanging="1134"/>
      </w:pPr>
    </w:p>
    <w:p w:rsidR="00000000" w:rsidRDefault="00000000">
      <w:r>
        <w:t>175.</w:t>
      </w:r>
      <w:r>
        <w:tab/>
        <w:t>Такое пособие было введено поправкой к Закону от 28 июня 1996 года (Законодательный вестник № 100, текст 459).  Это пособие распространялось на часть лиц, ранее получавших в рамках социального вспомоществования постоянное пособие и так называемую "школьную пенсию".  Ниже указано число лиц, получавших пособия в 1996 и 1997 годах, и сумма выплаченных пособий:</w:t>
      </w:r>
    </w:p>
    <w:p w:rsidR="00000000" w:rsidRDefault="00000000"/>
    <w:p w:rsidR="00000000" w:rsidRDefault="00000000">
      <w:pPr>
        <w:ind w:left="1134" w:hanging="1134"/>
      </w:pPr>
      <w:r>
        <w:tab/>
        <w:t>-</w:t>
      </w:r>
      <w:r>
        <w:tab/>
        <w:t>1996 год:  число пособий - 303 824;  общая сумма выплаченных пособий - 74 594 701 польский новый злотый;</w:t>
      </w:r>
    </w:p>
    <w:p w:rsidR="00000000" w:rsidRDefault="00000000">
      <w:pPr>
        <w:ind w:left="1134" w:hanging="1134"/>
      </w:pPr>
    </w:p>
    <w:p w:rsidR="00000000" w:rsidRDefault="00000000">
      <w:pPr>
        <w:ind w:left="1134" w:hanging="1134"/>
      </w:pPr>
      <w:r>
        <w:tab/>
        <w:t>-</w:t>
      </w:r>
      <w:r>
        <w:tab/>
        <w:t>1997 год:  число пособий - 1 311 427;  общая сумма выплаченных пособий - 359 237 902 польских новых злотых.</w:t>
      </w:r>
    </w:p>
    <w:p w:rsidR="00000000" w:rsidRDefault="00000000">
      <w:pPr>
        <w:ind w:left="1134" w:hanging="1134"/>
      </w:pPr>
    </w:p>
    <w:p w:rsidR="00000000" w:rsidRDefault="00000000">
      <w:r>
        <w:t>176.</w:t>
      </w:r>
      <w:r>
        <w:tab/>
        <w:t>Инвалиды могут пользоваться различными видами социальной помощи;  так, например, лица с болезнями опорно-двигательного аппарата и ограниченными коммуникативными возможностями могут теперь активно участвовать в жизни общества и той общины, где они проживают.  Для этого может предоставляться помощь в обеспечении специальных средств связи и передачи информации или в перестройке жилых помещений в соответствии с потребностями инвалидов и т.д.</w:t>
      </w:r>
    </w:p>
    <w:p w:rsidR="00000000" w:rsidRDefault="00000000"/>
    <w:p w:rsidR="00000000" w:rsidRDefault="00000000">
      <w:pPr>
        <w:pStyle w:val="BodyTextIndent3"/>
      </w:pPr>
      <w:r>
        <w:t>12.</w:t>
      </w:r>
      <w:r>
        <w:tab/>
        <w:t>Пособия, выплачиваемые инвалидам вне системы социального страхования и социального вспомоществования</w:t>
      </w:r>
    </w:p>
    <w:p w:rsidR="00000000" w:rsidRDefault="00000000"/>
    <w:p w:rsidR="00000000" w:rsidRDefault="00000000">
      <w:r>
        <w:t>177.</w:t>
      </w:r>
      <w:r>
        <w:tab/>
        <w:t>Закон от 27 августа 1997 года о профессиональной и социальной реабилитации и трудоустройстве инвалидов изменил и расширил ранее действовавшие правила.  Инвалид, зарегистрированный в бюро по трудоустройству в качестве безработного или лица, ищущего работу, имеет право на получение услуг по трудоустройству и консультативных услуг, услуг в области профессиональной подготовки и переподготовки за счет средств Государственного фонда реабилитации инвалидов.  Эти лица могут также получать займы из этого Фонда для занятия экономической или сельскохозяйственной деятельностью.  Инвалиды, занимающиеся экономической деятельностью или самостоятельно ведущие свое домашнее хозяйство в собственном или арендуемом жилье, могут получать из этого Фонда средства для финансирования до половины процентов по займам.  Лица, состояние здоровья которых не позволяет им работать, могут посещать курсы трудотерапии с целью социальной реабилитации и подготовки к трудовой деятельности.  При этом их участники получают определенную сумму на карманные расходы, составляющую 20% минимальной заработной платы.  Эти средства используются для "экономической подготовки" в соответствии с потребностями участников.  Расходы по организации таких курсов и их функционированию покрываются (полностью или частично) за счет средств Фонда, которые шли также на поддержку деятельности неправительственных организаций в интересах инвалидов.  После 1998 года студенты-инвалиды, учащиеся на дневных отделениях, стали иметь право на получение специальных учебных пособий из госбюджета независимо от других стипендий и пособий.</w:t>
      </w:r>
    </w:p>
    <w:p w:rsidR="00000000" w:rsidRDefault="00000000"/>
    <w:p w:rsidR="00000000" w:rsidRDefault="00000000">
      <w:pPr>
        <w:rPr>
          <w:b/>
          <w:bCs/>
        </w:rPr>
      </w:pPr>
      <w:r>
        <w:tab/>
      </w:r>
      <w:r>
        <w:rPr>
          <w:b/>
          <w:bCs/>
        </w:rPr>
        <w:t>13.</w:t>
      </w:r>
      <w:r>
        <w:rPr>
          <w:b/>
          <w:bCs/>
        </w:rPr>
        <w:tab/>
        <w:t>Социальное страхование крестьян</w:t>
      </w:r>
    </w:p>
    <w:p w:rsidR="00000000" w:rsidRDefault="00000000">
      <w:pPr>
        <w:rPr>
          <w:u w:val="single"/>
        </w:rPr>
      </w:pPr>
    </w:p>
    <w:p w:rsidR="00000000" w:rsidRDefault="00000000">
      <w:r>
        <w:t>178.</w:t>
      </w:r>
      <w:r>
        <w:tab/>
        <w:t>Крестьяне-единоличники охвачены отдельной системой социального страхования, которая регулируется Законом от 20 декабря 1990 года (Законодательный вестник № 7, текст 25 с последующими поправками).  Эта система работает под управлением Сельскохозяйственного фонда социального страхования (КРУС), являющегося центральным административным органом, подотчетным министерству сельского хозяйства и пищевой промышленности.  В качестве представителя всех застрахованных крестьян и получателей пособий в вопросах, касающихся страхования и деятельности КРУС, выступает Совет социального страхования крестьян (РУСР), который назначается министром сельского хозяйства из числа кандидатов, выдвигаемых социально-профессиональными организациями фермеров и профсоюзами крестьян-единоличников.  Фермер определяется в Законе как физическое лицо, занимающееся сельскохозяйственной деятельностью за собственный счет в качестве (независимого или зависимого) владельца фермерского хозяйства на территории Республики Польша.  Положения, касающиеся страхования, распространяются также на супруг (супругов) этих лиц.  В дополнение к социальному страхованию крестьян действуют и другие системы социального страхования.  Это означает, что сельскохозяйственная система распространяется только на тех фермеров, для которых фермерское хозяйство является единственным источником дохода.  Страхование является обязательным или добровольным.  Обязательное страхование распространяется на фермера и его родственников, постоянно работающих в фермерском хозяйстве, если площадь возделываемой земли превышает 1 га (взимается сельский налог) или же если осуществляемая деятельность представляет особый вид сельскохозяйственного производства, который облагается подоходным налогом.  Взносы вносятся в равных долях ежеквартально и выплачиваются фермерами за себя и своих родственников.  Социальное страхование в этой области можно разделить на два отдельных вида страхования, отличающихся друг от друга по своим целям, охвату и методам финансирования.  Этими видами страхования являются страхование от несчастных случаев, по болезни и беременности и родам, а также страхование пенсии по старости.</w:t>
      </w:r>
    </w:p>
    <w:p w:rsidR="00000000" w:rsidRDefault="00000000"/>
    <w:p w:rsidR="00000000" w:rsidRDefault="00000000">
      <w:pPr>
        <w:pStyle w:val="BodyText"/>
        <w:spacing w:line="288" w:lineRule="auto"/>
        <w:ind w:left="567" w:hanging="567"/>
      </w:pPr>
      <w:r>
        <w:t>а)</w:t>
      </w:r>
      <w:r>
        <w:tab/>
        <w:t>Страхование крестьян от несчастных случаев, по болезни и по беременности и родам</w:t>
      </w:r>
    </w:p>
    <w:p w:rsidR="00000000" w:rsidRDefault="00000000">
      <w:pPr>
        <w:pStyle w:val="BodyText"/>
        <w:spacing w:line="288" w:lineRule="auto"/>
      </w:pPr>
    </w:p>
    <w:p w:rsidR="00000000" w:rsidRDefault="00000000">
      <w:r>
        <w:t>179.</w:t>
      </w:r>
      <w:r>
        <w:tab/>
        <w:t xml:space="preserve">Данный вид страхования действует на основе самофинансирования в рамках так называемого Фонда взносов.  Фонд является юридическим лицом.  Президент КРУС по должности является администратором Фонда и действует под контролем Совета социального страхования крестьян, который обладает исключительными правами на определение размера взносов.  По состоянию на конец 1998 года сумма взноса составляла 54  новых польских злотых на человека в квартал.  Страхование охватывало:  </w:t>
      </w:r>
    </w:p>
    <w:p w:rsidR="00000000" w:rsidRDefault="00000000"/>
    <w:p w:rsidR="00000000" w:rsidRDefault="00000000">
      <w:pPr>
        <w:ind w:left="1134" w:hanging="1134"/>
      </w:pPr>
      <w:r>
        <w:tab/>
        <w:t>-</w:t>
      </w:r>
      <w:r>
        <w:tab/>
        <w:t>компенсацию за ущерб, причиненный здоровью в результате несчастного случая на сельскохозяйственном производстве или профессионального заболевания;</w:t>
      </w:r>
    </w:p>
    <w:p w:rsidR="00000000" w:rsidRDefault="00000000">
      <w:pPr>
        <w:ind w:left="1134" w:hanging="1134"/>
      </w:pPr>
    </w:p>
    <w:p w:rsidR="00000000" w:rsidRDefault="00000000">
      <w:pPr>
        <w:ind w:left="1134" w:hanging="1134"/>
      </w:pPr>
      <w:r>
        <w:tab/>
        <w:t>-</w:t>
      </w:r>
      <w:r>
        <w:tab/>
        <w:t>компенсацию в связи со смертью лица в результате несчастного случая на сельскохозяйственном производстве или профессионального заболевания;</w:t>
      </w:r>
    </w:p>
    <w:p w:rsidR="00000000" w:rsidRDefault="00000000">
      <w:pPr>
        <w:ind w:left="1134" w:hanging="1134"/>
      </w:pPr>
    </w:p>
    <w:p w:rsidR="00000000" w:rsidRDefault="00000000">
      <w:pPr>
        <w:ind w:left="1134" w:hanging="1134"/>
      </w:pPr>
      <w:r>
        <w:tab/>
        <w:t>-</w:t>
      </w:r>
      <w:r>
        <w:tab/>
        <w:t>пособие по болезни в связи с временной нетрудоспособностью, вызванной заболеванием, продолжающимся по меньшей мере 30 дней;</w:t>
      </w:r>
    </w:p>
    <w:p w:rsidR="00000000" w:rsidRDefault="00000000">
      <w:pPr>
        <w:ind w:left="1134" w:hanging="1134"/>
      </w:pPr>
    </w:p>
    <w:p w:rsidR="00000000" w:rsidRDefault="00000000">
      <w:pPr>
        <w:ind w:left="1134" w:hanging="1134"/>
      </w:pPr>
      <w:r>
        <w:tab/>
        <w:t>-</w:t>
      </w:r>
      <w:r>
        <w:tab/>
        <w:t>разовую выплату и пособие по беременности и родам в связи с рождением ребенка.</w:t>
      </w:r>
    </w:p>
    <w:p w:rsidR="00000000" w:rsidRDefault="00000000">
      <w:pPr>
        <w:ind w:left="1134" w:hanging="1134"/>
      </w:pPr>
    </w:p>
    <w:p w:rsidR="00000000" w:rsidRDefault="00000000">
      <w:r>
        <w:t>180.</w:t>
      </w:r>
      <w:r>
        <w:tab/>
        <w:t>Сумма компенсации и пособия по болезни определена распоряжением министра сельского хозяйства и пищевой промышленности по представлению Совета социального страхования крестьян.  По состоянию на конец 1998 года сумма компенсации за 1% ущерба здоровью составляла 250 новых польских злотых, а сумма пособия по болезни - 4 новых польских злотых в день.  Сумма пособия по беременности и родам была равна сумме пособия по болезни за четыре недели.  Пособие по беременности и родам предоставлялось за каждого рожденного ребенка вместе с разовым пособием при рождении, составляющим трехкратную сумму минимальной пенсии за выслугу лет (по состоянию на 1998 год - 1 245 новых польских злотых).</w:t>
      </w:r>
    </w:p>
    <w:p w:rsidR="00000000" w:rsidRDefault="00000000"/>
    <w:p w:rsidR="00000000" w:rsidRDefault="00000000">
      <w:pPr>
        <w:rPr>
          <w:b/>
          <w:bCs/>
        </w:rPr>
      </w:pPr>
      <w:r>
        <w:rPr>
          <w:b/>
          <w:bCs/>
          <w:lang w:val="en-US"/>
        </w:rPr>
        <w:br w:type="page"/>
        <w:t>b</w:t>
      </w:r>
      <w:r>
        <w:rPr>
          <w:b/>
          <w:bCs/>
        </w:rPr>
        <w:t>)</w:t>
      </w:r>
      <w:r>
        <w:rPr>
          <w:b/>
          <w:bCs/>
        </w:rPr>
        <w:tab/>
        <w:t>Страхование пенсии по старости для крестьян</w:t>
      </w:r>
    </w:p>
    <w:p w:rsidR="00000000" w:rsidRDefault="00000000">
      <w:pPr>
        <w:rPr>
          <w:i/>
          <w:iCs/>
        </w:rPr>
      </w:pPr>
    </w:p>
    <w:p w:rsidR="00000000" w:rsidRDefault="00000000">
      <w:r>
        <w:t>181.</w:t>
      </w:r>
      <w:r>
        <w:tab/>
        <w:t>Пенсии по старости и другие пенсии крестьян, а также ритуальные пособия выплачиваются из Фонда пенсий по старости для крестьян, которые субсидируются из государственного бюджета (в 1998 году примерно на 94%).  Сумма взноса составляет 30% минимальной пенсии за выслугу лет за квартал.</w:t>
      </w:r>
    </w:p>
    <w:p w:rsidR="00000000" w:rsidRDefault="00000000"/>
    <w:p w:rsidR="00000000" w:rsidRDefault="00000000">
      <w:r>
        <w:t>182.</w:t>
      </w:r>
      <w:r>
        <w:tab/>
        <w:t>Пенсия по старости предоставляется крестьянам, достигшим пенсионного возраста (60 лет для женщин, 65 лет для мужчин) и являвшимся участниками системы страхования в течение по меньшей мере 100 кварталов.  Ранее пенсия по старости выплачивалась крестьянам, достигшим возраста на пять лет ниже пенсионного, являвшимся участниками системы страхования на протяжении по меньшей мере 120 кварталов и прекратившим свою сельскохозяйственную деятельность.</w:t>
      </w:r>
    </w:p>
    <w:p w:rsidR="00000000" w:rsidRDefault="00000000"/>
    <w:p w:rsidR="00000000" w:rsidRDefault="00000000">
      <w:r>
        <w:t>183.</w:t>
      </w:r>
      <w:r>
        <w:tab/>
        <w:t>Пенсия по нетрудоспособности назначалась фермерам, постоянно или в течение длительного времени утратившим трудоспособность и имевшим требуемый страховой стаж (в зависимости от возраста застрахованного составлявший от 4 до 20 кварталов).  В случае утраты трудоспособности в связи с несчастным случаем на производстве или же профессиональным заболеванием минимального страхового стажа не устанавливалось.</w:t>
      </w:r>
    </w:p>
    <w:p w:rsidR="00000000" w:rsidRDefault="00000000"/>
    <w:p w:rsidR="00000000" w:rsidRDefault="00000000">
      <w:r>
        <w:t>184.</w:t>
      </w:r>
      <w:r>
        <w:tab/>
        <w:t>Предоставление пенсии по случаю потери кормильца и ритуального пособия членам семьи умершего (жена, дети, родители) осуществляется на основе принципов, действующих в системе страхования наемных работников.</w:t>
      </w:r>
    </w:p>
    <w:p w:rsidR="00000000" w:rsidRDefault="00000000"/>
    <w:p w:rsidR="00000000" w:rsidRDefault="00000000">
      <w:r>
        <w:t>185.</w:t>
      </w:r>
      <w:r>
        <w:tab/>
        <w:t>Сельскохозяйственная пенсия и пенсия по инвалидности складываются из компонента, образуемого взносами, и дополнительного компонента.  Компонент, образуемый взносами, выплачивается в любом случае.  Выплата дополнительного компонента обусловлена прекращением сельскохозяйственной деятельности.  Сумма компонента, образованного взносами, зависит от продолжительности страхового стажа и, как правило, составляет 1% минимальной пенсии по старости за каждый год стажа.  В компонент, образуемый за счет взносов, включаются периоды другого страхования с коэффициентом, составляющим 1,5.  Дополнительный компонент составляет 85-95% минимальной пенсии по старости.  Пенсия по случаю потери кормильца составляет 85% минимальной пенсии по старости плюс 50% дополнительного компонента, который причитался бы покойному.  Сумма пенсии за выслугу лет (при условии прекращения сельскохозяйственной деятельности) не может быть ниже минимальной пенсии по старости.  Это последнее условие не распространяется на несовершеннолетних, имеющих право на получение пенсии по случаю потери кормильца.  С 1 сентября минимальная пенсия по старости составляет 415 новых польских злотых, а средняя месячная сумма сельскохозяйственной пенсии за выслугу лет составляла в четвертом квартале 1998 года 533,92 новых польских злотых.</w:t>
      </w:r>
    </w:p>
    <w:p w:rsidR="00000000" w:rsidRDefault="00000000"/>
    <w:p w:rsidR="00000000" w:rsidRDefault="00000000">
      <w:pPr>
        <w:pStyle w:val="BodyText"/>
        <w:spacing w:line="288" w:lineRule="auto"/>
        <w:ind w:left="567" w:hanging="567"/>
      </w:pPr>
      <w:r>
        <w:t>с)</w:t>
      </w:r>
      <w:r>
        <w:tab/>
        <w:t>Пособия на восстановление здоровья, выплачиваемые фермерам в рамках системы страхования</w:t>
      </w:r>
    </w:p>
    <w:p w:rsidR="00000000" w:rsidRDefault="00000000">
      <w:pPr>
        <w:pStyle w:val="BodyText"/>
        <w:spacing w:line="288" w:lineRule="auto"/>
      </w:pPr>
    </w:p>
    <w:p w:rsidR="00000000" w:rsidRDefault="00000000">
      <w:r>
        <w:t>186.</w:t>
      </w:r>
      <w:r>
        <w:tab/>
        <w:t>Пособие на восстановление здоровья представляет собой пособие, предоставляемое натурой в целях сохранения, улучшения и восстановления трудоспособности работника сельскохозяйственного предприятия.  В него входит направление застрахованных в центры восстановления здоровья, действующие в рамках Сельскохозяйственного фонда социального страхования.  Это пособие предоставляется:</w:t>
      </w:r>
    </w:p>
    <w:p w:rsidR="00000000" w:rsidRDefault="00000000"/>
    <w:p w:rsidR="00000000" w:rsidRDefault="00000000">
      <w:pPr>
        <w:ind w:left="1134" w:hanging="567"/>
      </w:pPr>
      <w:r>
        <w:t>-</w:t>
      </w:r>
      <w:r>
        <w:tab/>
        <w:t>в целях профилактики, когда фермеру грозит утрата трудоспособности;</w:t>
      </w:r>
    </w:p>
    <w:p w:rsidR="00000000" w:rsidRDefault="00000000">
      <w:pPr>
        <w:ind w:left="1134" w:hanging="567"/>
      </w:pPr>
    </w:p>
    <w:p w:rsidR="00000000" w:rsidRDefault="00000000">
      <w:pPr>
        <w:ind w:left="1134" w:hanging="567"/>
      </w:pPr>
      <w:r>
        <w:t>-</w:t>
      </w:r>
      <w:r>
        <w:tab/>
        <w:t>в лечебных целях, когда есть возможность восстановления трудоспособности путем лечения и осуществления реабилитационных процедур.</w:t>
      </w:r>
    </w:p>
    <w:p w:rsidR="00000000" w:rsidRDefault="00000000">
      <w:pPr>
        <w:ind w:left="567" w:hanging="567"/>
      </w:pPr>
    </w:p>
    <w:p w:rsidR="00000000" w:rsidRDefault="00000000">
      <w:r>
        <w:t>187.</w:t>
      </w:r>
      <w:r>
        <w:tab/>
        <w:t>Пособия для восстановления трудоспособности финансируются из Фонда профилактики и восстановления здоровья, который образуется за счет отчислений из Фонда взносов (1%) и субсидий из госбюджета.  Он же предоставляет средства для финансирования деятельности Сельскохозяйственного фонда социального страхования, направленной на профилактику несчастных случаев в сельском хозяйстве и профессиональных заболеваний фермеров.</w:t>
      </w:r>
    </w:p>
    <w:p w:rsidR="00000000" w:rsidRDefault="00000000"/>
    <w:p w:rsidR="00000000" w:rsidRDefault="00000000">
      <w:pPr>
        <w:pStyle w:val="Heading1"/>
        <w:rPr>
          <w:bCs/>
        </w:rPr>
      </w:pPr>
      <w:r>
        <w:rPr>
          <w:bCs/>
        </w:rPr>
        <w:t>d)</w:t>
      </w:r>
      <w:r>
        <w:rPr>
          <w:bCs/>
        </w:rPr>
        <w:tab/>
        <w:t>Услуги по охране здоровья фермеров</w:t>
      </w:r>
    </w:p>
    <w:p w:rsidR="00000000" w:rsidRDefault="00000000">
      <w:pPr>
        <w:pStyle w:val="Heading1"/>
        <w:rPr>
          <w:b w:val="0"/>
        </w:rPr>
      </w:pPr>
    </w:p>
    <w:p w:rsidR="00000000" w:rsidRDefault="00000000">
      <w:r>
        <w:t>188.</w:t>
      </w:r>
      <w:r>
        <w:tab/>
        <w:t>Охваченные системой социального страхования фермеры и бывшие фермеры, вышедшие на пенсию, а также члены их семей имеют право на медицинское обслуживание, получение акушерских услуг, медикаментов, ортопедических принадлежностей, искусственных конечностей и предметов гигиены и вспомогательных медицинских материалов, на пребывание в социальных приютах и получение пособий для восстановления здоровья на условиях, установленных положениями, касающимися наемных работников и членов их семей, а также лиц, получающих пенсии за выслугу лет.</w:t>
      </w:r>
    </w:p>
    <w:p w:rsidR="00000000" w:rsidRDefault="00000000"/>
    <w:p w:rsidR="00000000" w:rsidRDefault="00000000">
      <w:pPr>
        <w:pStyle w:val="10"/>
        <w:rPr>
          <w:bCs/>
        </w:rPr>
      </w:pPr>
      <w:r>
        <w:rPr>
          <w:bCs/>
        </w:rPr>
        <w:br w:type="page"/>
        <w:t>D.</w:t>
      </w:r>
      <w:r>
        <w:rPr>
          <w:bCs/>
        </w:rPr>
        <w:tab/>
        <w:t>Процентная доля расходов на социальное страхование в ВВП и</w:t>
      </w:r>
    </w:p>
    <w:p w:rsidR="00000000" w:rsidRDefault="00000000">
      <w:pPr>
        <w:pStyle w:val="10"/>
        <w:rPr>
          <w:bCs/>
        </w:rPr>
      </w:pPr>
      <w:r>
        <w:rPr>
          <w:bCs/>
        </w:rPr>
        <w:t xml:space="preserve">          государственном бюджете в 1998 году и в предыдущие годы</w:t>
      </w:r>
    </w:p>
    <w:p w:rsidR="00000000" w:rsidRDefault="00000000"/>
    <w:p w:rsidR="00000000" w:rsidRDefault="00000000">
      <w:r>
        <w:t>189.</w:t>
      </w:r>
      <w:r>
        <w:tab/>
        <w:t>В таблице 20 ниже указаны расходы на социальное обеспечение в 1995-1998 годах в процентах от валового внутреннего продукта.  Приводятся также процентные показатели доли ежегодных расходов на эти цели в государственном бюджете.  В предыдущем докладе за 1992-1994 годы приведены данные в отношении ВВП в 1985 и 1993 годах по различным областям системы социального обеспечения.  Данных в отношении государственного бюджета приведено не было.  Однако сопоставление является весьма красноречивым:  в 1985 году такие расходы составляли 14% от ВВП, а 1993 году - целых 24%.  Это объясняется главным образом ростом числа выплачиваемых пособий и их сумм в связи с их повышением в 1991 году и введением механизма индексации.  Особое воздействие эти меры оказали на размеры пенсий по выслуге лет и других пенсий (увеличение с 7% от ВВП в 1985 году до 15% от ВВП в 1993 году).  В предыдущем докладе этот вопрос рассматривался более подробно.  Во второй половине 90-х годов доля расходов на социальное обеспечение была установлена на уровне, значительно превышавшем 15% от ВВП.  В процентном отношении это представляло собой очевидное снижение по сравнению с 1993 годом, что было вызвано существенным ростом ВВП в период 1993-1997 годов.</w:t>
      </w:r>
    </w:p>
    <w:p w:rsidR="00000000" w:rsidRDefault="00000000"/>
    <w:p w:rsidR="00000000" w:rsidRDefault="00000000">
      <w:pPr>
        <w:pStyle w:val="10"/>
        <w:rPr>
          <w:b w:val="0"/>
          <w:u w:val="single"/>
        </w:rPr>
      </w:pPr>
      <w:r>
        <w:rPr>
          <w:b w:val="0"/>
          <w:u w:val="single"/>
        </w:rPr>
        <w:t>Таблица 20</w:t>
      </w:r>
      <w:r>
        <w:rPr>
          <w:b w:val="0"/>
        </w:rPr>
        <w:t xml:space="preserve">.   </w:t>
      </w:r>
      <w:r>
        <w:rPr>
          <w:b w:val="0"/>
          <w:u w:val="single"/>
        </w:rPr>
        <w:t>Расходы на социальное обеспечение в 1995-1997 годах</w:t>
      </w:r>
    </w:p>
    <w:p w:rsidR="00000000" w:rsidRDefault="00000000">
      <w:pPr>
        <w:pStyle w:val="10"/>
        <w:rPr>
          <w:b w:val="0"/>
          <w:u w:val="single"/>
        </w:rPr>
      </w:pPr>
      <w:r>
        <w:rPr>
          <w:b w:val="0"/>
          <w:u w:val="single"/>
        </w:rPr>
        <w:t>в процентах от ВВП и государственного бюджета</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56"/>
        <w:gridCol w:w="1496"/>
        <w:gridCol w:w="1496"/>
        <w:gridCol w:w="1422"/>
      </w:tblGrid>
      <w:tr w:rsidR="00000000">
        <w:tblPrEx>
          <w:tblCellMar>
            <w:top w:w="0" w:type="dxa"/>
            <w:bottom w:w="0" w:type="dxa"/>
          </w:tblCellMar>
        </w:tblPrEx>
        <w:tc>
          <w:tcPr>
            <w:tcW w:w="5157" w:type="dxa"/>
          </w:tcPr>
          <w:p w:rsidR="00000000" w:rsidRDefault="00000000">
            <w:pPr>
              <w:pStyle w:val="FootnoteText"/>
              <w:spacing w:line="288" w:lineRule="auto"/>
            </w:pPr>
            <w:r>
              <w:t>Год</w:t>
            </w:r>
          </w:p>
        </w:tc>
        <w:tc>
          <w:tcPr>
            <w:tcW w:w="1496" w:type="dxa"/>
            <w:vAlign w:val="center"/>
          </w:tcPr>
          <w:p w:rsidR="00000000" w:rsidRDefault="00000000">
            <w:pPr>
              <w:jc w:val="center"/>
            </w:pPr>
            <w:r>
              <w:t>1995</w:t>
            </w:r>
          </w:p>
        </w:tc>
        <w:tc>
          <w:tcPr>
            <w:tcW w:w="1496" w:type="dxa"/>
            <w:vAlign w:val="center"/>
          </w:tcPr>
          <w:p w:rsidR="00000000" w:rsidRDefault="00000000">
            <w:pPr>
              <w:jc w:val="center"/>
            </w:pPr>
            <w:r>
              <w:t>1996</w:t>
            </w:r>
          </w:p>
        </w:tc>
        <w:tc>
          <w:tcPr>
            <w:tcW w:w="1422" w:type="dxa"/>
            <w:vAlign w:val="center"/>
          </w:tcPr>
          <w:p w:rsidR="00000000" w:rsidRDefault="00000000">
            <w:pPr>
              <w:jc w:val="center"/>
            </w:pPr>
            <w:r>
              <w:t>1997</w:t>
            </w:r>
          </w:p>
        </w:tc>
      </w:tr>
      <w:tr w:rsidR="00000000">
        <w:tblPrEx>
          <w:tblCellMar>
            <w:top w:w="0" w:type="dxa"/>
            <w:bottom w:w="0" w:type="dxa"/>
          </w:tblCellMar>
        </w:tblPrEx>
        <w:tc>
          <w:tcPr>
            <w:tcW w:w="5157" w:type="dxa"/>
          </w:tcPr>
          <w:p w:rsidR="00000000" w:rsidRDefault="00000000">
            <w:r>
              <w:t xml:space="preserve">В процентах от ВВП </w:t>
            </w:r>
          </w:p>
        </w:tc>
        <w:tc>
          <w:tcPr>
            <w:tcW w:w="1496" w:type="dxa"/>
          </w:tcPr>
          <w:p w:rsidR="00000000" w:rsidRDefault="00000000">
            <w:pPr>
              <w:jc w:val="center"/>
            </w:pPr>
            <w:r>
              <w:t>15,6</w:t>
            </w:r>
          </w:p>
        </w:tc>
        <w:tc>
          <w:tcPr>
            <w:tcW w:w="1496" w:type="dxa"/>
          </w:tcPr>
          <w:p w:rsidR="00000000" w:rsidRDefault="00000000">
            <w:pPr>
              <w:jc w:val="center"/>
            </w:pPr>
            <w:r>
              <w:t>15,4</w:t>
            </w:r>
          </w:p>
        </w:tc>
        <w:tc>
          <w:tcPr>
            <w:tcW w:w="1422" w:type="dxa"/>
          </w:tcPr>
          <w:p w:rsidR="00000000" w:rsidRDefault="00000000">
            <w:pPr>
              <w:jc w:val="center"/>
            </w:pPr>
            <w:r>
              <w:t>15,5</w:t>
            </w:r>
          </w:p>
        </w:tc>
      </w:tr>
      <w:tr w:rsidR="00000000">
        <w:tblPrEx>
          <w:tblCellMar>
            <w:top w:w="0" w:type="dxa"/>
            <w:bottom w:w="0" w:type="dxa"/>
          </w:tblCellMar>
        </w:tblPrEx>
        <w:tc>
          <w:tcPr>
            <w:tcW w:w="5157" w:type="dxa"/>
          </w:tcPr>
          <w:p w:rsidR="00000000" w:rsidRDefault="00000000">
            <w:r>
              <w:t>В процентах от государственного бюджета</w:t>
            </w:r>
          </w:p>
        </w:tc>
        <w:tc>
          <w:tcPr>
            <w:tcW w:w="1496" w:type="dxa"/>
          </w:tcPr>
          <w:p w:rsidR="00000000" w:rsidRDefault="00000000">
            <w:pPr>
              <w:jc w:val="center"/>
            </w:pPr>
            <w:r>
              <w:t>26,1</w:t>
            </w:r>
          </w:p>
        </w:tc>
        <w:tc>
          <w:tcPr>
            <w:tcW w:w="1496" w:type="dxa"/>
          </w:tcPr>
          <w:p w:rsidR="00000000" w:rsidRDefault="00000000">
            <w:pPr>
              <w:jc w:val="center"/>
            </w:pPr>
            <w:r>
              <w:t>26,0</w:t>
            </w:r>
          </w:p>
        </w:tc>
        <w:tc>
          <w:tcPr>
            <w:tcW w:w="1422" w:type="dxa"/>
          </w:tcPr>
          <w:p w:rsidR="00000000" w:rsidRDefault="00000000">
            <w:pPr>
              <w:jc w:val="center"/>
            </w:pPr>
            <w:r>
              <w:t>25,6</w:t>
            </w:r>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данные Главного управления статистики.</w:t>
      </w:r>
    </w:p>
    <w:p w:rsidR="00000000" w:rsidRDefault="00000000">
      <w:pPr>
        <w:pStyle w:val="FootnoteText"/>
        <w:spacing w:line="288" w:lineRule="auto"/>
      </w:pPr>
    </w:p>
    <w:p w:rsidR="00000000" w:rsidRDefault="00000000">
      <w:pPr>
        <w:pStyle w:val="FootnoteText"/>
        <w:spacing w:line="288" w:lineRule="auto"/>
        <w:jc w:val="center"/>
      </w:pPr>
      <w:r>
        <w:rPr>
          <w:b/>
          <w:bCs/>
        </w:rPr>
        <w:t>Е.</w:t>
      </w:r>
      <w:r>
        <w:rPr>
          <w:b/>
          <w:bCs/>
        </w:rPr>
        <w:tab/>
        <w:t>Частные системы страхования и взаимосвязь между системами</w:t>
      </w:r>
    </w:p>
    <w:p w:rsidR="00000000" w:rsidRDefault="00000000">
      <w:pPr>
        <w:pStyle w:val="FootnoteText"/>
        <w:spacing w:line="288" w:lineRule="auto"/>
      </w:pPr>
    </w:p>
    <w:p w:rsidR="00000000" w:rsidRDefault="00000000">
      <w:pPr>
        <w:pStyle w:val="FootnoteText"/>
        <w:spacing w:line="288" w:lineRule="auto"/>
      </w:pPr>
      <w:r>
        <w:t>190.</w:t>
      </w:r>
      <w:r>
        <w:tab/>
        <w:t>До конца 1998 года система социального страхования не была приватизирована.  Вместе с тем начиная с 1990 года появились частные фирмы, предлагающие страхование жизни, страхование пенсии по старости, страхование от несчастного случая, по болезни, страхование от кражи, пожара и т.д.  Это были, как правило, иностранные фирмы или смешанные компании и в редких случаях отечественные компании, поскольку минимальный требуемый размер капитала был весьма значительным.  Закон от 13 октября 1998 года о системе социального страхования подготовил проведение коренной реформы этой системы, начало которой было запланировано на 1 января 1999 года.</w:t>
      </w:r>
    </w:p>
    <w:p w:rsidR="00000000" w:rsidRDefault="00000000">
      <w:pPr>
        <w:pStyle w:val="FootnoteText"/>
        <w:spacing w:line="288" w:lineRule="auto"/>
      </w:pPr>
    </w:p>
    <w:p w:rsidR="00000000" w:rsidRDefault="00000000">
      <w:pPr>
        <w:jc w:val="center"/>
      </w:pPr>
      <w:r>
        <w:rPr>
          <w:b/>
          <w:bCs/>
          <w:lang w:val="en-US"/>
        </w:rPr>
        <w:t>F</w:t>
      </w:r>
      <w:r>
        <w:rPr>
          <w:b/>
          <w:bCs/>
        </w:rPr>
        <w:t>.</w:t>
      </w:r>
      <w:r>
        <w:rPr>
          <w:b/>
          <w:bCs/>
        </w:rPr>
        <w:tab/>
        <w:t>Группы населения, не пользующиеся правом на социальное страхование вообще</w:t>
      </w:r>
      <w:r>
        <w:rPr>
          <w:b/>
          <w:bCs/>
          <w:lang w:val="en-US"/>
        </w:rPr>
        <w:t> </w:t>
      </w:r>
      <w:r>
        <w:rPr>
          <w:b/>
          <w:bCs/>
        </w:rPr>
        <w:t>или же пользующиеся им лишь частично</w:t>
      </w:r>
    </w:p>
    <w:p w:rsidR="00000000" w:rsidRDefault="00000000">
      <w:pPr>
        <w:jc w:val="center"/>
      </w:pPr>
    </w:p>
    <w:p w:rsidR="00000000" w:rsidRDefault="00000000">
      <w:r>
        <w:t>191.</w:t>
      </w:r>
      <w:r>
        <w:tab/>
        <w:t xml:space="preserve">Помимо отдельной системы для сотрудников "силовых" органов, судей и работников государственной прокуратуры, получающих повышенные пособия, и групп населения, пользующихся преференциальным режимом в отношении размеров пособий или располагающих собственной системой социального обеспечения (примером являются работники железнодорожного транспорта), существует общая система социального обеспечения, к которой имеет доступ остальная часть застрахованного населения.  Права на социальное обеспечение не имеют лишь отдельные безработные, не зарегистрированные в бюро по трудоустройству.  Это не относится к ним в том случае, если они являются супругами или детьми застрахованных.  Кроме того, лицо, утратившее право на получение пособия, не охватывается системой страхования.  Вместе с тем даже такие лица могут пользоваться социальной помощью, включая услуги по охране здоровья, если они относятся к категории малоимущего населения, безработным, инвалидам с хроническим заболеванием, лицам, не имеющим работы в течение длительного времени, лицам, переживающим период социальной реабилитации после отбытия тюремного заключения, лицам, находящимся на излечении от алкоголизма или наркомании и т.д.  Помимо этого семейное пособие причитается всем лицам независимо от их страхового статуса.  Таким образом, ни одна социальная группа не исключена из системы социального обеспечения полностью.  </w:t>
      </w:r>
    </w:p>
    <w:p w:rsidR="00000000" w:rsidRDefault="00000000"/>
    <w:p w:rsidR="00000000" w:rsidRDefault="00000000">
      <w:pPr>
        <w:jc w:val="center"/>
      </w:pPr>
      <w:r>
        <w:rPr>
          <w:b/>
          <w:bCs/>
          <w:lang w:val="en-US"/>
        </w:rPr>
        <w:t>G</w:t>
      </w:r>
      <w:r>
        <w:rPr>
          <w:b/>
          <w:bCs/>
        </w:rPr>
        <w:t>.</w:t>
      </w:r>
      <w:r>
        <w:rPr>
          <w:b/>
          <w:bCs/>
        </w:rPr>
        <w:tab/>
        <w:t>Новое законодательство и постановления органов исполнительной власти, имеющие отношение к статье 9</w:t>
      </w:r>
    </w:p>
    <w:p w:rsidR="00000000" w:rsidRDefault="00000000">
      <w:pPr>
        <w:jc w:val="center"/>
      </w:pPr>
    </w:p>
    <w:p w:rsidR="00000000" w:rsidRDefault="00000000">
      <w:r>
        <w:t>192.</w:t>
      </w:r>
      <w:r>
        <w:tab/>
        <w:t>К числу таких законов и постановлений относятся следующие:</w:t>
      </w:r>
    </w:p>
    <w:p w:rsidR="00000000" w:rsidRDefault="00000000"/>
    <w:p w:rsidR="00000000" w:rsidRDefault="00000000">
      <w:pPr>
        <w:ind w:left="1134" w:hanging="1134"/>
      </w:pPr>
      <w:r>
        <w:tab/>
        <w:t>-</w:t>
      </w:r>
      <w:r>
        <w:tab/>
        <w:t>статья 67 Конституции от 2 апреля 1997 года (право на социальное обеспечение для всех);</w:t>
      </w:r>
    </w:p>
    <w:p w:rsidR="00000000" w:rsidRDefault="00000000">
      <w:pPr>
        <w:ind w:left="1134" w:hanging="1134"/>
      </w:pPr>
    </w:p>
    <w:p w:rsidR="00000000" w:rsidRDefault="00000000">
      <w:pPr>
        <w:ind w:left="1134" w:hanging="1134"/>
      </w:pPr>
      <w:r>
        <w:tab/>
        <w:t>-</w:t>
      </w:r>
      <w:r>
        <w:tab/>
        <w:t>Закон от 20 декабря 1990 года с поправками о страховании крестьян (Законодательный вестник за 1998 год, № 7, текст 25);</w:t>
      </w:r>
    </w:p>
    <w:p w:rsidR="00000000" w:rsidRDefault="00000000">
      <w:pPr>
        <w:ind w:left="1134" w:hanging="1134"/>
      </w:pPr>
    </w:p>
    <w:p w:rsidR="00000000" w:rsidRDefault="00000000">
      <w:pPr>
        <w:ind w:left="1134" w:hanging="1134"/>
      </w:pPr>
      <w:r>
        <w:tab/>
        <w:t>-</w:t>
      </w:r>
      <w:r>
        <w:tab/>
        <w:t>Закон от 1 декабря 1994 года о семейных пособиях и пособиях по уходу (Законодательный вестник за 1995 год, № 4, текст 17);</w:t>
      </w:r>
    </w:p>
    <w:p w:rsidR="00000000" w:rsidRDefault="00000000">
      <w:pPr>
        <w:ind w:left="1134" w:hanging="1134"/>
      </w:pPr>
    </w:p>
    <w:p w:rsidR="00000000" w:rsidRDefault="00000000">
      <w:pPr>
        <w:ind w:left="1134" w:hanging="1134"/>
      </w:pPr>
      <w:r>
        <w:tab/>
        <w:t>-</w:t>
      </w:r>
      <w:r>
        <w:tab/>
        <w:t>Закон от 14 декабря 1994 года о занятости и борьбе с безработицей (Законодательный вестник за 1997 год, № 25, текст 128);</w:t>
      </w:r>
    </w:p>
    <w:p w:rsidR="00000000" w:rsidRDefault="00000000">
      <w:pPr>
        <w:ind w:left="1134" w:hanging="1134"/>
      </w:pPr>
    </w:p>
    <w:p w:rsidR="00000000" w:rsidRDefault="00000000">
      <w:pPr>
        <w:ind w:left="1134" w:hanging="1134"/>
      </w:pPr>
      <w:r>
        <w:tab/>
        <w:t>-</w:t>
      </w:r>
      <w:r>
        <w:tab/>
        <w:t>Закон от 3 февраля 1995 года об изменении Закона о денежных выплатах по линии социального страхования в случае болезни и беременности и родов и об изменении Кодекса законов о труде (Законодательный вестник за 1995 год, № 16, текст 77);</w:t>
      </w:r>
    </w:p>
    <w:p w:rsidR="00000000" w:rsidRDefault="00000000">
      <w:pPr>
        <w:ind w:left="1134" w:hanging="1134"/>
      </w:pPr>
    </w:p>
    <w:p w:rsidR="00000000" w:rsidRDefault="00000000">
      <w:pPr>
        <w:ind w:left="1134" w:hanging="1134"/>
      </w:pPr>
      <w:r>
        <w:tab/>
        <w:t>-</w:t>
      </w:r>
      <w:r>
        <w:tab/>
        <w:t>Закон от 28 июня 1996 года об изменении Закона о социальном вспомоществовании (Законодательный вестник № 100, текст 459);</w:t>
      </w:r>
    </w:p>
    <w:p w:rsidR="00000000" w:rsidRDefault="00000000">
      <w:pPr>
        <w:ind w:left="1134" w:hanging="1134"/>
      </w:pPr>
    </w:p>
    <w:p w:rsidR="00000000" w:rsidRDefault="00000000">
      <w:pPr>
        <w:ind w:left="1134" w:hanging="1134"/>
      </w:pPr>
      <w:r>
        <w:tab/>
        <w:t>-</w:t>
      </w:r>
      <w:r>
        <w:tab/>
        <w:t>Закон от 28 июня 1996 года об изменении некоторых законов, касающихся предоставления пенсии за выслугу лет и социального страхования (Законодательный вестник, № 100, текст 461;  поправки, касающиеся определения инвалидности и порядка удостоверения инвалидности);</w:t>
      </w:r>
    </w:p>
    <w:p w:rsidR="00000000" w:rsidRDefault="00000000">
      <w:pPr>
        <w:ind w:left="1134" w:hanging="1134"/>
      </w:pPr>
    </w:p>
    <w:p w:rsidR="00000000" w:rsidRDefault="00000000">
      <w:pPr>
        <w:ind w:left="1134" w:hanging="1134"/>
      </w:pPr>
      <w:r>
        <w:tab/>
        <w:t>-</w:t>
      </w:r>
      <w:r>
        <w:tab/>
        <w:t>Закон от 25 октября 1996 года об индексации пенсий по старости и других пенсий (Законодательный вестник, № 136, текст 636);</w:t>
      </w:r>
    </w:p>
    <w:p w:rsidR="00000000" w:rsidRDefault="00000000">
      <w:pPr>
        <w:ind w:left="1134" w:hanging="1134"/>
      </w:pPr>
    </w:p>
    <w:p w:rsidR="00000000" w:rsidRDefault="00000000">
      <w:pPr>
        <w:ind w:left="1134" w:hanging="1134"/>
      </w:pPr>
      <w:r>
        <w:tab/>
        <w:t>-</w:t>
      </w:r>
      <w:r>
        <w:tab/>
        <w:t>Закон от 6 декабря 1996 года об изменении Закона о занятости и борьбе с безработицей (Законодательный вестник, № 147, текст 687);</w:t>
      </w:r>
    </w:p>
    <w:p w:rsidR="00000000" w:rsidRDefault="00000000">
      <w:pPr>
        <w:ind w:left="1134" w:hanging="1134"/>
      </w:pPr>
    </w:p>
    <w:p w:rsidR="00000000" w:rsidRDefault="00000000">
      <w:pPr>
        <w:ind w:left="1134" w:hanging="1134"/>
      </w:pPr>
      <w:r>
        <w:tab/>
        <w:t>-</w:t>
      </w:r>
      <w:r>
        <w:tab/>
        <w:t>Закон от 6 февраля 1997 года о единой системе страхования по болезни;</w:t>
      </w:r>
    </w:p>
    <w:p w:rsidR="00000000" w:rsidRDefault="00000000">
      <w:pPr>
        <w:ind w:left="1134" w:hanging="1134"/>
      </w:pPr>
    </w:p>
    <w:p w:rsidR="00000000" w:rsidRDefault="00000000">
      <w:pPr>
        <w:ind w:left="1134" w:hanging="1134"/>
      </w:pPr>
      <w:r>
        <w:tab/>
        <w:t>-</w:t>
      </w:r>
      <w:r>
        <w:tab/>
        <w:t>Закон от 20 июня 1997 года об изменении Закона о работниках системы здравоохранения и внесении изменений в некоторые другие законы (поправки к закону от 31 августа 1991 года, введение "Реестра медицинских услуг" для контроля за движением наличности и регистрации услуг, что необходимо для реформы сектора здравоохранения);</w:t>
      </w:r>
    </w:p>
    <w:p w:rsidR="00000000" w:rsidRDefault="00000000">
      <w:pPr>
        <w:ind w:left="1134" w:hanging="1134"/>
      </w:pPr>
    </w:p>
    <w:p w:rsidR="00000000" w:rsidRDefault="00000000">
      <w:pPr>
        <w:ind w:left="1134" w:hanging="1134"/>
      </w:pPr>
      <w:r>
        <w:tab/>
        <w:t>-</w:t>
      </w:r>
      <w:r>
        <w:tab/>
        <w:t>Закон от 27 августа 1997 года о восстановлении трудоспособности и социальной реабилитации инвалидов и об их трудоустройстве;</w:t>
      </w:r>
    </w:p>
    <w:p w:rsidR="00000000" w:rsidRDefault="00000000">
      <w:pPr>
        <w:ind w:left="1134" w:hanging="1134"/>
      </w:pPr>
    </w:p>
    <w:p w:rsidR="00000000" w:rsidRDefault="00000000">
      <w:pPr>
        <w:ind w:left="1134" w:hanging="1134"/>
      </w:pPr>
      <w:r>
        <w:tab/>
        <w:t>-</w:t>
      </w:r>
      <w:r>
        <w:tab/>
        <w:t>Закон от 13 октября 1998 года о системе социального страхования (Законодательный вестник, № 137, текст 887 с поправками);</w:t>
      </w:r>
    </w:p>
    <w:p w:rsidR="00000000" w:rsidRDefault="00000000">
      <w:pPr>
        <w:ind w:left="1134" w:hanging="1134"/>
      </w:pPr>
    </w:p>
    <w:p w:rsidR="00000000" w:rsidRDefault="00000000">
      <w:pPr>
        <w:ind w:left="1134" w:hanging="1134"/>
      </w:pPr>
      <w:r>
        <w:tab/>
        <w:t>-</w:t>
      </w:r>
      <w:r>
        <w:tab/>
        <w:t>постановление совета министров от 28 мая 1996 года о пособиях и отпусках по уходу за детьми (Законодательный вестник, № 60, текст 277).</w:t>
      </w:r>
    </w:p>
    <w:p w:rsidR="00000000" w:rsidRDefault="00000000">
      <w:pPr>
        <w:ind w:left="1134" w:hanging="1134"/>
      </w:pPr>
    </w:p>
    <w:p w:rsidR="00000000" w:rsidRDefault="00000000">
      <w:pPr>
        <w:jc w:val="center"/>
      </w:pPr>
      <w:r>
        <w:rPr>
          <w:b/>
          <w:bCs/>
        </w:rPr>
        <w:br w:type="page"/>
        <w:t>V.</w:t>
      </w:r>
      <w:r>
        <w:rPr>
          <w:b/>
          <w:bCs/>
        </w:rPr>
        <w:tab/>
        <w:t>ОСУЩЕСТВЛЕНИЕ ПРАВ, ЗАКРЕПЛЕННЫХ В СТАТЬЕ 10</w:t>
      </w:r>
    </w:p>
    <w:p w:rsidR="00000000" w:rsidRDefault="00000000">
      <w:pPr>
        <w:jc w:val="center"/>
      </w:pPr>
    </w:p>
    <w:p w:rsidR="00000000" w:rsidRDefault="00000000">
      <w:pPr>
        <w:pStyle w:val="10"/>
        <w:rPr>
          <w:bCs/>
        </w:rPr>
      </w:pPr>
      <w:r>
        <w:rPr>
          <w:bCs/>
        </w:rPr>
        <w:t>А.</w:t>
      </w:r>
      <w:r>
        <w:rPr>
          <w:bCs/>
        </w:rPr>
        <w:tab/>
        <w:t>Ратифицированные международные договоры</w:t>
      </w:r>
    </w:p>
    <w:p w:rsidR="00000000" w:rsidRDefault="00000000">
      <w:pPr>
        <w:pStyle w:val="10"/>
        <w:rPr>
          <w:bCs/>
        </w:rPr>
      </w:pPr>
    </w:p>
    <w:p w:rsidR="00000000" w:rsidRDefault="00000000">
      <w:r>
        <w:t>193.</w:t>
      </w:r>
      <w:r>
        <w:tab/>
        <w:t>По состоянию на конец 1998 года Польша ратифицировала следующие договоры:</w:t>
      </w:r>
    </w:p>
    <w:p w:rsidR="00000000" w:rsidRDefault="00000000"/>
    <w:p w:rsidR="00000000" w:rsidRDefault="00000000">
      <w:r>
        <w:tab/>
        <w:t>-</w:t>
      </w:r>
      <w:r>
        <w:tab/>
        <w:t>Международный пакт о гражданских и политических правах;</w:t>
      </w:r>
    </w:p>
    <w:p w:rsidR="00000000" w:rsidRDefault="00000000"/>
    <w:p w:rsidR="00000000" w:rsidRDefault="00000000">
      <w:r>
        <w:tab/>
        <w:t>-</w:t>
      </w:r>
      <w:r>
        <w:tab/>
        <w:t>Конвенцию о правах ребенка;</w:t>
      </w:r>
    </w:p>
    <w:p w:rsidR="00000000" w:rsidRDefault="00000000"/>
    <w:p w:rsidR="00000000" w:rsidRDefault="00000000">
      <w:r>
        <w:tab/>
        <w:t>-</w:t>
      </w:r>
      <w:r>
        <w:tab/>
        <w:t>Конвенцию о ликвидации всех форм дискриминации в отношении женщин;</w:t>
      </w:r>
    </w:p>
    <w:p w:rsidR="00000000" w:rsidRDefault="00000000"/>
    <w:p w:rsidR="00000000" w:rsidRDefault="00000000">
      <w:r>
        <w:tab/>
        <w:t>-</w:t>
      </w:r>
      <w:r>
        <w:tab/>
        <w:t>Конвенцию МОТ (пересмотренную) 1952 года об охране материнства (№ 103);</w:t>
      </w:r>
    </w:p>
    <w:p w:rsidR="00000000" w:rsidRDefault="00000000"/>
    <w:p w:rsidR="00000000" w:rsidRDefault="00000000">
      <w:r>
        <w:tab/>
        <w:t>-</w:t>
      </w:r>
      <w:r>
        <w:tab/>
        <w:t>Конвенцию МОТ о минимальном возрасте, 1973 год (№ 138).</w:t>
      </w:r>
    </w:p>
    <w:p w:rsidR="00000000" w:rsidRDefault="00000000"/>
    <w:p w:rsidR="00000000" w:rsidRDefault="00000000">
      <w:pPr>
        <w:pStyle w:val="10"/>
        <w:rPr>
          <w:bCs/>
        </w:rPr>
      </w:pPr>
      <w:r>
        <w:rPr>
          <w:bCs/>
        </w:rPr>
        <w:t>В.</w:t>
      </w:r>
      <w:r>
        <w:rPr>
          <w:bCs/>
        </w:rPr>
        <w:tab/>
        <w:t>Значение термина "семья"</w:t>
      </w:r>
    </w:p>
    <w:p w:rsidR="00000000" w:rsidRDefault="00000000">
      <w:pPr>
        <w:pStyle w:val="10"/>
        <w:rPr>
          <w:bCs/>
        </w:rPr>
      </w:pPr>
    </w:p>
    <w:p w:rsidR="00000000" w:rsidRDefault="00000000">
      <w:r>
        <w:t>194.</w:t>
      </w:r>
      <w:r>
        <w:tab/>
        <w:t>Основные соображения (включая исторические факторы), о которых говорилось в предыдущем докладе, сохраняют свою актуальность.  В Польше, в соответствии со статьей 16 Всеобщей декларации прав человека, признается, что "семья является основной ячейкой общества и имеет право на защиту со стороны общества и государства" и что "она имеет право на надлежащую социальную, правовую и экономическую защиту" (пункт 16 части 1 Европейской социальной хартии).  Польша также подписала Конвенцию о защите материнства.  Брак, семья, материнство и отцовство находятся под охраной и покровительством Республики Польши (статья 18 Конституции от 2 апреля 1997 года).  Согласно статьям 71 и 72 Конституции, государство несет ответственность  за обеспечение правовой защиты семей и детей, а также за заботу о женщинах как до, так и после рождения ребенка.  Вместе с тем, согласно Кодексу законов о семье и опекунстве, семья как таковая не является субъектом права.  Закон защищает составные элементы семьи.  В период 1995-1998 годов судебные органы Польши руководствовались в первую очередь интересами благосостояния ребенка в соответствии с духом Конвенции о правах ребенка, стороной которой является Республика Польша.</w:t>
      </w:r>
    </w:p>
    <w:p w:rsidR="00000000" w:rsidRDefault="00000000"/>
    <w:p w:rsidR="00000000" w:rsidRDefault="00000000">
      <w:pPr>
        <w:pStyle w:val="10"/>
        <w:rPr>
          <w:bCs/>
        </w:rPr>
      </w:pPr>
      <w:r>
        <w:rPr>
          <w:bCs/>
        </w:rPr>
        <w:br w:type="page"/>
        <w:t>С.</w:t>
      </w:r>
      <w:r>
        <w:rPr>
          <w:bCs/>
        </w:rPr>
        <w:tab/>
        <w:t>Возраст, в котором дети считаются достигшими совершеннолетия</w:t>
      </w:r>
    </w:p>
    <w:p w:rsidR="00000000" w:rsidRDefault="00000000">
      <w:pPr>
        <w:pStyle w:val="10"/>
        <w:rPr>
          <w:bCs/>
        </w:rPr>
      </w:pPr>
      <w:r>
        <w:rPr>
          <w:bCs/>
        </w:rPr>
        <w:t>для различных целей</w:t>
      </w:r>
    </w:p>
    <w:p w:rsidR="00000000" w:rsidRDefault="00000000">
      <w:pPr>
        <w:pStyle w:val="10"/>
        <w:rPr>
          <w:bCs/>
        </w:rPr>
      </w:pPr>
    </w:p>
    <w:p w:rsidR="00000000" w:rsidRDefault="00000000">
      <w:r>
        <w:t>195.</w:t>
      </w:r>
      <w:r>
        <w:tab/>
        <w:t>В отчетный период официально лицо считалось совершеннолетним по достижении 18 лет.  Такое лицо обладало также активными и пассивными гражданскими правами, за исключением пассивного права быть избранным в сейм, членами которого могли быть лица, достигшие 21 года, и в верхнюю палату парламента, сенат, членами которого могли быть лица, достигшие 30-летнего возраста.  Из этого общего правила есть исключения:</w:t>
      </w:r>
    </w:p>
    <w:p w:rsidR="00000000" w:rsidRDefault="00000000"/>
    <w:p w:rsidR="00000000" w:rsidRDefault="00000000">
      <w:r>
        <w:tab/>
        <w:t>а)</w:t>
      </w:r>
      <w:r>
        <w:tab/>
        <w:t>несовершеннолетние (13-17 лет) не несут ответственности за совершенные преступления наравне со взрослыми.  Нормы Уголовного кодекса не применяются к лицу, совершившему запрещенное законом деяние, до достижения им 17</w:t>
      </w:r>
      <w:r>
        <w:noBreakHyphen/>
        <w:t>летнего возраста.  Судопроизводство по делам несовершеннолетних регулируется нормами Закона о процедуре рассмотрения дел несовершеннолетних от 1982 года.  В этом отношении польское законодательство отвечает стандартам международного права.  В Законе не предусматриваются репрессивные меры в отношении несовершеннолетних;  в нем устанавливаются нормы, касающиеся применения воспитательных, защитных и медицинских мер, а также мер исправительного характера.  Приоритет отдается мерам, не связанным с лишением свободы.  Вынесение приговора возможно лишь в случаях, определенных Законом и Кодексом.  Их положения требуют рассмотрения вопроса о том, насколько применение воспитательных или исправительных мер отвечает интересам благосостояния несовершеннолетнего.  Необходимо также учитывать состояние здоровья несовершеннолетнего и условия, в которых он воспитывается и проживает.  Если на момент вынесения приговора несовершеннолетний достиг 18-летнего возраста и ранее совершил деяние, за которое он может быть помещен в исправительное учреждение, суд может вынести приговор в отношении данного несовершеннолетнего, как если бы он был совершеннолетним, но при этом он максимально смягчает меру наказания.  Если несовершеннолетний совершил преступление после достижения им 16-летнего возраста (убийство, изнасилование, грабеж, умышленное причинение тяжких телесных повреждений), он может быть подвергнут наказанию на основе принципов, определенных в Уголовном кодексе;  при этом мера наказания может не смягчаться;</w:t>
      </w:r>
    </w:p>
    <w:p w:rsidR="00000000" w:rsidRDefault="00000000"/>
    <w:p w:rsidR="00000000" w:rsidRDefault="00000000">
      <w:r>
        <w:tab/>
        <w:t>b)</w:t>
      </w:r>
      <w:r>
        <w:tab/>
        <w:t>Законом от 18 июля 1998 года были внесены изменения в Кодекс законов о семье и опекунстве (Законодательный вестник № 117, текст 757) в части положений, регулирующих заключение брака.  Поправка, вступившая в силу 15 ноября 1998 года, была внесена с тем, чтобы привести законодательство Польши в соответствие с принципами, закрепленными в новой Конституции 1997 года и нормами Конкордата между Республикой Польшей и Ватиканом.  Она устанавливает требование относительно достижения 18-летнего возраста в качестве условия для заключения брака.  Была сохранена возможность заключения брака до достижения этого возраста с согласия суда, задача которого заключается в том, чтобы определить, отвечает ли заключение брака в этом случае интересам семьи, а не интересам общества, как это было прежде (в бывшей Польской Народной Республике).  Такая возможность предусмотрена для лица, достигшего 16-летнего возраста, предполагаемый супруг (супруга) которого достиг 18 лет, чтобы, таким образом, по крайней мере один из супругов был совершеннолетним в соответствии с общими принципами гражданского права;</w:t>
      </w:r>
    </w:p>
    <w:p w:rsidR="00000000" w:rsidRDefault="00000000"/>
    <w:p w:rsidR="00000000" w:rsidRDefault="00000000">
      <w:r>
        <w:tab/>
        <w:t>с)</w:t>
      </w:r>
      <w:r>
        <w:tab/>
        <w:t>отдельной проблемой является вопрос о возрасте, в котором несовершеннолетний может быть принят на работу (см. раздел F.1 ниже).</w:t>
      </w:r>
    </w:p>
    <w:p w:rsidR="00000000" w:rsidRDefault="00000000"/>
    <w:p w:rsidR="00000000" w:rsidRDefault="00000000">
      <w:pPr>
        <w:jc w:val="center"/>
        <w:rPr>
          <w:b/>
          <w:bCs/>
        </w:rPr>
      </w:pPr>
      <w:r>
        <w:rPr>
          <w:b/>
          <w:bCs/>
          <w:lang w:val="en-US"/>
        </w:rPr>
        <w:t>D</w:t>
      </w:r>
      <w:r>
        <w:rPr>
          <w:b/>
          <w:bCs/>
        </w:rPr>
        <w:t>.</w:t>
      </w:r>
      <w:r>
        <w:rPr>
          <w:b/>
          <w:bCs/>
        </w:rPr>
        <w:tab/>
        <w:t>Законы о браке и семье</w:t>
      </w:r>
    </w:p>
    <w:p w:rsidR="00000000" w:rsidRDefault="00000000">
      <w:pPr>
        <w:jc w:val="center"/>
        <w:rPr>
          <w:b/>
          <w:bCs/>
        </w:rPr>
      </w:pPr>
    </w:p>
    <w:p w:rsidR="00000000" w:rsidRDefault="00000000">
      <w:pPr>
        <w:pStyle w:val="10"/>
        <w:ind w:left="567"/>
        <w:jc w:val="left"/>
        <w:rPr>
          <w:bCs/>
        </w:rPr>
      </w:pPr>
      <w:r>
        <w:rPr>
          <w:bCs/>
        </w:rPr>
        <w:t>1.</w:t>
      </w:r>
      <w:r>
        <w:rPr>
          <w:bCs/>
        </w:rPr>
        <w:tab/>
        <w:t>Гарантии права на добровольное вступление в брак</w:t>
      </w:r>
    </w:p>
    <w:p w:rsidR="00000000" w:rsidRDefault="00000000">
      <w:pPr>
        <w:pStyle w:val="10"/>
        <w:rPr>
          <w:bCs/>
        </w:rPr>
      </w:pPr>
    </w:p>
    <w:p w:rsidR="00000000" w:rsidRDefault="00000000">
      <w:r>
        <w:t>196.</w:t>
      </w:r>
      <w:r>
        <w:tab/>
        <w:t>Социально-экономические перемены в послевоенный период привели к изменению обычаев и традиций в Польше.  Влияние экономических и социальных факторов на заключение брака хотя и оставалось значительным, уже не являлось определяющим.  На протяжении отчетного периода полное осуществление положений пункта 1 статьи 10 обеспечивалось новой статьей 15 Кодекса законов о семье и опекунстве, в котором предусматривалась также возможность расторжения брака, заключенного:</w:t>
      </w:r>
    </w:p>
    <w:p w:rsidR="00000000" w:rsidRDefault="00000000"/>
    <w:p w:rsidR="00000000" w:rsidRDefault="00000000">
      <w:pPr>
        <w:ind w:left="1134" w:hanging="1134"/>
      </w:pPr>
      <w:r>
        <w:tab/>
        <w:t>-</w:t>
      </w:r>
      <w:r>
        <w:tab/>
        <w:t>лицом, которое не могло осознанно выражать свою волю (на момент вступления в брак);</w:t>
      </w:r>
    </w:p>
    <w:p w:rsidR="00000000" w:rsidRDefault="00000000">
      <w:pPr>
        <w:ind w:left="1134" w:hanging="1134"/>
      </w:pPr>
    </w:p>
    <w:p w:rsidR="00000000" w:rsidRDefault="00000000">
      <w:r>
        <w:tab/>
        <w:t>-</w:t>
      </w:r>
      <w:r>
        <w:tab/>
        <w:t>в силу ошибки в отношении личности другой стороны в браке;</w:t>
      </w:r>
    </w:p>
    <w:p w:rsidR="00000000" w:rsidRDefault="00000000"/>
    <w:p w:rsidR="00000000" w:rsidRDefault="00000000">
      <w:pPr>
        <w:ind w:left="1134" w:hanging="1134"/>
      </w:pPr>
      <w:r>
        <w:tab/>
        <w:t>-</w:t>
      </w:r>
      <w:r>
        <w:tab/>
        <w:t>под влиянием неправомерной угрозы, исходящей от другой стороны в браке или какого-либо третьего лица, если в силу обстоятельств сторона, сделавшая заявление о вступлении в брак, могла опасаться того, что ей или какому-либо другому лицу угрожает серьезная опасность.</w:t>
      </w:r>
    </w:p>
    <w:p w:rsidR="00000000" w:rsidRDefault="00000000">
      <w:pPr>
        <w:ind w:left="1134" w:hanging="1134"/>
      </w:pPr>
    </w:p>
    <w:p w:rsidR="00000000" w:rsidRDefault="00000000">
      <w:r>
        <w:t>197.</w:t>
      </w:r>
      <w:r>
        <w:tab/>
        <w:t>Согласно Кодексу с внесенными в него поправками, о расторжении брака на основаниях, указанных выше, может ходатайствовать один из супругов, сделавший заведомо ложное заявление, но не позднее чем через 6 месяцев "после прекращения действия обстоятельства, воспрепятствовавшего надлежащему волеизъявлению, или обнаружения ошибки или ликвидации оснований для опасений".  В любом случае с таким ходатайством можно выступать не позднее чем через три года после заключения брака.</w:t>
      </w:r>
    </w:p>
    <w:p w:rsidR="00000000" w:rsidRDefault="00000000"/>
    <w:p w:rsidR="00000000" w:rsidRDefault="00000000">
      <w:pPr>
        <w:pStyle w:val="10"/>
        <w:jc w:val="left"/>
        <w:rPr>
          <w:bCs/>
        </w:rPr>
      </w:pPr>
      <w:r>
        <w:rPr>
          <w:bCs/>
        </w:rPr>
        <w:tab/>
        <w:t>2.</w:t>
      </w:r>
      <w:r>
        <w:rPr>
          <w:bCs/>
        </w:rPr>
        <w:tab/>
        <w:t>Меры, способствующие созданию и сохранению семьи</w:t>
      </w:r>
    </w:p>
    <w:p w:rsidR="00000000" w:rsidRDefault="00000000">
      <w:pPr>
        <w:pStyle w:val="10"/>
        <w:rPr>
          <w:bCs/>
        </w:rPr>
      </w:pPr>
    </w:p>
    <w:p w:rsidR="00000000" w:rsidRDefault="00000000">
      <w:r>
        <w:t>198.</w:t>
      </w:r>
      <w:r>
        <w:tab/>
        <w:t>В течение отчетного периода правовая защита материнства и семьи гарантировалась Конституцией и рядом законодательных актов и постановлений исполнительных органов.  Согласно пункту 1 статьи 71, "семьи, находящиеся в затруднительном материальном и социальном положении, …многодетные и неполные семьи имеют право на особую помощь со стороны государственных органов".  Для многих из них единственным источником дохода были пособия.  В мае 1995 года 28% семей получали пособия различного рода, в мае 1996 года правом на получение пособий воспользовались 30% семей, а в ноябре 1996 года - лишь 18%.  Уменьшение числа получателей семейных пособий было связано с введением в мае 1995 года критерия доходов.  Пособия по безработице в 1996 году составляли 13% всех пособий, пособия по уходу - приблизительно 4% в мае 1996 года и примерно 7% всех пособий в ноябре 1996 года.  В 1997 году число лиц, получавших ежемесячно пособия на детей, составляло приблизительно 180 000 человек.  Подробно вопрос о семейных пособиях рассматривается в разделе, посвященном статье 9.</w:t>
      </w:r>
    </w:p>
    <w:p w:rsidR="00000000" w:rsidRDefault="00000000"/>
    <w:p w:rsidR="00000000" w:rsidRDefault="00000000">
      <w:r>
        <w:t>199.</w:t>
      </w:r>
      <w:r>
        <w:tab/>
        <w:t>Пособия, выплачиваемые из Трудового фонда, касаются главным образом безработных членов семей, имеющих детей.  В 1996 году на их долю приходилось 64% общего числа домохозяйств, в составе которых были безработные (в 1995 году - 83%).  В ноябре 1996 года на долю безработных членов неполных семей приходилось 15% общего числа получателей пособий (в мае 1995 года - 12%).  Большая часть пособий касалась лиц из семей, имеющих детей, хотя их доля уменьшалась (94% в мае 1995 года, 91% в мае 1996 года, 85% в ноябре 1996 года).</w:t>
      </w:r>
    </w:p>
    <w:p w:rsidR="00000000" w:rsidRDefault="00000000"/>
    <w:p w:rsidR="00000000" w:rsidRDefault="00000000">
      <w:r>
        <w:t>200.</w:t>
      </w:r>
      <w:r>
        <w:tab/>
        <w:t>Дети и другие лица, испытывающие трудности в получении алиментов, могут обратиться с ходатайством о предоставлении пособий из Алиментного фонда.  В 90</w:t>
      </w:r>
      <w:r>
        <w:noBreakHyphen/>
        <w:t>х годах отмечалось, что:</w:t>
      </w:r>
    </w:p>
    <w:p w:rsidR="00000000" w:rsidRDefault="00000000"/>
    <w:p w:rsidR="00000000" w:rsidRDefault="00000000">
      <w:pPr>
        <w:ind w:left="1134" w:hanging="1134"/>
      </w:pPr>
      <w:r>
        <w:tab/>
        <w:t>-</w:t>
      </w:r>
      <w:r>
        <w:tab/>
        <w:t>число лиц, получающих пособия из этого Фонда, растет;</w:t>
      </w:r>
    </w:p>
    <w:p w:rsidR="00000000" w:rsidRDefault="00000000">
      <w:pPr>
        <w:ind w:left="1134" w:hanging="1134"/>
      </w:pPr>
      <w:r>
        <w:tab/>
        <w:t>-</w:t>
      </w:r>
      <w:r>
        <w:tab/>
        <w:t>средняя сумма пособий, получаемых из данного Фонда, увеличивается;</w:t>
      </w:r>
    </w:p>
    <w:p w:rsidR="00000000" w:rsidRDefault="00000000">
      <w:pPr>
        <w:ind w:left="1134" w:hanging="1134"/>
      </w:pPr>
      <w:r>
        <w:tab/>
        <w:t>-</w:t>
      </w:r>
      <w:r>
        <w:tab/>
        <w:t>уровень сбора средств от лиц, обязанных платить алименты, остается низким.</w:t>
      </w:r>
    </w:p>
    <w:p w:rsidR="00000000" w:rsidRDefault="00000000">
      <w:pPr>
        <w:ind w:left="1134" w:hanging="1134"/>
      </w:pPr>
    </w:p>
    <w:p w:rsidR="00000000" w:rsidRDefault="00000000">
      <w:r>
        <w:t>201.</w:t>
      </w:r>
      <w:r>
        <w:tab/>
        <w:t>В 1997 году месячные пособия получали 374 000 человек, что на 100 000 человек превышает соответствующий показатель 1993 года.</w:t>
      </w:r>
    </w:p>
    <w:p w:rsidR="00000000" w:rsidRDefault="00000000"/>
    <w:p w:rsidR="00000000" w:rsidRDefault="00000000">
      <w:r>
        <w:t>202.</w:t>
      </w:r>
      <w:r>
        <w:tab/>
        <w:t>Семьи, находящиеся в затруднительных обстоятельствах, получают поддержку со стороны системы социального вспомоществования (см. раздел, посвященный статье 9).  Согласно результатам исследования, проведенного в середине 1997 года Главным статистическим управлением, финансовую помощь получали почти 14% домохозяйств, помощь натурой - примерно 11% и помощь в виде услуг - примерно 7%.  Не все нуждавшиеся семьи получали такую помощь.  В то же время, согласно результатам исследования, помощь, в частности помощь натурой, зачастую предоставлялась семьям, которые не нуждались в ней.  Сравнительно немногочисленной группой получателей социальной помощи являются одинокие лица.</w:t>
      </w:r>
    </w:p>
    <w:p w:rsidR="00000000" w:rsidRDefault="00000000"/>
    <w:p w:rsidR="00000000" w:rsidRDefault="00000000">
      <w:r>
        <w:t>203.</w:t>
      </w:r>
      <w:r>
        <w:tab/>
        <w:t>В рамках осуществления положений Закона от 7 января 1997 года о планировании размеров семьи, защите человеческого зародыша и условиях, при которых допускается аборт, было введено пособие для беременных женщин и женщин, воспитывающих ребенка.  В пунктах 1 и 2 статьи 3 этого Закона говорится о сотрудничестве между административными органами, местными органами самоуправления, а также церковью, группами верующих и общественными организациями в области ухода за беременными женщинами, создания приемных семей и усыновления детей.  В 1997 году соответствующие пособия получали примерно 141 000 человек.  Уменьшение числа таких лиц по сравнению с 1994 годом (315 000) следует отнести на счет изменения в 1994 году правил предоставления пособий, что было сделано в целях недопущения случаев предоставления таких пособий без достаточных оснований.</w:t>
      </w:r>
    </w:p>
    <w:p w:rsidR="00000000" w:rsidRDefault="00000000"/>
    <w:p w:rsidR="00000000" w:rsidRDefault="00000000">
      <w:r>
        <w:t>204.</w:t>
      </w:r>
      <w:r>
        <w:tab/>
        <w:t>В затруднительном положении зачастую оказываются семьи, в составе которых имеются инвалиды.  В 1997 году насчитывалось 3 908 000 домохозяйств, в составе которых имелись инвалиды.  Обычно такие домохозяйства состояли из одной семьи (74,8%).  Из этой группы 49,6% приходилось на долю женатых пар, имеющих детей.  Из 1 451 000 таких семейных пар свыше 44% имели одного ребенка и приблизительно 55% - двух или более детей.  Из общего числа домохозяйств, в составе которых имелись инвалиды, 76,2% составляли домохозяйства без экономически активных членов (по меньшей мере один человек работал примерно в 30% семей и почти 4% составляли семьи, в составе которых был по меньшей мере один безработный).  Для большинства семей с детьми, в составе которых имелись инвалиды, пенсия по инвалидности была основным источником дохода.  В 1996 году число семей с инвалидами, получавших социальную помощь в рамках общин, достигло 278 858, что на 13,6% превысило соответствующий показатель 1993 года.  Законом от 27 августа 1997 года о профессиональной и социальной реабилитации и о занятости инвалидов было разрешено выделять от 5% до 10% ежегодных поступлений в Государственный фонд реабилитации инвалидов на дополнительное финансирование медицинской, социальной и профессиональной реабилитации детей и молодых инвалидов (технические средства, подготовка родителей, опекунов и добровольцев, транспортные средства, учебные центры и т.д.).  В ответе на дополнительный, тридцать первый вопрос, включенный в список в 1998 году, рассматриваются весьма деликатные и важные аспекты, касающиеся оказания помощи семьям, пострадавшим от насилия в семье.</w:t>
      </w:r>
    </w:p>
    <w:p w:rsidR="00000000" w:rsidRDefault="00000000"/>
    <w:p w:rsidR="00000000" w:rsidRDefault="00000000">
      <w:pPr>
        <w:pStyle w:val="16"/>
        <w:ind w:left="1134" w:hanging="567"/>
        <w:jc w:val="left"/>
        <w:rPr>
          <w:b/>
        </w:rPr>
      </w:pPr>
      <w:r>
        <w:rPr>
          <w:b/>
        </w:rPr>
        <w:t>3.</w:t>
      </w:r>
      <w:r>
        <w:rPr>
          <w:b/>
        </w:rPr>
        <w:tab/>
        <w:t>Меры, принятые в связи с недостатками или пробелами в законодательстве, регулирующем вопросы брака и семьи</w:t>
      </w:r>
    </w:p>
    <w:p w:rsidR="00000000" w:rsidRDefault="00000000">
      <w:pPr>
        <w:pStyle w:val="16"/>
        <w:rPr>
          <w:b/>
        </w:rPr>
      </w:pPr>
    </w:p>
    <w:p w:rsidR="00000000" w:rsidRDefault="00000000">
      <w:r>
        <w:t>205.</w:t>
      </w:r>
      <w:r>
        <w:tab/>
        <w:t>Каких-либо недостатков или пробелов в законах, регулирующих вопросы брака, нет.  Что касается семьи, то принимается во внимание необходимость широких мер по оказанию помощи.  Из-за нехватки государственных средств такая помощь не всегда достигает каждой семьи своевременно.  Постоянно принимаются меры по изысканию возможностей увеличения средств, выделяемых на семейные пособия в государственном бюджете, бюджетах воеводств и местных общин.  Следует также отметить, что помощь подчас направляется туда, где необходимость в ней ощущается менее остро, чем в реально нуждающихся семьях.  В целях обеспечения надлежащего распределения ресурсов в настоящее время разрабатывается система определения материального положения и обстоятельств потенциальных получателей пособий.</w:t>
      </w:r>
    </w:p>
    <w:p w:rsidR="00000000" w:rsidRDefault="00000000"/>
    <w:p w:rsidR="00000000" w:rsidRDefault="00000000">
      <w:pPr>
        <w:pStyle w:val="16"/>
        <w:rPr>
          <w:b/>
        </w:rPr>
      </w:pPr>
      <w:r>
        <w:rPr>
          <w:b/>
        </w:rPr>
        <w:t>Е.</w:t>
      </w:r>
      <w:r>
        <w:rPr>
          <w:b/>
        </w:rPr>
        <w:tab/>
        <w:t>Защита материнства, продолжительность отпуска по беременности и</w:t>
      </w:r>
    </w:p>
    <w:p w:rsidR="00000000" w:rsidRDefault="00000000">
      <w:pPr>
        <w:pStyle w:val="16"/>
        <w:rPr>
          <w:b/>
        </w:rPr>
      </w:pPr>
      <w:r>
        <w:rPr>
          <w:b/>
        </w:rPr>
        <w:t>родам и обязательного послеродового отпуска, финансовые,</w:t>
      </w:r>
    </w:p>
    <w:p w:rsidR="00000000" w:rsidRDefault="00000000">
      <w:pPr>
        <w:pStyle w:val="16"/>
        <w:rPr>
          <w:b/>
        </w:rPr>
      </w:pPr>
      <w:r>
        <w:rPr>
          <w:b/>
        </w:rPr>
        <w:t>медицинские и другие пособия</w:t>
      </w:r>
    </w:p>
    <w:p w:rsidR="00000000" w:rsidRDefault="00000000">
      <w:pPr>
        <w:pStyle w:val="16"/>
        <w:rPr>
          <w:b/>
        </w:rPr>
      </w:pPr>
    </w:p>
    <w:p w:rsidR="00000000" w:rsidRDefault="00000000">
      <w:r>
        <w:t>206.</w:t>
      </w:r>
      <w:r>
        <w:tab/>
        <w:t>В 1995-1998 годах беременные женщины, а также дети пользовались правом на бесплатную медицинскую помощь (профилактические мероприятия, лечение, реабилитационные мероприятия для детей).  Общепризнанными показателями качества ухода за матерью и ребенком являются коэффициенты материнской и младенческой смертности, а также показатель младенческой смертности для недоношенных детей.  Показатель материнской смертности на 100 000 живорождений в целом не отличается от соответствующего показателя по западноевропейским странам.  В 1993 году он составлял 12,0, а в 1996 году - 7,9.  В 1993 году вследствие осложнений в период беременности и родов умерли 44 женщины;  в 1994 году эта цифра составила 48, в 1995 году - 57, а в 1996 году - 36.  По данным министерства здравоохранения и социального обеспечения, у 65% беременных женщин беременность протекала нормально, у 30% - с повышенным риском и у 5% - с высоким риском.</w:t>
      </w:r>
    </w:p>
    <w:p w:rsidR="00000000" w:rsidRDefault="00000000"/>
    <w:p w:rsidR="00000000" w:rsidRDefault="00000000">
      <w:r>
        <w:t>207.</w:t>
      </w:r>
      <w:r>
        <w:tab/>
        <w:t>Застрахованным женщинам, родившим или усыновившим ребенка, предоставлялся оплачиваемый отпуск по беременности и родам продолжительностью от 16 до 26 недель.  В конце 1998 года обсуждался вопрос об увеличении продолжительности отпуска по беременности и родам до 26 недель в любом случае (до 39 недель в случае рождения двойни, тройни и т.д.).</w:t>
      </w:r>
    </w:p>
    <w:p w:rsidR="00000000" w:rsidRDefault="00000000"/>
    <w:p w:rsidR="00000000" w:rsidRDefault="00000000">
      <w:r>
        <w:t>208.</w:t>
      </w:r>
      <w:r>
        <w:tab/>
        <w:t>Начиная со 2 июня 1996 года родительский отпуск предоставлялся работникам обоего пола на равной основе, если они имели по меньшей мере 6-месяный трудовой стаж и ребенка в возрасте до [цифры отсутствуют] лет.  Продолжительность отпуска при рождении одного ребенка составляла три года.  Если оба родителя (опекуна) были наемными работниками, то правом на получение родительского отпуска одновременно пользовался лишь один из них.  Если ребенок по причине состояния здоровья, хронического заболевания, инвалидности или задержки в умственном развитии нуждался в постоянном уходе, то находящееся в отпуске лицо, отвечавшее указанным выше требованиям, могло также воспользоваться 3-летним родительским отпуском до достижения ребенком 18-летнего возраста независимо от того, предоставлялся ли такому лицу этот отпуск ранее.  Всем женщинам выплачивается послеродовое пособие.  В период беременности и в послеродовой период экономически активные женщины пользуются правом на юридическую и социальную защиту по закону.  Эта защита включает:</w:t>
      </w:r>
    </w:p>
    <w:p w:rsidR="00000000" w:rsidRDefault="00000000"/>
    <w:p w:rsidR="00000000" w:rsidRDefault="00000000">
      <w:r>
        <w:tab/>
        <w:t>-</w:t>
      </w:r>
      <w:r>
        <w:tab/>
        <w:t>гарантированную занятость и вознаграждение;</w:t>
      </w:r>
    </w:p>
    <w:p w:rsidR="00000000" w:rsidRDefault="00000000"/>
    <w:p w:rsidR="00000000" w:rsidRDefault="00000000">
      <w:pPr>
        <w:ind w:left="1134" w:hanging="1134"/>
      </w:pPr>
      <w:r>
        <w:tab/>
        <w:t>-</w:t>
      </w:r>
      <w:r>
        <w:tab/>
        <w:t>запрет на использование таких лиц на работах, являющихся особенно вредными или опасными для здоровья;</w:t>
      </w:r>
    </w:p>
    <w:p w:rsidR="00000000" w:rsidRDefault="00000000">
      <w:pPr>
        <w:ind w:left="1134" w:hanging="1134"/>
      </w:pPr>
    </w:p>
    <w:p w:rsidR="00000000" w:rsidRDefault="00000000">
      <w:pPr>
        <w:ind w:left="1134" w:hanging="1134"/>
      </w:pPr>
      <w:r>
        <w:tab/>
        <w:t>-</w:t>
      </w:r>
      <w:r>
        <w:tab/>
        <w:t>запрет на работу сверхурочно или в ночное время;</w:t>
      </w:r>
    </w:p>
    <w:p w:rsidR="00000000" w:rsidRDefault="00000000">
      <w:pPr>
        <w:ind w:left="1134" w:hanging="1134"/>
      </w:pPr>
    </w:p>
    <w:p w:rsidR="00000000" w:rsidRDefault="00000000">
      <w:pPr>
        <w:ind w:left="1134" w:hanging="1134"/>
      </w:pPr>
      <w:r>
        <w:tab/>
        <w:t>-</w:t>
      </w:r>
      <w:r>
        <w:tab/>
        <w:t>запрет на направление их на работу за пределы обычного места работы;</w:t>
      </w:r>
    </w:p>
    <w:p w:rsidR="00000000" w:rsidRDefault="00000000">
      <w:pPr>
        <w:ind w:left="1134" w:hanging="1134"/>
      </w:pPr>
    </w:p>
    <w:p w:rsidR="00000000" w:rsidRDefault="00000000">
      <w:pPr>
        <w:ind w:left="1134" w:hanging="1134"/>
      </w:pPr>
      <w:r>
        <w:tab/>
        <w:t>-</w:t>
      </w:r>
      <w:r>
        <w:tab/>
        <w:t>право на кормление ребенка грудью в течение получаса дважды в день.</w:t>
      </w:r>
    </w:p>
    <w:p w:rsidR="00000000" w:rsidRDefault="00000000">
      <w:pPr>
        <w:ind w:left="1134" w:hanging="1134"/>
      </w:pPr>
    </w:p>
    <w:p w:rsidR="00000000" w:rsidRDefault="00000000">
      <w:r>
        <w:t>209.</w:t>
      </w:r>
      <w:r>
        <w:tab/>
        <w:t>Административные органы и органы местного самоуправления обязаны в рамках своих полномочий обеспечивать беременным женщинам медицинскую, социальную и правовую помощь, в частности за счет:</w:t>
      </w:r>
    </w:p>
    <w:p w:rsidR="00000000" w:rsidRDefault="00000000"/>
    <w:p w:rsidR="00000000" w:rsidRDefault="00000000">
      <w:pPr>
        <w:ind w:left="1134" w:hanging="1134"/>
      </w:pPr>
      <w:r>
        <w:tab/>
        <w:t>-</w:t>
      </w:r>
      <w:r>
        <w:tab/>
        <w:t>обеспечения дородового ухода за плодом и медицинской помощи беременным женщинам;</w:t>
      </w:r>
    </w:p>
    <w:p w:rsidR="00000000" w:rsidRDefault="00000000">
      <w:pPr>
        <w:ind w:left="1134" w:hanging="1134"/>
      </w:pPr>
    </w:p>
    <w:p w:rsidR="00000000" w:rsidRDefault="00000000">
      <w:pPr>
        <w:ind w:left="1134" w:hanging="1134"/>
      </w:pPr>
      <w:r>
        <w:tab/>
        <w:t>-</w:t>
      </w:r>
      <w:r>
        <w:tab/>
        <w:t>оказания финансовой помощи и опеки беременных женщин, находящихся в стесненных материальных обстоятельствах, в период беременности, родов и в послеродовой период;</w:t>
      </w:r>
    </w:p>
    <w:p w:rsidR="00000000" w:rsidRDefault="00000000"/>
    <w:p w:rsidR="00000000" w:rsidRDefault="00000000"/>
    <w:p w:rsidR="00000000" w:rsidRDefault="00000000">
      <w:pPr>
        <w:ind w:left="1134" w:hanging="1134"/>
      </w:pPr>
      <w:r>
        <w:tab/>
        <w:t>-</w:t>
      </w:r>
      <w:r>
        <w:tab/>
        <w:t>обеспечения доступа к подробной информации в отношении прав, пособий и выплат, предоставляемых беременным женщинам, матерям, отцам и их детям, а также сведений об учреждениях и организациях, оказывающих помощь в решении психологических и социальных проблем и занимающихся вопросами усыновления детей.</w:t>
      </w:r>
    </w:p>
    <w:p w:rsidR="00000000" w:rsidRDefault="00000000">
      <w:pPr>
        <w:ind w:left="1134" w:hanging="1134"/>
      </w:pPr>
    </w:p>
    <w:p w:rsidR="00000000" w:rsidRDefault="00000000">
      <w:r>
        <w:t>210.</w:t>
      </w:r>
      <w:r>
        <w:tab/>
        <w:t>Постановлением совета министров от 5 октября 1993 года были определены условия предоставления социальной и юридической помощи беременным женщинам и женщинам, воспитывающим детей (Законодательный вестник за 1993 год, № 97, текст 441).  В это постановление дважды вносились поправки:  29 марта 1994 года и 8 октября 1996 года (Законодательный вестник № 44, текст 172, и Законодательный вестник за 1996 год, № 123, текст 577).</w:t>
      </w:r>
    </w:p>
    <w:p w:rsidR="00000000" w:rsidRDefault="00000000"/>
    <w:p w:rsidR="00000000" w:rsidRDefault="00000000">
      <w:r>
        <w:t>211.</w:t>
      </w:r>
      <w:r>
        <w:tab/>
        <w:t>Показатели суммы доходов, дающие право на получение пособий, и суммы самих пособий, ежегодно индексируются в соответствии с пунктом 5 статьи 35 Закона от 29 ноября 1990 года о социальном вспомоществовании (Законодательный вестник за 1998 год, № 64, текст 414).  Среднее число лиц, обратившихся с ходатайством о предоставлении помощи, составляет 2 890 человек на воеводство (страна была разделена на 49 административных единиц до 31 декабря 1998 года).  В 1998 году средние расходы на оказание социальной помощи беременным женщинам составляли 531,45 польских новых злотых на человека.  Более подробные данные изложены в главе </w:t>
      </w:r>
      <w:r>
        <w:rPr>
          <w:lang w:val="en-US"/>
        </w:rPr>
        <w:t>IV</w:t>
      </w:r>
      <w:r>
        <w:t>, посвященной статье 4 "Социальная помощь".  Ниже указаны некоторые формы социальной помощи на уровне общин:</w:t>
      </w:r>
    </w:p>
    <w:p w:rsidR="00000000" w:rsidRDefault="00000000"/>
    <w:p w:rsidR="00000000" w:rsidRDefault="00000000">
      <w:pPr>
        <w:ind w:left="1134" w:hanging="1134"/>
      </w:pPr>
      <w:r>
        <w:tab/>
        <w:t>-</w:t>
      </w:r>
      <w:r>
        <w:tab/>
        <w:t>юридическая помощь в установлении размера алиментов и прав собственности в суде;</w:t>
      </w:r>
    </w:p>
    <w:p w:rsidR="00000000" w:rsidRDefault="00000000"/>
    <w:p w:rsidR="00000000" w:rsidRDefault="00000000">
      <w:pPr>
        <w:ind w:left="1134" w:hanging="1134"/>
      </w:pPr>
      <w:r>
        <w:tab/>
        <w:t>-</w:t>
      </w:r>
      <w:r>
        <w:tab/>
        <w:t>материальная помощь беременным женщинам и женщинам, воспитывающим детей;</w:t>
      </w:r>
    </w:p>
    <w:p w:rsidR="00000000" w:rsidRDefault="00000000">
      <w:pPr>
        <w:ind w:left="1134" w:hanging="1134"/>
      </w:pPr>
    </w:p>
    <w:p w:rsidR="00000000" w:rsidRDefault="00000000">
      <w:pPr>
        <w:ind w:left="1134" w:hanging="1134"/>
      </w:pPr>
      <w:r>
        <w:tab/>
        <w:t>-</w:t>
      </w:r>
      <w:r>
        <w:tab/>
        <w:t>оказание содействия в формировании групп самопомощи среди женщин, воспитывающих детей;</w:t>
      </w:r>
    </w:p>
    <w:p w:rsidR="00000000" w:rsidRDefault="00000000">
      <w:pPr>
        <w:ind w:left="1134" w:hanging="1134"/>
      </w:pPr>
    </w:p>
    <w:p w:rsidR="00000000" w:rsidRDefault="00000000">
      <w:pPr>
        <w:ind w:left="1134" w:hanging="1134"/>
      </w:pPr>
      <w:r>
        <w:tab/>
        <w:t>-</w:t>
      </w:r>
      <w:r>
        <w:tab/>
        <w:t>организация учебных занятий с демонстрацией методов ведения домашнего хозяйства, грудного вскармливания, приготовления пищи, кройки и шитья, заготовления консервированных припасов на зимний период, выращивания комнатных растений;</w:t>
      </w:r>
    </w:p>
    <w:p w:rsidR="00000000" w:rsidRDefault="00000000">
      <w:pPr>
        <w:ind w:left="1134" w:hanging="1134"/>
      </w:pPr>
    </w:p>
    <w:p w:rsidR="00000000" w:rsidRDefault="00000000">
      <w:pPr>
        <w:ind w:left="1134" w:hanging="1134"/>
      </w:pPr>
      <w:r>
        <w:tab/>
        <w:t>-</w:t>
      </w:r>
      <w:r>
        <w:tab/>
        <w:t>помощь безработным женщинам в форме найма их на работу для оказания услуг по уходу;</w:t>
      </w:r>
    </w:p>
    <w:p w:rsidR="00000000" w:rsidRDefault="00000000">
      <w:pPr>
        <w:ind w:left="1134" w:hanging="1134"/>
      </w:pPr>
    </w:p>
    <w:p w:rsidR="00000000" w:rsidRDefault="00000000">
      <w:pPr>
        <w:ind w:left="1134" w:hanging="1134"/>
      </w:pPr>
      <w:r>
        <w:tab/>
        <w:t>-</w:t>
      </w:r>
      <w:r>
        <w:tab/>
        <w:t>организация женских "трудовых клубов" в целях взаимопомощи в поисках работы и решения повседневных проблем;</w:t>
      </w:r>
    </w:p>
    <w:p w:rsidR="00000000" w:rsidRDefault="00000000">
      <w:pPr>
        <w:ind w:left="1134" w:hanging="1134"/>
      </w:pPr>
    </w:p>
    <w:p w:rsidR="00000000" w:rsidRDefault="00000000">
      <w:pPr>
        <w:ind w:left="1134" w:hanging="1134"/>
      </w:pPr>
      <w:r>
        <w:tab/>
        <w:t>-</w:t>
      </w:r>
      <w:r>
        <w:tab/>
        <w:t>организация в сотрудничестве с Обществом распространения знаний учебных курсов по вопросам маркетинга для женщин, желающих вести самостоятельную экономическую деятельность;</w:t>
      </w:r>
    </w:p>
    <w:p w:rsidR="00000000" w:rsidRDefault="00000000">
      <w:pPr>
        <w:ind w:left="1134" w:hanging="1134"/>
      </w:pPr>
    </w:p>
    <w:p w:rsidR="00000000" w:rsidRDefault="00000000">
      <w:pPr>
        <w:ind w:left="1134" w:hanging="1134"/>
      </w:pPr>
      <w:r>
        <w:tab/>
        <w:t>-</w:t>
      </w:r>
      <w:r>
        <w:tab/>
        <w:t>организация учебных курсов для детей по вопросам борьбы с наркоманией и алкоголизмом;</w:t>
      </w:r>
    </w:p>
    <w:p w:rsidR="00000000" w:rsidRDefault="00000000">
      <w:pPr>
        <w:ind w:left="1134" w:hanging="1134"/>
      </w:pPr>
    </w:p>
    <w:p w:rsidR="00000000" w:rsidRDefault="00000000">
      <w:pPr>
        <w:ind w:left="1134" w:hanging="1134"/>
      </w:pPr>
      <w:r>
        <w:tab/>
        <w:t>-</w:t>
      </w:r>
      <w:r>
        <w:tab/>
        <w:t>проведение работы в интересах неимущих семей и семей, в составе которых имеются люди с различными заболеваниями;</w:t>
      </w:r>
    </w:p>
    <w:p w:rsidR="00000000" w:rsidRDefault="00000000">
      <w:pPr>
        <w:ind w:left="1134" w:hanging="1134"/>
      </w:pPr>
    </w:p>
    <w:p w:rsidR="00000000" w:rsidRDefault="00000000">
      <w:pPr>
        <w:ind w:left="1134" w:hanging="1134"/>
      </w:pPr>
      <w:r>
        <w:tab/>
        <w:t>-</w:t>
      </w:r>
      <w:r>
        <w:tab/>
        <w:t>помощь по уходу за детьми и больными и просветительская деятельность за счет организации "кабинетов общей помощи", где детям может оказываться помощь в учебе и предоставляться горячее питание или молоко;</w:t>
      </w:r>
    </w:p>
    <w:p w:rsidR="00000000" w:rsidRDefault="00000000">
      <w:pPr>
        <w:ind w:left="1134" w:hanging="1134"/>
      </w:pPr>
    </w:p>
    <w:p w:rsidR="00000000" w:rsidRDefault="00000000">
      <w:pPr>
        <w:ind w:left="1134" w:hanging="1134"/>
      </w:pPr>
      <w:r>
        <w:tab/>
        <w:t>-</w:t>
      </w:r>
      <w:r>
        <w:tab/>
        <w:t>организация летних и зимних лагерей отдыха для детей и молодежи, что дает возможность отдохнуть и их родителям;</w:t>
      </w:r>
    </w:p>
    <w:p w:rsidR="00000000" w:rsidRDefault="00000000">
      <w:pPr>
        <w:ind w:left="1134" w:hanging="1134"/>
      </w:pPr>
    </w:p>
    <w:p w:rsidR="00000000" w:rsidRDefault="00000000">
      <w:pPr>
        <w:ind w:left="1134" w:hanging="1134"/>
      </w:pPr>
      <w:r>
        <w:tab/>
        <w:t>-</w:t>
      </w:r>
      <w:r>
        <w:tab/>
        <w:t>сбор одежды, детского "приданого", колясок, кроваток, мебели и различных технических принадлежностей для малоимущих семей;</w:t>
      </w:r>
    </w:p>
    <w:p w:rsidR="00000000" w:rsidRDefault="00000000">
      <w:pPr>
        <w:ind w:left="1134" w:hanging="1134"/>
      </w:pPr>
    </w:p>
    <w:p w:rsidR="00000000" w:rsidRDefault="00000000">
      <w:pPr>
        <w:ind w:left="1134" w:hanging="1134"/>
      </w:pPr>
      <w:r>
        <w:tab/>
        <w:t>-</w:t>
      </w:r>
      <w:r>
        <w:tab/>
        <w:t>организация дневных центров адаптации для инвалидов из числа детей и молодежи в целях оказания семьям помощи в воспитании и обучении детей-инвалидов;</w:t>
      </w:r>
    </w:p>
    <w:p w:rsidR="00000000" w:rsidRDefault="00000000">
      <w:pPr>
        <w:ind w:left="1134" w:hanging="1134"/>
      </w:pPr>
    </w:p>
    <w:p w:rsidR="00000000" w:rsidRDefault="00000000">
      <w:pPr>
        <w:ind w:left="1134" w:hanging="1134"/>
      </w:pPr>
      <w:r>
        <w:tab/>
        <w:t>-</w:t>
      </w:r>
      <w:r>
        <w:tab/>
        <w:t>содействие развитию социальной деятельности в интересах семей в рамках выполнения задач, возложенных на центры социальной помощи.</w:t>
      </w:r>
    </w:p>
    <w:p w:rsidR="00000000" w:rsidRDefault="00000000">
      <w:pPr>
        <w:ind w:left="1134" w:hanging="1134"/>
      </w:pPr>
    </w:p>
    <w:p w:rsidR="00000000" w:rsidRDefault="00000000">
      <w:r>
        <w:t>212.</w:t>
      </w:r>
      <w:r>
        <w:tab/>
        <w:t>Одной из форм помощи беременным женщинам является работа приютов для матерей-одиночек и детей, где женщинам предоставляется приют, а также психологическая, педагогическая и юридическая помощь.  По состоянию на 31 декабря 1997 года в стране действовали 15 таких приютов (на 660 мест), которые полностью или частично финансировались из бюджетов воеводств.  В них проживали 505 человек.  К числу заведений, работающих под управлением неправительственных организаций и субсидируемых министерством труда и социальной политики, относятся следующие:</w:t>
      </w:r>
    </w:p>
    <w:p w:rsidR="00000000" w:rsidRDefault="00000000"/>
    <w:p w:rsidR="00000000" w:rsidRDefault="00000000">
      <w:pPr>
        <w:ind w:left="1134" w:hanging="1134"/>
      </w:pPr>
      <w:r>
        <w:tab/>
        <w:t>-</w:t>
      </w:r>
      <w:r>
        <w:tab/>
        <w:t>приюты для беременных женщин и женщин с грудными детьми, организуемыми религиозными объединениями, а также церковными и светскими организациями;</w:t>
      </w:r>
    </w:p>
    <w:p w:rsidR="00000000" w:rsidRDefault="00000000">
      <w:pPr>
        <w:ind w:left="1134" w:hanging="1134"/>
      </w:pPr>
    </w:p>
    <w:p w:rsidR="00000000" w:rsidRDefault="00000000">
      <w:pPr>
        <w:ind w:left="1134" w:hanging="1134"/>
      </w:pPr>
      <w:r>
        <w:tab/>
        <w:t>-</w:t>
      </w:r>
      <w:r>
        <w:tab/>
        <w:t>убежища, приюты и общежития для матерей-одиночек в послеродовой период и матерей, имеющих детей более старшего возраста;</w:t>
      </w:r>
    </w:p>
    <w:p w:rsidR="00000000" w:rsidRDefault="00000000">
      <w:pPr>
        <w:ind w:left="1134" w:hanging="1134"/>
      </w:pPr>
    </w:p>
    <w:p w:rsidR="00000000" w:rsidRDefault="00000000">
      <w:pPr>
        <w:ind w:left="1134" w:hanging="1134"/>
      </w:pPr>
      <w:r>
        <w:tab/>
        <w:t>-</w:t>
      </w:r>
      <w:r>
        <w:tab/>
        <w:t>приюты для женщин и детей, предназначенные для защиты их от насилия в семье;</w:t>
      </w:r>
    </w:p>
    <w:p w:rsidR="00000000" w:rsidRDefault="00000000">
      <w:pPr>
        <w:ind w:left="1134" w:hanging="1134"/>
      </w:pPr>
    </w:p>
    <w:p w:rsidR="00000000" w:rsidRDefault="00000000">
      <w:pPr>
        <w:ind w:left="1134" w:hanging="1134"/>
      </w:pPr>
      <w:r>
        <w:tab/>
        <w:t>-</w:t>
      </w:r>
      <w:r>
        <w:tab/>
        <w:t>пункты скорой помощи для женщин и детей, подвергшихся жесткому обращению;</w:t>
      </w:r>
    </w:p>
    <w:p w:rsidR="00000000" w:rsidRDefault="00000000">
      <w:pPr>
        <w:ind w:left="1134" w:hanging="1134"/>
      </w:pPr>
    </w:p>
    <w:p w:rsidR="00000000" w:rsidRDefault="00000000">
      <w:pPr>
        <w:ind w:left="1134" w:hanging="1134"/>
      </w:pPr>
      <w:r>
        <w:tab/>
        <w:t>-</w:t>
      </w:r>
      <w:r>
        <w:tab/>
        <w:t>специальные центры, где предоставляется убежище жертвам насилия в семье.</w:t>
      </w:r>
    </w:p>
    <w:p w:rsidR="00000000" w:rsidRDefault="00000000">
      <w:pPr>
        <w:ind w:left="1134" w:hanging="1134"/>
      </w:pPr>
    </w:p>
    <w:p w:rsidR="00000000" w:rsidRDefault="00000000">
      <w:r>
        <w:t>213.</w:t>
      </w:r>
      <w:r>
        <w:tab/>
        <w:t>В 1996 году в Польше действовали субсидируемые центры, в которых насчитывалось 2 548 мест для размещения матерей-одиночек и детей.  Было создано 375 новых мест для женщин и 268 мест для детей.  Наиболее значительные результаты отмечались в Лодзинском воеводстве (три приюта на 104 места), Краковском воеводстве (два приюта на 128 мест), Быдгощском воеводстве (два приюта на 76 мест), Тарнобжегском воеводстве (один приют на 90 мест).  Из 15 приютов шесть были организованы государственными учреждениями и девять – негосударственными учреждениями.  Существовали также приюты, организованные католической церковью, ассоциациями и фондами.  Некоторые из них субсидировались из государственного бюджета.  В Горжице, близ Сандомира, Тарнобжегским воеводством по соглашению с министром труда был создан национальный центр социальной подготовки для женщин.  В рамках этого центра осуществляется программа социального ухода для беременных женщин и женщин, воспитывающих малолетних детей и находящихся в особо затруднительных обстоятельствах.  Целью этой программы является профессиональная подготовка и повышение профессиональной квалификации проживающих в специальных заведениях женщин, которые не в состоянии самостоятельно обеспечивать себя.</w:t>
      </w:r>
    </w:p>
    <w:p w:rsidR="00000000" w:rsidRDefault="00000000"/>
    <w:p w:rsidR="00000000" w:rsidRDefault="00000000">
      <w:pPr>
        <w:ind w:left="567" w:hanging="567"/>
        <w:jc w:val="center"/>
      </w:pPr>
      <w:r>
        <w:rPr>
          <w:b/>
          <w:bCs/>
          <w:lang w:val="en-US"/>
        </w:rPr>
        <w:br w:type="page"/>
        <w:t>F</w:t>
      </w:r>
      <w:r>
        <w:rPr>
          <w:b/>
          <w:bCs/>
        </w:rPr>
        <w:t>.</w:t>
      </w:r>
      <w:r>
        <w:rPr>
          <w:b/>
          <w:bCs/>
        </w:rPr>
        <w:tab/>
        <w:t>Меры по защите и оказанию помощи детям и молодежи, в частности по защите их от экономической и социальной эксплуатации  и деятельности, наносящей ущерб их нравственности, жизни и развитию</w:t>
      </w:r>
    </w:p>
    <w:p w:rsidR="00000000" w:rsidRDefault="00000000">
      <w:pPr>
        <w:jc w:val="center"/>
      </w:pPr>
    </w:p>
    <w:p w:rsidR="00000000" w:rsidRDefault="00000000">
      <w:pPr>
        <w:pStyle w:val="Heading2"/>
        <w:rPr>
          <w:b/>
          <w:bCs/>
          <w:u w:val="none"/>
        </w:rPr>
      </w:pPr>
      <w:r>
        <w:rPr>
          <w:b/>
          <w:bCs/>
          <w:u w:val="none"/>
        </w:rPr>
        <w:t>Проблемы, касающиеся детского и юношеского труда</w:t>
      </w:r>
    </w:p>
    <w:p w:rsidR="00000000" w:rsidRDefault="00000000">
      <w:pPr>
        <w:pStyle w:val="Heading2"/>
      </w:pPr>
    </w:p>
    <w:p w:rsidR="00000000" w:rsidRDefault="00000000">
      <w:r>
        <w:t>214.</w:t>
      </w:r>
      <w:r>
        <w:tab/>
        <w:t>Оценкой порядка осуществления права детей и подростков на защиту от физических и моральных угроз, прямо или косвенно связанных с трудовой деятельностью, занимаются многие министерства, правительственные и неправительственные организации, организации работодателей и трудящихся и т.д.  Доклады Института по вопросам труда и социальным проблемам свидетельствуют о том, что бедность многих семей приводит к тому, что дети в возрасте до 15 лет оказываются в наиболее уязвимом положении.  Важное значение имеет деятельность Международной организации труда в области принятия конвенции о детском труде, предусматривающей санкции против лиц, виновных в нарушении определенных защитных положений.  Предлагаемые в этой конвенции меры осуществляются в Польше на протяжении уже ряда лет;  так, например, были введены ограничения на использование детей на тяжелых работах в сельском хозяйстве.  Важнейшее значение имеет положение о необходимости информирования детей о соблюдении норм безопасности на сельскохозяйственных работах, а их родителей </w:t>
      </w:r>
      <w:r>
        <w:noBreakHyphen/>
        <w:t xml:space="preserve"> о тех угрозах, которые связаны с определенными видами работ и с эксплуатацией детьми опасного сельскохозяйственного оборудования и приспособлений.  Во многих случаях родители узнают об этих опасностях лишь после травмы или гибели ребенка.  Составлен список сельскохозяйственных работ, на которых не могут использоваться дети.  В нем нет прямых требований, а содержатся лишь легкие для понимания краткие рекомендации.  Другой проблемой является подростковая проституция и порнография в коммерческих целях.  Позитивными примерами совместных усилий по борьбе с этими отрицательными явлениями служат новая конвенция МОТ, посвященная этим проблемам, а также меры, принимаемые в странах Балтийского региона в области борьбы с сексуальной эксплуатацией детей.</w:t>
      </w:r>
    </w:p>
    <w:p w:rsidR="00000000" w:rsidRDefault="00000000"/>
    <w:p w:rsidR="00000000" w:rsidRDefault="00000000">
      <w:pPr>
        <w:pStyle w:val="BodyText"/>
        <w:spacing w:line="288" w:lineRule="auto"/>
      </w:pPr>
      <w:r>
        <w:t>Проблемы в области школьного обучения, воспитания и социальной жизни детей и молодежи</w:t>
      </w:r>
    </w:p>
    <w:p w:rsidR="00000000" w:rsidRDefault="00000000">
      <w:pPr>
        <w:pStyle w:val="BodyText"/>
        <w:spacing w:line="288" w:lineRule="auto"/>
      </w:pPr>
    </w:p>
    <w:p w:rsidR="00000000" w:rsidRDefault="00000000">
      <w:r>
        <w:t>215.</w:t>
      </w:r>
      <w:r>
        <w:tab/>
        <w:t>Коллективное обучение без учета индивидуальных особенностей каждого ребенка и без взаимодействия между школой и семьей не может отвечать требованиям современной цивилизации.  Помощь ребенку, испытывающему трудности при обучении в школе, заключается, в частности, в следующем:</w:t>
      </w:r>
    </w:p>
    <w:p w:rsidR="00000000" w:rsidRDefault="00000000"/>
    <w:p w:rsidR="00000000" w:rsidRDefault="00000000">
      <w:pPr>
        <w:ind w:left="1134" w:hanging="1134"/>
      </w:pPr>
      <w:r>
        <w:tab/>
        <w:t>-</w:t>
      </w:r>
      <w:r>
        <w:tab/>
        <w:t>оценка подготовленности ребенка к школе, его психомоторного развития, состояния здоровья и положения в семье;</w:t>
      </w:r>
    </w:p>
    <w:p w:rsidR="00000000" w:rsidRDefault="00000000">
      <w:pPr>
        <w:ind w:left="1134" w:hanging="1134"/>
      </w:pPr>
    </w:p>
    <w:p w:rsidR="00000000" w:rsidRDefault="00000000">
      <w:pPr>
        <w:ind w:left="1134" w:hanging="1134"/>
      </w:pPr>
      <w:r>
        <w:tab/>
        <w:t>-</w:t>
      </w:r>
      <w:r>
        <w:tab/>
        <w:t>меры по уменьшению тех трудностей, с которыми учащиеся сталкиваются в ходе учебного процесса;</w:t>
      </w:r>
    </w:p>
    <w:p w:rsidR="00000000" w:rsidRDefault="00000000">
      <w:pPr>
        <w:ind w:left="1134" w:hanging="1134"/>
      </w:pPr>
    </w:p>
    <w:p w:rsidR="00000000" w:rsidRDefault="00000000">
      <w:pPr>
        <w:ind w:left="1134" w:hanging="1134"/>
      </w:pPr>
      <w:r>
        <w:tab/>
        <w:t>-</w:t>
      </w:r>
      <w:r>
        <w:tab/>
        <w:t>направление учащихся к психологу, педагогу или в специализированные клиники для прохождения лечения;</w:t>
      </w:r>
    </w:p>
    <w:p w:rsidR="00000000" w:rsidRDefault="00000000">
      <w:pPr>
        <w:ind w:left="1134" w:hanging="1134"/>
      </w:pPr>
    </w:p>
    <w:p w:rsidR="00000000" w:rsidRDefault="00000000">
      <w:pPr>
        <w:ind w:left="1134" w:hanging="1134"/>
      </w:pPr>
      <w:r>
        <w:tab/>
        <w:t>-</w:t>
      </w:r>
      <w:r>
        <w:tab/>
        <w:t>организация лагерей отдыха в период каникул для детей, имеющих проблемы с чтением и письмом;</w:t>
      </w:r>
    </w:p>
    <w:p w:rsidR="00000000" w:rsidRDefault="00000000">
      <w:pPr>
        <w:ind w:left="1134" w:hanging="1134"/>
      </w:pPr>
    </w:p>
    <w:p w:rsidR="00000000" w:rsidRDefault="00000000">
      <w:pPr>
        <w:ind w:left="1134" w:hanging="1134"/>
      </w:pPr>
      <w:r>
        <w:tab/>
        <w:t>-</w:t>
      </w:r>
      <w:r>
        <w:tab/>
        <w:t>организация дополнительных или терапевтических занятий;</w:t>
      </w:r>
    </w:p>
    <w:p w:rsidR="00000000" w:rsidRDefault="00000000">
      <w:pPr>
        <w:ind w:left="1134" w:hanging="1134"/>
      </w:pPr>
    </w:p>
    <w:p w:rsidR="00000000" w:rsidRDefault="00000000">
      <w:pPr>
        <w:ind w:left="1134" w:hanging="1134"/>
      </w:pPr>
      <w:r>
        <w:tab/>
        <w:t>-</w:t>
      </w:r>
      <w:r>
        <w:tab/>
        <w:t>помощь семьям:  консультации, лечение, повышение информированности о педагогических и психологических проблемах;</w:t>
      </w:r>
    </w:p>
    <w:p w:rsidR="00000000" w:rsidRDefault="00000000">
      <w:pPr>
        <w:ind w:left="1134" w:hanging="1134"/>
      </w:pPr>
    </w:p>
    <w:p w:rsidR="00000000" w:rsidRDefault="00000000">
      <w:pPr>
        <w:ind w:left="1134" w:hanging="1134"/>
      </w:pPr>
      <w:r>
        <w:tab/>
        <w:t>-</w:t>
      </w:r>
      <w:r>
        <w:tab/>
        <w:t>помощь учителям в целях улучшения их навыков в работе с трудными учениками.</w:t>
      </w:r>
    </w:p>
    <w:p w:rsidR="00000000" w:rsidRDefault="00000000">
      <w:pPr>
        <w:ind w:left="1134" w:hanging="1134"/>
      </w:pPr>
    </w:p>
    <w:p w:rsidR="00000000" w:rsidRDefault="00000000">
      <w:r>
        <w:t>216.</w:t>
      </w:r>
      <w:r>
        <w:tab/>
        <w:t>В течение 1996/97 учебного года психопедагогическими клиниками было выдано 27 532 справки, которые давали право инвалидам из числа детей и молодежи учиться в специализированных учебных заведениях.  В специальные школы были направлены 14 526 детей с легкими умственными недостатками и 3 486 детей с психическими расстройствами средней или высокой степени.  Было выдано 5 000 свидетельств о наличии физических недостатков:  нарушений зрения (1 002), слуха (1 295), двигательных функций (1 512) и комбинированных нарушений (1 122).  Важным элементом помощи, лицам с различными нарушениями было обучение детей в рамках комплексных групп.  После того как в 1994 году вопросы образования были переданы в ведение местных органов самоуправления, началось активное распространение таких групп в дошкольных учреждениях и школах (Правительственная программа действий в интересах инвалидов для обеспечения их участия в жизни общества).  По состоянию на конец 1997 года в стране функционировало:</w:t>
      </w:r>
    </w:p>
    <w:p w:rsidR="00000000" w:rsidRDefault="00000000"/>
    <w:p w:rsidR="00000000" w:rsidRDefault="00000000">
      <w:r>
        <w:tab/>
        <w:t>-</w:t>
      </w:r>
      <w:r>
        <w:tab/>
        <w:t>104 комплексных дошкольных учреждения (264 комплексные группы);</w:t>
      </w:r>
    </w:p>
    <w:p w:rsidR="00000000" w:rsidRDefault="00000000">
      <w:r>
        <w:tab/>
        <w:t>-</w:t>
      </w:r>
      <w:r>
        <w:tab/>
        <w:t>146 школ (471 комплексный класс);</w:t>
      </w:r>
    </w:p>
    <w:p w:rsidR="00000000" w:rsidRDefault="00000000">
      <w:r>
        <w:tab/>
        <w:t>-</w:t>
      </w:r>
      <w:r>
        <w:tab/>
        <w:t>15 средних комплексных школ.</w:t>
      </w:r>
    </w:p>
    <w:p w:rsidR="00000000" w:rsidRDefault="00000000"/>
    <w:p w:rsidR="00000000" w:rsidRDefault="00000000">
      <w:r>
        <w:t>217.</w:t>
      </w:r>
      <w:r>
        <w:tab/>
        <w:t>В стране насчитывалось 597 работающих специалистов (специализированных педагогов).  1 018 человек имели диплом преподавателей, директоров школ, сотрудников департаментов образования и т.д.  Системой комплексного обучения было охвачено 3 082 учащихся (1 187 в дошкольных учреждениях, 1 895 в начальной школе и 189 в школах более высокой ступени).  Управлением по физической культуре и туризму осуществлялась программа, рассчитанная на молодых инвалидов, под названием "Спорт - шанс твоей жизни" (организация лагерей отдыха, подготовка к спортивным соревнованиям).  В 1997 году польские молодые инвалиды завоевали на международных состязаниях 136 медалей.</w:t>
      </w:r>
    </w:p>
    <w:p w:rsidR="00000000" w:rsidRDefault="00000000"/>
    <w:p w:rsidR="00000000" w:rsidRDefault="00000000">
      <w:r>
        <w:t>218.</w:t>
      </w:r>
      <w:r>
        <w:tab/>
        <w:t>Методический центр психопедагогической помощи провел в 1997 году исследование по проблеме социальных отклонений у учащихся.  Социальная девиация была обмечена у 6,46% учащихся:  2,64% проявляли агрессивность, 11,19% убегали из дома и на протяжении длительного времени не посещали школьных занятий, 0,61% занимались воровством, 0,59% совершали акты вандализма, 0,53% употребляли спиртные напитки.  Количество лиц с признаками социальной девиации было выше в городах (6,66%) по сравнению с сельскими районами (4,96%).  В 80-х годах эти показатели не превышали 2% общего числа учащихся.  Более высокими (35,6%) эти показатели были среди контингента специализированных учебных и воспитательных учреждений.  Жертвы преступлений и правонарушители требуют особого внимания и лечения.  Согласно данным полиции, число жертв преступлений в возрасте до 18 лет растет.  В 1995 году жертвами преступлений стали 6 951 ребенок, в 1996 году - 9 417, а в 1997 году - 11 151.  При этом число случаев гибели детей возросло более чем вдвое (от 34 до 79).</w:t>
      </w:r>
    </w:p>
    <w:p w:rsidR="00000000" w:rsidRDefault="00000000"/>
    <w:p w:rsidR="00000000" w:rsidRDefault="00000000">
      <w:pPr>
        <w:pStyle w:val="BodyText"/>
        <w:spacing w:line="288" w:lineRule="auto"/>
      </w:pPr>
      <w:r>
        <w:t>Виды помощи, предоставляемой детям и семьям, находящимся в затруднительном положении</w:t>
      </w:r>
    </w:p>
    <w:p w:rsidR="00000000" w:rsidRDefault="00000000">
      <w:pPr>
        <w:pStyle w:val="BodyText"/>
        <w:spacing w:line="288" w:lineRule="auto"/>
      </w:pPr>
    </w:p>
    <w:p w:rsidR="00000000" w:rsidRDefault="00000000">
      <w:r>
        <w:t>219.</w:t>
      </w:r>
      <w:r>
        <w:tab/>
        <w:t>В Польше существует 331 фонд, 487 ассоциацией и 357 других учреждений, которые оказывают помощь детям и семьям.  Эти организации предоставляют помощь в следующих областях:</w:t>
      </w:r>
    </w:p>
    <w:p w:rsidR="00000000" w:rsidRDefault="00000000"/>
    <w:p w:rsidR="00000000" w:rsidRDefault="00000000">
      <w:r>
        <w:tab/>
        <w:t>-</w:t>
      </w:r>
      <w:r>
        <w:tab/>
        <w:t>помощь семьям - 251 организация;</w:t>
      </w:r>
    </w:p>
    <w:p w:rsidR="00000000" w:rsidRDefault="00000000"/>
    <w:p w:rsidR="00000000" w:rsidRDefault="00000000">
      <w:r>
        <w:tab/>
        <w:t>-</w:t>
      </w:r>
      <w:r>
        <w:tab/>
        <w:t>помощь многодетным семьям - 266 организаций;</w:t>
      </w:r>
    </w:p>
    <w:p w:rsidR="00000000" w:rsidRDefault="00000000"/>
    <w:p w:rsidR="00000000" w:rsidRDefault="00000000">
      <w:pPr>
        <w:ind w:left="1134" w:hanging="1134"/>
      </w:pPr>
      <w:r>
        <w:tab/>
        <w:t>-</w:t>
      </w:r>
      <w:r>
        <w:tab/>
        <w:t>помощь семьям, в составе которых имеются лица, страдающие различными заболеваниями - 373 организации;</w:t>
      </w:r>
    </w:p>
    <w:p w:rsidR="00000000" w:rsidRDefault="00000000">
      <w:pPr>
        <w:ind w:left="1134" w:hanging="1134"/>
      </w:pPr>
    </w:p>
    <w:p w:rsidR="00000000" w:rsidRDefault="00000000">
      <w:pPr>
        <w:ind w:left="1134" w:hanging="1134"/>
      </w:pPr>
      <w:r>
        <w:tab/>
        <w:t>-</w:t>
      </w:r>
      <w:r>
        <w:tab/>
        <w:t>помощь детям-инвалидам - 489 организаций;</w:t>
      </w:r>
    </w:p>
    <w:p w:rsidR="00000000" w:rsidRDefault="00000000">
      <w:pPr>
        <w:ind w:left="1134" w:hanging="1134"/>
      </w:pPr>
    </w:p>
    <w:p w:rsidR="00000000" w:rsidRDefault="00000000">
      <w:pPr>
        <w:ind w:left="1134" w:hanging="1134"/>
      </w:pPr>
      <w:r>
        <w:tab/>
        <w:t>-</w:t>
      </w:r>
      <w:r>
        <w:tab/>
        <w:t>помощь детям и подросткам, о которых не заботятся родители </w:t>
      </w:r>
      <w:r>
        <w:noBreakHyphen/>
        <w:t xml:space="preserve"> 248 организаций;</w:t>
      </w:r>
    </w:p>
    <w:p w:rsidR="00000000" w:rsidRDefault="00000000">
      <w:pPr>
        <w:ind w:left="1134" w:hanging="1134"/>
      </w:pPr>
    </w:p>
    <w:p w:rsidR="00000000" w:rsidRDefault="00000000">
      <w:pPr>
        <w:ind w:left="1134" w:hanging="1134"/>
      </w:pPr>
      <w:r>
        <w:tab/>
        <w:t>-</w:t>
      </w:r>
      <w:r>
        <w:tab/>
        <w:t>помощь безработным - 148 организаций;</w:t>
      </w:r>
    </w:p>
    <w:p w:rsidR="00000000" w:rsidRDefault="00000000">
      <w:pPr>
        <w:ind w:left="1134" w:hanging="1134"/>
      </w:pPr>
    </w:p>
    <w:p w:rsidR="00000000" w:rsidRDefault="00000000">
      <w:pPr>
        <w:ind w:left="1134" w:hanging="1134"/>
      </w:pPr>
      <w:r>
        <w:tab/>
        <w:t>-</w:t>
      </w:r>
      <w:r>
        <w:tab/>
        <w:t>прочие виды помощи - 358 организаций.</w:t>
      </w:r>
    </w:p>
    <w:p w:rsidR="00000000" w:rsidRDefault="00000000">
      <w:pPr>
        <w:ind w:left="1134" w:hanging="1134"/>
      </w:pPr>
    </w:p>
    <w:p w:rsidR="00000000" w:rsidRDefault="00000000">
      <w:pPr>
        <w:ind w:left="1134" w:hanging="1134"/>
      </w:pPr>
      <w:r>
        <w:rPr>
          <w:b/>
          <w:bCs/>
        </w:rPr>
        <w:tab/>
        <w:t>1.</w:t>
      </w:r>
      <w:r>
        <w:rPr>
          <w:b/>
          <w:bCs/>
        </w:rPr>
        <w:tab/>
        <w:t>Возраст, ниже которого наем детей на работу в различных областях запрещен</w:t>
      </w:r>
    </w:p>
    <w:p w:rsidR="00000000" w:rsidRDefault="00000000">
      <w:pPr>
        <w:ind w:left="1134" w:hanging="1134"/>
        <w:jc w:val="center"/>
      </w:pPr>
    </w:p>
    <w:p w:rsidR="00000000" w:rsidRDefault="00000000">
      <w:r>
        <w:t>220.</w:t>
      </w:r>
      <w:r>
        <w:tab/>
        <w:t>В пункте 2 статьи 190 Кодекса законов о труде содержится запрет на прием на работу лиц, не достигших 15-летнего возраста, независимо от рода деятельности.  В этом Кодексе устанавливается также понятие "несовершеннолетнего работника" применительно к лицу, в возрасте от 15 до 18 лет.  В отчетный период люди могли заниматься трудовой деятельностью после достижения 15-летнего возраста.  Существующими правилами предусматривается возможность найма на работу лиц, достигших 14 лет, при том условии, что эти лица окончили начальную школу.  По ходатайству законного представителя такие лица могут приниматься на работу в целях прохождения профессиональной подготовки.  Правовой основой такого положения является распоряжение министра труда и социальной политики о найме на работу подростков, не окончивших начальную школу, и лиц в возрасте до 15 лет, окончивших начальную школу (Законодательный вестник № 62, текст 291).  При этом подросток должен пройти медицинское освидетельствование (отсутствие противопоказаний для поступления на работу).  По закону продолжительность рабочего дня несовершеннолетнего не может превышать шести часов.  Время для профессионального обучения включено в рабочее время;  вместе с тем оно не может превышать 18 часов в неделю.  На период учебы работодатель обязан отпускать подростка с работы.  Запрещается использовать подростков для работы сверхурочно или в ночное время.  По истечении шести месяцев подросток имеет право на 12-дневный отпуск, а по истечении одного года - отпуск продолжительностью в 26 дней.  Постановлением от 1 декабря 1990 года о типах работ, на которых нельзя использовать труд несовершеннолетних, правительство определило все виды таких работ (Законодательный вестник за 1990 год № 84, текст 500, и за 1992 год, № 1, текст 1).  Использование подростков на работах, перечисленных в вышеуказанном постановлении, не может носить постоянный характер;  оно должно ограничиваться их ознакомлением с основными операциями, необходимыми для работы в данной области.  Необходимо также учитывать состояние здоровья работника.  Надзор за использованием труда подростков осуществляется Государственной трудовой инспекцией.  В соответствии со статьей 281 и в связи со статьей 284 Кодекса законов о труде работники Государственной трудовой инспекции могут налагать штрафы на лиц, виновных в нарушении положений о защите несовершеннолетних в области трудовых отношений.</w:t>
      </w:r>
    </w:p>
    <w:p w:rsidR="00000000" w:rsidRDefault="00000000"/>
    <w:p w:rsidR="00000000" w:rsidRDefault="00000000">
      <w:pPr>
        <w:pStyle w:val="BodyText2"/>
        <w:spacing w:line="288" w:lineRule="auto"/>
        <w:rPr>
          <w:b/>
          <w:bCs/>
        </w:rPr>
      </w:pPr>
      <w:r>
        <w:tab/>
      </w:r>
      <w:r>
        <w:rPr>
          <w:b/>
          <w:bCs/>
        </w:rPr>
        <w:t>2.</w:t>
      </w:r>
      <w:r>
        <w:rPr>
          <w:b/>
          <w:bCs/>
        </w:rPr>
        <w:tab/>
        <w:t>Число детей, имеющих оплачиваемую работу, возрастные группы,</w:t>
      </w:r>
    </w:p>
    <w:p w:rsidR="00000000" w:rsidRDefault="00000000">
      <w:pPr>
        <w:pStyle w:val="BodyText2"/>
        <w:spacing w:line="288" w:lineRule="auto"/>
      </w:pPr>
      <w:r>
        <w:rPr>
          <w:b/>
          <w:bCs/>
        </w:rPr>
        <w:tab/>
      </w:r>
      <w:r>
        <w:rPr>
          <w:b/>
          <w:bCs/>
        </w:rPr>
        <w:tab/>
        <w:t>объем и место работы</w:t>
      </w:r>
    </w:p>
    <w:p w:rsidR="00000000" w:rsidRDefault="00000000"/>
    <w:p w:rsidR="00000000" w:rsidRDefault="00000000">
      <w:r>
        <w:t>221.</w:t>
      </w:r>
      <w:r>
        <w:tab/>
        <w:t>Что касается статистических данных, то проблема детского труда в Польше до настоящего времени изучена недостаточно.  Неофициально можно предположить, что примерно в 8</w:t>
      </w:r>
      <w:r>
        <w:noBreakHyphen/>
        <w:t xml:space="preserve">10% семей дети занимаются приносящей доход деятельностью.  В большинстве случаев они вынуждены работать для удовлетворения своих основных потребностей и внесения лепты в скудный бюджет семьи.  Соответствующие возрастные группы, равно как и объем выполняемой работы установить довольно сложно.  Нет сомнений в том, что большинство детей и молодых людей бесплатно работают на своих семейных фермах (зачастую в ущерб школьным занятиям, а чаще в период летних каникул);  те же дети, которые выполняют оплачиваемую работу, как правило, время от времени подрабатывают в частных фирмах (например, для распространения рекламных материалов).  </w:t>
      </w:r>
    </w:p>
    <w:p w:rsidR="00000000" w:rsidRDefault="00000000"/>
    <w:p w:rsidR="00000000" w:rsidRDefault="00000000">
      <w:pPr>
        <w:rPr>
          <w:b/>
          <w:bCs/>
        </w:rPr>
      </w:pPr>
      <w:r>
        <w:rPr>
          <w:b/>
          <w:bCs/>
        </w:rPr>
        <w:tab/>
        <w:t>3.</w:t>
      </w:r>
      <w:r>
        <w:rPr>
          <w:b/>
          <w:bCs/>
        </w:rPr>
        <w:tab/>
        <w:t>Дети и подростки, лишенные защиты и помощи</w:t>
      </w:r>
    </w:p>
    <w:p w:rsidR="00000000" w:rsidRDefault="00000000">
      <w:pPr>
        <w:jc w:val="center"/>
        <w:rPr>
          <w:b/>
          <w:bCs/>
        </w:rPr>
      </w:pPr>
    </w:p>
    <w:p w:rsidR="00000000" w:rsidRDefault="00000000">
      <w:r>
        <w:t>222.</w:t>
      </w:r>
      <w:r>
        <w:tab/>
        <w:t>В течение отчетного периода в Польше не существовало общенациональной проблемы детей и подростков, не имеющих доступа к средствам защиты и помощи.  В масштабах общества проблемы брошенных детей также не существует (за исключением небольшого числа случаев).  На детей, от которых отказались родители, сирот и т.д. распространяется действие положений Закона о системе образования.  В связи с этим вопросами таких детей занимаются следующие учреждения:</w:t>
      </w:r>
    </w:p>
    <w:p w:rsidR="00000000" w:rsidRDefault="00000000"/>
    <w:p w:rsidR="00000000" w:rsidRDefault="00000000">
      <w:r>
        <w:rPr>
          <w:b/>
          <w:bCs/>
        </w:rPr>
        <w:tab/>
      </w:r>
      <w:r>
        <w:rPr>
          <w:lang w:val="en-US"/>
        </w:rPr>
        <w:t>a</w:t>
      </w:r>
      <w:r>
        <w:t>)</w:t>
      </w:r>
      <w:r>
        <w:tab/>
        <w:t>центры опеки и ухода за детьми;</w:t>
      </w:r>
    </w:p>
    <w:p w:rsidR="00000000" w:rsidRDefault="00000000">
      <w:r>
        <w:tab/>
      </w:r>
      <w:r>
        <w:rPr>
          <w:lang w:val="en-US"/>
        </w:rPr>
        <w:t>b</w:t>
      </w:r>
      <w:r>
        <w:t>)</w:t>
      </w:r>
      <w:r>
        <w:tab/>
        <w:t>приемные родители;</w:t>
      </w:r>
    </w:p>
    <w:p w:rsidR="00000000" w:rsidRDefault="00000000">
      <w:r>
        <w:tab/>
      </w:r>
      <w:r>
        <w:rPr>
          <w:lang w:val="en-US"/>
        </w:rPr>
        <w:t>c</w:t>
      </w:r>
      <w:r>
        <w:t>)</w:t>
      </w:r>
      <w:r>
        <w:tab/>
        <w:t>детские дома, включая дома для малолетних детей;</w:t>
      </w:r>
    </w:p>
    <w:p w:rsidR="00000000" w:rsidRDefault="00000000">
      <w:r>
        <w:tab/>
      </w:r>
      <w:r>
        <w:rPr>
          <w:lang w:val="en-US"/>
        </w:rPr>
        <w:t>d</w:t>
      </w:r>
      <w:r>
        <w:t>)</w:t>
      </w:r>
      <w:r>
        <w:tab/>
        <w:t>семейные детские дома;</w:t>
      </w:r>
    </w:p>
    <w:p w:rsidR="00000000" w:rsidRDefault="00000000">
      <w:r>
        <w:tab/>
      </w:r>
      <w:r>
        <w:rPr>
          <w:lang w:val="en-US"/>
        </w:rPr>
        <w:t>e</w:t>
      </w:r>
      <w:r>
        <w:t>)</w:t>
      </w:r>
      <w:r>
        <w:tab/>
        <w:t>попечительские/учебные заведения.</w:t>
      </w:r>
    </w:p>
    <w:p w:rsidR="00000000" w:rsidRDefault="00000000"/>
    <w:p w:rsidR="00000000" w:rsidRDefault="00000000">
      <w:r>
        <w:t>223.</w:t>
      </w:r>
      <w:r>
        <w:tab/>
        <w:t>Законом от 27 августа 1997 года о реабилитации инвалидов предусматривается предоставление примерно 150 000 инвалидов из числа детей и молодежи 5</w:t>
      </w:r>
      <w:r>
        <w:noBreakHyphen/>
        <w:t>10% средств, ежегодно поступающих в Государственный фонд реабилитации инвалидов, в целях дополнительного финансирования деятельности по реабилитации.  Эти средства дополняют пособия по линии социального обеспечения и услуги в области здравоохранения.  Дети с высокой степенью инвалидности помещаются в социальные приюты.  В 1997/98 учебном году для детей</w:t>
      </w:r>
      <w:r>
        <w:noBreakHyphen/>
        <w:t>инвалидов было организовано 635 специальных классов в начальных школах, а также большое число объединенных классов (чтобы избежать раздельного обучения инвалидов), где занимались приблизительно 44 000 учащихся, 789 специальных начальных школ, где обучались более 80 000 детей, 29 школ профессиональной подготовки с 1 000 учащимися и 23 специальные средние школы  с 1 100 учащимися, 291 школа начальной профессиональной подготовки с более чем 27 000 учащихся, 23 средние школы и профессионально</w:t>
      </w:r>
      <w:r>
        <w:noBreakHyphen/>
        <w:t>технических училища для более чем 1 300 учащихся и 7 средних специальных школ для почти 700 учащихся.</w:t>
      </w:r>
    </w:p>
    <w:p w:rsidR="00000000" w:rsidRDefault="00000000"/>
    <w:p w:rsidR="00000000" w:rsidRDefault="00000000">
      <w:r>
        <w:t>224.</w:t>
      </w:r>
      <w:r>
        <w:tab/>
        <w:t>В 1997 году к 19 387 подросткам (включая 1 500 девушек), совершившим наказуемые деяния, были применены воспитательно</w:t>
      </w:r>
      <w:r>
        <w:noBreakHyphen/>
        <w:t xml:space="preserve">исправительные меры.  Воспитательные меры были также приняты в отношении 7 225 несовершеннолетних в связи с аморальным поведением.  Вместе с тем большинство судебных решений предусматривали применение менее жестких мер </w:t>
      </w:r>
      <w:r>
        <w:noBreakHyphen/>
        <w:t xml:space="preserve"> контроль со стороны инспекторов по делам несовершеннолетних или родителей, наставительные беседы и т.д.  Лишь 12 человек были помещены в тюрьмы и 1 891 человек в другие исправительные учреждения без условно досрочного освобождения.  По состоянию на 31 декбаря 1997 года в Польше насчитывалось 26 исправительных заведений, где содержались 1 440 малолетних преступников, 47 исправительных центров с 2 823 несовершеннолетними преступниками и 18 приютов для несовершеннолетних правонарушителей, где содержались 657 детей.  В то же время по решению суда осуществлялся контроль за 169 776 несовершеннолетними (включая 6 772 сирот), 37 341 ребенок находился под опекой приемных родителей и 31 809 человек в школах</w:t>
      </w:r>
      <w:r>
        <w:noBreakHyphen/>
        <w:t>интернатах (контроль по решению суда касается детей, лишенных родительской опеки, а также сирот).</w:t>
      </w:r>
    </w:p>
    <w:p w:rsidR="00000000" w:rsidRDefault="00000000"/>
    <w:p w:rsidR="00000000" w:rsidRDefault="00000000">
      <w:pPr>
        <w:ind w:left="567" w:hanging="567"/>
        <w:jc w:val="center"/>
        <w:rPr>
          <w:b/>
          <w:bCs/>
        </w:rPr>
      </w:pPr>
      <w:r>
        <w:rPr>
          <w:b/>
          <w:bCs/>
          <w:lang w:val="en-US"/>
        </w:rPr>
        <w:t>G</w:t>
      </w:r>
      <w:r>
        <w:rPr>
          <w:b/>
          <w:bCs/>
        </w:rPr>
        <w:t>.</w:t>
      </w:r>
      <w:r>
        <w:rPr>
          <w:b/>
          <w:bCs/>
        </w:rPr>
        <w:tab/>
        <w:t>Новое законодательство и постановления органов исполнительной власти, имеющие отношение к статье 10</w:t>
      </w:r>
    </w:p>
    <w:p w:rsidR="00000000" w:rsidRDefault="00000000">
      <w:pPr>
        <w:ind w:left="567" w:hanging="567"/>
        <w:rPr>
          <w:b/>
          <w:bCs/>
        </w:rPr>
      </w:pPr>
    </w:p>
    <w:p w:rsidR="00000000" w:rsidRDefault="00000000">
      <w:pPr>
        <w:ind w:left="567" w:hanging="567"/>
      </w:pPr>
      <w:r>
        <w:t>225.</w:t>
      </w:r>
      <w:r>
        <w:tab/>
        <w:t>К числу таких законов и постановлений относятся следующие:</w:t>
      </w:r>
    </w:p>
    <w:p w:rsidR="00000000" w:rsidRDefault="00000000">
      <w:pPr>
        <w:ind w:left="567" w:hanging="567"/>
      </w:pPr>
    </w:p>
    <w:p w:rsidR="00000000" w:rsidRDefault="00000000">
      <w:pPr>
        <w:ind w:left="1134" w:hanging="1134"/>
      </w:pPr>
      <w:r>
        <w:tab/>
      </w:r>
      <w:r>
        <w:noBreakHyphen/>
      </w:r>
      <w:r>
        <w:tab/>
        <w:t>статья 18 Конституции (брак, семья и родительство находятся под охраной и покровительством Республики Польши);</w:t>
      </w:r>
    </w:p>
    <w:p w:rsidR="00000000" w:rsidRDefault="00000000">
      <w:pPr>
        <w:ind w:left="1134" w:hanging="1134"/>
      </w:pPr>
    </w:p>
    <w:p w:rsidR="00000000" w:rsidRDefault="00000000">
      <w:pPr>
        <w:ind w:left="1134" w:hanging="1134"/>
      </w:pPr>
      <w:r>
        <w:tab/>
      </w:r>
      <w:r>
        <w:noBreakHyphen/>
      </w:r>
      <w:r>
        <w:tab/>
        <w:t>статьи 71 и 72 Конституции (семьи, находящиеся в трудном положении, а также многодетные семьи пользуются специальной защитой со стороны государственных органов;  особая помощь предоставляется матерям до и после рождения ребенка);</w:t>
      </w:r>
    </w:p>
    <w:p w:rsidR="00000000" w:rsidRDefault="00000000">
      <w:pPr>
        <w:ind w:left="1134" w:hanging="1134"/>
      </w:pPr>
    </w:p>
    <w:p w:rsidR="00000000" w:rsidRDefault="00000000">
      <w:pPr>
        <w:ind w:left="1134" w:hanging="1134"/>
      </w:pPr>
      <w:r>
        <w:tab/>
      </w:r>
      <w:r>
        <w:noBreakHyphen/>
      </w:r>
      <w:r>
        <w:tab/>
        <w:t>Закон от 27 августа 1997 года о реабилитации и трудоустройстве инвалидов (Законодательный вестник за 1997 год, № 123, текст 776);</w:t>
      </w:r>
    </w:p>
    <w:p w:rsidR="00000000" w:rsidRDefault="00000000">
      <w:pPr>
        <w:ind w:left="1134" w:hanging="1134"/>
      </w:pPr>
    </w:p>
    <w:p w:rsidR="00000000" w:rsidRDefault="00000000">
      <w:pPr>
        <w:ind w:left="1134" w:hanging="1134"/>
      </w:pPr>
      <w:r>
        <w:tab/>
      </w:r>
      <w:r>
        <w:noBreakHyphen/>
      </w:r>
      <w:r>
        <w:tab/>
        <w:t>индексация пороговых показателей, дающих право на получение пособий и денежных выплат, в соответствии с пунктом 5 статьи 35</w:t>
      </w:r>
      <w:r>
        <w:rPr>
          <w:lang w:val="en-US"/>
        </w:rPr>
        <w:t>a</w:t>
      </w:r>
      <w:r>
        <w:t>  закона от 29 ноября 1990 года о социальной помощи (Законодательный вестник за 1998 год, № 64, текст 414);</w:t>
      </w:r>
    </w:p>
    <w:p w:rsidR="00000000" w:rsidRDefault="00000000">
      <w:pPr>
        <w:ind w:left="1134" w:hanging="1134"/>
      </w:pPr>
    </w:p>
    <w:p w:rsidR="00000000" w:rsidRDefault="00000000">
      <w:pPr>
        <w:ind w:left="1134" w:hanging="1134"/>
      </w:pPr>
      <w:r>
        <w:tab/>
      </w:r>
      <w:r>
        <w:noBreakHyphen/>
      </w:r>
      <w:r>
        <w:tab/>
        <w:t xml:space="preserve">Закон от 18 июля 1998 года о поправках к Кодексу законов о семье и опекунстве (Законодательный вестник за 1998 год, № 17, текст 757), положения, регулирующие заключение брака, которые вступили в силу 15 ноября 1998 года;  данный Закон приводит законодательство в соответствие с принципами, закрепленными в Конституции и Конкордате между Республикой Польшей и Ватиканом; </w:t>
      </w:r>
    </w:p>
    <w:p w:rsidR="00000000" w:rsidRDefault="00000000">
      <w:pPr>
        <w:ind w:left="1134" w:hanging="1134"/>
      </w:pPr>
    </w:p>
    <w:p w:rsidR="00000000" w:rsidRDefault="00000000">
      <w:pPr>
        <w:ind w:left="1134" w:hanging="1134"/>
      </w:pPr>
      <w:r>
        <w:tab/>
      </w:r>
      <w:r>
        <w:noBreakHyphen/>
      </w:r>
      <w:r>
        <w:tab/>
        <w:t>законопроект об Уполномоченном по правам ребенка, принятый Советом министров 8 октября 1998 года;</w:t>
      </w:r>
    </w:p>
    <w:p w:rsidR="00000000" w:rsidRDefault="00000000">
      <w:pPr>
        <w:ind w:left="1134" w:hanging="1134"/>
      </w:pPr>
    </w:p>
    <w:p w:rsidR="00000000" w:rsidRDefault="00000000">
      <w:pPr>
        <w:ind w:left="1134" w:hanging="1134"/>
      </w:pPr>
      <w:r>
        <w:tab/>
      </w:r>
      <w:r>
        <w:noBreakHyphen/>
      </w:r>
      <w:r>
        <w:tab/>
        <w:t>поправка от 8 октября 1996 года к постановлению Совета министров о принципах оказания социальной и юридической помощи беременным женщинам и женщинам, воспитывающим ребенка (Законодательный вестник за 1996 год, № 123, текст 577);</w:t>
      </w:r>
    </w:p>
    <w:p w:rsidR="00000000" w:rsidRDefault="00000000">
      <w:pPr>
        <w:ind w:left="1134" w:hanging="1134"/>
      </w:pPr>
    </w:p>
    <w:p w:rsidR="00000000" w:rsidRDefault="00000000">
      <w:pPr>
        <w:ind w:left="1134" w:hanging="1134"/>
      </w:pPr>
      <w:r>
        <w:tab/>
      </w:r>
      <w:r>
        <w:noBreakHyphen/>
      </w:r>
      <w:r>
        <w:tab/>
        <w:t xml:space="preserve">распоряжение министра труда и социальной политики от 29 мая  1996 года по вопросу о трудоустройстве несовершеннолетних, не закончивших начальную школу, и лиц в возрасте до 17 лет, закончивших начальную школу; </w:t>
      </w:r>
    </w:p>
    <w:p w:rsidR="00000000" w:rsidRDefault="00000000">
      <w:pPr>
        <w:ind w:left="1134" w:hanging="1134"/>
      </w:pPr>
    </w:p>
    <w:p w:rsidR="00000000" w:rsidRDefault="00000000">
      <w:pPr>
        <w:ind w:left="1134" w:hanging="1134"/>
      </w:pPr>
      <w:r>
        <w:tab/>
      </w:r>
      <w:r>
        <w:noBreakHyphen/>
      </w:r>
      <w:r>
        <w:tab/>
        <w:t>постановление Совета министров от 7 ноября 1997 года о назначении правительственного уполномоченного по вопросам семьи.</w:t>
      </w:r>
    </w:p>
    <w:p w:rsidR="00000000" w:rsidRDefault="00000000"/>
    <w:p w:rsidR="00000000" w:rsidRDefault="00000000">
      <w:pPr>
        <w:jc w:val="center"/>
        <w:rPr>
          <w:b/>
          <w:bCs/>
        </w:rPr>
      </w:pPr>
      <w:r>
        <w:rPr>
          <w:b/>
          <w:bCs/>
          <w:lang w:val="en-US"/>
        </w:rPr>
        <w:t>VI</w:t>
      </w:r>
      <w:r>
        <w:rPr>
          <w:b/>
          <w:bCs/>
        </w:rPr>
        <w:t>.</w:t>
      </w:r>
      <w:r>
        <w:rPr>
          <w:b/>
          <w:bCs/>
        </w:rPr>
        <w:tab/>
        <w:t>ОСУЩЕСТВЛЕНИЕ ПРАВ, ЗАКРЕПЛЕННЫХ В СТАТЬЕ 11</w:t>
      </w:r>
    </w:p>
    <w:p w:rsidR="00000000" w:rsidRDefault="00000000">
      <w:pPr>
        <w:jc w:val="center"/>
        <w:rPr>
          <w:b/>
          <w:bCs/>
        </w:rPr>
      </w:pPr>
    </w:p>
    <w:p w:rsidR="00000000" w:rsidRDefault="00000000">
      <w:pPr>
        <w:pStyle w:val="Heading1"/>
        <w:jc w:val="center"/>
        <w:rPr>
          <w:bCs/>
        </w:rPr>
      </w:pPr>
      <w:r>
        <w:rPr>
          <w:bCs/>
        </w:rPr>
        <w:t>А.</w:t>
      </w:r>
      <w:r>
        <w:rPr>
          <w:bCs/>
        </w:rPr>
        <w:tab/>
        <w:t>Уровень жизни населения</w:t>
      </w:r>
    </w:p>
    <w:p w:rsidR="00000000" w:rsidRDefault="00000000">
      <w:pPr>
        <w:pStyle w:val="Heading1"/>
        <w:rPr>
          <w:bCs/>
        </w:rPr>
      </w:pPr>
    </w:p>
    <w:p w:rsidR="00000000" w:rsidRDefault="00000000">
      <w:r>
        <w:t>226.</w:t>
      </w:r>
      <w:r>
        <w:tab/>
        <w:t>Уровень жизни населения ежегодно анализируется Главным статистическим управлением (</w:t>
      </w:r>
      <w:r>
        <w:rPr>
          <w:lang w:val="en-US"/>
        </w:rPr>
        <w:t>Gl</w:t>
      </w:r>
      <w:r>
        <w:t>ó</w:t>
      </w:r>
      <w:r>
        <w:rPr>
          <w:lang w:val="en-US"/>
        </w:rPr>
        <w:t>wny</w:t>
      </w:r>
      <w:r>
        <w:t xml:space="preserve"> </w:t>
      </w:r>
      <w:r>
        <w:rPr>
          <w:lang w:val="en-US"/>
        </w:rPr>
        <w:t>Urz</w:t>
      </w:r>
      <w:r>
        <w:t>ą</w:t>
      </w:r>
      <w:r>
        <w:rPr>
          <w:lang w:val="en-US"/>
        </w:rPr>
        <w:t>d</w:t>
      </w:r>
      <w:r>
        <w:t xml:space="preserve"> </w:t>
      </w:r>
      <w:r>
        <w:rPr>
          <w:lang w:val="en-US"/>
        </w:rPr>
        <w:t>Statystyczny</w:t>
      </w:r>
      <w:r>
        <w:t xml:space="preserve">) (ГСУ).  Особое значение имеют обследования домашних хозяйств.  В 1997 году ГСУ провело обследование 31 776 домохозяйств.  В состав среднего домохозяйства входит 3,22 человека (в случае домохозяйств отставных военных и пенсионеров - 2,22, а в случае сельских домохозяйств - 4,25), в том числе 1,15 являются наемными работниками;  0,72 получают выплаты или пенсию по выслуге лет;  0,16 живут за счет источников дохода, не связанных с трудовой деятельностью;  1,19 были иждивенцами.  Согласно данным за 1995 год, в Польше насчитывалось в общей сложности 10 533 000 семей, в том числе:  2 483 000 женатых пар без детей;  6 278 000 женатых пар с детьми;  1 580 000 матерей с детьми;  192 000 отцов с детьми.  Число членов семей составляло 34 290 000 человек, в том числе 11 793 000 человек, или 34,4%, приходилось на долю детей-иждивенцев в возрасте моложе 24 лет.  Средний месячный доход домохозяйства на душу населения составлял в 1997 году 473,79 злотых (для наемных работников - 486,41;  крестьян - 439,28;  самостоятельно занятых лиц - 618,39;  отставников и пенсионеров - 494,62;  лиц, живущих на доходы, не связанные с трудовой деятельностью, - 232,52).  Средние месячные расходы на душу населения составляли 427,91 злотых (для наемных работников - 435,61;  крестьян - 348,68;  самостоятельно занятых лиц - 546,55;  отставников и пенсионеров - 469,28;  лиц, живущих на доходы, не связанные с трудовой деятельностью, - 249,58).  В структуре потребительских расходов доля продовольствия уменьшилась, и в начале 1996 года эти расходы отошли на третье место (составив свыше 27%) с первого места, которое они занимали в 1990 году (34%).  Список расходов теперь возглавляют расходы на непродовольственные товары (более 33%) и услуги (свыше 31%).  В 1997 году потребление в домохозяйствах увеличилось на 7,1% по сравнению с 1996 годом (в неизменных ценах), что соответствовало росту ВВП.  Показатель среднемесячной чистой заработной платы и окладов в 1997 году составлял 872,91 злотых, в 1998 году - 1 030 злотых, или 92,4% от среднемесячной реальной заработной платы и окладов в 1988 году.  Реальная стоимость минимальной заработной платы и окладов в 1988 году была значительно выше по сравнению с 1998 годом (135,7%).  </w:t>
      </w:r>
    </w:p>
    <w:p w:rsidR="00000000" w:rsidRDefault="00000000"/>
    <w:p w:rsidR="00000000" w:rsidRDefault="00000000">
      <w:pPr>
        <w:pStyle w:val="10"/>
        <w:rPr>
          <w:b w:val="0"/>
          <w:u w:val="single"/>
        </w:rPr>
      </w:pPr>
      <w:r>
        <w:rPr>
          <w:b w:val="0"/>
          <w:u w:val="single"/>
        </w:rPr>
        <w:t>Таблица 21</w:t>
      </w:r>
      <w:r>
        <w:rPr>
          <w:b w:val="0"/>
        </w:rPr>
        <w:t xml:space="preserve">.  </w:t>
      </w:r>
      <w:r>
        <w:rPr>
          <w:b w:val="0"/>
          <w:u w:val="single"/>
        </w:rPr>
        <w:t>Покупательная способность средней чистой заработной платы</w:t>
      </w:r>
    </w:p>
    <w:p w:rsidR="00000000" w:rsidRDefault="00000000">
      <w:pPr>
        <w:pStyle w:val="10"/>
        <w:rPr>
          <w:b w:val="0"/>
          <w:u w:val="single"/>
        </w:rPr>
      </w:pPr>
      <w:r>
        <w:rPr>
          <w:b w:val="0"/>
          <w:u w:val="single"/>
        </w:rPr>
        <w:t>и оклада в 1990-1998 годах</w:t>
      </w:r>
    </w:p>
    <w:p w:rsidR="00000000" w:rsidRDefault="00000000">
      <w:pPr>
        <w:pStyle w:val="10"/>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404"/>
        <w:gridCol w:w="1266"/>
        <w:gridCol w:w="1266"/>
        <w:gridCol w:w="1266"/>
        <w:gridCol w:w="1266"/>
      </w:tblGrid>
      <w:tr w:rsidR="00000000">
        <w:tblPrEx>
          <w:tblCellMar>
            <w:top w:w="0" w:type="dxa"/>
            <w:bottom w:w="0" w:type="dxa"/>
          </w:tblCellMar>
        </w:tblPrEx>
        <w:trPr>
          <w:tblHeader/>
        </w:trPr>
        <w:tc>
          <w:tcPr>
            <w:tcW w:w="2399" w:type="pct"/>
          </w:tcPr>
          <w:p w:rsidR="00000000" w:rsidRDefault="00000000">
            <w:pPr>
              <w:jc w:val="center"/>
            </w:pPr>
            <w:r>
              <w:t>Товар</w:t>
            </w:r>
          </w:p>
        </w:tc>
        <w:tc>
          <w:tcPr>
            <w:tcW w:w="650" w:type="pct"/>
          </w:tcPr>
          <w:p w:rsidR="00000000" w:rsidRDefault="00000000">
            <w:pPr>
              <w:jc w:val="center"/>
            </w:pPr>
            <w:r>
              <w:t>1990</w:t>
            </w:r>
          </w:p>
        </w:tc>
        <w:tc>
          <w:tcPr>
            <w:tcW w:w="650" w:type="pct"/>
          </w:tcPr>
          <w:p w:rsidR="00000000" w:rsidRDefault="00000000">
            <w:pPr>
              <w:jc w:val="center"/>
            </w:pPr>
            <w:r>
              <w:t>1995</w:t>
            </w:r>
          </w:p>
        </w:tc>
        <w:tc>
          <w:tcPr>
            <w:tcW w:w="650" w:type="pct"/>
          </w:tcPr>
          <w:p w:rsidR="00000000" w:rsidRDefault="00000000">
            <w:pPr>
              <w:jc w:val="center"/>
            </w:pPr>
            <w:r>
              <w:t>1997</w:t>
            </w:r>
          </w:p>
        </w:tc>
        <w:tc>
          <w:tcPr>
            <w:tcW w:w="651" w:type="pct"/>
          </w:tcPr>
          <w:p w:rsidR="00000000" w:rsidRDefault="00000000">
            <w:pPr>
              <w:jc w:val="center"/>
            </w:pPr>
            <w:r>
              <w:t>1998</w:t>
            </w:r>
          </w:p>
        </w:tc>
      </w:tr>
      <w:tr w:rsidR="00000000">
        <w:tblPrEx>
          <w:tblCellMar>
            <w:top w:w="0" w:type="dxa"/>
            <w:bottom w:w="0" w:type="dxa"/>
          </w:tblCellMar>
        </w:tblPrEx>
        <w:tc>
          <w:tcPr>
            <w:tcW w:w="2399" w:type="pct"/>
          </w:tcPr>
          <w:p w:rsidR="00000000" w:rsidRDefault="00000000">
            <w:pPr>
              <w:pStyle w:val="FootnoteText"/>
              <w:spacing w:line="288" w:lineRule="auto"/>
              <w:rPr>
                <w:sz w:val="22"/>
              </w:rPr>
            </w:pPr>
            <w:r>
              <w:rPr>
                <w:sz w:val="22"/>
              </w:rPr>
              <w:t>Стандартная буханка хлеба весом 0,6 кг</w:t>
            </w:r>
          </w:p>
        </w:tc>
        <w:tc>
          <w:tcPr>
            <w:tcW w:w="650" w:type="pct"/>
          </w:tcPr>
          <w:p w:rsidR="00000000" w:rsidRDefault="00000000">
            <w:pPr>
              <w:pStyle w:val="10"/>
              <w:tabs>
                <w:tab w:val="clear" w:pos="567"/>
                <w:tab w:val="clear" w:pos="1134"/>
                <w:tab w:val="clear" w:pos="1701"/>
                <w:tab w:val="clear" w:pos="2268"/>
                <w:tab w:val="clear" w:pos="6237"/>
                <w:tab w:val="decimal" w:pos="851"/>
              </w:tabs>
              <w:jc w:val="left"/>
              <w:rPr>
                <w:b w:val="0"/>
              </w:rPr>
            </w:pPr>
            <w:r>
              <w:rPr>
                <w:b w:val="0"/>
              </w:rPr>
              <w:t>626</w:t>
            </w:r>
          </w:p>
        </w:tc>
        <w:tc>
          <w:tcPr>
            <w:tcW w:w="650" w:type="pct"/>
          </w:tcPr>
          <w:p w:rsidR="00000000" w:rsidRDefault="00000000">
            <w:pPr>
              <w:tabs>
                <w:tab w:val="clear" w:pos="567"/>
                <w:tab w:val="clear" w:pos="1134"/>
                <w:tab w:val="clear" w:pos="1701"/>
                <w:tab w:val="clear" w:pos="2268"/>
                <w:tab w:val="clear" w:pos="6237"/>
                <w:tab w:val="decimal" w:pos="851"/>
              </w:tabs>
            </w:pPr>
            <w:r>
              <w:t>837</w:t>
            </w:r>
          </w:p>
        </w:tc>
        <w:tc>
          <w:tcPr>
            <w:tcW w:w="650" w:type="pct"/>
          </w:tcPr>
          <w:p w:rsidR="00000000" w:rsidRDefault="00000000">
            <w:pPr>
              <w:tabs>
                <w:tab w:val="clear" w:pos="567"/>
                <w:tab w:val="clear" w:pos="1134"/>
                <w:tab w:val="clear" w:pos="1701"/>
                <w:tab w:val="clear" w:pos="2268"/>
                <w:tab w:val="clear" w:pos="6237"/>
                <w:tab w:val="decimal" w:pos="851"/>
              </w:tabs>
            </w:pPr>
            <w:r>
              <w:t>776</w:t>
            </w:r>
          </w:p>
        </w:tc>
        <w:tc>
          <w:tcPr>
            <w:tcW w:w="651" w:type="pct"/>
          </w:tcPr>
          <w:p w:rsidR="00000000" w:rsidRDefault="00000000">
            <w:pPr>
              <w:tabs>
                <w:tab w:val="clear" w:pos="567"/>
                <w:tab w:val="clear" w:pos="1134"/>
                <w:tab w:val="clear" w:pos="1701"/>
                <w:tab w:val="clear" w:pos="2268"/>
                <w:tab w:val="clear" w:pos="6237"/>
                <w:tab w:val="decimal" w:pos="851"/>
              </w:tabs>
            </w:pPr>
            <w:r>
              <w:t>868</w:t>
            </w:r>
          </w:p>
        </w:tc>
      </w:tr>
      <w:tr w:rsidR="00000000">
        <w:tblPrEx>
          <w:tblCellMar>
            <w:top w:w="0" w:type="dxa"/>
            <w:bottom w:w="0" w:type="dxa"/>
          </w:tblCellMar>
        </w:tblPrEx>
        <w:tc>
          <w:tcPr>
            <w:tcW w:w="2399" w:type="pct"/>
          </w:tcPr>
          <w:p w:rsidR="00000000" w:rsidRDefault="00000000">
            <w:pPr>
              <w:pStyle w:val="FootnoteText"/>
              <w:spacing w:line="288" w:lineRule="auto"/>
              <w:rPr>
                <w:sz w:val="22"/>
              </w:rPr>
            </w:pPr>
            <w:r>
              <w:rPr>
                <w:sz w:val="22"/>
              </w:rPr>
              <w:t>1 кг картофеля</w:t>
            </w:r>
          </w:p>
        </w:tc>
        <w:tc>
          <w:tcPr>
            <w:tcW w:w="650" w:type="pct"/>
          </w:tcPr>
          <w:p w:rsidR="00000000" w:rsidRDefault="00000000">
            <w:pPr>
              <w:tabs>
                <w:tab w:val="clear" w:pos="567"/>
                <w:tab w:val="clear" w:pos="1134"/>
                <w:tab w:val="clear" w:pos="1701"/>
                <w:tab w:val="clear" w:pos="2268"/>
                <w:tab w:val="clear" w:pos="6237"/>
                <w:tab w:val="decimal" w:pos="851"/>
              </w:tabs>
            </w:pPr>
            <w:r>
              <w:t>2 097</w:t>
            </w:r>
          </w:p>
        </w:tc>
        <w:tc>
          <w:tcPr>
            <w:tcW w:w="650" w:type="pct"/>
          </w:tcPr>
          <w:p w:rsidR="00000000" w:rsidRDefault="00000000">
            <w:pPr>
              <w:tabs>
                <w:tab w:val="clear" w:pos="567"/>
                <w:tab w:val="clear" w:pos="1134"/>
                <w:tab w:val="clear" w:pos="1701"/>
                <w:tab w:val="clear" w:pos="2268"/>
                <w:tab w:val="clear" w:pos="6237"/>
                <w:tab w:val="decimal" w:pos="851"/>
              </w:tabs>
            </w:pPr>
            <w:r>
              <w:t>862</w:t>
            </w:r>
          </w:p>
        </w:tc>
        <w:tc>
          <w:tcPr>
            <w:tcW w:w="650" w:type="pct"/>
          </w:tcPr>
          <w:p w:rsidR="00000000" w:rsidRDefault="00000000">
            <w:pPr>
              <w:tabs>
                <w:tab w:val="clear" w:pos="567"/>
                <w:tab w:val="clear" w:pos="1134"/>
                <w:tab w:val="clear" w:pos="1701"/>
                <w:tab w:val="clear" w:pos="2268"/>
                <w:tab w:val="clear" w:pos="6237"/>
                <w:tab w:val="decimal" w:pos="851"/>
              </w:tabs>
            </w:pPr>
            <w:r>
              <w:t>1 687</w:t>
            </w:r>
          </w:p>
        </w:tc>
        <w:tc>
          <w:tcPr>
            <w:tcW w:w="651" w:type="pct"/>
          </w:tcPr>
          <w:p w:rsidR="00000000" w:rsidRDefault="00000000">
            <w:pPr>
              <w:tabs>
                <w:tab w:val="clear" w:pos="567"/>
                <w:tab w:val="clear" w:pos="1134"/>
                <w:tab w:val="clear" w:pos="1701"/>
                <w:tab w:val="clear" w:pos="2268"/>
                <w:tab w:val="clear" w:pos="6237"/>
                <w:tab w:val="decimal" w:pos="851"/>
              </w:tabs>
            </w:pPr>
            <w:r>
              <w:t>1 781</w:t>
            </w:r>
          </w:p>
        </w:tc>
      </w:tr>
      <w:tr w:rsidR="00000000">
        <w:tblPrEx>
          <w:tblCellMar>
            <w:top w:w="0" w:type="dxa"/>
            <w:bottom w:w="0" w:type="dxa"/>
          </w:tblCellMar>
        </w:tblPrEx>
        <w:tc>
          <w:tcPr>
            <w:tcW w:w="2399" w:type="pct"/>
          </w:tcPr>
          <w:p w:rsidR="00000000" w:rsidRDefault="00000000">
            <w:pPr>
              <w:rPr>
                <w:sz w:val="22"/>
              </w:rPr>
            </w:pPr>
            <w:r>
              <w:rPr>
                <w:sz w:val="22"/>
              </w:rPr>
              <w:t>1 кг яблок дорогих сортов</w:t>
            </w:r>
          </w:p>
        </w:tc>
        <w:tc>
          <w:tcPr>
            <w:tcW w:w="650" w:type="pct"/>
          </w:tcPr>
          <w:p w:rsidR="00000000" w:rsidRDefault="00000000">
            <w:pPr>
              <w:tabs>
                <w:tab w:val="clear" w:pos="567"/>
                <w:tab w:val="clear" w:pos="1134"/>
                <w:tab w:val="clear" w:pos="1701"/>
                <w:tab w:val="clear" w:pos="2268"/>
                <w:tab w:val="clear" w:pos="6237"/>
                <w:tab w:val="decimal" w:pos="851"/>
              </w:tabs>
            </w:pPr>
            <w:r>
              <w:t>306</w:t>
            </w:r>
          </w:p>
        </w:tc>
        <w:tc>
          <w:tcPr>
            <w:tcW w:w="650" w:type="pct"/>
          </w:tcPr>
          <w:p w:rsidR="00000000" w:rsidRDefault="00000000">
            <w:pPr>
              <w:pStyle w:val="16"/>
              <w:tabs>
                <w:tab w:val="clear" w:pos="567"/>
                <w:tab w:val="clear" w:pos="1134"/>
                <w:tab w:val="clear" w:pos="1701"/>
                <w:tab w:val="clear" w:pos="2268"/>
                <w:tab w:val="clear" w:pos="6237"/>
                <w:tab w:val="decimal" w:pos="851"/>
              </w:tabs>
              <w:jc w:val="left"/>
            </w:pPr>
            <w:r>
              <w:t>346</w:t>
            </w:r>
          </w:p>
        </w:tc>
        <w:tc>
          <w:tcPr>
            <w:tcW w:w="650" w:type="pct"/>
          </w:tcPr>
          <w:p w:rsidR="00000000" w:rsidRDefault="00000000">
            <w:pPr>
              <w:tabs>
                <w:tab w:val="clear" w:pos="567"/>
                <w:tab w:val="clear" w:pos="1134"/>
                <w:tab w:val="clear" w:pos="1701"/>
                <w:tab w:val="clear" w:pos="2268"/>
                <w:tab w:val="clear" w:pos="6237"/>
                <w:tab w:val="decimal" w:pos="851"/>
              </w:tabs>
            </w:pPr>
            <w:r>
              <w:t>493</w:t>
            </w:r>
          </w:p>
        </w:tc>
        <w:tc>
          <w:tcPr>
            <w:tcW w:w="651" w:type="pct"/>
          </w:tcPr>
          <w:p w:rsidR="00000000" w:rsidRDefault="00000000">
            <w:pPr>
              <w:pStyle w:val="16"/>
              <w:tabs>
                <w:tab w:val="clear" w:pos="567"/>
                <w:tab w:val="clear" w:pos="1134"/>
                <w:tab w:val="clear" w:pos="1701"/>
                <w:tab w:val="clear" w:pos="2268"/>
                <w:tab w:val="clear" w:pos="6237"/>
                <w:tab w:val="decimal" w:pos="851"/>
              </w:tabs>
              <w:jc w:val="left"/>
            </w:pPr>
            <w:r>
              <w:t>532</w:t>
            </w:r>
          </w:p>
        </w:tc>
      </w:tr>
      <w:tr w:rsidR="00000000">
        <w:tblPrEx>
          <w:tblCellMar>
            <w:top w:w="0" w:type="dxa"/>
            <w:bottom w:w="0" w:type="dxa"/>
          </w:tblCellMar>
        </w:tblPrEx>
        <w:tc>
          <w:tcPr>
            <w:tcW w:w="2399" w:type="pct"/>
          </w:tcPr>
          <w:p w:rsidR="00000000" w:rsidRDefault="00000000">
            <w:pPr>
              <w:rPr>
                <w:sz w:val="22"/>
              </w:rPr>
            </w:pPr>
            <w:r>
              <w:rPr>
                <w:sz w:val="22"/>
              </w:rPr>
              <w:t>1 кг мяса - говядина, задняя часть без кости</w:t>
            </w:r>
          </w:p>
        </w:tc>
        <w:tc>
          <w:tcPr>
            <w:tcW w:w="650" w:type="pct"/>
          </w:tcPr>
          <w:p w:rsidR="00000000" w:rsidRDefault="00000000">
            <w:pPr>
              <w:tabs>
                <w:tab w:val="clear" w:pos="567"/>
                <w:tab w:val="clear" w:pos="1134"/>
                <w:tab w:val="clear" w:pos="1701"/>
                <w:tab w:val="clear" w:pos="2268"/>
                <w:tab w:val="clear" w:pos="6237"/>
                <w:tab w:val="decimal" w:pos="851"/>
              </w:tabs>
            </w:pPr>
            <w:r>
              <w:t>52</w:t>
            </w:r>
          </w:p>
        </w:tc>
        <w:tc>
          <w:tcPr>
            <w:tcW w:w="650" w:type="pct"/>
          </w:tcPr>
          <w:p w:rsidR="00000000" w:rsidRDefault="00000000">
            <w:pPr>
              <w:tabs>
                <w:tab w:val="clear" w:pos="567"/>
                <w:tab w:val="clear" w:pos="1134"/>
                <w:tab w:val="clear" w:pos="1701"/>
                <w:tab w:val="clear" w:pos="2268"/>
                <w:tab w:val="clear" w:pos="6237"/>
                <w:tab w:val="decimal" w:pos="851"/>
              </w:tabs>
            </w:pPr>
            <w:r>
              <w:t>60</w:t>
            </w:r>
          </w:p>
        </w:tc>
        <w:tc>
          <w:tcPr>
            <w:tcW w:w="650" w:type="pct"/>
          </w:tcPr>
          <w:p w:rsidR="00000000" w:rsidRDefault="00000000">
            <w:pPr>
              <w:tabs>
                <w:tab w:val="clear" w:pos="567"/>
                <w:tab w:val="clear" w:pos="1134"/>
                <w:tab w:val="clear" w:pos="1701"/>
                <w:tab w:val="clear" w:pos="2268"/>
                <w:tab w:val="clear" w:pos="6237"/>
                <w:tab w:val="decimal" w:pos="851"/>
              </w:tabs>
            </w:pPr>
            <w:r>
              <w:t>72</w:t>
            </w:r>
          </w:p>
        </w:tc>
        <w:tc>
          <w:tcPr>
            <w:tcW w:w="651" w:type="pct"/>
          </w:tcPr>
          <w:p w:rsidR="00000000" w:rsidRDefault="00000000">
            <w:pPr>
              <w:tabs>
                <w:tab w:val="clear" w:pos="567"/>
                <w:tab w:val="clear" w:pos="1134"/>
                <w:tab w:val="clear" w:pos="1701"/>
                <w:tab w:val="clear" w:pos="2268"/>
                <w:tab w:val="clear" w:pos="6237"/>
                <w:tab w:val="decimal" w:pos="851"/>
              </w:tabs>
            </w:pPr>
            <w:r>
              <w:t>83</w:t>
            </w:r>
          </w:p>
        </w:tc>
      </w:tr>
      <w:tr w:rsidR="00000000">
        <w:tblPrEx>
          <w:tblCellMar>
            <w:top w:w="0" w:type="dxa"/>
            <w:bottom w:w="0" w:type="dxa"/>
          </w:tblCellMar>
        </w:tblPrEx>
        <w:tc>
          <w:tcPr>
            <w:tcW w:w="2399" w:type="pct"/>
          </w:tcPr>
          <w:p w:rsidR="00000000" w:rsidRDefault="00000000">
            <w:pPr>
              <w:rPr>
                <w:sz w:val="22"/>
              </w:rPr>
            </w:pPr>
            <w:r>
              <w:rPr>
                <w:sz w:val="22"/>
              </w:rPr>
              <w:t>1 кг ветчины</w:t>
            </w:r>
          </w:p>
        </w:tc>
        <w:tc>
          <w:tcPr>
            <w:tcW w:w="650" w:type="pct"/>
          </w:tcPr>
          <w:p w:rsidR="00000000" w:rsidRDefault="00000000">
            <w:pPr>
              <w:tabs>
                <w:tab w:val="clear" w:pos="567"/>
                <w:tab w:val="clear" w:pos="1134"/>
                <w:tab w:val="clear" w:pos="1701"/>
                <w:tab w:val="clear" w:pos="2268"/>
                <w:tab w:val="clear" w:pos="6237"/>
                <w:tab w:val="decimal" w:pos="851"/>
              </w:tabs>
            </w:pPr>
            <w:r>
              <w:t>23</w:t>
            </w:r>
          </w:p>
        </w:tc>
        <w:tc>
          <w:tcPr>
            <w:tcW w:w="650" w:type="pct"/>
          </w:tcPr>
          <w:p w:rsidR="00000000" w:rsidRDefault="00000000">
            <w:pPr>
              <w:pStyle w:val="FootnoteText"/>
              <w:tabs>
                <w:tab w:val="clear" w:pos="567"/>
                <w:tab w:val="clear" w:pos="1134"/>
                <w:tab w:val="clear" w:pos="1701"/>
                <w:tab w:val="clear" w:pos="2268"/>
                <w:tab w:val="clear" w:pos="6237"/>
                <w:tab w:val="decimal" w:pos="851"/>
              </w:tabs>
              <w:spacing w:line="288" w:lineRule="auto"/>
            </w:pPr>
            <w:r>
              <w:t>40</w:t>
            </w:r>
          </w:p>
        </w:tc>
        <w:tc>
          <w:tcPr>
            <w:tcW w:w="650" w:type="pct"/>
          </w:tcPr>
          <w:p w:rsidR="00000000" w:rsidRDefault="00000000">
            <w:pPr>
              <w:tabs>
                <w:tab w:val="clear" w:pos="567"/>
                <w:tab w:val="clear" w:pos="1134"/>
                <w:tab w:val="clear" w:pos="1701"/>
                <w:tab w:val="clear" w:pos="2268"/>
                <w:tab w:val="clear" w:pos="6237"/>
                <w:tab w:val="decimal" w:pos="851"/>
              </w:tabs>
            </w:pPr>
            <w:r>
              <w:t>52</w:t>
            </w:r>
          </w:p>
        </w:tc>
        <w:tc>
          <w:tcPr>
            <w:tcW w:w="651" w:type="pct"/>
          </w:tcPr>
          <w:p w:rsidR="00000000" w:rsidRDefault="00000000">
            <w:pPr>
              <w:tabs>
                <w:tab w:val="clear" w:pos="567"/>
                <w:tab w:val="clear" w:pos="1134"/>
                <w:tab w:val="clear" w:pos="1701"/>
                <w:tab w:val="clear" w:pos="2268"/>
                <w:tab w:val="clear" w:pos="6237"/>
                <w:tab w:val="decimal" w:pos="851"/>
              </w:tabs>
            </w:pPr>
            <w:r>
              <w:t>59</w:t>
            </w:r>
          </w:p>
        </w:tc>
      </w:tr>
      <w:tr w:rsidR="00000000">
        <w:tblPrEx>
          <w:tblCellMar>
            <w:top w:w="0" w:type="dxa"/>
            <w:bottom w:w="0" w:type="dxa"/>
          </w:tblCellMar>
        </w:tblPrEx>
        <w:tc>
          <w:tcPr>
            <w:tcW w:w="2399" w:type="pct"/>
          </w:tcPr>
          <w:p w:rsidR="00000000" w:rsidRDefault="00000000">
            <w:pPr>
              <w:rPr>
                <w:sz w:val="22"/>
              </w:rPr>
            </w:pPr>
            <w:r>
              <w:rPr>
                <w:sz w:val="22"/>
              </w:rPr>
              <w:t>1 л молока</w:t>
            </w:r>
          </w:p>
        </w:tc>
        <w:tc>
          <w:tcPr>
            <w:tcW w:w="650" w:type="pct"/>
          </w:tcPr>
          <w:p w:rsidR="00000000" w:rsidRDefault="00000000">
            <w:pPr>
              <w:tabs>
                <w:tab w:val="clear" w:pos="567"/>
                <w:tab w:val="clear" w:pos="1134"/>
                <w:tab w:val="clear" w:pos="1701"/>
                <w:tab w:val="clear" w:pos="2268"/>
                <w:tab w:val="clear" w:pos="6237"/>
                <w:tab w:val="decimal" w:pos="851"/>
              </w:tabs>
            </w:pPr>
            <w:r>
              <w:t>1 822</w:t>
            </w:r>
          </w:p>
        </w:tc>
        <w:tc>
          <w:tcPr>
            <w:tcW w:w="650" w:type="pct"/>
          </w:tcPr>
          <w:p w:rsidR="00000000" w:rsidRDefault="00000000">
            <w:pPr>
              <w:tabs>
                <w:tab w:val="clear" w:pos="567"/>
                <w:tab w:val="clear" w:pos="1134"/>
                <w:tab w:val="clear" w:pos="1701"/>
                <w:tab w:val="clear" w:pos="2268"/>
                <w:tab w:val="clear" w:pos="6237"/>
                <w:tab w:val="decimal" w:pos="851"/>
              </w:tabs>
            </w:pPr>
            <w:r>
              <w:t>824</w:t>
            </w:r>
          </w:p>
        </w:tc>
        <w:tc>
          <w:tcPr>
            <w:tcW w:w="650" w:type="pct"/>
          </w:tcPr>
          <w:p w:rsidR="00000000" w:rsidRDefault="00000000">
            <w:pPr>
              <w:tabs>
                <w:tab w:val="clear" w:pos="567"/>
                <w:tab w:val="clear" w:pos="1134"/>
                <w:tab w:val="clear" w:pos="1701"/>
                <w:tab w:val="clear" w:pos="2268"/>
                <w:tab w:val="clear" w:pos="6237"/>
                <w:tab w:val="decimal" w:pos="851"/>
              </w:tabs>
            </w:pPr>
            <w:r>
              <w:t>933</w:t>
            </w:r>
          </w:p>
        </w:tc>
        <w:tc>
          <w:tcPr>
            <w:tcW w:w="651" w:type="pct"/>
          </w:tcPr>
          <w:p w:rsidR="00000000" w:rsidRDefault="00000000">
            <w:pPr>
              <w:tabs>
                <w:tab w:val="clear" w:pos="567"/>
                <w:tab w:val="clear" w:pos="1134"/>
                <w:tab w:val="clear" w:pos="1701"/>
                <w:tab w:val="clear" w:pos="2268"/>
                <w:tab w:val="clear" w:pos="6237"/>
                <w:tab w:val="decimal" w:pos="851"/>
              </w:tabs>
            </w:pPr>
            <w:r>
              <w:t>1 013</w:t>
            </w:r>
          </w:p>
        </w:tc>
      </w:tr>
      <w:tr w:rsidR="00000000">
        <w:tblPrEx>
          <w:tblCellMar>
            <w:top w:w="0" w:type="dxa"/>
            <w:bottom w:w="0" w:type="dxa"/>
          </w:tblCellMar>
        </w:tblPrEx>
        <w:tc>
          <w:tcPr>
            <w:tcW w:w="2399" w:type="pct"/>
          </w:tcPr>
          <w:p w:rsidR="00000000" w:rsidRDefault="00000000">
            <w:pPr>
              <w:rPr>
                <w:sz w:val="22"/>
              </w:rPr>
            </w:pPr>
            <w:r>
              <w:rPr>
                <w:sz w:val="22"/>
              </w:rPr>
              <w:t>1 кг сыра сорта "гуда"</w:t>
            </w:r>
          </w:p>
        </w:tc>
        <w:tc>
          <w:tcPr>
            <w:tcW w:w="650" w:type="pct"/>
          </w:tcPr>
          <w:p w:rsidR="00000000" w:rsidRDefault="00000000">
            <w:pPr>
              <w:tabs>
                <w:tab w:val="clear" w:pos="567"/>
                <w:tab w:val="clear" w:pos="1134"/>
                <w:tab w:val="clear" w:pos="1701"/>
                <w:tab w:val="clear" w:pos="2268"/>
                <w:tab w:val="clear" w:pos="6237"/>
                <w:tab w:val="decimal" w:pos="851"/>
              </w:tabs>
            </w:pPr>
            <w:r>
              <w:t>72</w:t>
            </w:r>
          </w:p>
        </w:tc>
        <w:tc>
          <w:tcPr>
            <w:tcW w:w="650" w:type="pct"/>
          </w:tcPr>
          <w:p w:rsidR="00000000" w:rsidRDefault="00000000">
            <w:pPr>
              <w:tabs>
                <w:tab w:val="clear" w:pos="567"/>
                <w:tab w:val="clear" w:pos="1134"/>
                <w:tab w:val="clear" w:pos="1701"/>
                <w:tab w:val="clear" w:pos="2268"/>
                <w:tab w:val="clear" w:pos="6237"/>
                <w:tab w:val="decimal" w:pos="851"/>
              </w:tabs>
            </w:pPr>
            <w:r>
              <w:t>58</w:t>
            </w:r>
          </w:p>
        </w:tc>
        <w:tc>
          <w:tcPr>
            <w:tcW w:w="650" w:type="pct"/>
          </w:tcPr>
          <w:p w:rsidR="00000000" w:rsidRDefault="00000000">
            <w:pPr>
              <w:tabs>
                <w:tab w:val="clear" w:pos="567"/>
                <w:tab w:val="clear" w:pos="1134"/>
                <w:tab w:val="clear" w:pos="1701"/>
                <w:tab w:val="clear" w:pos="2268"/>
                <w:tab w:val="clear" w:pos="6237"/>
                <w:tab w:val="decimal" w:pos="851"/>
              </w:tabs>
            </w:pPr>
            <w:r>
              <w:t>71</w:t>
            </w:r>
          </w:p>
        </w:tc>
        <w:tc>
          <w:tcPr>
            <w:tcW w:w="651" w:type="pct"/>
          </w:tcPr>
          <w:p w:rsidR="00000000" w:rsidRDefault="00000000">
            <w:pPr>
              <w:tabs>
                <w:tab w:val="clear" w:pos="567"/>
                <w:tab w:val="clear" w:pos="1134"/>
                <w:tab w:val="clear" w:pos="1701"/>
                <w:tab w:val="clear" w:pos="2268"/>
                <w:tab w:val="clear" w:pos="6237"/>
                <w:tab w:val="decimal" w:pos="851"/>
              </w:tabs>
            </w:pPr>
            <w:r>
              <w:t>79</w:t>
            </w:r>
          </w:p>
        </w:tc>
      </w:tr>
      <w:tr w:rsidR="00000000">
        <w:tblPrEx>
          <w:tblCellMar>
            <w:top w:w="0" w:type="dxa"/>
            <w:bottom w:w="0" w:type="dxa"/>
          </w:tblCellMar>
        </w:tblPrEx>
        <w:tc>
          <w:tcPr>
            <w:tcW w:w="2399" w:type="pct"/>
          </w:tcPr>
          <w:p w:rsidR="00000000" w:rsidRDefault="00000000">
            <w:pPr>
              <w:rPr>
                <w:sz w:val="22"/>
              </w:rPr>
            </w:pPr>
            <w:r>
              <w:rPr>
                <w:sz w:val="22"/>
              </w:rPr>
              <w:t>Яйца (шт.)</w:t>
            </w:r>
          </w:p>
        </w:tc>
        <w:tc>
          <w:tcPr>
            <w:tcW w:w="650" w:type="pct"/>
          </w:tcPr>
          <w:p w:rsidR="00000000" w:rsidRDefault="00000000">
            <w:pPr>
              <w:tabs>
                <w:tab w:val="clear" w:pos="567"/>
                <w:tab w:val="clear" w:pos="1134"/>
                <w:tab w:val="clear" w:pos="1701"/>
                <w:tab w:val="clear" w:pos="2268"/>
                <w:tab w:val="clear" w:pos="6237"/>
                <w:tab w:val="decimal" w:pos="851"/>
              </w:tabs>
            </w:pPr>
            <w:r>
              <w:t>2 063</w:t>
            </w:r>
          </w:p>
        </w:tc>
        <w:tc>
          <w:tcPr>
            <w:tcW w:w="650" w:type="pct"/>
          </w:tcPr>
          <w:p w:rsidR="00000000" w:rsidRDefault="00000000">
            <w:pPr>
              <w:tabs>
                <w:tab w:val="clear" w:pos="567"/>
                <w:tab w:val="clear" w:pos="1134"/>
                <w:tab w:val="clear" w:pos="1701"/>
                <w:tab w:val="clear" w:pos="2268"/>
                <w:tab w:val="clear" w:pos="6237"/>
                <w:tab w:val="decimal" w:pos="851"/>
              </w:tabs>
            </w:pPr>
            <w:r>
              <w:t>2 437</w:t>
            </w:r>
          </w:p>
        </w:tc>
        <w:tc>
          <w:tcPr>
            <w:tcW w:w="650" w:type="pct"/>
          </w:tcPr>
          <w:p w:rsidR="00000000" w:rsidRDefault="00000000">
            <w:pPr>
              <w:tabs>
                <w:tab w:val="clear" w:pos="567"/>
                <w:tab w:val="clear" w:pos="1134"/>
                <w:tab w:val="clear" w:pos="1701"/>
                <w:tab w:val="clear" w:pos="2268"/>
                <w:tab w:val="clear" w:pos="6237"/>
                <w:tab w:val="decimal" w:pos="851"/>
              </w:tabs>
            </w:pPr>
            <w:r>
              <w:t>2 924</w:t>
            </w:r>
          </w:p>
        </w:tc>
        <w:tc>
          <w:tcPr>
            <w:tcW w:w="651" w:type="pct"/>
          </w:tcPr>
          <w:p w:rsidR="00000000" w:rsidRDefault="00000000">
            <w:pPr>
              <w:tabs>
                <w:tab w:val="clear" w:pos="567"/>
                <w:tab w:val="clear" w:pos="1134"/>
                <w:tab w:val="clear" w:pos="1701"/>
                <w:tab w:val="clear" w:pos="2268"/>
                <w:tab w:val="clear" w:pos="6237"/>
                <w:tab w:val="decimal" w:pos="851"/>
              </w:tabs>
            </w:pPr>
            <w:r>
              <w:t>3 228</w:t>
            </w:r>
          </w:p>
        </w:tc>
      </w:tr>
      <w:tr w:rsidR="00000000">
        <w:tblPrEx>
          <w:tblCellMar>
            <w:top w:w="0" w:type="dxa"/>
            <w:bottom w:w="0" w:type="dxa"/>
          </w:tblCellMar>
        </w:tblPrEx>
        <w:tc>
          <w:tcPr>
            <w:tcW w:w="2399" w:type="pct"/>
          </w:tcPr>
          <w:p w:rsidR="00000000" w:rsidRDefault="00000000">
            <w:pPr>
              <w:rPr>
                <w:sz w:val="22"/>
              </w:rPr>
            </w:pPr>
            <w:r>
              <w:rPr>
                <w:sz w:val="22"/>
              </w:rPr>
              <w:t>1 кг сахара</w:t>
            </w:r>
          </w:p>
        </w:tc>
        <w:tc>
          <w:tcPr>
            <w:tcW w:w="650" w:type="pct"/>
          </w:tcPr>
          <w:p w:rsidR="00000000" w:rsidRDefault="00000000">
            <w:pPr>
              <w:tabs>
                <w:tab w:val="clear" w:pos="567"/>
                <w:tab w:val="clear" w:pos="1134"/>
                <w:tab w:val="clear" w:pos="1701"/>
                <w:tab w:val="clear" w:pos="2268"/>
                <w:tab w:val="clear" w:pos="6237"/>
                <w:tab w:val="decimal" w:pos="851"/>
              </w:tabs>
            </w:pPr>
            <w:r>
              <w:t>199</w:t>
            </w:r>
          </w:p>
        </w:tc>
        <w:tc>
          <w:tcPr>
            <w:tcW w:w="650" w:type="pct"/>
          </w:tcPr>
          <w:p w:rsidR="00000000" w:rsidRDefault="00000000">
            <w:pPr>
              <w:tabs>
                <w:tab w:val="clear" w:pos="567"/>
                <w:tab w:val="clear" w:pos="1134"/>
                <w:tab w:val="clear" w:pos="1701"/>
                <w:tab w:val="clear" w:pos="2268"/>
                <w:tab w:val="clear" w:pos="6237"/>
                <w:tab w:val="decimal" w:pos="851"/>
              </w:tabs>
            </w:pPr>
            <w:r>
              <w:t>317</w:t>
            </w:r>
          </w:p>
        </w:tc>
        <w:tc>
          <w:tcPr>
            <w:tcW w:w="650" w:type="pct"/>
          </w:tcPr>
          <w:p w:rsidR="00000000" w:rsidRDefault="00000000">
            <w:pPr>
              <w:tabs>
                <w:tab w:val="clear" w:pos="567"/>
                <w:tab w:val="clear" w:pos="1134"/>
                <w:tab w:val="clear" w:pos="1701"/>
                <w:tab w:val="clear" w:pos="2268"/>
                <w:tab w:val="clear" w:pos="6237"/>
                <w:tab w:val="decimal" w:pos="851"/>
              </w:tabs>
            </w:pPr>
            <w:r>
              <w:t>422</w:t>
            </w:r>
          </w:p>
        </w:tc>
        <w:tc>
          <w:tcPr>
            <w:tcW w:w="651" w:type="pct"/>
          </w:tcPr>
          <w:p w:rsidR="00000000" w:rsidRDefault="00000000">
            <w:pPr>
              <w:tabs>
                <w:tab w:val="clear" w:pos="567"/>
                <w:tab w:val="clear" w:pos="1134"/>
                <w:tab w:val="clear" w:pos="1701"/>
                <w:tab w:val="clear" w:pos="2268"/>
                <w:tab w:val="clear" w:pos="6237"/>
                <w:tab w:val="decimal" w:pos="851"/>
              </w:tabs>
            </w:pPr>
            <w:r>
              <w:t>504</w:t>
            </w:r>
          </w:p>
        </w:tc>
      </w:tr>
      <w:tr w:rsidR="00000000">
        <w:tblPrEx>
          <w:tblCellMar>
            <w:top w:w="0" w:type="dxa"/>
            <w:bottom w:w="0" w:type="dxa"/>
          </w:tblCellMar>
        </w:tblPrEx>
        <w:tc>
          <w:tcPr>
            <w:tcW w:w="2399" w:type="pct"/>
          </w:tcPr>
          <w:p w:rsidR="00000000" w:rsidRDefault="00000000">
            <w:pPr>
              <w:rPr>
                <w:sz w:val="22"/>
              </w:rPr>
            </w:pPr>
            <w:r>
              <w:rPr>
                <w:sz w:val="22"/>
              </w:rPr>
              <w:t>Чай дешевых сортов, 100 г</w:t>
            </w:r>
          </w:p>
        </w:tc>
        <w:tc>
          <w:tcPr>
            <w:tcW w:w="650" w:type="pct"/>
          </w:tcPr>
          <w:p w:rsidR="00000000" w:rsidRDefault="00000000">
            <w:pPr>
              <w:tabs>
                <w:tab w:val="clear" w:pos="567"/>
                <w:tab w:val="clear" w:pos="1134"/>
                <w:tab w:val="clear" w:pos="1701"/>
                <w:tab w:val="clear" w:pos="2268"/>
                <w:tab w:val="clear" w:pos="6237"/>
                <w:tab w:val="decimal" w:pos="851"/>
              </w:tabs>
            </w:pPr>
            <w:r>
              <w:t>261</w:t>
            </w:r>
          </w:p>
        </w:tc>
        <w:tc>
          <w:tcPr>
            <w:tcW w:w="650" w:type="pct"/>
          </w:tcPr>
          <w:p w:rsidR="00000000" w:rsidRDefault="00000000">
            <w:pPr>
              <w:tabs>
                <w:tab w:val="clear" w:pos="567"/>
                <w:tab w:val="clear" w:pos="1134"/>
                <w:tab w:val="clear" w:pos="1701"/>
                <w:tab w:val="clear" w:pos="2268"/>
                <w:tab w:val="clear" w:pos="6237"/>
                <w:tab w:val="decimal" w:pos="851"/>
              </w:tabs>
            </w:pPr>
            <w:r>
              <w:t>501</w:t>
            </w:r>
          </w:p>
        </w:tc>
        <w:tc>
          <w:tcPr>
            <w:tcW w:w="650" w:type="pct"/>
          </w:tcPr>
          <w:p w:rsidR="00000000" w:rsidRDefault="00000000">
            <w:pPr>
              <w:tabs>
                <w:tab w:val="clear" w:pos="567"/>
                <w:tab w:val="clear" w:pos="1134"/>
                <w:tab w:val="clear" w:pos="1701"/>
                <w:tab w:val="clear" w:pos="2268"/>
                <w:tab w:val="clear" w:pos="6237"/>
                <w:tab w:val="decimal" w:pos="851"/>
              </w:tabs>
            </w:pPr>
            <w:r>
              <w:t>675</w:t>
            </w:r>
          </w:p>
        </w:tc>
        <w:tc>
          <w:tcPr>
            <w:tcW w:w="651" w:type="pct"/>
          </w:tcPr>
          <w:p w:rsidR="00000000" w:rsidRDefault="00000000">
            <w:pPr>
              <w:tabs>
                <w:tab w:val="clear" w:pos="567"/>
                <w:tab w:val="clear" w:pos="1134"/>
                <w:tab w:val="clear" w:pos="1701"/>
                <w:tab w:val="clear" w:pos="2268"/>
                <w:tab w:val="clear" w:pos="6237"/>
                <w:tab w:val="decimal" w:pos="851"/>
              </w:tabs>
            </w:pPr>
            <w:r>
              <w:t>590</w:t>
            </w:r>
          </w:p>
        </w:tc>
      </w:tr>
      <w:tr w:rsidR="00000000">
        <w:tblPrEx>
          <w:tblCellMar>
            <w:top w:w="0" w:type="dxa"/>
            <w:bottom w:w="0" w:type="dxa"/>
          </w:tblCellMar>
        </w:tblPrEx>
        <w:tc>
          <w:tcPr>
            <w:tcW w:w="2399" w:type="pct"/>
          </w:tcPr>
          <w:p w:rsidR="00000000" w:rsidRDefault="00000000">
            <w:pPr>
              <w:rPr>
                <w:sz w:val="22"/>
              </w:rPr>
            </w:pPr>
            <w:r>
              <w:rPr>
                <w:sz w:val="22"/>
              </w:rPr>
              <w:t>Натуральный кофе, средняя цена, 250 г</w:t>
            </w:r>
          </w:p>
        </w:tc>
        <w:tc>
          <w:tcPr>
            <w:tcW w:w="650" w:type="pct"/>
          </w:tcPr>
          <w:p w:rsidR="00000000" w:rsidRDefault="00000000">
            <w:pPr>
              <w:tabs>
                <w:tab w:val="clear" w:pos="567"/>
                <w:tab w:val="clear" w:pos="1134"/>
                <w:tab w:val="clear" w:pos="1701"/>
                <w:tab w:val="clear" w:pos="2268"/>
                <w:tab w:val="clear" w:pos="6237"/>
                <w:tab w:val="decimal" w:pos="851"/>
              </w:tabs>
            </w:pPr>
            <w:r>
              <w:t>114</w:t>
            </w:r>
          </w:p>
        </w:tc>
        <w:tc>
          <w:tcPr>
            <w:tcW w:w="650" w:type="pct"/>
          </w:tcPr>
          <w:p w:rsidR="00000000" w:rsidRDefault="00000000">
            <w:pPr>
              <w:tabs>
                <w:tab w:val="clear" w:pos="567"/>
                <w:tab w:val="clear" w:pos="1134"/>
                <w:tab w:val="clear" w:pos="1701"/>
                <w:tab w:val="clear" w:pos="2268"/>
                <w:tab w:val="clear" w:pos="6237"/>
                <w:tab w:val="decimal" w:pos="851"/>
              </w:tabs>
            </w:pPr>
            <w:r>
              <w:t>99</w:t>
            </w:r>
          </w:p>
        </w:tc>
        <w:tc>
          <w:tcPr>
            <w:tcW w:w="650" w:type="pct"/>
          </w:tcPr>
          <w:p w:rsidR="00000000" w:rsidRDefault="00000000">
            <w:pPr>
              <w:tabs>
                <w:tab w:val="clear" w:pos="567"/>
                <w:tab w:val="clear" w:pos="1134"/>
                <w:tab w:val="clear" w:pos="1701"/>
                <w:tab w:val="clear" w:pos="2268"/>
                <w:tab w:val="clear" w:pos="6237"/>
                <w:tab w:val="decimal" w:pos="851"/>
              </w:tabs>
            </w:pPr>
            <w:r>
              <w:t>137</w:t>
            </w:r>
          </w:p>
        </w:tc>
        <w:tc>
          <w:tcPr>
            <w:tcW w:w="651" w:type="pct"/>
          </w:tcPr>
          <w:p w:rsidR="00000000" w:rsidRDefault="00000000">
            <w:pPr>
              <w:tabs>
                <w:tab w:val="clear" w:pos="567"/>
                <w:tab w:val="clear" w:pos="1134"/>
                <w:tab w:val="clear" w:pos="1701"/>
                <w:tab w:val="clear" w:pos="2268"/>
                <w:tab w:val="clear" w:pos="6237"/>
                <w:tab w:val="decimal" w:pos="851"/>
              </w:tabs>
            </w:pPr>
            <w:r>
              <w:t>149</w:t>
            </w:r>
          </w:p>
        </w:tc>
      </w:tr>
      <w:tr w:rsidR="00000000">
        <w:tblPrEx>
          <w:tblCellMar>
            <w:top w:w="0" w:type="dxa"/>
            <w:bottom w:w="0" w:type="dxa"/>
          </w:tblCellMar>
        </w:tblPrEx>
        <w:tc>
          <w:tcPr>
            <w:tcW w:w="2399" w:type="pct"/>
          </w:tcPr>
          <w:p w:rsidR="00000000" w:rsidRDefault="00000000">
            <w:pPr>
              <w:rPr>
                <w:sz w:val="22"/>
              </w:rPr>
            </w:pPr>
            <w:r>
              <w:rPr>
                <w:sz w:val="22"/>
              </w:rPr>
              <w:t>0,5 л водки дешевых сортов</w:t>
            </w:r>
          </w:p>
        </w:tc>
        <w:tc>
          <w:tcPr>
            <w:tcW w:w="650" w:type="pct"/>
          </w:tcPr>
          <w:p w:rsidR="00000000" w:rsidRDefault="00000000">
            <w:pPr>
              <w:tabs>
                <w:tab w:val="clear" w:pos="567"/>
                <w:tab w:val="clear" w:pos="1134"/>
                <w:tab w:val="clear" w:pos="1701"/>
                <w:tab w:val="clear" w:pos="2268"/>
                <w:tab w:val="clear" w:pos="6237"/>
                <w:tab w:val="decimal" w:pos="851"/>
              </w:tabs>
            </w:pPr>
            <w:r>
              <w:t>49</w:t>
            </w:r>
          </w:p>
        </w:tc>
        <w:tc>
          <w:tcPr>
            <w:tcW w:w="650" w:type="pct"/>
          </w:tcPr>
          <w:p w:rsidR="00000000" w:rsidRDefault="00000000">
            <w:pPr>
              <w:tabs>
                <w:tab w:val="clear" w:pos="567"/>
                <w:tab w:val="clear" w:pos="1134"/>
                <w:tab w:val="clear" w:pos="1701"/>
                <w:tab w:val="clear" w:pos="2268"/>
                <w:tab w:val="clear" w:pos="6237"/>
                <w:tab w:val="decimal" w:pos="851"/>
              </w:tabs>
            </w:pPr>
            <w:r>
              <w:t>57</w:t>
            </w:r>
          </w:p>
        </w:tc>
        <w:tc>
          <w:tcPr>
            <w:tcW w:w="650" w:type="pct"/>
          </w:tcPr>
          <w:p w:rsidR="00000000" w:rsidRDefault="00000000">
            <w:pPr>
              <w:tabs>
                <w:tab w:val="clear" w:pos="567"/>
                <w:tab w:val="clear" w:pos="1134"/>
                <w:tab w:val="clear" w:pos="1701"/>
                <w:tab w:val="clear" w:pos="2268"/>
                <w:tab w:val="clear" w:pos="6237"/>
                <w:tab w:val="decimal" w:pos="851"/>
              </w:tabs>
            </w:pPr>
            <w:r>
              <w:t>61</w:t>
            </w:r>
          </w:p>
        </w:tc>
        <w:tc>
          <w:tcPr>
            <w:tcW w:w="651" w:type="pct"/>
          </w:tcPr>
          <w:p w:rsidR="00000000" w:rsidRDefault="00000000">
            <w:pPr>
              <w:tabs>
                <w:tab w:val="clear" w:pos="567"/>
                <w:tab w:val="clear" w:pos="1134"/>
                <w:tab w:val="clear" w:pos="1701"/>
                <w:tab w:val="clear" w:pos="2268"/>
                <w:tab w:val="clear" w:pos="6237"/>
                <w:tab w:val="decimal" w:pos="851"/>
              </w:tabs>
            </w:pPr>
            <w:r>
              <w:t>61</w:t>
            </w:r>
          </w:p>
        </w:tc>
      </w:tr>
      <w:tr w:rsidR="00000000">
        <w:tblPrEx>
          <w:tblCellMar>
            <w:top w:w="0" w:type="dxa"/>
            <w:bottom w:w="0" w:type="dxa"/>
          </w:tblCellMar>
        </w:tblPrEx>
        <w:tc>
          <w:tcPr>
            <w:tcW w:w="2399" w:type="pct"/>
          </w:tcPr>
          <w:p w:rsidR="00000000" w:rsidRDefault="00000000">
            <w:pPr>
              <w:rPr>
                <w:sz w:val="22"/>
              </w:rPr>
            </w:pPr>
            <w:r>
              <w:rPr>
                <w:sz w:val="22"/>
              </w:rPr>
              <w:t xml:space="preserve">Сигареты, средняя цена, 20 сигарет </w:t>
            </w:r>
          </w:p>
          <w:p w:rsidR="00000000" w:rsidRDefault="00000000">
            <w:pPr>
              <w:tabs>
                <w:tab w:val="left" w:pos="284"/>
              </w:tabs>
              <w:rPr>
                <w:sz w:val="22"/>
              </w:rPr>
            </w:pPr>
            <w:r>
              <w:rPr>
                <w:sz w:val="22"/>
              </w:rPr>
              <w:tab/>
              <w:t>с фильтром (1 пачка)</w:t>
            </w:r>
          </w:p>
        </w:tc>
        <w:tc>
          <w:tcPr>
            <w:tcW w:w="650" w:type="pct"/>
          </w:tcPr>
          <w:p w:rsidR="00000000" w:rsidRDefault="00000000">
            <w:pPr>
              <w:tabs>
                <w:tab w:val="clear" w:pos="567"/>
                <w:tab w:val="clear" w:pos="1134"/>
                <w:tab w:val="clear" w:pos="1701"/>
                <w:tab w:val="clear" w:pos="2268"/>
                <w:tab w:val="clear" w:pos="6237"/>
                <w:tab w:val="decimal" w:pos="851"/>
              </w:tabs>
            </w:pPr>
            <w:r>
              <w:t>478</w:t>
            </w:r>
          </w:p>
        </w:tc>
        <w:tc>
          <w:tcPr>
            <w:tcW w:w="650" w:type="pct"/>
          </w:tcPr>
          <w:p w:rsidR="00000000" w:rsidRDefault="00000000">
            <w:pPr>
              <w:tabs>
                <w:tab w:val="clear" w:pos="567"/>
                <w:tab w:val="clear" w:pos="1134"/>
                <w:tab w:val="clear" w:pos="1701"/>
                <w:tab w:val="clear" w:pos="2268"/>
                <w:tab w:val="clear" w:pos="6237"/>
                <w:tab w:val="decimal" w:pos="851"/>
              </w:tabs>
            </w:pPr>
            <w:r>
              <w:t>425</w:t>
            </w:r>
          </w:p>
        </w:tc>
        <w:tc>
          <w:tcPr>
            <w:tcW w:w="650" w:type="pct"/>
          </w:tcPr>
          <w:p w:rsidR="00000000" w:rsidRDefault="00000000">
            <w:pPr>
              <w:tabs>
                <w:tab w:val="clear" w:pos="567"/>
                <w:tab w:val="clear" w:pos="1134"/>
                <w:tab w:val="clear" w:pos="1701"/>
                <w:tab w:val="clear" w:pos="2268"/>
                <w:tab w:val="clear" w:pos="6237"/>
                <w:tab w:val="decimal" w:pos="851"/>
              </w:tabs>
            </w:pPr>
            <w:r>
              <w:t>372</w:t>
            </w:r>
          </w:p>
        </w:tc>
        <w:tc>
          <w:tcPr>
            <w:tcW w:w="651" w:type="pct"/>
          </w:tcPr>
          <w:p w:rsidR="00000000" w:rsidRDefault="00000000">
            <w:pPr>
              <w:tabs>
                <w:tab w:val="clear" w:pos="567"/>
                <w:tab w:val="clear" w:pos="1134"/>
                <w:tab w:val="clear" w:pos="1701"/>
                <w:tab w:val="clear" w:pos="2268"/>
                <w:tab w:val="clear" w:pos="6237"/>
                <w:tab w:val="decimal" w:pos="851"/>
              </w:tabs>
            </w:pPr>
            <w:r>
              <w:t>361</w:t>
            </w:r>
          </w:p>
        </w:tc>
      </w:tr>
      <w:tr w:rsidR="00000000">
        <w:tblPrEx>
          <w:tblCellMar>
            <w:top w:w="0" w:type="dxa"/>
            <w:bottom w:w="0" w:type="dxa"/>
          </w:tblCellMar>
        </w:tblPrEx>
        <w:tc>
          <w:tcPr>
            <w:tcW w:w="2399" w:type="pct"/>
          </w:tcPr>
          <w:p w:rsidR="00000000" w:rsidRDefault="00000000">
            <w:pPr>
              <w:rPr>
                <w:sz w:val="22"/>
              </w:rPr>
            </w:pPr>
            <w:r>
              <w:rPr>
                <w:sz w:val="22"/>
              </w:rPr>
              <w:t>Женское зимнее пальто, 100% шерсть, 1</w:t>
            </w:r>
            <w:r>
              <w:rPr>
                <w:sz w:val="22"/>
                <w:lang w:val="en-US"/>
              </w:rPr>
              <w:t> </w:t>
            </w:r>
            <w:r>
              <w:rPr>
                <w:sz w:val="22"/>
              </w:rPr>
              <w:t>шт.</w:t>
            </w:r>
          </w:p>
        </w:tc>
        <w:tc>
          <w:tcPr>
            <w:tcW w:w="650" w:type="pct"/>
          </w:tcPr>
          <w:p w:rsidR="00000000" w:rsidRDefault="00000000">
            <w:pPr>
              <w:tabs>
                <w:tab w:val="clear" w:pos="567"/>
                <w:tab w:val="clear" w:pos="1134"/>
                <w:tab w:val="clear" w:pos="1701"/>
                <w:tab w:val="clear" w:pos="2268"/>
                <w:tab w:val="clear" w:pos="6237"/>
                <w:tab w:val="decimal" w:pos="851"/>
              </w:tabs>
            </w:pPr>
            <w:r>
              <w:t>3,3</w:t>
            </w:r>
          </w:p>
        </w:tc>
        <w:tc>
          <w:tcPr>
            <w:tcW w:w="650" w:type="pct"/>
          </w:tcPr>
          <w:p w:rsidR="00000000" w:rsidRDefault="00000000">
            <w:pPr>
              <w:tabs>
                <w:tab w:val="clear" w:pos="567"/>
                <w:tab w:val="clear" w:pos="1134"/>
                <w:tab w:val="clear" w:pos="1701"/>
                <w:tab w:val="clear" w:pos="2268"/>
                <w:tab w:val="clear" w:pos="6237"/>
                <w:tab w:val="decimal" w:pos="851"/>
              </w:tabs>
            </w:pPr>
            <w:r>
              <w:t>1,5</w:t>
            </w:r>
          </w:p>
        </w:tc>
        <w:tc>
          <w:tcPr>
            <w:tcW w:w="650" w:type="pct"/>
          </w:tcPr>
          <w:p w:rsidR="00000000" w:rsidRDefault="00000000">
            <w:pPr>
              <w:tabs>
                <w:tab w:val="clear" w:pos="567"/>
                <w:tab w:val="clear" w:pos="1134"/>
                <w:tab w:val="clear" w:pos="1701"/>
                <w:tab w:val="clear" w:pos="2268"/>
                <w:tab w:val="clear" w:pos="6237"/>
                <w:tab w:val="decimal" w:pos="851"/>
              </w:tabs>
            </w:pPr>
            <w:r>
              <w:t>1,8</w:t>
            </w:r>
          </w:p>
        </w:tc>
        <w:tc>
          <w:tcPr>
            <w:tcW w:w="651" w:type="pct"/>
          </w:tcPr>
          <w:p w:rsidR="00000000" w:rsidRDefault="00000000">
            <w:pPr>
              <w:tabs>
                <w:tab w:val="clear" w:pos="567"/>
                <w:tab w:val="clear" w:pos="1134"/>
                <w:tab w:val="clear" w:pos="1701"/>
                <w:tab w:val="clear" w:pos="2268"/>
                <w:tab w:val="clear" w:pos="6237"/>
                <w:tab w:val="decimal" w:pos="851"/>
              </w:tabs>
            </w:pPr>
            <w:r>
              <w:t>1,9</w:t>
            </w:r>
          </w:p>
        </w:tc>
      </w:tr>
      <w:tr w:rsidR="00000000">
        <w:tblPrEx>
          <w:tblCellMar>
            <w:top w:w="0" w:type="dxa"/>
            <w:bottom w:w="0" w:type="dxa"/>
          </w:tblCellMar>
        </w:tblPrEx>
        <w:tc>
          <w:tcPr>
            <w:tcW w:w="2399" w:type="pct"/>
          </w:tcPr>
          <w:p w:rsidR="00000000" w:rsidRDefault="00000000">
            <w:pPr>
              <w:rPr>
                <w:sz w:val="22"/>
              </w:rPr>
            </w:pPr>
            <w:r>
              <w:rPr>
                <w:sz w:val="22"/>
              </w:rPr>
              <w:t xml:space="preserve">Мужской костюм-двойка, шерсть </w:t>
            </w:r>
          </w:p>
          <w:p w:rsidR="00000000" w:rsidRDefault="00000000">
            <w:pPr>
              <w:tabs>
                <w:tab w:val="left" w:pos="284"/>
              </w:tabs>
              <w:rPr>
                <w:sz w:val="22"/>
              </w:rPr>
            </w:pPr>
            <w:r>
              <w:rPr>
                <w:sz w:val="22"/>
              </w:rPr>
              <w:tab/>
              <w:t>с искусственным волокном, 1 шт.</w:t>
            </w:r>
          </w:p>
        </w:tc>
        <w:tc>
          <w:tcPr>
            <w:tcW w:w="650" w:type="pct"/>
          </w:tcPr>
          <w:p w:rsidR="00000000" w:rsidRDefault="00000000">
            <w:pPr>
              <w:tabs>
                <w:tab w:val="clear" w:pos="567"/>
                <w:tab w:val="clear" w:pos="1134"/>
                <w:tab w:val="clear" w:pos="1701"/>
                <w:tab w:val="clear" w:pos="2268"/>
                <w:tab w:val="clear" w:pos="6237"/>
                <w:tab w:val="decimal" w:pos="851"/>
              </w:tabs>
            </w:pPr>
            <w:r>
              <w:t>3,3</w:t>
            </w:r>
          </w:p>
        </w:tc>
        <w:tc>
          <w:tcPr>
            <w:tcW w:w="650" w:type="pct"/>
          </w:tcPr>
          <w:p w:rsidR="00000000" w:rsidRDefault="00000000">
            <w:pPr>
              <w:tabs>
                <w:tab w:val="clear" w:pos="567"/>
                <w:tab w:val="clear" w:pos="1134"/>
                <w:tab w:val="clear" w:pos="1701"/>
                <w:tab w:val="clear" w:pos="2268"/>
                <w:tab w:val="clear" w:pos="6237"/>
                <w:tab w:val="decimal" w:pos="851"/>
              </w:tabs>
            </w:pPr>
            <w:r>
              <w:t>2,2</w:t>
            </w:r>
          </w:p>
        </w:tc>
        <w:tc>
          <w:tcPr>
            <w:tcW w:w="650" w:type="pct"/>
          </w:tcPr>
          <w:p w:rsidR="00000000" w:rsidRDefault="00000000">
            <w:pPr>
              <w:tabs>
                <w:tab w:val="clear" w:pos="567"/>
                <w:tab w:val="clear" w:pos="1134"/>
                <w:tab w:val="clear" w:pos="1701"/>
                <w:tab w:val="clear" w:pos="2268"/>
                <w:tab w:val="clear" w:pos="6237"/>
                <w:tab w:val="decimal" w:pos="851"/>
              </w:tabs>
            </w:pPr>
            <w:r>
              <w:t>2,5</w:t>
            </w:r>
          </w:p>
        </w:tc>
        <w:tc>
          <w:tcPr>
            <w:tcW w:w="651" w:type="pct"/>
          </w:tcPr>
          <w:p w:rsidR="00000000" w:rsidRDefault="00000000">
            <w:pPr>
              <w:tabs>
                <w:tab w:val="clear" w:pos="567"/>
                <w:tab w:val="clear" w:pos="1134"/>
                <w:tab w:val="clear" w:pos="1701"/>
                <w:tab w:val="clear" w:pos="2268"/>
                <w:tab w:val="clear" w:pos="6237"/>
                <w:tab w:val="decimal" w:pos="851"/>
              </w:tabs>
            </w:pPr>
            <w:r>
              <w:t>2,6</w:t>
            </w:r>
          </w:p>
        </w:tc>
      </w:tr>
      <w:tr w:rsidR="00000000">
        <w:tblPrEx>
          <w:tblCellMar>
            <w:top w:w="0" w:type="dxa"/>
            <w:bottom w:w="0" w:type="dxa"/>
          </w:tblCellMar>
        </w:tblPrEx>
        <w:tc>
          <w:tcPr>
            <w:tcW w:w="2399" w:type="pct"/>
          </w:tcPr>
          <w:p w:rsidR="00000000" w:rsidRDefault="00000000">
            <w:pPr>
              <w:rPr>
                <w:sz w:val="22"/>
              </w:rPr>
            </w:pPr>
            <w:r>
              <w:rPr>
                <w:sz w:val="22"/>
              </w:rPr>
              <w:t>Женские кожаные сапоги - 1</w:t>
            </w:r>
            <w:r>
              <w:rPr>
                <w:sz w:val="22"/>
                <w:lang w:val="en-US"/>
              </w:rPr>
              <w:t> </w:t>
            </w:r>
            <w:r>
              <w:rPr>
                <w:sz w:val="22"/>
              </w:rPr>
              <w:t>пара</w:t>
            </w:r>
          </w:p>
        </w:tc>
        <w:tc>
          <w:tcPr>
            <w:tcW w:w="650" w:type="pct"/>
          </w:tcPr>
          <w:p w:rsidR="00000000" w:rsidRDefault="00000000">
            <w:pPr>
              <w:tabs>
                <w:tab w:val="clear" w:pos="567"/>
                <w:tab w:val="clear" w:pos="1134"/>
                <w:tab w:val="clear" w:pos="1701"/>
                <w:tab w:val="clear" w:pos="2268"/>
                <w:tab w:val="clear" w:pos="6237"/>
                <w:tab w:val="decimal" w:pos="851"/>
              </w:tabs>
            </w:pPr>
            <w:r>
              <w:t>12,5</w:t>
            </w:r>
          </w:p>
        </w:tc>
        <w:tc>
          <w:tcPr>
            <w:tcW w:w="650" w:type="pct"/>
          </w:tcPr>
          <w:p w:rsidR="00000000" w:rsidRDefault="00000000">
            <w:pPr>
              <w:tabs>
                <w:tab w:val="clear" w:pos="567"/>
                <w:tab w:val="clear" w:pos="1134"/>
                <w:tab w:val="clear" w:pos="1701"/>
                <w:tab w:val="clear" w:pos="2268"/>
                <w:tab w:val="clear" w:pos="6237"/>
                <w:tab w:val="decimal" w:pos="851"/>
              </w:tabs>
            </w:pPr>
            <w:r>
              <w:t>10,2</w:t>
            </w:r>
          </w:p>
        </w:tc>
        <w:tc>
          <w:tcPr>
            <w:tcW w:w="650" w:type="pct"/>
          </w:tcPr>
          <w:p w:rsidR="00000000" w:rsidRDefault="00000000">
            <w:pPr>
              <w:tabs>
                <w:tab w:val="clear" w:pos="567"/>
                <w:tab w:val="clear" w:pos="1134"/>
                <w:tab w:val="clear" w:pos="1701"/>
                <w:tab w:val="clear" w:pos="2268"/>
                <w:tab w:val="clear" w:pos="6237"/>
                <w:tab w:val="decimal" w:pos="851"/>
              </w:tabs>
            </w:pPr>
            <w:r>
              <w:t>10,7</w:t>
            </w:r>
          </w:p>
        </w:tc>
        <w:tc>
          <w:tcPr>
            <w:tcW w:w="651" w:type="pct"/>
          </w:tcPr>
          <w:p w:rsidR="00000000" w:rsidRDefault="00000000">
            <w:pPr>
              <w:tabs>
                <w:tab w:val="clear" w:pos="567"/>
                <w:tab w:val="clear" w:pos="1134"/>
                <w:tab w:val="clear" w:pos="1701"/>
                <w:tab w:val="clear" w:pos="2268"/>
                <w:tab w:val="clear" w:pos="6237"/>
                <w:tab w:val="decimal" w:pos="851"/>
              </w:tabs>
            </w:pPr>
            <w:r>
              <w:t>10,7</w:t>
            </w:r>
          </w:p>
        </w:tc>
      </w:tr>
      <w:tr w:rsidR="00000000">
        <w:tblPrEx>
          <w:tblCellMar>
            <w:top w:w="0" w:type="dxa"/>
            <w:bottom w:w="0" w:type="dxa"/>
          </w:tblCellMar>
        </w:tblPrEx>
        <w:tc>
          <w:tcPr>
            <w:tcW w:w="2399" w:type="pct"/>
          </w:tcPr>
          <w:p w:rsidR="00000000" w:rsidRDefault="00000000">
            <w:pPr>
              <w:rPr>
                <w:sz w:val="22"/>
              </w:rPr>
            </w:pPr>
            <w:r>
              <w:rPr>
                <w:sz w:val="22"/>
              </w:rPr>
              <w:t>Стиральная машина на 5 кг белья, 1 шт.</w:t>
            </w:r>
          </w:p>
        </w:tc>
        <w:tc>
          <w:tcPr>
            <w:tcW w:w="650" w:type="pct"/>
          </w:tcPr>
          <w:p w:rsidR="00000000" w:rsidRDefault="00000000">
            <w:pPr>
              <w:tabs>
                <w:tab w:val="clear" w:pos="567"/>
                <w:tab w:val="clear" w:pos="1134"/>
                <w:tab w:val="clear" w:pos="1701"/>
                <w:tab w:val="clear" w:pos="2268"/>
                <w:tab w:val="clear" w:pos="6237"/>
                <w:tab w:val="decimal" w:pos="851"/>
              </w:tabs>
            </w:pPr>
            <w:r>
              <w:t>0,43</w:t>
            </w:r>
          </w:p>
        </w:tc>
        <w:tc>
          <w:tcPr>
            <w:tcW w:w="650" w:type="pct"/>
          </w:tcPr>
          <w:p w:rsidR="00000000" w:rsidRDefault="00000000">
            <w:pPr>
              <w:tabs>
                <w:tab w:val="clear" w:pos="567"/>
                <w:tab w:val="clear" w:pos="1134"/>
                <w:tab w:val="clear" w:pos="1701"/>
                <w:tab w:val="clear" w:pos="2268"/>
                <w:tab w:val="clear" w:pos="6237"/>
                <w:tab w:val="decimal" w:pos="851"/>
              </w:tabs>
            </w:pPr>
            <w:r>
              <w:t>0,62</w:t>
            </w:r>
          </w:p>
        </w:tc>
        <w:tc>
          <w:tcPr>
            <w:tcW w:w="650" w:type="pct"/>
          </w:tcPr>
          <w:p w:rsidR="00000000" w:rsidRDefault="00000000">
            <w:pPr>
              <w:tabs>
                <w:tab w:val="clear" w:pos="567"/>
                <w:tab w:val="clear" w:pos="1134"/>
                <w:tab w:val="clear" w:pos="1701"/>
                <w:tab w:val="clear" w:pos="2268"/>
                <w:tab w:val="clear" w:pos="6237"/>
                <w:tab w:val="decimal" w:pos="851"/>
              </w:tabs>
            </w:pPr>
            <w:r>
              <w:t>0,79</w:t>
            </w:r>
          </w:p>
        </w:tc>
        <w:tc>
          <w:tcPr>
            <w:tcW w:w="651" w:type="pct"/>
          </w:tcPr>
          <w:p w:rsidR="00000000" w:rsidRDefault="00000000">
            <w:pPr>
              <w:tabs>
                <w:tab w:val="clear" w:pos="567"/>
                <w:tab w:val="clear" w:pos="1134"/>
                <w:tab w:val="clear" w:pos="1701"/>
                <w:tab w:val="clear" w:pos="2268"/>
                <w:tab w:val="clear" w:pos="6237"/>
                <w:tab w:val="decimal" w:pos="851"/>
              </w:tabs>
            </w:pPr>
            <w:r>
              <w:t>0,87</w:t>
            </w:r>
          </w:p>
        </w:tc>
      </w:tr>
      <w:tr w:rsidR="00000000">
        <w:tblPrEx>
          <w:tblCellMar>
            <w:top w:w="0" w:type="dxa"/>
            <w:bottom w:w="0" w:type="dxa"/>
          </w:tblCellMar>
        </w:tblPrEx>
        <w:tc>
          <w:tcPr>
            <w:tcW w:w="2399" w:type="pct"/>
          </w:tcPr>
          <w:p w:rsidR="00000000" w:rsidRDefault="00000000">
            <w:pPr>
              <w:rPr>
                <w:sz w:val="22"/>
              </w:rPr>
            </w:pPr>
            <w:r>
              <w:rPr>
                <w:sz w:val="22"/>
              </w:rPr>
              <w:t>Холодильник, вместимость 160 л, 1 шт.</w:t>
            </w:r>
          </w:p>
        </w:tc>
        <w:tc>
          <w:tcPr>
            <w:tcW w:w="650" w:type="pct"/>
          </w:tcPr>
          <w:p w:rsidR="00000000" w:rsidRDefault="00000000">
            <w:pPr>
              <w:tabs>
                <w:tab w:val="clear" w:pos="567"/>
                <w:tab w:val="clear" w:pos="1134"/>
                <w:tab w:val="clear" w:pos="1701"/>
                <w:tab w:val="clear" w:pos="2268"/>
                <w:tab w:val="clear" w:pos="6237"/>
                <w:tab w:val="decimal" w:pos="851"/>
              </w:tabs>
            </w:pPr>
            <w:r>
              <w:t>0,61</w:t>
            </w:r>
          </w:p>
        </w:tc>
        <w:tc>
          <w:tcPr>
            <w:tcW w:w="650" w:type="pct"/>
          </w:tcPr>
          <w:p w:rsidR="00000000" w:rsidRDefault="00000000">
            <w:pPr>
              <w:tabs>
                <w:tab w:val="clear" w:pos="567"/>
                <w:tab w:val="clear" w:pos="1134"/>
                <w:tab w:val="clear" w:pos="1701"/>
                <w:tab w:val="clear" w:pos="2268"/>
                <w:tab w:val="clear" w:pos="6237"/>
                <w:tab w:val="decimal" w:pos="851"/>
              </w:tabs>
            </w:pPr>
            <w:r>
              <w:t>0,87</w:t>
            </w:r>
          </w:p>
        </w:tc>
        <w:tc>
          <w:tcPr>
            <w:tcW w:w="650" w:type="pct"/>
          </w:tcPr>
          <w:p w:rsidR="00000000" w:rsidRDefault="00000000">
            <w:pPr>
              <w:tabs>
                <w:tab w:val="clear" w:pos="567"/>
                <w:tab w:val="clear" w:pos="1134"/>
                <w:tab w:val="clear" w:pos="1701"/>
                <w:tab w:val="clear" w:pos="2268"/>
                <w:tab w:val="clear" w:pos="6237"/>
                <w:tab w:val="decimal" w:pos="851"/>
              </w:tabs>
            </w:pPr>
            <w:r>
              <w:t>1,0</w:t>
            </w:r>
          </w:p>
        </w:tc>
        <w:tc>
          <w:tcPr>
            <w:tcW w:w="651" w:type="pct"/>
          </w:tcPr>
          <w:p w:rsidR="00000000" w:rsidRDefault="00000000">
            <w:pPr>
              <w:tabs>
                <w:tab w:val="clear" w:pos="567"/>
                <w:tab w:val="clear" w:pos="1134"/>
                <w:tab w:val="clear" w:pos="1701"/>
                <w:tab w:val="clear" w:pos="2268"/>
                <w:tab w:val="clear" w:pos="6237"/>
                <w:tab w:val="decimal" w:pos="851"/>
              </w:tabs>
            </w:pPr>
            <w:r>
              <w:t>1,1</w:t>
            </w:r>
          </w:p>
        </w:tc>
      </w:tr>
      <w:tr w:rsidR="00000000">
        <w:tblPrEx>
          <w:tblCellMar>
            <w:top w:w="0" w:type="dxa"/>
            <w:bottom w:w="0" w:type="dxa"/>
          </w:tblCellMar>
        </w:tblPrEx>
        <w:tc>
          <w:tcPr>
            <w:tcW w:w="2399" w:type="pct"/>
          </w:tcPr>
          <w:p w:rsidR="00000000" w:rsidRDefault="00000000">
            <w:pPr>
              <w:rPr>
                <w:sz w:val="22"/>
              </w:rPr>
            </w:pPr>
            <w:r>
              <w:rPr>
                <w:sz w:val="22"/>
              </w:rPr>
              <w:t>Пылесос, 1 шт.</w:t>
            </w:r>
          </w:p>
        </w:tc>
        <w:tc>
          <w:tcPr>
            <w:tcW w:w="650" w:type="pct"/>
          </w:tcPr>
          <w:p w:rsidR="00000000" w:rsidRDefault="00000000">
            <w:pPr>
              <w:tabs>
                <w:tab w:val="clear" w:pos="567"/>
                <w:tab w:val="clear" w:pos="1134"/>
                <w:tab w:val="clear" w:pos="1701"/>
                <w:tab w:val="clear" w:pos="2268"/>
                <w:tab w:val="clear" w:pos="6237"/>
                <w:tab w:val="decimal" w:pos="851"/>
              </w:tabs>
            </w:pPr>
            <w:r>
              <w:t>2,8</w:t>
            </w:r>
          </w:p>
        </w:tc>
        <w:tc>
          <w:tcPr>
            <w:tcW w:w="650" w:type="pct"/>
          </w:tcPr>
          <w:p w:rsidR="00000000" w:rsidRDefault="00000000">
            <w:pPr>
              <w:tabs>
                <w:tab w:val="clear" w:pos="567"/>
                <w:tab w:val="clear" w:pos="1134"/>
                <w:tab w:val="clear" w:pos="1701"/>
                <w:tab w:val="clear" w:pos="2268"/>
                <w:tab w:val="clear" w:pos="6237"/>
                <w:tab w:val="decimal" w:pos="851"/>
              </w:tabs>
            </w:pPr>
            <w:r>
              <w:t>3,7</w:t>
            </w:r>
          </w:p>
        </w:tc>
        <w:tc>
          <w:tcPr>
            <w:tcW w:w="650" w:type="pct"/>
          </w:tcPr>
          <w:p w:rsidR="00000000" w:rsidRDefault="00000000">
            <w:pPr>
              <w:pStyle w:val="16"/>
              <w:tabs>
                <w:tab w:val="clear" w:pos="567"/>
                <w:tab w:val="clear" w:pos="1134"/>
                <w:tab w:val="clear" w:pos="1701"/>
                <w:tab w:val="clear" w:pos="2268"/>
                <w:tab w:val="clear" w:pos="6237"/>
                <w:tab w:val="decimal" w:pos="851"/>
              </w:tabs>
              <w:jc w:val="left"/>
            </w:pPr>
            <w:r>
              <w:t>4,4</w:t>
            </w:r>
          </w:p>
        </w:tc>
        <w:tc>
          <w:tcPr>
            <w:tcW w:w="651" w:type="pct"/>
          </w:tcPr>
          <w:p w:rsidR="00000000" w:rsidRDefault="00000000">
            <w:pPr>
              <w:tabs>
                <w:tab w:val="clear" w:pos="567"/>
                <w:tab w:val="clear" w:pos="1134"/>
                <w:tab w:val="clear" w:pos="1701"/>
                <w:tab w:val="clear" w:pos="2268"/>
                <w:tab w:val="clear" w:pos="6237"/>
                <w:tab w:val="decimal" w:pos="851"/>
              </w:tabs>
            </w:pPr>
            <w:r>
              <w:t>4,4</w:t>
            </w:r>
          </w:p>
        </w:tc>
      </w:tr>
      <w:tr w:rsidR="00000000">
        <w:tblPrEx>
          <w:tblCellMar>
            <w:top w:w="0" w:type="dxa"/>
            <w:bottom w:w="0" w:type="dxa"/>
          </w:tblCellMar>
        </w:tblPrEx>
        <w:tc>
          <w:tcPr>
            <w:tcW w:w="2399" w:type="pct"/>
          </w:tcPr>
          <w:p w:rsidR="00000000" w:rsidRDefault="00000000">
            <w:pPr>
              <w:tabs>
                <w:tab w:val="left" w:pos="284"/>
              </w:tabs>
              <w:rPr>
                <w:sz w:val="22"/>
              </w:rPr>
            </w:pPr>
            <w:r>
              <w:rPr>
                <w:sz w:val="22"/>
              </w:rPr>
              <w:t xml:space="preserve">Цветной телевизор с экраном 21 дюйм </w:t>
            </w:r>
          </w:p>
          <w:p w:rsidR="00000000" w:rsidRDefault="00000000">
            <w:pPr>
              <w:tabs>
                <w:tab w:val="left" w:pos="284"/>
              </w:tabs>
              <w:rPr>
                <w:sz w:val="22"/>
              </w:rPr>
            </w:pPr>
            <w:r>
              <w:rPr>
                <w:sz w:val="22"/>
              </w:rPr>
              <w:tab/>
              <w:t xml:space="preserve">по диагонали, 1 шт. </w:t>
            </w:r>
          </w:p>
        </w:tc>
        <w:tc>
          <w:tcPr>
            <w:tcW w:w="650" w:type="pct"/>
          </w:tcPr>
          <w:p w:rsidR="00000000" w:rsidRDefault="00000000">
            <w:pPr>
              <w:tabs>
                <w:tab w:val="clear" w:pos="567"/>
                <w:tab w:val="clear" w:pos="1134"/>
                <w:tab w:val="clear" w:pos="1701"/>
                <w:tab w:val="clear" w:pos="2268"/>
                <w:tab w:val="clear" w:pos="6237"/>
                <w:tab w:val="decimal" w:pos="851"/>
              </w:tabs>
            </w:pPr>
            <w:r>
              <w:t>0,21</w:t>
            </w:r>
          </w:p>
        </w:tc>
        <w:tc>
          <w:tcPr>
            <w:tcW w:w="650" w:type="pct"/>
          </w:tcPr>
          <w:p w:rsidR="00000000" w:rsidRDefault="00000000">
            <w:pPr>
              <w:tabs>
                <w:tab w:val="clear" w:pos="567"/>
                <w:tab w:val="clear" w:pos="1134"/>
                <w:tab w:val="clear" w:pos="1701"/>
                <w:tab w:val="clear" w:pos="2268"/>
                <w:tab w:val="clear" w:pos="6237"/>
                <w:tab w:val="decimal" w:pos="851"/>
              </w:tabs>
            </w:pPr>
            <w:r>
              <w:t>0,52</w:t>
            </w:r>
          </w:p>
        </w:tc>
        <w:tc>
          <w:tcPr>
            <w:tcW w:w="650" w:type="pct"/>
          </w:tcPr>
          <w:p w:rsidR="00000000" w:rsidRDefault="00000000">
            <w:pPr>
              <w:tabs>
                <w:tab w:val="clear" w:pos="567"/>
                <w:tab w:val="clear" w:pos="1134"/>
                <w:tab w:val="clear" w:pos="1701"/>
                <w:tab w:val="clear" w:pos="2268"/>
                <w:tab w:val="clear" w:pos="6237"/>
                <w:tab w:val="decimal" w:pos="851"/>
              </w:tabs>
            </w:pPr>
            <w:r>
              <w:t>0,77</w:t>
            </w:r>
          </w:p>
        </w:tc>
        <w:tc>
          <w:tcPr>
            <w:tcW w:w="651" w:type="pct"/>
          </w:tcPr>
          <w:p w:rsidR="00000000" w:rsidRDefault="00000000">
            <w:pPr>
              <w:tabs>
                <w:tab w:val="clear" w:pos="567"/>
                <w:tab w:val="clear" w:pos="1134"/>
                <w:tab w:val="clear" w:pos="1701"/>
                <w:tab w:val="clear" w:pos="2268"/>
                <w:tab w:val="clear" w:pos="6237"/>
                <w:tab w:val="decimal" w:pos="851"/>
              </w:tabs>
            </w:pPr>
            <w:r>
              <w:t>0,88</w:t>
            </w:r>
          </w:p>
        </w:tc>
      </w:tr>
      <w:tr w:rsidR="00000000">
        <w:tblPrEx>
          <w:tblCellMar>
            <w:top w:w="0" w:type="dxa"/>
            <w:bottom w:w="0" w:type="dxa"/>
          </w:tblCellMar>
        </w:tblPrEx>
        <w:tc>
          <w:tcPr>
            <w:tcW w:w="2399" w:type="pct"/>
          </w:tcPr>
          <w:p w:rsidR="00000000" w:rsidRDefault="00000000">
            <w:pPr>
              <w:rPr>
                <w:sz w:val="22"/>
              </w:rPr>
            </w:pPr>
            <w:r>
              <w:rPr>
                <w:sz w:val="22"/>
              </w:rPr>
              <w:t>1 л бензина</w:t>
            </w:r>
          </w:p>
        </w:tc>
        <w:tc>
          <w:tcPr>
            <w:tcW w:w="650" w:type="pct"/>
          </w:tcPr>
          <w:p w:rsidR="00000000" w:rsidRDefault="00000000">
            <w:pPr>
              <w:tabs>
                <w:tab w:val="clear" w:pos="567"/>
                <w:tab w:val="clear" w:pos="1134"/>
                <w:tab w:val="clear" w:pos="1701"/>
                <w:tab w:val="clear" w:pos="2268"/>
                <w:tab w:val="clear" w:pos="6237"/>
                <w:tab w:val="decimal" w:pos="851"/>
              </w:tabs>
            </w:pPr>
            <w:r>
              <w:t>369</w:t>
            </w:r>
          </w:p>
        </w:tc>
        <w:tc>
          <w:tcPr>
            <w:tcW w:w="650" w:type="pct"/>
          </w:tcPr>
          <w:p w:rsidR="00000000" w:rsidRDefault="00000000">
            <w:pPr>
              <w:tabs>
                <w:tab w:val="clear" w:pos="567"/>
                <w:tab w:val="clear" w:pos="1134"/>
                <w:tab w:val="clear" w:pos="1701"/>
                <w:tab w:val="clear" w:pos="2268"/>
                <w:tab w:val="clear" w:pos="6237"/>
                <w:tab w:val="decimal" w:pos="851"/>
              </w:tabs>
            </w:pPr>
            <w:r>
              <w:t>456</w:t>
            </w:r>
          </w:p>
        </w:tc>
        <w:tc>
          <w:tcPr>
            <w:tcW w:w="650" w:type="pct"/>
          </w:tcPr>
          <w:p w:rsidR="00000000" w:rsidRDefault="00000000">
            <w:pPr>
              <w:tabs>
                <w:tab w:val="clear" w:pos="567"/>
                <w:tab w:val="clear" w:pos="1134"/>
                <w:tab w:val="clear" w:pos="1701"/>
                <w:tab w:val="clear" w:pos="2268"/>
                <w:tab w:val="clear" w:pos="6237"/>
                <w:tab w:val="decimal" w:pos="851"/>
              </w:tabs>
            </w:pPr>
            <w:r>
              <w:t>519</w:t>
            </w:r>
          </w:p>
        </w:tc>
        <w:tc>
          <w:tcPr>
            <w:tcW w:w="651" w:type="pct"/>
          </w:tcPr>
          <w:p w:rsidR="00000000" w:rsidRDefault="00000000">
            <w:pPr>
              <w:tabs>
                <w:tab w:val="clear" w:pos="567"/>
                <w:tab w:val="clear" w:pos="1134"/>
                <w:tab w:val="clear" w:pos="1701"/>
                <w:tab w:val="clear" w:pos="2268"/>
                <w:tab w:val="clear" w:pos="6237"/>
                <w:tab w:val="decimal" w:pos="851"/>
              </w:tabs>
            </w:pPr>
            <w:r>
              <w:t>549</w:t>
            </w:r>
          </w:p>
        </w:tc>
      </w:tr>
    </w:tbl>
    <w:p w:rsidR="00000000" w:rsidRDefault="00000000">
      <w:pPr>
        <w:spacing w:line="216" w:lineRule="auto"/>
      </w:pPr>
    </w:p>
    <w:p w:rsidR="00000000" w:rsidRDefault="00000000">
      <w:pPr>
        <w:spacing w:line="216" w:lineRule="auto"/>
      </w:pPr>
      <w:r>
        <w:tab/>
      </w:r>
      <w:r>
        <w:rPr>
          <w:u w:val="single"/>
        </w:rPr>
        <w:t>Источник</w:t>
      </w:r>
      <w:r>
        <w:t>:  данные Главного статистического управления.</w:t>
      </w:r>
    </w:p>
    <w:p w:rsidR="00000000" w:rsidRDefault="00000000"/>
    <w:p w:rsidR="00000000" w:rsidRDefault="00000000">
      <w:pPr>
        <w:pStyle w:val="10"/>
        <w:rPr>
          <w:b w:val="0"/>
          <w:u w:val="single"/>
        </w:rPr>
      </w:pPr>
      <w:r>
        <w:rPr>
          <w:b w:val="0"/>
          <w:u w:val="single"/>
        </w:rPr>
        <w:t>Таблица 22</w:t>
      </w:r>
      <w:r>
        <w:rPr>
          <w:b w:val="0"/>
        </w:rPr>
        <w:t xml:space="preserve">.  </w:t>
      </w:r>
      <w:r>
        <w:rPr>
          <w:b w:val="0"/>
          <w:u w:val="single"/>
        </w:rPr>
        <w:t>Домохозяйства с отдельными видами товаров длительного пользования в 1995 и 1998 годах, в процентах</w:t>
      </w:r>
    </w:p>
    <w:p w:rsidR="00000000" w:rsidRDefault="00000000">
      <w:pPr>
        <w:pStyle w:val="10"/>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87"/>
        <w:gridCol w:w="874"/>
        <w:gridCol w:w="4"/>
        <w:gridCol w:w="862"/>
        <w:gridCol w:w="921"/>
        <w:gridCol w:w="875"/>
        <w:gridCol w:w="875"/>
        <w:gridCol w:w="944"/>
        <w:gridCol w:w="879"/>
        <w:gridCol w:w="1347"/>
      </w:tblGrid>
      <w:tr w:rsidR="00000000">
        <w:tblPrEx>
          <w:tblCellMar>
            <w:top w:w="0" w:type="dxa"/>
            <w:bottom w:w="0" w:type="dxa"/>
          </w:tblCellMar>
        </w:tblPrEx>
        <w:trPr>
          <w:cantSplit/>
        </w:trPr>
        <w:tc>
          <w:tcPr>
            <w:tcW w:w="1003" w:type="pct"/>
            <w:vMerge w:val="restart"/>
          </w:tcPr>
          <w:p w:rsidR="00000000" w:rsidRDefault="00000000">
            <w:pPr>
              <w:pStyle w:val="FootnoteText"/>
              <w:spacing w:line="288" w:lineRule="auto"/>
              <w:jc w:val="center"/>
              <w:rPr>
                <w:sz w:val="18"/>
              </w:rPr>
            </w:pPr>
            <w:r>
              <w:rPr>
                <w:sz w:val="18"/>
              </w:rPr>
              <w:t>Товары длительного пользования</w:t>
            </w:r>
          </w:p>
        </w:tc>
        <w:tc>
          <w:tcPr>
            <w:tcW w:w="471" w:type="pct"/>
            <w:gridSpan w:val="2"/>
            <w:vMerge w:val="restart"/>
          </w:tcPr>
          <w:p w:rsidR="00000000" w:rsidRDefault="00000000">
            <w:pPr>
              <w:jc w:val="center"/>
              <w:rPr>
                <w:sz w:val="18"/>
              </w:rPr>
            </w:pPr>
            <w:r>
              <w:rPr>
                <w:sz w:val="18"/>
              </w:rPr>
              <w:t>1995</w:t>
            </w:r>
          </w:p>
        </w:tc>
        <w:tc>
          <w:tcPr>
            <w:tcW w:w="3526" w:type="pct"/>
            <w:gridSpan w:val="7"/>
          </w:tcPr>
          <w:p w:rsidR="00000000" w:rsidRDefault="00000000">
            <w:pPr>
              <w:pStyle w:val="16"/>
              <w:rPr>
                <w:sz w:val="18"/>
              </w:rPr>
            </w:pPr>
            <w:r>
              <w:rPr>
                <w:sz w:val="18"/>
              </w:rPr>
              <w:t>1998</w:t>
            </w:r>
          </w:p>
        </w:tc>
      </w:tr>
      <w:tr w:rsidR="00000000">
        <w:tblPrEx>
          <w:tblCellMar>
            <w:top w:w="0" w:type="dxa"/>
            <w:bottom w:w="0" w:type="dxa"/>
          </w:tblCellMar>
        </w:tblPrEx>
        <w:trPr>
          <w:cantSplit/>
        </w:trPr>
        <w:tc>
          <w:tcPr>
            <w:tcW w:w="1003" w:type="pct"/>
            <w:vMerge/>
          </w:tcPr>
          <w:p w:rsidR="00000000" w:rsidRDefault="00000000">
            <w:pPr>
              <w:pStyle w:val="FootnoteText"/>
              <w:spacing w:line="288" w:lineRule="auto"/>
              <w:jc w:val="center"/>
              <w:rPr>
                <w:sz w:val="18"/>
              </w:rPr>
            </w:pPr>
          </w:p>
        </w:tc>
        <w:tc>
          <w:tcPr>
            <w:tcW w:w="471" w:type="pct"/>
            <w:gridSpan w:val="2"/>
            <w:vMerge/>
          </w:tcPr>
          <w:p w:rsidR="00000000" w:rsidRDefault="00000000">
            <w:pPr>
              <w:jc w:val="center"/>
              <w:rPr>
                <w:sz w:val="18"/>
              </w:rPr>
            </w:pPr>
          </w:p>
        </w:tc>
        <w:tc>
          <w:tcPr>
            <w:tcW w:w="467" w:type="pct"/>
          </w:tcPr>
          <w:p w:rsidR="00000000" w:rsidRDefault="00000000">
            <w:pPr>
              <w:jc w:val="center"/>
              <w:rPr>
                <w:sz w:val="18"/>
              </w:rPr>
            </w:pPr>
            <w:r>
              <w:rPr>
                <w:sz w:val="18"/>
              </w:rPr>
              <w:t>Итого</w:t>
            </w:r>
          </w:p>
        </w:tc>
        <w:tc>
          <w:tcPr>
            <w:tcW w:w="468" w:type="pct"/>
          </w:tcPr>
          <w:p w:rsidR="00000000" w:rsidRDefault="00000000">
            <w:pPr>
              <w:jc w:val="center"/>
              <w:rPr>
                <w:sz w:val="18"/>
              </w:rPr>
            </w:pPr>
            <w:r>
              <w:rPr>
                <w:sz w:val="18"/>
              </w:rPr>
              <w:t>Наемные работники</w:t>
            </w:r>
          </w:p>
        </w:tc>
        <w:tc>
          <w:tcPr>
            <w:tcW w:w="468" w:type="pct"/>
          </w:tcPr>
          <w:p w:rsidR="00000000" w:rsidRDefault="00000000">
            <w:pPr>
              <w:jc w:val="center"/>
              <w:rPr>
                <w:sz w:val="18"/>
              </w:rPr>
            </w:pPr>
            <w:r>
              <w:rPr>
                <w:sz w:val="18"/>
              </w:rPr>
              <w:t>Фермеры</w:t>
            </w:r>
          </w:p>
        </w:tc>
        <w:tc>
          <w:tcPr>
            <w:tcW w:w="467" w:type="pct"/>
          </w:tcPr>
          <w:p w:rsidR="00000000" w:rsidRDefault="00000000">
            <w:pPr>
              <w:jc w:val="center"/>
              <w:rPr>
                <w:sz w:val="18"/>
              </w:rPr>
            </w:pPr>
            <w:r>
              <w:rPr>
                <w:sz w:val="18"/>
              </w:rPr>
              <w:t>Самосто-ятельно занятые</w:t>
            </w:r>
          </w:p>
        </w:tc>
        <w:tc>
          <w:tcPr>
            <w:tcW w:w="468" w:type="pct"/>
          </w:tcPr>
          <w:p w:rsidR="00000000" w:rsidRDefault="00000000">
            <w:pPr>
              <w:jc w:val="center"/>
              <w:rPr>
                <w:sz w:val="18"/>
              </w:rPr>
            </w:pPr>
            <w:r>
              <w:rPr>
                <w:sz w:val="18"/>
              </w:rPr>
              <w:t>Отставные военные</w:t>
            </w:r>
          </w:p>
        </w:tc>
        <w:tc>
          <w:tcPr>
            <w:tcW w:w="468" w:type="pct"/>
          </w:tcPr>
          <w:p w:rsidR="00000000" w:rsidRDefault="00000000">
            <w:pPr>
              <w:jc w:val="center"/>
              <w:rPr>
                <w:sz w:val="18"/>
              </w:rPr>
            </w:pPr>
            <w:r>
              <w:rPr>
                <w:sz w:val="18"/>
              </w:rPr>
              <w:t>Пенсио-неры</w:t>
            </w:r>
          </w:p>
        </w:tc>
        <w:tc>
          <w:tcPr>
            <w:tcW w:w="720" w:type="pct"/>
          </w:tcPr>
          <w:p w:rsidR="00000000" w:rsidRDefault="00000000">
            <w:pPr>
              <w:jc w:val="center"/>
              <w:rPr>
                <w:sz w:val="18"/>
              </w:rPr>
            </w:pPr>
            <w:r>
              <w:rPr>
                <w:sz w:val="18"/>
              </w:rPr>
              <w:t>Лица, живущие на доходы, не связанные с</w:t>
            </w:r>
            <w:r>
              <w:rPr>
                <w:sz w:val="18"/>
                <w:lang w:val="en-US"/>
              </w:rPr>
              <w:t> </w:t>
            </w:r>
            <w:r>
              <w:rPr>
                <w:sz w:val="18"/>
              </w:rPr>
              <w:t>трудовой деятельностью</w:t>
            </w:r>
          </w:p>
        </w:tc>
      </w:tr>
      <w:tr w:rsidR="00000000">
        <w:tblPrEx>
          <w:tblCellMar>
            <w:top w:w="0" w:type="dxa"/>
            <w:bottom w:w="0" w:type="dxa"/>
          </w:tblCellMar>
        </w:tblPrEx>
        <w:tc>
          <w:tcPr>
            <w:tcW w:w="1003" w:type="pct"/>
          </w:tcPr>
          <w:p w:rsidR="00000000" w:rsidRDefault="00000000">
            <w:pPr>
              <w:pStyle w:val="FootnoteText"/>
              <w:spacing w:line="288" w:lineRule="auto"/>
              <w:rPr>
                <w:sz w:val="20"/>
              </w:rPr>
            </w:pPr>
            <w:r>
              <w:rPr>
                <w:sz w:val="20"/>
              </w:rPr>
              <w:t>Радиоприемник</w:t>
            </w:r>
          </w:p>
        </w:tc>
        <w:tc>
          <w:tcPr>
            <w:tcW w:w="468" w:type="pct"/>
          </w:tcPr>
          <w:p w:rsidR="00000000" w:rsidRDefault="00000000">
            <w:pPr>
              <w:tabs>
                <w:tab w:val="clear" w:pos="567"/>
              </w:tabs>
              <w:ind w:right="227"/>
              <w:jc w:val="right"/>
              <w:rPr>
                <w:sz w:val="20"/>
              </w:rPr>
            </w:pPr>
            <w:r>
              <w:rPr>
                <w:sz w:val="20"/>
              </w:rPr>
              <w:t>73,6</w:t>
            </w:r>
          </w:p>
        </w:tc>
        <w:tc>
          <w:tcPr>
            <w:tcW w:w="468" w:type="pct"/>
            <w:gridSpan w:val="2"/>
          </w:tcPr>
          <w:p w:rsidR="00000000" w:rsidRDefault="00000000">
            <w:pPr>
              <w:ind w:right="227"/>
              <w:jc w:val="right"/>
              <w:rPr>
                <w:sz w:val="20"/>
              </w:rPr>
            </w:pPr>
            <w:r>
              <w:rPr>
                <w:sz w:val="20"/>
              </w:rPr>
              <w:t>62,8</w:t>
            </w:r>
          </w:p>
        </w:tc>
        <w:tc>
          <w:tcPr>
            <w:tcW w:w="468" w:type="pct"/>
          </w:tcPr>
          <w:p w:rsidR="00000000" w:rsidRDefault="00000000">
            <w:pPr>
              <w:ind w:right="227"/>
              <w:jc w:val="right"/>
              <w:rPr>
                <w:sz w:val="20"/>
              </w:rPr>
            </w:pPr>
            <w:r>
              <w:rPr>
                <w:sz w:val="20"/>
              </w:rPr>
              <w:t>54,3</w:t>
            </w:r>
          </w:p>
        </w:tc>
        <w:tc>
          <w:tcPr>
            <w:tcW w:w="468" w:type="pct"/>
          </w:tcPr>
          <w:p w:rsidR="00000000" w:rsidRDefault="00000000">
            <w:pPr>
              <w:ind w:right="227"/>
              <w:jc w:val="right"/>
              <w:rPr>
                <w:sz w:val="20"/>
              </w:rPr>
            </w:pPr>
            <w:r>
              <w:rPr>
                <w:sz w:val="20"/>
              </w:rPr>
              <w:t>68,4</w:t>
            </w:r>
          </w:p>
        </w:tc>
        <w:tc>
          <w:tcPr>
            <w:tcW w:w="468" w:type="pct"/>
          </w:tcPr>
          <w:p w:rsidR="00000000" w:rsidRDefault="00000000">
            <w:pPr>
              <w:tabs>
                <w:tab w:val="left" w:pos="638"/>
              </w:tabs>
              <w:ind w:right="227"/>
              <w:jc w:val="right"/>
              <w:rPr>
                <w:sz w:val="20"/>
              </w:rPr>
            </w:pPr>
            <w:r>
              <w:rPr>
                <w:sz w:val="20"/>
              </w:rPr>
              <w:t>56,5</w:t>
            </w:r>
          </w:p>
        </w:tc>
        <w:tc>
          <w:tcPr>
            <w:tcW w:w="468" w:type="pct"/>
          </w:tcPr>
          <w:p w:rsidR="00000000" w:rsidRDefault="00000000">
            <w:pPr>
              <w:tabs>
                <w:tab w:val="left" w:pos="638"/>
              </w:tabs>
              <w:ind w:right="227"/>
              <w:jc w:val="right"/>
              <w:rPr>
                <w:sz w:val="20"/>
              </w:rPr>
            </w:pPr>
            <w:r>
              <w:rPr>
                <w:sz w:val="20"/>
              </w:rPr>
              <w:t>75,6</w:t>
            </w:r>
          </w:p>
        </w:tc>
        <w:tc>
          <w:tcPr>
            <w:tcW w:w="470" w:type="pct"/>
          </w:tcPr>
          <w:p w:rsidR="00000000" w:rsidRDefault="00000000">
            <w:pPr>
              <w:tabs>
                <w:tab w:val="left" w:pos="638"/>
              </w:tabs>
              <w:ind w:right="227"/>
              <w:jc w:val="right"/>
              <w:rPr>
                <w:sz w:val="20"/>
              </w:rPr>
            </w:pPr>
            <w:r>
              <w:rPr>
                <w:sz w:val="20"/>
              </w:rPr>
              <w:t>69,5</w:t>
            </w:r>
          </w:p>
        </w:tc>
        <w:tc>
          <w:tcPr>
            <w:tcW w:w="720" w:type="pct"/>
          </w:tcPr>
          <w:p w:rsidR="00000000" w:rsidRDefault="00000000">
            <w:pPr>
              <w:tabs>
                <w:tab w:val="clear" w:pos="1134"/>
              </w:tabs>
              <w:ind w:right="379"/>
              <w:jc w:val="right"/>
              <w:rPr>
                <w:sz w:val="20"/>
              </w:rPr>
            </w:pPr>
            <w:r>
              <w:rPr>
                <w:sz w:val="20"/>
              </w:rPr>
              <w:t>53,4</w:t>
            </w:r>
          </w:p>
        </w:tc>
      </w:tr>
      <w:tr w:rsidR="00000000">
        <w:tblPrEx>
          <w:tblCellMar>
            <w:top w:w="0" w:type="dxa"/>
            <w:bottom w:w="0" w:type="dxa"/>
          </w:tblCellMar>
        </w:tblPrEx>
        <w:tc>
          <w:tcPr>
            <w:tcW w:w="1003" w:type="pct"/>
          </w:tcPr>
          <w:p w:rsidR="00000000" w:rsidRDefault="00000000">
            <w:pPr>
              <w:rPr>
                <w:sz w:val="20"/>
              </w:rPr>
            </w:pPr>
            <w:r>
              <w:rPr>
                <w:sz w:val="20"/>
              </w:rPr>
              <w:t>Цветной телевизор</w:t>
            </w:r>
          </w:p>
        </w:tc>
        <w:tc>
          <w:tcPr>
            <w:tcW w:w="468" w:type="pct"/>
          </w:tcPr>
          <w:p w:rsidR="00000000" w:rsidRDefault="00000000">
            <w:pPr>
              <w:tabs>
                <w:tab w:val="clear" w:pos="567"/>
              </w:tabs>
              <w:ind w:right="227"/>
              <w:jc w:val="right"/>
              <w:rPr>
                <w:sz w:val="20"/>
              </w:rPr>
            </w:pPr>
            <w:r>
              <w:rPr>
                <w:sz w:val="20"/>
              </w:rPr>
              <w:t>86,2</w:t>
            </w:r>
          </w:p>
        </w:tc>
        <w:tc>
          <w:tcPr>
            <w:tcW w:w="468" w:type="pct"/>
            <w:gridSpan w:val="2"/>
          </w:tcPr>
          <w:p w:rsidR="00000000" w:rsidRDefault="00000000">
            <w:pPr>
              <w:ind w:right="227"/>
              <w:jc w:val="right"/>
              <w:rPr>
                <w:sz w:val="20"/>
              </w:rPr>
            </w:pPr>
            <w:r>
              <w:rPr>
                <w:sz w:val="20"/>
              </w:rPr>
              <w:t>93,9</w:t>
            </w:r>
          </w:p>
        </w:tc>
        <w:tc>
          <w:tcPr>
            <w:tcW w:w="468" w:type="pct"/>
          </w:tcPr>
          <w:p w:rsidR="00000000" w:rsidRDefault="00000000">
            <w:pPr>
              <w:ind w:right="227"/>
              <w:jc w:val="right"/>
              <w:rPr>
                <w:sz w:val="20"/>
              </w:rPr>
            </w:pPr>
            <w:r>
              <w:rPr>
                <w:sz w:val="20"/>
              </w:rPr>
              <w:t>98,1</w:t>
            </w:r>
          </w:p>
        </w:tc>
        <w:tc>
          <w:tcPr>
            <w:tcW w:w="468" w:type="pct"/>
          </w:tcPr>
          <w:p w:rsidR="00000000" w:rsidRDefault="00000000">
            <w:pPr>
              <w:ind w:right="227"/>
              <w:jc w:val="right"/>
              <w:rPr>
                <w:sz w:val="20"/>
              </w:rPr>
            </w:pPr>
            <w:r>
              <w:rPr>
                <w:sz w:val="20"/>
              </w:rPr>
              <w:t>88,7</w:t>
            </w:r>
          </w:p>
        </w:tc>
        <w:tc>
          <w:tcPr>
            <w:tcW w:w="468" w:type="pct"/>
          </w:tcPr>
          <w:p w:rsidR="00000000" w:rsidRDefault="00000000">
            <w:pPr>
              <w:tabs>
                <w:tab w:val="left" w:pos="638"/>
              </w:tabs>
              <w:ind w:right="227"/>
              <w:jc w:val="right"/>
              <w:rPr>
                <w:sz w:val="20"/>
              </w:rPr>
            </w:pPr>
            <w:r>
              <w:rPr>
                <w:sz w:val="20"/>
              </w:rPr>
              <w:t>98,9</w:t>
            </w:r>
          </w:p>
        </w:tc>
        <w:tc>
          <w:tcPr>
            <w:tcW w:w="468" w:type="pct"/>
          </w:tcPr>
          <w:p w:rsidR="00000000" w:rsidRDefault="00000000">
            <w:pPr>
              <w:tabs>
                <w:tab w:val="left" w:pos="638"/>
              </w:tabs>
              <w:ind w:right="227"/>
              <w:jc w:val="right"/>
              <w:rPr>
                <w:sz w:val="20"/>
              </w:rPr>
            </w:pPr>
            <w:r>
              <w:rPr>
                <w:sz w:val="20"/>
              </w:rPr>
              <w:t>89,8</w:t>
            </w:r>
          </w:p>
        </w:tc>
        <w:tc>
          <w:tcPr>
            <w:tcW w:w="470" w:type="pct"/>
          </w:tcPr>
          <w:p w:rsidR="00000000" w:rsidRDefault="00000000">
            <w:pPr>
              <w:tabs>
                <w:tab w:val="left" w:pos="638"/>
              </w:tabs>
              <w:ind w:right="227"/>
              <w:jc w:val="right"/>
              <w:rPr>
                <w:sz w:val="20"/>
              </w:rPr>
            </w:pPr>
            <w:r>
              <w:rPr>
                <w:sz w:val="20"/>
              </w:rPr>
              <w:t>87,3</w:t>
            </w:r>
          </w:p>
        </w:tc>
        <w:tc>
          <w:tcPr>
            <w:tcW w:w="720" w:type="pct"/>
          </w:tcPr>
          <w:p w:rsidR="00000000" w:rsidRDefault="00000000">
            <w:pPr>
              <w:tabs>
                <w:tab w:val="clear" w:pos="1134"/>
              </w:tabs>
              <w:ind w:right="379"/>
              <w:jc w:val="right"/>
              <w:rPr>
                <w:sz w:val="20"/>
              </w:rPr>
            </w:pPr>
            <w:r>
              <w:rPr>
                <w:sz w:val="20"/>
              </w:rPr>
              <w:t>86,3</w:t>
            </w:r>
          </w:p>
        </w:tc>
      </w:tr>
      <w:tr w:rsidR="00000000">
        <w:tblPrEx>
          <w:tblCellMar>
            <w:top w:w="0" w:type="dxa"/>
            <w:bottom w:w="0" w:type="dxa"/>
          </w:tblCellMar>
        </w:tblPrEx>
        <w:tc>
          <w:tcPr>
            <w:tcW w:w="1003" w:type="pct"/>
          </w:tcPr>
          <w:p w:rsidR="00000000" w:rsidRDefault="00000000">
            <w:pPr>
              <w:rPr>
                <w:sz w:val="20"/>
              </w:rPr>
            </w:pPr>
            <w:r>
              <w:rPr>
                <w:sz w:val="20"/>
              </w:rPr>
              <w:t>Видеомагнитофон</w:t>
            </w:r>
          </w:p>
        </w:tc>
        <w:tc>
          <w:tcPr>
            <w:tcW w:w="468" w:type="pct"/>
          </w:tcPr>
          <w:p w:rsidR="00000000" w:rsidRDefault="00000000">
            <w:pPr>
              <w:tabs>
                <w:tab w:val="clear" w:pos="567"/>
              </w:tabs>
              <w:ind w:right="227"/>
              <w:jc w:val="right"/>
              <w:rPr>
                <w:sz w:val="20"/>
              </w:rPr>
            </w:pPr>
            <w:r>
              <w:rPr>
                <w:sz w:val="20"/>
              </w:rPr>
              <w:t>50,5</w:t>
            </w:r>
          </w:p>
        </w:tc>
        <w:tc>
          <w:tcPr>
            <w:tcW w:w="468" w:type="pct"/>
            <w:gridSpan w:val="2"/>
          </w:tcPr>
          <w:p w:rsidR="00000000" w:rsidRDefault="00000000">
            <w:pPr>
              <w:ind w:right="227"/>
              <w:jc w:val="right"/>
              <w:rPr>
                <w:sz w:val="20"/>
              </w:rPr>
            </w:pPr>
            <w:r>
              <w:rPr>
                <w:sz w:val="20"/>
              </w:rPr>
              <w:t>55,8</w:t>
            </w:r>
          </w:p>
        </w:tc>
        <w:tc>
          <w:tcPr>
            <w:tcW w:w="468" w:type="pct"/>
          </w:tcPr>
          <w:p w:rsidR="00000000" w:rsidRDefault="00000000">
            <w:pPr>
              <w:ind w:right="227"/>
              <w:jc w:val="right"/>
              <w:rPr>
                <w:sz w:val="20"/>
              </w:rPr>
            </w:pPr>
            <w:r>
              <w:rPr>
                <w:sz w:val="20"/>
              </w:rPr>
              <w:t>73,0</w:t>
            </w:r>
          </w:p>
        </w:tc>
        <w:tc>
          <w:tcPr>
            <w:tcW w:w="468" w:type="pct"/>
          </w:tcPr>
          <w:p w:rsidR="00000000" w:rsidRDefault="00000000">
            <w:pPr>
              <w:ind w:right="227"/>
              <w:jc w:val="right"/>
              <w:rPr>
                <w:sz w:val="20"/>
              </w:rPr>
            </w:pPr>
            <w:r>
              <w:rPr>
                <w:sz w:val="20"/>
              </w:rPr>
              <w:t>41,5</w:t>
            </w:r>
          </w:p>
        </w:tc>
        <w:tc>
          <w:tcPr>
            <w:tcW w:w="468" w:type="pct"/>
          </w:tcPr>
          <w:p w:rsidR="00000000" w:rsidRDefault="00000000">
            <w:pPr>
              <w:tabs>
                <w:tab w:val="left" w:pos="638"/>
              </w:tabs>
              <w:ind w:right="227"/>
              <w:jc w:val="right"/>
              <w:rPr>
                <w:sz w:val="20"/>
              </w:rPr>
            </w:pPr>
            <w:r>
              <w:rPr>
                <w:sz w:val="20"/>
              </w:rPr>
              <w:t>83,2</w:t>
            </w:r>
          </w:p>
        </w:tc>
        <w:tc>
          <w:tcPr>
            <w:tcW w:w="468" w:type="pct"/>
          </w:tcPr>
          <w:p w:rsidR="00000000" w:rsidRDefault="00000000">
            <w:pPr>
              <w:tabs>
                <w:tab w:val="left" w:pos="638"/>
              </w:tabs>
              <w:ind w:right="227"/>
              <w:jc w:val="right"/>
              <w:rPr>
                <w:sz w:val="20"/>
              </w:rPr>
            </w:pPr>
            <w:r>
              <w:rPr>
                <w:sz w:val="20"/>
              </w:rPr>
              <w:t>33,2</w:t>
            </w:r>
          </w:p>
        </w:tc>
        <w:tc>
          <w:tcPr>
            <w:tcW w:w="470" w:type="pct"/>
          </w:tcPr>
          <w:p w:rsidR="00000000" w:rsidRDefault="00000000">
            <w:pPr>
              <w:tabs>
                <w:tab w:val="left" w:pos="638"/>
              </w:tabs>
              <w:ind w:right="227"/>
              <w:jc w:val="right"/>
              <w:rPr>
                <w:sz w:val="20"/>
              </w:rPr>
            </w:pPr>
            <w:r>
              <w:rPr>
                <w:sz w:val="20"/>
              </w:rPr>
              <w:t>32,8</w:t>
            </w:r>
          </w:p>
        </w:tc>
        <w:tc>
          <w:tcPr>
            <w:tcW w:w="720" w:type="pct"/>
          </w:tcPr>
          <w:p w:rsidR="00000000" w:rsidRDefault="00000000">
            <w:pPr>
              <w:tabs>
                <w:tab w:val="clear" w:pos="1134"/>
              </w:tabs>
              <w:ind w:right="379"/>
              <w:jc w:val="right"/>
              <w:rPr>
                <w:sz w:val="20"/>
              </w:rPr>
            </w:pPr>
            <w:r>
              <w:rPr>
                <w:sz w:val="20"/>
              </w:rPr>
              <w:t>35,7</w:t>
            </w:r>
          </w:p>
        </w:tc>
      </w:tr>
      <w:tr w:rsidR="00000000">
        <w:tblPrEx>
          <w:tblCellMar>
            <w:top w:w="0" w:type="dxa"/>
            <w:bottom w:w="0" w:type="dxa"/>
          </w:tblCellMar>
        </w:tblPrEx>
        <w:tc>
          <w:tcPr>
            <w:tcW w:w="1003" w:type="pct"/>
          </w:tcPr>
          <w:p w:rsidR="00000000" w:rsidRDefault="00000000">
            <w:pPr>
              <w:rPr>
                <w:sz w:val="20"/>
              </w:rPr>
            </w:pPr>
            <w:r>
              <w:rPr>
                <w:sz w:val="20"/>
              </w:rPr>
              <w:t>Видеокамера</w:t>
            </w:r>
          </w:p>
        </w:tc>
        <w:tc>
          <w:tcPr>
            <w:tcW w:w="468" w:type="pct"/>
          </w:tcPr>
          <w:p w:rsidR="00000000" w:rsidRDefault="00000000">
            <w:pPr>
              <w:tabs>
                <w:tab w:val="clear" w:pos="567"/>
              </w:tabs>
              <w:ind w:right="227"/>
              <w:jc w:val="right"/>
              <w:rPr>
                <w:sz w:val="20"/>
              </w:rPr>
            </w:pPr>
            <w:r>
              <w:rPr>
                <w:sz w:val="20"/>
              </w:rPr>
              <w:t>1,6</w:t>
            </w:r>
          </w:p>
        </w:tc>
        <w:tc>
          <w:tcPr>
            <w:tcW w:w="468" w:type="pct"/>
            <w:gridSpan w:val="2"/>
          </w:tcPr>
          <w:p w:rsidR="00000000" w:rsidRDefault="00000000">
            <w:pPr>
              <w:ind w:right="227"/>
              <w:jc w:val="right"/>
              <w:rPr>
                <w:sz w:val="20"/>
              </w:rPr>
            </w:pPr>
            <w:r>
              <w:rPr>
                <w:sz w:val="20"/>
              </w:rPr>
              <w:t>2,7</w:t>
            </w:r>
          </w:p>
        </w:tc>
        <w:tc>
          <w:tcPr>
            <w:tcW w:w="468" w:type="pct"/>
          </w:tcPr>
          <w:p w:rsidR="00000000" w:rsidRDefault="00000000">
            <w:pPr>
              <w:ind w:right="227"/>
              <w:jc w:val="right"/>
              <w:rPr>
                <w:sz w:val="20"/>
              </w:rPr>
            </w:pPr>
            <w:r>
              <w:rPr>
                <w:sz w:val="20"/>
              </w:rPr>
              <w:t>3,7</w:t>
            </w:r>
          </w:p>
        </w:tc>
        <w:tc>
          <w:tcPr>
            <w:tcW w:w="468" w:type="pct"/>
          </w:tcPr>
          <w:p w:rsidR="00000000" w:rsidRDefault="00000000">
            <w:pPr>
              <w:ind w:right="227"/>
              <w:jc w:val="right"/>
              <w:rPr>
                <w:sz w:val="20"/>
              </w:rPr>
            </w:pPr>
            <w:r>
              <w:rPr>
                <w:sz w:val="20"/>
              </w:rPr>
              <w:t>0,7</w:t>
            </w:r>
          </w:p>
        </w:tc>
        <w:tc>
          <w:tcPr>
            <w:tcW w:w="468" w:type="pct"/>
          </w:tcPr>
          <w:p w:rsidR="00000000" w:rsidRDefault="00000000">
            <w:pPr>
              <w:tabs>
                <w:tab w:val="left" w:pos="638"/>
              </w:tabs>
              <w:ind w:right="227"/>
              <w:jc w:val="right"/>
              <w:rPr>
                <w:sz w:val="20"/>
              </w:rPr>
            </w:pPr>
            <w:r>
              <w:rPr>
                <w:sz w:val="20"/>
              </w:rPr>
              <w:t>11,0</w:t>
            </w:r>
          </w:p>
        </w:tc>
        <w:tc>
          <w:tcPr>
            <w:tcW w:w="468" w:type="pct"/>
          </w:tcPr>
          <w:p w:rsidR="00000000" w:rsidRDefault="00000000">
            <w:pPr>
              <w:tabs>
                <w:tab w:val="left" w:pos="638"/>
              </w:tabs>
              <w:ind w:right="227"/>
              <w:jc w:val="right"/>
              <w:rPr>
                <w:sz w:val="20"/>
              </w:rPr>
            </w:pPr>
            <w:r>
              <w:rPr>
                <w:sz w:val="20"/>
              </w:rPr>
              <w:t>1,0</w:t>
            </w:r>
          </w:p>
        </w:tc>
        <w:tc>
          <w:tcPr>
            <w:tcW w:w="470" w:type="pct"/>
          </w:tcPr>
          <w:p w:rsidR="00000000" w:rsidRDefault="00000000">
            <w:pPr>
              <w:tabs>
                <w:tab w:val="left" w:pos="638"/>
              </w:tabs>
              <w:ind w:right="227"/>
              <w:jc w:val="right"/>
              <w:rPr>
                <w:sz w:val="20"/>
              </w:rPr>
            </w:pPr>
            <w:r>
              <w:rPr>
                <w:sz w:val="20"/>
              </w:rPr>
              <w:t>0,7</w:t>
            </w:r>
          </w:p>
        </w:tc>
        <w:tc>
          <w:tcPr>
            <w:tcW w:w="720" w:type="pct"/>
          </w:tcPr>
          <w:p w:rsidR="00000000" w:rsidRDefault="00000000">
            <w:pPr>
              <w:tabs>
                <w:tab w:val="clear" w:pos="1134"/>
              </w:tabs>
              <w:ind w:right="379"/>
              <w:jc w:val="right"/>
              <w:rPr>
                <w:sz w:val="20"/>
              </w:rPr>
            </w:pPr>
            <w:r>
              <w:rPr>
                <w:sz w:val="20"/>
              </w:rPr>
              <w:t>0,4</w:t>
            </w:r>
          </w:p>
        </w:tc>
      </w:tr>
      <w:tr w:rsidR="00000000">
        <w:tblPrEx>
          <w:tblCellMar>
            <w:top w:w="0" w:type="dxa"/>
            <w:bottom w:w="0" w:type="dxa"/>
          </w:tblCellMar>
        </w:tblPrEx>
        <w:tc>
          <w:tcPr>
            <w:tcW w:w="1003" w:type="pct"/>
          </w:tcPr>
          <w:p w:rsidR="00000000" w:rsidRDefault="00000000">
            <w:pPr>
              <w:rPr>
                <w:sz w:val="20"/>
              </w:rPr>
            </w:pPr>
            <w:r>
              <w:rPr>
                <w:sz w:val="20"/>
              </w:rPr>
              <w:t>Компьютер</w:t>
            </w:r>
          </w:p>
        </w:tc>
        <w:tc>
          <w:tcPr>
            <w:tcW w:w="468" w:type="pct"/>
          </w:tcPr>
          <w:p w:rsidR="00000000" w:rsidRDefault="00000000">
            <w:pPr>
              <w:tabs>
                <w:tab w:val="clear" w:pos="567"/>
              </w:tabs>
              <w:ind w:right="227"/>
              <w:jc w:val="right"/>
              <w:rPr>
                <w:sz w:val="20"/>
              </w:rPr>
            </w:pPr>
            <w:r>
              <w:rPr>
                <w:sz w:val="20"/>
              </w:rPr>
              <w:t>7,7</w:t>
            </w:r>
          </w:p>
        </w:tc>
        <w:tc>
          <w:tcPr>
            <w:tcW w:w="468" w:type="pct"/>
            <w:gridSpan w:val="2"/>
          </w:tcPr>
          <w:p w:rsidR="00000000" w:rsidRDefault="00000000">
            <w:pPr>
              <w:ind w:right="227"/>
              <w:jc w:val="right"/>
              <w:rPr>
                <w:sz w:val="20"/>
              </w:rPr>
            </w:pPr>
            <w:r>
              <w:rPr>
                <w:sz w:val="20"/>
              </w:rPr>
              <w:t>10,2</w:t>
            </w:r>
          </w:p>
        </w:tc>
        <w:tc>
          <w:tcPr>
            <w:tcW w:w="468" w:type="pct"/>
          </w:tcPr>
          <w:p w:rsidR="00000000" w:rsidRDefault="00000000">
            <w:pPr>
              <w:ind w:right="227"/>
              <w:jc w:val="right"/>
              <w:rPr>
                <w:sz w:val="20"/>
              </w:rPr>
            </w:pPr>
            <w:r>
              <w:rPr>
                <w:sz w:val="20"/>
              </w:rPr>
              <w:t>15,9</w:t>
            </w:r>
          </w:p>
        </w:tc>
        <w:tc>
          <w:tcPr>
            <w:tcW w:w="468" w:type="pct"/>
          </w:tcPr>
          <w:p w:rsidR="00000000" w:rsidRDefault="00000000">
            <w:pPr>
              <w:ind w:right="227"/>
              <w:jc w:val="right"/>
              <w:rPr>
                <w:sz w:val="20"/>
              </w:rPr>
            </w:pPr>
            <w:r>
              <w:rPr>
                <w:sz w:val="20"/>
              </w:rPr>
              <w:t>2,8</w:t>
            </w:r>
          </w:p>
        </w:tc>
        <w:tc>
          <w:tcPr>
            <w:tcW w:w="468" w:type="pct"/>
          </w:tcPr>
          <w:p w:rsidR="00000000" w:rsidRDefault="00000000">
            <w:pPr>
              <w:tabs>
                <w:tab w:val="left" w:pos="638"/>
              </w:tabs>
              <w:ind w:right="227"/>
              <w:jc w:val="right"/>
              <w:rPr>
                <w:sz w:val="20"/>
              </w:rPr>
            </w:pPr>
            <w:r>
              <w:rPr>
                <w:sz w:val="20"/>
              </w:rPr>
              <w:t>27,4</w:t>
            </w:r>
          </w:p>
        </w:tc>
        <w:tc>
          <w:tcPr>
            <w:tcW w:w="468" w:type="pct"/>
          </w:tcPr>
          <w:p w:rsidR="00000000" w:rsidRDefault="00000000">
            <w:pPr>
              <w:tabs>
                <w:tab w:val="left" w:pos="638"/>
              </w:tabs>
              <w:ind w:right="227"/>
              <w:jc w:val="right"/>
              <w:rPr>
                <w:sz w:val="20"/>
              </w:rPr>
            </w:pPr>
            <w:r>
              <w:rPr>
                <w:sz w:val="20"/>
              </w:rPr>
              <w:t>2,9</w:t>
            </w:r>
          </w:p>
        </w:tc>
        <w:tc>
          <w:tcPr>
            <w:tcW w:w="470" w:type="pct"/>
          </w:tcPr>
          <w:p w:rsidR="00000000" w:rsidRDefault="00000000">
            <w:pPr>
              <w:tabs>
                <w:tab w:val="left" w:pos="638"/>
              </w:tabs>
              <w:ind w:right="227"/>
              <w:jc w:val="right"/>
              <w:rPr>
                <w:sz w:val="20"/>
              </w:rPr>
            </w:pPr>
            <w:r>
              <w:rPr>
                <w:sz w:val="20"/>
              </w:rPr>
              <w:t>2,9</w:t>
            </w:r>
          </w:p>
        </w:tc>
        <w:tc>
          <w:tcPr>
            <w:tcW w:w="720" w:type="pct"/>
          </w:tcPr>
          <w:p w:rsidR="00000000" w:rsidRDefault="00000000">
            <w:pPr>
              <w:tabs>
                <w:tab w:val="clear" w:pos="1134"/>
              </w:tabs>
              <w:ind w:right="379"/>
              <w:jc w:val="right"/>
              <w:rPr>
                <w:sz w:val="20"/>
              </w:rPr>
            </w:pPr>
            <w:r>
              <w:rPr>
                <w:sz w:val="20"/>
              </w:rPr>
              <w:t>4,7</w:t>
            </w:r>
          </w:p>
        </w:tc>
      </w:tr>
      <w:tr w:rsidR="00000000">
        <w:tblPrEx>
          <w:tblCellMar>
            <w:top w:w="0" w:type="dxa"/>
            <w:bottom w:w="0" w:type="dxa"/>
          </w:tblCellMar>
        </w:tblPrEx>
        <w:tc>
          <w:tcPr>
            <w:tcW w:w="1003" w:type="pct"/>
          </w:tcPr>
          <w:p w:rsidR="00000000" w:rsidRDefault="00000000">
            <w:pPr>
              <w:rPr>
                <w:sz w:val="20"/>
              </w:rPr>
            </w:pPr>
            <w:r>
              <w:rPr>
                <w:sz w:val="20"/>
              </w:rPr>
              <w:t>Автоматическая стиральная машина</w:t>
            </w:r>
          </w:p>
        </w:tc>
        <w:tc>
          <w:tcPr>
            <w:tcW w:w="468" w:type="pct"/>
          </w:tcPr>
          <w:p w:rsidR="00000000" w:rsidRDefault="00000000">
            <w:pPr>
              <w:tabs>
                <w:tab w:val="clear" w:pos="567"/>
              </w:tabs>
              <w:ind w:right="227"/>
              <w:jc w:val="right"/>
              <w:rPr>
                <w:sz w:val="20"/>
              </w:rPr>
            </w:pPr>
            <w:r>
              <w:rPr>
                <w:sz w:val="20"/>
              </w:rPr>
              <w:t>60,9</w:t>
            </w:r>
          </w:p>
        </w:tc>
        <w:tc>
          <w:tcPr>
            <w:tcW w:w="468" w:type="pct"/>
            <w:gridSpan w:val="2"/>
          </w:tcPr>
          <w:p w:rsidR="00000000" w:rsidRDefault="00000000">
            <w:pPr>
              <w:ind w:right="227"/>
              <w:jc w:val="right"/>
              <w:rPr>
                <w:sz w:val="20"/>
              </w:rPr>
            </w:pPr>
            <w:r>
              <w:rPr>
                <w:sz w:val="20"/>
              </w:rPr>
              <w:t>67,9</w:t>
            </w:r>
          </w:p>
        </w:tc>
        <w:tc>
          <w:tcPr>
            <w:tcW w:w="468" w:type="pct"/>
          </w:tcPr>
          <w:p w:rsidR="00000000" w:rsidRDefault="00000000">
            <w:pPr>
              <w:ind w:right="227"/>
              <w:jc w:val="right"/>
              <w:rPr>
                <w:sz w:val="20"/>
              </w:rPr>
            </w:pPr>
            <w:r>
              <w:rPr>
                <w:sz w:val="20"/>
              </w:rPr>
              <w:t>81,3</w:t>
            </w:r>
          </w:p>
        </w:tc>
        <w:tc>
          <w:tcPr>
            <w:tcW w:w="468" w:type="pct"/>
          </w:tcPr>
          <w:p w:rsidR="00000000" w:rsidRDefault="00000000">
            <w:pPr>
              <w:ind w:right="227"/>
              <w:jc w:val="right"/>
              <w:rPr>
                <w:sz w:val="20"/>
              </w:rPr>
            </w:pPr>
            <w:r>
              <w:rPr>
                <w:sz w:val="20"/>
              </w:rPr>
              <w:t>42,6</w:t>
            </w:r>
          </w:p>
        </w:tc>
        <w:tc>
          <w:tcPr>
            <w:tcW w:w="468" w:type="pct"/>
          </w:tcPr>
          <w:p w:rsidR="00000000" w:rsidRDefault="00000000">
            <w:pPr>
              <w:tabs>
                <w:tab w:val="left" w:pos="638"/>
              </w:tabs>
              <w:ind w:right="227"/>
              <w:jc w:val="right"/>
              <w:rPr>
                <w:sz w:val="20"/>
              </w:rPr>
            </w:pPr>
            <w:r>
              <w:rPr>
                <w:sz w:val="20"/>
              </w:rPr>
              <w:t>91,1</w:t>
            </w:r>
          </w:p>
        </w:tc>
        <w:tc>
          <w:tcPr>
            <w:tcW w:w="468" w:type="pct"/>
          </w:tcPr>
          <w:p w:rsidR="00000000" w:rsidRDefault="00000000">
            <w:pPr>
              <w:tabs>
                <w:tab w:val="left" w:pos="638"/>
              </w:tabs>
              <w:ind w:right="227"/>
              <w:jc w:val="right"/>
              <w:rPr>
                <w:sz w:val="20"/>
              </w:rPr>
            </w:pPr>
            <w:r>
              <w:rPr>
                <w:sz w:val="20"/>
              </w:rPr>
              <w:t>59,7</w:t>
            </w:r>
          </w:p>
        </w:tc>
        <w:tc>
          <w:tcPr>
            <w:tcW w:w="470" w:type="pct"/>
          </w:tcPr>
          <w:p w:rsidR="00000000" w:rsidRDefault="00000000">
            <w:pPr>
              <w:tabs>
                <w:tab w:val="left" w:pos="638"/>
              </w:tabs>
              <w:ind w:right="227"/>
              <w:jc w:val="right"/>
              <w:rPr>
                <w:sz w:val="20"/>
              </w:rPr>
            </w:pPr>
            <w:r>
              <w:rPr>
                <w:sz w:val="20"/>
              </w:rPr>
              <w:t>49,5</w:t>
            </w:r>
          </w:p>
        </w:tc>
        <w:tc>
          <w:tcPr>
            <w:tcW w:w="720" w:type="pct"/>
          </w:tcPr>
          <w:p w:rsidR="00000000" w:rsidRDefault="00000000">
            <w:pPr>
              <w:tabs>
                <w:tab w:val="clear" w:pos="1134"/>
              </w:tabs>
              <w:ind w:right="379"/>
              <w:jc w:val="right"/>
              <w:rPr>
                <w:sz w:val="20"/>
              </w:rPr>
            </w:pPr>
            <w:r>
              <w:rPr>
                <w:sz w:val="20"/>
              </w:rPr>
              <w:t>48,0</w:t>
            </w:r>
          </w:p>
        </w:tc>
      </w:tr>
      <w:tr w:rsidR="00000000">
        <w:tblPrEx>
          <w:tblCellMar>
            <w:top w:w="0" w:type="dxa"/>
            <w:bottom w:w="0" w:type="dxa"/>
          </w:tblCellMar>
        </w:tblPrEx>
        <w:tc>
          <w:tcPr>
            <w:tcW w:w="1003" w:type="pct"/>
          </w:tcPr>
          <w:p w:rsidR="00000000" w:rsidRDefault="00000000">
            <w:pPr>
              <w:rPr>
                <w:sz w:val="20"/>
              </w:rPr>
            </w:pPr>
            <w:r>
              <w:rPr>
                <w:sz w:val="20"/>
              </w:rPr>
              <w:t>Холодильник</w:t>
            </w:r>
          </w:p>
        </w:tc>
        <w:tc>
          <w:tcPr>
            <w:tcW w:w="468" w:type="pct"/>
          </w:tcPr>
          <w:p w:rsidR="00000000" w:rsidRDefault="00000000">
            <w:pPr>
              <w:tabs>
                <w:tab w:val="clear" w:pos="567"/>
              </w:tabs>
              <w:ind w:right="227"/>
              <w:jc w:val="right"/>
              <w:rPr>
                <w:sz w:val="20"/>
              </w:rPr>
            </w:pPr>
            <w:r>
              <w:rPr>
                <w:sz w:val="20"/>
              </w:rPr>
              <w:t>97,4</w:t>
            </w:r>
          </w:p>
        </w:tc>
        <w:tc>
          <w:tcPr>
            <w:tcW w:w="468" w:type="pct"/>
            <w:gridSpan w:val="2"/>
          </w:tcPr>
          <w:p w:rsidR="00000000" w:rsidRDefault="00000000">
            <w:pPr>
              <w:ind w:right="227"/>
              <w:jc w:val="right"/>
              <w:rPr>
                <w:sz w:val="20"/>
              </w:rPr>
            </w:pPr>
            <w:r>
              <w:rPr>
                <w:sz w:val="20"/>
              </w:rPr>
              <w:t>98,0</w:t>
            </w:r>
          </w:p>
        </w:tc>
        <w:tc>
          <w:tcPr>
            <w:tcW w:w="468" w:type="pct"/>
          </w:tcPr>
          <w:p w:rsidR="00000000" w:rsidRDefault="00000000">
            <w:pPr>
              <w:ind w:right="227"/>
              <w:jc w:val="right"/>
              <w:rPr>
                <w:sz w:val="20"/>
              </w:rPr>
            </w:pPr>
            <w:r>
              <w:rPr>
                <w:sz w:val="20"/>
              </w:rPr>
              <w:t>98,5</w:t>
            </w:r>
          </w:p>
        </w:tc>
        <w:tc>
          <w:tcPr>
            <w:tcW w:w="468" w:type="pct"/>
          </w:tcPr>
          <w:p w:rsidR="00000000" w:rsidRDefault="00000000">
            <w:pPr>
              <w:ind w:right="227"/>
              <w:jc w:val="right"/>
              <w:rPr>
                <w:sz w:val="20"/>
              </w:rPr>
            </w:pPr>
            <w:r>
              <w:rPr>
                <w:sz w:val="20"/>
              </w:rPr>
              <w:t>98,0</w:t>
            </w:r>
          </w:p>
        </w:tc>
        <w:tc>
          <w:tcPr>
            <w:tcW w:w="468" w:type="pct"/>
          </w:tcPr>
          <w:p w:rsidR="00000000" w:rsidRDefault="00000000">
            <w:pPr>
              <w:tabs>
                <w:tab w:val="left" w:pos="638"/>
              </w:tabs>
              <w:ind w:right="227"/>
              <w:jc w:val="right"/>
              <w:rPr>
                <w:sz w:val="20"/>
              </w:rPr>
            </w:pPr>
            <w:r>
              <w:rPr>
                <w:sz w:val="20"/>
              </w:rPr>
              <w:t>98,7</w:t>
            </w:r>
          </w:p>
        </w:tc>
        <w:tc>
          <w:tcPr>
            <w:tcW w:w="468" w:type="pct"/>
          </w:tcPr>
          <w:p w:rsidR="00000000" w:rsidRDefault="00000000">
            <w:pPr>
              <w:tabs>
                <w:tab w:val="left" w:pos="638"/>
              </w:tabs>
              <w:ind w:right="227"/>
              <w:jc w:val="right"/>
              <w:rPr>
                <w:sz w:val="20"/>
              </w:rPr>
            </w:pPr>
            <w:r>
              <w:rPr>
                <w:sz w:val="20"/>
              </w:rPr>
              <w:t>97,7</w:t>
            </w:r>
          </w:p>
        </w:tc>
        <w:tc>
          <w:tcPr>
            <w:tcW w:w="470" w:type="pct"/>
          </w:tcPr>
          <w:p w:rsidR="00000000" w:rsidRDefault="00000000">
            <w:pPr>
              <w:tabs>
                <w:tab w:val="left" w:pos="638"/>
              </w:tabs>
              <w:ind w:right="227"/>
              <w:jc w:val="right"/>
              <w:rPr>
                <w:sz w:val="20"/>
              </w:rPr>
            </w:pPr>
            <w:r>
              <w:rPr>
                <w:sz w:val="20"/>
              </w:rPr>
              <w:t>96,9</w:t>
            </w:r>
          </w:p>
        </w:tc>
        <w:tc>
          <w:tcPr>
            <w:tcW w:w="720" w:type="pct"/>
          </w:tcPr>
          <w:p w:rsidR="00000000" w:rsidRDefault="00000000">
            <w:pPr>
              <w:tabs>
                <w:tab w:val="clear" w:pos="1134"/>
              </w:tabs>
              <w:ind w:right="379"/>
              <w:jc w:val="right"/>
              <w:rPr>
                <w:sz w:val="20"/>
              </w:rPr>
            </w:pPr>
            <w:r>
              <w:rPr>
                <w:sz w:val="20"/>
              </w:rPr>
              <w:t>94,4</w:t>
            </w:r>
          </w:p>
        </w:tc>
      </w:tr>
      <w:tr w:rsidR="00000000">
        <w:tblPrEx>
          <w:tblCellMar>
            <w:top w:w="0" w:type="dxa"/>
            <w:bottom w:w="0" w:type="dxa"/>
          </w:tblCellMar>
        </w:tblPrEx>
        <w:tc>
          <w:tcPr>
            <w:tcW w:w="1003" w:type="pct"/>
          </w:tcPr>
          <w:p w:rsidR="00000000" w:rsidRDefault="00000000">
            <w:pPr>
              <w:rPr>
                <w:sz w:val="20"/>
              </w:rPr>
            </w:pPr>
            <w:r>
              <w:rPr>
                <w:sz w:val="20"/>
              </w:rPr>
              <w:t>Пылесос</w:t>
            </w:r>
          </w:p>
        </w:tc>
        <w:tc>
          <w:tcPr>
            <w:tcW w:w="468" w:type="pct"/>
          </w:tcPr>
          <w:p w:rsidR="00000000" w:rsidRDefault="00000000">
            <w:pPr>
              <w:tabs>
                <w:tab w:val="clear" w:pos="567"/>
              </w:tabs>
              <w:ind w:right="227"/>
              <w:jc w:val="right"/>
              <w:rPr>
                <w:sz w:val="20"/>
              </w:rPr>
            </w:pPr>
            <w:r>
              <w:rPr>
                <w:sz w:val="20"/>
              </w:rPr>
              <w:t>91,9</w:t>
            </w:r>
          </w:p>
        </w:tc>
        <w:tc>
          <w:tcPr>
            <w:tcW w:w="468" w:type="pct"/>
            <w:gridSpan w:val="2"/>
          </w:tcPr>
          <w:p w:rsidR="00000000" w:rsidRDefault="00000000">
            <w:pPr>
              <w:ind w:right="227"/>
              <w:jc w:val="right"/>
              <w:rPr>
                <w:sz w:val="20"/>
              </w:rPr>
            </w:pPr>
            <w:r>
              <w:rPr>
                <w:sz w:val="20"/>
              </w:rPr>
              <w:t>92,4</w:t>
            </w:r>
          </w:p>
        </w:tc>
        <w:tc>
          <w:tcPr>
            <w:tcW w:w="468" w:type="pct"/>
          </w:tcPr>
          <w:p w:rsidR="00000000" w:rsidRDefault="00000000">
            <w:pPr>
              <w:ind w:right="227"/>
              <w:jc w:val="right"/>
              <w:rPr>
                <w:sz w:val="20"/>
              </w:rPr>
            </w:pPr>
            <w:r>
              <w:rPr>
                <w:sz w:val="20"/>
              </w:rPr>
              <w:t>96,3</w:t>
            </w:r>
          </w:p>
        </w:tc>
        <w:tc>
          <w:tcPr>
            <w:tcW w:w="468" w:type="pct"/>
          </w:tcPr>
          <w:p w:rsidR="00000000" w:rsidRDefault="00000000">
            <w:pPr>
              <w:ind w:right="227"/>
              <w:jc w:val="right"/>
              <w:rPr>
                <w:sz w:val="20"/>
              </w:rPr>
            </w:pPr>
            <w:r>
              <w:rPr>
                <w:sz w:val="20"/>
              </w:rPr>
              <w:t>85,8</w:t>
            </w:r>
          </w:p>
        </w:tc>
        <w:tc>
          <w:tcPr>
            <w:tcW w:w="468" w:type="pct"/>
          </w:tcPr>
          <w:p w:rsidR="00000000" w:rsidRDefault="00000000">
            <w:pPr>
              <w:tabs>
                <w:tab w:val="left" w:pos="638"/>
              </w:tabs>
              <w:ind w:right="227"/>
              <w:jc w:val="right"/>
              <w:rPr>
                <w:sz w:val="20"/>
              </w:rPr>
            </w:pPr>
            <w:r>
              <w:rPr>
                <w:sz w:val="20"/>
              </w:rPr>
              <w:t>97,6</w:t>
            </w:r>
          </w:p>
        </w:tc>
        <w:tc>
          <w:tcPr>
            <w:tcW w:w="468" w:type="pct"/>
          </w:tcPr>
          <w:p w:rsidR="00000000" w:rsidRDefault="00000000">
            <w:pPr>
              <w:tabs>
                <w:tab w:val="left" w:pos="638"/>
              </w:tabs>
              <w:ind w:right="227"/>
              <w:jc w:val="right"/>
              <w:rPr>
                <w:sz w:val="20"/>
              </w:rPr>
            </w:pPr>
            <w:r>
              <w:rPr>
                <w:sz w:val="20"/>
              </w:rPr>
              <w:t>89,6</w:t>
            </w:r>
          </w:p>
        </w:tc>
        <w:tc>
          <w:tcPr>
            <w:tcW w:w="470" w:type="pct"/>
          </w:tcPr>
          <w:p w:rsidR="00000000" w:rsidRDefault="00000000">
            <w:pPr>
              <w:tabs>
                <w:tab w:val="left" w:pos="638"/>
              </w:tabs>
              <w:ind w:right="227"/>
              <w:jc w:val="right"/>
              <w:rPr>
                <w:sz w:val="20"/>
              </w:rPr>
            </w:pPr>
            <w:r>
              <w:rPr>
                <w:sz w:val="20"/>
              </w:rPr>
              <w:t>86,0</w:t>
            </w:r>
          </w:p>
        </w:tc>
        <w:tc>
          <w:tcPr>
            <w:tcW w:w="720" w:type="pct"/>
          </w:tcPr>
          <w:p w:rsidR="00000000" w:rsidRDefault="00000000">
            <w:pPr>
              <w:tabs>
                <w:tab w:val="clear" w:pos="1134"/>
              </w:tabs>
              <w:ind w:right="379"/>
              <w:jc w:val="right"/>
              <w:rPr>
                <w:sz w:val="20"/>
              </w:rPr>
            </w:pPr>
            <w:r>
              <w:rPr>
                <w:sz w:val="20"/>
              </w:rPr>
              <w:t>83,7</w:t>
            </w:r>
          </w:p>
        </w:tc>
      </w:tr>
      <w:tr w:rsidR="00000000">
        <w:tblPrEx>
          <w:tblCellMar>
            <w:top w:w="0" w:type="dxa"/>
            <w:bottom w:w="0" w:type="dxa"/>
          </w:tblCellMar>
        </w:tblPrEx>
        <w:tc>
          <w:tcPr>
            <w:tcW w:w="1003" w:type="pct"/>
          </w:tcPr>
          <w:p w:rsidR="00000000" w:rsidRDefault="00000000">
            <w:pPr>
              <w:rPr>
                <w:sz w:val="20"/>
              </w:rPr>
            </w:pPr>
            <w:r>
              <w:rPr>
                <w:sz w:val="20"/>
              </w:rPr>
              <w:t>Швейная машинка</w:t>
            </w:r>
          </w:p>
        </w:tc>
        <w:tc>
          <w:tcPr>
            <w:tcW w:w="468" w:type="pct"/>
          </w:tcPr>
          <w:p w:rsidR="00000000" w:rsidRDefault="00000000">
            <w:pPr>
              <w:tabs>
                <w:tab w:val="clear" w:pos="567"/>
              </w:tabs>
              <w:ind w:right="227"/>
              <w:jc w:val="right"/>
              <w:rPr>
                <w:sz w:val="20"/>
              </w:rPr>
            </w:pPr>
            <w:r>
              <w:rPr>
                <w:sz w:val="20"/>
              </w:rPr>
              <w:t>54,5</w:t>
            </w:r>
          </w:p>
        </w:tc>
        <w:tc>
          <w:tcPr>
            <w:tcW w:w="468" w:type="pct"/>
            <w:gridSpan w:val="2"/>
          </w:tcPr>
          <w:p w:rsidR="00000000" w:rsidRDefault="00000000">
            <w:pPr>
              <w:ind w:right="227"/>
              <w:jc w:val="right"/>
              <w:rPr>
                <w:sz w:val="20"/>
              </w:rPr>
            </w:pPr>
            <w:r>
              <w:rPr>
                <w:sz w:val="20"/>
              </w:rPr>
              <w:t>46,7</w:t>
            </w:r>
          </w:p>
        </w:tc>
        <w:tc>
          <w:tcPr>
            <w:tcW w:w="468" w:type="pct"/>
          </w:tcPr>
          <w:p w:rsidR="00000000" w:rsidRDefault="00000000">
            <w:pPr>
              <w:ind w:right="227"/>
              <w:jc w:val="right"/>
              <w:rPr>
                <w:sz w:val="20"/>
              </w:rPr>
            </w:pPr>
            <w:r>
              <w:rPr>
                <w:sz w:val="20"/>
              </w:rPr>
              <w:t>44,7</w:t>
            </w:r>
          </w:p>
        </w:tc>
        <w:tc>
          <w:tcPr>
            <w:tcW w:w="468" w:type="pct"/>
          </w:tcPr>
          <w:p w:rsidR="00000000" w:rsidRDefault="00000000">
            <w:pPr>
              <w:ind w:right="227"/>
              <w:jc w:val="right"/>
              <w:rPr>
                <w:sz w:val="20"/>
              </w:rPr>
            </w:pPr>
            <w:r>
              <w:rPr>
                <w:sz w:val="20"/>
              </w:rPr>
              <w:t>54,2</w:t>
            </w:r>
          </w:p>
        </w:tc>
        <w:tc>
          <w:tcPr>
            <w:tcW w:w="468" w:type="pct"/>
          </w:tcPr>
          <w:p w:rsidR="00000000" w:rsidRDefault="00000000">
            <w:pPr>
              <w:tabs>
                <w:tab w:val="left" w:pos="638"/>
              </w:tabs>
              <w:ind w:right="227"/>
              <w:jc w:val="right"/>
              <w:rPr>
                <w:sz w:val="20"/>
              </w:rPr>
            </w:pPr>
            <w:r>
              <w:rPr>
                <w:sz w:val="20"/>
              </w:rPr>
              <w:t>48,7</w:t>
            </w:r>
          </w:p>
        </w:tc>
        <w:tc>
          <w:tcPr>
            <w:tcW w:w="468" w:type="pct"/>
          </w:tcPr>
          <w:p w:rsidR="00000000" w:rsidRDefault="00000000">
            <w:pPr>
              <w:tabs>
                <w:tab w:val="left" w:pos="638"/>
              </w:tabs>
              <w:ind w:right="227"/>
              <w:jc w:val="right"/>
              <w:rPr>
                <w:sz w:val="20"/>
              </w:rPr>
            </w:pPr>
            <w:r>
              <w:rPr>
                <w:sz w:val="20"/>
              </w:rPr>
              <w:t>48,1</w:t>
            </w:r>
          </w:p>
        </w:tc>
        <w:tc>
          <w:tcPr>
            <w:tcW w:w="470" w:type="pct"/>
          </w:tcPr>
          <w:p w:rsidR="00000000" w:rsidRDefault="00000000">
            <w:pPr>
              <w:tabs>
                <w:tab w:val="left" w:pos="638"/>
              </w:tabs>
              <w:ind w:right="227"/>
              <w:jc w:val="right"/>
              <w:rPr>
                <w:sz w:val="20"/>
              </w:rPr>
            </w:pPr>
            <w:r>
              <w:rPr>
                <w:sz w:val="20"/>
              </w:rPr>
              <w:t>43,0</w:t>
            </w:r>
          </w:p>
        </w:tc>
        <w:tc>
          <w:tcPr>
            <w:tcW w:w="720" w:type="pct"/>
          </w:tcPr>
          <w:p w:rsidR="00000000" w:rsidRDefault="00000000">
            <w:pPr>
              <w:tabs>
                <w:tab w:val="clear" w:pos="1134"/>
              </w:tabs>
              <w:ind w:right="379"/>
              <w:jc w:val="right"/>
              <w:rPr>
                <w:sz w:val="20"/>
              </w:rPr>
            </w:pPr>
            <w:r>
              <w:rPr>
                <w:sz w:val="20"/>
              </w:rPr>
              <w:t>24,1</w:t>
            </w:r>
          </w:p>
        </w:tc>
      </w:tr>
      <w:tr w:rsidR="00000000">
        <w:tblPrEx>
          <w:tblCellMar>
            <w:top w:w="0" w:type="dxa"/>
            <w:bottom w:w="0" w:type="dxa"/>
          </w:tblCellMar>
        </w:tblPrEx>
        <w:tc>
          <w:tcPr>
            <w:tcW w:w="1003" w:type="pct"/>
          </w:tcPr>
          <w:p w:rsidR="00000000" w:rsidRDefault="00000000">
            <w:pPr>
              <w:rPr>
                <w:sz w:val="20"/>
              </w:rPr>
            </w:pPr>
            <w:r>
              <w:rPr>
                <w:sz w:val="20"/>
              </w:rPr>
              <w:t>Автомобиль</w:t>
            </w:r>
          </w:p>
        </w:tc>
        <w:tc>
          <w:tcPr>
            <w:tcW w:w="468" w:type="pct"/>
          </w:tcPr>
          <w:p w:rsidR="00000000" w:rsidRDefault="00000000">
            <w:pPr>
              <w:tabs>
                <w:tab w:val="clear" w:pos="567"/>
              </w:tabs>
              <w:ind w:right="227"/>
              <w:jc w:val="right"/>
              <w:rPr>
                <w:sz w:val="20"/>
              </w:rPr>
            </w:pPr>
            <w:r>
              <w:rPr>
                <w:sz w:val="20"/>
              </w:rPr>
              <w:t>39,4</w:t>
            </w:r>
          </w:p>
        </w:tc>
        <w:tc>
          <w:tcPr>
            <w:tcW w:w="468" w:type="pct"/>
            <w:gridSpan w:val="2"/>
          </w:tcPr>
          <w:p w:rsidR="00000000" w:rsidRDefault="00000000">
            <w:pPr>
              <w:ind w:right="227"/>
              <w:jc w:val="right"/>
              <w:rPr>
                <w:sz w:val="20"/>
              </w:rPr>
            </w:pPr>
            <w:r>
              <w:rPr>
                <w:sz w:val="20"/>
              </w:rPr>
              <w:t>44,5</w:t>
            </w:r>
          </w:p>
        </w:tc>
        <w:tc>
          <w:tcPr>
            <w:tcW w:w="468" w:type="pct"/>
          </w:tcPr>
          <w:p w:rsidR="00000000" w:rsidRDefault="00000000">
            <w:pPr>
              <w:ind w:right="227"/>
              <w:jc w:val="right"/>
              <w:rPr>
                <w:sz w:val="20"/>
              </w:rPr>
            </w:pPr>
            <w:r>
              <w:rPr>
                <w:sz w:val="20"/>
              </w:rPr>
              <w:t>50,3</w:t>
            </w:r>
          </w:p>
        </w:tc>
        <w:tc>
          <w:tcPr>
            <w:tcW w:w="468" w:type="pct"/>
          </w:tcPr>
          <w:p w:rsidR="00000000" w:rsidRDefault="00000000">
            <w:pPr>
              <w:ind w:right="227"/>
              <w:jc w:val="right"/>
              <w:rPr>
                <w:sz w:val="20"/>
              </w:rPr>
            </w:pPr>
            <w:r>
              <w:rPr>
                <w:sz w:val="20"/>
              </w:rPr>
              <w:t>66,8</w:t>
            </w:r>
          </w:p>
        </w:tc>
        <w:tc>
          <w:tcPr>
            <w:tcW w:w="468" w:type="pct"/>
          </w:tcPr>
          <w:p w:rsidR="00000000" w:rsidRDefault="00000000">
            <w:pPr>
              <w:tabs>
                <w:tab w:val="left" w:pos="638"/>
              </w:tabs>
              <w:ind w:right="227"/>
              <w:jc w:val="right"/>
              <w:rPr>
                <w:sz w:val="20"/>
              </w:rPr>
            </w:pPr>
            <w:r>
              <w:rPr>
                <w:sz w:val="20"/>
              </w:rPr>
              <w:t>82,9</w:t>
            </w:r>
          </w:p>
        </w:tc>
        <w:tc>
          <w:tcPr>
            <w:tcW w:w="468" w:type="pct"/>
          </w:tcPr>
          <w:p w:rsidR="00000000" w:rsidRDefault="00000000">
            <w:pPr>
              <w:tabs>
                <w:tab w:val="left" w:pos="638"/>
              </w:tabs>
              <w:ind w:right="227"/>
              <w:jc w:val="right"/>
              <w:rPr>
                <w:sz w:val="20"/>
              </w:rPr>
            </w:pPr>
            <w:r>
              <w:rPr>
                <w:sz w:val="20"/>
              </w:rPr>
              <w:t>25,9</w:t>
            </w:r>
          </w:p>
        </w:tc>
        <w:tc>
          <w:tcPr>
            <w:tcW w:w="470" w:type="pct"/>
          </w:tcPr>
          <w:p w:rsidR="00000000" w:rsidRDefault="00000000">
            <w:pPr>
              <w:tabs>
                <w:tab w:val="left" w:pos="638"/>
              </w:tabs>
              <w:ind w:right="227"/>
              <w:jc w:val="right"/>
              <w:rPr>
                <w:sz w:val="20"/>
              </w:rPr>
            </w:pPr>
            <w:r>
              <w:rPr>
                <w:sz w:val="20"/>
              </w:rPr>
              <w:t>20,6</w:t>
            </w:r>
          </w:p>
        </w:tc>
        <w:tc>
          <w:tcPr>
            <w:tcW w:w="720" w:type="pct"/>
          </w:tcPr>
          <w:p w:rsidR="00000000" w:rsidRDefault="00000000">
            <w:pPr>
              <w:tabs>
                <w:tab w:val="clear" w:pos="1134"/>
              </w:tabs>
              <w:ind w:right="379"/>
              <w:jc w:val="right"/>
              <w:rPr>
                <w:sz w:val="20"/>
              </w:rPr>
            </w:pPr>
            <w:r>
              <w:rPr>
                <w:sz w:val="20"/>
              </w:rPr>
              <w:t>14,8</w:t>
            </w:r>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Данные Главного управления статистики.</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br w:type="page"/>
        <w:t>В.</w:t>
      </w:r>
      <w:r>
        <w:rPr>
          <w:b/>
          <w:bCs/>
        </w:rPr>
        <w:tab/>
        <w:t>Право на достаточное питание</w:t>
      </w:r>
    </w:p>
    <w:p w:rsidR="00000000" w:rsidRDefault="00000000">
      <w:pPr>
        <w:pStyle w:val="FootnoteText"/>
        <w:spacing w:line="288" w:lineRule="auto"/>
        <w:jc w:val="center"/>
        <w:rPr>
          <w:b/>
          <w:bCs/>
        </w:rPr>
      </w:pPr>
    </w:p>
    <w:p w:rsidR="00000000" w:rsidRDefault="00000000">
      <w:pPr>
        <w:pStyle w:val="FootnoteText"/>
        <w:spacing w:line="288" w:lineRule="auto"/>
        <w:ind w:left="1134" w:hanging="1134"/>
      </w:pPr>
      <w:r>
        <w:rPr>
          <w:b/>
          <w:bCs/>
        </w:rPr>
        <w:tab/>
        <w:t>1.</w:t>
      </w:r>
      <w:r>
        <w:rPr>
          <w:b/>
          <w:bCs/>
        </w:rPr>
        <w:tab/>
        <w:t>Степень реализации права на достаточное питание;  источники информации</w:t>
      </w:r>
    </w:p>
    <w:p w:rsidR="00000000" w:rsidRDefault="00000000">
      <w:pPr>
        <w:pStyle w:val="FootnoteText"/>
        <w:spacing w:line="288" w:lineRule="auto"/>
      </w:pPr>
    </w:p>
    <w:p w:rsidR="00000000" w:rsidRDefault="00000000">
      <w:r>
        <w:t>227.</w:t>
      </w:r>
      <w:r>
        <w:tab/>
        <w:t>В таблице 21 выше указаны данные, касающиеся реальных возможностей населения в плане приобретения продовольствия.  В 1996 году расходы на приобретение продовольствия (за исключением спиртных напитков) составляли в среднем 37,8% общих расходов домохозяйств (однако лишь 27% общих потребительских расходов по широкому определению), а в 1997 году - 36,0% общих расходов.  Свыше 58% общих расходов в 1998 году составляли затраты на непродовольственные товары и услуги (в том числе 22% - расходы на жилье, 6,9% - расходы на одежду и обувь, 2,0% - расходы на табачные изделия, 2,0% - на образование, 3,8% - на здравоохранение, 3,2% - на средства личной гигиены, 5,5% - на культуру, спорт и отдых и 9,8% - на транспорт и связь).  Содержащиеся в предыдущем докладе оценки, представленные самими домохозяйствами, оставались точными в период 1995-1998 годов (см. представленные в упомянутом докладе таблицы, согласно которым не более 34,8% домохозяйств сообщили о том, что их продовольственные потребности удовлетворяются хорошо или достаточно хорошо, в то время как 26,8% высказались по данному вопросу довольно негативно, а самая отрицательная оценка была дана 7,4% этой группы).  Тем не менее общую тенденцию после 1989 года можно оценить положительно, поскольку доля заработной платы расходуемая на продовольствие, уменьшалась (что косвенно свидетельствует о росте объема имеющегося в продаже продовольствия), а доля лиц, негативно оценивающих степень удовлетворения их продовольственных потребностей, будет неуклонно уменьшаться.  Приведенные ниже данные также указывают на замедление роста цен на продовольствие, а по некоторым группам товаров цены уже растут менее высокими темпами по сравнению с инфляцией.</w:t>
      </w:r>
    </w:p>
    <w:p w:rsidR="00000000" w:rsidRDefault="00000000"/>
    <w:p w:rsidR="00000000" w:rsidRDefault="00000000">
      <w:pPr>
        <w:pStyle w:val="BodyText"/>
        <w:spacing w:line="288" w:lineRule="auto"/>
        <w:jc w:val="center"/>
      </w:pPr>
      <w:r>
        <w:rPr>
          <w:b w:val="0"/>
          <w:bCs w:val="0"/>
          <w:u w:val="single"/>
        </w:rPr>
        <w:t>Таблица 23</w:t>
      </w:r>
      <w:r>
        <w:rPr>
          <w:b w:val="0"/>
          <w:bCs w:val="0"/>
        </w:rPr>
        <w:t xml:space="preserve">.   </w:t>
      </w:r>
      <w:r>
        <w:rPr>
          <w:b w:val="0"/>
          <w:bCs w:val="0"/>
          <w:u w:val="single"/>
        </w:rPr>
        <w:t xml:space="preserve">Индексы цен на продовольствие и спиртные напитки в 1995-1998 годах </w:t>
      </w:r>
      <w:r>
        <w:rPr>
          <w:b w:val="0"/>
          <w:bCs w:val="0"/>
        </w:rPr>
        <w:t>(</w:t>
      </w:r>
      <w:r>
        <w:rPr>
          <w:b w:val="0"/>
          <w:bCs w:val="0"/>
          <w:u w:val="single"/>
        </w:rPr>
        <w:t>предыдущий год = 100</w:t>
      </w:r>
      <w:r>
        <w:t>)</w:t>
      </w:r>
    </w:p>
    <w:p w:rsidR="00000000" w:rsidRDefault="00000000">
      <w:pPr>
        <w:pStyle w:val="BodyText"/>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1108"/>
        <w:gridCol w:w="1109"/>
        <w:gridCol w:w="1108"/>
        <w:gridCol w:w="1109"/>
      </w:tblGrid>
      <w:tr w:rsidR="00000000">
        <w:tblPrEx>
          <w:tblCellMar>
            <w:top w:w="0" w:type="dxa"/>
            <w:bottom w:w="0" w:type="dxa"/>
          </w:tblCellMar>
        </w:tblPrEx>
        <w:trPr>
          <w:tblHeader/>
        </w:trPr>
        <w:tc>
          <w:tcPr>
            <w:tcW w:w="4820" w:type="dxa"/>
            <w:tcBorders>
              <w:bottom w:val="single" w:sz="4" w:space="0" w:color="auto"/>
            </w:tcBorders>
          </w:tcPr>
          <w:p w:rsidR="00000000" w:rsidRDefault="00000000">
            <w:r>
              <w:t>Год</w:t>
            </w:r>
          </w:p>
        </w:tc>
        <w:tc>
          <w:tcPr>
            <w:tcW w:w="1108" w:type="dxa"/>
            <w:tcBorders>
              <w:bottom w:val="single" w:sz="4" w:space="0" w:color="auto"/>
            </w:tcBorders>
          </w:tcPr>
          <w:p w:rsidR="00000000" w:rsidRDefault="00000000">
            <w:pPr>
              <w:jc w:val="center"/>
            </w:pPr>
            <w:r>
              <w:t>1995</w:t>
            </w:r>
          </w:p>
        </w:tc>
        <w:tc>
          <w:tcPr>
            <w:tcW w:w="1109" w:type="dxa"/>
            <w:tcBorders>
              <w:bottom w:val="single" w:sz="4" w:space="0" w:color="auto"/>
            </w:tcBorders>
          </w:tcPr>
          <w:p w:rsidR="00000000" w:rsidRDefault="00000000">
            <w:pPr>
              <w:jc w:val="center"/>
            </w:pPr>
            <w:r>
              <w:t>1996</w:t>
            </w:r>
          </w:p>
        </w:tc>
        <w:tc>
          <w:tcPr>
            <w:tcW w:w="1108" w:type="dxa"/>
            <w:tcBorders>
              <w:bottom w:val="single" w:sz="4" w:space="0" w:color="auto"/>
            </w:tcBorders>
          </w:tcPr>
          <w:p w:rsidR="00000000" w:rsidRDefault="00000000">
            <w:pPr>
              <w:jc w:val="center"/>
            </w:pPr>
            <w:r>
              <w:t>1997</w:t>
            </w:r>
          </w:p>
        </w:tc>
        <w:tc>
          <w:tcPr>
            <w:tcW w:w="1109" w:type="dxa"/>
            <w:tcBorders>
              <w:bottom w:val="single" w:sz="4" w:space="0" w:color="auto"/>
            </w:tcBorders>
          </w:tcPr>
          <w:p w:rsidR="00000000" w:rsidRDefault="00000000">
            <w:pPr>
              <w:jc w:val="center"/>
            </w:pPr>
            <w:r>
              <w:t>1998</w:t>
            </w:r>
          </w:p>
        </w:tc>
      </w:tr>
      <w:tr w:rsidR="00000000">
        <w:tblPrEx>
          <w:tblCellMar>
            <w:top w:w="0" w:type="dxa"/>
            <w:bottom w:w="0" w:type="dxa"/>
          </w:tblCellMar>
        </w:tblPrEx>
        <w:tc>
          <w:tcPr>
            <w:tcW w:w="4820" w:type="dxa"/>
            <w:tcBorders>
              <w:bottom w:val="nil"/>
            </w:tcBorders>
          </w:tcPr>
          <w:p w:rsidR="00000000" w:rsidRDefault="00000000">
            <w:r>
              <w:t>Продовольствие, в том числе:</w:t>
            </w:r>
          </w:p>
        </w:tc>
        <w:tc>
          <w:tcPr>
            <w:tcW w:w="1108" w:type="dxa"/>
            <w:tcBorders>
              <w:bottom w:val="nil"/>
            </w:tcBorders>
          </w:tcPr>
          <w:p w:rsidR="00000000" w:rsidRDefault="00000000">
            <w:pPr>
              <w:tabs>
                <w:tab w:val="clear" w:pos="1701"/>
              </w:tabs>
              <w:jc w:val="center"/>
            </w:pPr>
            <w:r>
              <w:t>126,8</w:t>
            </w:r>
          </w:p>
        </w:tc>
        <w:tc>
          <w:tcPr>
            <w:tcW w:w="1109" w:type="dxa"/>
            <w:tcBorders>
              <w:bottom w:val="nil"/>
            </w:tcBorders>
          </w:tcPr>
          <w:p w:rsidR="00000000" w:rsidRDefault="00000000">
            <w:pPr>
              <w:tabs>
                <w:tab w:val="clear" w:pos="1701"/>
              </w:tabs>
              <w:jc w:val="center"/>
            </w:pPr>
            <w:r>
              <w:t>118,4</w:t>
            </w:r>
          </w:p>
        </w:tc>
        <w:tc>
          <w:tcPr>
            <w:tcW w:w="1108" w:type="dxa"/>
            <w:tcBorders>
              <w:bottom w:val="nil"/>
            </w:tcBorders>
          </w:tcPr>
          <w:p w:rsidR="00000000" w:rsidRDefault="00000000">
            <w:pPr>
              <w:pStyle w:val="FootnoteText"/>
              <w:tabs>
                <w:tab w:val="clear" w:pos="1701"/>
              </w:tabs>
              <w:spacing w:line="288" w:lineRule="auto"/>
              <w:jc w:val="center"/>
            </w:pPr>
            <w:r>
              <w:t>112,3</w:t>
            </w:r>
          </w:p>
        </w:tc>
        <w:tc>
          <w:tcPr>
            <w:tcW w:w="1109" w:type="dxa"/>
            <w:tcBorders>
              <w:bottom w:val="nil"/>
            </w:tcBorders>
          </w:tcPr>
          <w:p w:rsidR="00000000" w:rsidRDefault="00000000">
            <w:pPr>
              <w:tabs>
                <w:tab w:val="clear" w:pos="1701"/>
              </w:tabs>
              <w:jc w:val="center"/>
            </w:pPr>
            <w:r>
              <w:t>107,1</w:t>
            </w:r>
          </w:p>
        </w:tc>
      </w:tr>
      <w:tr w:rsidR="00000000">
        <w:tblPrEx>
          <w:tblCellMar>
            <w:top w:w="0" w:type="dxa"/>
            <w:bottom w:w="0" w:type="dxa"/>
          </w:tblCellMar>
        </w:tblPrEx>
        <w:tc>
          <w:tcPr>
            <w:tcW w:w="4820" w:type="dxa"/>
            <w:tcBorders>
              <w:top w:val="nil"/>
              <w:bottom w:val="nil"/>
            </w:tcBorders>
          </w:tcPr>
          <w:p w:rsidR="00000000" w:rsidRDefault="00000000">
            <w:pPr>
              <w:tabs>
                <w:tab w:val="left" w:pos="284"/>
              </w:tabs>
            </w:pPr>
            <w:r>
              <w:tab/>
              <w:t>-</w:t>
            </w:r>
            <w:r>
              <w:tab/>
              <w:t>зерновые продукты</w:t>
            </w:r>
          </w:p>
        </w:tc>
        <w:tc>
          <w:tcPr>
            <w:tcW w:w="1108" w:type="dxa"/>
            <w:tcBorders>
              <w:top w:val="nil"/>
              <w:bottom w:val="nil"/>
            </w:tcBorders>
          </w:tcPr>
          <w:p w:rsidR="00000000" w:rsidRDefault="00000000">
            <w:pPr>
              <w:tabs>
                <w:tab w:val="clear" w:pos="1701"/>
              </w:tabs>
              <w:jc w:val="center"/>
            </w:pPr>
            <w:r>
              <w:t>129,7</w:t>
            </w:r>
          </w:p>
        </w:tc>
        <w:tc>
          <w:tcPr>
            <w:tcW w:w="1109" w:type="dxa"/>
            <w:tcBorders>
              <w:top w:val="nil"/>
              <w:bottom w:val="nil"/>
            </w:tcBorders>
          </w:tcPr>
          <w:p w:rsidR="00000000" w:rsidRDefault="00000000">
            <w:pPr>
              <w:tabs>
                <w:tab w:val="clear" w:pos="1701"/>
              </w:tabs>
              <w:jc w:val="center"/>
            </w:pPr>
            <w:r>
              <w:t>134,8</w:t>
            </w:r>
          </w:p>
        </w:tc>
        <w:tc>
          <w:tcPr>
            <w:tcW w:w="1108" w:type="dxa"/>
            <w:tcBorders>
              <w:top w:val="nil"/>
              <w:bottom w:val="nil"/>
            </w:tcBorders>
          </w:tcPr>
          <w:p w:rsidR="00000000" w:rsidRDefault="00000000">
            <w:pPr>
              <w:tabs>
                <w:tab w:val="clear" w:pos="1701"/>
              </w:tabs>
              <w:jc w:val="center"/>
            </w:pPr>
            <w:r>
              <w:t>115,5</w:t>
            </w:r>
          </w:p>
        </w:tc>
        <w:tc>
          <w:tcPr>
            <w:tcW w:w="1109" w:type="dxa"/>
            <w:tcBorders>
              <w:top w:val="nil"/>
              <w:bottom w:val="nil"/>
            </w:tcBorders>
          </w:tcPr>
          <w:p w:rsidR="00000000" w:rsidRDefault="00000000">
            <w:pPr>
              <w:tabs>
                <w:tab w:val="clear" w:pos="1701"/>
              </w:tabs>
              <w:jc w:val="center"/>
            </w:pPr>
            <w:r>
              <w:t>105,8</w:t>
            </w:r>
          </w:p>
        </w:tc>
      </w:tr>
      <w:tr w:rsidR="00000000">
        <w:tblPrEx>
          <w:tblCellMar>
            <w:top w:w="0" w:type="dxa"/>
            <w:bottom w:w="0" w:type="dxa"/>
          </w:tblCellMar>
        </w:tblPrEx>
        <w:tc>
          <w:tcPr>
            <w:tcW w:w="4820" w:type="dxa"/>
            <w:tcBorders>
              <w:top w:val="nil"/>
              <w:bottom w:val="nil"/>
            </w:tcBorders>
          </w:tcPr>
          <w:p w:rsidR="00000000" w:rsidRDefault="00000000">
            <w:pPr>
              <w:tabs>
                <w:tab w:val="left" w:pos="284"/>
              </w:tabs>
              <w:ind w:left="284" w:hanging="284"/>
            </w:pPr>
            <w:r>
              <w:tab/>
              <w:t>-</w:t>
            </w:r>
            <w:r>
              <w:tab/>
              <w:t xml:space="preserve">картофель, бобовые, овощи, грибы, </w:t>
            </w:r>
            <w:r>
              <w:tab/>
              <w:t>фрукты и обработанные продукты</w:t>
            </w:r>
          </w:p>
        </w:tc>
        <w:tc>
          <w:tcPr>
            <w:tcW w:w="1108" w:type="dxa"/>
            <w:tcBorders>
              <w:top w:val="nil"/>
              <w:bottom w:val="nil"/>
            </w:tcBorders>
          </w:tcPr>
          <w:p w:rsidR="00000000" w:rsidRDefault="00000000">
            <w:pPr>
              <w:tabs>
                <w:tab w:val="clear" w:pos="1701"/>
              </w:tabs>
              <w:jc w:val="center"/>
            </w:pPr>
            <w:r>
              <w:t>132,6</w:t>
            </w:r>
          </w:p>
        </w:tc>
        <w:tc>
          <w:tcPr>
            <w:tcW w:w="1109" w:type="dxa"/>
            <w:tcBorders>
              <w:top w:val="nil"/>
              <w:bottom w:val="nil"/>
            </w:tcBorders>
          </w:tcPr>
          <w:p w:rsidR="00000000" w:rsidRDefault="00000000">
            <w:pPr>
              <w:tabs>
                <w:tab w:val="clear" w:pos="1701"/>
              </w:tabs>
              <w:jc w:val="center"/>
            </w:pPr>
            <w:r>
              <w:t>111,9</w:t>
            </w:r>
          </w:p>
        </w:tc>
        <w:tc>
          <w:tcPr>
            <w:tcW w:w="1108" w:type="dxa"/>
            <w:tcBorders>
              <w:top w:val="nil"/>
              <w:bottom w:val="nil"/>
            </w:tcBorders>
          </w:tcPr>
          <w:p w:rsidR="00000000" w:rsidRDefault="00000000">
            <w:pPr>
              <w:tabs>
                <w:tab w:val="clear" w:pos="1701"/>
              </w:tabs>
              <w:jc w:val="center"/>
            </w:pPr>
            <w:r>
              <w:t>112,1</w:t>
            </w:r>
          </w:p>
        </w:tc>
        <w:tc>
          <w:tcPr>
            <w:tcW w:w="1109" w:type="dxa"/>
            <w:tcBorders>
              <w:top w:val="nil"/>
              <w:bottom w:val="nil"/>
            </w:tcBorders>
          </w:tcPr>
          <w:p w:rsidR="00000000" w:rsidRDefault="00000000">
            <w:pPr>
              <w:tabs>
                <w:tab w:val="clear" w:pos="1701"/>
              </w:tabs>
              <w:jc w:val="center"/>
            </w:pPr>
            <w:r>
              <w:t>107,0</w:t>
            </w:r>
          </w:p>
        </w:tc>
      </w:tr>
      <w:tr w:rsidR="00000000">
        <w:tblPrEx>
          <w:tblCellMar>
            <w:top w:w="0" w:type="dxa"/>
            <w:bottom w:w="0" w:type="dxa"/>
          </w:tblCellMar>
        </w:tblPrEx>
        <w:tc>
          <w:tcPr>
            <w:tcW w:w="4820" w:type="dxa"/>
            <w:tcBorders>
              <w:top w:val="nil"/>
              <w:bottom w:val="nil"/>
            </w:tcBorders>
          </w:tcPr>
          <w:p w:rsidR="00000000" w:rsidRDefault="00000000">
            <w:pPr>
              <w:tabs>
                <w:tab w:val="left" w:pos="284"/>
              </w:tabs>
              <w:spacing w:line="240" w:lineRule="auto"/>
              <w:ind w:left="567" w:hanging="567"/>
            </w:pPr>
            <w:r>
              <w:tab/>
              <w:t>-</w:t>
            </w:r>
            <w:r>
              <w:tab/>
              <w:t>мясо, субпродукты и обработанная продукция</w:t>
            </w:r>
          </w:p>
        </w:tc>
        <w:tc>
          <w:tcPr>
            <w:tcW w:w="1108" w:type="dxa"/>
            <w:tcBorders>
              <w:top w:val="nil"/>
              <w:bottom w:val="nil"/>
            </w:tcBorders>
          </w:tcPr>
          <w:p w:rsidR="00000000" w:rsidRDefault="00000000">
            <w:pPr>
              <w:tabs>
                <w:tab w:val="clear" w:pos="1701"/>
              </w:tabs>
              <w:spacing w:line="240" w:lineRule="auto"/>
              <w:jc w:val="center"/>
            </w:pPr>
            <w:r>
              <w:t>113,2</w:t>
            </w:r>
          </w:p>
        </w:tc>
        <w:tc>
          <w:tcPr>
            <w:tcW w:w="1109" w:type="dxa"/>
            <w:tcBorders>
              <w:top w:val="nil"/>
              <w:bottom w:val="nil"/>
            </w:tcBorders>
          </w:tcPr>
          <w:p w:rsidR="00000000" w:rsidRDefault="00000000">
            <w:pPr>
              <w:tabs>
                <w:tab w:val="clear" w:pos="1701"/>
              </w:tabs>
              <w:spacing w:line="240" w:lineRule="auto"/>
              <w:jc w:val="center"/>
            </w:pPr>
            <w:r>
              <w:t>115,2</w:t>
            </w:r>
          </w:p>
        </w:tc>
        <w:tc>
          <w:tcPr>
            <w:tcW w:w="1108" w:type="dxa"/>
            <w:tcBorders>
              <w:top w:val="nil"/>
              <w:bottom w:val="nil"/>
            </w:tcBorders>
          </w:tcPr>
          <w:p w:rsidR="00000000" w:rsidRDefault="00000000">
            <w:pPr>
              <w:tabs>
                <w:tab w:val="clear" w:pos="1701"/>
              </w:tabs>
              <w:spacing w:line="240" w:lineRule="auto"/>
              <w:jc w:val="center"/>
            </w:pPr>
            <w:r>
              <w:t>113,6</w:t>
            </w:r>
          </w:p>
        </w:tc>
        <w:tc>
          <w:tcPr>
            <w:tcW w:w="1109" w:type="dxa"/>
            <w:tcBorders>
              <w:top w:val="nil"/>
              <w:bottom w:val="nil"/>
            </w:tcBorders>
          </w:tcPr>
          <w:p w:rsidR="00000000" w:rsidRDefault="00000000">
            <w:pPr>
              <w:tabs>
                <w:tab w:val="clear" w:pos="1701"/>
              </w:tabs>
              <w:spacing w:line="240" w:lineRule="auto"/>
              <w:jc w:val="center"/>
            </w:pPr>
            <w:r>
              <w:t>105,0</w:t>
            </w:r>
          </w:p>
        </w:tc>
      </w:tr>
      <w:tr w:rsidR="00000000">
        <w:tblPrEx>
          <w:tblCellMar>
            <w:top w:w="0" w:type="dxa"/>
            <w:bottom w:w="0" w:type="dxa"/>
          </w:tblCellMar>
        </w:tblPrEx>
        <w:tc>
          <w:tcPr>
            <w:tcW w:w="4820" w:type="dxa"/>
            <w:tcBorders>
              <w:top w:val="nil"/>
              <w:bottom w:val="nil"/>
            </w:tcBorders>
          </w:tcPr>
          <w:p w:rsidR="00000000" w:rsidRDefault="00000000">
            <w:pPr>
              <w:tabs>
                <w:tab w:val="left" w:pos="284"/>
              </w:tabs>
            </w:pPr>
            <w:r>
              <w:tab/>
              <w:t>-</w:t>
            </w:r>
            <w:r>
              <w:tab/>
              <w:t>рыба и рыбопродукты</w:t>
            </w:r>
          </w:p>
        </w:tc>
        <w:tc>
          <w:tcPr>
            <w:tcW w:w="1108" w:type="dxa"/>
            <w:tcBorders>
              <w:top w:val="nil"/>
              <w:bottom w:val="nil"/>
            </w:tcBorders>
          </w:tcPr>
          <w:p w:rsidR="00000000" w:rsidRDefault="00000000">
            <w:pPr>
              <w:tabs>
                <w:tab w:val="clear" w:pos="1701"/>
              </w:tabs>
              <w:jc w:val="center"/>
            </w:pPr>
            <w:r>
              <w:t>124,5</w:t>
            </w:r>
          </w:p>
        </w:tc>
        <w:tc>
          <w:tcPr>
            <w:tcW w:w="1109" w:type="dxa"/>
            <w:tcBorders>
              <w:top w:val="nil"/>
              <w:bottom w:val="nil"/>
            </w:tcBorders>
          </w:tcPr>
          <w:p w:rsidR="00000000" w:rsidRDefault="00000000">
            <w:pPr>
              <w:tabs>
                <w:tab w:val="clear" w:pos="1701"/>
              </w:tabs>
              <w:jc w:val="center"/>
            </w:pPr>
            <w:r>
              <w:t>117,5</w:t>
            </w:r>
          </w:p>
        </w:tc>
        <w:tc>
          <w:tcPr>
            <w:tcW w:w="1108" w:type="dxa"/>
            <w:tcBorders>
              <w:top w:val="nil"/>
              <w:bottom w:val="nil"/>
            </w:tcBorders>
          </w:tcPr>
          <w:p w:rsidR="00000000" w:rsidRDefault="00000000">
            <w:pPr>
              <w:tabs>
                <w:tab w:val="clear" w:pos="1701"/>
              </w:tabs>
              <w:jc w:val="center"/>
            </w:pPr>
            <w:r>
              <w:t>114,7</w:t>
            </w:r>
          </w:p>
        </w:tc>
        <w:tc>
          <w:tcPr>
            <w:tcW w:w="1109" w:type="dxa"/>
            <w:tcBorders>
              <w:top w:val="nil"/>
              <w:bottom w:val="nil"/>
            </w:tcBorders>
          </w:tcPr>
          <w:p w:rsidR="00000000" w:rsidRDefault="00000000">
            <w:pPr>
              <w:tabs>
                <w:tab w:val="clear" w:pos="1701"/>
              </w:tabs>
              <w:jc w:val="center"/>
            </w:pPr>
            <w:r>
              <w:t>113,7</w:t>
            </w:r>
          </w:p>
        </w:tc>
      </w:tr>
      <w:tr w:rsidR="00000000">
        <w:tblPrEx>
          <w:tblCellMar>
            <w:top w:w="0" w:type="dxa"/>
            <w:bottom w:w="0" w:type="dxa"/>
          </w:tblCellMar>
        </w:tblPrEx>
        <w:tc>
          <w:tcPr>
            <w:tcW w:w="4820" w:type="dxa"/>
            <w:tcBorders>
              <w:top w:val="nil"/>
              <w:bottom w:val="nil"/>
            </w:tcBorders>
          </w:tcPr>
          <w:p w:rsidR="00000000" w:rsidRDefault="00000000">
            <w:pPr>
              <w:tabs>
                <w:tab w:val="left" w:pos="284"/>
              </w:tabs>
            </w:pPr>
            <w:r>
              <w:tab/>
              <w:t>-</w:t>
            </w:r>
            <w:r>
              <w:tab/>
              <w:t>пищевые жиры</w:t>
            </w:r>
          </w:p>
        </w:tc>
        <w:tc>
          <w:tcPr>
            <w:tcW w:w="1108" w:type="dxa"/>
            <w:tcBorders>
              <w:top w:val="nil"/>
              <w:bottom w:val="nil"/>
            </w:tcBorders>
          </w:tcPr>
          <w:p w:rsidR="00000000" w:rsidRDefault="00000000">
            <w:pPr>
              <w:tabs>
                <w:tab w:val="clear" w:pos="1701"/>
              </w:tabs>
              <w:jc w:val="center"/>
            </w:pPr>
            <w:r>
              <w:t>130,3</w:t>
            </w:r>
          </w:p>
        </w:tc>
        <w:tc>
          <w:tcPr>
            <w:tcW w:w="1109" w:type="dxa"/>
            <w:tcBorders>
              <w:top w:val="nil"/>
              <w:bottom w:val="nil"/>
            </w:tcBorders>
          </w:tcPr>
          <w:p w:rsidR="00000000" w:rsidRDefault="00000000">
            <w:pPr>
              <w:tabs>
                <w:tab w:val="clear" w:pos="1701"/>
              </w:tabs>
              <w:jc w:val="center"/>
            </w:pPr>
            <w:r>
              <w:t>110,5</w:t>
            </w:r>
          </w:p>
        </w:tc>
        <w:tc>
          <w:tcPr>
            <w:tcW w:w="1108" w:type="dxa"/>
            <w:tcBorders>
              <w:top w:val="nil"/>
              <w:bottom w:val="nil"/>
            </w:tcBorders>
          </w:tcPr>
          <w:p w:rsidR="00000000" w:rsidRDefault="00000000">
            <w:pPr>
              <w:tabs>
                <w:tab w:val="clear" w:pos="1701"/>
              </w:tabs>
              <w:jc w:val="center"/>
            </w:pPr>
            <w:r>
              <w:t>113,3</w:t>
            </w:r>
          </w:p>
        </w:tc>
        <w:tc>
          <w:tcPr>
            <w:tcW w:w="1109" w:type="dxa"/>
            <w:tcBorders>
              <w:top w:val="nil"/>
              <w:bottom w:val="nil"/>
            </w:tcBorders>
          </w:tcPr>
          <w:p w:rsidR="00000000" w:rsidRDefault="00000000">
            <w:pPr>
              <w:tabs>
                <w:tab w:val="clear" w:pos="1701"/>
              </w:tabs>
              <w:jc w:val="center"/>
            </w:pPr>
            <w:r>
              <w:t>109,0</w:t>
            </w:r>
          </w:p>
        </w:tc>
      </w:tr>
      <w:tr w:rsidR="00000000">
        <w:tblPrEx>
          <w:tblCellMar>
            <w:top w:w="0" w:type="dxa"/>
            <w:bottom w:w="0" w:type="dxa"/>
          </w:tblCellMar>
        </w:tblPrEx>
        <w:tc>
          <w:tcPr>
            <w:tcW w:w="4820" w:type="dxa"/>
            <w:tcBorders>
              <w:top w:val="nil"/>
              <w:bottom w:val="single" w:sz="4" w:space="0" w:color="auto"/>
            </w:tcBorders>
          </w:tcPr>
          <w:p w:rsidR="00000000" w:rsidRDefault="00000000">
            <w:pPr>
              <w:tabs>
                <w:tab w:val="left" w:pos="284"/>
              </w:tabs>
            </w:pPr>
            <w:r>
              <w:tab/>
              <w:t>-</w:t>
            </w:r>
            <w:r>
              <w:tab/>
              <w:t>молочные продукты</w:t>
            </w:r>
          </w:p>
        </w:tc>
        <w:tc>
          <w:tcPr>
            <w:tcW w:w="1108" w:type="dxa"/>
            <w:tcBorders>
              <w:top w:val="nil"/>
              <w:bottom w:val="single" w:sz="4" w:space="0" w:color="auto"/>
            </w:tcBorders>
          </w:tcPr>
          <w:p w:rsidR="00000000" w:rsidRDefault="00000000">
            <w:pPr>
              <w:tabs>
                <w:tab w:val="clear" w:pos="1701"/>
              </w:tabs>
              <w:jc w:val="center"/>
            </w:pPr>
            <w:r>
              <w:t>140,4</w:t>
            </w:r>
          </w:p>
        </w:tc>
        <w:tc>
          <w:tcPr>
            <w:tcW w:w="1109" w:type="dxa"/>
            <w:tcBorders>
              <w:top w:val="nil"/>
              <w:bottom w:val="single" w:sz="4" w:space="0" w:color="auto"/>
            </w:tcBorders>
          </w:tcPr>
          <w:p w:rsidR="00000000" w:rsidRDefault="00000000">
            <w:pPr>
              <w:tabs>
                <w:tab w:val="clear" w:pos="1701"/>
              </w:tabs>
              <w:jc w:val="center"/>
            </w:pPr>
            <w:r>
              <w:t>117,7</w:t>
            </w:r>
          </w:p>
        </w:tc>
        <w:tc>
          <w:tcPr>
            <w:tcW w:w="1108" w:type="dxa"/>
            <w:tcBorders>
              <w:top w:val="nil"/>
              <w:bottom w:val="single" w:sz="4" w:space="0" w:color="auto"/>
            </w:tcBorders>
          </w:tcPr>
          <w:p w:rsidR="00000000" w:rsidRDefault="00000000">
            <w:pPr>
              <w:tabs>
                <w:tab w:val="clear" w:pos="1701"/>
              </w:tabs>
              <w:jc w:val="center"/>
            </w:pPr>
            <w:r>
              <w:t>112,5</w:t>
            </w:r>
          </w:p>
        </w:tc>
        <w:tc>
          <w:tcPr>
            <w:tcW w:w="1109" w:type="dxa"/>
            <w:tcBorders>
              <w:top w:val="nil"/>
              <w:bottom w:val="single" w:sz="4" w:space="0" w:color="auto"/>
            </w:tcBorders>
          </w:tcPr>
          <w:p w:rsidR="00000000" w:rsidRDefault="00000000">
            <w:pPr>
              <w:tabs>
                <w:tab w:val="clear" w:pos="1701"/>
              </w:tabs>
              <w:jc w:val="center"/>
            </w:pPr>
            <w:r>
              <w:t>108,1</w:t>
            </w:r>
          </w:p>
        </w:tc>
      </w:tr>
      <w:tr w:rsidR="00000000">
        <w:tblPrEx>
          <w:tblCellMar>
            <w:top w:w="0" w:type="dxa"/>
            <w:bottom w:w="0" w:type="dxa"/>
          </w:tblCellMar>
        </w:tblPrEx>
        <w:tc>
          <w:tcPr>
            <w:tcW w:w="4820" w:type="dxa"/>
            <w:tcBorders>
              <w:bottom w:val="nil"/>
            </w:tcBorders>
          </w:tcPr>
          <w:p w:rsidR="00000000" w:rsidRDefault="00000000">
            <w:pPr>
              <w:tabs>
                <w:tab w:val="left" w:pos="284"/>
              </w:tabs>
            </w:pPr>
            <w:r>
              <w:tab/>
              <w:t>-</w:t>
            </w:r>
            <w:r>
              <w:tab/>
              <w:t>яйца</w:t>
            </w:r>
          </w:p>
        </w:tc>
        <w:tc>
          <w:tcPr>
            <w:tcW w:w="1108" w:type="dxa"/>
            <w:tcBorders>
              <w:bottom w:val="nil"/>
            </w:tcBorders>
          </w:tcPr>
          <w:p w:rsidR="00000000" w:rsidRDefault="00000000">
            <w:pPr>
              <w:tabs>
                <w:tab w:val="clear" w:pos="1701"/>
              </w:tabs>
              <w:jc w:val="center"/>
            </w:pPr>
            <w:r>
              <w:t>93,6</w:t>
            </w:r>
          </w:p>
        </w:tc>
        <w:tc>
          <w:tcPr>
            <w:tcW w:w="1109" w:type="dxa"/>
            <w:tcBorders>
              <w:bottom w:val="nil"/>
            </w:tcBorders>
          </w:tcPr>
          <w:p w:rsidR="00000000" w:rsidRDefault="00000000">
            <w:pPr>
              <w:tabs>
                <w:tab w:val="clear" w:pos="1701"/>
              </w:tabs>
              <w:jc w:val="center"/>
            </w:pPr>
            <w:r>
              <w:t>124,4</w:t>
            </w:r>
          </w:p>
        </w:tc>
        <w:tc>
          <w:tcPr>
            <w:tcW w:w="1108" w:type="dxa"/>
            <w:tcBorders>
              <w:bottom w:val="nil"/>
            </w:tcBorders>
          </w:tcPr>
          <w:p w:rsidR="00000000" w:rsidRDefault="00000000">
            <w:pPr>
              <w:tabs>
                <w:tab w:val="clear" w:pos="1701"/>
              </w:tabs>
              <w:jc w:val="center"/>
            </w:pPr>
            <w:r>
              <w:t>97,2</w:t>
            </w:r>
          </w:p>
        </w:tc>
        <w:tc>
          <w:tcPr>
            <w:tcW w:w="1109" w:type="dxa"/>
            <w:tcBorders>
              <w:bottom w:val="nil"/>
            </w:tcBorders>
          </w:tcPr>
          <w:p w:rsidR="00000000" w:rsidRDefault="00000000">
            <w:pPr>
              <w:tabs>
                <w:tab w:val="clear" w:pos="1701"/>
              </w:tabs>
              <w:jc w:val="center"/>
            </w:pPr>
            <w:r>
              <w:t>106,7</w:t>
            </w:r>
          </w:p>
        </w:tc>
      </w:tr>
      <w:tr w:rsidR="00000000">
        <w:tblPrEx>
          <w:tblCellMar>
            <w:top w:w="0" w:type="dxa"/>
            <w:bottom w:w="0" w:type="dxa"/>
          </w:tblCellMar>
        </w:tblPrEx>
        <w:tc>
          <w:tcPr>
            <w:tcW w:w="4820" w:type="dxa"/>
            <w:tcBorders>
              <w:top w:val="nil"/>
              <w:bottom w:val="nil"/>
            </w:tcBorders>
          </w:tcPr>
          <w:p w:rsidR="00000000" w:rsidRDefault="00000000">
            <w:pPr>
              <w:tabs>
                <w:tab w:val="left" w:pos="284"/>
              </w:tabs>
            </w:pPr>
            <w:r>
              <w:tab/>
              <w:t>-</w:t>
            </w:r>
            <w:r>
              <w:tab/>
              <w:t>сахар, кондитерские изделия и мед</w:t>
            </w:r>
          </w:p>
        </w:tc>
        <w:tc>
          <w:tcPr>
            <w:tcW w:w="1108" w:type="dxa"/>
            <w:tcBorders>
              <w:top w:val="nil"/>
              <w:bottom w:val="nil"/>
            </w:tcBorders>
          </w:tcPr>
          <w:p w:rsidR="00000000" w:rsidRDefault="00000000">
            <w:pPr>
              <w:tabs>
                <w:tab w:val="clear" w:pos="1701"/>
              </w:tabs>
              <w:jc w:val="center"/>
            </w:pPr>
            <w:r>
              <w:t>142,7</w:t>
            </w:r>
          </w:p>
        </w:tc>
        <w:tc>
          <w:tcPr>
            <w:tcW w:w="1109" w:type="dxa"/>
            <w:tcBorders>
              <w:top w:val="nil"/>
              <w:bottom w:val="nil"/>
            </w:tcBorders>
          </w:tcPr>
          <w:p w:rsidR="00000000" w:rsidRDefault="00000000">
            <w:pPr>
              <w:tabs>
                <w:tab w:val="clear" w:pos="1701"/>
              </w:tabs>
              <w:jc w:val="center"/>
            </w:pPr>
            <w:r>
              <w:t>121,9</w:t>
            </w:r>
          </w:p>
        </w:tc>
        <w:tc>
          <w:tcPr>
            <w:tcW w:w="1108" w:type="dxa"/>
            <w:tcBorders>
              <w:top w:val="nil"/>
              <w:bottom w:val="nil"/>
            </w:tcBorders>
          </w:tcPr>
          <w:p w:rsidR="00000000" w:rsidRDefault="00000000">
            <w:pPr>
              <w:tabs>
                <w:tab w:val="clear" w:pos="1701"/>
              </w:tabs>
              <w:jc w:val="center"/>
            </w:pPr>
            <w:r>
              <w:t>104,0</w:t>
            </w:r>
          </w:p>
        </w:tc>
        <w:tc>
          <w:tcPr>
            <w:tcW w:w="1109" w:type="dxa"/>
            <w:tcBorders>
              <w:top w:val="nil"/>
              <w:bottom w:val="nil"/>
            </w:tcBorders>
          </w:tcPr>
          <w:p w:rsidR="00000000" w:rsidRDefault="00000000">
            <w:pPr>
              <w:tabs>
                <w:tab w:val="clear" w:pos="1701"/>
              </w:tabs>
              <w:jc w:val="center"/>
            </w:pPr>
            <w:r>
              <w:t>104,7</w:t>
            </w:r>
          </w:p>
        </w:tc>
      </w:tr>
      <w:tr w:rsidR="00000000">
        <w:tblPrEx>
          <w:tblCellMar>
            <w:top w:w="0" w:type="dxa"/>
            <w:bottom w:w="0" w:type="dxa"/>
          </w:tblCellMar>
        </w:tblPrEx>
        <w:tc>
          <w:tcPr>
            <w:tcW w:w="4820" w:type="dxa"/>
            <w:tcBorders>
              <w:top w:val="nil"/>
              <w:bottom w:val="nil"/>
            </w:tcBorders>
          </w:tcPr>
          <w:p w:rsidR="00000000" w:rsidRDefault="00000000">
            <w:pPr>
              <w:tabs>
                <w:tab w:val="left" w:pos="284"/>
              </w:tabs>
              <w:spacing w:line="240" w:lineRule="auto"/>
              <w:ind w:left="567" w:hanging="567"/>
            </w:pPr>
            <w:r>
              <w:tab/>
              <w:t>-</w:t>
            </w:r>
            <w:r>
              <w:tab/>
              <w:t>приправы, специи и другие пищевые продукты</w:t>
            </w:r>
          </w:p>
        </w:tc>
        <w:tc>
          <w:tcPr>
            <w:tcW w:w="1108" w:type="dxa"/>
            <w:tcBorders>
              <w:top w:val="nil"/>
              <w:bottom w:val="nil"/>
            </w:tcBorders>
          </w:tcPr>
          <w:p w:rsidR="00000000" w:rsidRDefault="00000000">
            <w:pPr>
              <w:tabs>
                <w:tab w:val="clear" w:pos="1701"/>
              </w:tabs>
              <w:jc w:val="center"/>
            </w:pPr>
            <w:r>
              <w:t>145,5</w:t>
            </w:r>
          </w:p>
        </w:tc>
        <w:tc>
          <w:tcPr>
            <w:tcW w:w="1109" w:type="dxa"/>
            <w:tcBorders>
              <w:top w:val="nil"/>
              <w:bottom w:val="nil"/>
            </w:tcBorders>
          </w:tcPr>
          <w:p w:rsidR="00000000" w:rsidRDefault="00000000">
            <w:pPr>
              <w:tabs>
                <w:tab w:val="clear" w:pos="1701"/>
              </w:tabs>
              <w:jc w:val="center"/>
            </w:pPr>
            <w:r>
              <w:t>117,1</w:t>
            </w:r>
          </w:p>
        </w:tc>
        <w:tc>
          <w:tcPr>
            <w:tcW w:w="1108" w:type="dxa"/>
            <w:tcBorders>
              <w:top w:val="nil"/>
              <w:bottom w:val="nil"/>
            </w:tcBorders>
          </w:tcPr>
          <w:p w:rsidR="00000000" w:rsidRDefault="00000000">
            <w:pPr>
              <w:tabs>
                <w:tab w:val="clear" w:pos="1701"/>
              </w:tabs>
              <w:jc w:val="center"/>
            </w:pPr>
            <w:r>
              <w:t>111,8</w:t>
            </w:r>
          </w:p>
        </w:tc>
        <w:tc>
          <w:tcPr>
            <w:tcW w:w="1109" w:type="dxa"/>
            <w:tcBorders>
              <w:top w:val="nil"/>
              <w:bottom w:val="nil"/>
            </w:tcBorders>
          </w:tcPr>
          <w:p w:rsidR="00000000" w:rsidRDefault="00000000">
            <w:pPr>
              <w:tabs>
                <w:tab w:val="clear" w:pos="1701"/>
              </w:tabs>
              <w:jc w:val="center"/>
            </w:pPr>
            <w:r>
              <w:t>112,6</w:t>
            </w:r>
          </w:p>
        </w:tc>
      </w:tr>
      <w:tr w:rsidR="00000000">
        <w:tblPrEx>
          <w:tblCellMar>
            <w:top w:w="0" w:type="dxa"/>
            <w:bottom w:w="0" w:type="dxa"/>
          </w:tblCellMar>
        </w:tblPrEx>
        <w:tc>
          <w:tcPr>
            <w:tcW w:w="4820" w:type="dxa"/>
            <w:tcBorders>
              <w:top w:val="nil"/>
            </w:tcBorders>
          </w:tcPr>
          <w:p w:rsidR="00000000" w:rsidRDefault="00000000">
            <w:pPr>
              <w:tabs>
                <w:tab w:val="left" w:pos="284"/>
              </w:tabs>
            </w:pPr>
            <w:r>
              <w:tab/>
              <w:t>-</w:t>
            </w:r>
            <w:r>
              <w:tab/>
              <w:t>алкогольные напитки</w:t>
            </w:r>
          </w:p>
        </w:tc>
        <w:tc>
          <w:tcPr>
            <w:tcW w:w="1108" w:type="dxa"/>
            <w:tcBorders>
              <w:top w:val="nil"/>
            </w:tcBorders>
          </w:tcPr>
          <w:p w:rsidR="00000000" w:rsidRDefault="00000000">
            <w:pPr>
              <w:tabs>
                <w:tab w:val="clear" w:pos="1701"/>
              </w:tabs>
              <w:jc w:val="center"/>
            </w:pPr>
            <w:r>
              <w:t>128,6</w:t>
            </w:r>
          </w:p>
        </w:tc>
        <w:tc>
          <w:tcPr>
            <w:tcW w:w="1109" w:type="dxa"/>
            <w:tcBorders>
              <w:top w:val="nil"/>
            </w:tcBorders>
          </w:tcPr>
          <w:p w:rsidR="00000000" w:rsidRDefault="00000000">
            <w:pPr>
              <w:tabs>
                <w:tab w:val="clear" w:pos="1701"/>
              </w:tabs>
              <w:jc w:val="center"/>
            </w:pPr>
            <w:r>
              <w:t>125,4</w:t>
            </w:r>
          </w:p>
        </w:tc>
        <w:tc>
          <w:tcPr>
            <w:tcW w:w="1108" w:type="dxa"/>
            <w:tcBorders>
              <w:top w:val="nil"/>
            </w:tcBorders>
          </w:tcPr>
          <w:p w:rsidR="00000000" w:rsidRDefault="00000000">
            <w:pPr>
              <w:tabs>
                <w:tab w:val="clear" w:pos="1701"/>
              </w:tabs>
              <w:jc w:val="center"/>
            </w:pPr>
            <w:r>
              <w:t>113,7</w:t>
            </w:r>
          </w:p>
        </w:tc>
        <w:tc>
          <w:tcPr>
            <w:tcW w:w="1109" w:type="dxa"/>
            <w:tcBorders>
              <w:top w:val="nil"/>
            </w:tcBorders>
          </w:tcPr>
          <w:p w:rsidR="00000000" w:rsidRDefault="00000000">
            <w:pPr>
              <w:tabs>
                <w:tab w:val="clear" w:pos="1701"/>
              </w:tabs>
              <w:jc w:val="center"/>
            </w:pPr>
            <w:r>
              <w:t>112,7</w:t>
            </w:r>
          </w:p>
        </w:tc>
      </w:tr>
    </w:tbl>
    <w:p w:rsidR="00000000" w:rsidRDefault="00000000">
      <w:pPr>
        <w:pStyle w:val="FootnoteText"/>
        <w:spacing w:line="288" w:lineRule="auto"/>
      </w:pPr>
    </w:p>
    <w:p w:rsidR="00000000" w:rsidRDefault="00000000">
      <w:r>
        <w:tab/>
      </w:r>
      <w:r>
        <w:rPr>
          <w:u w:val="single"/>
        </w:rPr>
        <w:t>Источник</w:t>
      </w:r>
      <w:r>
        <w:t>:  данные Главного управления статистики.</w:t>
      </w:r>
    </w:p>
    <w:p w:rsidR="00000000" w:rsidRDefault="00000000"/>
    <w:p w:rsidR="00000000" w:rsidRDefault="00000000">
      <w:pPr>
        <w:pStyle w:val="BodyText"/>
        <w:spacing w:line="288" w:lineRule="auto"/>
        <w:ind w:left="1134" w:hanging="1134"/>
      </w:pPr>
      <w:r>
        <w:tab/>
        <w:t>2.</w:t>
      </w:r>
      <w:r>
        <w:tab/>
        <w:t>Проблема голода и недостаточного питания среди социально-профессиональных групп населения, находящихся в более уязвимом положении</w:t>
      </w:r>
    </w:p>
    <w:p w:rsidR="00000000" w:rsidRDefault="00000000">
      <w:pPr>
        <w:pStyle w:val="BodyText"/>
        <w:spacing w:line="288" w:lineRule="auto"/>
      </w:pPr>
    </w:p>
    <w:p w:rsidR="00000000" w:rsidRDefault="00000000">
      <w:r>
        <w:t>228.</w:t>
      </w:r>
      <w:r>
        <w:tab/>
        <w:t>В 1995-1998 годах проблемы голода в Польше не существовало.  Вместе с тем отмечались случаи недостаточного питания на уровне отдельных лиц и семей (но не на уровне всей социально-профессиональной группы).  Эта проблема касалась беднейших семей (некоторых групп безработных, некоторых общин в мелких городах и сельских населенных пунктах, а в небольшом числе случаев - городских общин), а также семей, в составе которых имелись больные (особенно семей, в которых отмечались случаи алкоголизма, наркомании и насилия), и семей, в которых один из родителей отбывал срок тюремного заключения.</w:t>
      </w:r>
    </w:p>
    <w:p w:rsidR="00000000" w:rsidRDefault="00000000"/>
    <w:p w:rsidR="00000000" w:rsidRDefault="00000000">
      <w:pPr>
        <w:pStyle w:val="BodyText"/>
        <w:spacing w:line="288" w:lineRule="auto"/>
        <w:ind w:left="1134" w:hanging="1134"/>
      </w:pPr>
      <w:r>
        <w:tab/>
        <w:t>3.</w:t>
      </w:r>
      <w:r>
        <w:tab/>
        <w:t>Меры и действия правительства по обеспечению надлежащего продовольственного снабжения;  методы производства, консервирования и распределения продовольствия</w:t>
      </w:r>
    </w:p>
    <w:p w:rsidR="00000000" w:rsidRDefault="00000000">
      <w:pPr>
        <w:pStyle w:val="BodyText"/>
        <w:spacing w:line="288" w:lineRule="auto"/>
      </w:pPr>
    </w:p>
    <w:p w:rsidR="00000000" w:rsidRDefault="00000000">
      <w:r>
        <w:t>229.</w:t>
      </w:r>
      <w:r>
        <w:tab/>
        <w:t>Особое значение для министерства сельского хозяйства и пищевой промышленности в 1995-1998 годах имел вопрос о производстве специальных видов продовольствия, предназначенных для лиц, находящихся на диете, и больных, а также необходимых для здорового развития организма человека на всех этапах роста.  Сюда относится производство таких товаров, как детское питание для грудных детей и детей более старшего возраста (включая модифицированное молоко), молочные продукты, молочно-зерновые продукты, молочно-фруктовые смеси, фруктово-зерновое и фруктово-овощное питание для грудных детей, а также специальные виды пищевых консервов.  К числу других продуктов относятся следующие:</w:t>
      </w:r>
    </w:p>
    <w:p w:rsidR="00000000" w:rsidRDefault="00000000"/>
    <w:p w:rsidR="00000000" w:rsidRDefault="00000000">
      <w:pPr>
        <w:ind w:left="1134" w:hanging="1134"/>
      </w:pPr>
      <w:r>
        <w:tab/>
        <w:t>-</w:t>
      </w:r>
      <w:r>
        <w:tab/>
        <w:t>деглютинированное питание для детей больных целиакией и фенилкетонурией (концентраты и продукты, готовые к употреблению);</w:t>
      </w:r>
    </w:p>
    <w:p w:rsidR="00000000" w:rsidRDefault="00000000">
      <w:pPr>
        <w:ind w:left="1134" w:hanging="1134"/>
      </w:pPr>
    </w:p>
    <w:p w:rsidR="00000000" w:rsidRDefault="00000000">
      <w:r>
        <w:tab/>
        <w:t>-</w:t>
      </w:r>
      <w:r>
        <w:tab/>
        <w:t>продукты для больных диабетом;</w:t>
      </w:r>
    </w:p>
    <w:p w:rsidR="00000000" w:rsidRDefault="00000000"/>
    <w:p w:rsidR="00000000" w:rsidRDefault="00000000">
      <w:r>
        <w:tab/>
        <w:t>-</w:t>
      </w:r>
      <w:r>
        <w:tab/>
        <w:t>диетическое питание общего назначения;</w:t>
      </w:r>
    </w:p>
    <w:p w:rsidR="00000000" w:rsidRDefault="00000000"/>
    <w:p w:rsidR="00000000" w:rsidRDefault="00000000">
      <w:r>
        <w:tab/>
        <w:t>-</w:t>
      </w:r>
      <w:r>
        <w:tab/>
        <w:t>питание для искусственного кормления больных в госпиталях;</w:t>
      </w:r>
    </w:p>
    <w:p w:rsidR="00000000" w:rsidRDefault="00000000"/>
    <w:p w:rsidR="00000000" w:rsidRDefault="00000000">
      <w:pPr>
        <w:ind w:left="1134" w:hanging="1134"/>
      </w:pPr>
      <w:r>
        <w:tab/>
        <w:t>-</w:t>
      </w:r>
      <w:r>
        <w:tab/>
        <w:t>специальное питание для некоторых больных (например, низкобелковое питание и продукты с низким содержанием соли);</w:t>
      </w:r>
    </w:p>
    <w:p w:rsidR="00000000" w:rsidRDefault="00000000">
      <w:pPr>
        <w:ind w:left="1134" w:hanging="1134"/>
      </w:pPr>
    </w:p>
    <w:p w:rsidR="00000000" w:rsidRDefault="00000000">
      <w:pPr>
        <w:ind w:left="1134" w:hanging="1134"/>
      </w:pPr>
      <w:r>
        <w:tab/>
        <w:t>-</w:t>
      </w:r>
      <w:r>
        <w:tab/>
        <w:t>высококалорийное питание для людей, ведущих жизнь, сопряженную с высокими затратами энергии (например, для спортсменов и военнослужащих).</w:t>
      </w:r>
    </w:p>
    <w:p w:rsidR="00000000" w:rsidRDefault="00000000">
      <w:pPr>
        <w:ind w:left="1134" w:hanging="1134"/>
      </w:pPr>
    </w:p>
    <w:p w:rsidR="00000000" w:rsidRDefault="00000000">
      <w:r>
        <w:t>230.</w:t>
      </w:r>
      <w:r>
        <w:tab/>
        <w:t>С 1993 года министерство сельского хозяйства и пищевой промышленности из средств, ассигнуемых на содействие применению достижений биологии в сельском хозяйстве, финансирует деятельность по защите генетических ресурсов растений и генетических ресурсов сельскохозяйственных животных.  Целью этого является обеспечение защиты генетического материала растений, культивируемых до настоящего времени, а также растений, встречающихся в природе, но находящихся под угрозой исчезновения.  Генетические ресурсы растений дают нам возможность выводить новые высококачественные разновидности сельскохозяйственных культур, устойчивых к заболеваниям и вредителям.  В Институте растениеводства и адаптации растений в Радзиково был учрежден центр генетических ресурсов растений, коллекция которого насчитывает примерно 60 000 образцов.  Ратифицировав в 1996 году Конвенцию о биологическом разнообразии, Польша приняла на себя ответственность по защите генетических ресурсов сельскохозяйственных растений.  Польские растениеводы располагают посадочным материалом районированных сортов.</w:t>
      </w:r>
    </w:p>
    <w:p w:rsidR="00000000" w:rsidRDefault="00000000">
      <w:pPr>
        <w:pStyle w:val="FootnoteText"/>
        <w:spacing w:line="288" w:lineRule="auto"/>
      </w:pPr>
    </w:p>
    <w:p w:rsidR="00000000" w:rsidRDefault="00000000">
      <w:r>
        <w:t>231.</w:t>
      </w:r>
      <w:r>
        <w:tab/>
        <w:t>Основными методами надлежащего снабжения продовольствием являются:   укрепление систем контроля качества и продовольственной безопасности, содействие распространению надлежащей сельскохозяйственной практики и соответствующая просветительская работа среди потребителей.  Продовольственная безопасность и поддержание качества продовольствия на всех этапах производства, переработки, упаковки и хранения должны обеспечиваться за счет системы контроля, способствующей снижению издержек и применению надлежащей технологии переработки продукции.  Необходимо уделять внимание качеству и сохранности продовольствия начиная с этапа сельскохозяйственного производства и кончая этапом коллективного потребления.  Надлежащая сельскохозяйственная практика означает правильное применение пестицидов, удобрений и ветеринарных средств в период до и после уборки урожая, осуществление самими сельскохозяйственными производителями контроля за хранением и применением химикатов, а также использование надлежащих методов переработки и транспортировки продукции.  Пищевая промышленность заинтересована в разработке эффективной технологии и применении современных методов обеспечения качества, а также в подготовке персонала, занимающегося вопросами организации переработки продовольствия.  В этом процессе участвуют правительственные и неправительственные организации.  Роль министерства сельского хозяйства и пищевой промышленности сводится к следующему:</w:t>
      </w:r>
    </w:p>
    <w:p w:rsidR="00000000" w:rsidRDefault="00000000"/>
    <w:p w:rsidR="00000000" w:rsidRDefault="00000000">
      <w:r>
        <w:tab/>
        <w:t>а)</w:t>
      </w:r>
      <w:r>
        <w:tab/>
        <w:t xml:space="preserve">сотрудничество с иностранными специалистами в области подготовки кадров и применения систем, обеспечивающих достижение целей снабжения продовольствием, отвечающим нормам здравоохранения (проекты </w:t>
      </w:r>
      <w:r>
        <w:rPr>
          <w:lang w:val="en-US"/>
        </w:rPr>
        <w:t>PHARE</w:t>
      </w:r>
      <w:r>
        <w:t>, двустороннее сотрудничество со странами ЕС);</w:t>
      </w:r>
    </w:p>
    <w:p w:rsidR="00000000" w:rsidRDefault="00000000"/>
    <w:p w:rsidR="00000000" w:rsidRDefault="00000000">
      <w:r>
        <w:tab/>
        <w:t>b)</w:t>
      </w:r>
      <w:r>
        <w:tab/>
        <w:t>принятие законодательства, регулирующего вопросы качества и сохранности продовольствия (например, деятельность министерства в области регулирования практики маркировки потребительских товаров, приправ и утвержденных пищевых добавок);</w:t>
      </w:r>
    </w:p>
    <w:p w:rsidR="00000000" w:rsidRDefault="00000000"/>
    <w:p w:rsidR="00000000" w:rsidRDefault="00000000">
      <w:r>
        <w:tab/>
        <w:t>с)</w:t>
      </w:r>
      <w:r>
        <w:tab/>
        <w:t>подготовка необходимого законодательства для установления норм, регулирующих производство пищевых продуктов и торговлю ими (началась работа над проектами законов, касающихся вопросов качества коммерческой продовольственной продукции и выдачи свидетельств, в которых указывается географический район, откуда происходит данный продукт, и конкретные производственные методы), а также услуги в области обеспечения сохранности продовольствия и контроля качества на этапе производства и продажи (подготавливаются изменения порядка функционирования Центрального управления по стандартизации и инспектированию закупок и переработки сельскохозяйственной продукции).</w:t>
      </w:r>
    </w:p>
    <w:p w:rsidR="00000000" w:rsidRDefault="00000000"/>
    <w:p w:rsidR="00000000" w:rsidRDefault="00000000">
      <w:r>
        <w:t>232.</w:t>
      </w:r>
      <w:r>
        <w:tab/>
        <w:t>В дополнение к этому в течение отчетного периода министерство сельского хозяйства и пищевой промышленности принимало активное участие в работе Комиссии ФАО/ВОЗ по продовольственному кодексу и международных семинаров по вопросам качества и сохранности продовольствия, участвовало в осуществлении национальной программы здравоохранения (см. раздел, посвященный статье 12 ниже) и принимало меры в поддержку согласования действующих норм с законодательством ЕС (главным образом, в вопросах качества продовольствия).</w:t>
      </w:r>
    </w:p>
    <w:p w:rsidR="00000000" w:rsidRDefault="00000000"/>
    <w:p w:rsidR="00000000" w:rsidRDefault="00000000">
      <w:pPr>
        <w:ind w:left="1134" w:hanging="1134"/>
        <w:rPr>
          <w:b/>
          <w:bCs/>
        </w:rPr>
      </w:pPr>
      <w:r>
        <w:br w:type="page"/>
      </w:r>
      <w:r>
        <w:tab/>
      </w:r>
      <w:r>
        <w:rPr>
          <w:b/>
          <w:bCs/>
        </w:rPr>
        <w:t>4.</w:t>
      </w:r>
      <w:r>
        <w:rPr>
          <w:b/>
          <w:bCs/>
        </w:rPr>
        <w:tab/>
        <w:t>Меры, принятые правительством по обеспечению эффективного сельского хозяйства</w:t>
      </w:r>
    </w:p>
    <w:p w:rsidR="00000000" w:rsidRDefault="00000000">
      <w:pPr>
        <w:ind w:left="1134" w:hanging="1134"/>
        <w:rPr>
          <w:b/>
          <w:bCs/>
        </w:rPr>
      </w:pPr>
    </w:p>
    <w:p w:rsidR="00000000" w:rsidRDefault="00000000">
      <w:r>
        <w:t>233.</w:t>
      </w:r>
      <w:r>
        <w:tab/>
        <w:t>В среднесрочной стратегии развития сельских районов и сельского хозяйства определена роль, которую должен играть агропищевой сектор в реализации продовольственной политики в качестве наиболее эффективной и наименее затратной деятельности, направленной на укрепление здоровья населения.  Было принято решение о том, что рекомендации в отношении сектора производства, переработки и распределения продовольствия должны соответствовать новой модели потребления (при которой пищевые продукты отвечают потребностям здорового питания, т.е. содержать меньше жиров, сахара и соли, а больше клетчатки, витаминов, а также макро- и микроэлементов).  Эта задача тесно связана с дальнейшим повышением качества сырья и пищевых продуктов.  Для этого требуется внести изменения в процесс производства продовольствия и применять эффективные системы обеспечения качества, отвечающие стандартам ЕС.  На всех уровнях продовольственного сектора принимались меры по применению современных технологий, такие, как комплексное возделывание сельскохозяйственных культур, отвечающее нормам экологической безопасности, а также меры по прекращению производства продовольствия в районах загрязнения почв и районах с высокой степенью концентрации промышленной и транспортной деятельности.</w:t>
      </w:r>
    </w:p>
    <w:p w:rsidR="00000000" w:rsidRDefault="00000000"/>
    <w:p w:rsidR="00000000" w:rsidRDefault="00000000">
      <w:pPr>
        <w:pStyle w:val="10"/>
        <w:rPr>
          <w:bCs/>
        </w:rPr>
      </w:pPr>
      <w:r>
        <w:rPr>
          <w:bCs/>
        </w:rPr>
        <w:t>С.</w:t>
      </w:r>
      <w:r>
        <w:rPr>
          <w:bCs/>
        </w:rPr>
        <w:tab/>
        <w:t>Право на надлежащее жилье</w:t>
      </w:r>
    </w:p>
    <w:p w:rsidR="00000000" w:rsidRDefault="00000000">
      <w:pPr>
        <w:pStyle w:val="10"/>
        <w:rPr>
          <w:bCs/>
        </w:rPr>
      </w:pPr>
    </w:p>
    <w:p w:rsidR="00000000" w:rsidRDefault="00000000">
      <w:pPr>
        <w:rPr>
          <w:b/>
          <w:bCs/>
        </w:rPr>
      </w:pPr>
      <w:r>
        <w:rPr>
          <w:b/>
          <w:bCs/>
        </w:rPr>
        <w:tab/>
        <w:t>1.</w:t>
      </w:r>
      <w:r>
        <w:rPr>
          <w:b/>
          <w:bCs/>
        </w:rPr>
        <w:tab/>
        <w:t>Статистические данные о положении в секторе жилья</w:t>
      </w:r>
    </w:p>
    <w:p w:rsidR="00000000" w:rsidRDefault="00000000">
      <w:pPr>
        <w:rPr>
          <w:b/>
          <w:bCs/>
        </w:rPr>
      </w:pPr>
    </w:p>
    <w:p w:rsidR="00000000" w:rsidRDefault="00000000">
      <w:r>
        <w:t>234.</w:t>
      </w:r>
      <w:r>
        <w:tab/>
        <w:t>В 1998 году на 1 000 человек приходилось 300,2 жилых помещений.  Примерно 50% молодых семей проживали в отдельном жилье.  С учетом того, что в процессе строительства находились 600 000 жилых помещений и примерно 550 000 подлежали сносу, было установлено, что в течение следующих нескольких лет потребуется жилье примерно для 1,5 млн. домашних хозяйств.  В 80-е и 90-е годы на 1 000 человек в среднем вводилось в эксплуатацию два жилых помещения.  Уменьшение этих показателей было особенно ощутимым в течение переходного периода вследствие сокращения спроса при одновременном росте затрат.  Процесс "сокращения" строительной отрасли продолжается примерно с 1980 года и вызван главным образом сокращением строительства многоквартирных домов (так, например, в 1992 году было завершено строительство 96 100 жилых помещений, в то время как в 1998 году эта цифра составила лишь 38 320).  Наиболее значительное сокращение отмечается в сфере кооперативного жилищного строительства, а также муниципального строительства и строительства жилья, осуществляемого коммерческими компаниями.  В сфере частного жилья число жилых помещений, построенных в 1998 году (37 322), примерно соответствовало аналогичному показателю 1992 года (36 863).  Еще об одном аспекте финансовых проблем в области жилья свидетельствует тот факт, что жилища, арендная плата за которые не вносилась три месяца или более, составляли 7,2% общего числа (230 100 жилищ) для кооперативов, 14,2% (240 100) для муниципального жилого фонда и 8% (73 000 жилищ) для жилого фонда компаний.</w:t>
      </w:r>
    </w:p>
    <w:p w:rsidR="00000000" w:rsidRDefault="00000000">
      <w:pPr>
        <w:pStyle w:val="FootnoteText"/>
        <w:spacing w:line="288" w:lineRule="auto"/>
      </w:pPr>
    </w:p>
    <w:p w:rsidR="00000000" w:rsidRDefault="00000000">
      <w:pPr>
        <w:pStyle w:val="10"/>
        <w:jc w:val="left"/>
        <w:rPr>
          <w:b w:val="0"/>
          <w:u w:val="single"/>
        </w:rPr>
      </w:pPr>
      <w:r>
        <w:rPr>
          <w:b w:val="0"/>
        </w:rPr>
        <w:tab/>
      </w:r>
      <w:r>
        <w:rPr>
          <w:b w:val="0"/>
          <w:u w:val="single"/>
        </w:rPr>
        <w:t>Таблица 24</w:t>
      </w:r>
      <w:r>
        <w:rPr>
          <w:b w:val="0"/>
        </w:rPr>
        <w:t>.</w:t>
      </w:r>
      <w:r>
        <w:rPr>
          <w:b w:val="0"/>
        </w:rPr>
        <w:tab/>
      </w:r>
      <w:r>
        <w:rPr>
          <w:b w:val="0"/>
          <w:u w:val="single"/>
        </w:rPr>
        <w:t>Число жилых помещений, число комнат, жилая площадь</w:t>
      </w:r>
    </w:p>
    <w:p w:rsidR="00000000" w:rsidRDefault="00000000">
      <w:pPr>
        <w:pStyle w:val="10"/>
        <w:jc w:val="left"/>
        <w:rPr>
          <w:b w:val="0"/>
          <w:u w:val="single"/>
        </w:rPr>
      </w:pPr>
      <w:r>
        <w:rPr>
          <w:b w:val="0"/>
        </w:rPr>
        <w:tab/>
      </w:r>
      <w:r>
        <w:rPr>
          <w:b w:val="0"/>
        </w:rPr>
        <w:tab/>
      </w:r>
      <w:r>
        <w:rPr>
          <w:b w:val="0"/>
        </w:rPr>
        <w:tab/>
      </w:r>
      <w:r>
        <w:rPr>
          <w:b w:val="0"/>
        </w:rPr>
        <w:tab/>
      </w:r>
      <w:r>
        <w:rPr>
          <w:b w:val="0"/>
          <w:u w:val="single"/>
        </w:rPr>
        <w:t>и размеры домохозяйств, 1995-1998 годы</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5"/>
        <w:gridCol w:w="1683"/>
        <w:gridCol w:w="1683"/>
        <w:gridCol w:w="1609"/>
      </w:tblGrid>
      <w:tr w:rsidR="00000000">
        <w:tblPrEx>
          <w:tblCellMar>
            <w:top w:w="0" w:type="dxa"/>
            <w:bottom w:w="0" w:type="dxa"/>
          </w:tblCellMar>
        </w:tblPrEx>
        <w:tc>
          <w:tcPr>
            <w:tcW w:w="4596" w:type="dxa"/>
          </w:tcPr>
          <w:p w:rsidR="00000000" w:rsidRDefault="00000000">
            <w:pPr>
              <w:pStyle w:val="FootnoteText"/>
              <w:rPr>
                <w:sz w:val="22"/>
              </w:rPr>
            </w:pPr>
            <w:r>
              <w:rPr>
                <w:sz w:val="22"/>
              </w:rPr>
              <w:t>Показатель</w:t>
            </w:r>
          </w:p>
        </w:tc>
        <w:tc>
          <w:tcPr>
            <w:tcW w:w="1683" w:type="dxa"/>
          </w:tcPr>
          <w:p w:rsidR="00000000" w:rsidRDefault="00000000">
            <w:pPr>
              <w:spacing w:line="240" w:lineRule="auto"/>
              <w:jc w:val="center"/>
              <w:rPr>
                <w:sz w:val="22"/>
              </w:rPr>
            </w:pPr>
            <w:r>
              <w:rPr>
                <w:sz w:val="22"/>
              </w:rPr>
              <w:t>На 31 декабря 1995 года</w:t>
            </w:r>
          </w:p>
          <w:p w:rsidR="00000000" w:rsidRDefault="00000000">
            <w:pPr>
              <w:spacing w:line="240" w:lineRule="auto"/>
              <w:jc w:val="center"/>
              <w:rPr>
                <w:sz w:val="22"/>
              </w:rPr>
            </w:pPr>
          </w:p>
        </w:tc>
        <w:tc>
          <w:tcPr>
            <w:tcW w:w="1683" w:type="dxa"/>
          </w:tcPr>
          <w:p w:rsidR="00000000" w:rsidRDefault="00000000">
            <w:pPr>
              <w:spacing w:line="240" w:lineRule="auto"/>
              <w:jc w:val="center"/>
              <w:rPr>
                <w:sz w:val="22"/>
              </w:rPr>
            </w:pPr>
            <w:r>
              <w:rPr>
                <w:sz w:val="22"/>
              </w:rPr>
              <w:t>На 31 декабря 1997 года</w:t>
            </w:r>
          </w:p>
        </w:tc>
        <w:tc>
          <w:tcPr>
            <w:tcW w:w="1609" w:type="dxa"/>
          </w:tcPr>
          <w:p w:rsidR="00000000" w:rsidRDefault="00000000">
            <w:pPr>
              <w:spacing w:line="240" w:lineRule="auto"/>
              <w:jc w:val="center"/>
              <w:rPr>
                <w:sz w:val="22"/>
              </w:rPr>
            </w:pPr>
            <w:r>
              <w:rPr>
                <w:sz w:val="22"/>
              </w:rPr>
              <w:t>На 31 декабря 1998 года</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Населенные жилые помещения (тыс.)</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11 491,2</w:t>
            </w:r>
          </w:p>
        </w:tc>
        <w:tc>
          <w:tcPr>
            <w:tcW w:w="1683" w:type="dxa"/>
          </w:tcPr>
          <w:p w:rsidR="00000000" w:rsidRDefault="00000000">
            <w:pPr>
              <w:tabs>
                <w:tab w:val="clear" w:pos="1134"/>
              </w:tabs>
              <w:ind w:right="453"/>
              <w:jc w:val="right"/>
              <w:rPr>
                <w:sz w:val="22"/>
              </w:rPr>
            </w:pPr>
            <w:r>
              <w:rPr>
                <w:sz w:val="22"/>
              </w:rPr>
              <w:t>11 612,8</w:t>
            </w:r>
          </w:p>
        </w:tc>
        <w:tc>
          <w:tcPr>
            <w:tcW w:w="1609" w:type="dxa"/>
          </w:tcPr>
          <w:p w:rsidR="00000000" w:rsidRDefault="00000000">
            <w:pPr>
              <w:tabs>
                <w:tab w:val="clear" w:pos="1134"/>
              </w:tabs>
              <w:ind w:right="379"/>
              <w:jc w:val="right"/>
              <w:rPr>
                <w:sz w:val="22"/>
              </w:rPr>
            </w:pPr>
            <w:r>
              <w:rPr>
                <w:sz w:val="22"/>
              </w:rPr>
              <w:t>11 687,7</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ab/>
              <w:t>в том числе в городских районах</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7 662,3</w:t>
            </w:r>
          </w:p>
        </w:tc>
        <w:tc>
          <w:tcPr>
            <w:tcW w:w="1683" w:type="dxa"/>
          </w:tcPr>
          <w:p w:rsidR="00000000" w:rsidRDefault="00000000">
            <w:pPr>
              <w:tabs>
                <w:tab w:val="clear" w:pos="1134"/>
              </w:tabs>
              <w:ind w:right="453"/>
              <w:jc w:val="right"/>
              <w:rPr>
                <w:sz w:val="22"/>
              </w:rPr>
            </w:pPr>
            <w:r>
              <w:rPr>
                <w:sz w:val="22"/>
              </w:rPr>
              <w:t>7 763</w:t>
            </w:r>
          </w:p>
        </w:tc>
        <w:tc>
          <w:tcPr>
            <w:tcW w:w="1609" w:type="dxa"/>
          </w:tcPr>
          <w:p w:rsidR="00000000" w:rsidRDefault="00000000">
            <w:pPr>
              <w:tabs>
                <w:tab w:val="clear" w:pos="1134"/>
              </w:tabs>
              <w:ind w:right="379"/>
              <w:jc w:val="right"/>
              <w:rPr>
                <w:sz w:val="22"/>
              </w:rPr>
            </w:pPr>
            <w:r>
              <w:rPr>
                <w:sz w:val="22"/>
              </w:rPr>
              <w:t>7 822,8</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ab/>
              <w:t>в том числе в сельских районах</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3 828,9</w:t>
            </w:r>
          </w:p>
        </w:tc>
        <w:tc>
          <w:tcPr>
            <w:tcW w:w="1683" w:type="dxa"/>
          </w:tcPr>
          <w:p w:rsidR="00000000" w:rsidRDefault="00000000">
            <w:pPr>
              <w:tabs>
                <w:tab w:val="clear" w:pos="1134"/>
              </w:tabs>
              <w:ind w:right="453"/>
              <w:jc w:val="right"/>
              <w:rPr>
                <w:sz w:val="22"/>
              </w:rPr>
            </w:pPr>
            <w:r>
              <w:rPr>
                <w:sz w:val="22"/>
              </w:rPr>
              <w:t>3 849,8</w:t>
            </w:r>
          </w:p>
        </w:tc>
        <w:tc>
          <w:tcPr>
            <w:tcW w:w="1609" w:type="dxa"/>
          </w:tcPr>
          <w:p w:rsidR="00000000" w:rsidRDefault="00000000">
            <w:pPr>
              <w:tabs>
                <w:tab w:val="clear" w:pos="1134"/>
              </w:tabs>
              <w:ind w:right="379"/>
              <w:jc w:val="right"/>
              <w:rPr>
                <w:sz w:val="22"/>
              </w:rPr>
            </w:pPr>
            <w:r>
              <w:rPr>
                <w:sz w:val="22"/>
              </w:rPr>
              <w:t>3 864,9</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Число комнат (тыс.)</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39 623,3</w:t>
            </w:r>
          </w:p>
        </w:tc>
        <w:tc>
          <w:tcPr>
            <w:tcW w:w="1683" w:type="dxa"/>
          </w:tcPr>
          <w:p w:rsidR="00000000" w:rsidRDefault="00000000">
            <w:pPr>
              <w:tabs>
                <w:tab w:val="clear" w:pos="1134"/>
              </w:tabs>
              <w:ind w:right="453"/>
              <w:jc w:val="right"/>
              <w:rPr>
                <w:sz w:val="22"/>
              </w:rPr>
            </w:pPr>
            <w:r>
              <w:rPr>
                <w:sz w:val="22"/>
              </w:rPr>
              <w:t>40,188</w:t>
            </w:r>
          </w:p>
        </w:tc>
        <w:tc>
          <w:tcPr>
            <w:tcW w:w="1609" w:type="dxa"/>
          </w:tcPr>
          <w:p w:rsidR="00000000" w:rsidRDefault="00000000">
            <w:pPr>
              <w:tabs>
                <w:tab w:val="clear" w:pos="1134"/>
              </w:tabs>
              <w:ind w:right="379"/>
              <w:jc w:val="right"/>
              <w:rPr>
                <w:sz w:val="22"/>
              </w:rPr>
            </w:pPr>
            <w:r>
              <w:rPr>
                <w:sz w:val="22"/>
              </w:rPr>
              <w:t>40 524,3</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ab/>
              <w:t>в том числе в городских районах</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25 664,6</w:t>
            </w:r>
          </w:p>
        </w:tc>
        <w:tc>
          <w:tcPr>
            <w:tcW w:w="1683" w:type="dxa"/>
          </w:tcPr>
          <w:p w:rsidR="00000000" w:rsidRDefault="00000000">
            <w:pPr>
              <w:tabs>
                <w:tab w:val="clear" w:pos="1134"/>
              </w:tabs>
              <w:ind w:right="453"/>
              <w:jc w:val="right"/>
              <w:rPr>
                <w:sz w:val="22"/>
              </w:rPr>
            </w:pPr>
            <w:r>
              <w:rPr>
                <w:sz w:val="22"/>
              </w:rPr>
              <w:t>26 087,9</w:t>
            </w:r>
          </w:p>
        </w:tc>
        <w:tc>
          <w:tcPr>
            <w:tcW w:w="1609" w:type="dxa"/>
          </w:tcPr>
          <w:p w:rsidR="00000000" w:rsidRDefault="00000000">
            <w:pPr>
              <w:tabs>
                <w:tab w:val="clear" w:pos="1134"/>
              </w:tabs>
              <w:ind w:right="379"/>
              <w:jc w:val="right"/>
              <w:rPr>
                <w:sz w:val="22"/>
              </w:rPr>
            </w:pPr>
            <w:r>
              <w:rPr>
                <w:sz w:val="22"/>
              </w:rPr>
              <w:t>26 331,5</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ab/>
              <w:t>в том числе в сельских районах</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13 958,7</w:t>
            </w:r>
          </w:p>
        </w:tc>
        <w:tc>
          <w:tcPr>
            <w:tcW w:w="1683" w:type="dxa"/>
          </w:tcPr>
          <w:p w:rsidR="00000000" w:rsidRDefault="00000000">
            <w:pPr>
              <w:tabs>
                <w:tab w:val="clear" w:pos="1134"/>
              </w:tabs>
              <w:ind w:right="453"/>
              <w:jc w:val="right"/>
              <w:rPr>
                <w:sz w:val="22"/>
              </w:rPr>
            </w:pPr>
            <w:r>
              <w:rPr>
                <w:sz w:val="22"/>
              </w:rPr>
              <w:t>14 100,1</w:t>
            </w:r>
          </w:p>
        </w:tc>
        <w:tc>
          <w:tcPr>
            <w:tcW w:w="1609" w:type="dxa"/>
          </w:tcPr>
          <w:p w:rsidR="00000000" w:rsidRDefault="00000000">
            <w:pPr>
              <w:tabs>
                <w:tab w:val="clear" w:pos="1134"/>
              </w:tabs>
              <w:ind w:right="379"/>
              <w:jc w:val="right"/>
              <w:rPr>
                <w:sz w:val="22"/>
              </w:rPr>
            </w:pPr>
            <w:r>
              <w:rPr>
                <w:sz w:val="22"/>
              </w:rPr>
              <w:t>14 192,8</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Средняя площадь на человека (м</w:t>
            </w:r>
            <w:r>
              <w:rPr>
                <w:sz w:val="22"/>
                <w:vertAlign w:val="superscript"/>
              </w:rPr>
              <w:t>2</w:t>
            </w:r>
            <w:r>
              <w:rPr>
                <w:sz w:val="22"/>
              </w:rPr>
              <w:t>)</w:t>
            </w:r>
          </w:p>
        </w:tc>
        <w:tc>
          <w:tcPr>
            <w:tcW w:w="1683" w:type="dxa"/>
          </w:tcPr>
          <w:p w:rsidR="00000000" w:rsidRDefault="00000000">
            <w:pPr>
              <w:tabs>
                <w:tab w:val="clear" w:pos="567"/>
                <w:tab w:val="clear" w:pos="1134"/>
                <w:tab w:val="clear" w:pos="1701"/>
                <w:tab w:val="clear" w:pos="2268"/>
                <w:tab w:val="clear" w:pos="6237"/>
              </w:tabs>
              <w:ind w:right="453"/>
              <w:jc w:val="right"/>
              <w:rPr>
                <w:sz w:val="22"/>
                <w:lang w:val="en-US"/>
              </w:rPr>
            </w:pPr>
            <w:r>
              <w:rPr>
                <w:sz w:val="22"/>
                <w:lang w:val="en-US"/>
              </w:rPr>
              <w:t>18,4</w:t>
            </w:r>
          </w:p>
        </w:tc>
        <w:tc>
          <w:tcPr>
            <w:tcW w:w="1683" w:type="dxa"/>
          </w:tcPr>
          <w:p w:rsidR="00000000" w:rsidRDefault="00000000">
            <w:pPr>
              <w:tabs>
                <w:tab w:val="clear" w:pos="1134"/>
              </w:tabs>
              <w:ind w:right="453"/>
              <w:jc w:val="right"/>
              <w:rPr>
                <w:sz w:val="22"/>
                <w:lang w:val="en-US"/>
              </w:rPr>
            </w:pPr>
            <w:r>
              <w:rPr>
                <w:sz w:val="22"/>
                <w:lang w:val="en-US"/>
              </w:rPr>
              <w:t>18,6</w:t>
            </w:r>
          </w:p>
        </w:tc>
        <w:tc>
          <w:tcPr>
            <w:tcW w:w="1609" w:type="dxa"/>
          </w:tcPr>
          <w:p w:rsidR="00000000" w:rsidRDefault="00000000">
            <w:pPr>
              <w:tabs>
                <w:tab w:val="clear" w:pos="1134"/>
              </w:tabs>
              <w:ind w:right="379"/>
              <w:jc w:val="right"/>
              <w:rPr>
                <w:sz w:val="22"/>
                <w:lang w:val="en-US"/>
              </w:rPr>
            </w:pPr>
            <w:r>
              <w:rPr>
                <w:sz w:val="22"/>
                <w:lang w:val="en-US"/>
              </w:rPr>
              <w:t>18,8</w:t>
            </w:r>
          </w:p>
        </w:tc>
      </w:tr>
      <w:tr w:rsidR="00000000">
        <w:tblPrEx>
          <w:tblCellMar>
            <w:top w:w="0" w:type="dxa"/>
            <w:bottom w:w="0" w:type="dxa"/>
          </w:tblCellMar>
        </w:tblPrEx>
        <w:tc>
          <w:tcPr>
            <w:tcW w:w="4596" w:type="dxa"/>
          </w:tcPr>
          <w:p w:rsidR="00000000" w:rsidRDefault="00000000">
            <w:pPr>
              <w:tabs>
                <w:tab w:val="clear" w:pos="567"/>
                <w:tab w:val="left" w:pos="374"/>
              </w:tabs>
              <w:spacing w:line="240" w:lineRule="auto"/>
              <w:rPr>
                <w:sz w:val="22"/>
              </w:rPr>
            </w:pPr>
            <w:r>
              <w:rPr>
                <w:sz w:val="22"/>
              </w:rPr>
              <w:t>Среднее число людей, обитающих в жилом помещении</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3,29</w:t>
            </w:r>
          </w:p>
        </w:tc>
        <w:tc>
          <w:tcPr>
            <w:tcW w:w="1683" w:type="dxa"/>
          </w:tcPr>
          <w:p w:rsidR="00000000" w:rsidRDefault="00000000">
            <w:pPr>
              <w:tabs>
                <w:tab w:val="clear" w:pos="1134"/>
              </w:tabs>
              <w:ind w:right="453"/>
              <w:jc w:val="right"/>
              <w:rPr>
                <w:sz w:val="22"/>
              </w:rPr>
            </w:pPr>
            <w:r>
              <w:rPr>
                <w:sz w:val="22"/>
              </w:rPr>
              <w:t>3,26</w:t>
            </w:r>
          </w:p>
        </w:tc>
        <w:tc>
          <w:tcPr>
            <w:tcW w:w="1609" w:type="dxa"/>
          </w:tcPr>
          <w:p w:rsidR="00000000" w:rsidRDefault="00000000">
            <w:pPr>
              <w:tabs>
                <w:tab w:val="clear" w:pos="1134"/>
              </w:tabs>
              <w:ind w:right="379"/>
              <w:jc w:val="right"/>
              <w:rPr>
                <w:sz w:val="22"/>
              </w:rPr>
            </w:pPr>
            <w:r>
              <w:rPr>
                <w:sz w:val="22"/>
              </w:rPr>
              <w:t>3,24</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ab/>
              <w:t>в том числе в городских районах</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3,03</w:t>
            </w:r>
          </w:p>
        </w:tc>
        <w:tc>
          <w:tcPr>
            <w:tcW w:w="1683" w:type="dxa"/>
          </w:tcPr>
          <w:p w:rsidR="00000000" w:rsidRDefault="00000000">
            <w:pPr>
              <w:tabs>
                <w:tab w:val="clear" w:pos="1134"/>
              </w:tabs>
              <w:ind w:right="453"/>
              <w:jc w:val="right"/>
              <w:rPr>
                <w:sz w:val="22"/>
              </w:rPr>
            </w:pPr>
            <w:r>
              <w:rPr>
                <w:sz w:val="22"/>
              </w:rPr>
              <w:t>3,00</w:t>
            </w:r>
          </w:p>
        </w:tc>
        <w:tc>
          <w:tcPr>
            <w:tcW w:w="1609" w:type="dxa"/>
          </w:tcPr>
          <w:p w:rsidR="00000000" w:rsidRDefault="00000000">
            <w:pPr>
              <w:tabs>
                <w:tab w:val="clear" w:pos="1134"/>
              </w:tabs>
              <w:ind w:right="379"/>
              <w:jc w:val="right"/>
              <w:rPr>
                <w:sz w:val="22"/>
              </w:rPr>
            </w:pPr>
            <w:r>
              <w:rPr>
                <w:sz w:val="22"/>
              </w:rPr>
              <w:t>2,98</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ab/>
              <w:t>в том числе в сельских районах</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3,82</w:t>
            </w:r>
          </w:p>
        </w:tc>
        <w:tc>
          <w:tcPr>
            <w:tcW w:w="1683" w:type="dxa"/>
          </w:tcPr>
          <w:p w:rsidR="00000000" w:rsidRDefault="00000000">
            <w:pPr>
              <w:tabs>
                <w:tab w:val="clear" w:pos="1134"/>
              </w:tabs>
              <w:ind w:right="453"/>
              <w:jc w:val="right"/>
              <w:rPr>
                <w:sz w:val="22"/>
              </w:rPr>
            </w:pPr>
            <w:r>
              <w:rPr>
                <w:sz w:val="22"/>
              </w:rPr>
              <w:t>3,80</w:t>
            </w:r>
          </w:p>
        </w:tc>
        <w:tc>
          <w:tcPr>
            <w:tcW w:w="1609" w:type="dxa"/>
          </w:tcPr>
          <w:p w:rsidR="00000000" w:rsidRDefault="00000000">
            <w:pPr>
              <w:tabs>
                <w:tab w:val="clear" w:pos="1134"/>
              </w:tabs>
              <w:ind w:right="379"/>
              <w:jc w:val="right"/>
              <w:rPr>
                <w:sz w:val="22"/>
              </w:rPr>
            </w:pPr>
            <w:r>
              <w:rPr>
                <w:sz w:val="22"/>
              </w:rPr>
              <w:t>3,79</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Среднее число людей на комнату</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0,96</w:t>
            </w:r>
          </w:p>
        </w:tc>
        <w:tc>
          <w:tcPr>
            <w:tcW w:w="1683" w:type="dxa"/>
          </w:tcPr>
          <w:p w:rsidR="00000000" w:rsidRDefault="00000000">
            <w:pPr>
              <w:tabs>
                <w:tab w:val="clear" w:pos="1134"/>
              </w:tabs>
              <w:ind w:right="453"/>
              <w:jc w:val="right"/>
              <w:rPr>
                <w:sz w:val="22"/>
              </w:rPr>
            </w:pPr>
            <w:r>
              <w:rPr>
                <w:sz w:val="22"/>
              </w:rPr>
              <w:t>0,94</w:t>
            </w:r>
          </w:p>
        </w:tc>
        <w:tc>
          <w:tcPr>
            <w:tcW w:w="1609" w:type="dxa"/>
          </w:tcPr>
          <w:p w:rsidR="00000000" w:rsidRDefault="00000000">
            <w:pPr>
              <w:tabs>
                <w:tab w:val="clear" w:pos="1134"/>
              </w:tabs>
              <w:ind w:right="379"/>
              <w:jc w:val="right"/>
              <w:rPr>
                <w:sz w:val="22"/>
              </w:rPr>
            </w:pPr>
            <w:r>
              <w:rPr>
                <w:sz w:val="22"/>
              </w:rPr>
              <w:t>0,94</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ab/>
              <w:t>в том числе в городских районах</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0,91</w:t>
            </w:r>
          </w:p>
        </w:tc>
        <w:tc>
          <w:tcPr>
            <w:tcW w:w="1683" w:type="dxa"/>
          </w:tcPr>
          <w:p w:rsidR="00000000" w:rsidRDefault="00000000">
            <w:pPr>
              <w:tabs>
                <w:tab w:val="clear" w:pos="1134"/>
              </w:tabs>
              <w:ind w:right="453"/>
              <w:jc w:val="right"/>
              <w:rPr>
                <w:sz w:val="22"/>
              </w:rPr>
            </w:pPr>
            <w:r>
              <w:rPr>
                <w:sz w:val="22"/>
              </w:rPr>
              <w:t>0,89</w:t>
            </w:r>
          </w:p>
        </w:tc>
        <w:tc>
          <w:tcPr>
            <w:tcW w:w="1609" w:type="dxa"/>
          </w:tcPr>
          <w:p w:rsidR="00000000" w:rsidRDefault="00000000">
            <w:pPr>
              <w:tabs>
                <w:tab w:val="clear" w:pos="1134"/>
              </w:tabs>
              <w:ind w:right="379"/>
              <w:jc w:val="right"/>
              <w:rPr>
                <w:sz w:val="22"/>
              </w:rPr>
            </w:pPr>
            <w:r>
              <w:rPr>
                <w:sz w:val="22"/>
              </w:rPr>
              <w:t>0,88</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ab/>
              <w:t>в том числе в сельских районах</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1,05</w:t>
            </w:r>
          </w:p>
        </w:tc>
        <w:tc>
          <w:tcPr>
            <w:tcW w:w="1683" w:type="dxa"/>
          </w:tcPr>
          <w:p w:rsidR="00000000" w:rsidRDefault="00000000">
            <w:pPr>
              <w:tabs>
                <w:tab w:val="clear" w:pos="1134"/>
              </w:tabs>
              <w:ind w:right="453"/>
              <w:jc w:val="right"/>
              <w:rPr>
                <w:sz w:val="22"/>
              </w:rPr>
            </w:pPr>
            <w:r>
              <w:rPr>
                <w:sz w:val="22"/>
              </w:rPr>
              <w:t>1,04</w:t>
            </w:r>
          </w:p>
        </w:tc>
        <w:tc>
          <w:tcPr>
            <w:tcW w:w="1609" w:type="dxa"/>
          </w:tcPr>
          <w:p w:rsidR="00000000" w:rsidRDefault="00000000">
            <w:pPr>
              <w:tabs>
                <w:tab w:val="clear" w:pos="1134"/>
              </w:tabs>
              <w:ind w:right="379"/>
              <w:jc w:val="right"/>
              <w:rPr>
                <w:sz w:val="22"/>
              </w:rPr>
            </w:pPr>
            <w:r>
              <w:rPr>
                <w:sz w:val="22"/>
              </w:rPr>
              <w:t>1,03</w:t>
            </w:r>
          </w:p>
        </w:tc>
      </w:tr>
      <w:tr w:rsidR="00000000">
        <w:tblPrEx>
          <w:tblCellMar>
            <w:top w:w="0" w:type="dxa"/>
            <w:bottom w:w="0" w:type="dxa"/>
          </w:tblCellMar>
        </w:tblPrEx>
        <w:tc>
          <w:tcPr>
            <w:tcW w:w="4596" w:type="dxa"/>
          </w:tcPr>
          <w:p w:rsidR="00000000" w:rsidRDefault="00000000">
            <w:pPr>
              <w:tabs>
                <w:tab w:val="clear" w:pos="567"/>
                <w:tab w:val="left" w:pos="374"/>
              </w:tabs>
              <w:spacing w:line="240" w:lineRule="auto"/>
              <w:rPr>
                <w:sz w:val="22"/>
              </w:rPr>
            </w:pPr>
            <w:r>
              <w:rPr>
                <w:sz w:val="22"/>
              </w:rPr>
              <w:t>Средняя полезная площадь жилого помещения (м</w:t>
            </w:r>
            <w:r>
              <w:rPr>
                <w:sz w:val="22"/>
                <w:vertAlign w:val="superscript"/>
              </w:rPr>
              <w:t>2</w:t>
            </w:r>
            <w:r>
              <w:rPr>
                <w:sz w:val="22"/>
              </w:rPr>
              <w:t>)</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60,5</w:t>
            </w:r>
          </w:p>
        </w:tc>
        <w:tc>
          <w:tcPr>
            <w:tcW w:w="1683" w:type="dxa"/>
          </w:tcPr>
          <w:p w:rsidR="00000000" w:rsidRDefault="00000000">
            <w:pPr>
              <w:tabs>
                <w:tab w:val="clear" w:pos="1134"/>
              </w:tabs>
              <w:ind w:right="453"/>
              <w:jc w:val="right"/>
              <w:rPr>
                <w:sz w:val="22"/>
              </w:rPr>
            </w:pPr>
            <w:r>
              <w:rPr>
                <w:sz w:val="22"/>
              </w:rPr>
              <w:t>60,9</w:t>
            </w:r>
          </w:p>
        </w:tc>
        <w:tc>
          <w:tcPr>
            <w:tcW w:w="1609" w:type="dxa"/>
          </w:tcPr>
          <w:p w:rsidR="00000000" w:rsidRDefault="00000000">
            <w:pPr>
              <w:tabs>
                <w:tab w:val="clear" w:pos="1134"/>
              </w:tabs>
              <w:ind w:right="379"/>
              <w:jc w:val="right"/>
              <w:rPr>
                <w:sz w:val="22"/>
              </w:rPr>
            </w:pPr>
            <w:r>
              <w:rPr>
                <w:sz w:val="22"/>
              </w:rPr>
              <w:t>61,1</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ab/>
              <w:t>в том числе в городских районах</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55,2</w:t>
            </w:r>
          </w:p>
        </w:tc>
        <w:tc>
          <w:tcPr>
            <w:tcW w:w="1683" w:type="dxa"/>
          </w:tcPr>
          <w:p w:rsidR="00000000" w:rsidRDefault="00000000">
            <w:pPr>
              <w:tabs>
                <w:tab w:val="clear" w:pos="1134"/>
              </w:tabs>
              <w:ind w:right="453"/>
              <w:jc w:val="right"/>
              <w:rPr>
                <w:sz w:val="22"/>
              </w:rPr>
            </w:pPr>
            <w:r>
              <w:rPr>
                <w:sz w:val="22"/>
              </w:rPr>
              <w:t>55,6</w:t>
            </w:r>
          </w:p>
        </w:tc>
        <w:tc>
          <w:tcPr>
            <w:tcW w:w="1609" w:type="dxa"/>
          </w:tcPr>
          <w:p w:rsidR="00000000" w:rsidRDefault="00000000">
            <w:pPr>
              <w:tabs>
                <w:tab w:val="clear" w:pos="1134"/>
              </w:tabs>
              <w:ind w:right="379"/>
              <w:jc w:val="right"/>
              <w:rPr>
                <w:sz w:val="22"/>
              </w:rPr>
            </w:pPr>
            <w:r>
              <w:rPr>
                <w:sz w:val="22"/>
              </w:rPr>
              <w:t>55,8</w:t>
            </w:r>
          </w:p>
        </w:tc>
      </w:tr>
      <w:tr w:rsidR="00000000">
        <w:tblPrEx>
          <w:tblCellMar>
            <w:top w:w="0" w:type="dxa"/>
            <w:bottom w:w="0" w:type="dxa"/>
          </w:tblCellMar>
        </w:tblPrEx>
        <w:tc>
          <w:tcPr>
            <w:tcW w:w="4596" w:type="dxa"/>
          </w:tcPr>
          <w:p w:rsidR="00000000" w:rsidRDefault="00000000">
            <w:pPr>
              <w:tabs>
                <w:tab w:val="clear" w:pos="567"/>
                <w:tab w:val="left" w:pos="374"/>
              </w:tabs>
              <w:rPr>
                <w:sz w:val="22"/>
              </w:rPr>
            </w:pPr>
            <w:r>
              <w:rPr>
                <w:sz w:val="22"/>
              </w:rPr>
              <w:tab/>
              <w:t>в том числе в сельских районах</w:t>
            </w:r>
          </w:p>
        </w:tc>
        <w:tc>
          <w:tcPr>
            <w:tcW w:w="1683" w:type="dxa"/>
          </w:tcPr>
          <w:p w:rsidR="00000000" w:rsidRDefault="00000000">
            <w:pPr>
              <w:tabs>
                <w:tab w:val="clear" w:pos="567"/>
                <w:tab w:val="clear" w:pos="1134"/>
                <w:tab w:val="clear" w:pos="1701"/>
                <w:tab w:val="clear" w:pos="2268"/>
                <w:tab w:val="clear" w:pos="6237"/>
              </w:tabs>
              <w:ind w:right="453"/>
              <w:jc w:val="right"/>
              <w:rPr>
                <w:sz w:val="22"/>
              </w:rPr>
            </w:pPr>
            <w:r>
              <w:rPr>
                <w:sz w:val="22"/>
              </w:rPr>
              <w:t>71,0</w:t>
            </w:r>
          </w:p>
        </w:tc>
        <w:tc>
          <w:tcPr>
            <w:tcW w:w="1683" w:type="dxa"/>
          </w:tcPr>
          <w:p w:rsidR="00000000" w:rsidRDefault="00000000">
            <w:pPr>
              <w:tabs>
                <w:tab w:val="clear" w:pos="1134"/>
              </w:tabs>
              <w:ind w:right="453"/>
              <w:jc w:val="right"/>
              <w:rPr>
                <w:sz w:val="22"/>
              </w:rPr>
            </w:pPr>
            <w:r>
              <w:rPr>
                <w:sz w:val="22"/>
              </w:rPr>
              <w:t>71,5</w:t>
            </w:r>
          </w:p>
        </w:tc>
        <w:tc>
          <w:tcPr>
            <w:tcW w:w="1609" w:type="dxa"/>
          </w:tcPr>
          <w:p w:rsidR="00000000" w:rsidRDefault="00000000">
            <w:pPr>
              <w:tabs>
                <w:tab w:val="clear" w:pos="1134"/>
              </w:tabs>
              <w:ind w:right="379"/>
              <w:jc w:val="right"/>
              <w:rPr>
                <w:sz w:val="22"/>
              </w:rPr>
            </w:pPr>
            <w:r>
              <w:rPr>
                <w:sz w:val="22"/>
              </w:rPr>
              <w:t>71,7</w:t>
            </w:r>
          </w:p>
        </w:tc>
      </w:tr>
    </w:tbl>
    <w:p w:rsidR="00000000" w:rsidRDefault="00000000">
      <w:pPr>
        <w:spacing w:line="240" w:lineRule="auto"/>
      </w:pPr>
    </w:p>
    <w:p w:rsidR="00000000" w:rsidRDefault="00000000">
      <w:pPr>
        <w:spacing w:line="240" w:lineRule="auto"/>
      </w:pPr>
      <w:r>
        <w:tab/>
      </w:r>
      <w:r>
        <w:rPr>
          <w:u w:val="single"/>
        </w:rPr>
        <w:t>Источник</w:t>
      </w:r>
      <w:r>
        <w:t>:  данные Главного статистического управления и Управления жилищного строительства и градостроительства.</w:t>
      </w:r>
    </w:p>
    <w:p w:rsidR="00000000" w:rsidRDefault="00000000">
      <w:pPr>
        <w:spacing w:line="240" w:lineRule="auto"/>
      </w:pPr>
    </w:p>
    <w:p w:rsidR="00000000" w:rsidRDefault="00000000">
      <w:pPr>
        <w:pStyle w:val="10"/>
        <w:spacing w:line="240" w:lineRule="auto"/>
        <w:rPr>
          <w:b w:val="0"/>
        </w:rPr>
      </w:pPr>
      <w:r>
        <w:rPr>
          <w:b w:val="0"/>
          <w:u w:val="single"/>
        </w:rPr>
        <w:t>Таблица 25</w:t>
      </w:r>
      <w:r>
        <w:rPr>
          <w:b w:val="0"/>
        </w:rPr>
        <w:t>.</w:t>
      </w:r>
      <w:r>
        <w:rPr>
          <w:b w:val="0"/>
        </w:rPr>
        <w:tab/>
      </w:r>
      <w:r>
        <w:rPr>
          <w:b w:val="0"/>
          <w:u w:val="single"/>
        </w:rPr>
        <w:t>Число полностью построенных жилищ в 1995-1998 годах (тыс</w:t>
      </w:r>
      <w:r>
        <w:rPr>
          <w:b w:val="0"/>
        </w:rPr>
        <w:t>.)</w:t>
      </w:r>
    </w:p>
    <w:p w:rsidR="00000000" w:rsidRDefault="00000000">
      <w:pPr>
        <w:pStyle w:val="10"/>
        <w:spacing w:line="240" w:lineRule="auto"/>
        <w:rPr>
          <w:bCs/>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5"/>
        <w:gridCol w:w="1449"/>
        <w:gridCol w:w="1449"/>
        <w:gridCol w:w="1449"/>
        <w:gridCol w:w="1450"/>
      </w:tblGrid>
      <w:tr w:rsidR="00000000">
        <w:tblPrEx>
          <w:tblCellMar>
            <w:top w:w="0" w:type="dxa"/>
            <w:bottom w:w="0" w:type="dxa"/>
          </w:tblCellMar>
        </w:tblPrEx>
        <w:tc>
          <w:tcPr>
            <w:tcW w:w="2805" w:type="dxa"/>
          </w:tcPr>
          <w:p w:rsidR="00000000" w:rsidRDefault="00000000">
            <w:pPr>
              <w:pStyle w:val="FootnoteText"/>
              <w:rPr>
                <w:sz w:val="22"/>
              </w:rPr>
            </w:pPr>
            <w:r>
              <w:rPr>
                <w:sz w:val="22"/>
              </w:rPr>
              <w:t>Показатель</w:t>
            </w:r>
          </w:p>
        </w:tc>
        <w:tc>
          <w:tcPr>
            <w:tcW w:w="1449" w:type="dxa"/>
          </w:tcPr>
          <w:p w:rsidR="00000000" w:rsidRDefault="00000000">
            <w:pPr>
              <w:spacing w:line="240" w:lineRule="auto"/>
              <w:jc w:val="center"/>
              <w:rPr>
                <w:sz w:val="22"/>
              </w:rPr>
            </w:pPr>
            <w:r>
              <w:rPr>
                <w:sz w:val="22"/>
              </w:rPr>
              <w:t>1995 год</w:t>
            </w:r>
          </w:p>
        </w:tc>
        <w:tc>
          <w:tcPr>
            <w:tcW w:w="1449" w:type="dxa"/>
          </w:tcPr>
          <w:p w:rsidR="00000000" w:rsidRDefault="00000000">
            <w:pPr>
              <w:spacing w:line="240" w:lineRule="auto"/>
              <w:jc w:val="center"/>
              <w:rPr>
                <w:sz w:val="22"/>
              </w:rPr>
            </w:pPr>
            <w:r>
              <w:rPr>
                <w:sz w:val="22"/>
              </w:rPr>
              <w:t>1996 год</w:t>
            </w:r>
          </w:p>
        </w:tc>
        <w:tc>
          <w:tcPr>
            <w:tcW w:w="1449" w:type="dxa"/>
          </w:tcPr>
          <w:p w:rsidR="00000000" w:rsidRDefault="00000000">
            <w:pPr>
              <w:spacing w:line="240" w:lineRule="auto"/>
              <w:jc w:val="center"/>
              <w:rPr>
                <w:sz w:val="22"/>
              </w:rPr>
            </w:pPr>
            <w:r>
              <w:rPr>
                <w:sz w:val="22"/>
              </w:rPr>
              <w:t>1997 год</w:t>
            </w:r>
          </w:p>
        </w:tc>
        <w:tc>
          <w:tcPr>
            <w:tcW w:w="1450" w:type="dxa"/>
          </w:tcPr>
          <w:p w:rsidR="00000000" w:rsidRDefault="00000000">
            <w:pPr>
              <w:spacing w:line="240" w:lineRule="auto"/>
              <w:jc w:val="center"/>
              <w:rPr>
                <w:sz w:val="22"/>
              </w:rPr>
            </w:pPr>
            <w:r>
              <w:rPr>
                <w:sz w:val="22"/>
              </w:rPr>
              <w:t>1998 год</w:t>
            </w:r>
          </w:p>
        </w:tc>
      </w:tr>
      <w:tr w:rsidR="00000000">
        <w:tblPrEx>
          <w:tblCellMar>
            <w:top w:w="0" w:type="dxa"/>
            <w:bottom w:w="0" w:type="dxa"/>
          </w:tblCellMar>
        </w:tblPrEx>
        <w:tc>
          <w:tcPr>
            <w:tcW w:w="2805" w:type="dxa"/>
          </w:tcPr>
          <w:p w:rsidR="00000000" w:rsidRDefault="00000000">
            <w:pPr>
              <w:spacing w:line="240" w:lineRule="auto"/>
              <w:rPr>
                <w:sz w:val="22"/>
              </w:rPr>
            </w:pPr>
            <w:r>
              <w:rPr>
                <w:sz w:val="22"/>
              </w:rPr>
              <w:t>Всего</w:t>
            </w:r>
          </w:p>
        </w:tc>
        <w:tc>
          <w:tcPr>
            <w:tcW w:w="1449" w:type="dxa"/>
          </w:tcPr>
          <w:p w:rsidR="00000000" w:rsidRDefault="00000000">
            <w:pPr>
              <w:spacing w:line="240" w:lineRule="auto"/>
              <w:jc w:val="center"/>
              <w:rPr>
                <w:sz w:val="22"/>
              </w:rPr>
            </w:pPr>
            <w:r>
              <w:rPr>
                <w:sz w:val="22"/>
              </w:rPr>
              <w:t>67,1</w:t>
            </w:r>
          </w:p>
        </w:tc>
        <w:tc>
          <w:tcPr>
            <w:tcW w:w="1449" w:type="dxa"/>
          </w:tcPr>
          <w:p w:rsidR="00000000" w:rsidRDefault="00000000">
            <w:pPr>
              <w:spacing w:line="240" w:lineRule="auto"/>
              <w:jc w:val="center"/>
              <w:rPr>
                <w:sz w:val="22"/>
              </w:rPr>
            </w:pPr>
            <w:r>
              <w:rPr>
                <w:sz w:val="22"/>
              </w:rPr>
              <w:t>62,1</w:t>
            </w:r>
          </w:p>
        </w:tc>
        <w:tc>
          <w:tcPr>
            <w:tcW w:w="1449" w:type="dxa"/>
          </w:tcPr>
          <w:p w:rsidR="00000000" w:rsidRDefault="00000000">
            <w:pPr>
              <w:spacing w:line="240" w:lineRule="auto"/>
              <w:jc w:val="center"/>
              <w:rPr>
                <w:sz w:val="22"/>
              </w:rPr>
            </w:pPr>
            <w:r>
              <w:rPr>
                <w:sz w:val="22"/>
              </w:rPr>
              <w:t>73,7</w:t>
            </w:r>
          </w:p>
        </w:tc>
        <w:tc>
          <w:tcPr>
            <w:tcW w:w="1450" w:type="dxa"/>
          </w:tcPr>
          <w:p w:rsidR="00000000" w:rsidRDefault="00000000">
            <w:pPr>
              <w:spacing w:line="240" w:lineRule="auto"/>
              <w:jc w:val="center"/>
              <w:rPr>
                <w:sz w:val="22"/>
              </w:rPr>
            </w:pPr>
            <w:r>
              <w:rPr>
                <w:sz w:val="22"/>
              </w:rPr>
              <w:t>80,6</w:t>
            </w:r>
          </w:p>
        </w:tc>
      </w:tr>
      <w:tr w:rsidR="00000000">
        <w:tblPrEx>
          <w:tblCellMar>
            <w:top w:w="0" w:type="dxa"/>
            <w:bottom w:w="0" w:type="dxa"/>
          </w:tblCellMar>
        </w:tblPrEx>
        <w:tc>
          <w:tcPr>
            <w:tcW w:w="2805" w:type="dxa"/>
          </w:tcPr>
          <w:p w:rsidR="00000000" w:rsidRDefault="00000000">
            <w:pPr>
              <w:spacing w:line="240" w:lineRule="auto"/>
              <w:rPr>
                <w:sz w:val="22"/>
              </w:rPr>
            </w:pPr>
            <w:r>
              <w:rPr>
                <w:sz w:val="22"/>
              </w:rPr>
              <w:t>Городские районы</w:t>
            </w:r>
          </w:p>
        </w:tc>
        <w:tc>
          <w:tcPr>
            <w:tcW w:w="1449" w:type="dxa"/>
          </w:tcPr>
          <w:p w:rsidR="00000000" w:rsidRDefault="00000000">
            <w:pPr>
              <w:spacing w:line="240" w:lineRule="auto"/>
              <w:jc w:val="center"/>
              <w:rPr>
                <w:sz w:val="22"/>
              </w:rPr>
            </w:pPr>
            <w:r>
              <w:rPr>
                <w:sz w:val="22"/>
              </w:rPr>
              <w:t>48,2</w:t>
            </w:r>
          </w:p>
        </w:tc>
        <w:tc>
          <w:tcPr>
            <w:tcW w:w="1449" w:type="dxa"/>
          </w:tcPr>
          <w:p w:rsidR="00000000" w:rsidRDefault="00000000">
            <w:pPr>
              <w:spacing w:line="240" w:lineRule="auto"/>
              <w:jc w:val="center"/>
              <w:rPr>
                <w:sz w:val="22"/>
              </w:rPr>
            </w:pPr>
            <w:r>
              <w:rPr>
                <w:sz w:val="22"/>
              </w:rPr>
              <w:t>45,3</w:t>
            </w:r>
          </w:p>
        </w:tc>
        <w:tc>
          <w:tcPr>
            <w:tcW w:w="1449" w:type="dxa"/>
          </w:tcPr>
          <w:p w:rsidR="00000000" w:rsidRDefault="00000000">
            <w:pPr>
              <w:spacing w:line="240" w:lineRule="auto"/>
              <w:jc w:val="center"/>
              <w:rPr>
                <w:sz w:val="22"/>
              </w:rPr>
            </w:pPr>
            <w:r>
              <w:rPr>
                <w:sz w:val="22"/>
              </w:rPr>
              <w:t>55,2</w:t>
            </w:r>
          </w:p>
        </w:tc>
        <w:tc>
          <w:tcPr>
            <w:tcW w:w="1450" w:type="dxa"/>
          </w:tcPr>
          <w:p w:rsidR="00000000" w:rsidRDefault="00000000">
            <w:pPr>
              <w:spacing w:line="240" w:lineRule="auto"/>
              <w:jc w:val="center"/>
              <w:rPr>
                <w:sz w:val="22"/>
              </w:rPr>
            </w:pPr>
            <w:r>
              <w:rPr>
                <w:sz w:val="22"/>
              </w:rPr>
              <w:t>61,6</w:t>
            </w:r>
          </w:p>
        </w:tc>
      </w:tr>
      <w:tr w:rsidR="00000000">
        <w:tblPrEx>
          <w:tblCellMar>
            <w:top w:w="0" w:type="dxa"/>
            <w:bottom w:w="0" w:type="dxa"/>
          </w:tblCellMar>
        </w:tblPrEx>
        <w:tc>
          <w:tcPr>
            <w:tcW w:w="2805" w:type="dxa"/>
          </w:tcPr>
          <w:p w:rsidR="00000000" w:rsidRDefault="00000000">
            <w:pPr>
              <w:spacing w:line="240" w:lineRule="auto"/>
              <w:rPr>
                <w:sz w:val="22"/>
              </w:rPr>
            </w:pPr>
            <w:r>
              <w:rPr>
                <w:sz w:val="22"/>
              </w:rPr>
              <w:t>Сельские районы</w:t>
            </w:r>
          </w:p>
        </w:tc>
        <w:tc>
          <w:tcPr>
            <w:tcW w:w="1449" w:type="dxa"/>
          </w:tcPr>
          <w:p w:rsidR="00000000" w:rsidRDefault="00000000">
            <w:pPr>
              <w:spacing w:line="240" w:lineRule="auto"/>
              <w:jc w:val="center"/>
              <w:rPr>
                <w:sz w:val="22"/>
              </w:rPr>
            </w:pPr>
            <w:r>
              <w:rPr>
                <w:sz w:val="22"/>
              </w:rPr>
              <w:t>18,9</w:t>
            </w:r>
          </w:p>
        </w:tc>
        <w:tc>
          <w:tcPr>
            <w:tcW w:w="1449" w:type="dxa"/>
          </w:tcPr>
          <w:p w:rsidR="00000000" w:rsidRDefault="00000000">
            <w:pPr>
              <w:spacing w:line="240" w:lineRule="auto"/>
              <w:jc w:val="center"/>
              <w:rPr>
                <w:sz w:val="22"/>
              </w:rPr>
            </w:pPr>
            <w:r>
              <w:rPr>
                <w:sz w:val="22"/>
              </w:rPr>
              <w:t>16,8</w:t>
            </w:r>
          </w:p>
        </w:tc>
        <w:tc>
          <w:tcPr>
            <w:tcW w:w="1449" w:type="dxa"/>
          </w:tcPr>
          <w:p w:rsidR="00000000" w:rsidRDefault="00000000">
            <w:pPr>
              <w:spacing w:line="240" w:lineRule="auto"/>
              <w:jc w:val="center"/>
              <w:rPr>
                <w:sz w:val="22"/>
              </w:rPr>
            </w:pPr>
            <w:r>
              <w:rPr>
                <w:sz w:val="22"/>
              </w:rPr>
              <w:t>18,5</w:t>
            </w:r>
          </w:p>
        </w:tc>
        <w:tc>
          <w:tcPr>
            <w:tcW w:w="1450" w:type="dxa"/>
          </w:tcPr>
          <w:p w:rsidR="00000000" w:rsidRDefault="00000000">
            <w:pPr>
              <w:spacing w:line="240" w:lineRule="auto"/>
              <w:jc w:val="center"/>
              <w:rPr>
                <w:sz w:val="22"/>
              </w:rPr>
            </w:pPr>
            <w:r>
              <w:rPr>
                <w:sz w:val="22"/>
              </w:rPr>
              <w:t>19,0</w:t>
            </w:r>
          </w:p>
        </w:tc>
      </w:tr>
    </w:tbl>
    <w:p w:rsidR="00000000" w:rsidRDefault="00000000">
      <w:pPr>
        <w:spacing w:line="240" w:lineRule="auto"/>
      </w:pPr>
    </w:p>
    <w:p w:rsidR="00000000" w:rsidRDefault="00000000">
      <w:pPr>
        <w:spacing w:line="240" w:lineRule="auto"/>
      </w:pPr>
      <w:r>
        <w:tab/>
      </w:r>
      <w:r>
        <w:rPr>
          <w:u w:val="single"/>
        </w:rPr>
        <w:t>Источник</w:t>
      </w:r>
      <w:r>
        <w:t>:  Данные Главного статистического управления и Управления жилищного строительства и градостроительства.</w:t>
      </w:r>
    </w:p>
    <w:p w:rsidR="00000000" w:rsidRDefault="00000000"/>
    <w:p w:rsidR="00000000" w:rsidRDefault="00000000">
      <w:r>
        <w:t>235.</w:t>
      </w:r>
      <w:r>
        <w:tab/>
        <w:t>По состоянию на конец 1997 года на стадии строительства находились 602 875 жилых помещений, что на 4,6% превышает соответствующий показатель конца 1996 года.  В 1997 году началось строительство 97 835 жилых помещений, что на 0,8% меньше по сравнению с 1996 годом.  В том же году самое большое число жилых помещений на 1 000 человек было построено в Белостокском воеводстве (4,4) и Варшавском и Краковском воеводствах (по 3,3 в каждом), а наименьшее число - в Катовицком воеводстве (0,7) и Валбжиском воеводстве (0,8) (согласно административному делению на 49 воеводств, действовавшему до 31 декабря 1998 года).  Такая разница объясняется тем, что Катовицкое и Валбжиское воеводства представляют собой районы с сильно загрязненной и деградировавшей окружающей средой, слаборазвитой инфраструктурой и социальной системой, являясь районами добычи каменного угля, лишь становящимися на путь реструктуризации.</w:t>
      </w:r>
    </w:p>
    <w:p w:rsidR="00000000" w:rsidRDefault="00000000">
      <w:pPr>
        <w:rPr>
          <w:bCs/>
        </w:rPr>
      </w:pPr>
    </w:p>
    <w:p w:rsidR="00000000" w:rsidRDefault="00000000">
      <w:pPr>
        <w:pStyle w:val="10"/>
        <w:tabs>
          <w:tab w:val="left" w:pos="3366"/>
        </w:tabs>
        <w:ind w:left="3366" w:hanging="3366"/>
        <w:rPr>
          <w:b w:val="0"/>
          <w:bCs/>
        </w:rPr>
      </w:pPr>
      <w:r>
        <w:rPr>
          <w:b w:val="0"/>
          <w:bCs/>
          <w:u w:val="single"/>
        </w:rPr>
        <w:t>Таблица 26</w:t>
      </w:r>
      <w:r>
        <w:rPr>
          <w:b w:val="0"/>
          <w:bCs/>
        </w:rPr>
        <w:t xml:space="preserve">.   </w:t>
      </w:r>
      <w:r>
        <w:rPr>
          <w:b w:val="0"/>
          <w:bCs/>
          <w:u w:val="single"/>
        </w:rPr>
        <w:t>Средняя площадь жилых помещений, построенных в 1995-1998 годах (м</w:t>
      </w:r>
      <w:r>
        <w:rPr>
          <w:b w:val="0"/>
          <w:bCs/>
          <w:vertAlign w:val="superscript"/>
        </w:rPr>
        <w:t>2</w:t>
      </w:r>
      <w:r>
        <w:rPr>
          <w:b w:val="0"/>
          <w:bCs/>
        </w:rPr>
        <w:t>)</w:t>
      </w:r>
    </w:p>
    <w:p w:rsidR="00000000" w:rsidRDefault="00000000">
      <w:pPr>
        <w:tabs>
          <w:tab w:val="left" w:pos="3366"/>
        </w:tabs>
        <w:rPr>
          <w:bCs/>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5"/>
        <w:gridCol w:w="1449"/>
        <w:gridCol w:w="1449"/>
        <w:gridCol w:w="1449"/>
        <w:gridCol w:w="1450"/>
      </w:tblGrid>
      <w:tr w:rsidR="00000000">
        <w:tblPrEx>
          <w:tblCellMar>
            <w:top w:w="0" w:type="dxa"/>
            <w:bottom w:w="0" w:type="dxa"/>
          </w:tblCellMar>
        </w:tblPrEx>
        <w:tc>
          <w:tcPr>
            <w:tcW w:w="2805" w:type="dxa"/>
          </w:tcPr>
          <w:p w:rsidR="00000000" w:rsidRDefault="00000000">
            <w:pPr>
              <w:pStyle w:val="FootnoteText"/>
              <w:spacing w:line="288" w:lineRule="auto"/>
              <w:rPr>
                <w:sz w:val="22"/>
              </w:rPr>
            </w:pPr>
            <w:r>
              <w:rPr>
                <w:sz w:val="22"/>
              </w:rPr>
              <w:t>Показатель</w:t>
            </w:r>
          </w:p>
        </w:tc>
        <w:tc>
          <w:tcPr>
            <w:tcW w:w="1449" w:type="dxa"/>
          </w:tcPr>
          <w:p w:rsidR="00000000" w:rsidRDefault="00000000">
            <w:pPr>
              <w:jc w:val="center"/>
              <w:rPr>
                <w:sz w:val="22"/>
              </w:rPr>
            </w:pPr>
            <w:r>
              <w:rPr>
                <w:sz w:val="22"/>
              </w:rPr>
              <w:t>1995 год</w:t>
            </w:r>
          </w:p>
        </w:tc>
        <w:tc>
          <w:tcPr>
            <w:tcW w:w="1449" w:type="dxa"/>
          </w:tcPr>
          <w:p w:rsidR="00000000" w:rsidRDefault="00000000">
            <w:pPr>
              <w:jc w:val="center"/>
              <w:rPr>
                <w:sz w:val="22"/>
              </w:rPr>
            </w:pPr>
            <w:r>
              <w:rPr>
                <w:sz w:val="22"/>
              </w:rPr>
              <w:t>1996 год</w:t>
            </w:r>
          </w:p>
        </w:tc>
        <w:tc>
          <w:tcPr>
            <w:tcW w:w="1449" w:type="dxa"/>
          </w:tcPr>
          <w:p w:rsidR="00000000" w:rsidRDefault="00000000">
            <w:pPr>
              <w:jc w:val="center"/>
              <w:rPr>
                <w:sz w:val="22"/>
              </w:rPr>
            </w:pPr>
            <w:r>
              <w:rPr>
                <w:sz w:val="22"/>
              </w:rPr>
              <w:t>1997 год</w:t>
            </w:r>
          </w:p>
        </w:tc>
        <w:tc>
          <w:tcPr>
            <w:tcW w:w="1450" w:type="dxa"/>
          </w:tcPr>
          <w:p w:rsidR="00000000" w:rsidRDefault="00000000">
            <w:pPr>
              <w:jc w:val="center"/>
              <w:rPr>
                <w:sz w:val="22"/>
              </w:rPr>
            </w:pPr>
            <w:r>
              <w:rPr>
                <w:sz w:val="22"/>
              </w:rPr>
              <w:t>1998 год</w:t>
            </w:r>
          </w:p>
        </w:tc>
      </w:tr>
      <w:tr w:rsidR="00000000">
        <w:tblPrEx>
          <w:tblCellMar>
            <w:top w:w="0" w:type="dxa"/>
            <w:bottom w:w="0" w:type="dxa"/>
          </w:tblCellMar>
        </w:tblPrEx>
        <w:tc>
          <w:tcPr>
            <w:tcW w:w="2805" w:type="dxa"/>
          </w:tcPr>
          <w:p w:rsidR="00000000" w:rsidRDefault="00000000">
            <w:pPr>
              <w:rPr>
                <w:sz w:val="22"/>
              </w:rPr>
            </w:pPr>
            <w:r>
              <w:rPr>
                <w:sz w:val="22"/>
              </w:rPr>
              <w:t>Всего</w:t>
            </w:r>
          </w:p>
        </w:tc>
        <w:tc>
          <w:tcPr>
            <w:tcW w:w="1449" w:type="dxa"/>
          </w:tcPr>
          <w:p w:rsidR="00000000" w:rsidRDefault="00000000">
            <w:pPr>
              <w:tabs>
                <w:tab w:val="clear" w:pos="567"/>
                <w:tab w:val="clear" w:pos="1134"/>
                <w:tab w:val="clear" w:pos="1701"/>
                <w:tab w:val="clear" w:pos="2268"/>
                <w:tab w:val="clear" w:pos="6237"/>
                <w:tab w:val="decimal" w:pos="640"/>
              </w:tabs>
              <w:rPr>
                <w:sz w:val="22"/>
              </w:rPr>
            </w:pPr>
            <w:r>
              <w:rPr>
                <w:sz w:val="22"/>
              </w:rPr>
              <w:t>89,6</w:t>
            </w:r>
          </w:p>
        </w:tc>
        <w:tc>
          <w:tcPr>
            <w:tcW w:w="1449" w:type="dxa"/>
          </w:tcPr>
          <w:p w:rsidR="00000000" w:rsidRDefault="00000000">
            <w:pPr>
              <w:tabs>
                <w:tab w:val="clear" w:pos="567"/>
                <w:tab w:val="clear" w:pos="1134"/>
                <w:tab w:val="clear" w:pos="1701"/>
                <w:tab w:val="clear" w:pos="2268"/>
                <w:tab w:val="clear" w:pos="6237"/>
                <w:tab w:val="decimal" w:pos="874"/>
              </w:tabs>
              <w:rPr>
                <w:sz w:val="22"/>
              </w:rPr>
            </w:pPr>
            <w:r>
              <w:rPr>
                <w:sz w:val="22"/>
              </w:rPr>
              <w:t>92,1</w:t>
            </w:r>
          </w:p>
        </w:tc>
        <w:tc>
          <w:tcPr>
            <w:tcW w:w="1449" w:type="dxa"/>
          </w:tcPr>
          <w:p w:rsidR="00000000" w:rsidRDefault="00000000">
            <w:pPr>
              <w:tabs>
                <w:tab w:val="clear" w:pos="567"/>
                <w:tab w:val="clear" w:pos="1134"/>
                <w:tab w:val="clear" w:pos="1701"/>
                <w:tab w:val="clear" w:pos="2268"/>
                <w:tab w:val="clear" w:pos="6237"/>
                <w:tab w:val="decimal" w:pos="734"/>
              </w:tabs>
              <w:rPr>
                <w:sz w:val="22"/>
              </w:rPr>
            </w:pPr>
            <w:r>
              <w:rPr>
                <w:sz w:val="22"/>
              </w:rPr>
              <w:t>93,3</w:t>
            </w:r>
          </w:p>
        </w:tc>
        <w:tc>
          <w:tcPr>
            <w:tcW w:w="1450" w:type="dxa"/>
          </w:tcPr>
          <w:p w:rsidR="00000000" w:rsidRDefault="00000000">
            <w:pPr>
              <w:tabs>
                <w:tab w:val="clear" w:pos="567"/>
                <w:tab w:val="clear" w:pos="1134"/>
                <w:tab w:val="clear" w:pos="1701"/>
                <w:tab w:val="clear" w:pos="2268"/>
                <w:tab w:val="clear" w:pos="6237"/>
                <w:tab w:val="decimal" w:pos="781"/>
              </w:tabs>
              <w:rPr>
                <w:sz w:val="22"/>
              </w:rPr>
            </w:pPr>
            <w:r>
              <w:rPr>
                <w:sz w:val="22"/>
              </w:rPr>
              <w:t>93,4</w:t>
            </w:r>
          </w:p>
        </w:tc>
      </w:tr>
      <w:tr w:rsidR="00000000">
        <w:tblPrEx>
          <w:tblCellMar>
            <w:top w:w="0" w:type="dxa"/>
            <w:bottom w:w="0" w:type="dxa"/>
          </w:tblCellMar>
        </w:tblPrEx>
        <w:tc>
          <w:tcPr>
            <w:tcW w:w="2805" w:type="dxa"/>
          </w:tcPr>
          <w:p w:rsidR="00000000" w:rsidRDefault="00000000">
            <w:pPr>
              <w:rPr>
                <w:sz w:val="22"/>
              </w:rPr>
            </w:pPr>
            <w:r>
              <w:rPr>
                <w:sz w:val="22"/>
              </w:rPr>
              <w:t>Городские районы</w:t>
            </w:r>
          </w:p>
        </w:tc>
        <w:tc>
          <w:tcPr>
            <w:tcW w:w="1449" w:type="dxa"/>
          </w:tcPr>
          <w:p w:rsidR="00000000" w:rsidRDefault="00000000">
            <w:pPr>
              <w:tabs>
                <w:tab w:val="clear" w:pos="567"/>
                <w:tab w:val="clear" w:pos="1134"/>
                <w:tab w:val="clear" w:pos="1701"/>
                <w:tab w:val="clear" w:pos="2268"/>
                <w:tab w:val="clear" w:pos="6237"/>
                <w:tab w:val="decimal" w:pos="640"/>
              </w:tabs>
              <w:rPr>
                <w:sz w:val="22"/>
              </w:rPr>
            </w:pPr>
            <w:r>
              <w:rPr>
                <w:sz w:val="22"/>
              </w:rPr>
              <w:t>80,5</w:t>
            </w:r>
          </w:p>
        </w:tc>
        <w:tc>
          <w:tcPr>
            <w:tcW w:w="1449" w:type="dxa"/>
          </w:tcPr>
          <w:p w:rsidR="00000000" w:rsidRDefault="00000000">
            <w:pPr>
              <w:tabs>
                <w:tab w:val="clear" w:pos="567"/>
                <w:tab w:val="clear" w:pos="1134"/>
                <w:tab w:val="clear" w:pos="1701"/>
                <w:tab w:val="clear" w:pos="2268"/>
                <w:tab w:val="clear" w:pos="6237"/>
                <w:tab w:val="decimal" w:pos="874"/>
              </w:tabs>
              <w:rPr>
                <w:sz w:val="22"/>
              </w:rPr>
            </w:pPr>
            <w:r>
              <w:rPr>
                <w:sz w:val="22"/>
              </w:rPr>
              <w:t>82,4</w:t>
            </w:r>
          </w:p>
        </w:tc>
        <w:tc>
          <w:tcPr>
            <w:tcW w:w="1449" w:type="dxa"/>
          </w:tcPr>
          <w:p w:rsidR="00000000" w:rsidRDefault="00000000">
            <w:pPr>
              <w:tabs>
                <w:tab w:val="clear" w:pos="567"/>
                <w:tab w:val="clear" w:pos="1134"/>
                <w:tab w:val="clear" w:pos="1701"/>
                <w:tab w:val="clear" w:pos="2268"/>
                <w:tab w:val="clear" w:pos="6237"/>
                <w:tab w:val="decimal" w:pos="734"/>
              </w:tabs>
              <w:rPr>
                <w:sz w:val="22"/>
              </w:rPr>
            </w:pPr>
            <w:r>
              <w:rPr>
                <w:sz w:val="22"/>
              </w:rPr>
              <w:t>84,4</w:t>
            </w:r>
          </w:p>
        </w:tc>
        <w:tc>
          <w:tcPr>
            <w:tcW w:w="1450" w:type="dxa"/>
          </w:tcPr>
          <w:p w:rsidR="00000000" w:rsidRDefault="00000000">
            <w:pPr>
              <w:tabs>
                <w:tab w:val="clear" w:pos="567"/>
                <w:tab w:val="clear" w:pos="1134"/>
                <w:tab w:val="clear" w:pos="1701"/>
                <w:tab w:val="clear" w:pos="2268"/>
                <w:tab w:val="clear" w:pos="6237"/>
                <w:tab w:val="decimal" w:pos="781"/>
              </w:tabs>
              <w:rPr>
                <w:sz w:val="22"/>
              </w:rPr>
            </w:pPr>
            <w:r>
              <w:rPr>
                <w:sz w:val="22"/>
              </w:rPr>
              <w:t>83,9</w:t>
            </w:r>
          </w:p>
        </w:tc>
      </w:tr>
      <w:tr w:rsidR="00000000">
        <w:tblPrEx>
          <w:tblCellMar>
            <w:top w:w="0" w:type="dxa"/>
            <w:bottom w:w="0" w:type="dxa"/>
          </w:tblCellMar>
        </w:tblPrEx>
        <w:tc>
          <w:tcPr>
            <w:tcW w:w="2805" w:type="dxa"/>
          </w:tcPr>
          <w:p w:rsidR="00000000" w:rsidRDefault="00000000">
            <w:pPr>
              <w:rPr>
                <w:sz w:val="22"/>
              </w:rPr>
            </w:pPr>
            <w:r>
              <w:rPr>
                <w:sz w:val="22"/>
              </w:rPr>
              <w:t>Сельские районы</w:t>
            </w:r>
          </w:p>
        </w:tc>
        <w:tc>
          <w:tcPr>
            <w:tcW w:w="1449" w:type="dxa"/>
          </w:tcPr>
          <w:p w:rsidR="00000000" w:rsidRDefault="00000000">
            <w:pPr>
              <w:tabs>
                <w:tab w:val="clear" w:pos="567"/>
                <w:tab w:val="clear" w:pos="1134"/>
                <w:tab w:val="clear" w:pos="1701"/>
                <w:tab w:val="clear" w:pos="2268"/>
                <w:tab w:val="clear" w:pos="6237"/>
                <w:tab w:val="decimal" w:pos="640"/>
              </w:tabs>
              <w:rPr>
                <w:sz w:val="22"/>
              </w:rPr>
            </w:pPr>
            <w:r>
              <w:rPr>
                <w:sz w:val="22"/>
              </w:rPr>
              <w:t>112,9</w:t>
            </w:r>
          </w:p>
        </w:tc>
        <w:tc>
          <w:tcPr>
            <w:tcW w:w="1449" w:type="dxa"/>
          </w:tcPr>
          <w:p w:rsidR="00000000" w:rsidRDefault="00000000">
            <w:pPr>
              <w:tabs>
                <w:tab w:val="clear" w:pos="567"/>
                <w:tab w:val="clear" w:pos="1134"/>
                <w:tab w:val="clear" w:pos="1701"/>
                <w:tab w:val="clear" w:pos="2268"/>
                <w:tab w:val="clear" w:pos="6237"/>
                <w:tab w:val="decimal" w:pos="874"/>
              </w:tabs>
              <w:rPr>
                <w:sz w:val="22"/>
              </w:rPr>
            </w:pPr>
            <w:r>
              <w:rPr>
                <w:sz w:val="22"/>
              </w:rPr>
              <w:t>118,1</w:t>
            </w:r>
          </w:p>
        </w:tc>
        <w:tc>
          <w:tcPr>
            <w:tcW w:w="1449" w:type="dxa"/>
          </w:tcPr>
          <w:p w:rsidR="00000000" w:rsidRDefault="00000000">
            <w:pPr>
              <w:tabs>
                <w:tab w:val="clear" w:pos="567"/>
                <w:tab w:val="clear" w:pos="1134"/>
                <w:tab w:val="clear" w:pos="1701"/>
                <w:tab w:val="clear" w:pos="2268"/>
                <w:tab w:val="clear" w:pos="6237"/>
                <w:tab w:val="decimal" w:pos="734"/>
              </w:tabs>
              <w:rPr>
                <w:sz w:val="22"/>
              </w:rPr>
            </w:pPr>
            <w:r>
              <w:rPr>
                <w:sz w:val="22"/>
              </w:rPr>
              <w:t>120,2</w:t>
            </w:r>
          </w:p>
        </w:tc>
        <w:tc>
          <w:tcPr>
            <w:tcW w:w="1450" w:type="dxa"/>
          </w:tcPr>
          <w:p w:rsidR="00000000" w:rsidRDefault="00000000">
            <w:pPr>
              <w:tabs>
                <w:tab w:val="clear" w:pos="567"/>
                <w:tab w:val="clear" w:pos="1134"/>
                <w:tab w:val="clear" w:pos="1701"/>
                <w:tab w:val="clear" w:pos="2268"/>
                <w:tab w:val="clear" w:pos="6237"/>
                <w:tab w:val="decimal" w:pos="781"/>
              </w:tabs>
              <w:rPr>
                <w:sz w:val="22"/>
              </w:rPr>
            </w:pPr>
            <w:r>
              <w:rPr>
                <w:sz w:val="22"/>
              </w:rPr>
              <w:t>124,0</w:t>
            </w:r>
          </w:p>
        </w:tc>
      </w:tr>
    </w:tbl>
    <w:p w:rsidR="00000000" w:rsidRDefault="00000000">
      <w:pPr>
        <w:pStyle w:val="FootnoteText"/>
        <w:tabs>
          <w:tab w:val="left" w:pos="3366"/>
        </w:tabs>
        <w:spacing w:line="288" w:lineRule="auto"/>
      </w:pPr>
    </w:p>
    <w:p w:rsidR="00000000" w:rsidRDefault="00000000">
      <w:pPr>
        <w:pStyle w:val="FootnoteText"/>
        <w:tabs>
          <w:tab w:val="left" w:pos="3366"/>
        </w:tabs>
        <w:spacing w:line="288" w:lineRule="auto"/>
      </w:pPr>
      <w:r>
        <w:tab/>
      </w:r>
      <w:r>
        <w:rPr>
          <w:u w:val="single"/>
        </w:rPr>
        <w:t>Источник</w:t>
      </w:r>
      <w:r>
        <w:t>:  данные Главного статистического управления и Управления жилищного строительства и градостроительства.</w:t>
      </w:r>
    </w:p>
    <w:p w:rsidR="00000000" w:rsidRDefault="00000000">
      <w:pPr>
        <w:pStyle w:val="FootnoteText"/>
        <w:tabs>
          <w:tab w:val="left" w:pos="3366"/>
        </w:tabs>
        <w:spacing w:line="288" w:lineRule="auto"/>
      </w:pPr>
    </w:p>
    <w:p w:rsidR="00000000" w:rsidRDefault="00000000">
      <w:pPr>
        <w:pStyle w:val="FootnoteText"/>
        <w:tabs>
          <w:tab w:val="left" w:pos="3366"/>
        </w:tabs>
        <w:spacing w:line="288" w:lineRule="auto"/>
        <w:ind w:left="2265" w:hanging="2265"/>
      </w:pPr>
      <w:r>
        <w:tab/>
      </w:r>
      <w:r>
        <w:rPr>
          <w:u w:val="single"/>
        </w:rPr>
        <w:t>Таблица 27</w:t>
      </w:r>
      <w:r>
        <w:t>.</w:t>
      </w:r>
      <w:r>
        <w:tab/>
      </w:r>
      <w:r>
        <w:rPr>
          <w:u w:val="single"/>
        </w:rPr>
        <w:t>Процентная доля построенного жилья в городских и сельских районах в разбивке по периоду строительства (данные переписи от 17 мая 1995 года</w:t>
      </w:r>
      <w:r>
        <w:t>)</w:t>
      </w:r>
    </w:p>
    <w:p w:rsidR="00000000" w:rsidRDefault="00000000">
      <w:pPr>
        <w:pStyle w:val="FootnoteText"/>
        <w:tabs>
          <w:tab w:val="left" w:pos="3366"/>
        </w:tabs>
        <w:spacing w:line="288" w:lineRule="auto"/>
        <w:ind w:left="2265" w:hanging="2265"/>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97"/>
        <w:gridCol w:w="1244"/>
        <w:gridCol w:w="1567"/>
        <w:gridCol w:w="1567"/>
        <w:gridCol w:w="1567"/>
        <w:gridCol w:w="1568"/>
      </w:tblGrid>
      <w:tr w:rsidR="00000000">
        <w:tblPrEx>
          <w:tblCellMar>
            <w:top w:w="0" w:type="dxa"/>
            <w:bottom w:w="0" w:type="dxa"/>
          </w:tblCellMar>
        </w:tblPrEx>
        <w:tc>
          <w:tcPr>
            <w:tcW w:w="1898" w:type="dxa"/>
          </w:tcPr>
          <w:p w:rsidR="00000000" w:rsidRDefault="00000000">
            <w:pPr>
              <w:pStyle w:val="FootnoteText"/>
              <w:tabs>
                <w:tab w:val="left" w:pos="3366"/>
              </w:tabs>
              <w:spacing w:line="288" w:lineRule="auto"/>
              <w:rPr>
                <w:sz w:val="20"/>
              </w:rPr>
            </w:pPr>
            <w:r>
              <w:rPr>
                <w:sz w:val="20"/>
              </w:rPr>
              <w:t>Жилые помещения</w:t>
            </w:r>
          </w:p>
        </w:tc>
        <w:tc>
          <w:tcPr>
            <w:tcW w:w="1244" w:type="dxa"/>
          </w:tcPr>
          <w:p w:rsidR="00000000" w:rsidRDefault="00000000">
            <w:pPr>
              <w:pStyle w:val="FootnoteText"/>
              <w:tabs>
                <w:tab w:val="left" w:pos="3366"/>
              </w:tabs>
              <w:spacing w:line="288" w:lineRule="auto"/>
              <w:rPr>
                <w:sz w:val="20"/>
              </w:rPr>
            </w:pPr>
            <w:r>
              <w:rPr>
                <w:sz w:val="20"/>
              </w:rPr>
              <w:t>До 1945 года</w:t>
            </w:r>
          </w:p>
        </w:tc>
        <w:tc>
          <w:tcPr>
            <w:tcW w:w="1567" w:type="dxa"/>
          </w:tcPr>
          <w:p w:rsidR="00000000" w:rsidRDefault="00000000">
            <w:pPr>
              <w:pStyle w:val="FootnoteText"/>
              <w:tabs>
                <w:tab w:val="left" w:pos="3366"/>
              </w:tabs>
              <w:spacing w:line="288" w:lineRule="auto"/>
              <w:rPr>
                <w:sz w:val="20"/>
              </w:rPr>
            </w:pPr>
            <w:r>
              <w:rPr>
                <w:sz w:val="20"/>
              </w:rPr>
              <w:t>1945-1970 годы</w:t>
            </w:r>
          </w:p>
        </w:tc>
        <w:tc>
          <w:tcPr>
            <w:tcW w:w="1567" w:type="dxa"/>
          </w:tcPr>
          <w:p w:rsidR="00000000" w:rsidRDefault="00000000">
            <w:pPr>
              <w:pStyle w:val="FootnoteText"/>
              <w:tabs>
                <w:tab w:val="left" w:pos="3366"/>
              </w:tabs>
              <w:spacing w:line="288" w:lineRule="auto"/>
              <w:rPr>
                <w:sz w:val="20"/>
              </w:rPr>
            </w:pPr>
            <w:r>
              <w:rPr>
                <w:sz w:val="20"/>
              </w:rPr>
              <w:t>1971-1978 годы</w:t>
            </w:r>
          </w:p>
        </w:tc>
        <w:tc>
          <w:tcPr>
            <w:tcW w:w="1567" w:type="dxa"/>
          </w:tcPr>
          <w:p w:rsidR="00000000" w:rsidRDefault="00000000">
            <w:pPr>
              <w:pStyle w:val="FootnoteText"/>
              <w:tabs>
                <w:tab w:val="left" w:pos="3366"/>
              </w:tabs>
              <w:spacing w:line="288" w:lineRule="auto"/>
              <w:rPr>
                <w:sz w:val="20"/>
              </w:rPr>
            </w:pPr>
            <w:r>
              <w:rPr>
                <w:sz w:val="20"/>
              </w:rPr>
              <w:t>1979-1988 годы</w:t>
            </w:r>
          </w:p>
        </w:tc>
        <w:tc>
          <w:tcPr>
            <w:tcW w:w="1568" w:type="dxa"/>
          </w:tcPr>
          <w:p w:rsidR="00000000" w:rsidRDefault="00000000">
            <w:pPr>
              <w:pStyle w:val="FootnoteText"/>
              <w:tabs>
                <w:tab w:val="left" w:pos="3366"/>
              </w:tabs>
              <w:spacing w:line="288" w:lineRule="auto"/>
              <w:rPr>
                <w:sz w:val="20"/>
              </w:rPr>
            </w:pPr>
            <w:r>
              <w:rPr>
                <w:sz w:val="20"/>
              </w:rPr>
              <w:t>1989-1995 годы</w:t>
            </w:r>
          </w:p>
        </w:tc>
      </w:tr>
      <w:tr w:rsidR="00000000">
        <w:tblPrEx>
          <w:tblCellMar>
            <w:top w:w="0" w:type="dxa"/>
            <w:bottom w:w="0" w:type="dxa"/>
          </w:tblCellMar>
        </w:tblPrEx>
        <w:tc>
          <w:tcPr>
            <w:tcW w:w="1898" w:type="dxa"/>
          </w:tcPr>
          <w:p w:rsidR="00000000" w:rsidRDefault="00000000">
            <w:pPr>
              <w:pStyle w:val="FootnoteText"/>
              <w:tabs>
                <w:tab w:val="left" w:pos="3366"/>
              </w:tabs>
              <w:spacing w:line="288" w:lineRule="auto"/>
              <w:rPr>
                <w:sz w:val="20"/>
              </w:rPr>
            </w:pPr>
            <w:r>
              <w:rPr>
                <w:sz w:val="20"/>
              </w:rPr>
              <w:t>-  городские районы</w:t>
            </w:r>
          </w:p>
        </w:tc>
        <w:tc>
          <w:tcPr>
            <w:tcW w:w="1244" w:type="dxa"/>
          </w:tcPr>
          <w:p w:rsidR="00000000" w:rsidRDefault="00000000">
            <w:pPr>
              <w:pStyle w:val="FootnoteText"/>
              <w:tabs>
                <w:tab w:val="left" w:pos="3366"/>
              </w:tabs>
              <w:spacing w:line="288" w:lineRule="auto"/>
              <w:jc w:val="center"/>
              <w:rPr>
                <w:sz w:val="20"/>
              </w:rPr>
            </w:pPr>
            <w:r>
              <w:rPr>
                <w:sz w:val="20"/>
              </w:rPr>
              <w:t>28,5</w:t>
            </w:r>
          </w:p>
        </w:tc>
        <w:tc>
          <w:tcPr>
            <w:tcW w:w="1567" w:type="dxa"/>
          </w:tcPr>
          <w:p w:rsidR="00000000" w:rsidRDefault="00000000">
            <w:pPr>
              <w:pStyle w:val="FootnoteText"/>
              <w:tabs>
                <w:tab w:val="left" w:pos="3366"/>
              </w:tabs>
              <w:spacing w:line="288" w:lineRule="auto"/>
              <w:jc w:val="center"/>
              <w:rPr>
                <w:sz w:val="20"/>
              </w:rPr>
            </w:pPr>
            <w:r>
              <w:rPr>
                <w:sz w:val="20"/>
              </w:rPr>
              <w:t>28,6</w:t>
            </w:r>
          </w:p>
        </w:tc>
        <w:tc>
          <w:tcPr>
            <w:tcW w:w="1567" w:type="dxa"/>
          </w:tcPr>
          <w:p w:rsidR="00000000" w:rsidRDefault="00000000">
            <w:pPr>
              <w:pStyle w:val="FootnoteText"/>
              <w:tabs>
                <w:tab w:val="left" w:pos="3366"/>
              </w:tabs>
              <w:spacing w:line="288" w:lineRule="auto"/>
              <w:jc w:val="center"/>
              <w:rPr>
                <w:sz w:val="20"/>
              </w:rPr>
            </w:pPr>
            <w:r>
              <w:rPr>
                <w:sz w:val="20"/>
              </w:rPr>
              <w:t>20,3</w:t>
            </w:r>
          </w:p>
        </w:tc>
        <w:tc>
          <w:tcPr>
            <w:tcW w:w="1567" w:type="dxa"/>
          </w:tcPr>
          <w:p w:rsidR="00000000" w:rsidRDefault="00000000">
            <w:pPr>
              <w:pStyle w:val="FootnoteText"/>
              <w:tabs>
                <w:tab w:val="left" w:pos="3366"/>
              </w:tabs>
              <w:spacing w:line="288" w:lineRule="auto"/>
              <w:jc w:val="center"/>
              <w:rPr>
                <w:sz w:val="20"/>
              </w:rPr>
            </w:pPr>
            <w:r>
              <w:rPr>
                <w:sz w:val="20"/>
              </w:rPr>
              <w:t>16,9</w:t>
            </w:r>
          </w:p>
        </w:tc>
        <w:tc>
          <w:tcPr>
            <w:tcW w:w="1568" w:type="dxa"/>
          </w:tcPr>
          <w:p w:rsidR="00000000" w:rsidRDefault="00000000">
            <w:pPr>
              <w:pStyle w:val="FootnoteText"/>
              <w:tabs>
                <w:tab w:val="left" w:pos="3366"/>
              </w:tabs>
              <w:spacing w:line="288" w:lineRule="auto"/>
              <w:jc w:val="center"/>
              <w:rPr>
                <w:sz w:val="20"/>
              </w:rPr>
            </w:pPr>
            <w:r>
              <w:rPr>
                <w:sz w:val="20"/>
              </w:rPr>
              <w:t>5,7</w:t>
            </w:r>
          </w:p>
        </w:tc>
      </w:tr>
      <w:tr w:rsidR="00000000">
        <w:tblPrEx>
          <w:tblCellMar>
            <w:top w:w="0" w:type="dxa"/>
            <w:bottom w:w="0" w:type="dxa"/>
          </w:tblCellMar>
        </w:tblPrEx>
        <w:tc>
          <w:tcPr>
            <w:tcW w:w="1898" w:type="dxa"/>
          </w:tcPr>
          <w:p w:rsidR="00000000" w:rsidRDefault="00000000">
            <w:pPr>
              <w:pStyle w:val="FootnoteText"/>
              <w:tabs>
                <w:tab w:val="left" w:pos="3366"/>
              </w:tabs>
              <w:spacing w:line="288" w:lineRule="auto"/>
              <w:rPr>
                <w:sz w:val="20"/>
              </w:rPr>
            </w:pPr>
            <w:r>
              <w:rPr>
                <w:sz w:val="20"/>
              </w:rPr>
              <w:t>-  сельские районы</w:t>
            </w:r>
          </w:p>
        </w:tc>
        <w:tc>
          <w:tcPr>
            <w:tcW w:w="1244" w:type="dxa"/>
          </w:tcPr>
          <w:p w:rsidR="00000000" w:rsidRDefault="00000000">
            <w:pPr>
              <w:pStyle w:val="FootnoteText"/>
              <w:tabs>
                <w:tab w:val="left" w:pos="3366"/>
              </w:tabs>
              <w:spacing w:line="288" w:lineRule="auto"/>
              <w:jc w:val="center"/>
              <w:rPr>
                <w:sz w:val="20"/>
              </w:rPr>
            </w:pPr>
            <w:r>
              <w:rPr>
                <w:sz w:val="20"/>
              </w:rPr>
              <w:t>32,8</w:t>
            </w:r>
          </w:p>
        </w:tc>
        <w:tc>
          <w:tcPr>
            <w:tcW w:w="1567" w:type="dxa"/>
          </w:tcPr>
          <w:p w:rsidR="00000000" w:rsidRDefault="00000000">
            <w:pPr>
              <w:pStyle w:val="FootnoteText"/>
              <w:tabs>
                <w:tab w:val="left" w:pos="3366"/>
              </w:tabs>
              <w:spacing w:line="288" w:lineRule="auto"/>
              <w:jc w:val="center"/>
              <w:rPr>
                <w:sz w:val="20"/>
              </w:rPr>
            </w:pPr>
            <w:r>
              <w:rPr>
                <w:sz w:val="20"/>
              </w:rPr>
              <w:t>34,1</w:t>
            </w:r>
          </w:p>
        </w:tc>
        <w:tc>
          <w:tcPr>
            <w:tcW w:w="1567" w:type="dxa"/>
          </w:tcPr>
          <w:p w:rsidR="00000000" w:rsidRDefault="00000000">
            <w:pPr>
              <w:pStyle w:val="FootnoteText"/>
              <w:tabs>
                <w:tab w:val="left" w:pos="3366"/>
              </w:tabs>
              <w:spacing w:line="288" w:lineRule="auto"/>
              <w:jc w:val="center"/>
              <w:rPr>
                <w:sz w:val="20"/>
              </w:rPr>
            </w:pPr>
            <w:r>
              <w:rPr>
                <w:sz w:val="20"/>
              </w:rPr>
              <w:t>14,9</w:t>
            </w:r>
          </w:p>
        </w:tc>
        <w:tc>
          <w:tcPr>
            <w:tcW w:w="1567" w:type="dxa"/>
          </w:tcPr>
          <w:p w:rsidR="00000000" w:rsidRDefault="00000000">
            <w:pPr>
              <w:pStyle w:val="FootnoteText"/>
              <w:tabs>
                <w:tab w:val="left" w:pos="3366"/>
              </w:tabs>
              <w:spacing w:line="288" w:lineRule="auto"/>
              <w:jc w:val="center"/>
              <w:rPr>
                <w:sz w:val="20"/>
              </w:rPr>
            </w:pPr>
            <w:r>
              <w:rPr>
                <w:sz w:val="20"/>
              </w:rPr>
              <w:t>14,0</w:t>
            </w:r>
          </w:p>
        </w:tc>
        <w:tc>
          <w:tcPr>
            <w:tcW w:w="1568" w:type="dxa"/>
          </w:tcPr>
          <w:p w:rsidR="00000000" w:rsidRDefault="00000000">
            <w:pPr>
              <w:pStyle w:val="FootnoteText"/>
              <w:tabs>
                <w:tab w:val="left" w:pos="3366"/>
              </w:tabs>
              <w:spacing w:line="288" w:lineRule="auto"/>
              <w:jc w:val="center"/>
              <w:rPr>
                <w:sz w:val="20"/>
              </w:rPr>
            </w:pPr>
            <w:r>
              <w:rPr>
                <w:sz w:val="20"/>
              </w:rPr>
              <w:t>4,2</w:t>
            </w:r>
          </w:p>
        </w:tc>
      </w:tr>
    </w:tbl>
    <w:p w:rsidR="00000000" w:rsidRDefault="00000000">
      <w:pPr>
        <w:pStyle w:val="FootnoteText"/>
        <w:tabs>
          <w:tab w:val="left" w:pos="3366"/>
        </w:tabs>
        <w:spacing w:line="288" w:lineRule="auto"/>
      </w:pPr>
    </w:p>
    <w:p w:rsidR="00000000" w:rsidRDefault="00000000">
      <w:pPr>
        <w:pStyle w:val="FootnoteText"/>
        <w:tabs>
          <w:tab w:val="left" w:pos="3366"/>
        </w:tabs>
        <w:spacing w:line="288" w:lineRule="auto"/>
      </w:pPr>
      <w:r>
        <w:tab/>
      </w:r>
      <w:r>
        <w:rPr>
          <w:u w:val="single"/>
        </w:rPr>
        <w:t>Источник</w:t>
      </w:r>
      <w:r>
        <w:t>:  данные Главного статистического управления.</w:t>
      </w:r>
    </w:p>
    <w:p w:rsidR="00000000" w:rsidRDefault="00000000">
      <w:pPr>
        <w:pStyle w:val="FootnoteText"/>
        <w:tabs>
          <w:tab w:val="left" w:pos="3366"/>
        </w:tabs>
        <w:spacing w:line="288" w:lineRule="auto"/>
      </w:pPr>
    </w:p>
    <w:p w:rsidR="00000000" w:rsidRDefault="00000000">
      <w:pPr>
        <w:pStyle w:val="FootnoteText"/>
        <w:keepNext/>
        <w:tabs>
          <w:tab w:val="left" w:pos="3366"/>
        </w:tabs>
        <w:spacing w:line="288" w:lineRule="auto"/>
        <w:jc w:val="center"/>
        <w:rPr>
          <w:u w:val="single"/>
        </w:rPr>
      </w:pPr>
      <w:r>
        <w:rPr>
          <w:u w:val="single"/>
        </w:rPr>
        <w:t>Таблица 28</w:t>
      </w:r>
      <w:r>
        <w:t>.</w:t>
      </w:r>
      <w:r>
        <w:tab/>
      </w:r>
      <w:r>
        <w:rPr>
          <w:u w:val="single"/>
        </w:rPr>
        <w:t>Жилые помещения по форме собственности на 31 декабря 1998 года</w:t>
      </w:r>
    </w:p>
    <w:p w:rsidR="00000000" w:rsidRDefault="00000000">
      <w:pPr>
        <w:pStyle w:val="FootnoteText"/>
        <w:keepNext/>
        <w:tabs>
          <w:tab w:val="left" w:pos="3366"/>
        </w:tabs>
        <w:spacing w:line="288" w:lineRule="auto"/>
        <w:jc w:val="center"/>
        <w:rPr>
          <w:b/>
          <w:bCs/>
        </w:rPr>
      </w:pPr>
    </w:p>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811"/>
        <w:gridCol w:w="2071"/>
        <w:gridCol w:w="1683"/>
      </w:tblGrid>
      <w:tr w:rsidR="00000000">
        <w:tblPrEx>
          <w:tblCellMar>
            <w:top w:w="0" w:type="dxa"/>
            <w:bottom w:w="0" w:type="dxa"/>
          </w:tblCellMar>
        </w:tblPrEx>
        <w:tc>
          <w:tcPr>
            <w:tcW w:w="5811" w:type="dxa"/>
          </w:tcPr>
          <w:p w:rsidR="00000000" w:rsidRDefault="00000000">
            <w:pPr>
              <w:pStyle w:val="FootnoteText"/>
              <w:keepNext/>
              <w:tabs>
                <w:tab w:val="left" w:pos="3366"/>
              </w:tabs>
              <w:spacing w:line="288" w:lineRule="auto"/>
              <w:rPr>
                <w:sz w:val="22"/>
              </w:rPr>
            </w:pPr>
            <w:r>
              <w:rPr>
                <w:sz w:val="22"/>
              </w:rPr>
              <w:t>Показатель</w:t>
            </w:r>
          </w:p>
        </w:tc>
        <w:tc>
          <w:tcPr>
            <w:tcW w:w="2071" w:type="dxa"/>
          </w:tcPr>
          <w:p w:rsidR="00000000" w:rsidRDefault="00000000">
            <w:pPr>
              <w:pStyle w:val="FootnoteText"/>
              <w:keepNext/>
              <w:tabs>
                <w:tab w:val="left" w:pos="3366"/>
              </w:tabs>
              <w:spacing w:line="288" w:lineRule="auto"/>
              <w:jc w:val="center"/>
              <w:rPr>
                <w:sz w:val="22"/>
              </w:rPr>
            </w:pPr>
            <w:r>
              <w:rPr>
                <w:sz w:val="22"/>
              </w:rPr>
              <w:t>Число жилищ</w:t>
            </w:r>
          </w:p>
        </w:tc>
        <w:tc>
          <w:tcPr>
            <w:tcW w:w="1683" w:type="dxa"/>
          </w:tcPr>
          <w:p w:rsidR="00000000" w:rsidRDefault="00000000">
            <w:pPr>
              <w:pStyle w:val="FootnoteText"/>
              <w:keepNext/>
              <w:tabs>
                <w:tab w:val="left" w:pos="3366"/>
              </w:tabs>
              <w:spacing w:line="288" w:lineRule="auto"/>
              <w:jc w:val="center"/>
              <w:rPr>
                <w:sz w:val="22"/>
              </w:rPr>
            </w:pPr>
            <w:r>
              <w:rPr>
                <w:sz w:val="22"/>
              </w:rPr>
              <w:t>Доля в %</w:t>
            </w:r>
          </w:p>
        </w:tc>
      </w:tr>
      <w:tr w:rsidR="00000000">
        <w:tblPrEx>
          <w:tblCellMar>
            <w:top w:w="0" w:type="dxa"/>
            <w:bottom w:w="0" w:type="dxa"/>
          </w:tblCellMar>
        </w:tblPrEx>
        <w:tc>
          <w:tcPr>
            <w:tcW w:w="5811" w:type="dxa"/>
          </w:tcPr>
          <w:p w:rsidR="00000000" w:rsidRDefault="00000000">
            <w:pPr>
              <w:pStyle w:val="FootnoteText"/>
              <w:keepNext/>
              <w:tabs>
                <w:tab w:val="left" w:pos="374"/>
                <w:tab w:val="left" w:pos="3366"/>
              </w:tabs>
              <w:spacing w:line="288" w:lineRule="auto"/>
              <w:rPr>
                <w:sz w:val="22"/>
              </w:rPr>
            </w:pPr>
            <w:r>
              <w:rPr>
                <w:sz w:val="22"/>
              </w:rPr>
              <w:t>Общее число жилищ</w:t>
            </w:r>
          </w:p>
        </w:tc>
        <w:tc>
          <w:tcPr>
            <w:tcW w:w="2071" w:type="dxa"/>
          </w:tcPr>
          <w:p w:rsidR="00000000" w:rsidRDefault="00000000">
            <w:pPr>
              <w:pStyle w:val="FootnoteText"/>
              <w:keepNext/>
              <w:tabs>
                <w:tab w:val="clear" w:pos="567"/>
                <w:tab w:val="clear" w:pos="1134"/>
                <w:tab w:val="clear" w:pos="1701"/>
                <w:tab w:val="clear" w:pos="2268"/>
                <w:tab w:val="clear" w:pos="6237"/>
                <w:tab w:val="decimal" w:pos="1482"/>
              </w:tabs>
              <w:spacing w:line="288" w:lineRule="auto"/>
              <w:rPr>
                <w:sz w:val="22"/>
              </w:rPr>
            </w:pPr>
            <w:r>
              <w:rPr>
                <w:sz w:val="22"/>
              </w:rPr>
              <w:t>11 687 700</w:t>
            </w:r>
          </w:p>
        </w:tc>
        <w:tc>
          <w:tcPr>
            <w:tcW w:w="1683" w:type="dxa"/>
          </w:tcPr>
          <w:p w:rsidR="00000000" w:rsidRDefault="00000000">
            <w:pPr>
              <w:pStyle w:val="FootnoteText"/>
              <w:keepNext/>
              <w:tabs>
                <w:tab w:val="clear" w:pos="567"/>
                <w:tab w:val="clear" w:pos="1134"/>
                <w:tab w:val="clear" w:pos="1701"/>
                <w:tab w:val="clear" w:pos="2268"/>
                <w:tab w:val="clear" w:pos="6237"/>
                <w:tab w:val="decimal" w:pos="907"/>
              </w:tabs>
              <w:spacing w:line="288" w:lineRule="auto"/>
              <w:rPr>
                <w:sz w:val="22"/>
              </w:rPr>
            </w:pPr>
            <w:r>
              <w:rPr>
                <w:sz w:val="22"/>
              </w:rPr>
              <w:t>100,0%</w:t>
            </w:r>
          </w:p>
        </w:tc>
      </w:tr>
      <w:tr w:rsidR="00000000">
        <w:tblPrEx>
          <w:tblCellMar>
            <w:top w:w="0" w:type="dxa"/>
            <w:bottom w:w="0" w:type="dxa"/>
          </w:tblCellMar>
        </w:tblPrEx>
        <w:tc>
          <w:tcPr>
            <w:tcW w:w="5811" w:type="dxa"/>
          </w:tcPr>
          <w:p w:rsidR="00000000" w:rsidRDefault="00000000">
            <w:pPr>
              <w:pStyle w:val="FootnoteText"/>
              <w:keepNext/>
              <w:tabs>
                <w:tab w:val="left" w:pos="374"/>
                <w:tab w:val="left" w:pos="3366"/>
              </w:tabs>
              <w:spacing w:line="288" w:lineRule="auto"/>
              <w:rPr>
                <w:sz w:val="22"/>
              </w:rPr>
            </w:pPr>
            <w:r>
              <w:rPr>
                <w:sz w:val="22"/>
              </w:rPr>
              <w:t>Кооперативное жилье, в том числе:</w:t>
            </w:r>
          </w:p>
        </w:tc>
        <w:tc>
          <w:tcPr>
            <w:tcW w:w="2071" w:type="dxa"/>
          </w:tcPr>
          <w:p w:rsidR="00000000" w:rsidRDefault="00000000">
            <w:pPr>
              <w:pStyle w:val="FootnoteText"/>
              <w:keepNext/>
              <w:tabs>
                <w:tab w:val="clear" w:pos="567"/>
                <w:tab w:val="clear" w:pos="1134"/>
                <w:tab w:val="clear" w:pos="1701"/>
                <w:tab w:val="clear" w:pos="2268"/>
                <w:tab w:val="clear" w:pos="6237"/>
                <w:tab w:val="decimal" w:pos="1482"/>
              </w:tabs>
              <w:spacing w:line="288" w:lineRule="auto"/>
              <w:rPr>
                <w:sz w:val="22"/>
              </w:rPr>
            </w:pPr>
            <w:r>
              <w:rPr>
                <w:sz w:val="22"/>
              </w:rPr>
              <w:t>3 329 300</w:t>
            </w:r>
          </w:p>
        </w:tc>
        <w:tc>
          <w:tcPr>
            <w:tcW w:w="1683" w:type="dxa"/>
          </w:tcPr>
          <w:p w:rsidR="00000000" w:rsidRDefault="00000000">
            <w:pPr>
              <w:pStyle w:val="FootnoteText"/>
              <w:keepNext/>
              <w:tabs>
                <w:tab w:val="clear" w:pos="567"/>
                <w:tab w:val="clear" w:pos="1134"/>
                <w:tab w:val="clear" w:pos="1701"/>
                <w:tab w:val="clear" w:pos="2268"/>
                <w:tab w:val="clear" w:pos="6237"/>
                <w:tab w:val="decimal" w:pos="907"/>
              </w:tabs>
              <w:spacing w:line="288" w:lineRule="auto"/>
              <w:rPr>
                <w:sz w:val="22"/>
              </w:rPr>
            </w:pPr>
            <w:r>
              <w:rPr>
                <w:sz w:val="22"/>
              </w:rPr>
              <w:t>28,5%</w:t>
            </w:r>
          </w:p>
        </w:tc>
      </w:tr>
      <w:tr w:rsidR="00000000">
        <w:tblPrEx>
          <w:tblCellMar>
            <w:top w:w="0" w:type="dxa"/>
            <w:bottom w:w="0" w:type="dxa"/>
          </w:tblCellMar>
        </w:tblPrEx>
        <w:tc>
          <w:tcPr>
            <w:tcW w:w="5811" w:type="dxa"/>
          </w:tcPr>
          <w:p w:rsidR="00000000" w:rsidRDefault="00000000">
            <w:pPr>
              <w:pStyle w:val="FootnoteText"/>
              <w:keepNext/>
              <w:tabs>
                <w:tab w:val="left" w:pos="374"/>
                <w:tab w:val="left" w:pos="3366"/>
              </w:tabs>
              <w:spacing w:line="288" w:lineRule="auto"/>
              <w:ind w:left="374" w:hanging="374"/>
              <w:rPr>
                <w:sz w:val="22"/>
              </w:rPr>
            </w:pPr>
            <w:r>
              <w:rPr>
                <w:sz w:val="22"/>
              </w:rPr>
              <w:tab/>
              <w:t>-</w:t>
            </w:r>
            <w:r>
              <w:rPr>
                <w:sz w:val="22"/>
              </w:rPr>
              <w:tab/>
              <w:t>в собственности членов кооператива</w:t>
            </w:r>
          </w:p>
        </w:tc>
        <w:tc>
          <w:tcPr>
            <w:tcW w:w="2071" w:type="dxa"/>
          </w:tcPr>
          <w:p w:rsidR="00000000" w:rsidRDefault="00000000">
            <w:pPr>
              <w:pStyle w:val="FootnoteText"/>
              <w:keepNext/>
              <w:tabs>
                <w:tab w:val="clear" w:pos="567"/>
                <w:tab w:val="clear" w:pos="1134"/>
                <w:tab w:val="clear" w:pos="1701"/>
                <w:tab w:val="clear" w:pos="2268"/>
                <w:tab w:val="clear" w:pos="6237"/>
                <w:tab w:val="decimal" w:pos="1482"/>
              </w:tabs>
              <w:spacing w:line="288" w:lineRule="auto"/>
              <w:rPr>
                <w:sz w:val="22"/>
              </w:rPr>
            </w:pPr>
            <w:r>
              <w:rPr>
                <w:sz w:val="22"/>
              </w:rPr>
              <w:t>2 043 600</w:t>
            </w:r>
          </w:p>
        </w:tc>
        <w:tc>
          <w:tcPr>
            <w:tcW w:w="1683" w:type="dxa"/>
          </w:tcPr>
          <w:p w:rsidR="00000000" w:rsidRDefault="00000000">
            <w:pPr>
              <w:pStyle w:val="FootnoteText"/>
              <w:keepNext/>
              <w:tabs>
                <w:tab w:val="clear" w:pos="567"/>
                <w:tab w:val="clear" w:pos="1134"/>
                <w:tab w:val="clear" w:pos="1701"/>
                <w:tab w:val="clear" w:pos="2268"/>
                <w:tab w:val="clear" w:pos="6237"/>
                <w:tab w:val="decimal" w:pos="907"/>
              </w:tabs>
              <w:spacing w:line="288" w:lineRule="auto"/>
              <w:rPr>
                <w:sz w:val="22"/>
              </w:rPr>
            </w:pPr>
            <w:r>
              <w:rPr>
                <w:sz w:val="22"/>
              </w:rPr>
              <w:t>17,5%</w:t>
            </w:r>
          </w:p>
        </w:tc>
      </w:tr>
      <w:tr w:rsidR="00000000">
        <w:tblPrEx>
          <w:tblCellMar>
            <w:top w:w="0" w:type="dxa"/>
            <w:bottom w:w="0" w:type="dxa"/>
          </w:tblCellMar>
        </w:tblPrEx>
        <w:tc>
          <w:tcPr>
            <w:tcW w:w="5811" w:type="dxa"/>
          </w:tcPr>
          <w:p w:rsidR="00000000" w:rsidRDefault="00000000">
            <w:pPr>
              <w:pStyle w:val="FootnoteText"/>
              <w:keepNext/>
              <w:tabs>
                <w:tab w:val="left" w:pos="374"/>
                <w:tab w:val="left" w:pos="3366"/>
              </w:tabs>
              <w:spacing w:line="288" w:lineRule="auto"/>
              <w:rPr>
                <w:sz w:val="22"/>
              </w:rPr>
            </w:pPr>
            <w:r>
              <w:rPr>
                <w:sz w:val="22"/>
              </w:rPr>
              <w:t>Муниципальный жилой фонд, в том числе:</w:t>
            </w:r>
          </w:p>
        </w:tc>
        <w:tc>
          <w:tcPr>
            <w:tcW w:w="2071" w:type="dxa"/>
          </w:tcPr>
          <w:p w:rsidR="00000000" w:rsidRDefault="00000000">
            <w:pPr>
              <w:pStyle w:val="FootnoteText"/>
              <w:keepNext/>
              <w:tabs>
                <w:tab w:val="clear" w:pos="567"/>
                <w:tab w:val="clear" w:pos="1134"/>
                <w:tab w:val="clear" w:pos="1701"/>
                <w:tab w:val="clear" w:pos="2268"/>
                <w:tab w:val="clear" w:pos="6237"/>
                <w:tab w:val="decimal" w:pos="1482"/>
              </w:tabs>
              <w:spacing w:line="288" w:lineRule="auto"/>
              <w:rPr>
                <w:sz w:val="22"/>
              </w:rPr>
            </w:pPr>
            <w:r>
              <w:rPr>
                <w:sz w:val="22"/>
              </w:rPr>
              <w:t>1 555 100</w:t>
            </w:r>
          </w:p>
        </w:tc>
        <w:tc>
          <w:tcPr>
            <w:tcW w:w="1683" w:type="dxa"/>
          </w:tcPr>
          <w:p w:rsidR="00000000" w:rsidRDefault="00000000">
            <w:pPr>
              <w:pStyle w:val="FootnoteText"/>
              <w:keepNext/>
              <w:tabs>
                <w:tab w:val="clear" w:pos="567"/>
                <w:tab w:val="clear" w:pos="1134"/>
                <w:tab w:val="clear" w:pos="1701"/>
                <w:tab w:val="clear" w:pos="2268"/>
                <w:tab w:val="clear" w:pos="6237"/>
                <w:tab w:val="decimal" w:pos="907"/>
              </w:tabs>
              <w:spacing w:line="288" w:lineRule="auto"/>
              <w:rPr>
                <w:sz w:val="22"/>
              </w:rPr>
            </w:pPr>
            <w:r>
              <w:rPr>
                <w:sz w:val="22"/>
              </w:rPr>
              <w:t>13,3%</w:t>
            </w:r>
          </w:p>
        </w:tc>
      </w:tr>
      <w:tr w:rsidR="00000000">
        <w:tblPrEx>
          <w:tblCellMar>
            <w:top w:w="0" w:type="dxa"/>
            <w:bottom w:w="0" w:type="dxa"/>
          </w:tblCellMar>
        </w:tblPrEx>
        <w:tc>
          <w:tcPr>
            <w:tcW w:w="5811" w:type="dxa"/>
          </w:tcPr>
          <w:p w:rsidR="00000000" w:rsidRDefault="00000000">
            <w:pPr>
              <w:pStyle w:val="FootnoteText"/>
              <w:keepNext/>
              <w:tabs>
                <w:tab w:val="left" w:pos="374"/>
                <w:tab w:val="left" w:pos="3366"/>
              </w:tabs>
              <w:spacing w:line="288" w:lineRule="auto"/>
              <w:ind w:left="374" w:hanging="374"/>
              <w:rPr>
                <w:sz w:val="22"/>
              </w:rPr>
            </w:pPr>
            <w:r>
              <w:rPr>
                <w:sz w:val="22"/>
              </w:rPr>
              <w:tab/>
              <w:t>-</w:t>
            </w:r>
            <w:r>
              <w:rPr>
                <w:sz w:val="22"/>
              </w:rPr>
              <w:tab/>
              <w:t>в собственности гмин (общин)</w:t>
            </w:r>
          </w:p>
        </w:tc>
        <w:tc>
          <w:tcPr>
            <w:tcW w:w="2071" w:type="dxa"/>
          </w:tcPr>
          <w:p w:rsidR="00000000" w:rsidRDefault="00000000">
            <w:pPr>
              <w:pStyle w:val="FootnoteText"/>
              <w:keepNext/>
              <w:tabs>
                <w:tab w:val="clear" w:pos="567"/>
                <w:tab w:val="clear" w:pos="1134"/>
                <w:tab w:val="clear" w:pos="1701"/>
                <w:tab w:val="clear" w:pos="2268"/>
                <w:tab w:val="clear" w:pos="6237"/>
                <w:tab w:val="decimal" w:pos="1482"/>
              </w:tabs>
              <w:spacing w:line="288" w:lineRule="auto"/>
              <w:rPr>
                <w:sz w:val="22"/>
              </w:rPr>
            </w:pPr>
            <w:r>
              <w:rPr>
                <w:sz w:val="22"/>
              </w:rPr>
              <w:t>692 100</w:t>
            </w:r>
          </w:p>
        </w:tc>
        <w:tc>
          <w:tcPr>
            <w:tcW w:w="1683" w:type="dxa"/>
          </w:tcPr>
          <w:p w:rsidR="00000000" w:rsidRDefault="00000000">
            <w:pPr>
              <w:pStyle w:val="FootnoteText"/>
              <w:keepNext/>
              <w:tabs>
                <w:tab w:val="clear" w:pos="567"/>
                <w:tab w:val="clear" w:pos="1134"/>
                <w:tab w:val="clear" w:pos="1701"/>
                <w:tab w:val="clear" w:pos="2268"/>
                <w:tab w:val="clear" w:pos="6237"/>
                <w:tab w:val="decimal" w:pos="907"/>
              </w:tabs>
              <w:spacing w:line="288" w:lineRule="auto"/>
              <w:rPr>
                <w:sz w:val="22"/>
              </w:rPr>
            </w:pPr>
            <w:r>
              <w:rPr>
                <w:sz w:val="22"/>
              </w:rPr>
              <w:t>5,9%</w:t>
            </w:r>
          </w:p>
        </w:tc>
      </w:tr>
      <w:tr w:rsidR="00000000">
        <w:tblPrEx>
          <w:tblCellMar>
            <w:top w:w="0" w:type="dxa"/>
            <w:bottom w:w="0" w:type="dxa"/>
          </w:tblCellMar>
        </w:tblPrEx>
        <w:tc>
          <w:tcPr>
            <w:tcW w:w="5811" w:type="dxa"/>
          </w:tcPr>
          <w:p w:rsidR="00000000" w:rsidRDefault="00000000">
            <w:pPr>
              <w:pStyle w:val="FootnoteText"/>
              <w:keepNext/>
              <w:tabs>
                <w:tab w:val="left" w:pos="374"/>
                <w:tab w:val="left" w:pos="3366"/>
              </w:tabs>
              <w:spacing w:line="288" w:lineRule="auto"/>
              <w:rPr>
                <w:sz w:val="22"/>
              </w:rPr>
            </w:pPr>
            <w:r>
              <w:rPr>
                <w:sz w:val="22"/>
              </w:rPr>
              <w:tab/>
              <w:t>-</w:t>
            </w:r>
            <w:r>
              <w:rPr>
                <w:sz w:val="22"/>
              </w:rPr>
              <w:tab/>
              <w:t>в собственности жилтовариществ</w:t>
            </w:r>
          </w:p>
        </w:tc>
        <w:tc>
          <w:tcPr>
            <w:tcW w:w="2071" w:type="dxa"/>
          </w:tcPr>
          <w:p w:rsidR="00000000" w:rsidRDefault="00000000">
            <w:pPr>
              <w:pStyle w:val="FootnoteText"/>
              <w:keepNext/>
              <w:tabs>
                <w:tab w:val="clear" w:pos="567"/>
                <w:tab w:val="clear" w:pos="1134"/>
                <w:tab w:val="clear" w:pos="1701"/>
                <w:tab w:val="clear" w:pos="2268"/>
                <w:tab w:val="clear" w:pos="6237"/>
                <w:tab w:val="decimal" w:pos="1482"/>
              </w:tabs>
              <w:spacing w:line="288" w:lineRule="auto"/>
              <w:rPr>
                <w:sz w:val="22"/>
              </w:rPr>
            </w:pPr>
            <w:r>
              <w:rPr>
                <w:sz w:val="22"/>
              </w:rPr>
              <w:t>855 900</w:t>
            </w:r>
          </w:p>
        </w:tc>
        <w:tc>
          <w:tcPr>
            <w:tcW w:w="1683" w:type="dxa"/>
          </w:tcPr>
          <w:p w:rsidR="00000000" w:rsidRDefault="00000000">
            <w:pPr>
              <w:pStyle w:val="FootnoteText"/>
              <w:keepNext/>
              <w:tabs>
                <w:tab w:val="clear" w:pos="567"/>
                <w:tab w:val="clear" w:pos="1134"/>
                <w:tab w:val="clear" w:pos="1701"/>
                <w:tab w:val="clear" w:pos="2268"/>
                <w:tab w:val="clear" w:pos="6237"/>
                <w:tab w:val="decimal" w:pos="907"/>
              </w:tabs>
              <w:spacing w:line="288" w:lineRule="auto"/>
              <w:rPr>
                <w:sz w:val="22"/>
              </w:rPr>
            </w:pPr>
            <w:r>
              <w:rPr>
                <w:sz w:val="22"/>
              </w:rPr>
              <w:t>7,3%</w:t>
            </w:r>
          </w:p>
        </w:tc>
      </w:tr>
      <w:tr w:rsidR="00000000">
        <w:tblPrEx>
          <w:tblCellMar>
            <w:top w:w="0" w:type="dxa"/>
            <w:bottom w:w="0" w:type="dxa"/>
          </w:tblCellMar>
        </w:tblPrEx>
        <w:tc>
          <w:tcPr>
            <w:tcW w:w="5811" w:type="dxa"/>
          </w:tcPr>
          <w:p w:rsidR="00000000" w:rsidRDefault="00000000">
            <w:pPr>
              <w:pStyle w:val="FootnoteText"/>
              <w:keepNext/>
              <w:tabs>
                <w:tab w:val="left" w:pos="374"/>
                <w:tab w:val="left" w:pos="3366"/>
              </w:tabs>
              <w:spacing w:line="288" w:lineRule="auto"/>
              <w:rPr>
                <w:sz w:val="22"/>
              </w:rPr>
            </w:pPr>
            <w:r>
              <w:rPr>
                <w:sz w:val="22"/>
              </w:rPr>
              <w:t>Жилой фонд компаний, в том числе:</w:t>
            </w:r>
          </w:p>
        </w:tc>
        <w:tc>
          <w:tcPr>
            <w:tcW w:w="2071" w:type="dxa"/>
          </w:tcPr>
          <w:p w:rsidR="00000000" w:rsidRDefault="00000000">
            <w:pPr>
              <w:pStyle w:val="FootnoteText"/>
              <w:keepNext/>
              <w:tabs>
                <w:tab w:val="clear" w:pos="567"/>
                <w:tab w:val="clear" w:pos="1134"/>
                <w:tab w:val="clear" w:pos="1701"/>
                <w:tab w:val="clear" w:pos="2268"/>
                <w:tab w:val="clear" w:pos="6237"/>
                <w:tab w:val="decimal" w:pos="1482"/>
              </w:tabs>
              <w:spacing w:line="288" w:lineRule="auto"/>
              <w:rPr>
                <w:sz w:val="22"/>
                <w:lang w:val="en-US"/>
              </w:rPr>
            </w:pPr>
            <w:r>
              <w:rPr>
                <w:sz w:val="22"/>
                <w:lang w:val="en-US"/>
              </w:rPr>
              <w:t>682 800</w:t>
            </w:r>
          </w:p>
        </w:tc>
        <w:tc>
          <w:tcPr>
            <w:tcW w:w="1683" w:type="dxa"/>
          </w:tcPr>
          <w:p w:rsidR="00000000" w:rsidRDefault="00000000">
            <w:pPr>
              <w:pStyle w:val="FootnoteText"/>
              <w:keepNext/>
              <w:tabs>
                <w:tab w:val="clear" w:pos="567"/>
                <w:tab w:val="clear" w:pos="1134"/>
                <w:tab w:val="clear" w:pos="1701"/>
                <w:tab w:val="clear" w:pos="2268"/>
                <w:tab w:val="clear" w:pos="6237"/>
                <w:tab w:val="decimal" w:pos="907"/>
              </w:tabs>
              <w:spacing w:line="288" w:lineRule="auto"/>
              <w:rPr>
                <w:sz w:val="22"/>
              </w:rPr>
            </w:pPr>
            <w:r>
              <w:rPr>
                <w:sz w:val="22"/>
                <w:lang w:val="en-US"/>
              </w:rPr>
              <w:t>5,8</w:t>
            </w:r>
            <w:r>
              <w:rPr>
                <w:sz w:val="22"/>
              </w:rPr>
              <w:t>%</w:t>
            </w:r>
          </w:p>
        </w:tc>
      </w:tr>
      <w:tr w:rsidR="00000000">
        <w:tblPrEx>
          <w:tblCellMar>
            <w:top w:w="0" w:type="dxa"/>
            <w:bottom w:w="0" w:type="dxa"/>
          </w:tblCellMar>
        </w:tblPrEx>
        <w:tc>
          <w:tcPr>
            <w:tcW w:w="5811" w:type="dxa"/>
          </w:tcPr>
          <w:p w:rsidR="00000000" w:rsidRDefault="00000000">
            <w:pPr>
              <w:pStyle w:val="FootnoteText"/>
              <w:keepNext/>
              <w:tabs>
                <w:tab w:val="left" w:pos="374"/>
                <w:tab w:val="left" w:pos="3366"/>
              </w:tabs>
              <w:spacing w:line="288" w:lineRule="auto"/>
              <w:rPr>
                <w:sz w:val="22"/>
              </w:rPr>
            </w:pPr>
            <w:r>
              <w:rPr>
                <w:sz w:val="22"/>
              </w:rPr>
              <w:tab/>
              <w:t>-</w:t>
            </w:r>
            <w:r>
              <w:rPr>
                <w:sz w:val="22"/>
              </w:rPr>
              <w:tab/>
              <w:t>в собственности компаний</w:t>
            </w:r>
          </w:p>
        </w:tc>
        <w:tc>
          <w:tcPr>
            <w:tcW w:w="2071" w:type="dxa"/>
          </w:tcPr>
          <w:p w:rsidR="00000000" w:rsidRDefault="00000000">
            <w:pPr>
              <w:pStyle w:val="FootnoteText"/>
              <w:keepNext/>
              <w:tabs>
                <w:tab w:val="clear" w:pos="567"/>
                <w:tab w:val="clear" w:pos="1134"/>
                <w:tab w:val="clear" w:pos="1701"/>
                <w:tab w:val="clear" w:pos="2268"/>
                <w:tab w:val="clear" w:pos="6237"/>
                <w:tab w:val="decimal" w:pos="1482"/>
              </w:tabs>
              <w:spacing w:line="288" w:lineRule="auto"/>
              <w:rPr>
                <w:sz w:val="22"/>
              </w:rPr>
            </w:pPr>
            <w:r>
              <w:rPr>
                <w:sz w:val="22"/>
              </w:rPr>
              <w:t>596 100</w:t>
            </w:r>
          </w:p>
        </w:tc>
        <w:tc>
          <w:tcPr>
            <w:tcW w:w="1683" w:type="dxa"/>
          </w:tcPr>
          <w:p w:rsidR="00000000" w:rsidRDefault="00000000">
            <w:pPr>
              <w:pStyle w:val="FootnoteText"/>
              <w:keepNext/>
              <w:tabs>
                <w:tab w:val="clear" w:pos="567"/>
                <w:tab w:val="clear" w:pos="1134"/>
                <w:tab w:val="clear" w:pos="1701"/>
                <w:tab w:val="clear" w:pos="2268"/>
                <w:tab w:val="clear" w:pos="6237"/>
                <w:tab w:val="decimal" w:pos="907"/>
              </w:tabs>
              <w:spacing w:line="288" w:lineRule="auto"/>
              <w:rPr>
                <w:sz w:val="22"/>
              </w:rPr>
            </w:pPr>
            <w:r>
              <w:rPr>
                <w:sz w:val="22"/>
              </w:rPr>
              <w:t>8,6%</w:t>
            </w:r>
          </w:p>
        </w:tc>
      </w:tr>
      <w:tr w:rsidR="00000000">
        <w:tblPrEx>
          <w:tblCellMar>
            <w:top w:w="0" w:type="dxa"/>
            <w:bottom w:w="0" w:type="dxa"/>
          </w:tblCellMar>
        </w:tblPrEx>
        <w:tc>
          <w:tcPr>
            <w:tcW w:w="5811" w:type="dxa"/>
          </w:tcPr>
          <w:p w:rsidR="00000000" w:rsidRDefault="00000000">
            <w:pPr>
              <w:pStyle w:val="FootnoteText"/>
              <w:keepNext/>
              <w:tabs>
                <w:tab w:val="left" w:pos="374"/>
                <w:tab w:val="left" w:pos="3366"/>
              </w:tabs>
              <w:spacing w:line="288" w:lineRule="auto"/>
              <w:rPr>
                <w:sz w:val="22"/>
              </w:rPr>
            </w:pPr>
            <w:r>
              <w:rPr>
                <w:sz w:val="22"/>
              </w:rPr>
              <w:tab/>
              <w:t>-</w:t>
            </w:r>
            <w:r>
              <w:rPr>
                <w:sz w:val="22"/>
              </w:rPr>
              <w:tab/>
              <w:t>в собственности жилтовариществ</w:t>
            </w:r>
          </w:p>
        </w:tc>
        <w:tc>
          <w:tcPr>
            <w:tcW w:w="2071" w:type="dxa"/>
          </w:tcPr>
          <w:p w:rsidR="00000000" w:rsidRDefault="00000000">
            <w:pPr>
              <w:pStyle w:val="FootnoteText"/>
              <w:keepNext/>
              <w:tabs>
                <w:tab w:val="clear" w:pos="567"/>
                <w:tab w:val="clear" w:pos="1134"/>
                <w:tab w:val="clear" w:pos="1701"/>
                <w:tab w:val="clear" w:pos="2268"/>
                <w:tab w:val="clear" w:pos="6237"/>
                <w:tab w:val="decimal" w:pos="1482"/>
              </w:tabs>
              <w:spacing w:line="288" w:lineRule="auto"/>
              <w:rPr>
                <w:sz w:val="22"/>
              </w:rPr>
            </w:pPr>
            <w:r>
              <w:rPr>
                <w:sz w:val="22"/>
              </w:rPr>
              <w:t>86 700</w:t>
            </w:r>
          </w:p>
        </w:tc>
        <w:tc>
          <w:tcPr>
            <w:tcW w:w="1683" w:type="dxa"/>
          </w:tcPr>
          <w:p w:rsidR="00000000" w:rsidRDefault="00000000">
            <w:pPr>
              <w:pStyle w:val="FootnoteText"/>
              <w:keepNext/>
              <w:tabs>
                <w:tab w:val="clear" w:pos="567"/>
                <w:tab w:val="clear" w:pos="1134"/>
                <w:tab w:val="clear" w:pos="1701"/>
                <w:tab w:val="clear" w:pos="2268"/>
                <w:tab w:val="clear" w:pos="6237"/>
                <w:tab w:val="decimal" w:pos="907"/>
              </w:tabs>
              <w:spacing w:line="288" w:lineRule="auto"/>
              <w:rPr>
                <w:sz w:val="22"/>
              </w:rPr>
            </w:pPr>
            <w:r>
              <w:rPr>
                <w:sz w:val="22"/>
              </w:rPr>
              <w:t>0,7%</w:t>
            </w:r>
          </w:p>
        </w:tc>
      </w:tr>
      <w:tr w:rsidR="00000000">
        <w:tblPrEx>
          <w:tblCellMar>
            <w:top w:w="0" w:type="dxa"/>
            <w:bottom w:w="0" w:type="dxa"/>
          </w:tblCellMar>
        </w:tblPrEx>
        <w:tc>
          <w:tcPr>
            <w:tcW w:w="5811" w:type="dxa"/>
          </w:tcPr>
          <w:p w:rsidR="00000000" w:rsidRDefault="00000000">
            <w:pPr>
              <w:pStyle w:val="FootnoteText"/>
              <w:keepNext/>
              <w:tabs>
                <w:tab w:val="left" w:pos="374"/>
                <w:tab w:val="left" w:pos="3366"/>
              </w:tabs>
              <w:spacing w:line="288" w:lineRule="auto"/>
              <w:rPr>
                <w:sz w:val="22"/>
              </w:rPr>
            </w:pPr>
            <w:r>
              <w:rPr>
                <w:sz w:val="22"/>
              </w:rPr>
              <w:t>Частный жилой фонд, в том числе в зданиях:</w:t>
            </w:r>
          </w:p>
        </w:tc>
        <w:tc>
          <w:tcPr>
            <w:tcW w:w="2071" w:type="dxa"/>
          </w:tcPr>
          <w:p w:rsidR="00000000" w:rsidRDefault="00000000">
            <w:pPr>
              <w:pStyle w:val="FootnoteText"/>
              <w:keepNext/>
              <w:tabs>
                <w:tab w:val="clear" w:pos="567"/>
                <w:tab w:val="clear" w:pos="1134"/>
                <w:tab w:val="clear" w:pos="1701"/>
                <w:tab w:val="clear" w:pos="2268"/>
                <w:tab w:val="clear" w:pos="6237"/>
                <w:tab w:val="decimal" w:pos="1482"/>
              </w:tabs>
              <w:spacing w:line="288" w:lineRule="auto"/>
              <w:rPr>
                <w:sz w:val="22"/>
              </w:rPr>
            </w:pPr>
            <w:r>
              <w:rPr>
                <w:sz w:val="22"/>
              </w:rPr>
              <w:t>6 120 500</w:t>
            </w:r>
          </w:p>
        </w:tc>
        <w:tc>
          <w:tcPr>
            <w:tcW w:w="1683" w:type="dxa"/>
          </w:tcPr>
          <w:p w:rsidR="00000000" w:rsidRDefault="00000000">
            <w:pPr>
              <w:pStyle w:val="FootnoteText"/>
              <w:keepNext/>
              <w:tabs>
                <w:tab w:val="clear" w:pos="567"/>
                <w:tab w:val="clear" w:pos="1134"/>
                <w:tab w:val="clear" w:pos="1701"/>
                <w:tab w:val="clear" w:pos="2268"/>
                <w:tab w:val="clear" w:pos="6237"/>
                <w:tab w:val="decimal" w:pos="907"/>
              </w:tabs>
              <w:spacing w:line="288" w:lineRule="auto"/>
              <w:rPr>
                <w:sz w:val="22"/>
              </w:rPr>
            </w:pPr>
            <w:r>
              <w:rPr>
                <w:sz w:val="22"/>
              </w:rPr>
              <w:t>52,4%</w:t>
            </w:r>
          </w:p>
        </w:tc>
      </w:tr>
      <w:tr w:rsidR="00000000">
        <w:tblPrEx>
          <w:tblCellMar>
            <w:top w:w="0" w:type="dxa"/>
            <w:bottom w:w="0" w:type="dxa"/>
          </w:tblCellMar>
        </w:tblPrEx>
        <w:tc>
          <w:tcPr>
            <w:tcW w:w="5811" w:type="dxa"/>
          </w:tcPr>
          <w:p w:rsidR="00000000" w:rsidRDefault="00000000">
            <w:pPr>
              <w:pStyle w:val="FootnoteText"/>
              <w:keepNext/>
              <w:tabs>
                <w:tab w:val="left" w:pos="374"/>
                <w:tab w:val="left" w:pos="3366"/>
              </w:tabs>
              <w:spacing w:line="288" w:lineRule="auto"/>
              <w:ind w:left="567" w:hanging="567"/>
              <w:rPr>
                <w:sz w:val="22"/>
              </w:rPr>
            </w:pPr>
            <w:r>
              <w:rPr>
                <w:sz w:val="22"/>
              </w:rPr>
              <w:tab/>
              <w:t>-</w:t>
            </w:r>
            <w:r>
              <w:rPr>
                <w:sz w:val="22"/>
              </w:rPr>
              <w:tab/>
              <w:t>находящихся в совместной собственности гмин (общин)</w:t>
            </w:r>
          </w:p>
        </w:tc>
        <w:tc>
          <w:tcPr>
            <w:tcW w:w="2071" w:type="dxa"/>
          </w:tcPr>
          <w:p w:rsidR="00000000" w:rsidRDefault="00000000">
            <w:pPr>
              <w:pStyle w:val="FootnoteText"/>
              <w:keepNext/>
              <w:tabs>
                <w:tab w:val="clear" w:pos="567"/>
                <w:tab w:val="clear" w:pos="1134"/>
                <w:tab w:val="clear" w:pos="1701"/>
                <w:tab w:val="clear" w:pos="2268"/>
                <w:tab w:val="clear" w:pos="6237"/>
                <w:tab w:val="decimal" w:pos="1482"/>
              </w:tabs>
              <w:spacing w:line="288" w:lineRule="auto"/>
              <w:rPr>
                <w:sz w:val="22"/>
              </w:rPr>
            </w:pPr>
            <w:r>
              <w:rPr>
                <w:sz w:val="22"/>
              </w:rPr>
              <w:t>541 600</w:t>
            </w:r>
          </w:p>
        </w:tc>
        <w:tc>
          <w:tcPr>
            <w:tcW w:w="1683" w:type="dxa"/>
          </w:tcPr>
          <w:p w:rsidR="00000000" w:rsidRDefault="00000000">
            <w:pPr>
              <w:pStyle w:val="FootnoteText"/>
              <w:keepNext/>
              <w:tabs>
                <w:tab w:val="clear" w:pos="567"/>
                <w:tab w:val="clear" w:pos="1134"/>
                <w:tab w:val="clear" w:pos="1701"/>
                <w:tab w:val="clear" w:pos="2268"/>
                <w:tab w:val="clear" w:pos="6237"/>
                <w:tab w:val="decimal" w:pos="907"/>
              </w:tabs>
              <w:spacing w:line="288" w:lineRule="auto"/>
              <w:rPr>
                <w:sz w:val="22"/>
              </w:rPr>
            </w:pPr>
            <w:r>
              <w:rPr>
                <w:sz w:val="22"/>
              </w:rPr>
              <w:t>46%</w:t>
            </w:r>
          </w:p>
        </w:tc>
      </w:tr>
      <w:tr w:rsidR="00000000">
        <w:tblPrEx>
          <w:tblCellMar>
            <w:top w:w="0" w:type="dxa"/>
            <w:bottom w:w="0" w:type="dxa"/>
          </w:tblCellMar>
        </w:tblPrEx>
        <w:tc>
          <w:tcPr>
            <w:tcW w:w="5811" w:type="dxa"/>
          </w:tcPr>
          <w:p w:rsidR="00000000" w:rsidRDefault="00000000">
            <w:pPr>
              <w:pStyle w:val="FootnoteText"/>
              <w:keepNext/>
              <w:tabs>
                <w:tab w:val="left" w:pos="374"/>
                <w:tab w:val="left" w:pos="3366"/>
              </w:tabs>
              <w:spacing w:line="288" w:lineRule="auto"/>
              <w:rPr>
                <w:sz w:val="22"/>
              </w:rPr>
            </w:pPr>
            <w:r>
              <w:rPr>
                <w:sz w:val="22"/>
              </w:rPr>
              <w:tab/>
              <w:t>-</w:t>
            </w:r>
            <w:r>
              <w:rPr>
                <w:sz w:val="22"/>
              </w:rPr>
              <w:tab/>
              <w:t>находящихся в совместной собственности компаний</w:t>
            </w:r>
          </w:p>
        </w:tc>
        <w:tc>
          <w:tcPr>
            <w:tcW w:w="2071" w:type="dxa"/>
          </w:tcPr>
          <w:p w:rsidR="00000000" w:rsidRDefault="00000000">
            <w:pPr>
              <w:pStyle w:val="FootnoteText"/>
              <w:keepNext/>
              <w:tabs>
                <w:tab w:val="clear" w:pos="567"/>
                <w:tab w:val="clear" w:pos="1134"/>
                <w:tab w:val="clear" w:pos="1701"/>
                <w:tab w:val="clear" w:pos="2268"/>
                <w:tab w:val="clear" w:pos="6237"/>
                <w:tab w:val="decimal" w:pos="1482"/>
              </w:tabs>
              <w:spacing w:line="288" w:lineRule="auto"/>
              <w:rPr>
                <w:sz w:val="22"/>
              </w:rPr>
            </w:pPr>
            <w:r>
              <w:rPr>
                <w:sz w:val="22"/>
              </w:rPr>
              <w:t>137 200</w:t>
            </w:r>
          </w:p>
        </w:tc>
        <w:tc>
          <w:tcPr>
            <w:tcW w:w="1683" w:type="dxa"/>
          </w:tcPr>
          <w:p w:rsidR="00000000" w:rsidRDefault="00000000">
            <w:pPr>
              <w:pStyle w:val="FootnoteText"/>
              <w:keepNext/>
              <w:tabs>
                <w:tab w:val="clear" w:pos="567"/>
                <w:tab w:val="clear" w:pos="1134"/>
                <w:tab w:val="clear" w:pos="1701"/>
                <w:tab w:val="clear" w:pos="2268"/>
                <w:tab w:val="clear" w:pos="6237"/>
                <w:tab w:val="decimal" w:pos="907"/>
              </w:tabs>
              <w:spacing w:line="288" w:lineRule="auto"/>
              <w:rPr>
                <w:sz w:val="22"/>
              </w:rPr>
            </w:pPr>
            <w:r>
              <w:rPr>
                <w:sz w:val="22"/>
              </w:rPr>
              <w:t>1,2%</w:t>
            </w:r>
          </w:p>
        </w:tc>
      </w:tr>
      <w:tr w:rsidR="00000000">
        <w:tblPrEx>
          <w:tblCellMar>
            <w:top w:w="0" w:type="dxa"/>
            <w:bottom w:w="0" w:type="dxa"/>
          </w:tblCellMar>
        </w:tblPrEx>
        <w:tc>
          <w:tcPr>
            <w:tcW w:w="5811" w:type="dxa"/>
          </w:tcPr>
          <w:p w:rsidR="00000000" w:rsidRDefault="00000000">
            <w:pPr>
              <w:pStyle w:val="FootnoteText"/>
              <w:keepNext/>
              <w:tabs>
                <w:tab w:val="left" w:pos="374"/>
                <w:tab w:val="left" w:pos="3366"/>
              </w:tabs>
              <w:spacing w:line="288" w:lineRule="auto"/>
              <w:ind w:left="567" w:hanging="567"/>
              <w:rPr>
                <w:sz w:val="22"/>
              </w:rPr>
            </w:pPr>
            <w:r>
              <w:rPr>
                <w:sz w:val="22"/>
              </w:rPr>
              <w:tab/>
              <w:t>-</w:t>
            </w:r>
            <w:r>
              <w:rPr>
                <w:sz w:val="22"/>
              </w:rPr>
              <w:tab/>
              <w:t>заселенных согласно решению административного органа о предоставлении жилья</w:t>
            </w:r>
          </w:p>
        </w:tc>
        <w:tc>
          <w:tcPr>
            <w:tcW w:w="2071" w:type="dxa"/>
          </w:tcPr>
          <w:p w:rsidR="00000000" w:rsidRDefault="00000000">
            <w:pPr>
              <w:pStyle w:val="FootnoteText"/>
              <w:keepNext/>
              <w:tabs>
                <w:tab w:val="left" w:pos="1860"/>
                <w:tab w:val="left" w:pos="3366"/>
              </w:tabs>
              <w:spacing w:line="288" w:lineRule="auto"/>
              <w:jc w:val="center"/>
              <w:rPr>
                <w:sz w:val="22"/>
              </w:rPr>
            </w:pPr>
            <w:r>
              <w:rPr>
                <w:sz w:val="22"/>
              </w:rPr>
              <w:t>примерно 600 000</w:t>
            </w:r>
          </w:p>
        </w:tc>
        <w:tc>
          <w:tcPr>
            <w:tcW w:w="1683" w:type="dxa"/>
          </w:tcPr>
          <w:p w:rsidR="00000000" w:rsidRDefault="00000000">
            <w:pPr>
              <w:pStyle w:val="FootnoteText"/>
              <w:keepNext/>
              <w:tabs>
                <w:tab w:val="left" w:pos="1860"/>
                <w:tab w:val="left" w:pos="3366"/>
              </w:tabs>
              <w:spacing w:line="288" w:lineRule="auto"/>
              <w:jc w:val="center"/>
              <w:rPr>
                <w:sz w:val="22"/>
              </w:rPr>
            </w:pPr>
            <w:r>
              <w:rPr>
                <w:sz w:val="22"/>
              </w:rPr>
              <w:t>примерно 5,2%</w:t>
            </w:r>
          </w:p>
        </w:tc>
      </w:tr>
    </w:tbl>
    <w:p w:rsidR="00000000" w:rsidRDefault="00000000">
      <w:pPr>
        <w:pStyle w:val="FootnoteText"/>
        <w:tabs>
          <w:tab w:val="left" w:pos="3366"/>
        </w:tabs>
        <w:spacing w:line="288" w:lineRule="auto"/>
      </w:pPr>
    </w:p>
    <w:p w:rsidR="00000000" w:rsidRDefault="00000000">
      <w:pPr>
        <w:pStyle w:val="FootnoteText"/>
        <w:tabs>
          <w:tab w:val="left" w:pos="3366"/>
        </w:tabs>
        <w:spacing w:line="288" w:lineRule="auto"/>
      </w:pPr>
      <w:r>
        <w:tab/>
      </w:r>
      <w:r>
        <w:rPr>
          <w:u w:val="single"/>
        </w:rPr>
        <w:t>Источник</w:t>
      </w:r>
      <w:r>
        <w:t>:  Данные Управления жилищного строительства и градостроительства.</w:t>
      </w:r>
    </w:p>
    <w:p w:rsidR="00000000" w:rsidRDefault="00000000">
      <w:pPr>
        <w:pStyle w:val="FootnoteText"/>
        <w:tabs>
          <w:tab w:val="left" w:pos="3366"/>
        </w:tabs>
        <w:spacing w:line="288" w:lineRule="auto"/>
      </w:pPr>
    </w:p>
    <w:p w:rsidR="00000000" w:rsidRDefault="00000000">
      <w:pPr>
        <w:pStyle w:val="FootnoteText"/>
        <w:tabs>
          <w:tab w:val="left" w:pos="3366"/>
        </w:tabs>
        <w:spacing w:line="288" w:lineRule="auto"/>
        <w:ind w:left="1134" w:hanging="1134"/>
        <w:jc w:val="center"/>
      </w:pPr>
      <w:r>
        <w:rPr>
          <w:u w:val="single"/>
        </w:rPr>
        <w:t>Таблица 29</w:t>
      </w:r>
      <w:r>
        <w:t>.</w:t>
      </w:r>
      <w:r>
        <w:tab/>
      </w:r>
      <w:r>
        <w:rPr>
          <w:u w:val="single"/>
        </w:rPr>
        <w:t>Жилые помещения с коммунальными удобствами в процентах от общего числа населенных жилых помещений (на 31 декабря</w:t>
      </w:r>
      <w:r>
        <w:t>)</w:t>
      </w:r>
    </w:p>
    <w:p w:rsidR="00000000" w:rsidRDefault="00000000">
      <w:pPr>
        <w:pStyle w:val="FootnoteText"/>
        <w:tabs>
          <w:tab w:val="left" w:pos="3366"/>
        </w:tabs>
        <w:spacing w:line="288" w:lineRule="auto"/>
        <w:ind w:left="1134" w:hanging="1134"/>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4169"/>
        <w:gridCol w:w="1496"/>
        <w:gridCol w:w="1309"/>
        <w:gridCol w:w="1309"/>
        <w:gridCol w:w="1183"/>
      </w:tblGrid>
      <w:tr w:rsidR="00000000">
        <w:tblPrEx>
          <w:tblCellMar>
            <w:top w:w="0" w:type="dxa"/>
            <w:bottom w:w="0" w:type="dxa"/>
          </w:tblCellMar>
        </w:tblPrEx>
        <w:tc>
          <w:tcPr>
            <w:tcW w:w="4170" w:type="dxa"/>
          </w:tcPr>
          <w:p w:rsidR="00000000" w:rsidRDefault="00000000">
            <w:pPr>
              <w:pStyle w:val="FootnoteText"/>
              <w:tabs>
                <w:tab w:val="left" w:pos="3366"/>
              </w:tabs>
              <w:spacing w:line="288" w:lineRule="auto"/>
              <w:rPr>
                <w:sz w:val="22"/>
              </w:rPr>
            </w:pPr>
            <w:r>
              <w:rPr>
                <w:sz w:val="22"/>
              </w:rPr>
              <w:t>Показатель</w:t>
            </w:r>
          </w:p>
        </w:tc>
        <w:tc>
          <w:tcPr>
            <w:tcW w:w="1496" w:type="dxa"/>
          </w:tcPr>
          <w:p w:rsidR="00000000" w:rsidRDefault="00000000">
            <w:pPr>
              <w:pStyle w:val="FootnoteText"/>
              <w:tabs>
                <w:tab w:val="left" w:pos="3366"/>
              </w:tabs>
              <w:spacing w:line="288" w:lineRule="auto"/>
              <w:jc w:val="center"/>
              <w:rPr>
                <w:sz w:val="22"/>
              </w:rPr>
            </w:pPr>
            <w:r>
              <w:rPr>
                <w:sz w:val="22"/>
              </w:rPr>
              <w:t>1995 год</w:t>
            </w:r>
          </w:p>
        </w:tc>
        <w:tc>
          <w:tcPr>
            <w:tcW w:w="1309" w:type="dxa"/>
          </w:tcPr>
          <w:p w:rsidR="00000000" w:rsidRDefault="00000000">
            <w:pPr>
              <w:pStyle w:val="FootnoteText"/>
              <w:tabs>
                <w:tab w:val="clear" w:pos="567"/>
                <w:tab w:val="clear" w:pos="1134"/>
                <w:tab w:val="clear" w:pos="1701"/>
                <w:tab w:val="clear" w:pos="2268"/>
                <w:tab w:val="clear" w:pos="6237"/>
                <w:tab w:val="left" w:pos="-1552"/>
                <w:tab w:val="left" w:pos="-56"/>
              </w:tabs>
              <w:spacing w:line="288" w:lineRule="auto"/>
              <w:jc w:val="center"/>
              <w:rPr>
                <w:sz w:val="22"/>
              </w:rPr>
            </w:pPr>
            <w:r>
              <w:rPr>
                <w:sz w:val="22"/>
              </w:rPr>
              <w:t>1996 год</w:t>
            </w:r>
          </w:p>
        </w:tc>
        <w:tc>
          <w:tcPr>
            <w:tcW w:w="1309" w:type="dxa"/>
          </w:tcPr>
          <w:p w:rsidR="00000000" w:rsidRDefault="00000000">
            <w:pPr>
              <w:pStyle w:val="FootnoteText"/>
              <w:tabs>
                <w:tab w:val="left" w:pos="3366"/>
              </w:tabs>
              <w:spacing w:line="288" w:lineRule="auto"/>
              <w:jc w:val="center"/>
              <w:rPr>
                <w:sz w:val="22"/>
              </w:rPr>
            </w:pPr>
            <w:r>
              <w:rPr>
                <w:sz w:val="22"/>
              </w:rPr>
              <w:t>1997 год</w:t>
            </w:r>
          </w:p>
        </w:tc>
        <w:tc>
          <w:tcPr>
            <w:tcW w:w="1183" w:type="dxa"/>
          </w:tcPr>
          <w:p w:rsidR="00000000" w:rsidRDefault="00000000">
            <w:pPr>
              <w:pStyle w:val="FootnoteText"/>
              <w:tabs>
                <w:tab w:val="left" w:pos="3366"/>
              </w:tabs>
              <w:spacing w:line="288" w:lineRule="auto"/>
              <w:jc w:val="center"/>
              <w:rPr>
                <w:sz w:val="22"/>
              </w:rPr>
            </w:pPr>
            <w:r>
              <w:rPr>
                <w:sz w:val="22"/>
              </w:rPr>
              <w:t>1998 год</w:t>
            </w:r>
          </w:p>
        </w:tc>
      </w:tr>
      <w:tr w:rsidR="00000000">
        <w:tblPrEx>
          <w:tblCellMar>
            <w:top w:w="0" w:type="dxa"/>
            <w:bottom w:w="0" w:type="dxa"/>
          </w:tblCellMar>
        </w:tblPrEx>
        <w:tc>
          <w:tcPr>
            <w:tcW w:w="4170" w:type="dxa"/>
          </w:tcPr>
          <w:p w:rsidR="00000000" w:rsidRDefault="00000000">
            <w:pPr>
              <w:pStyle w:val="FootnoteText"/>
              <w:tabs>
                <w:tab w:val="left" w:pos="3366"/>
              </w:tabs>
              <w:spacing w:line="288" w:lineRule="auto"/>
              <w:rPr>
                <w:sz w:val="22"/>
              </w:rPr>
            </w:pPr>
            <w:r>
              <w:rPr>
                <w:sz w:val="22"/>
              </w:rPr>
              <w:t>Городские районы</w:t>
            </w:r>
          </w:p>
        </w:tc>
        <w:tc>
          <w:tcPr>
            <w:tcW w:w="1496" w:type="dxa"/>
          </w:tcPr>
          <w:p w:rsidR="00000000" w:rsidRDefault="00000000">
            <w:pPr>
              <w:pStyle w:val="FootnoteText"/>
              <w:tabs>
                <w:tab w:val="left" w:pos="3366"/>
              </w:tabs>
              <w:spacing w:line="288" w:lineRule="auto"/>
              <w:jc w:val="center"/>
              <w:rPr>
                <w:sz w:val="22"/>
              </w:rPr>
            </w:pPr>
          </w:p>
        </w:tc>
        <w:tc>
          <w:tcPr>
            <w:tcW w:w="1309" w:type="dxa"/>
          </w:tcPr>
          <w:p w:rsidR="00000000" w:rsidRDefault="00000000">
            <w:pPr>
              <w:pStyle w:val="FootnoteText"/>
              <w:tabs>
                <w:tab w:val="left" w:pos="3366"/>
              </w:tabs>
              <w:spacing w:line="288" w:lineRule="auto"/>
              <w:jc w:val="center"/>
              <w:rPr>
                <w:sz w:val="22"/>
              </w:rPr>
            </w:pPr>
          </w:p>
        </w:tc>
        <w:tc>
          <w:tcPr>
            <w:tcW w:w="1309" w:type="dxa"/>
          </w:tcPr>
          <w:p w:rsidR="00000000" w:rsidRDefault="00000000">
            <w:pPr>
              <w:pStyle w:val="FootnoteText"/>
              <w:tabs>
                <w:tab w:val="left" w:pos="3366"/>
              </w:tabs>
              <w:spacing w:line="288" w:lineRule="auto"/>
              <w:jc w:val="center"/>
              <w:rPr>
                <w:sz w:val="22"/>
              </w:rPr>
            </w:pPr>
          </w:p>
        </w:tc>
        <w:tc>
          <w:tcPr>
            <w:tcW w:w="1183" w:type="dxa"/>
          </w:tcPr>
          <w:p w:rsidR="00000000" w:rsidRDefault="00000000">
            <w:pPr>
              <w:pStyle w:val="FootnoteText"/>
              <w:tabs>
                <w:tab w:val="left" w:pos="3366"/>
              </w:tabs>
              <w:spacing w:line="288" w:lineRule="auto"/>
              <w:jc w:val="center"/>
              <w:rPr>
                <w:sz w:val="22"/>
              </w:rPr>
            </w:pPr>
          </w:p>
        </w:tc>
      </w:tr>
      <w:tr w:rsidR="00000000">
        <w:tblPrEx>
          <w:tblCellMar>
            <w:top w:w="0" w:type="dxa"/>
            <w:bottom w:w="0" w:type="dxa"/>
          </w:tblCellMar>
        </w:tblPrEx>
        <w:tc>
          <w:tcPr>
            <w:tcW w:w="4170" w:type="dxa"/>
          </w:tcPr>
          <w:p w:rsidR="00000000" w:rsidRDefault="00000000">
            <w:pPr>
              <w:pStyle w:val="FootnoteText"/>
              <w:tabs>
                <w:tab w:val="clear" w:pos="567"/>
                <w:tab w:val="left" w:pos="284"/>
                <w:tab w:val="left" w:pos="3366"/>
              </w:tabs>
              <w:spacing w:line="288" w:lineRule="auto"/>
              <w:rPr>
                <w:sz w:val="22"/>
              </w:rPr>
            </w:pPr>
            <w:r>
              <w:rPr>
                <w:sz w:val="22"/>
              </w:rPr>
              <w:tab/>
              <w:t>-  водопровод</w:t>
            </w:r>
          </w:p>
        </w:tc>
        <w:tc>
          <w:tcPr>
            <w:tcW w:w="1496" w:type="dxa"/>
          </w:tcPr>
          <w:p w:rsidR="00000000" w:rsidRDefault="00000000">
            <w:pPr>
              <w:pStyle w:val="FootnoteText"/>
              <w:tabs>
                <w:tab w:val="left" w:pos="3366"/>
              </w:tabs>
              <w:spacing w:line="288" w:lineRule="auto"/>
              <w:jc w:val="center"/>
              <w:rPr>
                <w:sz w:val="22"/>
                <w:lang w:val="en-US"/>
              </w:rPr>
            </w:pPr>
            <w:r>
              <w:rPr>
                <w:sz w:val="22"/>
                <w:lang w:val="en-US"/>
              </w:rPr>
              <w:t>96,7</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96,9</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97,1</w:t>
            </w:r>
          </w:p>
        </w:tc>
        <w:tc>
          <w:tcPr>
            <w:tcW w:w="1183" w:type="dxa"/>
          </w:tcPr>
          <w:p w:rsidR="00000000" w:rsidRDefault="00000000">
            <w:pPr>
              <w:pStyle w:val="FootnoteText"/>
              <w:tabs>
                <w:tab w:val="left" w:pos="3366"/>
              </w:tabs>
              <w:spacing w:line="288" w:lineRule="auto"/>
              <w:jc w:val="center"/>
              <w:rPr>
                <w:sz w:val="22"/>
                <w:lang w:val="en-US"/>
              </w:rPr>
            </w:pPr>
            <w:r>
              <w:rPr>
                <w:sz w:val="22"/>
                <w:lang w:val="en-US"/>
              </w:rPr>
              <w:t>97,4</w:t>
            </w:r>
          </w:p>
        </w:tc>
      </w:tr>
      <w:tr w:rsidR="00000000">
        <w:tblPrEx>
          <w:tblCellMar>
            <w:top w:w="0" w:type="dxa"/>
            <w:bottom w:w="0" w:type="dxa"/>
          </w:tblCellMar>
        </w:tblPrEx>
        <w:tc>
          <w:tcPr>
            <w:tcW w:w="4170" w:type="dxa"/>
          </w:tcPr>
          <w:p w:rsidR="00000000" w:rsidRDefault="00000000">
            <w:pPr>
              <w:pStyle w:val="FootnoteText"/>
              <w:tabs>
                <w:tab w:val="clear" w:pos="567"/>
                <w:tab w:val="left" w:pos="284"/>
                <w:tab w:val="left" w:pos="3366"/>
              </w:tabs>
              <w:spacing w:line="288" w:lineRule="auto"/>
              <w:rPr>
                <w:sz w:val="22"/>
              </w:rPr>
            </w:pPr>
            <w:r>
              <w:rPr>
                <w:sz w:val="22"/>
              </w:rPr>
              <w:tab/>
              <w:t>-  канализация</w:t>
            </w:r>
          </w:p>
        </w:tc>
        <w:tc>
          <w:tcPr>
            <w:tcW w:w="1496" w:type="dxa"/>
          </w:tcPr>
          <w:p w:rsidR="00000000" w:rsidRDefault="00000000">
            <w:pPr>
              <w:pStyle w:val="FootnoteText"/>
              <w:tabs>
                <w:tab w:val="left" w:pos="3366"/>
              </w:tabs>
              <w:spacing w:line="288" w:lineRule="auto"/>
              <w:jc w:val="center"/>
              <w:rPr>
                <w:sz w:val="22"/>
                <w:lang w:val="en-US"/>
              </w:rPr>
            </w:pPr>
            <w:r>
              <w:rPr>
                <w:sz w:val="22"/>
                <w:lang w:val="en-US"/>
              </w:rPr>
              <w:t>88,3</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88,7</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89,1</w:t>
            </w:r>
          </w:p>
        </w:tc>
        <w:tc>
          <w:tcPr>
            <w:tcW w:w="1183" w:type="dxa"/>
          </w:tcPr>
          <w:p w:rsidR="00000000" w:rsidRDefault="00000000">
            <w:pPr>
              <w:pStyle w:val="FootnoteText"/>
              <w:tabs>
                <w:tab w:val="left" w:pos="3366"/>
              </w:tabs>
              <w:spacing w:line="288" w:lineRule="auto"/>
              <w:jc w:val="center"/>
              <w:rPr>
                <w:sz w:val="22"/>
                <w:lang w:val="en-US"/>
              </w:rPr>
            </w:pPr>
            <w:r>
              <w:rPr>
                <w:sz w:val="22"/>
                <w:lang w:val="en-US"/>
              </w:rPr>
              <w:t>89,0</w:t>
            </w:r>
          </w:p>
        </w:tc>
      </w:tr>
      <w:tr w:rsidR="00000000">
        <w:tblPrEx>
          <w:tblCellMar>
            <w:top w:w="0" w:type="dxa"/>
            <w:bottom w:w="0" w:type="dxa"/>
          </w:tblCellMar>
        </w:tblPrEx>
        <w:tc>
          <w:tcPr>
            <w:tcW w:w="4170" w:type="dxa"/>
          </w:tcPr>
          <w:p w:rsidR="00000000" w:rsidRDefault="00000000">
            <w:pPr>
              <w:pStyle w:val="FootnoteText"/>
              <w:tabs>
                <w:tab w:val="clear" w:pos="567"/>
                <w:tab w:val="left" w:pos="284"/>
                <w:tab w:val="left" w:pos="3366"/>
              </w:tabs>
              <w:spacing w:line="288" w:lineRule="auto"/>
              <w:rPr>
                <w:sz w:val="22"/>
              </w:rPr>
            </w:pPr>
            <w:r>
              <w:rPr>
                <w:sz w:val="22"/>
              </w:rPr>
              <w:tab/>
              <w:t>-  ванная комната</w:t>
            </w:r>
          </w:p>
        </w:tc>
        <w:tc>
          <w:tcPr>
            <w:tcW w:w="1496" w:type="dxa"/>
          </w:tcPr>
          <w:p w:rsidR="00000000" w:rsidRDefault="00000000">
            <w:pPr>
              <w:pStyle w:val="FootnoteText"/>
              <w:tabs>
                <w:tab w:val="left" w:pos="3366"/>
              </w:tabs>
              <w:spacing w:line="288" w:lineRule="auto"/>
              <w:jc w:val="center"/>
              <w:rPr>
                <w:sz w:val="22"/>
                <w:lang w:val="en-US"/>
              </w:rPr>
            </w:pPr>
            <w:r>
              <w:rPr>
                <w:sz w:val="22"/>
                <w:lang w:val="en-US"/>
              </w:rPr>
              <w:t>86,0</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86,5</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86,9</w:t>
            </w:r>
          </w:p>
        </w:tc>
        <w:tc>
          <w:tcPr>
            <w:tcW w:w="1183" w:type="dxa"/>
          </w:tcPr>
          <w:p w:rsidR="00000000" w:rsidRDefault="00000000">
            <w:pPr>
              <w:pStyle w:val="FootnoteText"/>
              <w:tabs>
                <w:tab w:val="left" w:pos="3366"/>
              </w:tabs>
              <w:spacing w:line="288" w:lineRule="auto"/>
              <w:jc w:val="center"/>
              <w:rPr>
                <w:sz w:val="22"/>
                <w:lang w:val="en-US"/>
              </w:rPr>
            </w:pPr>
            <w:r>
              <w:rPr>
                <w:sz w:val="22"/>
                <w:lang w:val="en-US"/>
              </w:rPr>
              <w:t>87,4</w:t>
            </w:r>
          </w:p>
        </w:tc>
      </w:tr>
      <w:tr w:rsidR="00000000">
        <w:tblPrEx>
          <w:tblCellMar>
            <w:top w:w="0" w:type="dxa"/>
            <w:bottom w:w="0" w:type="dxa"/>
          </w:tblCellMar>
        </w:tblPrEx>
        <w:tc>
          <w:tcPr>
            <w:tcW w:w="4170" w:type="dxa"/>
          </w:tcPr>
          <w:p w:rsidR="00000000" w:rsidRDefault="00000000">
            <w:pPr>
              <w:pStyle w:val="FootnoteText"/>
              <w:tabs>
                <w:tab w:val="clear" w:pos="567"/>
                <w:tab w:val="left" w:pos="284"/>
                <w:tab w:val="left" w:pos="3366"/>
              </w:tabs>
              <w:spacing w:line="288" w:lineRule="auto"/>
              <w:rPr>
                <w:sz w:val="22"/>
              </w:rPr>
            </w:pPr>
            <w:r>
              <w:rPr>
                <w:sz w:val="22"/>
              </w:rPr>
              <w:tab/>
              <w:t>-  магистральный газ</w:t>
            </w:r>
          </w:p>
        </w:tc>
        <w:tc>
          <w:tcPr>
            <w:tcW w:w="1496" w:type="dxa"/>
          </w:tcPr>
          <w:p w:rsidR="00000000" w:rsidRDefault="00000000">
            <w:pPr>
              <w:pStyle w:val="FootnoteText"/>
              <w:tabs>
                <w:tab w:val="left" w:pos="3366"/>
              </w:tabs>
              <w:spacing w:line="288" w:lineRule="auto"/>
              <w:jc w:val="center"/>
              <w:rPr>
                <w:sz w:val="22"/>
                <w:lang w:val="en-US"/>
              </w:rPr>
            </w:pPr>
            <w:r>
              <w:rPr>
                <w:sz w:val="22"/>
                <w:lang w:val="en-US"/>
              </w:rPr>
              <w:t>74,9</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75,4</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75,9</w:t>
            </w:r>
          </w:p>
        </w:tc>
        <w:tc>
          <w:tcPr>
            <w:tcW w:w="1183" w:type="dxa"/>
          </w:tcPr>
          <w:p w:rsidR="00000000" w:rsidRDefault="00000000">
            <w:pPr>
              <w:pStyle w:val="FootnoteText"/>
              <w:tabs>
                <w:tab w:val="left" w:pos="3366"/>
              </w:tabs>
              <w:spacing w:line="288" w:lineRule="auto"/>
              <w:jc w:val="center"/>
              <w:rPr>
                <w:sz w:val="22"/>
                <w:lang w:val="en-US"/>
              </w:rPr>
            </w:pPr>
            <w:r>
              <w:rPr>
                <w:sz w:val="22"/>
                <w:lang w:val="en-US"/>
              </w:rPr>
              <w:t>76,0</w:t>
            </w:r>
          </w:p>
        </w:tc>
      </w:tr>
      <w:tr w:rsidR="00000000">
        <w:tblPrEx>
          <w:tblCellMar>
            <w:top w:w="0" w:type="dxa"/>
            <w:bottom w:w="0" w:type="dxa"/>
          </w:tblCellMar>
        </w:tblPrEx>
        <w:tc>
          <w:tcPr>
            <w:tcW w:w="4170" w:type="dxa"/>
          </w:tcPr>
          <w:p w:rsidR="00000000" w:rsidRDefault="00000000">
            <w:pPr>
              <w:pStyle w:val="FootnoteText"/>
              <w:tabs>
                <w:tab w:val="clear" w:pos="567"/>
                <w:tab w:val="left" w:pos="284"/>
                <w:tab w:val="left" w:pos="3366"/>
              </w:tabs>
              <w:spacing w:line="288" w:lineRule="auto"/>
              <w:rPr>
                <w:sz w:val="22"/>
              </w:rPr>
            </w:pPr>
            <w:r>
              <w:rPr>
                <w:sz w:val="22"/>
              </w:rPr>
              <w:tab/>
              <w:t>-  центральное отопление</w:t>
            </w:r>
          </w:p>
        </w:tc>
        <w:tc>
          <w:tcPr>
            <w:tcW w:w="1496" w:type="dxa"/>
          </w:tcPr>
          <w:p w:rsidR="00000000" w:rsidRDefault="00000000">
            <w:pPr>
              <w:pStyle w:val="FootnoteText"/>
              <w:tabs>
                <w:tab w:val="left" w:pos="3366"/>
              </w:tabs>
              <w:spacing w:line="288" w:lineRule="auto"/>
              <w:jc w:val="center"/>
              <w:rPr>
                <w:sz w:val="22"/>
                <w:lang w:val="en-US"/>
              </w:rPr>
            </w:pPr>
            <w:r>
              <w:rPr>
                <w:sz w:val="22"/>
                <w:lang w:val="en-US"/>
              </w:rPr>
              <w:t>77,8</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78,3</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79,0</w:t>
            </w:r>
          </w:p>
        </w:tc>
        <w:tc>
          <w:tcPr>
            <w:tcW w:w="1183" w:type="dxa"/>
          </w:tcPr>
          <w:p w:rsidR="00000000" w:rsidRDefault="00000000">
            <w:pPr>
              <w:pStyle w:val="FootnoteText"/>
              <w:tabs>
                <w:tab w:val="left" w:pos="3366"/>
              </w:tabs>
              <w:spacing w:line="288" w:lineRule="auto"/>
              <w:jc w:val="center"/>
              <w:rPr>
                <w:sz w:val="22"/>
                <w:lang w:val="en-US"/>
              </w:rPr>
            </w:pPr>
            <w:r>
              <w:rPr>
                <w:sz w:val="22"/>
                <w:lang w:val="en-US"/>
              </w:rPr>
              <w:t>79,6</w:t>
            </w:r>
          </w:p>
        </w:tc>
      </w:tr>
      <w:tr w:rsidR="00000000">
        <w:tblPrEx>
          <w:tblCellMar>
            <w:top w:w="0" w:type="dxa"/>
            <w:bottom w:w="0" w:type="dxa"/>
          </w:tblCellMar>
        </w:tblPrEx>
        <w:tc>
          <w:tcPr>
            <w:tcW w:w="4170" w:type="dxa"/>
          </w:tcPr>
          <w:p w:rsidR="00000000" w:rsidRDefault="00000000">
            <w:pPr>
              <w:pStyle w:val="FootnoteText"/>
              <w:tabs>
                <w:tab w:val="clear" w:pos="567"/>
                <w:tab w:val="left" w:pos="284"/>
                <w:tab w:val="left" w:pos="3366"/>
              </w:tabs>
              <w:spacing w:line="288" w:lineRule="auto"/>
              <w:rPr>
                <w:sz w:val="22"/>
              </w:rPr>
            </w:pPr>
            <w:r>
              <w:rPr>
                <w:sz w:val="22"/>
              </w:rPr>
              <w:t>Сельские районы</w:t>
            </w:r>
          </w:p>
        </w:tc>
        <w:tc>
          <w:tcPr>
            <w:tcW w:w="1496" w:type="dxa"/>
          </w:tcPr>
          <w:p w:rsidR="00000000" w:rsidRDefault="00000000">
            <w:pPr>
              <w:pStyle w:val="FootnoteText"/>
              <w:tabs>
                <w:tab w:val="left" w:pos="3366"/>
              </w:tabs>
              <w:spacing w:line="288" w:lineRule="auto"/>
              <w:jc w:val="center"/>
              <w:rPr>
                <w:sz w:val="22"/>
              </w:rPr>
            </w:pPr>
          </w:p>
        </w:tc>
        <w:tc>
          <w:tcPr>
            <w:tcW w:w="1309" w:type="dxa"/>
          </w:tcPr>
          <w:p w:rsidR="00000000" w:rsidRDefault="00000000">
            <w:pPr>
              <w:pStyle w:val="FootnoteText"/>
              <w:tabs>
                <w:tab w:val="left" w:pos="3366"/>
              </w:tabs>
              <w:spacing w:line="288" w:lineRule="auto"/>
              <w:jc w:val="center"/>
              <w:rPr>
                <w:sz w:val="22"/>
              </w:rPr>
            </w:pPr>
          </w:p>
        </w:tc>
        <w:tc>
          <w:tcPr>
            <w:tcW w:w="1309" w:type="dxa"/>
          </w:tcPr>
          <w:p w:rsidR="00000000" w:rsidRDefault="00000000">
            <w:pPr>
              <w:pStyle w:val="FootnoteText"/>
              <w:tabs>
                <w:tab w:val="left" w:pos="3366"/>
              </w:tabs>
              <w:spacing w:line="288" w:lineRule="auto"/>
              <w:jc w:val="center"/>
              <w:rPr>
                <w:sz w:val="22"/>
              </w:rPr>
            </w:pPr>
          </w:p>
        </w:tc>
        <w:tc>
          <w:tcPr>
            <w:tcW w:w="1183" w:type="dxa"/>
          </w:tcPr>
          <w:p w:rsidR="00000000" w:rsidRDefault="00000000">
            <w:pPr>
              <w:pStyle w:val="FootnoteText"/>
              <w:tabs>
                <w:tab w:val="left" w:pos="3366"/>
              </w:tabs>
              <w:spacing w:line="288" w:lineRule="auto"/>
              <w:jc w:val="center"/>
              <w:rPr>
                <w:sz w:val="22"/>
              </w:rPr>
            </w:pPr>
          </w:p>
        </w:tc>
      </w:tr>
      <w:tr w:rsidR="00000000">
        <w:tblPrEx>
          <w:tblCellMar>
            <w:top w:w="0" w:type="dxa"/>
            <w:bottom w:w="0" w:type="dxa"/>
          </w:tblCellMar>
        </w:tblPrEx>
        <w:tc>
          <w:tcPr>
            <w:tcW w:w="4170" w:type="dxa"/>
          </w:tcPr>
          <w:p w:rsidR="00000000" w:rsidRDefault="00000000">
            <w:pPr>
              <w:pStyle w:val="FootnoteText"/>
              <w:tabs>
                <w:tab w:val="clear" w:pos="567"/>
                <w:tab w:val="left" w:pos="284"/>
                <w:tab w:val="left" w:pos="3366"/>
              </w:tabs>
              <w:spacing w:line="288" w:lineRule="auto"/>
              <w:rPr>
                <w:sz w:val="22"/>
              </w:rPr>
            </w:pPr>
            <w:r>
              <w:rPr>
                <w:sz w:val="22"/>
              </w:rPr>
              <w:tab/>
              <w:t>-  водопровод</w:t>
            </w:r>
          </w:p>
        </w:tc>
        <w:tc>
          <w:tcPr>
            <w:tcW w:w="1496" w:type="dxa"/>
          </w:tcPr>
          <w:p w:rsidR="00000000" w:rsidRDefault="00000000">
            <w:pPr>
              <w:pStyle w:val="FootnoteText"/>
              <w:tabs>
                <w:tab w:val="left" w:pos="3366"/>
              </w:tabs>
              <w:spacing w:line="288" w:lineRule="auto"/>
              <w:jc w:val="center"/>
              <w:rPr>
                <w:sz w:val="22"/>
                <w:lang w:val="en-US"/>
              </w:rPr>
            </w:pPr>
            <w:r>
              <w:rPr>
                <w:sz w:val="22"/>
                <w:lang w:val="en-US"/>
              </w:rPr>
              <w:t>76,2</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77,8</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79,4</w:t>
            </w:r>
          </w:p>
        </w:tc>
        <w:tc>
          <w:tcPr>
            <w:tcW w:w="1183" w:type="dxa"/>
          </w:tcPr>
          <w:p w:rsidR="00000000" w:rsidRDefault="00000000">
            <w:pPr>
              <w:pStyle w:val="FootnoteText"/>
              <w:tabs>
                <w:tab w:val="left" w:pos="3366"/>
              </w:tabs>
              <w:spacing w:line="288" w:lineRule="auto"/>
              <w:jc w:val="center"/>
              <w:rPr>
                <w:sz w:val="22"/>
                <w:lang w:val="en-US"/>
              </w:rPr>
            </w:pPr>
            <w:r>
              <w:rPr>
                <w:sz w:val="22"/>
                <w:lang w:val="en-US"/>
              </w:rPr>
              <w:t>80,8</w:t>
            </w:r>
          </w:p>
        </w:tc>
      </w:tr>
      <w:tr w:rsidR="00000000">
        <w:tblPrEx>
          <w:tblCellMar>
            <w:top w:w="0" w:type="dxa"/>
            <w:bottom w:w="0" w:type="dxa"/>
          </w:tblCellMar>
        </w:tblPrEx>
        <w:tc>
          <w:tcPr>
            <w:tcW w:w="4170" w:type="dxa"/>
          </w:tcPr>
          <w:p w:rsidR="00000000" w:rsidRDefault="00000000">
            <w:pPr>
              <w:pStyle w:val="FootnoteText"/>
              <w:tabs>
                <w:tab w:val="clear" w:pos="567"/>
                <w:tab w:val="left" w:pos="284"/>
                <w:tab w:val="left" w:pos="3366"/>
              </w:tabs>
              <w:spacing w:line="288" w:lineRule="auto"/>
              <w:rPr>
                <w:sz w:val="22"/>
              </w:rPr>
            </w:pPr>
            <w:r>
              <w:rPr>
                <w:sz w:val="22"/>
              </w:rPr>
              <w:tab/>
              <w:t>-  канализация</w:t>
            </w:r>
          </w:p>
        </w:tc>
        <w:tc>
          <w:tcPr>
            <w:tcW w:w="1496" w:type="dxa"/>
          </w:tcPr>
          <w:p w:rsidR="00000000" w:rsidRDefault="00000000">
            <w:pPr>
              <w:pStyle w:val="FootnoteText"/>
              <w:tabs>
                <w:tab w:val="left" w:pos="3366"/>
              </w:tabs>
              <w:spacing w:line="288" w:lineRule="auto"/>
              <w:jc w:val="center"/>
              <w:rPr>
                <w:sz w:val="22"/>
                <w:lang w:val="en-US"/>
              </w:rPr>
            </w:pPr>
            <w:r>
              <w:rPr>
                <w:sz w:val="22"/>
                <w:lang w:val="en-US"/>
              </w:rPr>
              <w:t>57,0</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58,4</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59,8</w:t>
            </w:r>
          </w:p>
        </w:tc>
        <w:tc>
          <w:tcPr>
            <w:tcW w:w="1183" w:type="dxa"/>
          </w:tcPr>
          <w:p w:rsidR="00000000" w:rsidRDefault="00000000">
            <w:pPr>
              <w:pStyle w:val="FootnoteText"/>
              <w:tabs>
                <w:tab w:val="left" w:pos="3366"/>
              </w:tabs>
              <w:spacing w:line="288" w:lineRule="auto"/>
              <w:jc w:val="center"/>
              <w:rPr>
                <w:sz w:val="22"/>
                <w:lang w:val="en-US"/>
              </w:rPr>
            </w:pPr>
            <w:r>
              <w:rPr>
                <w:sz w:val="22"/>
                <w:lang w:val="en-US"/>
              </w:rPr>
              <w:t>61,4</w:t>
            </w:r>
          </w:p>
        </w:tc>
      </w:tr>
      <w:tr w:rsidR="00000000">
        <w:tblPrEx>
          <w:tblCellMar>
            <w:top w:w="0" w:type="dxa"/>
            <w:bottom w:w="0" w:type="dxa"/>
          </w:tblCellMar>
        </w:tblPrEx>
        <w:tc>
          <w:tcPr>
            <w:tcW w:w="4170" w:type="dxa"/>
          </w:tcPr>
          <w:p w:rsidR="00000000" w:rsidRDefault="00000000">
            <w:pPr>
              <w:pStyle w:val="FootnoteText"/>
              <w:tabs>
                <w:tab w:val="clear" w:pos="567"/>
                <w:tab w:val="left" w:pos="284"/>
                <w:tab w:val="left" w:pos="3366"/>
              </w:tabs>
              <w:spacing w:line="288" w:lineRule="auto"/>
              <w:rPr>
                <w:sz w:val="22"/>
              </w:rPr>
            </w:pPr>
            <w:r>
              <w:rPr>
                <w:sz w:val="22"/>
              </w:rPr>
              <w:tab/>
              <w:t>-  ванная комната</w:t>
            </w:r>
          </w:p>
        </w:tc>
        <w:tc>
          <w:tcPr>
            <w:tcW w:w="1496" w:type="dxa"/>
          </w:tcPr>
          <w:p w:rsidR="00000000" w:rsidRDefault="00000000">
            <w:pPr>
              <w:pStyle w:val="FootnoteText"/>
              <w:tabs>
                <w:tab w:val="left" w:pos="3366"/>
              </w:tabs>
              <w:spacing w:line="288" w:lineRule="auto"/>
              <w:jc w:val="center"/>
              <w:rPr>
                <w:sz w:val="22"/>
                <w:lang w:val="en-US"/>
              </w:rPr>
            </w:pPr>
            <w:r>
              <w:rPr>
                <w:sz w:val="22"/>
                <w:lang w:val="en-US"/>
              </w:rPr>
              <w:t>61,5</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62,9</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64,2</w:t>
            </w:r>
          </w:p>
        </w:tc>
        <w:tc>
          <w:tcPr>
            <w:tcW w:w="1183" w:type="dxa"/>
          </w:tcPr>
          <w:p w:rsidR="00000000" w:rsidRDefault="00000000">
            <w:pPr>
              <w:pStyle w:val="FootnoteText"/>
              <w:tabs>
                <w:tab w:val="left" w:pos="3366"/>
              </w:tabs>
              <w:spacing w:line="288" w:lineRule="auto"/>
              <w:jc w:val="center"/>
              <w:rPr>
                <w:sz w:val="22"/>
                <w:lang w:val="en-US"/>
              </w:rPr>
            </w:pPr>
            <w:r>
              <w:rPr>
                <w:sz w:val="22"/>
                <w:lang w:val="en-US"/>
              </w:rPr>
              <w:t>65,3</w:t>
            </w:r>
          </w:p>
        </w:tc>
      </w:tr>
      <w:tr w:rsidR="00000000">
        <w:tblPrEx>
          <w:tblCellMar>
            <w:top w:w="0" w:type="dxa"/>
            <w:bottom w:w="0" w:type="dxa"/>
          </w:tblCellMar>
        </w:tblPrEx>
        <w:tc>
          <w:tcPr>
            <w:tcW w:w="4170" w:type="dxa"/>
          </w:tcPr>
          <w:p w:rsidR="00000000" w:rsidRDefault="00000000">
            <w:pPr>
              <w:pStyle w:val="FootnoteText"/>
              <w:tabs>
                <w:tab w:val="clear" w:pos="567"/>
                <w:tab w:val="left" w:pos="284"/>
                <w:tab w:val="left" w:pos="3366"/>
              </w:tabs>
              <w:spacing w:line="288" w:lineRule="auto"/>
              <w:rPr>
                <w:sz w:val="22"/>
              </w:rPr>
            </w:pPr>
            <w:r>
              <w:rPr>
                <w:sz w:val="22"/>
              </w:rPr>
              <w:tab/>
              <w:t>-  магистральный газ</w:t>
            </w:r>
          </w:p>
        </w:tc>
        <w:tc>
          <w:tcPr>
            <w:tcW w:w="1496" w:type="dxa"/>
          </w:tcPr>
          <w:p w:rsidR="00000000" w:rsidRDefault="00000000">
            <w:pPr>
              <w:pStyle w:val="FootnoteText"/>
              <w:tabs>
                <w:tab w:val="left" w:pos="3366"/>
              </w:tabs>
              <w:spacing w:line="288" w:lineRule="auto"/>
              <w:jc w:val="center"/>
              <w:rPr>
                <w:sz w:val="22"/>
                <w:lang w:val="en-US"/>
              </w:rPr>
            </w:pPr>
            <w:r>
              <w:rPr>
                <w:sz w:val="22"/>
                <w:lang w:val="en-US"/>
              </w:rPr>
              <w:t>12,1</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13,1</w:t>
            </w:r>
          </w:p>
        </w:tc>
        <w:tc>
          <w:tcPr>
            <w:tcW w:w="1309" w:type="dxa"/>
          </w:tcPr>
          <w:p w:rsidR="00000000" w:rsidRDefault="00000000">
            <w:pPr>
              <w:pStyle w:val="FootnoteText"/>
              <w:tabs>
                <w:tab w:val="left" w:pos="3366"/>
              </w:tabs>
              <w:spacing w:line="288" w:lineRule="auto"/>
              <w:jc w:val="center"/>
              <w:rPr>
                <w:sz w:val="22"/>
                <w:lang w:val="en-US"/>
              </w:rPr>
            </w:pPr>
            <w:r>
              <w:rPr>
                <w:sz w:val="22"/>
                <w:lang w:val="en-US"/>
              </w:rPr>
              <w:t>13,8</w:t>
            </w:r>
          </w:p>
        </w:tc>
        <w:tc>
          <w:tcPr>
            <w:tcW w:w="1183" w:type="dxa"/>
          </w:tcPr>
          <w:p w:rsidR="00000000" w:rsidRDefault="00000000">
            <w:pPr>
              <w:pStyle w:val="FootnoteText"/>
              <w:tabs>
                <w:tab w:val="left" w:pos="3366"/>
              </w:tabs>
              <w:spacing w:line="288" w:lineRule="auto"/>
              <w:jc w:val="center"/>
              <w:rPr>
                <w:sz w:val="22"/>
                <w:lang w:val="en-US"/>
              </w:rPr>
            </w:pPr>
            <w:r>
              <w:rPr>
                <w:sz w:val="22"/>
                <w:lang w:val="en-US"/>
              </w:rPr>
              <w:t>13,9</w:t>
            </w:r>
          </w:p>
        </w:tc>
      </w:tr>
      <w:tr w:rsidR="00000000">
        <w:tblPrEx>
          <w:tblCellMar>
            <w:top w:w="0" w:type="dxa"/>
            <w:bottom w:w="0" w:type="dxa"/>
          </w:tblCellMar>
        </w:tblPrEx>
        <w:tc>
          <w:tcPr>
            <w:tcW w:w="4170" w:type="dxa"/>
          </w:tcPr>
          <w:p w:rsidR="00000000" w:rsidRDefault="00000000">
            <w:pPr>
              <w:pStyle w:val="FootnoteText"/>
              <w:tabs>
                <w:tab w:val="clear" w:pos="567"/>
                <w:tab w:val="left" w:pos="284"/>
                <w:tab w:val="left" w:pos="3366"/>
              </w:tabs>
              <w:spacing w:line="288" w:lineRule="auto"/>
              <w:rPr>
                <w:sz w:val="22"/>
              </w:rPr>
            </w:pPr>
            <w:r>
              <w:rPr>
                <w:sz w:val="22"/>
              </w:rPr>
              <w:tab/>
              <w:t>-  центральное отопление</w:t>
            </w:r>
          </w:p>
        </w:tc>
        <w:tc>
          <w:tcPr>
            <w:tcW w:w="1496" w:type="dxa"/>
          </w:tcPr>
          <w:p w:rsidR="00000000" w:rsidRDefault="00000000">
            <w:pPr>
              <w:pStyle w:val="FootnoteText"/>
              <w:tabs>
                <w:tab w:val="left" w:pos="3366"/>
              </w:tabs>
              <w:spacing w:line="288" w:lineRule="auto"/>
              <w:jc w:val="center"/>
              <w:rPr>
                <w:sz w:val="22"/>
              </w:rPr>
            </w:pPr>
            <w:r>
              <w:rPr>
                <w:sz w:val="22"/>
              </w:rPr>
              <w:t>49,7</w:t>
            </w:r>
          </w:p>
        </w:tc>
        <w:tc>
          <w:tcPr>
            <w:tcW w:w="1309" w:type="dxa"/>
          </w:tcPr>
          <w:p w:rsidR="00000000" w:rsidRDefault="00000000">
            <w:pPr>
              <w:pStyle w:val="FootnoteText"/>
              <w:tabs>
                <w:tab w:val="left" w:pos="3366"/>
              </w:tabs>
              <w:spacing w:line="288" w:lineRule="auto"/>
              <w:jc w:val="center"/>
              <w:rPr>
                <w:sz w:val="22"/>
              </w:rPr>
            </w:pPr>
            <w:r>
              <w:rPr>
                <w:sz w:val="22"/>
              </w:rPr>
              <w:t>50,9</w:t>
            </w:r>
          </w:p>
        </w:tc>
        <w:tc>
          <w:tcPr>
            <w:tcW w:w="1309" w:type="dxa"/>
          </w:tcPr>
          <w:p w:rsidR="00000000" w:rsidRDefault="00000000">
            <w:pPr>
              <w:pStyle w:val="FootnoteText"/>
              <w:tabs>
                <w:tab w:val="left" w:pos="3366"/>
              </w:tabs>
              <w:spacing w:line="288" w:lineRule="auto"/>
              <w:jc w:val="center"/>
              <w:rPr>
                <w:sz w:val="22"/>
              </w:rPr>
            </w:pPr>
            <w:r>
              <w:rPr>
                <w:sz w:val="22"/>
              </w:rPr>
              <w:t>52,2</w:t>
            </w:r>
          </w:p>
        </w:tc>
        <w:tc>
          <w:tcPr>
            <w:tcW w:w="1183" w:type="dxa"/>
          </w:tcPr>
          <w:p w:rsidR="00000000" w:rsidRDefault="00000000">
            <w:pPr>
              <w:pStyle w:val="FootnoteText"/>
              <w:tabs>
                <w:tab w:val="left" w:pos="3366"/>
              </w:tabs>
              <w:spacing w:line="288" w:lineRule="auto"/>
              <w:jc w:val="center"/>
              <w:rPr>
                <w:sz w:val="22"/>
              </w:rPr>
            </w:pPr>
            <w:r>
              <w:rPr>
                <w:sz w:val="22"/>
              </w:rPr>
              <w:t>52,2</w:t>
            </w:r>
          </w:p>
        </w:tc>
      </w:tr>
    </w:tbl>
    <w:p w:rsidR="00000000" w:rsidRDefault="00000000">
      <w:pPr>
        <w:pStyle w:val="FootnoteText"/>
        <w:tabs>
          <w:tab w:val="left" w:pos="3366"/>
        </w:tabs>
        <w:spacing w:line="288" w:lineRule="auto"/>
      </w:pPr>
    </w:p>
    <w:p w:rsidR="00000000" w:rsidRDefault="00000000">
      <w:pPr>
        <w:pStyle w:val="FootnoteText"/>
        <w:tabs>
          <w:tab w:val="left" w:pos="3366"/>
        </w:tabs>
        <w:spacing w:line="288" w:lineRule="auto"/>
      </w:pPr>
      <w:r>
        <w:tab/>
      </w:r>
      <w:r>
        <w:rPr>
          <w:u w:val="single"/>
        </w:rPr>
        <w:t>Источник</w:t>
      </w:r>
      <w:r>
        <w:t>:  данные Главного статистического управления и Управления жилищного строительства и градостроительства.</w:t>
      </w:r>
    </w:p>
    <w:p w:rsidR="00000000" w:rsidRDefault="00000000">
      <w:pPr>
        <w:pStyle w:val="FootnoteText"/>
        <w:tabs>
          <w:tab w:val="left" w:pos="3366"/>
        </w:tabs>
        <w:spacing w:line="288" w:lineRule="auto"/>
      </w:pPr>
    </w:p>
    <w:p w:rsidR="00000000" w:rsidRDefault="00000000">
      <w:r>
        <w:t>236.</w:t>
      </w:r>
      <w:r>
        <w:tab/>
        <w:t>В 1995 году 75,7% всего жилого фонда (включая городские и сельские районы) были оборудованы канализацией, а также туалетами и ванными комнатами, 43,2% (помимо вышеупомянутых) имели газоснабжение (магистральный газ) и центральное отопление.  Доля жилых помещений, оборудованных лишь канализацией, составляла 14,5% от общего числа, в то время как 9,8% жилья не были оборудованы канализацией и 8,9% не имели ни системы канализации, ни центрального отопления.  В 1997 году доля жилых помещений, оборудованных канализацией, а также туалетами и ванными комнатами, увеличилась до 79% от общего числа, а доля жилья, оборудованного системой газоснабжения (магистральный газ) - до 55%.  Доля жилья, не оборудованного системой канализации, уменьшилась до 9% от общего жилого фонда (источник:  анализ ГСУ "</w:t>
      </w:r>
      <w:r>
        <w:rPr>
          <w:lang w:val="en-US"/>
        </w:rPr>
        <w:t>Gospodarka</w:t>
      </w:r>
      <w:r>
        <w:t xml:space="preserve"> </w:t>
      </w:r>
      <w:r>
        <w:rPr>
          <w:lang w:val="en-US"/>
        </w:rPr>
        <w:t>mieszkaniova</w:t>
      </w:r>
      <w:r>
        <w:t xml:space="preserve"> </w:t>
      </w:r>
      <w:r>
        <w:rPr>
          <w:lang w:val="en-US"/>
        </w:rPr>
        <w:t>w</w:t>
      </w:r>
      <w:r>
        <w:t xml:space="preserve"> 1997" и информация, представленная Управлением жилищного строительства).</w:t>
      </w:r>
    </w:p>
    <w:p w:rsidR="00000000" w:rsidRDefault="00000000"/>
    <w:p w:rsidR="00000000" w:rsidRDefault="00000000">
      <w:pPr>
        <w:pStyle w:val="10"/>
        <w:jc w:val="left"/>
        <w:rPr>
          <w:bCs/>
        </w:rPr>
      </w:pPr>
      <w:r>
        <w:rPr>
          <w:bCs/>
        </w:rPr>
        <w:tab/>
        <w:t>2.</w:t>
      </w:r>
      <w:r>
        <w:rPr>
          <w:bCs/>
        </w:rPr>
        <w:tab/>
        <w:t>Социальные группы, находящиеся в уязвимом положении</w:t>
      </w:r>
    </w:p>
    <w:p w:rsidR="00000000" w:rsidRDefault="00000000">
      <w:pPr>
        <w:pStyle w:val="10"/>
        <w:rPr>
          <w:bCs/>
        </w:rPr>
      </w:pPr>
    </w:p>
    <w:p w:rsidR="00000000" w:rsidRDefault="00000000">
      <w:r>
        <w:rPr>
          <w:b/>
          <w:bCs/>
        </w:rPr>
        <w:t>а)</w:t>
      </w:r>
      <w:r>
        <w:rPr>
          <w:b/>
          <w:bCs/>
        </w:rPr>
        <w:tab/>
        <w:t>Число бездомных</w:t>
      </w:r>
    </w:p>
    <w:p w:rsidR="00000000" w:rsidRDefault="00000000">
      <w:pPr>
        <w:pStyle w:val="FootnoteText"/>
        <w:spacing w:line="288" w:lineRule="auto"/>
      </w:pPr>
    </w:p>
    <w:p w:rsidR="00000000" w:rsidRDefault="00000000">
      <w:r>
        <w:t>237.</w:t>
      </w:r>
      <w:r>
        <w:tab/>
        <w:t>Согласно оценочным данным системы социального обеспечения, число бездомных в 1998 году составляло примерно 80 000 человек (приблизительно 0,2% всего населения).  Эта цифра основана на информации об услугах, предоставленных такими предприятиями и учреждениями как приюты, организации по предоставлению временного жилья, дешевые столовые, социальные учреждения.</w:t>
      </w:r>
    </w:p>
    <w:p w:rsidR="00000000" w:rsidRDefault="00000000"/>
    <w:p w:rsidR="00000000" w:rsidRDefault="00000000">
      <w:pPr>
        <w:rPr>
          <w:b/>
          <w:bCs/>
        </w:rPr>
      </w:pPr>
      <w:r>
        <w:rPr>
          <w:b/>
          <w:bCs/>
          <w:lang w:val="en-US"/>
        </w:rPr>
        <w:t>b</w:t>
      </w:r>
      <w:r>
        <w:rPr>
          <w:b/>
          <w:bCs/>
        </w:rPr>
        <w:t>)</w:t>
      </w:r>
      <w:r>
        <w:rPr>
          <w:b/>
          <w:bCs/>
        </w:rPr>
        <w:tab/>
        <w:t>Число людей, не имеющих надлежащего жилья</w:t>
      </w:r>
    </w:p>
    <w:p w:rsidR="00000000" w:rsidRDefault="00000000">
      <w:pPr>
        <w:rPr>
          <w:b/>
          <w:bCs/>
          <w:u w:val="single"/>
        </w:rPr>
      </w:pPr>
    </w:p>
    <w:p w:rsidR="00000000" w:rsidRDefault="00000000">
      <w:r>
        <w:t>238.</w:t>
      </w:r>
      <w:r>
        <w:tab/>
        <w:t>Информация о жилье, не отвечающем установленным стандартам, основана на данных, полученных в результате обследования жилого фонда.  К категории такого жилья относятся не только жилые помещения, не имеющие адекватного оборудования (в техническом и ином отношении), но и жилища, находящиеся в хорошем техническом состоянии, но не оборудованные городскими туалетами или же просто перенаселенные, например такие, в которых на одну комнату приходится три или более жильцов.  Жилые помещения, считающиеся находящимися в плохом техническом состоянии, включают:</w:t>
      </w:r>
    </w:p>
    <w:p w:rsidR="00000000" w:rsidRDefault="00000000"/>
    <w:p w:rsidR="00000000" w:rsidRDefault="00000000">
      <w:pPr>
        <w:ind w:left="1134" w:hanging="1134"/>
      </w:pPr>
      <w:r>
        <w:tab/>
        <w:t>-</w:t>
      </w:r>
      <w:r>
        <w:tab/>
        <w:t>жилые помещения в зданиях с однокомнатными квартирами, построенных до 1979 года;</w:t>
      </w:r>
    </w:p>
    <w:p w:rsidR="00000000" w:rsidRDefault="00000000"/>
    <w:p w:rsidR="00000000" w:rsidRDefault="00000000">
      <w:pPr>
        <w:ind w:left="1134" w:hanging="1134"/>
      </w:pPr>
      <w:r>
        <w:tab/>
        <w:t>-</w:t>
      </w:r>
      <w:r>
        <w:tab/>
        <w:t>жилые помещения в зданиях, построенных до 1971 года, внешние стены которых сделаны из горючих материалов и которые не оборудованы водопроводом и канализацией;</w:t>
      </w:r>
    </w:p>
    <w:p w:rsidR="00000000" w:rsidRDefault="00000000"/>
    <w:p w:rsidR="00000000" w:rsidRDefault="00000000">
      <w:pPr>
        <w:ind w:left="1134" w:hanging="1134"/>
      </w:pPr>
      <w:r>
        <w:tab/>
        <w:t>-</w:t>
      </w:r>
      <w:r>
        <w:tab/>
        <w:t>жилые помещения в зданиях, возведенных до 1945 года, внешние стены которых сделаны из негорючих материалов и которые не оснащены водопроводом и канализацией.</w:t>
      </w:r>
    </w:p>
    <w:p w:rsidR="00000000" w:rsidRDefault="00000000">
      <w:pPr>
        <w:pStyle w:val="FootnoteText"/>
        <w:spacing w:line="288" w:lineRule="auto"/>
      </w:pPr>
    </w:p>
    <w:p w:rsidR="00000000" w:rsidRDefault="00000000">
      <w:pPr>
        <w:pStyle w:val="10"/>
        <w:tabs>
          <w:tab w:val="left" w:pos="2618"/>
        </w:tabs>
        <w:ind w:left="1695" w:hanging="1695"/>
        <w:rPr>
          <w:b w:val="0"/>
          <w:u w:val="single"/>
        </w:rPr>
      </w:pPr>
      <w:r>
        <w:rPr>
          <w:b w:val="0"/>
          <w:u w:val="single"/>
        </w:rPr>
        <w:t>Таблица 30</w:t>
      </w:r>
      <w:r>
        <w:rPr>
          <w:b w:val="0"/>
        </w:rPr>
        <w:t>.</w:t>
      </w:r>
      <w:r>
        <w:rPr>
          <w:b w:val="0"/>
        </w:rPr>
        <w:tab/>
      </w:r>
      <w:r>
        <w:rPr>
          <w:b w:val="0"/>
          <w:u w:val="single"/>
        </w:rPr>
        <w:t>Лица, проживающие в неадекватных жилищных условиях</w:t>
      </w:r>
      <w:r>
        <w:rPr>
          <w:b w:val="0"/>
        </w:rPr>
        <w:t>,</w:t>
      </w:r>
    </w:p>
    <w:p w:rsidR="00000000" w:rsidRDefault="00000000">
      <w:pPr>
        <w:pStyle w:val="10"/>
        <w:tabs>
          <w:tab w:val="left" w:pos="2618"/>
        </w:tabs>
        <w:ind w:left="1695" w:hanging="1695"/>
        <w:rPr>
          <w:b w:val="0"/>
        </w:rPr>
      </w:pPr>
      <w:r>
        <w:rPr>
          <w:b w:val="0"/>
          <w:u w:val="single"/>
        </w:rPr>
        <w:t>данные 1995 года</w:t>
      </w:r>
    </w:p>
    <w:p w:rsidR="00000000" w:rsidRDefault="00000000">
      <w:pPr>
        <w:pStyle w:val="10"/>
        <w:tabs>
          <w:tab w:val="left" w:pos="2618"/>
        </w:tabs>
        <w:ind w:left="1695" w:hanging="1695"/>
        <w:jc w:val="left"/>
        <w:rPr>
          <w:b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2299"/>
        <w:gridCol w:w="1309"/>
        <w:gridCol w:w="1683"/>
        <w:gridCol w:w="2065"/>
        <w:gridCol w:w="2110"/>
      </w:tblGrid>
      <w:tr w:rsidR="00000000">
        <w:tblPrEx>
          <w:tblCellMar>
            <w:top w:w="0" w:type="dxa"/>
            <w:bottom w:w="0" w:type="dxa"/>
          </w:tblCellMar>
        </w:tblPrEx>
        <w:trPr>
          <w:cantSplit/>
        </w:trPr>
        <w:tc>
          <w:tcPr>
            <w:tcW w:w="2300" w:type="dxa"/>
            <w:vMerge w:val="restart"/>
          </w:tcPr>
          <w:p w:rsidR="00000000" w:rsidRDefault="00000000">
            <w:pPr>
              <w:pStyle w:val="FootnoteText"/>
            </w:pPr>
          </w:p>
        </w:tc>
        <w:tc>
          <w:tcPr>
            <w:tcW w:w="1309" w:type="dxa"/>
            <w:vMerge w:val="restart"/>
            <w:vAlign w:val="center"/>
          </w:tcPr>
          <w:p w:rsidR="00000000" w:rsidRDefault="00000000">
            <w:pPr>
              <w:pStyle w:val="16"/>
              <w:spacing w:line="240" w:lineRule="auto"/>
            </w:pPr>
            <w:r>
              <w:t>Всего</w:t>
            </w:r>
          </w:p>
        </w:tc>
        <w:tc>
          <w:tcPr>
            <w:tcW w:w="5858" w:type="dxa"/>
            <w:gridSpan w:val="3"/>
          </w:tcPr>
          <w:p w:rsidR="00000000" w:rsidRDefault="00000000">
            <w:pPr>
              <w:spacing w:line="240" w:lineRule="auto"/>
              <w:jc w:val="center"/>
            </w:pPr>
            <w:r>
              <w:t>Лица, проживающие в условиях:</w:t>
            </w:r>
          </w:p>
        </w:tc>
      </w:tr>
      <w:tr w:rsidR="00000000">
        <w:tblPrEx>
          <w:tblCellMar>
            <w:top w:w="0" w:type="dxa"/>
            <w:bottom w:w="0" w:type="dxa"/>
          </w:tblCellMar>
        </w:tblPrEx>
        <w:trPr>
          <w:cantSplit/>
        </w:trPr>
        <w:tc>
          <w:tcPr>
            <w:tcW w:w="2300" w:type="dxa"/>
            <w:vMerge/>
          </w:tcPr>
          <w:p w:rsidR="00000000" w:rsidRDefault="00000000">
            <w:pPr>
              <w:spacing w:line="240" w:lineRule="auto"/>
            </w:pPr>
          </w:p>
        </w:tc>
        <w:tc>
          <w:tcPr>
            <w:tcW w:w="1309" w:type="dxa"/>
            <w:vMerge/>
          </w:tcPr>
          <w:p w:rsidR="00000000" w:rsidRDefault="00000000">
            <w:pPr>
              <w:spacing w:line="240" w:lineRule="auto"/>
              <w:jc w:val="center"/>
            </w:pPr>
          </w:p>
        </w:tc>
        <w:tc>
          <w:tcPr>
            <w:tcW w:w="1683" w:type="dxa"/>
          </w:tcPr>
          <w:p w:rsidR="00000000" w:rsidRDefault="00000000">
            <w:pPr>
              <w:pStyle w:val="16"/>
              <w:spacing w:line="240" w:lineRule="auto"/>
            </w:pPr>
            <w:r>
              <w:t>неадекватного технического состояния зданий</w:t>
            </w:r>
          </w:p>
        </w:tc>
        <w:tc>
          <w:tcPr>
            <w:tcW w:w="2065" w:type="dxa"/>
          </w:tcPr>
          <w:p w:rsidR="00000000" w:rsidRDefault="00000000">
            <w:pPr>
              <w:spacing w:line="240" w:lineRule="auto"/>
              <w:jc w:val="center"/>
            </w:pPr>
            <w:r>
              <w:t>отсутствия основных удобств/</w:t>
            </w:r>
          </w:p>
          <w:p w:rsidR="00000000" w:rsidRDefault="00000000">
            <w:pPr>
              <w:spacing w:line="240" w:lineRule="auto"/>
              <w:jc w:val="center"/>
            </w:pPr>
            <w:r>
              <w:t>канализации и водопровода</w:t>
            </w:r>
          </w:p>
        </w:tc>
        <w:tc>
          <w:tcPr>
            <w:tcW w:w="2110" w:type="dxa"/>
            <w:vAlign w:val="center"/>
          </w:tcPr>
          <w:p w:rsidR="00000000" w:rsidRDefault="00000000">
            <w:pPr>
              <w:pStyle w:val="16"/>
              <w:spacing w:line="240" w:lineRule="auto"/>
            </w:pPr>
            <w:r>
              <w:t>перенаселенности</w:t>
            </w:r>
          </w:p>
        </w:tc>
      </w:tr>
      <w:tr w:rsidR="00000000">
        <w:tblPrEx>
          <w:tblCellMar>
            <w:top w:w="0" w:type="dxa"/>
            <w:bottom w:w="0" w:type="dxa"/>
          </w:tblCellMar>
        </w:tblPrEx>
        <w:trPr>
          <w:cantSplit/>
        </w:trPr>
        <w:tc>
          <w:tcPr>
            <w:tcW w:w="9467" w:type="dxa"/>
            <w:gridSpan w:val="5"/>
          </w:tcPr>
          <w:p w:rsidR="00000000" w:rsidRDefault="00000000">
            <w:r>
              <w:t>Тысяч человек</w:t>
            </w:r>
          </w:p>
        </w:tc>
      </w:tr>
      <w:tr w:rsidR="00000000">
        <w:tblPrEx>
          <w:tblCellMar>
            <w:top w:w="0" w:type="dxa"/>
            <w:bottom w:w="0" w:type="dxa"/>
          </w:tblCellMar>
        </w:tblPrEx>
        <w:tc>
          <w:tcPr>
            <w:tcW w:w="2300" w:type="dxa"/>
          </w:tcPr>
          <w:p w:rsidR="00000000" w:rsidRDefault="00000000">
            <w:r>
              <w:t>Итого</w:t>
            </w:r>
          </w:p>
        </w:tc>
        <w:tc>
          <w:tcPr>
            <w:tcW w:w="1309" w:type="dxa"/>
          </w:tcPr>
          <w:p w:rsidR="00000000" w:rsidRDefault="00000000">
            <w:pPr>
              <w:tabs>
                <w:tab w:val="clear" w:pos="1134"/>
              </w:tabs>
              <w:ind w:right="318"/>
              <w:jc w:val="right"/>
            </w:pPr>
            <w:r>
              <w:t>10</w:t>
            </w:r>
            <w:r>
              <w:rPr>
                <w:lang w:val="en-US"/>
              </w:rPr>
              <w:t> </w:t>
            </w:r>
            <w:r>
              <w:t>269,4</w:t>
            </w:r>
          </w:p>
        </w:tc>
        <w:tc>
          <w:tcPr>
            <w:tcW w:w="1683" w:type="dxa"/>
          </w:tcPr>
          <w:p w:rsidR="00000000" w:rsidRDefault="00000000">
            <w:pPr>
              <w:tabs>
                <w:tab w:val="clear" w:pos="1701"/>
              </w:tabs>
              <w:ind w:right="318"/>
              <w:jc w:val="right"/>
            </w:pPr>
            <w:r>
              <w:t>1</w:t>
            </w:r>
            <w:r>
              <w:rPr>
                <w:lang w:val="en-US"/>
              </w:rPr>
              <w:t> </w:t>
            </w:r>
            <w:r>
              <w:t>982,3</w:t>
            </w:r>
          </w:p>
        </w:tc>
        <w:tc>
          <w:tcPr>
            <w:tcW w:w="2065" w:type="dxa"/>
          </w:tcPr>
          <w:p w:rsidR="00000000" w:rsidRDefault="00000000">
            <w:pPr>
              <w:tabs>
                <w:tab w:val="clear" w:pos="1701"/>
              </w:tabs>
              <w:ind w:right="700"/>
              <w:jc w:val="right"/>
            </w:pPr>
            <w:r>
              <w:t>5 557,0</w:t>
            </w:r>
          </w:p>
        </w:tc>
        <w:tc>
          <w:tcPr>
            <w:tcW w:w="2110" w:type="dxa"/>
          </w:tcPr>
          <w:p w:rsidR="00000000" w:rsidRDefault="00000000">
            <w:pPr>
              <w:tabs>
                <w:tab w:val="clear" w:pos="1701"/>
              </w:tabs>
              <w:ind w:right="565"/>
              <w:jc w:val="right"/>
            </w:pPr>
            <w:r>
              <w:t>2 73061</w:t>
            </w:r>
          </w:p>
        </w:tc>
      </w:tr>
      <w:tr w:rsidR="00000000">
        <w:tblPrEx>
          <w:tblCellMar>
            <w:top w:w="0" w:type="dxa"/>
            <w:bottom w:w="0" w:type="dxa"/>
          </w:tblCellMar>
        </w:tblPrEx>
        <w:tc>
          <w:tcPr>
            <w:tcW w:w="2300" w:type="dxa"/>
          </w:tcPr>
          <w:p w:rsidR="00000000" w:rsidRDefault="00000000">
            <w:r>
              <w:t>-  городские районы</w:t>
            </w:r>
          </w:p>
        </w:tc>
        <w:tc>
          <w:tcPr>
            <w:tcW w:w="1309" w:type="dxa"/>
          </w:tcPr>
          <w:p w:rsidR="00000000" w:rsidRDefault="00000000">
            <w:pPr>
              <w:tabs>
                <w:tab w:val="clear" w:pos="1134"/>
              </w:tabs>
              <w:ind w:right="318"/>
              <w:jc w:val="right"/>
            </w:pPr>
            <w:r>
              <w:t>3 729,0</w:t>
            </w:r>
          </w:p>
        </w:tc>
        <w:tc>
          <w:tcPr>
            <w:tcW w:w="1683" w:type="dxa"/>
          </w:tcPr>
          <w:p w:rsidR="00000000" w:rsidRDefault="00000000">
            <w:pPr>
              <w:tabs>
                <w:tab w:val="clear" w:pos="1701"/>
              </w:tabs>
              <w:ind w:right="318"/>
              <w:jc w:val="right"/>
            </w:pPr>
            <w:r>
              <w:t>341,1</w:t>
            </w:r>
          </w:p>
        </w:tc>
        <w:tc>
          <w:tcPr>
            <w:tcW w:w="2065" w:type="dxa"/>
          </w:tcPr>
          <w:p w:rsidR="00000000" w:rsidRDefault="00000000">
            <w:pPr>
              <w:tabs>
                <w:tab w:val="clear" w:pos="1701"/>
              </w:tabs>
              <w:ind w:right="700"/>
              <w:jc w:val="right"/>
            </w:pPr>
            <w:r>
              <w:t>1 723,7</w:t>
            </w:r>
          </w:p>
        </w:tc>
        <w:tc>
          <w:tcPr>
            <w:tcW w:w="2110" w:type="dxa"/>
          </w:tcPr>
          <w:p w:rsidR="00000000" w:rsidRDefault="00000000">
            <w:pPr>
              <w:tabs>
                <w:tab w:val="clear" w:pos="1701"/>
              </w:tabs>
              <w:ind w:right="565"/>
              <w:jc w:val="right"/>
            </w:pPr>
            <w:r>
              <w:t>1 664,2</w:t>
            </w:r>
          </w:p>
        </w:tc>
      </w:tr>
      <w:tr w:rsidR="00000000">
        <w:tblPrEx>
          <w:tblCellMar>
            <w:top w:w="0" w:type="dxa"/>
            <w:bottom w:w="0" w:type="dxa"/>
          </w:tblCellMar>
        </w:tblPrEx>
        <w:tc>
          <w:tcPr>
            <w:tcW w:w="2300" w:type="dxa"/>
          </w:tcPr>
          <w:p w:rsidR="00000000" w:rsidRDefault="00000000">
            <w:r>
              <w:t>-  сельские районы</w:t>
            </w:r>
          </w:p>
        </w:tc>
        <w:tc>
          <w:tcPr>
            <w:tcW w:w="1309" w:type="dxa"/>
          </w:tcPr>
          <w:p w:rsidR="00000000" w:rsidRDefault="00000000">
            <w:pPr>
              <w:tabs>
                <w:tab w:val="clear" w:pos="1134"/>
              </w:tabs>
              <w:ind w:right="318"/>
              <w:jc w:val="right"/>
            </w:pPr>
            <w:r>
              <w:t>6 540,4</w:t>
            </w:r>
          </w:p>
        </w:tc>
        <w:tc>
          <w:tcPr>
            <w:tcW w:w="1683" w:type="dxa"/>
          </w:tcPr>
          <w:p w:rsidR="00000000" w:rsidRDefault="00000000">
            <w:pPr>
              <w:tabs>
                <w:tab w:val="clear" w:pos="1701"/>
              </w:tabs>
              <w:ind w:right="318"/>
              <w:jc w:val="right"/>
            </w:pPr>
            <w:r>
              <w:t>1 641,2</w:t>
            </w:r>
          </w:p>
        </w:tc>
        <w:tc>
          <w:tcPr>
            <w:tcW w:w="2065" w:type="dxa"/>
          </w:tcPr>
          <w:p w:rsidR="00000000" w:rsidRDefault="00000000">
            <w:pPr>
              <w:tabs>
                <w:tab w:val="clear" w:pos="1701"/>
              </w:tabs>
              <w:ind w:right="700"/>
              <w:jc w:val="right"/>
            </w:pPr>
            <w:r>
              <w:t>3 833,3</w:t>
            </w:r>
          </w:p>
        </w:tc>
        <w:tc>
          <w:tcPr>
            <w:tcW w:w="2110" w:type="dxa"/>
          </w:tcPr>
          <w:p w:rsidR="00000000" w:rsidRDefault="00000000">
            <w:pPr>
              <w:tabs>
                <w:tab w:val="clear" w:pos="1701"/>
              </w:tabs>
              <w:ind w:right="565"/>
              <w:jc w:val="right"/>
            </w:pPr>
            <w:r>
              <w:t>1 065,9</w:t>
            </w:r>
          </w:p>
        </w:tc>
      </w:tr>
      <w:tr w:rsidR="00000000">
        <w:tblPrEx>
          <w:tblCellMar>
            <w:top w:w="0" w:type="dxa"/>
            <w:bottom w:w="0" w:type="dxa"/>
          </w:tblCellMar>
        </w:tblPrEx>
        <w:trPr>
          <w:cantSplit/>
        </w:trPr>
        <w:tc>
          <w:tcPr>
            <w:tcW w:w="9467" w:type="dxa"/>
            <w:gridSpan w:val="5"/>
          </w:tcPr>
          <w:p w:rsidR="00000000" w:rsidRDefault="00000000">
            <w:pPr>
              <w:pStyle w:val="FootnoteText"/>
              <w:spacing w:line="288" w:lineRule="auto"/>
              <w:ind w:right="565"/>
            </w:pPr>
            <w:r>
              <w:t>В % от общего числа жильцов</w:t>
            </w:r>
          </w:p>
        </w:tc>
      </w:tr>
      <w:tr w:rsidR="00000000">
        <w:tblPrEx>
          <w:tblCellMar>
            <w:top w:w="0" w:type="dxa"/>
            <w:bottom w:w="0" w:type="dxa"/>
          </w:tblCellMar>
        </w:tblPrEx>
        <w:tc>
          <w:tcPr>
            <w:tcW w:w="2300" w:type="dxa"/>
          </w:tcPr>
          <w:p w:rsidR="00000000" w:rsidRDefault="00000000">
            <w:r>
              <w:t>Итого</w:t>
            </w:r>
          </w:p>
        </w:tc>
        <w:tc>
          <w:tcPr>
            <w:tcW w:w="1309" w:type="dxa"/>
          </w:tcPr>
          <w:p w:rsidR="00000000" w:rsidRDefault="00000000">
            <w:pPr>
              <w:tabs>
                <w:tab w:val="clear" w:pos="1134"/>
              </w:tabs>
              <w:ind w:right="318"/>
              <w:jc w:val="right"/>
            </w:pPr>
            <w:r>
              <w:t>26,9</w:t>
            </w:r>
          </w:p>
        </w:tc>
        <w:tc>
          <w:tcPr>
            <w:tcW w:w="1683" w:type="dxa"/>
          </w:tcPr>
          <w:p w:rsidR="00000000" w:rsidRDefault="00000000">
            <w:pPr>
              <w:tabs>
                <w:tab w:val="clear" w:pos="1701"/>
              </w:tabs>
              <w:ind w:right="318"/>
              <w:jc w:val="right"/>
            </w:pPr>
            <w:r>
              <w:t>5,2</w:t>
            </w:r>
          </w:p>
        </w:tc>
        <w:tc>
          <w:tcPr>
            <w:tcW w:w="2065" w:type="dxa"/>
          </w:tcPr>
          <w:p w:rsidR="00000000" w:rsidRDefault="00000000">
            <w:pPr>
              <w:tabs>
                <w:tab w:val="clear" w:pos="1701"/>
              </w:tabs>
              <w:ind w:right="700"/>
              <w:jc w:val="right"/>
            </w:pPr>
            <w:r>
              <w:t>14,5</w:t>
            </w:r>
          </w:p>
        </w:tc>
        <w:tc>
          <w:tcPr>
            <w:tcW w:w="2110" w:type="dxa"/>
          </w:tcPr>
          <w:p w:rsidR="00000000" w:rsidRDefault="00000000">
            <w:pPr>
              <w:tabs>
                <w:tab w:val="clear" w:pos="1701"/>
              </w:tabs>
              <w:ind w:right="565"/>
              <w:jc w:val="right"/>
            </w:pPr>
            <w:r>
              <w:t>7,2</w:t>
            </w:r>
          </w:p>
        </w:tc>
      </w:tr>
      <w:tr w:rsidR="00000000">
        <w:tblPrEx>
          <w:tblCellMar>
            <w:top w:w="0" w:type="dxa"/>
            <w:bottom w:w="0" w:type="dxa"/>
          </w:tblCellMar>
        </w:tblPrEx>
        <w:tc>
          <w:tcPr>
            <w:tcW w:w="2300" w:type="dxa"/>
          </w:tcPr>
          <w:p w:rsidR="00000000" w:rsidRDefault="00000000">
            <w:r>
              <w:t>-  городские районы</w:t>
            </w:r>
          </w:p>
        </w:tc>
        <w:tc>
          <w:tcPr>
            <w:tcW w:w="1309" w:type="dxa"/>
          </w:tcPr>
          <w:p w:rsidR="00000000" w:rsidRDefault="00000000">
            <w:pPr>
              <w:tabs>
                <w:tab w:val="clear" w:pos="1134"/>
              </w:tabs>
              <w:ind w:right="318"/>
              <w:jc w:val="right"/>
              <w:rPr>
                <w:lang w:val="en-US"/>
              </w:rPr>
            </w:pPr>
            <w:r>
              <w:rPr>
                <w:lang w:val="en-US"/>
              </w:rPr>
              <w:t>15,9</w:t>
            </w:r>
          </w:p>
        </w:tc>
        <w:tc>
          <w:tcPr>
            <w:tcW w:w="1683" w:type="dxa"/>
          </w:tcPr>
          <w:p w:rsidR="00000000" w:rsidRDefault="00000000">
            <w:pPr>
              <w:tabs>
                <w:tab w:val="clear" w:pos="1701"/>
              </w:tabs>
              <w:ind w:right="318"/>
              <w:jc w:val="right"/>
              <w:rPr>
                <w:lang w:val="en-US"/>
              </w:rPr>
            </w:pPr>
            <w:r>
              <w:rPr>
                <w:lang w:val="en-US"/>
              </w:rPr>
              <w:t>1,5</w:t>
            </w:r>
          </w:p>
        </w:tc>
        <w:tc>
          <w:tcPr>
            <w:tcW w:w="2065" w:type="dxa"/>
          </w:tcPr>
          <w:p w:rsidR="00000000" w:rsidRDefault="00000000">
            <w:pPr>
              <w:tabs>
                <w:tab w:val="clear" w:pos="1701"/>
              </w:tabs>
              <w:ind w:right="700"/>
              <w:jc w:val="right"/>
              <w:rPr>
                <w:lang w:val="en-US"/>
              </w:rPr>
            </w:pPr>
            <w:r>
              <w:rPr>
                <w:lang w:val="en-US"/>
              </w:rPr>
              <w:t>7,3</w:t>
            </w:r>
          </w:p>
        </w:tc>
        <w:tc>
          <w:tcPr>
            <w:tcW w:w="2110" w:type="dxa"/>
          </w:tcPr>
          <w:p w:rsidR="00000000" w:rsidRDefault="00000000">
            <w:pPr>
              <w:tabs>
                <w:tab w:val="clear" w:pos="1701"/>
              </w:tabs>
              <w:ind w:right="565"/>
              <w:jc w:val="right"/>
              <w:rPr>
                <w:lang w:val="en-US"/>
              </w:rPr>
            </w:pPr>
            <w:r>
              <w:rPr>
                <w:lang w:val="en-US"/>
              </w:rPr>
              <w:t>7,1</w:t>
            </w:r>
          </w:p>
        </w:tc>
      </w:tr>
      <w:tr w:rsidR="00000000">
        <w:tblPrEx>
          <w:tblCellMar>
            <w:top w:w="0" w:type="dxa"/>
            <w:bottom w:w="0" w:type="dxa"/>
          </w:tblCellMar>
        </w:tblPrEx>
        <w:tc>
          <w:tcPr>
            <w:tcW w:w="2300" w:type="dxa"/>
          </w:tcPr>
          <w:p w:rsidR="00000000" w:rsidRDefault="00000000">
            <w:r>
              <w:rPr>
                <w:lang w:val="en-US"/>
              </w:rPr>
              <w:t xml:space="preserve">-  </w:t>
            </w:r>
            <w:r>
              <w:t>сельские районы</w:t>
            </w:r>
          </w:p>
        </w:tc>
        <w:tc>
          <w:tcPr>
            <w:tcW w:w="1309" w:type="dxa"/>
          </w:tcPr>
          <w:p w:rsidR="00000000" w:rsidRDefault="00000000">
            <w:pPr>
              <w:tabs>
                <w:tab w:val="clear" w:pos="1134"/>
              </w:tabs>
              <w:ind w:right="318"/>
              <w:jc w:val="right"/>
              <w:rPr>
                <w:lang w:val="en-US"/>
              </w:rPr>
            </w:pPr>
            <w:r>
              <w:rPr>
                <w:lang w:val="en-US"/>
              </w:rPr>
              <w:t>44,3</w:t>
            </w:r>
          </w:p>
        </w:tc>
        <w:tc>
          <w:tcPr>
            <w:tcW w:w="1683" w:type="dxa"/>
          </w:tcPr>
          <w:p w:rsidR="00000000" w:rsidRDefault="00000000">
            <w:pPr>
              <w:tabs>
                <w:tab w:val="clear" w:pos="1701"/>
              </w:tabs>
              <w:ind w:right="318"/>
              <w:jc w:val="right"/>
              <w:rPr>
                <w:lang w:val="en-US"/>
              </w:rPr>
            </w:pPr>
            <w:r>
              <w:rPr>
                <w:lang w:val="en-US"/>
              </w:rPr>
              <w:t>11,1</w:t>
            </w:r>
          </w:p>
        </w:tc>
        <w:tc>
          <w:tcPr>
            <w:tcW w:w="2065" w:type="dxa"/>
          </w:tcPr>
          <w:p w:rsidR="00000000" w:rsidRDefault="00000000">
            <w:pPr>
              <w:tabs>
                <w:tab w:val="clear" w:pos="1701"/>
              </w:tabs>
              <w:ind w:right="700"/>
              <w:jc w:val="right"/>
              <w:rPr>
                <w:lang w:val="en-US"/>
              </w:rPr>
            </w:pPr>
            <w:r>
              <w:rPr>
                <w:lang w:val="en-US"/>
              </w:rPr>
              <w:t>26,0</w:t>
            </w:r>
          </w:p>
        </w:tc>
        <w:tc>
          <w:tcPr>
            <w:tcW w:w="2110" w:type="dxa"/>
          </w:tcPr>
          <w:p w:rsidR="00000000" w:rsidRDefault="00000000">
            <w:pPr>
              <w:tabs>
                <w:tab w:val="clear" w:pos="1701"/>
              </w:tabs>
              <w:ind w:right="565"/>
              <w:jc w:val="right"/>
              <w:rPr>
                <w:lang w:val="en-US"/>
              </w:rPr>
            </w:pPr>
            <w:r>
              <w:rPr>
                <w:lang w:val="en-US"/>
              </w:rPr>
              <w:t>7,2</w:t>
            </w:r>
          </w:p>
        </w:tc>
      </w:tr>
    </w:tbl>
    <w:p w:rsidR="00000000" w:rsidRDefault="00000000">
      <w:pPr>
        <w:pStyle w:val="FootnoteText"/>
        <w:spacing w:line="288" w:lineRule="auto"/>
        <w:rPr>
          <w:lang w:val="en-US"/>
        </w:rPr>
      </w:pPr>
    </w:p>
    <w:p w:rsidR="00000000" w:rsidRDefault="00000000">
      <w:pPr>
        <w:pStyle w:val="FootnoteText"/>
        <w:spacing w:line="288" w:lineRule="auto"/>
      </w:pPr>
      <w:r>
        <w:tab/>
      </w:r>
      <w:r>
        <w:rPr>
          <w:u w:val="single"/>
        </w:rPr>
        <w:t>Источник</w:t>
      </w:r>
      <w:r>
        <w:t>:  Данные Управления жилищного строительства.</w:t>
      </w:r>
    </w:p>
    <w:p w:rsidR="00000000" w:rsidRDefault="00000000">
      <w:pPr>
        <w:pStyle w:val="FootnoteText"/>
        <w:spacing w:line="288" w:lineRule="auto"/>
      </w:pPr>
    </w:p>
    <w:p w:rsidR="00000000" w:rsidRDefault="00000000">
      <w:pPr>
        <w:pStyle w:val="FootnoteText"/>
        <w:spacing w:line="288" w:lineRule="auto"/>
        <w:ind w:left="567" w:hanging="567"/>
        <w:rPr>
          <w:b/>
          <w:bCs/>
        </w:rPr>
      </w:pPr>
      <w:r>
        <w:rPr>
          <w:b/>
          <w:bCs/>
        </w:rPr>
        <w:t>с)</w:t>
      </w:r>
      <w:r>
        <w:rPr>
          <w:b/>
          <w:bCs/>
        </w:rPr>
        <w:tab/>
        <w:t>Число лиц, выселенных на законном основании и не имеющих средств правовой защиты от выселения</w:t>
      </w:r>
    </w:p>
    <w:p w:rsidR="00000000" w:rsidRDefault="00000000">
      <w:pPr>
        <w:pStyle w:val="FootnoteText"/>
        <w:spacing w:line="288" w:lineRule="auto"/>
        <w:rPr>
          <w:b/>
          <w:bCs/>
          <w:u w:val="single"/>
        </w:rPr>
      </w:pPr>
    </w:p>
    <w:p w:rsidR="00000000" w:rsidRDefault="00000000">
      <w:pPr>
        <w:pStyle w:val="FootnoteText"/>
        <w:spacing w:line="288" w:lineRule="auto"/>
        <w:jc w:val="center"/>
      </w:pPr>
      <w:r>
        <w:rPr>
          <w:u w:val="single"/>
        </w:rPr>
        <w:t>Таблица 31</w:t>
      </w:r>
      <w:r>
        <w:t>.</w:t>
      </w:r>
      <w:r>
        <w:tab/>
      </w:r>
      <w:r>
        <w:rPr>
          <w:u w:val="single"/>
        </w:rPr>
        <w:t>Число выселений в 1996-1998 годах</w:t>
      </w:r>
    </w:p>
    <w:p w:rsidR="00000000" w:rsidRDefault="00000000">
      <w:pPr>
        <w:pStyle w:val="FootnoteText"/>
        <w:spacing w:line="288"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39"/>
        <w:gridCol w:w="837"/>
        <w:gridCol w:w="927"/>
        <w:gridCol w:w="1356"/>
        <w:gridCol w:w="912"/>
        <w:gridCol w:w="1356"/>
        <w:gridCol w:w="887"/>
        <w:gridCol w:w="1356"/>
      </w:tblGrid>
      <w:tr w:rsidR="00000000">
        <w:tblPrEx>
          <w:tblCellMar>
            <w:top w:w="0" w:type="dxa"/>
            <w:bottom w:w="0" w:type="dxa"/>
          </w:tblCellMar>
        </w:tblPrEx>
        <w:trPr>
          <w:cantSplit/>
          <w:tblHeader/>
        </w:trPr>
        <w:tc>
          <w:tcPr>
            <w:tcW w:w="1713" w:type="dxa"/>
            <w:vMerge w:val="restart"/>
            <w:vAlign w:val="center"/>
          </w:tcPr>
          <w:p w:rsidR="00000000" w:rsidRDefault="00000000">
            <w:pPr>
              <w:pStyle w:val="FootnoteText"/>
              <w:jc w:val="center"/>
              <w:rPr>
                <w:sz w:val="22"/>
              </w:rPr>
            </w:pPr>
            <w:r>
              <w:rPr>
                <w:sz w:val="22"/>
              </w:rPr>
              <w:t>Форма собственности</w:t>
            </w:r>
          </w:p>
        </w:tc>
        <w:tc>
          <w:tcPr>
            <w:tcW w:w="886" w:type="dxa"/>
            <w:vMerge w:val="restart"/>
            <w:vAlign w:val="center"/>
          </w:tcPr>
          <w:p w:rsidR="00000000" w:rsidRDefault="00000000">
            <w:pPr>
              <w:pStyle w:val="FootnoteText"/>
              <w:jc w:val="center"/>
              <w:rPr>
                <w:sz w:val="22"/>
              </w:rPr>
            </w:pPr>
            <w:r>
              <w:rPr>
                <w:sz w:val="22"/>
              </w:rPr>
              <w:t>Год</w:t>
            </w:r>
          </w:p>
        </w:tc>
        <w:tc>
          <w:tcPr>
            <w:tcW w:w="2347" w:type="dxa"/>
            <w:gridSpan w:val="2"/>
            <w:vAlign w:val="center"/>
          </w:tcPr>
          <w:p w:rsidR="00000000" w:rsidRDefault="00000000">
            <w:pPr>
              <w:pStyle w:val="FootnoteText"/>
              <w:jc w:val="center"/>
              <w:rPr>
                <w:sz w:val="22"/>
              </w:rPr>
            </w:pPr>
            <w:r>
              <w:rPr>
                <w:sz w:val="22"/>
              </w:rPr>
              <w:t>По приказу суда</w:t>
            </w:r>
          </w:p>
        </w:tc>
        <w:tc>
          <w:tcPr>
            <w:tcW w:w="2328" w:type="dxa"/>
            <w:gridSpan w:val="2"/>
            <w:vAlign w:val="center"/>
          </w:tcPr>
          <w:p w:rsidR="00000000" w:rsidRDefault="00000000">
            <w:pPr>
              <w:pStyle w:val="FootnoteText"/>
              <w:jc w:val="center"/>
              <w:rPr>
                <w:sz w:val="22"/>
              </w:rPr>
            </w:pPr>
            <w:r>
              <w:rPr>
                <w:sz w:val="22"/>
              </w:rPr>
              <w:t>По приказу суда</w:t>
            </w:r>
          </w:p>
        </w:tc>
        <w:tc>
          <w:tcPr>
            <w:tcW w:w="2297" w:type="dxa"/>
            <w:gridSpan w:val="2"/>
            <w:vAlign w:val="center"/>
          </w:tcPr>
          <w:p w:rsidR="00000000" w:rsidRDefault="00000000">
            <w:pPr>
              <w:pStyle w:val="FootnoteText"/>
              <w:jc w:val="center"/>
              <w:rPr>
                <w:sz w:val="22"/>
              </w:rPr>
            </w:pPr>
            <w:r>
              <w:rPr>
                <w:sz w:val="22"/>
              </w:rPr>
              <w:t>Исполненные судебные приказы</w:t>
            </w:r>
          </w:p>
        </w:tc>
      </w:tr>
      <w:tr w:rsidR="00000000">
        <w:tblPrEx>
          <w:tblCellMar>
            <w:top w:w="0" w:type="dxa"/>
            <w:bottom w:w="0" w:type="dxa"/>
          </w:tblCellMar>
        </w:tblPrEx>
        <w:trPr>
          <w:cantSplit/>
          <w:tblHeader/>
        </w:trPr>
        <w:tc>
          <w:tcPr>
            <w:tcW w:w="1713" w:type="dxa"/>
            <w:vMerge/>
            <w:vAlign w:val="center"/>
          </w:tcPr>
          <w:p w:rsidR="00000000" w:rsidRDefault="00000000">
            <w:pPr>
              <w:pStyle w:val="FootnoteText"/>
              <w:jc w:val="center"/>
              <w:rPr>
                <w:sz w:val="22"/>
              </w:rPr>
            </w:pPr>
          </w:p>
        </w:tc>
        <w:tc>
          <w:tcPr>
            <w:tcW w:w="886" w:type="dxa"/>
            <w:vMerge/>
            <w:vAlign w:val="center"/>
          </w:tcPr>
          <w:p w:rsidR="00000000" w:rsidRDefault="00000000">
            <w:pPr>
              <w:pStyle w:val="FootnoteText"/>
              <w:jc w:val="center"/>
              <w:rPr>
                <w:sz w:val="22"/>
              </w:rPr>
            </w:pPr>
          </w:p>
        </w:tc>
        <w:tc>
          <w:tcPr>
            <w:tcW w:w="971" w:type="dxa"/>
            <w:vAlign w:val="center"/>
          </w:tcPr>
          <w:p w:rsidR="00000000" w:rsidRDefault="00000000">
            <w:pPr>
              <w:pStyle w:val="FootnoteText"/>
              <w:jc w:val="center"/>
              <w:rPr>
                <w:sz w:val="22"/>
              </w:rPr>
            </w:pPr>
            <w:r>
              <w:rPr>
                <w:sz w:val="22"/>
              </w:rPr>
              <w:t>Всего</w:t>
            </w:r>
          </w:p>
        </w:tc>
        <w:tc>
          <w:tcPr>
            <w:tcW w:w="1376" w:type="dxa"/>
            <w:vAlign w:val="center"/>
          </w:tcPr>
          <w:p w:rsidR="00000000" w:rsidRDefault="00000000">
            <w:pPr>
              <w:pStyle w:val="FootnoteText"/>
              <w:jc w:val="center"/>
              <w:rPr>
                <w:sz w:val="22"/>
              </w:rPr>
            </w:pPr>
            <w:r>
              <w:rPr>
                <w:sz w:val="22"/>
              </w:rPr>
              <w:t>В том числе за невнесение арендной платы</w:t>
            </w:r>
          </w:p>
        </w:tc>
        <w:tc>
          <w:tcPr>
            <w:tcW w:w="952" w:type="dxa"/>
            <w:vAlign w:val="center"/>
          </w:tcPr>
          <w:p w:rsidR="00000000" w:rsidRDefault="00000000">
            <w:pPr>
              <w:pStyle w:val="FootnoteText"/>
              <w:jc w:val="center"/>
              <w:rPr>
                <w:sz w:val="22"/>
              </w:rPr>
            </w:pPr>
            <w:r>
              <w:rPr>
                <w:sz w:val="22"/>
              </w:rPr>
              <w:t>Всего</w:t>
            </w:r>
          </w:p>
        </w:tc>
        <w:tc>
          <w:tcPr>
            <w:tcW w:w="1376" w:type="dxa"/>
            <w:vAlign w:val="center"/>
          </w:tcPr>
          <w:p w:rsidR="00000000" w:rsidRDefault="00000000">
            <w:pPr>
              <w:pStyle w:val="FootnoteText"/>
              <w:jc w:val="center"/>
              <w:rPr>
                <w:sz w:val="22"/>
              </w:rPr>
            </w:pPr>
            <w:r>
              <w:rPr>
                <w:sz w:val="22"/>
              </w:rPr>
              <w:t>В том числе за невнесение арендной платы</w:t>
            </w:r>
          </w:p>
        </w:tc>
        <w:tc>
          <w:tcPr>
            <w:tcW w:w="921" w:type="dxa"/>
            <w:vAlign w:val="center"/>
          </w:tcPr>
          <w:p w:rsidR="00000000" w:rsidRDefault="00000000">
            <w:pPr>
              <w:pStyle w:val="FootnoteText"/>
              <w:jc w:val="center"/>
              <w:rPr>
                <w:sz w:val="22"/>
              </w:rPr>
            </w:pPr>
            <w:r>
              <w:rPr>
                <w:sz w:val="22"/>
              </w:rPr>
              <w:t>Всего</w:t>
            </w:r>
          </w:p>
        </w:tc>
        <w:tc>
          <w:tcPr>
            <w:tcW w:w="1376" w:type="dxa"/>
            <w:vAlign w:val="center"/>
          </w:tcPr>
          <w:p w:rsidR="00000000" w:rsidRDefault="00000000">
            <w:pPr>
              <w:pStyle w:val="FootnoteText"/>
              <w:jc w:val="center"/>
              <w:rPr>
                <w:sz w:val="22"/>
              </w:rPr>
            </w:pPr>
            <w:r>
              <w:rPr>
                <w:sz w:val="22"/>
              </w:rPr>
              <w:t>В том числе за невнесение арендной платы</w:t>
            </w:r>
          </w:p>
        </w:tc>
      </w:tr>
      <w:tr w:rsidR="00000000">
        <w:tblPrEx>
          <w:tblCellMar>
            <w:top w:w="0" w:type="dxa"/>
            <w:bottom w:w="0" w:type="dxa"/>
          </w:tblCellMar>
        </w:tblPrEx>
        <w:tc>
          <w:tcPr>
            <w:tcW w:w="1713" w:type="dxa"/>
          </w:tcPr>
          <w:p w:rsidR="00000000" w:rsidRDefault="00000000">
            <w:pPr>
              <w:pStyle w:val="FootnoteText"/>
              <w:spacing w:line="288" w:lineRule="auto"/>
              <w:rPr>
                <w:sz w:val="22"/>
              </w:rPr>
            </w:pPr>
            <w:r>
              <w:rPr>
                <w:sz w:val="22"/>
              </w:rPr>
              <w:t>Всего</w:t>
            </w:r>
          </w:p>
        </w:tc>
        <w:tc>
          <w:tcPr>
            <w:tcW w:w="886" w:type="dxa"/>
          </w:tcPr>
          <w:p w:rsidR="00000000" w:rsidRDefault="00000000">
            <w:pPr>
              <w:pStyle w:val="FootnoteText"/>
              <w:spacing w:line="288" w:lineRule="auto"/>
              <w:jc w:val="center"/>
              <w:rPr>
                <w:sz w:val="22"/>
                <w:lang w:val="en-US"/>
              </w:rPr>
            </w:pPr>
            <w:r>
              <w:rPr>
                <w:sz w:val="22"/>
                <w:lang w:val="en-US"/>
              </w:rPr>
              <w:t>1996</w:t>
            </w:r>
          </w:p>
          <w:p w:rsidR="00000000" w:rsidRDefault="00000000">
            <w:pPr>
              <w:pStyle w:val="FootnoteText"/>
              <w:spacing w:line="288" w:lineRule="auto"/>
              <w:jc w:val="center"/>
              <w:rPr>
                <w:sz w:val="22"/>
                <w:lang w:val="en-US"/>
              </w:rPr>
            </w:pPr>
            <w:r>
              <w:rPr>
                <w:sz w:val="22"/>
                <w:lang w:val="en-US"/>
              </w:rPr>
              <w:t>1997</w:t>
            </w:r>
          </w:p>
          <w:p w:rsidR="00000000" w:rsidRDefault="00000000">
            <w:pPr>
              <w:pStyle w:val="FootnoteText"/>
              <w:spacing w:line="288" w:lineRule="auto"/>
              <w:jc w:val="center"/>
              <w:rPr>
                <w:sz w:val="22"/>
                <w:lang w:val="en-US"/>
              </w:rPr>
            </w:pPr>
            <w:r>
              <w:rPr>
                <w:sz w:val="22"/>
                <w:lang w:val="en-US"/>
              </w:rPr>
              <w:t>1998</w:t>
            </w:r>
          </w:p>
        </w:tc>
        <w:tc>
          <w:tcPr>
            <w:tcW w:w="971" w:type="dxa"/>
          </w:tcPr>
          <w:p w:rsidR="00000000" w:rsidRDefault="00000000">
            <w:pPr>
              <w:pStyle w:val="FootnoteText"/>
              <w:tabs>
                <w:tab w:val="clear" w:pos="567"/>
              </w:tabs>
              <w:spacing w:line="288" w:lineRule="auto"/>
              <w:jc w:val="right"/>
              <w:rPr>
                <w:sz w:val="22"/>
                <w:lang w:val="en-US"/>
              </w:rPr>
            </w:pPr>
            <w:r>
              <w:rPr>
                <w:sz w:val="22"/>
                <w:lang w:val="en-US"/>
              </w:rPr>
              <w:t>23 708</w:t>
            </w:r>
          </w:p>
          <w:p w:rsidR="00000000" w:rsidRDefault="00000000">
            <w:pPr>
              <w:pStyle w:val="FootnoteText"/>
              <w:tabs>
                <w:tab w:val="clear" w:pos="567"/>
              </w:tabs>
              <w:spacing w:line="288" w:lineRule="auto"/>
              <w:jc w:val="right"/>
              <w:rPr>
                <w:sz w:val="22"/>
                <w:lang w:val="en-US"/>
              </w:rPr>
            </w:pPr>
            <w:r>
              <w:rPr>
                <w:sz w:val="22"/>
                <w:lang w:val="en-US"/>
              </w:rPr>
              <w:t>24 944</w:t>
            </w:r>
          </w:p>
          <w:p w:rsidR="00000000" w:rsidRDefault="00000000">
            <w:pPr>
              <w:pStyle w:val="FootnoteText"/>
              <w:tabs>
                <w:tab w:val="clear" w:pos="567"/>
              </w:tabs>
              <w:spacing w:line="288" w:lineRule="auto"/>
              <w:jc w:val="right"/>
              <w:rPr>
                <w:sz w:val="22"/>
                <w:lang w:val="en-US"/>
              </w:rPr>
            </w:pPr>
            <w:r>
              <w:rPr>
                <w:sz w:val="22"/>
                <w:lang w:val="en-US"/>
              </w:rPr>
              <w:t>26 346</w:t>
            </w:r>
          </w:p>
        </w:tc>
        <w:tc>
          <w:tcPr>
            <w:tcW w:w="1376" w:type="dxa"/>
          </w:tcPr>
          <w:p w:rsidR="00000000" w:rsidRDefault="00000000">
            <w:pPr>
              <w:pStyle w:val="FootnoteText"/>
              <w:spacing w:line="288" w:lineRule="auto"/>
              <w:jc w:val="center"/>
              <w:rPr>
                <w:sz w:val="22"/>
                <w:lang w:val="en-US"/>
              </w:rPr>
            </w:pPr>
            <w:r>
              <w:rPr>
                <w:sz w:val="22"/>
                <w:lang w:val="en-US"/>
              </w:rPr>
              <w:t>20 610</w:t>
            </w:r>
          </w:p>
          <w:p w:rsidR="00000000" w:rsidRDefault="00000000">
            <w:pPr>
              <w:pStyle w:val="FootnoteText"/>
              <w:spacing w:line="288" w:lineRule="auto"/>
              <w:jc w:val="center"/>
              <w:rPr>
                <w:sz w:val="22"/>
                <w:lang w:val="en-US"/>
              </w:rPr>
            </w:pPr>
            <w:r>
              <w:rPr>
                <w:sz w:val="22"/>
                <w:lang w:val="en-US"/>
              </w:rPr>
              <w:t>22 372</w:t>
            </w:r>
          </w:p>
          <w:p w:rsidR="00000000" w:rsidRDefault="00000000">
            <w:pPr>
              <w:pStyle w:val="FootnoteText"/>
              <w:spacing w:line="288" w:lineRule="auto"/>
              <w:jc w:val="center"/>
              <w:rPr>
                <w:sz w:val="22"/>
                <w:lang w:val="en-US"/>
              </w:rPr>
            </w:pPr>
            <w:r>
              <w:rPr>
                <w:sz w:val="22"/>
                <w:lang w:val="en-US"/>
              </w:rPr>
              <w:t>24 446</w:t>
            </w:r>
          </w:p>
        </w:tc>
        <w:tc>
          <w:tcPr>
            <w:tcW w:w="952" w:type="dxa"/>
          </w:tcPr>
          <w:p w:rsidR="00000000" w:rsidRDefault="00000000">
            <w:pPr>
              <w:pStyle w:val="FootnoteText"/>
              <w:spacing w:line="288" w:lineRule="auto"/>
              <w:jc w:val="center"/>
              <w:rPr>
                <w:sz w:val="22"/>
                <w:lang w:val="en-US"/>
              </w:rPr>
            </w:pPr>
            <w:r>
              <w:rPr>
                <w:sz w:val="22"/>
                <w:lang w:val="en-US"/>
              </w:rPr>
              <w:t>12 745</w:t>
            </w:r>
          </w:p>
          <w:p w:rsidR="00000000" w:rsidRDefault="00000000">
            <w:pPr>
              <w:pStyle w:val="FootnoteText"/>
              <w:spacing w:line="288" w:lineRule="auto"/>
              <w:jc w:val="center"/>
              <w:rPr>
                <w:sz w:val="22"/>
                <w:lang w:val="en-US"/>
              </w:rPr>
            </w:pPr>
            <w:r>
              <w:rPr>
                <w:sz w:val="22"/>
                <w:lang w:val="en-US"/>
              </w:rPr>
              <w:t>13 100</w:t>
            </w:r>
          </w:p>
          <w:p w:rsidR="00000000" w:rsidRDefault="00000000">
            <w:pPr>
              <w:pStyle w:val="FootnoteText"/>
              <w:spacing w:line="288" w:lineRule="auto"/>
              <w:jc w:val="center"/>
              <w:rPr>
                <w:sz w:val="22"/>
                <w:lang w:val="en-US"/>
              </w:rPr>
            </w:pPr>
            <w:r>
              <w:rPr>
                <w:sz w:val="22"/>
                <w:lang w:val="en-US"/>
              </w:rPr>
              <w:t>13 050</w:t>
            </w:r>
          </w:p>
        </w:tc>
        <w:tc>
          <w:tcPr>
            <w:tcW w:w="1376" w:type="dxa"/>
          </w:tcPr>
          <w:p w:rsidR="00000000" w:rsidRDefault="00000000">
            <w:pPr>
              <w:pStyle w:val="FootnoteText"/>
              <w:spacing w:line="288" w:lineRule="auto"/>
              <w:jc w:val="center"/>
              <w:rPr>
                <w:sz w:val="22"/>
                <w:lang w:val="en-US"/>
              </w:rPr>
            </w:pPr>
            <w:r>
              <w:rPr>
                <w:sz w:val="22"/>
                <w:lang w:val="en-US"/>
              </w:rPr>
              <w:t>11 693</w:t>
            </w:r>
          </w:p>
          <w:p w:rsidR="00000000" w:rsidRDefault="00000000">
            <w:pPr>
              <w:pStyle w:val="FootnoteText"/>
              <w:spacing w:line="288" w:lineRule="auto"/>
              <w:jc w:val="center"/>
              <w:rPr>
                <w:sz w:val="22"/>
                <w:lang w:val="en-US"/>
              </w:rPr>
            </w:pPr>
            <w:r>
              <w:rPr>
                <w:sz w:val="22"/>
                <w:lang w:val="en-US"/>
              </w:rPr>
              <w:t>12 041</w:t>
            </w:r>
          </w:p>
          <w:p w:rsidR="00000000" w:rsidRDefault="00000000">
            <w:pPr>
              <w:pStyle w:val="FootnoteText"/>
              <w:spacing w:line="288" w:lineRule="auto"/>
              <w:jc w:val="center"/>
              <w:rPr>
                <w:sz w:val="22"/>
                <w:lang w:val="en-US"/>
              </w:rPr>
            </w:pPr>
            <w:r>
              <w:rPr>
                <w:sz w:val="22"/>
                <w:lang w:val="en-US"/>
              </w:rPr>
              <w:t>12 318</w:t>
            </w:r>
          </w:p>
        </w:tc>
        <w:tc>
          <w:tcPr>
            <w:tcW w:w="921" w:type="dxa"/>
          </w:tcPr>
          <w:p w:rsidR="00000000" w:rsidRDefault="00000000">
            <w:pPr>
              <w:pStyle w:val="FootnoteText"/>
              <w:spacing w:line="288" w:lineRule="auto"/>
              <w:jc w:val="center"/>
              <w:rPr>
                <w:sz w:val="22"/>
                <w:lang w:val="en-US"/>
              </w:rPr>
            </w:pPr>
            <w:r>
              <w:rPr>
                <w:sz w:val="22"/>
                <w:lang w:val="en-US"/>
              </w:rPr>
              <w:t>4 242</w:t>
            </w:r>
          </w:p>
          <w:p w:rsidR="00000000" w:rsidRDefault="00000000">
            <w:pPr>
              <w:pStyle w:val="FootnoteText"/>
              <w:spacing w:line="288" w:lineRule="auto"/>
              <w:jc w:val="center"/>
              <w:rPr>
                <w:sz w:val="22"/>
                <w:lang w:val="en-US"/>
              </w:rPr>
            </w:pPr>
            <w:r>
              <w:rPr>
                <w:sz w:val="22"/>
                <w:lang w:val="en-US"/>
              </w:rPr>
              <w:t>4 146</w:t>
            </w:r>
          </w:p>
          <w:p w:rsidR="00000000" w:rsidRDefault="00000000">
            <w:pPr>
              <w:pStyle w:val="FootnoteText"/>
              <w:spacing w:line="288" w:lineRule="auto"/>
              <w:jc w:val="center"/>
              <w:rPr>
                <w:sz w:val="22"/>
                <w:lang w:val="en-US"/>
              </w:rPr>
            </w:pPr>
            <w:r>
              <w:rPr>
                <w:sz w:val="22"/>
                <w:lang w:val="en-US"/>
              </w:rPr>
              <w:t>5 376</w:t>
            </w:r>
          </w:p>
        </w:tc>
        <w:tc>
          <w:tcPr>
            <w:tcW w:w="1376" w:type="dxa"/>
          </w:tcPr>
          <w:p w:rsidR="00000000" w:rsidRDefault="00000000">
            <w:pPr>
              <w:pStyle w:val="FootnoteText"/>
              <w:spacing w:line="288" w:lineRule="auto"/>
              <w:jc w:val="center"/>
              <w:rPr>
                <w:sz w:val="22"/>
                <w:lang w:val="en-US"/>
              </w:rPr>
            </w:pPr>
            <w:r>
              <w:rPr>
                <w:sz w:val="22"/>
                <w:lang w:val="en-US"/>
              </w:rPr>
              <w:t>2 778</w:t>
            </w:r>
          </w:p>
          <w:p w:rsidR="00000000" w:rsidRDefault="00000000">
            <w:pPr>
              <w:pStyle w:val="FootnoteText"/>
              <w:spacing w:line="288" w:lineRule="auto"/>
              <w:jc w:val="center"/>
              <w:rPr>
                <w:sz w:val="22"/>
                <w:lang w:val="en-US"/>
              </w:rPr>
            </w:pPr>
            <w:r>
              <w:rPr>
                <w:sz w:val="22"/>
                <w:lang w:val="en-US"/>
              </w:rPr>
              <w:t>3 806</w:t>
            </w:r>
          </w:p>
          <w:p w:rsidR="00000000" w:rsidRDefault="00000000">
            <w:pPr>
              <w:pStyle w:val="FootnoteText"/>
              <w:spacing w:line="288" w:lineRule="auto"/>
              <w:jc w:val="center"/>
              <w:rPr>
                <w:sz w:val="22"/>
                <w:lang w:val="en-US"/>
              </w:rPr>
            </w:pPr>
            <w:r>
              <w:rPr>
                <w:sz w:val="22"/>
                <w:lang w:val="en-US"/>
              </w:rPr>
              <w:t>5 031</w:t>
            </w:r>
          </w:p>
        </w:tc>
      </w:tr>
      <w:tr w:rsidR="00000000">
        <w:tblPrEx>
          <w:tblCellMar>
            <w:top w:w="0" w:type="dxa"/>
            <w:bottom w:w="0" w:type="dxa"/>
          </w:tblCellMar>
        </w:tblPrEx>
        <w:tc>
          <w:tcPr>
            <w:tcW w:w="1713" w:type="dxa"/>
          </w:tcPr>
          <w:p w:rsidR="00000000" w:rsidRDefault="00000000">
            <w:pPr>
              <w:pStyle w:val="FootnoteText"/>
              <w:spacing w:line="288" w:lineRule="auto"/>
              <w:rPr>
                <w:sz w:val="22"/>
              </w:rPr>
            </w:pPr>
            <w:r>
              <w:rPr>
                <w:sz w:val="22"/>
              </w:rPr>
              <w:t>Кооперативы</w:t>
            </w:r>
          </w:p>
        </w:tc>
        <w:tc>
          <w:tcPr>
            <w:tcW w:w="886" w:type="dxa"/>
          </w:tcPr>
          <w:p w:rsidR="00000000" w:rsidRDefault="00000000">
            <w:pPr>
              <w:pStyle w:val="FootnoteText"/>
              <w:spacing w:line="288" w:lineRule="auto"/>
              <w:jc w:val="center"/>
              <w:rPr>
                <w:sz w:val="22"/>
                <w:lang w:val="en-US"/>
              </w:rPr>
            </w:pPr>
            <w:r>
              <w:rPr>
                <w:sz w:val="22"/>
                <w:lang w:val="en-US"/>
              </w:rPr>
              <w:t>1996</w:t>
            </w:r>
          </w:p>
          <w:p w:rsidR="00000000" w:rsidRDefault="00000000">
            <w:pPr>
              <w:pStyle w:val="FootnoteText"/>
              <w:spacing w:line="288" w:lineRule="auto"/>
              <w:jc w:val="center"/>
              <w:rPr>
                <w:sz w:val="22"/>
                <w:lang w:val="en-US"/>
              </w:rPr>
            </w:pPr>
            <w:r>
              <w:rPr>
                <w:sz w:val="22"/>
                <w:lang w:val="en-US"/>
              </w:rPr>
              <w:t>1997</w:t>
            </w:r>
          </w:p>
          <w:p w:rsidR="00000000" w:rsidRDefault="00000000">
            <w:pPr>
              <w:pStyle w:val="FootnoteText"/>
              <w:spacing w:line="288" w:lineRule="auto"/>
              <w:jc w:val="center"/>
              <w:rPr>
                <w:sz w:val="22"/>
                <w:lang w:val="en-US"/>
              </w:rPr>
            </w:pPr>
            <w:r>
              <w:rPr>
                <w:sz w:val="22"/>
                <w:lang w:val="en-US"/>
              </w:rPr>
              <w:t>1998</w:t>
            </w:r>
          </w:p>
        </w:tc>
        <w:tc>
          <w:tcPr>
            <w:tcW w:w="971" w:type="dxa"/>
          </w:tcPr>
          <w:p w:rsidR="00000000" w:rsidRDefault="00000000">
            <w:pPr>
              <w:pStyle w:val="FootnoteText"/>
              <w:tabs>
                <w:tab w:val="clear" w:pos="567"/>
              </w:tabs>
              <w:spacing w:line="288" w:lineRule="auto"/>
              <w:jc w:val="right"/>
              <w:rPr>
                <w:sz w:val="22"/>
                <w:lang w:val="en-US"/>
              </w:rPr>
            </w:pPr>
            <w:r>
              <w:rPr>
                <w:sz w:val="22"/>
                <w:lang w:val="en-US"/>
              </w:rPr>
              <w:t>7 011</w:t>
            </w:r>
          </w:p>
          <w:p w:rsidR="00000000" w:rsidRDefault="00000000">
            <w:pPr>
              <w:pStyle w:val="FootnoteText"/>
              <w:tabs>
                <w:tab w:val="clear" w:pos="567"/>
              </w:tabs>
              <w:spacing w:line="288" w:lineRule="auto"/>
              <w:jc w:val="right"/>
              <w:rPr>
                <w:sz w:val="22"/>
                <w:lang w:val="en-US"/>
              </w:rPr>
            </w:pPr>
            <w:r>
              <w:rPr>
                <w:sz w:val="22"/>
                <w:lang w:val="en-US"/>
              </w:rPr>
              <w:t>7 315</w:t>
            </w:r>
          </w:p>
          <w:p w:rsidR="00000000" w:rsidRDefault="00000000">
            <w:pPr>
              <w:pStyle w:val="FootnoteText"/>
              <w:tabs>
                <w:tab w:val="clear" w:pos="567"/>
              </w:tabs>
              <w:spacing w:line="288" w:lineRule="auto"/>
              <w:jc w:val="right"/>
              <w:rPr>
                <w:sz w:val="22"/>
                <w:lang w:val="en-US"/>
              </w:rPr>
            </w:pPr>
            <w:r>
              <w:rPr>
                <w:sz w:val="22"/>
                <w:lang w:val="en-US"/>
              </w:rPr>
              <w:t>7 505</w:t>
            </w:r>
          </w:p>
        </w:tc>
        <w:tc>
          <w:tcPr>
            <w:tcW w:w="1376" w:type="dxa"/>
          </w:tcPr>
          <w:p w:rsidR="00000000" w:rsidRDefault="00000000">
            <w:pPr>
              <w:pStyle w:val="FootnoteText"/>
              <w:spacing w:line="288" w:lineRule="auto"/>
              <w:jc w:val="center"/>
              <w:rPr>
                <w:sz w:val="22"/>
                <w:lang w:val="en-US"/>
              </w:rPr>
            </w:pPr>
            <w:r>
              <w:rPr>
                <w:sz w:val="22"/>
                <w:lang w:val="en-US"/>
              </w:rPr>
              <w:t>6 519</w:t>
            </w:r>
          </w:p>
          <w:p w:rsidR="00000000" w:rsidRDefault="00000000">
            <w:pPr>
              <w:pStyle w:val="FootnoteText"/>
              <w:spacing w:line="288" w:lineRule="auto"/>
              <w:jc w:val="center"/>
              <w:rPr>
                <w:sz w:val="22"/>
                <w:lang w:val="en-US"/>
              </w:rPr>
            </w:pPr>
            <w:r>
              <w:rPr>
                <w:sz w:val="22"/>
                <w:lang w:val="en-US"/>
              </w:rPr>
              <w:t>6 844</w:t>
            </w:r>
          </w:p>
          <w:p w:rsidR="00000000" w:rsidRDefault="00000000">
            <w:pPr>
              <w:pStyle w:val="FootnoteText"/>
              <w:spacing w:line="288" w:lineRule="auto"/>
              <w:jc w:val="center"/>
              <w:rPr>
                <w:sz w:val="22"/>
                <w:lang w:val="en-US"/>
              </w:rPr>
            </w:pPr>
            <w:r>
              <w:rPr>
                <w:sz w:val="22"/>
                <w:lang w:val="en-US"/>
              </w:rPr>
              <w:t>7 132</w:t>
            </w:r>
          </w:p>
        </w:tc>
        <w:tc>
          <w:tcPr>
            <w:tcW w:w="952" w:type="dxa"/>
          </w:tcPr>
          <w:p w:rsidR="00000000" w:rsidRDefault="00000000">
            <w:pPr>
              <w:pStyle w:val="FootnoteText"/>
              <w:spacing w:line="288" w:lineRule="auto"/>
              <w:jc w:val="center"/>
              <w:rPr>
                <w:sz w:val="22"/>
                <w:lang w:val="en-US"/>
              </w:rPr>
            </w:pPr>
            <w:r>
              <w:rPr>
                <w:sz w:val="22"/>
                <w:lang w:val="en-US"/>
              </w:rPr>
              <w:t>5 291</w:t>
            </w:r>
          </w:p>
          <w:p w:rsidR="00000000" w:rsidRDefault="00000000">
            <w:pPr>
              <w:pStyle w:val="FootnoteText"/>
              <w:spacing w:line="288" w:lineRule="auto"/>
              <w:jc w:val="center"/>
              <w:rPr>
                <w:sz w:val="22"/>
                <w:lang w:val="en-US"/>
              </w:rPr>
            </w:pPr>
            <w:r>
              <w:rPr>
                <w:sz w:val="22"/>
                <w:lang w:val="en-US"/>
              </w:rPr>
              <w:t>5 005</w:t>
            </w:r>
          </w:p>
          <w:p w:rsidR="00000000" w:rsidRDefault="00000000">
            <w:pPr>
              <w:pStyle w:val="FootnoteText"/>
              <w:spacing w:line="288" w:lineRule="auto"/>
              <w:jc w:val="center"/>
              <w:rPr>
                <w:sz w:val="22"/>
                <w:lang w:val="en-US"/>
              </w:rPr>
            </w:pPr>
            <w:r>
              <w:rPr>
                <w:sz w:val="22"/>
                <w:lang w:val="en-US"/>
              </w:rPr>
              <w:t>4 859</w:t>
            </w:r>
          </w:p>
        </w:tc>
        <w:tc>
          <w:tcPr>
            <w:tcW w:w="1376" w:type="dxa"/>
          </w:tcPr>
          <w:p w:rsidR="00000000" w:rsidRDefault="00000000">
            <w:pPr>
              <w:pStyle w:val="FootnoteText"/>
              <w:spacing w:line="288" w:lineRule="auto"/>
              <w:jc w:val="center"/>
              <w:rPr>
                <w:sz w:val="22"/>
                <w:lang w:val="en-US"/>
              </w:rPr>
            </w:pPr>
            <w:r>
              <w:rPr>
                <w:sz w:val="22"/>
                <w:lang w:val="en-US"/>
              </w:rPr>
              <w:t>5 089</w:t>
            </w:r>
          </w:p>
          <w:p w:rsidR="00000000" w:rsidRDefault="00000000">
            <w:pPr>
              <w:pStyle w:val="FootnoteText"/>
              <w:spacing w:line="288" w:lineRule="auto"/>
              <w:jc w:val="center"/>
              <w:rPr>
                <w:sz w:val="22"/>
                <w:lang w:val="en-US"/>
              </w:rPr>
            </w:pPr>
            <w:r>
              <w:rPr>
                <w:sz w:val="22"/>
                <w:lang w:val="en-US"/>
              </w:rPr>
              <w:t>4 848</w:t>
            </w:r>
          </w:p>
          <w:p w:rsidR="00000000" w:rsidRDefault="00000000">
            <w:pPr>
              <w:pStyle w:val="FootnoteText"/>
              <w:spacing w:line="288" w:lineRule="auto"/>
              <w:jc w:val="center"/>
              <w:rPr>
                <w:sz w:val="22"/>
                <w:lang w:val="en-US"/>
              </w:rPr>
            </w:pPr>
            <w:r>
              <w:rPr>
                <w:sz w:val="22"/>
                <w:lang w:val="en-US"/>
              </w:rPr>
              <w:t>4 677</w:t>
            </w:r>
          </w:p>
        </w:tc>
        <w:tc>
          <w:tcPr>
            <w:tcW w:w="921" w:type="dxa"/>
          </w:tcPr>
          <w:p w:rsidR="00000000" w:rsidRDefault="00000000">
            <w:pPr>
              <w:pStyle w:val="FootnoteText"/>
              <w:spacing w:line="288" w:lineRule="auto"/>
              <w:jc w:val="center"/>
              <w:rPr>
                <w:sz w:val="22"/>
                <w:lang w:val="en-US"/>
              </w:rPr>
            </w:pPr>
            <w:r>
              <w:rPr>
                <w:sz w:val="22"/>
                <w:lang w:val="en-US"/>
              </w:rPr>
              <w:t>1 350</w:t>
            </w:r>
          </w:p>
          <w:p w:rsidR="00000000" w:rsidRDefault="00000000">
            <w:pPr>
              <w:pStyle w:val="FootnoteText"/>
              <w:spacing w:line="288" w:lineRule="auto"/>
              <w:jc w:val="center"/>
              <w:rPr>
                <w:sz w:val="22"/>
                <w:lang w:val="en-US"/>
              </w:rPr>
            </w:pPr>
            <w:r>
              <w:rPr>
                <w:sz w:val="22"/>
                <w:lang w:val="en-US"/>
              </w:rPr>
              <w:t>1 955</w:t>
            </w:r>
          </w:p>
          <w:p w:rsidR="00000000" w:rsidRDefault="00000000">
            <w:pPr>
              <w:pStyle w:val="FootnoteText"/>
              <w:spacing w:line="288" w:lineRule="auto"/>
              <w:jc w:val="center"/>
              <w:rPr>
                <w:sz w:val="22"/>
                <w:lang w:val="en-US"/>
              </w:rPr>
            </w:pPr>
            <w:r>
              <w:rPr>
                <w:sz w:val="22"/>
                <w:lang w:val="en-US"/>
              </w:rPr>
              <w:t>2 447</w:t>
            </w:r>
          </w:p>
        </w:tc>
        <w:tc>
          <w:tcPr>
            <w:tcW w:w="1376" w:type="dxa"/>
          </w:tcPr>
          <w:p w:rsidR="00000000" w:rsidRDefault="00000000">
            <w:pPr>
              <w:pStyle w:val="FootnoteText"/>
              <w:spacing w:line="288" w:lineRule="auto"/>
              <w:jc w:val="center"/>
              <w:rPr>
                <w:sz w:val="22"/>
                <w:lang w:val="en-US"/>
              </w:rPr>
            </w:pPr>
            <w:r>
              <w:rPr>
                <w:sz w:val="22"/>
                <w:lang w:val="en-US"/>
              </w:rPr>
              <w:t>1 271</w:t>
            </w:r>
          </w:p>
          <w:p w:rsidR="00000000" w:rsidRDefault="00000000">
            <w:pPr>
              <w:pStyle w:val="FootnoteText"/>
              <w:spacing w:line="288" w:lineRule="auto"/>
              <w:jc w:val="center"/>
              <w:rPr>
                <w:sz w:val="22"/>
                <w:lang w:val="en-US"/>
              </w:rPr>
            </w:pPr>
            <w:r>
              <w:rPr>
                <w:sz w:val="22"/>
                <w:lang w:val="en-US"/>
              </w:rPr>
              <w:t>1 863</w:t>
            </w:r>
          </w:p>
          <w:p w:rsidR="00000000" w:rsidRDefault="00000000">
            <w:pPr>
              <w:pStyle w:val="FootnoteText"/>
              <w:spacing w:line="288" w:lineRule="auto"/>
              <w:jc w:val="center"/>
              <w:rPr>
                <w:sz w:val="22"/>
                <w:lang w:val="en-US"/>
              </w:rPr>
            </w:pPr>
            <w:r>
              <w:rPr>
                <w:sz w:val="22"/>
                <w:lang w:val="en-US"/>
              </w:rPr>
              <w:t>2 370</w:t>
            </w:r>
          </w:p>
        </w:tc>
      </w:tr>
      <w:tr w:rsidR="00000000">
        <w:tblPrEx>
          <w:tblCellMar>
            <w:top w:w="0" w:type="dxa"/>
            <w:bottom w:w="0" w:type="dxa"/>
          </w:tblCellMar>
        </w:tblPrEx>
        <w:tc>
          <w:tcPr>
            <w:tcW w:w="1713" w:type="dxa"/>
          </w:tcPr>
          <w:p w:rsidR="00000000" w:rsidRDefault="00000000">
            <w:pPr>
              <w:pStyle w:val="FootnoteText"/>
              <w:spacing w:line="288" w:lineRule="auto"/>
              <w:rPr>
                <w:sz w:val="22"/>
              </w:rPr>
            </w:pPr>
            <w:r>
              <w:rPr>
                <w:sz w:val="22"/>
              </w:rPr>
              <w:t>Муниципальное</w:t>
            </w:r>
          </w:p>
          <w:p w:rsidR="00000000" w:rsidRDefault="00000000">
            <w:pPr>
              <w:pStyle w:val="FootnoteText"/>
              <w:spacing w:line="288" w:lineRule="auto"/>
              <w:rPr>
                <w:sz w:val="22"/>
              </w:rPr>
            </w:pPr>
            <w:r>
              <w:rPr>
                <w:sz w:val="22"/>
              </w:rPr>
              <w:t>жилье</w:t>
            </w:r>
          </w:p>
        </w:tc>
        <w:tc>
          <w:tcPr>
            <w:tcW w:w="886" w:type="dxa"/>
          </w:tcPr>
          <w:p w:rsidR="00000000" w:rsidRDefault="00000000">
            <w:pPr>
              <w:pStyle w:val="FootnoteText"/>
              <w:spacing w:line="288" w:lineRule="auto"/>
              <w:jc w:val="center"/>
              <w:rPr>
                <w:sz w:val="22"/>
                <w:lang w:val="en-US"/>
              </w:rPr>
            </w:pPr>
            <w:r>
              <w:rPr>
                <w:sz w:val="22"/>
                <w:lang w:val="en-US"/>
              </w:rPr>
              <w:t>1996</w:t>
            </w:r>
          </w:p>
          <w:p w:rsidR="00000000" w:rsidRDefault="00000000">
            <w:pPr>
              <w:pStyle w:val="FootnoteText"/>
              <w:spacing w:line="288" w:lineRule="auto"/>
              <w:jc w:val="center"/>
              <w:rPr>
                <w:sz w:val="22"/>
                <w:lang w:val="en-US"/>
              </w:rPr>
            </w:pPr>
            <w:r>
              <w:rPr>
                <w:sz w:val="22"/>
                <w:lang w:val="en-US"/>
              </w:rPr>
              <w:t>1997</w:t>
            </w:r>
          </w:p>
          <w:p w:rsidR="00000000" w:rsidRDefault="00000000">
            <w:pPr>
              <w:pStyle w:val="FootnoteText"/>
              <w:spacing w:line="288" w:lineRule="auto"/>
              <w:jc w:val="center"/>
              <w:rPr>
                <w:sz w:val="22"/>
              </w:rPr>
            </w:pPr>
            <w:r>
              <w:rPr>
                <w:sz w:val="22"/>
                <w:lang w:val="en-US"/>
              </w:rPr>
              <w:t>1998</w:t>
            </w:r>
          </w:p>
        </w:tc>
        <w:tc>
          <w:tcPr>
            <w:tcW w:w="971" w:type="dxa"/>
          </w:tcPr>
          <w:p w:rsidR="00000000" w:rsidRDefault="00000000">
            <w:pPr>
              <w:pStyle w:val="FootnoteText"/>
              <w:tabs>
                <w:tab w:val="clear" w:pos="567"/>
              </w:tabs>
              <w:spacing w:line="288" w:lineRule="auto"/>
              <w:jc w:val="right"/>
              <w:rPr>
                <w:sz w:val="22"/>
                <w:lang w:val="en-US"/>
              </w:rPr>
            </w:pPr>
            <w:r>
              <w:rPr>
                <w:sz w:val="22"/>
                <w:lang w:val="en-US"/>
              </w:rPr>
              <w:t>13 569</w:t>
            </w:r>
          </w:p>
          <w:p w:rsidR="00000000" w:rsidRDefault="00000000">
            <w:pPr>
              <w:pStyle w:val="FootnoteText"/>
              <w:tabs>
                <w:tab w:val="clear" w:pos="567"/>
              </w:tabs>
              <w:spacing w:line="288" w:lineRule="auto"/>
              <w:jc w:val="right"/>
              <w:rPr>
                <w:sz w:val="22"/>
                <w:lang w:val="en-US"/>
              </w:rPr>
            </w:pPr>
            <w:r>
              <w:rPr>
                <w:sz w:val="22"/>
                <w:lang w:val="en-US"/>
              </w:rPr>
              <w:t>13 727</w:t>
            </w:r>
          </w:p>
          <w:p w:rsidR="00000000" w:rsidRDefault="00000000">
            <w:pPr>
              <w:pStyle w:val="FootnoteText"/>
              <w:tabs>
                <w:tab w:val="clear" w:pos="567"/>
              </w:tabs>
              <w:spacing w:line="288" w:lineRule="auto"/>
              <w:jc w:val="right"/>
              <w:rPr>
                <w:sz w:val="22"/>
                <w:lang w:val="en-US"/>
              </w:rPr>
            </w:pPr>
            <w:r>
              <w:rPr>
                <w:sz w:val="22"/>
                <w:lang w:val="en-US"/>
              </w:rPr>
              <w:t>15 724</w:t>
            </w:r>
          </w:p>
        </w:tc>
        <w:tc>
          <w:tcPr>
            <w:tcW w:w="1376" w:type="dxa"/>
          </w:tcPr>
          <w:p w:rsidR="00000000" w:rsidRDefault="00000000">
            <w:pPr>
              <w:pStyle w:val="FootnoteText"/>
              <w:spacing w:line="288" w:lineRule="auto"/>
              <w:jc w:val="center"/>
              <w:rPr>
                <w:sz w:val="22"/>
                <w:lang w:val="en-US"/>
              </w:rPr>
            </w:pPr>
            <w:r>
              <w:rPr>
                <w:sz w:val="22"/>
                <w:lang w:val="en-US"/>
              </w:rPr>
              <w:t>11 350</w:t>
            </w:r>
          </w:p>
          <w:p w:rsidR="00000000" w:rsidRDefault="00000000">
            <w:pPr>
              <w:pStyle w:val="FootnoteText"/>
              <w:spacing w:line="288" w:lineRule="auto"/>
              <w:jc w:val="center"/>
              <w:rPr>
                <w:sz w:val="22"/>
                <w:lang w:val="en-US"/>
              </w:rPr>
            </w:pPr>
            <w:r>
              <w:rPr>
                <w:sz w:val="22"/>
                <w:lang w:val="en-US"/>
              </w:rPr>
              <w:t>12 054</w:t>
            </w:r>
          </w:p>
          <w:p w:rsidR="00000000" w:rsidRDefault="00000000">
            <w:pPr>
              <w:pStyle w:val="FootnoteText"/>
              <w:spacing w:line="288" w:lineRule="auto"/>
              <w:jc w:val="center"/>
              <w:rPr>
                <w:sz w:val="22"/>
                <w:lang w:val="en-US"/>
              </w:rPr>
            </w:pPr>
            <w:r>
              <w:rPr>
                <w:sz w:val="22"/>
                <w:lang w:val="en-US"/>
              </w:rPr>
              <w:t>14 428</w:t>
            </w:r>
          </w:p>
        </w:tc>
        <w:tc>
          <w:tcPr>
            <w:tcW w:w="952" w:type="dxa"/>
          </w:tcPr>
          <w:p w:rsidR="00000000" w:rsidRDefault="00000000">
            <w:pPr>
              <w:pStyle w:val="FootnoteText"/>
              <w:spacing w:line="288" w:lineRule="auto"/>
              <w:jc w:val="center"/>
              <w:rPr>
                <w:sz w:val="22"/>
                <w:lang w:val="en-US"/>
              </w:rPr>
            </w:pPr>
            <w:r>
              <w:rPr>
                <w:sz w:val="22"/>
                <w:lang w:val="en-US"/>
              </w:rPr>
              <w:t>5 747</w:t>
            </w:r>
          </w:p>
          <w:p w:rsidR="00000000" w:rsidRDefault="00000000">
            <w:pPr>
              <w:pStyle w:val="FootnoteText"/>
              <w:spacing w:line="288" w:lineRule="auto"/>
              <w:jc w:val="center"/>
              <w:rPr>
                <w:sz w:val="22"/>
                <w:lang w:val="en-US"/>
              </w:rPr>
            </w:pPr>
            <w:r>
              <w:rPr>
                <w:sz w:val="22"/>
                <w:lang w:val="en-US"/>
              </w:rPr>
              <w:t>6 205</w:t>
            </w:r>
          </w:p>
          <w:p w:rsidR="00000000" w:rsidRDefault="00000000">
            <w:pPr>
              <w:pStyle w:val="FootnoteText"/>
              <w:spacing w:line="288" w:lineRule="auto"/>
              <w:jc w:val="center"/>
              <w:rPr>
                <w:sz w:val="22"/>
                <w:lang w:val="en-US"/>
              </w:rPr>
            </w:pPr>
            <w:r>
              <w:rPr>
                <w:sz w:val="22"/>
                <w:lang w:val="en-US"/>
              </w:rPr>
              <w:t>6 841</w:t>
            </w:r>
          </w:p>
        </w:tc>
        <w:tc>
          <w:tcPr>
            <w:tcW w:w="1376" w:type="dxa"/>
          </w:tcPr>
          <w:p w:rsidR="00000000" w:rsidRDefault="00000000">
            <w:pPr>
              <w:pStyle w:val="FootnoteText"/>
              <w:spacing w:line="288" w:lineRule="auto"/>
              <w:jc w:val="center"/>
              <w:rPr>
                <w:sz w:val="22"/>
                <w:lang w:val="en-US"/>
              </w:rPr>
            </w:pPr>
            <w:r>
              <w:rPr>
                <w:sz w:val="22"/>
                <w:lang w:val="en-US"/>
              </w:rPr>
              <w:t>5 112</w:t>
            </w:r>
          </w:p>
          <w:p w:rsidR="00000000" w:rsidRDefault="00000000">
            <w:pPr>
              <w:pStyle w:val="FootnoteText"/>
              <w:spacing w:line="288" w:lineRule="auto"/>
              <w:jc w:val="center"/>
              <w:rPr>
                <w:sz w:val="22"/>
                <w:lang w:val="en-US"/>
              </w:rPr>
            </w:pPr>
            <w:r>
              <w:rPr>
                <w:sz w:val="22"/>
                <w:lang w:val="en-US"/>
              </w:rPr>
              <w:t>5 461</w:t>
            </w:r>
          </w:p>
          <w:p w:rsidR="00000000" w:rsidRDefault="00000000">
            <w:pPr>
              <w:pStyle w:val="FootnoteText"/>
              <w:spacing w:line="288" w:lineRule="auto"/>
              <w:jc w:val="center"/>
              <w:rPr>
                <w:sz w:val="22"/>
                <w:lang w:val="en-US"/>
              </w:rPr>
            </w:pPr>
            <w:r>
              <w:rPr>
                <w:sz w:val="22"/>
                <w:lang w:val="en-US"/>
              </w:rPr>
              <w:t>6 379</w:t>
            </w:r>
          </w:p>
        </w:tc>
        <w:tc>
          <w:tcPr>
            <w:tcW w:w="921" w:type="dxa"/>
          </w:tcPr>
          <w:p w:rsidR="00000000" w:rsidRDefault="00000000">
            <w:pPr>
              <w:pStyle w:val="FootnoteText"/>
              <w:spacing w:line="288" w:lineRule="auto"/>
              <w:jc w:val="center"/>
              <w:rPr>
                <w:sz w:val="22"/>
                <w:lang w:val="en-US"/>
              </w:rPr>
            </w:pPr>
            <w:r>
              <w:rPr>
                <w:sz w:val="22"/>
                <w:lang w:val="en-US"/>
              </w:rPr>
              <w:t>1 400</w:t>
            </w:r>
          </w:p>
          <w:p w:rsidR="00000000" w:rsidRDefault="00000000">
            <w:pPr>
              <w:pStyle w:val="FootnoteText"/>
              <w:spacing w:line="288" w:lineRule="auto"/>
              <w:jc w:val="center"/>
              <w:rPr>
                <w:sz w:val="22"/>
                <w:lang w:val="en-US"/>
              </w:rPr>
            </w:pPr>
            <w:r>
              <w:rPr>
                <w:sz w:val="22"/>
                <w:lang w:val="en-US"/>
              </w:rPr>
              <w:t>1 642</w:t>
            </w:r>
          </w:p>
          <w:p w:rsidR="00000000" w:rsidRDefault="00000000">
            <w:pPr>
              <w:pStyle w:val="FootnoteText"/>
              <w:spacing w:line="288" w:lineRule="auto"/>
              <w:jc w:val="center"/>
              <w:rPr>
                <w:sz w:val="22"/>
                <w:lang w:val="en-US"/>
              </w:rPr>
            </w:pPr>
            <w:r>
              <w:rPr>
                <w:sz w:val="22"/>
                <w:lang w:val="en-US"/>
              </w:rPr>
              <w:t>2 379</w:t>
            </w:r>
          </w:p>
        </w:tc>
        <w:tc>
          <w:tcPr>
            <w:tcW w:w="1376" w:type="dxa"/>
          </w:tcPr>
          <w:p w:rsidR="00000000" w:rsidRDefault="00000000">
            <w:pPr>
              <w:pStyle w:val="FootnoteText"/>
              <w:spacing w:line="288" w:lineRule="auto"/>
              <w:jc w:val="center"/>
              <w:rPr>
                <w:sz w:val="22"/>
                <w:lang w:val="en-US"/>
              </w:rPr>
            </w:pPr>
            <w:r>
              <w:rPr>
                <w:sz w:val="22"/>
                <w:lang w:val="en-US"/>
              </w:rPr>
              <w:t>1 120</w:t>
            </w:r>
          </w:p>
          <w:p w:rsidR="00000000" w:rsidRDefault="00000000">
            <w:pPr>
              <w:pStyle w:val="FootnoteText"/>
              <w:spacing w:line="288" w:lineRule="auto"/>
              <w:jc w:val="center"/>
              <w:rPr>
                <w:sz w:val="22"/>
                <w:lang w:val="en-US"/>
              </w:rPr>
            </w:pPr>
            <w:r>
              <w:rPr>
                <w:sz w:val="22"/>
                <w:lang w:val="en-US"/>
              </w:rPr>
              <w:t>1 476</w:t>
            </w:r>
          </w:p>
          <w:p w:rsidR="00000000" w:rsidRDefault="00000000">
            <w:pPr>
              <w:pStyle w:val="FootnoteText"/>
              <w:spacing w:line="288" w:lineRule="auto"/>
              <w:jc w:val="center"/>
              <w:rPr>
                <w:sz w:val="22"/>
                <w:lang w:val="en-US"/>
              </w:rPr>
            </w:pPr>
            <w:r>
              <w:rPr>
                <w:sz w:val="22"/>
                <w:lang w:val="en-US"/>
              </w:rPr>
              <w:t>2 162</w:t>
            </w:r>
          </w:p>
        </w:tc>
      </w:tr>
      <w:tr w:rsidR="00000000">
        <w:tblPrEx>
          <w:tblCellMar>
            <w:top w:w="0" w:type="dxa"/>
            <w:bottom w:w="0" w:type="dxa"/>
          </w:tblCellMar>
        </w:tblPrEx>
        <w:tc>
          <w:tcPr>
            <w:tcW w:w="1713" w:type="dxa"/>
          </w:tcPr>
          <w:p w:rsidR="00000000" w:rsidRDefault="00000000">
            <w:pPr>
              <w:pStyle w:val="FootnoteText"/>
              <w:spacing w:line="288" w:lineRule="auto"/>
              <w:rPr>
                <w:sz w:val="22"/>
              </w:rPr>
            </w:pPr>
            <w:r>
              <w:rPr>
                <w:sz w:val="22"/>
              </w:rPr>
              <w:t>Жилой фонд компаний</w:t>
            </w:r>
          </w:p>
        </w:tc>
        <w:tc>
          <w:tcPr>
            <w:tcW w:w="886" w:type="dxa"/>
          </w:tcPr>
          <w:p w:rsidR="00000000" w:rsidRDefault="00000000">
            <w:pPr>
              <w:pStyle w:val="FootnoteText"/>
              <w:spacing w:line="288" w:lineRule="auto"/>
              <w:jc w:val="center"/>
              <w:rPr>
                <w:sz w:val="22"/>
              </w:rPr>
            </w:pPr>
            <w:r>
              <w:rPr>
                <w:sz w:val="22"/>
              </w:rPr>
              <w:t>1996</w:t>
            </w:r>
          </w:p>
          <w:p w:rsidR="00000000" w:rsidRDefault="00000000">
            <w:pPr>
              <w:pStyle w:val="FootnoteText"/>
              <w:spacing w:line="288" w:lineRule="auto"/>
              <w:jc w:val="center"/>
              <w:rPr>
                <w:sz w:val="22"/>
              </w:rPr>
            </w:pPr>
            <w:r>
              <w:rPr>
                <w:sz w:val="22"/>
              </w:rPr>
              <w:t>1997</w:t>
            </w:r>
          </w:p>
          <w:p w:rsidR="00000000" w:rsidRDefault="00000000">
            <w:pPr>
              <w:pStyle w:val="FootnoteText"/>
              <w:spacing w:line="288" w:lineRule="auto"/>
              <w:jc w:val="center"/>
              <w:rPr>
                <w:sz w:val="22"/>
              </w:rPr>
            </w:pPr>
            <w:r>
              <w:rPr>
                <w:sz w:val="22"/>
              </w:rPr>
              <w:t>1998</w:t>
            </w:r>
          </w:p>
        </w:tc>
        <w:tc>
          <w:tcPr>
            <w:tcW w:w="971" w:type="dxa"/>
          </w:tcPr>
          <w:p w:rsidR="00000000" w:rsidRDefault="00000000">
            <w:pPr>
              <w:pStyle w:val="FootnoteText"/>
              <w:spacing w:line="288" w:lineRule="auto"/>
              <w:jc w:val="center"/>
              <w:rPr>
                <w:sz w:val="22"/>
              </w:rPr>
            </w:pPr>
            <w:r>
              <w:rPr>
                <w:sz w:val="22"/>
              </w:rPr>
              <w:t>3 128</w:t>
            </w:r>
          </w:p>
          <w:p w:rsidR="00000000" w:rsidRDefault="00000000">
            <w:pPr>
              <w:pStyle w:val="FootnoteText"/>
              <w:spacing w:line="288" w:lineRule="auto"/>
              <w:jc w:val="center"/>
              <w:rPr>
                <w:sz w:val="22"/>
              </w:rPr>
            </w:pPr>
            <w:r>
              <w:rPr>
                <w:sz w:val="22"/>
              </w:rPr>
              <w:t>3 807</w:t>
            </w:r>
          </w:p>
          <w:p w:rsidR="00000000" w:rsidRDefault="00000000">
            <w:pPr>
              <w:pStyle w:val="FootnoteText"/>
              <w:spacing w:line="288" w:lineRule="auto"/>
              <w:jc w:val="center"/>
              <w:rPr>
                <w:sz w:val="22"/>
              </w:rPr>
            </w:pPr>
            <w:r>
              <w:rPr>
                <w:sz w:val="22"/>
              </w:rPr>
              <w:t>2 984</w:t>
            </w:r>
          </w:p>
        </w:tc>
        <w:tc>
          <w:tcPr>
            <w:tcW w:w="1376" w:type="dxa"/>
          </w:tcPr>
          <w:p w:rsidR="00000000" w:rsidRDefault="00000000">
            <w:pPr>
              <w:pStyle w:val="FootnoteText"/>
              <w:spacing w:line="288" w:lineRule="auto"/>
              <w:jc w:val="center"/>
              <w:rPr>
                <w:sz w:val="22"/>
              </w:rPr>
            </w:pPr>
            <w:r>
              <w:rPr>
                <w:sz w:val="22"/>
              </w:rPr>
              <w:t>2 471</w:t>
            </w:r>
          </w:p>
          <w:p w:rsidR="00000000" w:rsidRDefault="00000000">
            <w:pPr>
              <w:pStyle w:val="FootnoteText"/>
              <w:spacing w:line="288" w:lineRule="auto"/>
              <w:jc w:val="center"/>
              <w:rPr>
                <w:sz w:val="22"/>
              </w:rPr>
            </w:pPr>
            <w:r>
              <w:rPr>
                <w:sz w:val="22"/>
              </w:rPr>
              <w:t>3 407</w:t>
            </w:r>
          </w:p>
          <w:p w:rsidR="00000000" w:rsidRDefault="00000000">
            <w:pPr>
              <w:pStyle w:val="FootnoteText"/>
              <w:spacing w:line="288" w:lineRule="auto"/>
              <w:jc w:val="center"/>
              <w:rPr>
                <w:sz w:val="22"/>
              </w:rPr>
            </w:pPr>
            <w:r>
              <w:rPr>
                <w:sz w:val="22"/>
              </w:rPr>
              <w:t>2 767</w:t>
            </w:r>
          </w:p>
        </w:tc>
        <w:tc>
          <w:tcPr>
            <w:tcW w:w="952" w:type="dxa"/>
          </w:tcPr>
          <w:p w:rsidR="00000000" w:rsidRDefault="00000000">
            <w:pPr>
              <w:pStyle w:val="FootnoteText"/>
              <w:spacing w:line="288" w:lineRule="auto"/>
              <w:jc w:val="center"/>
              <w:rPr>
                <w:sz w:val="22"/>
              </w:rPr>
            </w:pPr>
            <w:r>
              <w:rPr>
                <w:sz w:val="22"/>
              </w:rPr>
              <w:t>1 707</w:t>
            </w:r>
          </w:p>
          <w:p w:rsidR="00000000" w:rsidRDefault="00000000">
            <w:pPr>
              <w:pStyle w:val="FootnoteText"/>
              <w:spacing w:line="288" w:lineRule="auto"/>
              <w:jc w:val="center"/>
              <w:rPr>
                <w:sz w:val="22"/>
              </w:rPr>
            </w:pPr>
            <w:r>
              <w:rPr>
                <w:sz w:val="22"/>
              </w:rPr>
              <w:t>1 845</w:t>
            </w:r>
          </w:p>
          <w:p w:rsidR="00000000" w:rsidRDefault="00000000">
            <w:pPr>
              <w:pStyle w:val="FootnoteText"/>
              <w:spacing w:line="288" w:lineRule="auto"/>
              <w:jc w:val="center"/>
              <w:rPr>
                <w:sz w:val="22"/>
              </w:rPr>
            </w:pPr>
            <w:r>
              <w:rPr>
                <w:sz w:val="22"/>
              </w:rPr>
              <w:t>1 268</w:t>
            </w:r>
          </w:p>
        </w:tc>
        <w:tc>
          <w:tcPr>
            <w:tcW w:w="1376" w:type="dxa"/>
          </w:tcPr>
          <w:p w:rsidR="00000000" w:rsidRDefault="00000000">
            <w:pPr>
              <w:pStyle w:val="FootnoteText"/>
              <w:spacing w:line="288" w:lineRule="auto"/>
              <w:jc w:val="center"/>
              <w:rPr>
                <w:sz w:val="22"/>
              </w:rPr>
            </w:pPr>
            <w:r>
              <w:rPr>
                <w:sz w:val="22"/>
              </w:rPr>
              <w:t>1 492</w:t>
            </w:r>
          </w:p>
          <w:p w:rsidR="00000000" w:rsidRDefault="00000000">
            <w:pPr>
              <w:pStyle w:val="FootnoteText"/>
              <w:spacing w:line="288" w:lineRule="auto"/>
              <w:jc w:val="center"/>
              <w:rPr>
                <w:sz w:val="22"/>
              </w:rPr>
            </w:pPr>
            <w:r>
              <w:rPr>
                <w:sz w:val="22"/>
              </w:rPr>
              <w:t>1 688</w:t>
            </w:r>
          </w:p>
          <w:p w:rsidR="00000000" w:rsidRDefault="00000000">
            <w:pPr>
              <w:pStyle w:val="FootnoteText"/>
              <w:spacing w:line="288" w:lineRule="auto"/>
              <w:jc w:val="center"/>
              <w:rPr>
                <w:sz w:val="22"/>
              </w:rPr>
            </w:pPr>
            <w:r>
              <w:rPr>
                <w:sz w:val="22"/>
              </w:rPr>
              <w:t>1 184</w:t>
            </w:r>
          </w:p>
        </w:tc>
        <w:tc>
          <w:tcPr>
            <w:tcW w:w="921" w:type="dxa"/>
          </w:tcPr>
          <w:p w:rsidR="00000000" w:rsidRDefault="00000000">
            <w:pPr>
              <w:pStyle w:val="FootnoteText"/>
              <w:spacing w:line="288" w:lineRule="auto"/>
              <w:jc w:val="center"/>
              <w:rPr>
                <w:sz w:val="22"/>
              </w:rPr>
            </w:pPr>
            <w:r>
              <w:rPr>
                <w:sz w:val="22"/>
              </w:rPr>
              <w:t>1 492</w:t>
            </w:r>
          </w:p>
          <w:p w:rsidR="00000000" w:rsidRDefault="00000000">
            <w:pPr>
              <w:pStyle w:val="FootnoteText"/>
              <w:spacing w:line="288" w:lineRule="auto"/>
              <w:jc w:val="center"/>
              <w:rPr>
                <w:sz w:val="22"/>
              </w:rPr>
            </w:pPr>
            <w:r>
              <w:rPr>
                <w:sz w:val="22"/>
              </w:rPr>
              <w:t>527</w:t>
            </w:r>
          </w:p>
          <w:p w:rsidR="00000000" w:rsidRDefault="00000000">
            <w:pPr>
              <w:pStyle w:val="FootnoteText"/>
              <w:spacing w:line="288" w:lineRule="auto"/>
              <w:jc w:val="center"/>
              <w:rPr>
                <w:sz w:val="22"/>
              </w:rPr>
            </w:pPr>
            <w:r>
              <w:rPr>
                <w:sz w:val="22"/>
              </w:rPr>
              <w:t>512</w:t>
            </w:r>
          </w:p>
        </w:tc>
        <w:tc>
          <w:tcPr>
            <w:tcW w:w="1376" w:type="dxa"/>
          </w:tcPr>
          <w:p w:rsidR="00000000" w:rsidRDefault="00000000">
            <w:pPr>
              <w:pStyle w:val="FootnoteText"/>
              <w:spacing w:line="288" w:lineRule="auto"/>
              <w:jc w:val="center"/>
              <w:rPr>
                <w:sz w:val="22"/>
              </w:rPr>
            </w:pPr>
            <w:r>
              <w:rPr>
                <w:sz w:val="22"/>
              </w:rPr>
              <w:t>387</w:t>
            </w:r>
          </w:p>
          <w:p w:rsidR="00000000" w:rsidRDefault="00000000">
            <w:pPr>
              <w:pStyle w:val="FootnoteText"/>
              <w:spacing w:line="288" w:lineRule="auto"/>
              <w:jc w:val="center"/>
              <w:rPr>
                <w:sz w:val="22"/>
              </w:rPr>
            </w:pPr>
            <w:r>
              <w:rPr>
                <w:sz w:val="22"/>
              </w:rPr>
              <w:t>446</w:t>
            </w:r>
          </w:p>
          <w:p w:rsidR="00000000" w:rsidRDefault="00000000">
            <w:pPr>
              <w:pStyle w:val="FootnoteText"/>
              <w:spacing w:line="288" w:lineRule="auto"/>
              <w:jc w:val="center"/>
              <w:rPr>
                <w:sz w:val="22"/>
              </w:rPr>
            </w:pPr>
            <w:r>
              <w:rPr>
                <w:sz w:val="22"/>
              </w:rPr>
              <w:t>464</w:t>
            </w:r>
          </w:p>
        </w:tc>
      </w:tr>
      <w:tr w:rsidR="00000000">
        <w:tblPrEx>
          <w:tblCellMar>
            <w:top w:w="0" w:type="dxa"/>
            <w:bottom w:w="0" w:type="dxa"/>
          </w:tblCellMar>
        </w:tblPrEx>
        <w:tc>
          <w:tcPr>
            <w:tcW w:w="1713" w:type="dxa"/>
          </w:tcPr>
          <w:p w:rsidR="00000000" w:rsidRDefault="00000000">
            <w:pPr>
              <w:pStyle w:val="FootnoteText"/>
              <w:spacing w:line="288" w:lineRule="auto"/>
              <w:rPr>
                <w:sz w:val="22"/>
              </w:rPr>
            </w:pPr>
            <w:r>
              <w:rPr>
                <w:sz w:val="22"/>
              </w:rPr>
              <w:t>Жилтоварищества</w:t>
            </w:r>
          </w:p>
        </w:tc>
        <w:tc>
          <w:tcPr>
            <w:tcW w:w="886" w:type="dxa"/>
          </w:tcPr>
          <w:p w:rsidR="00000000" w:rsidRDefault="00000000">
            <w:pPr>
              <w:pStyle w:val="FootnoteText"/>
              <w:spacing w:line="288" w:lineRule="auto"/>
              <w:jc w:val="center"/>
              <w:rPr>
                <w:sz w:val="22"/>
              </w:rPr>
            </w:pPr>
            <w:r>
              <w:rPr>
                <w:sz w:val="22"/>
              </w:rPr>
              <w:t>1997</w:t>
            </w:r>
          </w:p>
          <w:p w:rsidR="00000000" w:rsidRDefault="00000000">
            <w:pPr>
              <w:pStyle w:val="FootnoteText"/>
              <w:spacing w:line="288" w:lineRule="auto"/>
              <w:jc w:val="center"/>
              <w:rPr>
                <w:sz w:val="22"/>
              </w:rPr>
            </w:pPr>
            <w:r>
              <w:rPr>
                <w:sz w:val="22"/>
              </w:rPr>
              <w:t>1998</w:t>
            </w:r>
          </w:p>
        </w:tc>
        <w:tc>
          <w:tcPr>
            <w:tcW w:w="971" w:type="dxa"/>
          </w:tcPr>
          <w:p w:rsidR="00000000" w:rsidRDefault="00000000">
            <w:pPr>
              <w:pStyle w:val="FootnoteText"/>
              <w:spacing w:line="288" w:lineRule="auto"/>
              <w:jc w:val="center"/>
              <w:rPr>
                <w:sz w:val="22"/>
              </w:rPr>
            </w:pPr>
            <w:r>
              <w:rPr>
                <w:sz w:val="22"/>
              </w:rPr>
              <w:t>95</w:t>
            </w:r>
          </w:p>
          <w:p w:rsidR="00000000" w:rsidRDefault="00000000">
            <w:pPr>
              <w:pStyle w:val="FootnoteText"/>
              <w:spacing w:line="288" w:lineRule="auto"/>
              <w:jc w:val="center"/>
              <w:rPr>
                <w:sz w:val="22"/>
              </w:rPr>
            </w:pPr>
            <w:r>
              <w:rPr>
                <w:sz w:val="22"/>
              </w:rPr>
              <w:t>133</w:t>
            </w:r>
          </w:p>
        </w:tc>
        <w:tc>
          <w:tcPr>
            <w:tcW w:w="1376" w:type="dxa"/>
          </w:tcPr>
          <w:p w:rsidR="00000000" w:rsidRDefault="00000000">
            <w:pPr>
              <w:pStyle w:val="FootnoteText"/>
              <w:spacing w:line="288" w:lineRule="auto"/>
              <w:jc w:val="center"/>
              <w:rPr>
                <w:sz w:val="22"/>
              </w:rPr>
            </w:pPr>
            <w:r>
              <w:rPr>
                <w:sz w:val="22"/>
              </w:rPr>
              <w:t>67</w:t>
            </w:r>
          </w:p>
          <w:p w:rsidR="00000000" w:rsidRDefault="00000000">
            <w:pPr>
              <w:pStyle w:val="FootnoteText"/>
              <w:spacing w:line="288" w:lineRule="auto"/>
              <w:jc w:val="center"/>
              <w:rPr>
                <w:sz w:val="22"/>
              </w:rPr>
            </w:pPr>
            <w:r>
              <w:rPr>
                <w:sz w:val="22"/>
              </w:rPr>
              <w:t>119</w:t>
            </w:r>
          </w:p>
        </w:tc>
        <w:tc>
          <w:tcPr>
            <w:tcW w:w="952" w:type="dxa"/>
          </w:tcPr>
          <w:p w:rsidR="00000000" w:rsidRDefault="00000000">
            <w:pPr>
              <w:pStyle w:val="FootnoteText"/>
              <w:spacing w:line="288" w:lineRule="auto"/>
              <w:jc w:val="center"/>
              <w:rPr>
                <w:sz w:val="22"/>
              </w:rPr>
            </w:pPr>
            <w:r>
              <w:rPr>
                <w:sz w:val="22"/>
              </w:rPr>
              <w:t>45</w:t>
            </w:r>
          </w:p>
          <w:p w:rsidR="00000000" w:rsidRDefault="00000000">
            <w:pPr>
              <w:pStyle w:val="FootnoteText"/>
              <w:spacing w:line="288" w:lineRule="auto"/>
              <w:jc w:val="center"/>
              <w:rPr>
                <w:sz w:val="22"/>
              </w:rPr>
            </w:pPr>
            <w:r>
              <w:rPr>
                <w:sz w:val="22"/>
              </w:rPr>
              <w:t>82</w:t>
            </w:r>
          </w:p>
        </w:tc>
        <w:tc>
          <w:tcPr>
            <w:tcW w:w="1376" w:type="dxa"/>
          </w:tcPr>
          <w:p w:rsidR="00000000" w:rsidRDefault="00000000">
            <w:pPr>
              <w:pStyle w:val="FootnoteText"/>
              <w:spacing w:line="288" w:lineRule="auto"/>
              <w:jc w:val="center"/>
              <w:rPr>
                <w:sz w:val="22"/>
              </w:rPr>
            </w:pPr>
            <w:r>
              <w:rPr>
                <w:sz w:val="22"/>
              </w:rPr>
              <w:t>44</w:t>
            </w:r>
          </w:p>
          <w:p w:rsidR="00000000" w:rsidRDefault="00000000">
            <w:pPr>
              <w:pStyle w:val="FootnoteText"/>
              <w:spacing w:line="288" w:lineRule="auto"/>
              <w:jc w:val="center"/>
              <w:rPr>
                <w:sz w:val="22"/>
              </w:rPr>
            </w:pPr>
            <w:r>
              <w:rPr>
                <w:sz w:val="22"/>
              </w:rPr>
              <w:t>78</w:t>
            </w:r>
          </w:p>
        </w:tc>
        <w:tc>
          <w:tcPr>
            <w:tcW w:w="921" w:type="dxa"/>
          </w:tcPr>
          <w:p w:rsidR="00000000" w:rsidRDefault="00000000">
            <w:pPr>
              <w:pStyle w:val="FootnoteText"/>
              <w:spacing w:line="288" w:lineRule="auto"/>
              <w:jc w:val="center"/>
              <w:rPr>
                <w:sz w:val="22"/>
              </w:rPr>
            </w:pPr>
            <w:r>
              <w:rPr>
                <w:sz w:val="22"/>
              </w:rPr>
              <w:t>22</w:t>
            </w:r>
          </w:p>
          <w:p w:rsidR="00000000" w:rsidRDefault="00000000">
            <w:pPr>
              <w:pStyle w:val="FootnoteText"/>
              <w:spacing w:line="288" w:lineRule="auto"/>
              <w:jc w:val="center"/>
              <w:rPr>
                <w:sz w:val="22"/>
              </w:rPr>
            </w:pPr>
            <w:r>
              <w:rPr>
                <w:sz w:val="22"/>
              </w:rPr>
              <w:t>38</w:t>
            </w:r>
          </w:p>
        </w:tc>
        <w:tc>
          <w:tcPr>
            <w:tcW w:w="1376" w:type="dxa"/>
          </w:tcPr>
          <w:p w:rsidR="00000000" w:rsidRDefault="00000000">
            <w:pPr>
              <w:pStyle w:val="FootnoteText"/>
              <w:spacing w:line="288" w:lineRule="auto"/>
              <w:jc w:val="center"/>
              <w:rPr>
                <w:sz w:val="22"/>
              </w:rPr>
            </w:pPr>
            <w:r>
              <w:rPr>
                <w:sz w:val="22"/>
              </w:rPr>
              <w:t>21</w:t>
            </w:r>
          </w:p>
          <w:p w:rsidR="00000000" w:rsidRDefault="00000000">
            <w:pPr>
              <w:pStyle w:val="FootnoteText"/>
              <w:spacing w:line="288" w:lineRule="auto"/>
              <w:jc w:val="center"/>
              <w:rPr>
                <w:sz w:val="22"/>
              </w:rPr>
            </w:pPr>
            <w:r>
              <w:rPr>
                <w:sz w:val="22"/>
              </w:rPr>
              <w:t>35</w:t>
            </w:r>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Управление жилищного строительства и градостроительства на основе данных, представленных Главным статистическим управлением.</w:t>
      </w:r>
    </w:p>
    <w:p w:rsidR="00000000" w:rsidRDefault="00000000">
      <w:pPr>
        <w:pStyle w:val="FootnoteText"/>
        <w:spacing w:line="288" w:lineRule="auto"/>
      </w:pPr>
    </w:p>
    <w:p w:rsidR="00000000" w:rsidRDefault="00000000">
      <w:pPr>
        <w:pStyle w:val="FootnoteText"/>
        <w:spacing w:line="288" w:lineRule="auto"/>
      </w:pPr>
      <w:r>
        <w:t>239.</w:t>
      </w:r>
      <w:r>
        <w:tab/>
        <w:t>Практика выселения была возобновлена в соответствии с Законом от 2 июля 1994 года об арендной плате и субсидиях на жилье (Законодательный вестник за 1998 год, № 120, текст 787), который вступил в силу 12 ноября 1994 года.  В силу этого у нас отсутствуют данные ГСУ о случаях выселения до 1996 года, когда они были крайне редки.  Случаев, когда кто-либо был лишен правовой защиты от выселения, не отмечалось.</w:t>
      </w:r>
    </w:p>
    <w:p w:rsidR="00000000" w:rsidRDefault="00000000">
      <w:pPr>
        <w:pStyle w:val="FootnoteText"/>
        <w:spacing w:line="288" w:lineRule="auto"/>
      </w:pPr>
    </w:p>
    <w:p w:rsidR="00000000" w:rsidRDefault="00000000">
      <w:pPr>
        <w:pStyle w:val="FootnoteText"/>
        <w:spacing w:line="288" w:lineRule="auto"/>
        <w:ind w:left="567" w:hanging="567"/>
      </w:pPr>
      <w:r>
        <w:rPr>
          <w:b/>
          <w:bCs/>
          <w:lang w:val="en-US"/>
        </w:rPr>
        <w:t>d</w:t>
      </w:r>
      <w:r>
        <w:rPr>
          <w:b/>
          <w:bCs/>
        </w:rPr>
        <w:t>)</w:t>
      </w:r>
      <w:r>
        <w:rPr>
          <w:b/>
          <w:bCs/>
        </w:rPr>
        <w:tab/>
        <w:t>Число лиц, расходы которых на оплату жилья превышают установленный правительством максимум</w:t>
      </w:r>
    </w:p>
    <w:p w:rsidR="00000000" w:rsidRDefault="00000000">
      <w:pPr>
        <w:pStyle w:val="FootnoteText"/>
        <w:spacing w:line="288" w:lineRule="auto"/>
      </w:pPr>
    </w:p>
    <w:p w:rsidR="00000000" w:rsidRDefault="00000000">
      <w:pPr>
        <w:pStyle w:val="FootnoteText"/>
        <w:spacing w:line="288" w:lineRule="auto"/>
      </w:pPr>
      <w:r>
        <w:t>240.</w:t>
      </w:r>
      <w:r>
        <w:tab/>
        <w:t>О положении в этой области косвенно свидетельствуют следующие статистические данные о жилищных субсидиях, предоставленных в 1998 году.  Точных данных для ответа на данный вопрос не имеется.</w:t>
      </w:r>
    </w:p>
    <w:p w:rsidR="00000000" w:rsidRDefault="00000000">
      <w:pPr>
        <w:pStyle w:val="FootnoteText"/>
        <w:spacing w:line="288" w:lineRule="auto"/>
      </w:pPr>
    </w:p>
    <w:p w:rsidR="00000000" w:rsidRDefault="00000000">
      <w:pPr>
        <w:pStyle w:val="FootnoteText"/>
        <w:spacing w:line="288" w:lineRule="auto"/>
        <w:jc w:val="center"/>
      </w:pPr>
      <w:r>
        <w:rPr>
          <w:u w:val="single"/>
        </w:rPr>
        <w:t>Таблица 32</w:t>
      </w:r>
      <w:r>
        <w:t>.</w:t>
      </w:r>
      <w:r>
        <w:tab/>
      </w:r>
      <w:r>
        <w:rPr>
          <w:u w:val="single"/>
        </w:rPr>
        <w:t>Жилищные субсидии в 1998 году</w:t>
      </w:r>
    </w:p>
    <w:p w:rsidR="00000000" w:rsidRDefault="00000000">
      <w:pPr>
        <w:pStyle w:val="FootnoteText"/>
        <w:spacing w:line="288"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178"/>
        <w:gridCol w:w="935"/>
        <w:gridCol w:w="935"/>
        <w:gridCol w:w="935"/>
        <w:gridCol w:w="935"/>
        <w:gridCol w:w="935"/>
        <w:gridCol w:w="935"/>
        <w:gridCol w:w="872"/>
        <w:gridCol w:w="998"/>
        <w:gridCol w:w="809"/>
      </w:tblGrid>
      <w:tr w:rsidR="00000000">
        <w:tblPrEx>
          <w:tblCellMar>
            <w:top w:w="0" w:type="dxa"/>
            <w:bottom w:w="0" w:type="dxa"/>
          </w:tblCellMar>
        </w:tblPrEx>
        <w:trPr>
          <w:cantSplit/>
        </w:trPr>
        <w:tc>
          <w:tcPr>
            <w:tcW w:w="1178" w:type="dxa"/>
            <w:vMerge w:val="restart"/>
          </w:tcPr>
          <w:p w:rsidR="00000000" w:rsidRDefault="00000000">
            <w:pPr>
              <w:pStyle w:val="FootnoteText"/>
              <w:rPr>
                <w:sz w:val="18"/>
              </w:rPr>
            </w:pPr>
          </w:p>
        </w:tc>
        <w:tc>
          <w:tcPr>
            <w:tcW w:w="935" w:type="dxa"/>
            <w:vMerge w:val="restart"/>
            <w:vAlign w:val="center"/>
          </w:tcPr>
          <w:p w:rsidR="00000000" w:rsidRDefault="00000000">
            <w:pPr>
              <w:pStyle w:val="FootnoteText"/>
              <w:jc w:val="center"/>
              <w:rPr>
                <w:sz w:val="18"/>
              </w:rPr>
            </w:pPr>
            <w:r>
              <w:rPr>
                <w:sz w:val="18"/>
              </w:rPr>
              <w:t>Всего</w:t>
            </w:r>
          </w:p>
        </w:tc>
        <w:tc>
          <w:tcPr>
            <w:tcW w:w="7354" w:type="dxa"/>
            <w:gridSpan w:val="8"/>
            <w:vAlign w:val="center"/>
          </w:tcPr>
          <w:p w:rsidR="00000000" w:rsidRDefault="00000000">
            <w:pPr>
              <w:pStyle w:val="FootnoteText"/>
              <w:jc w:val="center"/>
              <w:rPr>
                <w:sz w:val="18"/>
              </w:rPr>
            </w:pPr>
            <w:r>
              <w:rPr>
                <w:sz w:val="18"/>
              </w:rPr>
              <w:t>Субсидии, выплаченные арендаторам в 1998 году</w:t>
            </w:r>
          </w:p>
        </w:tc>
      </w:tr>
      <w:tr w:rsidR="00000000">
        <w:tblPrEx>
          <w:tblCellMar>
            <w:top w:w="0" w:type="dxa"/>
            <w:bottom w:w="0" w:type="dxa"/>
          </w:tblCellMar>
        </w:tblPrEx>
        <w:trPr>
          <w:cantSplit/>
        </w:trPr>
        <w:tc>
          <w:tcPr>
            <w:tcW w:w="1178" w:type="dxa"/>
            <w:vMerge/>
          </w:tcPr>
          <w:p w:rsidR="00000000" w:rsidRDefault="00000000">
            <w:pPr>
              <w:pStyle w:val="FootnoteText"/>
              <w:rPr>
                <w:sz w:val="18"/>
              </w:rPr>
            </w:pPr>
          </w:p>
        </w:tc>
        <w:tc>
          <w:tcPr>
            <w:tcW w:w="935" w:type="dxa"/>
            <w:vMerge/>
          </w:tcPr>
          <w:p w:rsidR="00000000" w:rsidRDefault="00000000">
            <w:pPr>
              <w:pStyle w:val="FootnoteText"/>
              <w:jc w:val="center"/>
              <w:rPr>
                <w:sz w:val="18"/>
              </w:rPr>
            </w:pPr>
          </w:p>
        </w:tc>
        <w:tc>
          <w:tcPr>
            <w:tcW w:w="935" w:type="dxa"/>
          </w:tcPr>
          <w:p w:rsidR="00000000" w:rsidRDefault="00000000">
            <w:pPr>
              <w:pStyle w:val="FootnoteText"/>
              <w:jc w:val="center"/>
              <w:rPr>
                <w:sz w:val="18"/>
              </w:rPr>
            </w:pPr>
            <w:r>
              <w:rPr>
                <w:sz w:val="18"/>
              </w:rPr>
              <w:t>Муници-пальный жилой фонд</w:t>
            </w:r>
          </w:p>
        </w:tc>
        <w:tc>
          <w:tcPr>
            <w:tcW w:w="935" w:type="dxa"/>
          </w:tcPr>
          <w:p w:rsidR="00000000" w:rsidRDefault="00000000">
            <w:pPr>
              <w:pStyle w:val="FootnoteText"/>
              <w:jc w:val="center"/>
              <w:rPr>
                <w:sz w:val="18"/>
              </w:rPr>
            </w:pPr>
            <w:r>
              <w:rPr>
                <w:sz w:val="18"/>
              </w:rPr>
              <w:t>Коопера-тивы</w:t>
            </w:r>
          </w:p>
        </w:tc>
        <w:tc>
          <w:tcPr>
            <w:tcW w:w="935" w:type="dxa"/>
          </w:tcPr>
          <w:p w:rsidR="00000000" w:rsidRDefault="00000000">
            <w:pPr>
              <w:pStyle w:val="FootnoteText"/>
              <w:jc w:val="center"/>
              <w:rPr>
                <w:sz w:val="18"/>
              </w:rPr>
            </w:pPr>
            <w:r>
              <w:rPr>
                <w:sz w:val="18"/>
              </w:rPr>
              <w:t>Жилой фонд компаний</w:t>
            </w:r>
          </w:p>
        </w:tc>
        <w:tc>
          <w:tcPr>
            <w:tcW w:w="935" w:type="dxa"/>
          </w:tcPr>
          <w:p w:rsidR="00000000" w:rsidRDefault="00000000">
            <w:pPr>
              <w:pStyle w:val="FootnoteText"/>
              <w:jc w:val="center"/>
              <w:rPr>
                <w:sz w:val="18"/>
              </w:rPr>
            </w:pPr>
            <w:r>
              <w:rPr>
                <w:sz w:val="18"/>
              </w:rPr>
              <w:t>Прочее</w:t>
            </w:r>
          </w:p>
          <w:p w:rsidR="00000000" w:rsidRDefault="00000000">
            <w:pPr>
              <w:pStyle w:val="FootnoteText"/>
              <w:jc w:val="center"/>
              <w:rPr>
                <w:sz w:val="18"/>
              </w:rPr>
            </w:pPr>
            <w:r>
              <w:rPr>
                <w:sz w:val="18"/>
              </w:rPr>
              <w:t>жилье</w:t>
            </w:r>
          </w:p>
        </w:tc>
        <w:tc>
          <w:tcPr>
            <w:tcW w:w="935" w:type="dxa"/>
          </w:tcPr>
          <w:p w:rsidR="00000000" w:rsidRDefault="00000000">
            <w:pPr>
              <w:pStyle w:val="FootnoteText"/>
              <w:jc w:val="center"/>
              <w:rPr>
                <w:sz w:val="18"/>
              </w:rPr>
            </w:pPr>
            <w:r>
              <w:rPr>
                <w:sz w:val="18"/>
              </w:rPr>
              <w:t>Муници-пальный жилой фонд</w:t>
            </w:r>
          </w:p>
        </w:tc>
        <w:tc>
          <w:tcPr>
            <w:tcW w:w="872" w:type="dxa"/>
          </w:tcPr>
          <w:p w:rsidR="00000000" w:rsidRDefault="00000000">
            <w:pPr>
              <w:pStyle w:val="FootnoteText"/>
              <w:jc w:val="center"/>
              <w:rPr>
                <w:sz w:val="18"/>
              </w:rPr>
            </w:pPr>
            <w:r>
              <w:rPr>
                <w:sz w:val="18"/>
              </w:rPr>
              <w:t>Коопера</w:t>
            </w:r>
            <w:r>
              <w:rPr>
                <w:sz w:val="18"/>
                <w:lang w:val="en-US"/>
              </w:rPr>
              <w:t>-</w:t>
            </w:r>
            <w:r>
              <w:rPr>
                <w:sz w:val="18"/>
              </w:rPr>
              <w:t>тивы</w:t>
            </w:r>
          </w:p>
        </w:tc>
        <w:tc>
          <w:tcPr>
            <w:tcW w:w="998" w:type="dxa"/>
          </w:tcPr>
          <w:p w:rsidR="00000000" w:rsidRDefault="00000000">
            <w:pPr>
              <w:pStyle w:val="FootnoteText"/>
              <w:jc w:val="center"/>
              <w:rPr>
                <w:sz w:val="18"/>
              </w:rPr>
            </w:pPr>
            <w:r>
              <w:rPr>
                <w:sz w:val="18"/>
              </w:rPr>
              <w:t>Жилой фонд компаний</w:t>
            </w:r>
          </w:p>
        </w:tc>
        <w:tc>
          <w:tcPr>
            <w:tcW w:w="809" w:type="dxa"/>
          </w:tcPr>
          <w:p w:rsidR="00000000" w:rsidRDefault="00000000">
            <w:pPr>
              <w:pStyle w:val="FootnoteText"/>
              <w:jc w:val="center"/>
              <w:rPr>
                <w:sz w:val="18"/>
              </w:rPr>
            </w:pPr>
            <w:r>
              <w:rPr>
                <w:sz w:val="18"/>
              </w:rPr>
              <w:t>Прочее</w:t>
            </w:r>
          </w:p>
          <w:p w:rsidR="00000000" w:rsidRDefault="00000000">
            <w:pPr>
              <w:pStyle w:val="FootnoteText"/>
              <w:jc w:val="center"/>
              <w:rPr>
                <w:sz w:val="18"/>
              </w:rPr>
            </w:pPr>
            <w:r>
              <w:rPr>
                <w:sz w:val="18"/>
              </w:rPr>
              <w:t>жилье</w:t>
            </w:r>
          </w:p>
        </w:tc>
      </w:tr>
      <w:tr w:rsidR="00000000">
        <w:tblPrEx>
          <w:tblCellMar>
            <w:top w:w="0" w:type="dxa"/>
            <w:bottom w:w="0" w:type="dxa"/>
          </w:tblCellMar>
        </w:tblPrEx>
        <w:trPr>
          <w:cantSplit/>
        </w:trPr>
        <w:tc>
          <w:tcPr>
            <w:tcW w:w="1178" w:type="dxa"/>
          </w:tcPr>
          <w:p w:rsidR="00000000" w:rsidRDefault="00000000">
            <w:pPr>
              <w:pStyle w:val="FootnoteText"/>
              <w:spacing w:line="288" w:lineRule="auto"/>
              <w:rPr>
                <w:sz w:val="18"/>
              </w:rPr>
            </w:pPr>
          </w:p>
        </w:tc>
        <w:tc>
          <w:tcPr>
            <w:tcW w:w="4675" w:type="dxa"/>
            <w:gridSpan w:val="5"/>
          </w:tcPr>
          <w:p w:rsidR="00000000" w:rsidRDefault="00000000">
            <w:pPr>
              <w:pStyle w:val="FootnoteText"/>
              <w:spacing w:line="288" w:lineRule="auto"/>
              <w:jc w:val="center"/>
              <w:rPr>
                <w:sz w:val="18"/>
              </w:rPr>
            </w:pPr>
            <w:r>
              <w:rPr>
                <w:sz w:val="18"/>
              </w:rPr>
              <w:t>В абсолютном выражении</w:t>
            </w:r>
          </w:p>
        </w:tc>
        <w:tc>
          <w:tcPr>
            <w:tcW w:w="3614" w:type="dxa"/>
            <w:gridSpan w:val="4"/>
          </w:tcPr>
          <w:p w:rsidR="00000000" w:rsidRDefault="00000000">
            <w:pPr>
              <w:pStyle w:val="FootnoteText"/>
              <w:spacing w:line="288" w:lineRule="auto"/>
              <w:jc w:val="center"/>
              <w:rPr>
                <w:sz w:val="18"/>
              </w:rPr>
            </w:pPr>
            <w:r>
              <w:rPr>
                <w:sz w:val="18"/>
              </w:rPr>
              <w:t>В % от общего показателя</w:t>
            </w:r>
          </w:p>
        </w:tc>
      </w:tr>
      <w:tr w:rsidR="00000000">
        <w:tblPrEx>
          <w:tblCellMar>
            <w:top w:w="0" w:type="dxa"/>
            <w:bottom w:w="0" w:type="dxa"/>
          </w:tblCellMar>
        </w:tblPrEx>
        <w:tc>
          <w:tcPr>
            <w:tcW w:w="1178" w:type="dxa"/>
          </w:tcPr>
          <w:p w:rsidR="00000000" w:rsidRDefault="00000000">
            <w:pPr>
              <w:pStyle w:val="FootnoteText"/>
              <w:spacing w:line="288" w:lineRule="auto"/>
              <w:rPr>
                <w:sz w:val="18"/>
              </w:rPr>
            </w:pPr>
            <w:r>
              <w:rPr>
                <w:sz w:val="18"/>
              </w:rPr>
              <w:t>Число выплаченных субсидий</w:t>
            </w:r>
          </w:p>
        </w:tc>
        <w:tc>
          <w:tcPr>
            <w:tcW w:w="935" w:type="dxa"/>
            <w:vAlign w:val="center"/>
          </w:tcPr>
          <w:p w:rsidR="00000000" w:rsidRDefault="00000000">
            <w:pPr>
              <w:pStyle w:val="FootnoteText"/>
              <w:spacing w:line="288" w:lineRule="auto"/>
              <w:jc w:val="center"/>
              <w:rPr>
                <w:sz w:val="18"/>
              </w:rPr>
            </w:pPr>
            <w:r>
              <w:rPr>
                <w:sz w:val="18"/>
              </w:rPr>
              <w:t>8 640 553</w:t>
            </w:r>
          </w:p>
        </w:tc>
        <w:tc>
          <w:tcPr>
            <w:tcW w:w="935" w:type="dxa"/>
            <w:vAlign w:val="center"/>
          </w:tcPr>
          <w:p w:rsidR="00000000" w:rsidRDefault="00000000">
            <w:pPr>
              <w:pStyle w:val="FootnoteText"/>
              <w:spacing w:line="288" w:lineRule="auto"/>
              <w:jc w:val="center"/>
              <w:rPr>
                <w:sz w:val="18"/>
              </w:rPr>
            </w:pPr>
            <w:r>
              <w:rPr>
                <w:sz w:val="18"/>
              </w:rPr>
              <w:t>2 888 950</w:t>
            </w:r>
          </w:p>
        </w:tc>
        <w:tc>
          <w:tcPr>
            <w:tcW w:w="935" w:type="dxa"/>
            <w:vAlign w:val="center"/>
          </w:tcPr>
          <w:p w:rsidR="00000000" w:rsidRDefault="00000000">
            <w:pPr>
              <w:pStyle w:val="FootnoteText"/>
              <w:spacing w:line="288" w:lineRule="auto"/>
              <w:jc w:val="center"/>
              <w:rPr>
                <w:sz w:val="18"/>
              </w:rPr>
            </w:pPr>
            <w:r>
              <w:rPr>
                <w:sz w:val="18"/>
              </w:rPr>
              <w:t>4 020 223</w:t>
            </w:r>
          </w:p>
        </w:tc>
        <w:tc>
          <w:tcPr>
            <w:tcW w:w="935" w:type="dxa"/>
            <w:vAlign w:val="center"/>
          </w:tcPr>
          <w:p w:rsidR="00000000" w:rsidRDefault="00000000">
            <w:pPr>
              <w:pStyle w:val="FootnoteText"/>
              <w:spacing w:line="288" w:lineRule="auto"/>
              <w:jc w:val="center"/>
              <w:rPr>
                <w:sz w:val="18"/>
              </w:rPr>
            </w:pPr>
            <w:r>
              <w:rPr>
                <w:sz w:val="18"/>
              </w:rPr>
              <w:t>901 814</w:t>
            </w:r>
          </w:p>
        </w:tc>
        <w:tc>
          <w:tcPr>
            <w:tcW w:w="935" w:type="dxa"/>
            <w:vAlign w:val="center"/>
          </w:tcPr>
          <w:p w:rsidR="00000000" w:rsidRDefault="00000000">
            <w:pPr>
              <w:pStyle w:val="FootnoteText"/>
              <w:spacing w:line="288" w:lineRule="auto"/>
              <w:jc w:val="center"/>
              <w:rPr>
                <w:sz w:val="18"/>
              </w:rPr>
            </w:pPr>
            <w:r>
              <w:rPr>
                <w:sz w:val="18"/>
              </w:rPr>
              <w:t>829 566</w:t>
            </w:r>
          </w:p>
        </w:tc>
        <w:tc>
          <w:tcPr>
            <w:tcW w:w="935" w:type="dxa"/>
            <w:vAlign w:val="center"/>
          </w:tcPr>
          <w:p w:rsidR="00000000" w:rsidRDefault="00000000">
            <w:pPr>
              <w:pStyle w:val="FootnoteText"/>
              <w:spacing w:line="288" w:lineRule="auto"/>
              <w:jc w:val="center"/>
              <w:rPr>
                <w:sz w:val="18"/>
              </w:rPr>
            </w:pPr>
            <w:r>
              <w:rPr>
                <w:sz w:val="18"/>
              </w:rPr>
              <w:t>33,4</w:t>
            </w:r>
          </w:p>
        </w:tc>
        <w:tc>
          <w:tcPr>
            <w:tcW w:w="872" w:type="dxa"/>
            <w:vAlign w:val="center"/>
          </w:tcPr>
          <w:p w:rsidR="00000000" w:rsidRDefault="00000000">
            <w:pPr>
              <w:pStyle w:val="FootnoteText"/>
              <w:spacing w:line="288" w:lineRule="auto"/>
              <w:jc w:val="center"/>
              <w:rPr>
                <w:sz w:val="18"/>
              </w:rPr>
            </w:pPr>
            <w:r>
              <w:rPr>
                <w:sz w:val="18"/>
              </w:rPr>
              <w:t>46,5</w:t>
            </w:r>
          </w:p>
        </w:tc>
        <w:tc>
          <w:tcPr>
            <w:tcW w:w="998" w:type="dxa"/>
            <w:vAlign w:val="center"/>
          </w:tcPr>
          <w:p w:rsidR="00000000" w:rsidRDefault="00000000">
            <w:pPr>
              <w:pStyle w:val="FootnoteText"/>
              <w:spacing w:line="288" w:lineRule="auto"/>
              <w:jc w:val="center"/>
              <w:rPr>
                <w:sz w:val="18"/>
              </w:rPr>
            </w:pPr>
            <w:r>
              <w:rPr>
                <w:sz w:val="18"/>
              </w:rPr>
              <w:t>10,4</w:t>
            </w:r>
          </w:p>
        </w:tc>
        <w:tc>
          <w:tcPr>
            <w:tcW w:w="809" w:type="dxa"/>
            <w:vAlign w:val="center"/>
          </w:tcPr>
          <w:p w:rsidR="00000000" w:rsidRDefault="00000000">
            <w:pPr>
              <w:pStyle w:val="FootnoteText"/>
              <w:spacing w:line="288" w:lineRule="auto"/>
              <w:jc w:val="center"/>
              <w:rPr>
                <w:sz w:val="18"/>
              </w:rPr>
            </w:pPr>
            <w:r>
              <w:rPr>
                <w:sz w:val="18"/>
              </w:rPr>
              <w:t>9,6</w:t>
            </w:r>
          </w:p>
        </w:tc>
      </w:tr>
      <w:tr w:rsidR="00000000">
        <w:tblPrEx>
          <w:tblCellMar>
            <w:top w:w="0" w:type="dxa"/>
            <w:bottom w:w="0" w:type="dxa"/>
          </w:tblCellMar>
        </w:tblPrEx>
        <w:tc>
          <w:tcPr>
            <w:tcW w:w="1178" w:type="dxa"/>
          </w:tcPr>
          <w:p w:rsidR="00000000" w:rsidRDefault="00000000">
            <w:pPr>
              <w:pStyle w:val="FootnoteText"/>
              <w:keepNext/>
              <w:widowControl w:val="0"/>
              <w:spacing w:line="288" w:lineRule="auto"/>
              <w:rPr>
                <w:sz w:val="18"/>
              </w:rPr>
            </w:pPr>
            <w:r>
              <w:rPr>
                <w:sz w:val="18"/>
              </w:rPr>
              <w:t>Сумма выплаченных субсидий в тысячах злотых</w:t>
            </w:r>
          </w:p>
        </w:tc>
        <w:tc>
          <w:tcPr>
            <w:tcW w:w="935" w:type="dxa"/>
            <w:vAlign w:val="center"/>
          </w:tcPr>
          <w:p w:rsidR="00000000" w:rsidRDefault="00000000">
            <w:pPr>
              <w:pStyle w:val="FootnoteText"/>
              <w:keepNext/>
              <w:widowControl w:val="0"/>
              <w:spacing w:line="288" w:lineRule="auto"/>
              <w:jc w:val="center"/>
              <w:rPr>
                <w:sz w:val="18"/>
                <w:lang w:val="en-US"/>
              </w:rPr>
            </w:pPr>
            <w:r>
              <w:rPr>
                <w:sz w:val="18"/>
                <w:lang w:val="en-US"/>
              </w:rPr>
              <w:t>916 739,4</w:t>
            </w:r>
          </w:p>
        </w:tc>
        <w:tc>
          <w:tcPr>
            <w:tcW w:w="935" w:type="dxa"/>
            <w:vAlign w:val="center"/>
          </w:tcPr>
          <w:p w:rsidR="00000000" w:rsidRDefault="00000000">
            <w:pPr>
              <w:pStyle w:val="FootnoteText"/>
              <w:keepNext/>
              <w:widowControl w:val="0"/>
              <w:spacing w:line="288" w:lineRule="auto"/>
              <w:jc w:val="center"/>
              <w:rPr>
                <w:sz w:val="18"/>
                <w:lang w:val="en-US"/>
              </w:rPr>
            </w:pPr>
            <w:r>
              <w:rPr>
                <w:sz w:val="18"/>
                <w:lang w:val="en-US"/>
              </w:rPr>
              <w:t>288 492,8</w:t>
            </w:r>
          </w:p>
        </w:tc>
        <w:tc>
          <w:tcPr>
            <w:tcW w:w="935" w:type="dxa"/>
            <w:vAlign w:val="center"/>
          </w:tcPr>
          <w:p w:rsidR="00000000" w:rsidRDefault="00000000">
            <w:pPr>
              <w:pStyle w:val="FootnoteText"/>
              <w:keepNext/>
              <w:widowControl w:val="0"/>
              <w:spacing w:line="288" w:lineRule="auto"/>
              <w:jc w:val="center"/>
              <w:rPr>
                <w:sz w:val="18"/>
                <w:lang w:val="en-US"/>
              </w:rPr>
            </w:pPr>
            <w:r>
              <w:rPr>
                <w:sz w:val="18"/>
                <w:lang w:val="en-US"/>
              </w:rPr>
              <w:t>446 521,7</w:t>
            </w:r>
          </w:p>
        </w:tc>
        <w:tc>
          <w:tcPr>
            <w:tcW w:w="935" w:type="dxa"/>
            <w:vAlign w:val="center"/>
          </w:tcPr>
          <w:p w:rsidR="00000000" w:rsidRDefault="00000000">
            <w:pPr>
              <w:pStyle w:val="FootnoteText"/>
              <w:keepNext/>
              <w:widowControl w:val="0"/>
              <w:spacing w:line="288" w:lineRule="auto"/>
              <w:jc w:val="center"/>
              <w:rPr>
                <w:sz w:val="18"/>
                <w:lang w:val="en-US"/>
              </w:rPr>
            </w:pPr>
            <w:r>
              <w:rPr>
                <w:sz w:val="18"/>
                <w:lang w:val="en-US"/>
              </w:rPr>
              <w:t>105 689,5</w:t>
            </w:r>
          </w:p>
        </w:tc>
        <w:tc>
          <w:tcPr>
            <w:tcW w:w="935" w:type="dxa"/>
            <w:vAlign w:val="center"/>
          </w:tcPr>
          <w:p w:rsidR="00000000" w:rsidRDefault="00000000">
            <w:pPr>
              <w:pStyle w:val="FootnoteText"/>
              <w:keepNext/>
              <w:widowControl w:val="0"/>
              <w:spacing w:line="288" w:lineRule="auto"/>
              <w:jc w:val="center"/>
              <w:rPr>
                <w:sz w:val="18"/>
                <w:lang w:val="en-US"/>
              </w:rPr>
            </w:pPr>
            <w:r>
              <w:rPr>
                <w:sz w:val="18"/>
                <w:lang w:val="en-US"/>
              </w:rPr>
              <w:t>76 035,4</w:t>
            </w:r>
          </w:p>
        </w:tc>
        <w:tc>
          <w:tcPr>
            <w:tcW w:w="935" w:type="dxa"/>
            <w:vAlign w:val="center"/>
          </w:tcPr>
          <w:p w:rsidR="00000000" w:rsidRDefault="00000000">
            <w:pPr>
              <w:pStyle w:val="FootnoteText"/>
              <w:keepNext/>
              <w:widowControl w:val="0"/>
              <w:spacing w:line="288" w:lineRule="auto"/>
              <w:jc w:val="center"/>
              <w:rPr>
                <w:sz w:val="18"/>
                <w:lang w:val="en-US"/>
              </w:rPr>
            </w:pPr>
            <w:r>
              <w:rPr>
                <w:sz w:val="18"/>
                <w:lang w:val="en-US"/>
              </w:rPr>
              <w:t>31,5</w:t>
            </w:r>
          </w:p>
        </w:tc>
        <w:tc>
          <w:tcPr>
            <w:tcW w:w="872" w:type="dxa"/>
            <w:vAlign w:val="center"/>
          </w:tcPr>
          <w:p w:rsidR="00000000" w:rsidRDefault="00000000">
            <w:pPr>
              <w:pStyle w:val="FootnoteText"/>
              <w:spacing w:line="288" w:lineRule="auto"/>
              <w:jc w:val="center"/>
              <w:rPr>
                <w:sz w:val="18"/>
                <w:lang w:val="en-US"/>
              </w:rPr>
            </w:pPr>
            <w:r>
              <w:rPr>
                <w:sz w:val="18"/>
                <w:lang w:val="en-US"/>
              </w:rPr>
              <w:t>48,7</w:t>
            </w:r>
          </w:p>
        </w:tc>
        <w:tc>
          <w:tcPr>
            <w:tcW w:w="998" w:type="dxa"/>
            <w:vAlign w:val="center"/>
          </w:tcPr>
          <w:p w:rsidR="00000000" w:rsidRDefault="00000000">
            <w:pPr>
              <w:pStyle w:val="FootnoteText"/>
              <w:spacing w:line="288" w:lineRule="auto"/>
              <w:jc w:val="center"/>
              <w:rPr>
                <w:sz w:val="18"/>
                <w:lang w:val="en-US"/>
              </w:rPr>
            </w:pPr>
            <w:r>
              <w:rPr>
                <w:sz w:val="18"/>
                <w:lang w:val="en-US"/>
              </w:rPr>
              <w:t>11,5</w:t>
            </w:r>
          </w:p>
        </w:tc>
        <w:tc>
          <w:tcPr>
            <w:tcW w:w="809" w:type="dxa"/>
            <w:vAlign w:val="center"/>
          </w:tcPr>
          <w:p w:rsidR="00000000" w:rsidRDefault="00000000">
            <w:pPr>
              <w:pStyle w:val="FootnoteText"/>
              <w:spacing w:line="288" w:lineRule="auto"/>
              <w:jc w:val="center"/>
              <w:rPr>
                <w:sz w:val="18"/>
                <w:lang w:val="en-US"/>
              </w:rPr>
            </w:pPr>
            <w:r>
              <w:rPr>
                <w:sz w:val="18"/>
                <w:lang w:val="en-US"/>
              </w:rPr>
              <w:t>8,3</w:t>
            </w:r>
          </w:p>
        </w:tc>
      </w:tr>
      <w:tr w:rsidR="00000000">
        <w:tblPrEx>
          <w:tblCellMar>
            <w:top w:w="0" w:type="dxa"/>
            <w:bottom w:w="0" w:type="dxa"/>
          </w:tblCellMar>
        </w:tblPrEx>
        <w:tc>
          <w:tcPr>
            <w:tcW w:w="1178" w:type="dxa"/>
          </w:tcPr>
          <w:p w:rsidR="00000000" w:rsidRDefault="00000000">
            <w:pPr>
              <w:pStyle w:val="FootnoteText"/>
              <w:spacing w:line="288" w:lineRule="auto"/>
              <w:rPr>
                <w:sz w:val="18"/>
              </w:rPr>
            </w:pPr>
            <w:r>
              <w:rPr>
                <w:sz w:val="18"/>
              </w:rPr>
              <w:t>Средняя сумма субсидий в злотых</w:t>
            </w:r>
          </w:p>
        </w:tc>
        <w:tc>
          <w:tcPr>
            <w:tcW w:w="935" w:type="dxa"/>
            <w:vAlign w:val="center"/>
          </w:tcPr>
          <w:p w:rsidR="00000000" w:rsidRDefault="00000000">
            <w:pPr>
              <w:pStyle w:val="FootnoteText"/>
              <w:spacing w:line="288" w:lineRule="auto"/>
              <w:jc w:val="center"/>
              <w:rPr>
                <w:sz w:val="18"/>
              </w:rPr>
            </w:pPr>
            <w:r>
              <w:rPr>
                <w:sz w:val="18"/>
              </w:rPr>
              <w:t>106,1</w:t>
            </w:r>
          </w:p>
        </w:tc>
        <w:tc>
          <w:tcPr>
            <w:tcW w:w="935" w:type="dxa"/>
            <w:vAlign w:val="center"/>
          </w:tcPr>
          <w:p w:rsidR="00000000" w:rsidRDefault="00000000">
            <w:pPr>
              <w:pStyle w:val="FootnoteText"/>
              <w:spacing w:line="288" w:lineRule="auto"/>
              <w:jc w:val="center"/>
              <w:rPr>
                <w:sz w:val="18"/>
              </w:rPr>
            </w:pPr>
            <w:r>
              <w:rPr>
                <w:sz w:val="18"/>
              </w:rPr>
              <w:t>99,9</w:t>
            </w:r>
          </w:p>
        </w:tc>
        <w:tc>
          <w:tcPr>
            <w:tcW w:w="935" w:type="dxa"/>
            <w:vAlign w:val="center"/>
          </w:tcPr>
          <w:p w:rsidR="00000000" w:rsidRDefault="00000000">
            <w:pPr>
              <w:pStyle w:val="FootnoteText"/>
              <w:spacing w:line="288" w:lineRule="auto"/>
              <w:jc w:val="center"/>
              <w:rPr>
                <w:sz w:val="18"/>
              </w:rPr>
            </w:pPr>
            <w:r>
              <w:rPr>
                <w:sz w:val="18"/>
              </w:rPr>
              <w:t>111,1</w:t>
            </w:r>
          </w:p>
        </w:tc>
        <w:tc>
          <w:tcPr>
            <w:tcW w:w="935" w:type="dxa"/>
            <w:vAlign w:val="center"/>
          </w:tcPr>
          <w:p w:rsidR="00000000" w:rsidRDefault="00000000">
            <w:pPr>
              <w:pStyle w:val="FootnoteText"/>
              <w:spacing w:line="288" w:lineRule="auto"/>
              <w:jc w:val="center"/>
              <w:rPr>
                <w:sz w:val="18"/>
              </w:rPr>
            </w:pPr>
            <w:r>
              <w:rPr>
                <w:sz w:val="18"/>
              </w:rPr>
              <w:t>117,2</w:t>
            </w:r>
          </w:p>
        </w:tc>
        <w:tc>
          <w:tcPr>
            <w:tcW w:w="935" w:type="dxa"/>
            <w:vAlign w:val="center"/>
          </w:tcPr>
          <w:p w:rsidR="00000000" w:rsidRDefault="00000000">
            <w:pPr>
              <w:pStyle w:val="FootnoteText"/>
              <w:spacing w:line="288" w:lineRule="auto"/>
              <w:jc w:val="center"/>
              <w:rPr>
                <w:sz w:val="18"/>
              </w:rPr>
            </w:pPr>
            <w:r>
              <w:rPr>
                <w:sz w:val="18"/>
              </w:rPr>
              <w:t>91,7</w:t>
            </w:r>
          </w:p>
        </w:tc>
        <w:tc>
          <w:tcPr>
            <w:tcW w:w="935" w:type="dxa"/>
            <w:vAlign w:val="center"/>
          </w:tcPr>
          <w:p w:rsidR="00000000" w:rsidRDefault="00000000">
            <w:pPr>
              <w:pStyle w:val="FootnoteText"/>
              <w:spacing w:line="288" w:lineRule="auto"/>
              <w:jc w:val="center"/>
              <w:rPr>
                <w:sz w:val="18"/>
              </w:rPr>
            </w:pPr>
            <w:r>
              <w:rPr>
                <w:sz w:val="18"/>
                <w:lang w:val="en-US"/>
              </w:rPr>
              <w:t>x</w:t>
            </w:r>
          </w:p>
        </w:tc>
        <w:tc>
          <w:tcPr>
            <w:tcW w:w="872" w:type="dxa"/>
            <w:vAlign w:val="center"/>
          </w:tcPr>
          <w:p w:rsidR="00000000" w:rsidRDefault="00000000">
            <w:pPr>
              <w:pStyle w:val="FootnoteText"/>
              <w:spacing w:line="288" w:lineRule="auto"/>
              <w:jc w:val="center"/>
              <w:rPr>
                <w:sz w:val="18"/>
              </w:rPr>
            </w:pPr>
            <w:r>
              <w:rPr>
                <w:sz w:val="18"/>
                <w:lang w:val="en-US"/>
              </w:rPr>
              <w:t>x</w:t>
            </w:r>
          </w:p>
        </w:tc>
        <w:tc>
          <w:tcPr>
            <w:tcW w:w="998" w:type="dxa"/>
            <w:vAlign w:val="center"/>
          </w:tcPr>
          <w:p w:rsidR="00000000" w:rsidRDefault="00000000">
            <w:pPr>
              <w:pStyle w:val="FootnoteText"/>
              <w:spacing w:line="288" w:lineRule="auto"/>
              <w:jc w:val="center"/>
              <w:rPr>
                <w:sz w:val="18"/>
              </w:rPr>
            </w:pPr>
            <w:r>
              <w:rPr>
                <w:sz w:val="18"/>
                <w:lang w:val="en-US"/>
              </w:rPr>
              <w:t>x</w:t>
            </w:r>
          </w:p>
        </w:tc>
        <w:tc>
          <w:tcPr>
            <w:tcW w:w="809" w:type="dxa"/>
            <w:vAlign w:val="center"/>
          </w:tcPr>
          <w:p w:rsidR="00000000" w:rsidRDefault="00000000">
            <w:pPr>
              <w:pStyle w:val="FootnoteText"/>
              <w:spacing w:line="288" w:lineRule="auto"/>
              <w:jc w:val="center"/>
              <w:rPr>
                <w:sz w:val="18"/>
              </w:rPr>
            </w:pPr>
            <w:r>
              <w:rPr>
                <w:sz w:val="18"/>
                <w:lang w:val="en-US"/>
              </w:rPr>
              <w:t>x</w:t>
            </w:r>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Управление жилищного строительства и градостроительства на основе данных, представленных Центральным статистическим управлением.</w:t>
      </w:r>
    </w:p>
    <w:p w:rsidR="00000000" w:rsidRDefault="00000000">
      <w:pPr>
        <w:pStyle w:val="FootnoteText"/>
        <w:spacing w:line="288" w:lineRule="auto"/>
      </w:pPr>
    </w:p>
    <w:p w:rsidR="00000000" w:rsidRDefault="00000000">
      <w:pPr>
        <w:pStyle w:val="FootnoteText"/>
        <w:spacing w:line="288" w:lineRule="auto"/>
      </w:pPr>
      <w:r>
        <w:rPr>
          <w:b/>
          <w:bCs/>
        </w:rPr>
        <w:t>е)</w:t>
      </w:r>
      <w:r>
        <w:rPr>
          <w:b/>
          <w:bCs/>
        </w:rPr>
        <w:tab/>
        <w:t>Лица, проживающие в жилых помещениях различных видов собственности</w:t>
      </w:r>
    </w:p>
    <w:p w:rsidR="00000000" w:rsidRDefault="00000000">
      <w:pPr>
        <w:pStyle w:val="FootnoteText"/>
        <w:spacing w:line="288" w:lineRule="auto"/>
      </w:pPr>
    </w:p>
    <w:p w:rsidR="00000000" w:rsidRDefault="00000000">
      <w:pPr>
        <w:pStyle w:val="FootnoteText"/>
        <w:spacing w:line="288" w:lineRule="auto"/>
      </w:pPr>
      <w:r>
        <w:t>241.</w:t>
      </w:r>
      <w:r>
        <w:tab/>
        <w:t>Ниже приводятся данные о числе домохозяйств с разбивкой по категориям жильцов.  См. также таблицу 28 выше.</w:t>
      </w:r>
    </w:p>
    <w:p w:rsidR="00000000" w:rsidRDefault="00000000">
      <w:pPr>
        <w:pStyle w:val="FootnoteText"/>
        <w:spacing w:line="288" w:lineRule="auto"/>
      </w:pPr>
    </w:p>
    <w:p w:rsidR="00000000" w:rsidRDefault="00000000">
      <w:pPr>
        <w:pStyle w:val="FootnoteText"/>
        <w:spacing w:line="288" w:lineRule="auto"/>
        <w:jc w:val="center"/>
        <w:rPr>
          <w:u w:val="single"/>
        </w:rPr>
      </w:pPr>
      <w:r>
        <w:rPr>
          <w:u w:val="single"/>
        </w:rPr>
        <w:t>Таблица 33</w:t>
      </w:r>
      <w:r>
        <w:t>.</w:t>
      </w:r>
      <w:r>
        <w:tab/>
      </w:r>
      <w:r>
        <w:rPr>
          <w:u w:val="single"/>
        </w:rPr>
        <w:t>Домашние хозяйства по категориям жильцов в 1995 году</w:t>
      </w:r>
    </w:p>
    <w:p w:rsidR="00000000" w:rsidRDefault="00000000">
      <w:pPr>
        <w:pStyle w:val="FootnoteText"/>
        <w:spacing w:line="288"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6"/>
        <w:gridCol w:w="1122"/>
        <w:gridCol w:w="2244"/>
        <w:gridCol w:w="1496"/>
        <w:gridCol w:w="1422"/>
      </w:tblGrid>
      <w:tr w:rsidR="00000000">
        <w:tblPrEx>
          <w:tblCellMar>
            <w:top w:w="0" w:type="dxa"/>
            <w:bottom w:w="0" w:type="dxa"/>
          </w:tblCellMar>
        </w:tblPrEx>
        <w:trPr>
          <w:cantSplit/>
        </w:trPr>
        <w:tc>
          <w:tcPr>
            <w:tcW w:w="3287" w:type="dxa"/>
            <w:vMerge w:val="restart"/>
            <w:vAlign w:val="center"/>
          </w:tcPr>
          <w:p w:rsidR="00000000" w:rsidRDefault="00000000">
            <w:pPr>
              <w:pStyle w:val="FootnoteText"/>
              <w:jc w:val="center"/>
            </w:pPr>
            <w:r>
              <w:t>Показатель</w:t>
            </w:r>
          </w:p>
          <w:p w:rsidR="00000000" w:rsidRDefault="00000000">
            <w:pPr>
              <w:pStyle w:val="FootnoteText"/>
              <w:jc w:val="center"/>
            </w:pPr>
          </w:p>
        </w:tc>
        <w:tc>
          <w:tcPr>
            <w:tcW w:w="1122" w:type="dxa"/>
            <w:vMerge w:val="restart"/>
            <w:vAlign w:val="center"/>
          </w:tcPr>
          <w:p w:rsidR="00000000" w:rsidRDefault="00000000">
            <w:pPr>
              <w:pStyle w:val="FootnoteText"/>
              <w:jc w:val="center"/>
            </w:pPr>
            <w:r>
              <w:t>Всего</w:t>
            </w:r>
          </w:p>
        </w:tc>
        <w:tc>
          <w:tcPr>
            <w:tcW w:w="5162" w:type="dxa"/>
            <w:gridSpan w:val="3"/>
            <w:vAlign w:val="center"/>
          </w:tcPr>
          <w:p w:rsidR="00000000" w:rsidRDefault="00000000">
            <w:pPr>
              <w:pStyle w:val="FootnoteText"/>
              <w:jc w:val="center"/>
            </w:pPr>
            <w:r>
              <w:t>Характер домохозяйства</w:t>
            </w:r>
          </w:p>
        </w:tc>
      </w:tr>
      <w:tr w:rsidR="00000000">
        <w:tblPrEx>
          <w:tblCellMar>
            <w:top w:w="0" w:type="dxa"/>
            <w:bottom w:w="0" w:type="dxa"/>
          </w:tblCellMar>
        </w:tblPrEx>
        <w:trPr>
          <w:cantSplit/>
        </w:trPr>
        <w:tc>
          <w:tcPr>
            <w:tcW w:w="3287" w:type="dxa"/>
            <w:vMerge/>
          </w:tcPr>
          <w:p w:rsidR="00000000" w:rsidRDefault="00000000">
            <w:pPr>
              <w:pStyle w:val="FootnoteText"/>
              <w:jc w:val="center"/>
            </w:pPr>
          </w:p>
        </w:tc>
        <w:tc>
          <w:tcPr>
            <w:tcW w:w="1122" w:type="dxa"/>
            <w:vMerge/>
          </w:tcPr>
          <w:p w:rsidR="00000000" w:rsidRDefault="00000000">
            <w:pPr>
              <w:pStyle w:val="FootnoteText"/>
              <w:jc w:val="center"/>
            </w:pPr>
          </w:p>
        </w:tc>
        <w:tc>
          <w:tcPr>
            <w:tcW w:w="2244" w:type="dxa"/>
          </w:tcPr>
          <w:p w:rsidR="00000000" w:rsidRDefault="00000000">
            <w:pPr>
              <w:pStyle w:val="FootnoteText"/>
              <w:jc w:val="center"/>
            </w:pPr>
            <w:r>
              <w:t>Члены жилищных кооперативов</w:t>
            </w:r>
          </w:p>
        </w:tc>
        <w:tc>
          <w:tcPr>
            <w:tcW w:w="1496" w:type="dxa"/>
          </w:tcPr>
          <w:p w:rsidR="00000000" w:rsidRDefault="00000000">
            <w:pPr>
              <w:pStyle w:val="FootnoteText"/>
              <w:jc w:val="center"/>
            </w:pPr>
            <w:r>
              <w:t>Арендаторы</w:t>
            </w:r>
          </w:p>
        </w:tc>
        <w:tc>
          <w:tcPr>
            <w:tcW w:w="1422" w:type="dxa"/>
          </w:tcPr>
          <w:p w:rsidR="00000000" w:rsidRDefault="00000000">
            <w:pPr>
              <w:pStyle w:val="FootnoteText"/>
              <w:jc w:val="center"/>
            </w:pPr>
            <w:r>
              <w:t>Владельцы</w:t>
            </w:r>
          </w:p>
        </w:tc>
      </w:tr>
      <w:tr w:rsidR="00000000">
        <w:tblPrEx>
          <w:tblCellMar>
            <w:top w:w="0" w:type="dxa"/>
            <w:bottom w:w="0" w:type="dxa"/>
          </w:tblCellMar>
        </w:tblPrEx>
        <w:tc>
          <w:tcPr>
            <w:tcW w:w="3287" w:type="dxa"/>
          </w:tcPr>
          <w:p w:rsidR="00000000" w:rsidRDefault="00000000">
            <w:pPr>
              <w:pStyle w:val="FootnoteText"/>
              <w:spacing w:line="288" w:lineRule="auto"/>
            </w:pPr>
            <w:r>
              <w:t>Домохозяйства, тыс.</w:t>
            </w:r>
          </w:p>
        </w:tc>
        <w:tc>
          <w:tcPr>
            <w:tcW w:w="1122" w:type="dxa"/>
            <w:vAlign w:val="center"/>
          </w:tcPr>
          <w:p w:rsidR="00000000" w:rsidRDefault="00000000">
            <w:pPr>
              <w:pStyle w:val="FootnoteText"/>
              <w:spacing w:line="288" w:lineRule="auto"/>
              <w:jc w:val="center"/>
              <w:rPr>
                <w:lang w:val="en-US"/>
              </w:rPr>
            </w:pPr>
            <w:r>
              <w:rPr>
                <w:lang w:val="en-US"/>
              </w:rPr>
              <w:t>6 089,8</w:t>
            </w:r>
          </w:p>
        </w:tc>
        <w:tc>
          <w:tcPr>
            <w:tcW w:w="2244" w:type="dxa"/>
            <w:vAlign w:val="center"/>
          </w:tcPr>
          <w:p w:rsidR="00000000" w:rsidRDefault="00000000">
            <w:pPr>
              <w:pStyle w:val="FootnoteText"/>
              <w:spacing w:line="288" w:lineRule="auto"/>
              <w:jc w:val="center"/>
              <w:rPr>
                <w:lang w:val="en-US"/>
              </w:rPr>
            </w:pPr>
            <w:r>
              <w:rPr>
                <w:lang w:val="en-US"/>
              </w:rPr>
              <w:t>2 633,1</w:t>
            </w:r>
          </w:p>
        </w:tc>
        <w:tc>
          <w:tcPr>
            <w:tcW w:w="1496" w:type="dxa"/>
            <w:vAlign w:val="center"/>
          </w:tcPr>
          <w:p w:rsidR="00000000" w:rsidRDefault="00000000">
            <w:pPr>
              <w:pStyle w:val="FootnoteText"/>
              <w:spacing w:line="288" w:lineRule="auto"/>
              <w:jc w:val="center"/>
              <w:rPr>
                <w:lang w:val="en-US"/>
              </w:rPr>
            </w:pPr>
            <w:r>
              <w:rPr>
                <w:lang w:val="en-US"/>
              </w:rPr>
              <w:t>3 111,6</w:t>
            </w:r>
          </w:p>
        </w:tc>
        <w:tc>
          <w:tcPr>
            <w:tcW w:w="1422" w:type="dxa"/>
            <w:vAlign w:val="center"/>
          </w:tcPr>
          <w:p w:rsidR="00000000" w:rsidRDefault="00000000">
            <w:pPr>
              <w:pStyle w:val="FootnoteText"/>
              <w:spacing w:line="288" w:lineRule="auto"/>
              <w:jc w:val="center"/>
              <w:rPr>
                <w:lang w:val="en-US"/>
              </w:rPr>
            </w:pPr>
            <w:r>
              <w:rPr>
                <w:lang w:val="en-US"/>
              </w:rPr>
              <w:t>345,1</w:t>
            </w:r>
          </w:p>
        </w:tc>
      </w:tr>
      <w:tr w:rsidR="00000000">
        <w:tblPrEx>
          <w:tblCellMar>
            <w:top w:w="0" w:type="dxa"/>
            <w:bottom w:w="0" w:type="dxa"/>
          </w:tblCellMar>
        </w:tblPrEx>
        <w:tc>
          <w:tcPr>
            <w:tcW w:w="3287" w:type="dxa"/>
          </w:tcPr>
          <w:p w:rsidR="00000000" w:rsidRDefault="00000000">
            <w:pPr>
              <w:pStyle w:val="FootnoteText"/>
              <w:spacing w:line="288" w:lineRule="auto"/>
              <w:rPr>
                <w:vertAlign w:val="superscript"/>
              </w:rPr>
            </w:pPr>
            <w:r>
              <w:t>Средняя площадь в м</w:t>
            </w:r>
            <w:r>
              <w:rPr>
                <w:vertAlign w:val="superscript"/>
              </w:rPr>
              <w:t>2</w:t>
            </w:r>
          </w:p>
        </w:tc>
        <w:tc>
          <w:tcPr>
            <w:tcW w:w="1122" w:type="dxa"/>
            <w:vAlign w:val="center"/>
          </w:tcPr>
          <w:p w:rsidR="00000000" w:rsidRDefault="00000000">
            <w:pPr>
              <w:pStyle w:val="FootnoteText"/>
              <w:spacing w:line="288" w:lineRule="auto"/>
              <w:jc w:val="center"/>
            </w:pPr>
            <w:r>
              <w:t>49,7</w:t>
            </w:r>
          </w:p>
        </w:tc>
        <w:tc>
          <w:tcPr>
            <w:tcW w:w="2244" w:type="dxa"/>
            <w:vAlign w:val="center"/>
          </w:tcPr>
          <w:p w:rsidR="00000000" w:rsidRDefault="00000000">
            <w:pPr>
              <w:pStyle w:val="FootnoteText"/>
              <w:spacing w:line="288" w:lineRule="auto"/>
              <w:jc w:val="center"/>
            </w:pPr>
            <w:r>
              <w:t>50,4</w:t>
            </w:r>
          </w:p>
        </w:tc>
        <w:tc>
          <w:tcPr>
            <w:tcW w:w="1496" w:type="dxa"/>
            <w:vAlign w:val="center"/>
          </w:tcPr>
          <w:p w:rsidR="00000000" w:rsidRDefault="00000000">
            <w:pPr>
              <w:pStyle w:val="FootnoteText"/>
              <w:spacing w:line="288" w:lineRule="auto"/>
              <w:jc w:val="center"/>
            </w:pPr>
            <w:r>
              <w:t>48,9</w:t>
            </w:r>
          </w:p>
        </w:tc>
        <w:tc>
          <w:tcPr>
            <w:tcW w:w="1422" w:type="dxa"/>
            <w:vAlign w:val="center"/>
          </w:tcPr>
          <w:p w:rsidR="00000000" w:rsidRDefault="00000000">
            <w:pPr>
              <w:pStyle w:val="FootnoteText"/>
              <w:spacing w:line="288" w:lineRule="auto"/>
              <w:jc w:val="center"/>
            </w:pPr>
            <w:r>
              <w:t>52,0</w:t>
            </w:r>
          </w:p>
        </w:tc>
      </w:tr>
      <w:tr w:rsidR="00000000">
        <w:tblPrEx>
          <w:tblCellMar>
            <w:top w:w="0" w:type="dxa"/>
            <w:bottom w:w="0" w:type="dxa"/>
          </w:tblCellMar>
        </w:tblPrEx>
        <w:tc>
          <w:tcPr>
            <w:tcW w:w="3287" w:type="dxa"/>
          </w:tcPr>
          <w:p w:rsidR="00000000" w:rsidRDefault="00000000">
            <w:pPr>
              <w:pStyle w:val="FootnoteText"/>
            </w:pPr>
            <w:r>
              <w:t>Средняя месячная арендная плата на домохозяйство (злотых)</w:t>
            </w:r>
          </w:p>
        </w:tc>
        <w:tc>
          <w:tcPr>
            <w:tcW w:w="1122" w:type="dxa"/>
            <w:vAlign w:val="center"/>
          </w:tcPr>
          <w:p w:rsidR="00000000" w:rsidRDefault="00000000">
            <w:pPr>
              <w:pStyle w:val="FootnoteText"/>
              <w:spacing w:line="288" w:lineRule="auto"/>
              <w:jc w:val="center"/>
            </w:pPr>
            <w:r>
              <w:t>103,92</w:t>
            </w:r>
          </w:p>
        </w:tc>
        <w:tc>
          <w:tcPr>
            <w:tcW w:w="2244" w:type="dxa"/>
            <w:vAlign w:val="center"/>
          </w:tcPr>
          <w:p w:rsidR="00000000" w:rsidRDefault="00000000">
            <w:pPr>
              <w:pStyle w:val="FootnoteText"/>
              <w:spacing w:line="288" w:lineRule="auto"/>
              <w:jc w:val="center"/>
            </w:pPr>
            <w:r>
              <w:t>133,65</w:t>
            </w:r>
          </w:p>
        </w:tc>
        <w:tc>
          <w:tcPr>
            <w:tcW w:w="1496" w:type="dxa"/>
            <w:vAlign w:val="center"/>
          </w:tcPr>
          <w:p w:rsidR="00000000" w:rsidRDefault="00000000">
            <w:pPr>
              <w:pStyle w:val="FootnoteText"/>
              <w:spacing w:line="288" w:lineRule="auto"/>
              <w:jc w:val="center"/>
            </w:pPr>
            <w:r>
              <w:t>79,03</w:t>
            </w:r>
          </w:p>
        </w:tc>
        <w:tc>
          <w:tcPr>
            <w:tcW w:w="1422" w:type="dxa"/>
            <w:vAlign w:val="center"/>
          </w:tcPr>
          <w:p w:rsidR="00000000" w:rsidRDefault="00000000">
            <w:pPr>
              <w:pStyle w:val="FootnoteText"/>
              <w:spacing w:line="288" w:lineRule="auto"/>
              <w:jc w:val="center"/>
            </w:pPr>
            <w:r>
              <w:t>101,55</w:t>
            </w:r>
          </w:p>
        </w:tc>
      </w:tr>
      <w:tr w:rsidR="00000000">
        <w:tblPrEx>
          <w:tblCellMar>
            <w:top w:w="0" w:type="dxa"/>
            <w:bottom w:w="0" w:type="dxa"/>
          </w:tblCellMar>
        </w:tblPrEx>
        <w:tc>
          <w:tcPr>
            <w:tcW w:w="3287" w:type="dxa"/>
          </w:tcPr>
          <w:p w:rsidR="00000000" w:rsidRDefault="00000000">
            <w:pPr>
              <w:pStyle w:val="FootnoteText"/>
            </w:pPr>
            <w:r>
              <w:t>Средняя месячная арендная плата за м</w:t>
            </w:r>
            <w:r>
              <w:rPr>
                <w:vertAlign w:val="superscript"/>
              </w:rPr>
              <w:t>2</w:t>
            </w:r>
            <w:r>
              <w:t xml:space="preserve"> площади (злотых)</w:t>
            </w:r>
          </w:p>
        </w:tc>
        <w:tc>
          <w:tcPr>
            <w:tcW w:w="1122" w:type="dxa"/>
            <w:vAlign w:val="center"/>
          </w:tcPr>
          <w:p w:rsidR="00000000" w:rsidRDefault="00000000">
            <w:pPr>
              <w:pStyle w:val="FootnoteText"/>
              <w:spacing w:line="288" w:lineRule="auto"/>
              <w:jc w:val="center"/>
              <w:rPr>
                <w:lang w:val="en-US"/>
              </w:rPr>
            </w:pPr>
            <w:r>
              <w:rPr>
                <w:lang w:val="en-US"/>
              </w:rPr>
              <w:t>2,09</w:t>
            </w:r>
          </w:p>
        </w:tc>
        <w:tc>
          <w:tcPr>
            <w:tcW w:w="2244" w:type="dxa"/>
            <w:vAlign w:val="center"/>
          </w:tcPr>
          <w:p w:rsidR="00000000" w:rsidRDefault="00000000">
            <w:pPr>
              <w:pStyle w:val="FootnoteText"/>
              <w:spacing w:line="288" w:lineRule="auto"/>
              <w:jc w:val="center"/>
              <w:rPr>
                <w:lang w:val="en-US"/>
              </w:rPr>
            </w:pPr>
            <w:r>
              <w:rPr>
                <w:lang w:val="en-US"/>
              </w:rPr>
              <w:t>2,65</w:t>
            </w:r>
          </w:p>
        </w:tc>
        <w:tc>
          <w:tcPr>
            <w:tcW w:w="1496" w:type="dxa"/>
            <w:vAlign w:val="center"/>
          </w:tcPr>
          <w:p w:rsidR="00000000" w:rsidRDefault="00000000">
            <w:pPr>
              <w:pStyle w:val="FootnoteText"/>
              <w:spacing w:line="288" w:lineRule="auto"/>
              <w:jc w:val="center"/>
              <w:rPr>
                <w:lang w:val="en-US"/>
              </w:rPr>
            </w:pPr>
            <w:r>
              <w:rPr>
                <w:lang w:val="en-US"/>
              </w:rPr>
              <w:t>1,62</w:t>
            </w:r>
          </w:p>
        </w:tc>
        <w:tc>
          <w:tcPr>
            <w:tcW w:w="1422" w:type="dxa"/>
            <w:vAlign w:val="center"/>
          </w:tcPr>
          <w:p w:rsidR="00000000" w:rsidRDefault="00000000">
            <w:pPr>
              <w:pStyle w:val="FootnoteText"/>
              <w:spacing w:line="288" w:lineRule="auto"/>
              <w:jc w:val="center"/>
              <w:rPr>
                <w:lang w:val="en-US"/>
              </w:rPr>
            </w:pPr>
            <w:r>
              <w:rPr>
                <w:lang w:val="en-US"/>
              </w:rPr>
              <w:t>1,95</w:t>
            </w:r>
          </w:p>
        </w:tc>
      </w:tr>
    </w:tbl>
    <w:p w:rsidR="00000000" w:rsidRDefault="00000000">
      <w:pPr>
        <w:pStyle w:val="FootnoteText"/>
        <w:spacing w:line="288" w:lineRule="auto"/>
        <w:rPr>
          <w:lang w:val="en-US"/>
        </w:rPr>
      </w:pPr>
    </w:p>
    <w:p w:rsidR="00000000" w:rsidRDefault="00000000">
      <w:pPr>
        <w:pStyle w:val="FootnoteText"/>
        <w:spacing w:line="288" w:lineRule="auto"/>
      </w:pPr>
      <w:r>
        <w:tab/>
      </w:r>
      <w:r>
        <w:rPr>
          <w:u w:val="single"/>
        </w:rPr>
        <w:t>Источник</w:t>
      </w:r>
      <w:r>
        <w:t>:  информация, представленная Управлением жилищного строительства на основе данных переписи от 17 мая 1995 года.</w:t>
      </w:r>
    </w:p>
    <w:p w:rsidR="00000000" w:rsidRDefault="00000000">
      <w:pPr>
        <w:pStyle w:val="FootnoteText"/>
        <w:spacing w:line="288" w:lineRule="auto"/>
      </w:pPr>
    </w:p>
    <w:p w:rsidR="00000000" w:rsidRDefault="00000000">
      <w:pPr>
        <w:rPr>
          <w:b/>
          <w:bCs/>
        </w:rPr>
      </w:pPr>
      <w:r>
        <w:rPr>
          <w:b/>
          <w:bCs/>
        </w:rPr>
        <w:tab/>
        <w:t>3.</w:t>
      </w:r>
      <w:r>
        <w:rPr>
          <w:b/>
          <w:bCs/>
        </w:rPr>
        <w:tab/>
        <w:t>Законы, касающиеся права на жилье</w:t>
      </w:r>
    </w:p>
    <w:p w:rsidR="00000000" w:rsidRDefault="00000000">
      <w:pPr>
        <w:jc w:val="center"/>
        <w:rPr>
          <w:b/>
          <w:bCs/>
        </w:rPr>
      </w:pPr>
    </w:p>
    <w:p w:rsidR="00000000" w:rsidRDefault="00000000">
      <w:pPr>
        <w:ind w:left="567" w:hanging="567"/>
      </w:pPr>
      <w:r>
        <w:rPr>
          <w:b/>
          <w:bCs/>
        </w:rPr>
        <w:t>а)</w:t>
      </w:r>
      <w:r>
        <w:rPr>
          <w:b/>
          <w:bCs/>
        </w:rPr>
        <w:tab/>
        <w:t>Законодательство, регулирующее право на жилье</w:t>
      </w:r>
    </w:p>
    <w:p w:rsidR="00000000" w:rsidRDefault="00000000"/>
    <w:p w:rsidR="00000000" w:rsidRDefault="00000000">
      <w:r>
        <w:t>242.</w:t>
      </w:r>
      <w:r>
        <w:tab/>
        <w:t>Законом об управлении недвижимостью от 21 августа 1997 года (Законодательный вестник за 1997 год, № 115, статья 741) были кодифицированы существующие нормы и внесены поправки в законы для учета требований рынка.  Принятие этого Закона не привело к существенному изменению положения, о котором говорилось в предыдущем докладе.  Основные принципы жилищной политики были установлены в "Руководящих принципах государственной жилищной политики", которые были приняты сеймом 6 июля 1995 года.  В 1998 году Управление жилищного строительства и градостроительства подготовило документ "Градостроительство и обустройство недвижимости, жилищное строительство - среднесрочная стратегия для сектора", который был одобрен экономическим комитетом совета министров 29 июня 1998 года.  В этом документе более четко и подробно излагаются основные принципы жилищной политики на период 1999</w:t>
      </w:r>
      <w:r>
        <w:noBreakHyphen/>
        <w:t>2001 годов.  В пункте 1 статьи 75 Конституции указано, что "государственные органы власти проводят политику, благоприятствующую удовлетворению жилищных нужд граждан, в частности противодействуют бездомности, способствуют развитию строительства жилья для лиц с низкими доходами и поддерживают меры, направленные на приобретение гражданами собственного жилья".</w:t>
      </w:r>
    </w:p>
    <w:p w:rsidR="00000000" w:rsidRDefault="00000000"/>
    <w:p w:rsidR="00000000" w:rsidRDefault="00000000">
      <w:pPr>
        <w:pStyle w:val="BodyText"/>
        <w:spacing w:line="288" w:lineRule="auto"/>
        <w:ind w:left="567" w:hanging="567"/>
      </w:pPr>
      <w:r>
        <w:t>b)</w:t>
      </w:r>
      <w:r>
        <w:tab/>
        <w:t>Законодательство, регулирующее вопросы жилья, муниципальных кооперативов и проблему бездомности</w:t>
      </w:r>
    </w:p>
    <w:p w:rsidR="00000000" w:rsidRDefault="00000000">
      <w:pPr>
        <w:pStyle w:val="BodyText"/>
        <w:spacing w:line="288" w:lineRule="auto"/>
      </w:pPr>
    </w:p>
    <w:p w:rsidR="00000000" w:rsidRDefault="00000000">
      <w:r>
        <w:t>243.</w:t>
      </w:r>
      <w:r>
        <w:tab/>
        <w:t>Вопросы арендной платы за жилье регулируются вышеупомянутым Законом от 2 июля 1994 года об арендной плате и жилищных субсидиях.  Его положения не касаются жилых помещений, которые находятся в ведении органов, подотчетных министерству внутренних дел и администрации, управления государственной защиты и судебных органов в рамках министерства юстиции, а также жилых помещений, находящихся в распоряжении Военного жилищного агентства.  В соответствии с пунктом 1 статьи 57 Закона от 8 марта 1990 года о территориальном самоуправлении, а также статьей 4 вышеупомянутого Закона от 2 июля 1994 года задача удовлетворения жилищных потребностей членов самоуправляющихся общин лежит на самих гминах (общинах).  Закон наделяет советы гмин полномочиями по принятию решений об условиях управления их жилым фондом, а также о критериях отбора лиц, остро нуждающихся в жилье - будь то постоянном или социальном, - которым должен отдаваться приоритет при подписании договоров о найме.  Жилье должно предоставляться семьям с низкими доходами и использоваться в целях обмена или предоставления социального жилья (дешевое жилье может сдаваться в аренду лицам, нуждающимся в улучшении жилищных условий и находящимся в стесненных материальных обстоятельствах).  Методы определения раздельных прав собственности в отношении отдельных жилых помещений и помещений, предназначенных для других целей, прав и обязанностей владельцев жилых помещений, а также порядка управления совместным имуществом, изложены в Законе от 24 июня 1994 года о правах собственности на недвижимость (Законодательный вестник за 1994 год, № 85, статья 388, и Законодательный вестник за 1997 год, № 106, статья 682).  Вопросы, касающиеся членов жилищных кооперативов, регулируются Законом от 16 сентября 1982 года о кооперативах (Законодательный вестник за 1995 год, № 54, статья</w:t>
      </w:r>
      <w:r>
        <w:rPr>
          <w:lang w:val="en-US"/>
        </w:rPr>
        <w:t> </w:t>
      </w:r>
      <w:r>
        <w:t>280) и подзаконными актами кооперативов, т.е. их уставами и правилами.</w:t>
      </w:r>
    </w:p>
    <w:p w:rsidR="00000000" w:rsidRDefault="00000000"/>
    <w:p w:rsidR="00000000" w:rsidRDefault="00000000">
      <w:r>
        <w:t>244.</w:t>
      </w:r>
      <w:r>
        <w:tab/>
        <w:t>Согласно пункту 2 статьи 10 Закона о социальной помощи, к числу собственных обязанностей гмин, носящих обязательный характер и исполняемых самими гминами, относятся:  предоставление крова, пищи, необходимой одежды нуждающимся и т.д., а в соответствии с пунктом 2 статьи 14 убежище предоставляется в домах для ночлега, приютах для бездомных и других учреждениях.  Предоставлением убежища занимаются также неправительственные организации в тесном сотрудничестве с гминами.  Приюты, особенно в зимнее время, переполнены.  Главная проблема заключается в том, что церковь и частные организации, фонды и т.д. располагают весьма ограниченными финансовыми средствами и другими ресурсами.</w:t>
      </w:r>
    </w:p>
    <w:p w:rsidR="00000000" w:rsidRDefault="00000000"/>
    <w:p w:rsidR="00000000" w:rsidRDefault="00000000">
      <w:pPr>
        <w:pStyle w:val="BodyText"/>
        <w:spacing w:line="288" w:lineRule="auto"/>
        <w:ind w:left="567" w:hanging="567"/>
      </w:pPr>
      <w:r>
        <w:t>с)</w:t>
      </w:r>
      <w:r>
        <w:tab/>
        <w:t>Законодательство, касающееся землепользования, распределения и выделения и экспроприации земли, предоставления компенсации, землеустройства</w:t>
      </w:r>
    </w:p>
    <w:p w:rsidR="00000000" w:rsidRDefault="00000000">
      <w:pPr>
        <w:pStyle w:val="BodyText"/>
        <w:spacing w:line="288" w:lineRule="auto"/>
      </w:pPr>
    </w:p>
    <w:p w:rsidR="00000000" w:rsidRDefault="00000000">
      <w:r>
        <w:t>245.</w:t>
      </w:r>
      <w:r>
        <w:tab/>
        <w:t>Вопросы приобретения недвижимости для жилищного строительства регулируются двумя нормативными источниками:</w:t>
      </w:r>
    </w:p>
    <w:p w:rsidR="00000000" w:rsidRDefault="00000000"/>
    <w:p w:rsidR="00000000" w:rsidRDefault="00000000">
      <w:r>
        <w:tab/>
        <w:t>а)</w:t>
      </w:r>
      <w:r>
        <w:tab/>
        <w:t>Гражданским кодексом - положениями, касающимися приобретения инвестором недвижимости у физических лиц и юридических лиц;</w:t>
      </w:r>
    </w:p>
    <w:p w:rsidR="00000000" w:rsidRDefault="00000000"/>
    <w:p w:rsidR="00000000" w:rsidRDefault="00000000">
      <w:r>
        <w:tab/>
        <w:t>b)</w:t>
      </w:r>
      <w:r>
        <w:tab/>
        <w:t>Законом от 21 августа 1997 года об управлении недвижимостью, регулирующим вопросы приобретения недвижимости из государственной казны и у органов территориального самоуправления.  Инвесторы, занимающиеся исключительно строительством жилья или созданием технической инфраструктуры, могут быть освобождены от участия в торгах при приобретении недвижимости для этих целей, если они расходуют средства, полученные от своей деятельности, исключительно на предусмотренные законом цели.  Существуют также положения, позволяющие приобретать из государственной казны или у органов территориального самоуправления недвижимость со скидкой с реальной цены недвижимости или с платой за использование земли в случае предоставления бессрочного права на узуфрукт.  Размеры скидки определяются местными органами власти.  Экспроприация недвижимости для удовлетворения жилищных потребностей законодательством запрещена.</w:t>
      </w:r>
    </w:p>
    <w:p w:rsidR="00000000" w:rsidRDefault="00000000"/>
    <w:p w:rsidR="00000000" w:rsidRDefault="00000000">
      <w:pPr>
        <w:pStyle w:val="BodyText"/>
        <w:spacing w:line="288" w:lineRule="auto"/>
        <w:ind w:left="567" w:hanging="567"/>
      </w:pPr>
      <w:r>
        <w:t>d)</w:t>
      </w:r>
      <w:r>
        <w:tab/>
        <w:t>Законодательство, регулирующее права арендаторов на гарантированное арендное владение, защиту от выселения, финансирование жилья и контроль за арендной платой (или получение субсидий)</w:t>
      </w:r>
    </w:p>
    <w:p w:rsidR="00000000" w:rsidRDefault="00000000">
      <w:pPr>
        <w:rPr>
          <w:lang w:val="en-US"/>
        </w:rPr>
      </w:pPr>
    </w:p>
    <w:p w:rsidR="00000000" w:rsidRDefault="00000000">
      <w:r>
        <w:t>246.</w:t>
      </w:r>
      <w:r>
        <w:tab/>
        <w:t xml:space="preserve">Положения по этому вопросу были включены в правовые документы, упомянутые в настоящем разделе (например, в отношении выселения).  </w:t>
      </w:r>
    </w:p>
    <w:p w:rsidR="00000000" w:rsidRDefault="00000000"/>
    <w:p w:rsidR="00000000" w:rsidRDefault="00000000">
      <w:pPr>
        <w:ind w:left="567" w:hanging="567"/>
        <w:rPr>
          <w:b/>
          <w:bCs/>
        </w:rPr>
      </w:pPr>
      <w:r>
        <w:rPr>
          <w:b/>
          <w:bCs/>
          <w:lang w:val="en-US"/>
        </w:rPr>
        <w:t>e</w:t>
      </w:r>
      <w:r>
        <w:rPr>
          <w:b/>
          <w:bCs/>
        </w:rPr>
        <w:t>)</w:t>
      </w:r>
      <w:r>
        <w:tab/>
      </w:r>
      <w:r>
        <w:rPr>
          <w:b/>
          <w:bCs/>
        </w:rPr>
        <w:t>Законодательство, касающееся строительных норм и правил, а также стандартов в отношении инфраструктуры</w:t>
      </w:r>
    </w:p>
    <w:p w:rsidR="00000000" w:rsidRDefault="00000000">
      <w:pPr>
        <w:rPr>
          <w:b/>
          <w:bCs/>
        </w:rPr>
      </w:pPr>
    </w:p>
    <w:p w:rsidR="00000000" w:rsidRDefault="00000000">
      <w:r>
        <w:t>247.</w:t>
      </w:r>
      <w:r>
        <w:tab/>
        <w:t>Вопросы проектирования строительства, текущего ремонта и сноса зданий, а также принципы деятельности административных органов в этом отношении регулируются Законом от 7 июля 1994 года о строительстве и нормами, устанавливаемыми исполнительными органами.  В данный Закон неоднократно вносились поправки (см. список правовых документов в конце настоящей части).</w:t>
      </w:r>
    </w:p>
    <w:p w:rsidR="00000000" w:rsidRDefault="00000000"/>
    <w:p w:rsidR="00000000" w:rsidRDefault="00000000">
      <w:pPr>
        <w:ind w:left="567" w:hanging="567"/>
        <w:rPr>
          <w:b/>
          <w:bCs/>
        </w:rPr>
      </w:pPr>
      <w:r>
        <w:rPr>
          <w:b/>
          <w:bCs/>
          <w:lang w:val="en-US"/>
        </w:rPr>
        <w:t>f</w:t>
      </w:r>
      <w:r>
        <w:rPr>
          <w:b/>
          <w:bCs/>
        </w:rPr>
        <w:t>)</w:t>
      </w:r>
      <w:r>
        <w:rPr>
          <w:b/>
          <w:bCs/>
        </w:rPr>
        <w:tab/>
        <w:t>Законодательство, запрещающее любые формы дискриминации в жилищном секторе, включая дискриминацию в отношении групп населения, не располагающих традиционными средствами защиты;  законы о выселении</w:t>
      </w:r>
    </w:p>
    <w:p w:rsidR="00000000" w:rsidRDefault="00000000">
      <w:pPr>
        <w:rPr>
          <w:b/>
          <w:bCs/>
        </w:rPr>
      </w:pPr>
    </w:p>
    <w:p w:rsidR="00000000" w:rsidRDefault="00000000">
      <w:r>
        <w:t>248.</w:t>
      </w:r>
      <w:r>
        <w:tab/>
        <w:t>Законодательство, действовавшее в 1995</w:t>
      </w:r>
      <w:r>
        <w:noBreakHyphen/>
        <w:t>1998 годах, предусматривало средства обеспечения защиты более слабых и находящихся в более уязвимом положении социальных групп.  В числе этих средств была гарантия от выселения в течение так называемого "защитного" периода, т.е. с 1 ноября по 31 марта, если при этом не предоставлялось какое</w:t>
      </w:r>
      <w:r>
        <w:noBreakHyphen/>
        <w:t>либо жилье взамен (статья 37 Закона от 2 июля 1994 года об арендной плате и жилищных субсидиях, Законодательный вестник за 1998 год, № 120, статья 787 с последующими поправками).  Еще одним средством защиты является право на социальное жилье.  Суды могут оказывать воздействие на положение выселяемых (вынося решение о предоставлении такого права) при выселении из жилых помещений, подпадающих под действие Закона об арендной плате и жилищных субсидиях, а также Закона от 16 сентября 1982 года о кооперативах (Законодательный вестник за 1995 год, № 54, статья 288), но это касается только арендаторов кооперативных квартир.  В таких случаях гмины обязаны предоставлять социальное жилье.  Сформулированный в течение отчетного периода новый закон об арендной плате и защите арендаторов предусматривает защиту арендаторов согласно соответствующим нормам, касающимся защиты арендаторов, особенно лиц, обратившихся в суд с ходатайством о предоставлении права на социальное жилье при вынесении решения о выселении арендатора из занимаемых им жилых помещений, принимая во внимание, в частности, положение домохозяйств, где имеются малолетние дети, а также инвалиды или нетрудоспособные лица.  Эти ограничения не применяются к выселению на основании распоряжения, вынесенного в связи с насилием в семье.</w:t>
      </w:r>
    </w:p>
    <w:p w:rsidR="00000000" w:rsidRDefault="00000000"/>
    <w:p w:rsidR="00000000" w:rsidRDefault="00000000">
      <w:pPr>
        <w:rPr>
          <w:b/>
          <w:bCs/>
        </w:rPr>
      </w:pPr>
      <w:r>
        <w:rPr>
          <w:b/>
          <w:bCs/>
          <w:lang w:val="en-US"/>
        </w:rPr>
        <w:br w:type="page"/>
        <w:t>g</w:t>
      </w:r>
      <w:r>
        <w:rPr>
          <w:b/>
          <w:bCs/>
        </w:rPr>
        <w:t>)</w:t>
      </w:r>
      <w:r>
        <w:rPr>
          <w:b/>
          <w:bCs/>
        </w:rPr>
        <w:tab/>
        <w:t>Законодательство, запрещающее любые формы выселения</w:t>
      </w:r>
    </w:p>
    <w:p w:rsidR="00000000" w:rsidRDefault="00000000">
      <w:pPr>
        <w:rPr>
          <w:b/>
          <w:bCs/>
        </w:rPr>
      </w:pPr>
    </w:p>
    <w:p w:rsidR="00000000" w:rsidRDefault="00000000">
      <w:r>
        <w:t>249.</w:t>
      </w:r>
      <w:r>
        <w:tab/>
        <w:t>В период 1995-1998 годов в Польше не существовало законодательства, запрещающего какие</w:t>
      </w:r>
      <w:r>
        <w:noBreakHyphen/>
        <w:t xml:space="preserve">либо или все формы выселения.  Действовали указанные ниже нормы, ограничивающие право на выселение.  </w:t>
      </w:r>
    </w:p>
    <w:p w:rsidR="00000000" w:rsidRDefault="00000000"/>
    <w:p w:rsidR="00000000" w:rsidRDefault="00000000">
      <w:pPr>
        <w:pStyle w:val="BodyText"/>
        <w:spacing w:line="288" w:lineRule="auto"/>
        <w:ind w:left="567" w:hanging="567"/>
      </w:pPr>
      <w:r>
        <w:t>h)</w:t>
      </w:r>
      <w:r>
        <w:tab/>
        <w:t>Законодательство, запрещающее спекуляцию жильем, особенно в тех случаях, когда такая спекуляция оказывает негативное воздействие на осуществление прав всех слоев общества на жилье</w:t>
      </w:r>
    </w:p>
    <w:p w:rsidR="00000000" w:rsidRDefault="00000000">
      <w:pPr>
        <w:pStyle w:val="BodyText"/>
        <w:spacing w:line="288" w:lineRule="auto"/>
      </w:pPr>
    </w:p>
    <w:p w:rsidR="00000000" w:rsidRDefault="00000000">
      <w:r>
        <w:t>250.</w:t>
      </w:r>
      <w:r>
        <w:tab/>
        <w:t>В Польше существует свободный рынок недвижимости, и поэтому термин "спекуляция жильем" не используется.  Информация о законодательстве, направленном на содействие осуществлению права на жилье лицами, которые не могут позволить себе купить дом или арендовать его по рыночной цене, приводится в других разделах данной части.</w:t>
      </w:r>
    </w:p>
    <w:p w:rsidR="00000000" w:rsidRDefault="00000000"/>
    <w:p w:rsidR="00000000" w:rsidRDefault="00000000">
      <w:pPr>
        <w:ind w:left="567" w:hanging="567"/>
        <w:rPr>
          <w:b/>
          <w:bCs/>
        </w:rPr>
      </w:pPr>
      <w:r>
        <w:rPr>
          <w:b/>
          <w:bCs/>
          <w:lang w:val="en-US"/>
        </w:rPr>
        <w:t>i</w:t>
      </w:r>
      <w:r>
        <w:rPr>
          <w:b/>
          <w:bCs/>
        </w:rPr>
        <w:t>)</w:t>
      </w:r>
      <w:r>
        <w:rPr>
          <w:b/>
          <w:bCs/>
        </w:rPr>
        <w:tab/>
        <w:t>Законодательные меры, предоставляющие законный статус лицам, проживающим в "нелегальном" секторе</w:t>
      </w:r>
    </w:p>
    <w:p w:rsidR="00000000" w:rsidRDefault="00000000">
      <w:pPr>
        <w:rPr>
          <w:b/>
          <w:bCs/>
        </w:rPr>
      </w:pPr>
    </w:p>
    <w:p w:rsidR="00000000" w:rsidRDefault="00000000">
      <w:r>
        <w:t>251.</w:t>
      </w:r>
      <w:r>
        <w:tab/>
        <w:t>Лица, проживающие "нелегально" и не имеющие иного жилья, могут направляться в социальные приюты, им может предоставляться дешевое жилье гминами или же услуги домов для ночлега, действующих под управлением неправительственных организаций:  общественных, частных, церковных и т.д.  Вместе с тем основания для наделения законным статусом "нелегального" жилья или иных зданий, приспособленных для проживания "незаконно проживающими в них лицами", отсутствуют, поскольку указанные выше учреждения и органы власти несут официальные обязанности в отношении лиц, находящихся в подобном положении.</w:t>
      </w:r>
    </w:p>
    <w:p w:rsidR="00000000" w:rsidRDefault="00000000"/>
    <w:p w:rsidR="00000000" w:rsidRDefault="00000000">
      <w:pPr>
        <w:pStyle w:val="BodyText"/>
        <w:spacing w:line="288" w:lineRule="auto"/>
        <w:ind w:left="567" w:hanging="567"/>
      </w:pPr>
      <w:r>
        <w:t>j)</w:t>
      </w:r>
      <w:r>
        <w:tab/>
        <w:t>Законодательство, касающееся экологического планирования и охраны здоровья в населенных пунктах</w:t>
      </w:r>
    </w:p>
    <w:p w:rsidR="00000000" w:rsidRDefault="00000000">
      <w:pPr>
        <w:pStyle w:val="BodyText"/>
        <w:spacing w:line="288" w:lineRule="auto"/>
      </w:pPr>
    </w:p>
    <w:p w:rsidR="00000000" w:rsidRDefault="00000000">
      <w:r>
        <w:t>252.</w:t>
      </w:r>
      <w:r>
        <w:tab/>
        <w:t>См. список новых законов и инструкций, имеющих отношение к статье 11, в конце данной части.</w:t>
      </w:r>
    </w:p>
    <w:p w:rsidR="00000000" w:rsidRDefault="00000000"/>
    <w:p w:rsidR="00000000" w:rsidRDefault="00000000">
      <w:pPr>
        <w:pStyle w:val="10"/>
        <w:jc w:val="left"/>
        <w:rPr>
          <w:bCs/>
        </w:rPr>
      </w:pPr>
      <w:r>
        <w:rPr>
          <w:bCs/>
        </w:rPr>
        <w:br w:type="page"/>
      </w:r>
      <w:r>
        <w:rPr>
          <w:bCs/>
        </w:rPr>
        <w:tab/>
        <w:t>4.</w:t>
      </w:r>
      <w:r>
        <w:rPr>
          <w:bCs/>
        </w:rPr>
        <w:tab/>
        <w:t>Прочие меры по осуществлению права на жилье</w:t>
      </w:r>
    </w:p>
    <w:p w:rsidR="00000000" w:rsidRDefault="00000000">
      <w:pPr>
        <w:pStyle w:val="10"/>
        <w:rPr>
          <w:bCs/>
        </w:rPr>
      </w:pPr>
    </w:p>
    <w:p w:rsidR="00000000" w:rsidRDefault="00000000">
      <w:pPr>
        <w:ind w:left="567" w:hanging="567"/>
        <w:rPr>
          <w:b/>
          <w:bCs/>
        </w:rPr>
      </w:pPr>
      <w:r>
        <w:rPr>
          <w:b/>
          <w:bCs/>
          <w:lang w:val="en-US"/>
        </w:rPr>
        <w:t>a</w:t>
      </w:r>
      <w:r>
        <w:rPr>
          <w:b/>
          <w:bCs/>
        </w:rPr>
        <w:t>)</w:t>
      </w:r>
      <w:r>
        <w:rPr>
          <w:b/>
          <w:bCs/>
        </w:rPr>
        <w:tab/>
        <w:t>Меры, принятые для обеспечения возможности строительства жилья местными организациями на уровне общин и "неофициальным сектором";  меры, принятые государством по комплексной жилой застройке и расширению строительства арендуемого жилого фонда</w:t>
      </w:r>
    </w:p>
    <w:p w:rsidR="00000000" w:rsidRDefault="00000000">
      <w:pPr>
        <w:rPr>
          <w:b/>
          <w:bCs/>
        </w:rPr>
      </w:pPr>
    </w:p>
    <w:p w:rsidR="00000000" w:rsidRDefault="00000000">
      <w:r>
        <w:t>253.</w:t>
      </w:r>
      <w:r>
        <w:tab/>
        <w:t xml:space="preserve">В 1995 году на основании Закона от 26 октября 1995 года о некоторых формах поддержки жилищного строительства и внесении поправок в отдельные законы была учреждена правовая основа, определяющая условия оказания государственной помощи в строительстве арендуемого жилья, сдаваемого за небольшую арендную плату, а также в кооперативном строительстве.  На польском рынке жилья появилась новая категория инвесторов и управляющих </w:t>
      </w:r>
      <w:r>
        <w:noBreakHyphen/>
        <w:t xml:space="preserve"> </w:t>
      </w:r>
      <w:r>
        <w:rPr>
          <w:u w:val="single"/>
          <w:lang w:val="en-US"/>
        </w:rPr>
        <w:t>Towarzystwa</w:t>
      </w:r>
      <w:r>
        <w:rPr>
          <w:u w:val="single"/>
        </w:rPr>
        <w:t xml:space="preserve"> </w:t>
      </w:r>
      <w:r>
        <w:rPr>
          <w:u w:val="single"/>
          <w:lang w:val="en-US"/>
        </w:rPr>
        <w:t>Budownictwa</w:t>
      </w:r>
      <w:r>
        <w:rPr>
          <w:u w:val="single"/>
        </w:rPr>
        <w:t xml:space="preserve"> </w:t>
      </w:r>
      <w:r>
        <w:rPr>
          <w:u w:val="single"/>
          <w:lang w:val="en-US"/>
        </w:rPr>
        <w:t>Spolecznego</w:t>
      </w:r>
      <w:r>
        <w:t xml:space="preserve"> (Общество по строительству жилья для лиц с низкими доходами).  Был также учрежден Национальный фонд жилья (</w:t>
      </w:r>
      <w:r>
        <w:rPr>
          <w:u w:val="single"/>
          <w:lang w:val="en-US"/>
        </w:rPr>
        <w:t>Krajowy</w:t>
      </w:r>
      <w:r>
        <w:rPr>
          <w:u w:val="single"/>
        </w:rPr>
        <w:t xml:space="preserve"> </w:t>
      </w:r>
      <w:r>
        <w:rPr>
          <w:u w:val="single"/>
          <w:lang w:val="en-US"/>
        </w:rPr>
        <w:t>Fundusz</w:t>
      </w:r>
      <w:r>
        <w:rPr>
          <w:u w:val="single"/>
        </w:rPr>
        <w:t xml:space="preserve"> </w:t>
      </w:r>
      <w:r>
        <w:rPr>
          <w:u w:val="single"/>
          <w:lang w:val="en-US"/>
        </w:rPr>
        <w:t>Mieszkaniowy</w:t>
      </w:r>
      <w:r>
        <w:t>).  Одной из его целей было предоставление обществам и кооперативам кредитов на льготных условиях на строительство, реконструкцию, расширение, перепрофилирование и модернизацию жилого фонда и зданий, приспособленных для сдачи жилья в аренду, а в случае кооперативов – для обеспечения кооперативного жилья.  Кредиты предоставлялись также гминам, занимающимся развитием технической инфраструктуры, связанной с арендуемым жильем.  Этот фонд финансировался главным образом из бюджета центрального правительства.  Для покрытия расходов, связанных с внесением депозита или предоплаты за жилье, арендаторы и члены кооперативов имеют право пользоваться средствами, накопившимися на их жилищных сберегательных счетах в банке РКО, а также суммами так называемых "гарантийных премий".  Фонд предоставил кредиты на льготных условиях для финансирования строительства почти 6 000 отвечающих всем стандартам жилищных единиц арендного и кооперативного жилого фонда.  Продолжалось рассмотрение заявлений о предоставлении кредитов на строительство более 5 500 новых жилищных единиц.  По состоянию на 30 декабря 1998 года с помощью кредитов, полученных из Фонда, жилищными обществами и кооперативами было завершено строительство 2 027 жилых единиц, в том числе в 1996 году 34 единицы, в 1997 году 255 единиц и в 1998 году 1 738 единиц.</w:t>
      </w:r>
    </w:p>
    <w:p w:rsidR="00000000" w:rsidRDefault="00000000"/>
    <w:p w:rsidR="00000000" w:rsidRDefault="00000000">
      <w:pPr>
        <w:ind w:left="567" w:hanging="567"/>
      </w:pPr>
      <w:r>
        <w:rPr>
          <w:b/>
          <w:bCs/>
          <w:lang w:val="en-US"/>
        </w:rPr>
        <w:t>b</w:t>
      </w:r>
      <w:r>
        <w:rPr>
          <w:b/>
          <w:bCs/>
        </w:rPr>
        <w:t>)</w:t>
      </w:r>
      <w:r>
        <w:rPr>
          <w:b/>
          <w:bCs/>
        </w:rPr>
        <w:tab/>
        <w:t>Принятые меры для реализации неиспользуемых, слабо используемых или неправильно используемых земель</w:t>
      </w:r>
    </w:p>
    <w:p w:rsidR="00000000" w:rsidRDefault="00000000"/>
    <w:p w:rsidR="00000000" w:rsidRDefault="00000000">
      <w:r>
        <w:t>254.</w:t>
      </w:r>
      <w:r>
        <w:tab/>
        <w:t>В 1997 году под жилищное строительство было выделено в общей сложности 1 550,3 га.  Из них 83,3% составляли земли, предназначенные для строительства жилья, рассчитанного на одну семью (в том числе половина - на улучшенных/мелиорированных землях), и 16,7% - для строительства многоквартирных домов (в том числе более половины на улучшенных/мелиорированных землях).  Общая площадь земли, выделенной под жилищное строительство, составляла на 31 декабря 1997 года 39 522,6 га.  Из них 46,5% составляли немелиорированные земли, предназначенные для строительства жилья на одну семью, 24,1% - мелиорированные земли для жилищного строительства того же типа, 21,2% - немелиорированные земли для строительства многоквартирных домов и 8,2% - мелиорированные земли для строительства такого вида жилья.  В Законе об управлении недвижимостью предусматривается, что государственные органы власти принимают соответствующие меры в случаях, когда земельная недвижимость используется не по назначению, однако это делается только тогда, когда речь идет о землях, в отношении которых действует бессрочное право на узуфрукт.  В случае, когда речь о земле, находящейся в собственности физических или юридических лиц, никакие меры вмешательства приниматься не могут в связи с предоставлением защиты права собственности по Конституции.</w:t>
      </w:r>
    </w:p>
    <w:p w:rsidR="00000000" w:rsidRDefault="00000000"/>
    <w:p w:rsidR="00000000" w:rsidRDefault="00000000">
      <w:r>
        <w:rPr>
          <w:b/>
          <w:bCs/>
        </w:rPr>
        <w:t>с)</w:t>
      </w:r>
      <w:r>
        <w:rPr>
          <w:b/>
          <w:bCs/>
        </w:rPr>
        <w:tab/>
        <w:t>Финансовые меры, принятые государством в отношении жилищного сектора</w:t>
      </w:r>
    </w:p>
    <w:p w:rsidR="00000000" w:rsidRDefault="00000000"/>
    <w:p w:rsidR="00000000" w:rsidRDefault="00000000">
      <w:r>
        <w:t>255.</w:t>
      </w:r>
      <w:r>
        <w:tab/>
        <w:t>Государственная помощь в области жилищного строительства осуществляется в следующих формах:</w:t>
      </w:r>
    </w:p>
    <w:p w:rsidR="00000000" w:rsidRDefault="00000000"/>
    <w:p w:rsidR="00000000" w:rsidRDefault="00000000">
      <w:r>
        <w:tab/>
        <w:t>а)</w:t>
      </w:r>
      <w:r>
        <w:tab/>
        <w:t>налоговые скидки при установлении подоходного налога для физических лиц;</w:t>
      </w:r>
    </w:p>
    <w:p w:rsidR="00000000" w:rsidRDefault="00000000"/>
    <w:p w:rsidR="00000000" w:rsidRDefault="00000000">
      <w:pPr>
        <w:ind w:left="1134" w:hanging="1134"/>
      </w:pPr>
      <w:r>
        <w:tab/>
      </w:r>
      <w:r>
        <w:rPr>
          <w:lang w:val="en-US"/>
        </w:rPr>
        <w:t>b</w:t>
      </w:r>
      <w:r>
        <w:t>)</w:t>
      </w:r>
      <w:r>
        <w:tab/>
        <w:t>налоговые скидки при начислении налога на корпорации применительно к обществам по строительству жилья для малоимущих;</w:t>
      </w:r>
    </w:p>
    <w:p w:rsidR="00000000" w:rsidRDefault="00000000">
      <w:pPr>
        <w:ind w:left="1134" w:hanging="1134"/>
      </w:pPr>
    </w:p>
    <w:p w:rsidR="00000000" w:rsidRDefault="00000000">
      <w:pPr>
        <w:ind w:left="1134" w:hanging="1134"/>
      </w:pPr>
      <w:r>
        <w:tab/>
      </w:r>
      <w:r>
        <w:rPr>
          <w:lang w:val="en-US"/>
        </w:rPr>
        <w:t>c</w:t>
      </w:r>
      <w:r>
        <w:t>)</w:t>
      </w:r>
      <w:r>
        <w:tab/>
        <w:t>выплата так называемых "гарантийных премий" владельцам жилищных сберегательных счетов;</w:t>
      </w:r>
    </w:p>
    <w:p w:rsidR="00000000" w:rsidRDefault="00000000">
      <w:pPr>
        <w:ind w:left="1134" w:hanging="1134"/>
      </w:pPr>
    </w:p>
    <w:p w:rsidR="00000000" w:rsidRDefault="00000000">
      <w:pPr>
        <w:ind w:left="1134" w:hanging="1134"/>
      </w:pPr>
      <w:r>
        <w:tab/>
      </w:r>
      <w:r>
        <w:rPr>
          <w:lang w:val="en-US"/>
        </w:rPr>
        <w:t>d</w:t>
      </w:r>
      <w:r>
        <w:t>)</w:t>
      </w:r>
      <w:r>
        <w:tab/>
        <w:t>кредиты, предоставляемые Национальным жилищным фондом для финансирования строительства арендуемого и кооперативного жилья;</w:t>
      </w:r>
    </w:p>
    <w:p w:rsidR="00000000" w:rsidRDefault="00000000">
      <w:pPr>
        <w:ind w:left="1134" w:hanging="1134"/>
      </w:pPr>
    </w:p>
    <w:p w:rsidR="00000000" w:rsidRDefault="00000000">
      <w:pPr>
        <w:ind w:left="1134" w:hanging="1134"/>
      </w:pPr>
      <w:r>
        <w:tab/>
      </w:r>
      <w:r>
        <w:rPr>
          <w:lang w:val="en-US"/>
        </w:rPr>
        <w:t>e</w:t>
      </w:r>
      <w:r>
        <w:t>)</w:t>
      </w:r>
      <w:r>
        <w:tab/>
        <w:t>возврат при окончательном урегулировании 10% инвестиционных затрат, финансировавшихся из этих средств;</w:t>
      </w:r>
    </w:p>
    <w:p w:rsidR="00000000" w:rsidRDefault="00000000">
      <w:pPr>
        <w:ind w:left="1134" w:hanging="1134"/>
      </w:pPr>
    </w:p>
    <w:p w:rsidR="00000000" w:rsidRDefault="00000000">
      <w:r>
        <w:tab/>
      </w:r>
      <w:r>
        <w:rPr>
          <w:lang w:val="en-US"/>
        </w:rPr>
        <w:t>f</w:t>
      </w:r>
      <w:r>
        <w:t>)</w:t>
      </w:r>
      <w:r>
        <w:tab/>
        <w:t>выделение из бюджета части средств в распоряжение Ипотечного фонда.</w:t>
      </w:r>
    </w:p>
    <w:p w:rsidR="00000000" w:rsidRDefault="00000000"/>
    <w:p w:rsidR="00000000" w:rsidRDefault="00000000">
      <w:r>
        <w:t>256.</w:t>
      </w:r>
      <w:r>
        <w:tab/>
        <w:t>Предусмотренные в государственном бюджете затраты на жилье включают:</w:t>
      </w:r>
    </w:p>
    <w:p w:rsidR="00000000" w:rsidRDefault="00000000"/>
    <w:p w:rsidR="00000000" w:rsidRDefault="00000000">
      <w:pPr>
        <w:ind w:left="567" w:hanging="567"/>
      </w:pPr>
      <w:r>
        <w:tab/>
        <w:t>а)</w:t>
      </w:r>
      <w:r>
        <w:tab/>
        <w:t>субсидирование процентов по жилищным кредитам;</w:t>
      </w:r>
    </w:p>
    <w:p w:rsidR="00000000" w:rsidRDefault="00000000">
      <w:pPr>
        <w:ind w:left="567" w:hanging="567"/>
      </w:pPr>
    </w:p>
    <w:p w:rsidR="00000000" w:rsidRDefault="00000000">
      <w:pPr>
        <w:ind w:left="567" w:hanging="567"/>
      </w:pPr>
      <w:r>
        <w:tab/>
      </w:r>
      <w:r>
        <w:rPr>
          <w:lang w:val="en-US"/>
        </w:rPr>
        <w:t>b</w:t>
      </w:r>
      <w:r>
        <w:t>)</w:t>
      </w:r>
      <w:r>
        <w:tab/>
        <w:t>погашение жилищных кредитов;</w:t>
      </w:r>
    </w:p>
    <w:p w:rsidR="00000000" w:rsidRDefault="00000000">
      <w:pPr>
        <w:ind w:left="567" w:hanging="567"/>
      </w:pPr>
    </w:p>
    <w:p w:rsidR="00000000" w:rsidRDefault="00000000">
      <w:pPr>
        <w:ind w:left="567" w:hanging="567"/>
      </w:pPr>
      <w:r>
        <w:tab/>
      </w:r>
      <w:r>
        <w:rPr>
          <w:lang w:val="en-US"/>
        </w:rPr>
        <w:t>c</w:t>
      </w:r>
      <w:r>
        <w:t>)</w:t>
      </w:r>
      <w:r>
        <w:tab/>
        <w:t>возврат гарантийных премий;</w:t>
      </w:r>
    </w:p>
    <w:p w:rsidR="00000000" w:rsidRDefault="00000000">
      <w:pPr>
        <w:ind w:left="567" w:hanging="567"/>
      </w:pPr>
    </w:p>
    <w:p w:rsidR="00000000" w:rsidRDefault="00000000">
      <w:pPr>
        <w:ind w:left="567" w:hanging="567"/>
      </w:pPr>
      <w:r>
        <w:tab/>
      </w:r>
      <w:r>
        <w:rPr>
          <w:lang w:val="en-US"/>
        </w:rPr>
        <w:t>d</w:t>
      </w:r>
      <w:r>
        <w:t>)</w:t>
      </w:r>
      <w:r>
        <w:tab/>
        <w:t>выплаты в Ипотечный фонд;</w:t>
      </w:r>
    </w:p>
    <w:p w:rsidR="00000000" w:rsidRDefault="00000000">
      <w:pPr>
        <w:ind w:left="567" w:hanging="567"/>
      </w:pPr>
    </w:p>
    <w:p w:rsidR="00000000" w:rsidRDefault="00000000">
      <w:pPr>
        <w:ind w:left="567" w:hanging="567"/>
      </w:pPr>
      <w:r>
        <w:tab/>
      </w:r>
      <w:r>
        <w:rPr>
          <w:lang w:val="en-US"/>
        </w:rPr>
        <w:t>e</w:t>
      </w:r>
      <w:r>
        <w:t>)</w:t>
      </w:r>
      <w:r>
        <w:tab/>
        <w:t>финансирование Национального жилищного фонда;</w:t>
      </w:r>
    </w:p>
    <w:p w:rsidR="00000000" w:rsidRDefault="00000000">
      <w:pPr>
        <w:ind w:left="567" w:hanging="567"/>
      </w:pPr>
    </w:p>
    <w:p w:rsidR="00000000" w:rsidRDefault="00000000">
      <w:pPr>
        <w:ind w:left="1134" w:hanging="1134"/>
      </w:pPr>
      <w:r>
        <w:tab/>
      </w:r>
      <w:r>
        <w:rPr>
          <w:lang w:val="en-US"/>
        </w:rPr>
        <w:t>f</w:t>
      </w:r>
      <w:r>
        <w:t>)</w:t>
      </w:r>
      <w:r>
        <w:tab/>
        <w:t>предоставление субсидий гминам для частичного финансирования жилищных субсидий;</w:t>
      </w:r>
    </w:p>
    <w:p w:rsidR="00000000" w:rsidRDefault="00000000">
      <w:pPr>
        <w:ind w:left="1134" w:hanging="1134"/>
      </w:pPr>
    </w:p>
    <w:p w:rsidR="00000000" w:rsidRDefault="00000000">
      <w:pPr>
        <w:ind w:left="1134" w:hanging="1134"/>
      </w:pPr>
      <w:r>
        <w:tab/>
      </w:r>
      <w:r>
        <w:rPr>
          <w:lang w:val="en-US"/>
        </w:rPr>
        <w:t>g</w:t>
      </w:r>
      <w:r>
        <w:t>)</w:t>
      </w:r>
      <w:r>
        <w:tab/>
        <w:t>выплата компенсации кандидатам на вступление в жилищные кооперативы (до конца 1998 года);</w:t>
      </w:r>
    </w:p>
    <w:p w:rsidR="00000000" w:rsidRDefault="00000000">
      <w:pPr>
        <w:ind w:left="1134" w:hanging="1134"/>
      </w:pPr>
    </w:p>
    <w:p w:rsidR="00000000" w:rsidRDefault="00000000">
      <w:pPr>
        <w:ind w:left="1134" w:hanging="1134"/>
      </w:pPr>
      <w:r>
        <w:tab/>
      </w:r>
      <w:r>
        <w:rPr>
          <w:lang w:val="en-US"/>
        </w:rPr>
        <w:t>h</w:t>
      </w:r>
      <w:r>
        <w:t>)</w:t>
      </w:r>
      <w:r>
        <w:tab/>
        <w:t>предоставление субсидий гминам для мелиорации/улучшения земель (до конца 1998 года);</w:t>
      </w:r>
    </w:p>
    <w:p w:rsidR="00000000" w:rsidRDefault="00000000">
      <w:pPr>
        <w:ind w:left="1134" w:hanging="1134"/>
      </w:pPr>
    </w:p>
    <w:p w:rsidR="00000000" w:rsidRDefault="00000000">
      <w:pPr>
        <w:ind w:left="1134" w:hanging="1134"/>
      </w:pPr>
      <w:r>
        <w:tab/>
      </w:r>
      <w:r>
        <w:rPr>
          <w:lang w:val="en-US"/>
        </w:rPr>
        <w:t>i</w:t>
      </w:r>
      <w:r>
        <w:t>)</w:t>
      </w:r>
      <w:r>
        <w:tab/>
        <w:t>предоставление субсидий жилищным кооперативам (на оплату поставляемой энергии и устранение дефектов, до конца 1998 года).</w:t>
      </w:r>
    </w:p>
    <w:p w:rsidR="00000000" w:rsidRDefault="00000000">
      <w:pPr>
        <w:ind w:left="1134" w:hanging="1134"/>
      </w:pPr>
    </w:p>
    <w:p w:rsidR="00000000" w:rsidRDefault="00000000">
      <w:pPr>
        <w:pStyle w:val="Heading7"/>
        <w:spacing w:line="288" w:lineRule="auto"/>
        <w:jc w:val="center"/>
        <w:rPr>
          <w:b w:val="0"/>
          <w:bCs w:val="0"/>
          <w:u w:val="single"/>
        </w:rPr>
      </w:pPr>
      <w:r>
        <w:rPr>
          <w:b w:val="0"/>
          <w:bCs w:val="0"/>
          <w:u w:val="single"/>
        </w:rPr>
        <w:t>Таблица 34</w:t>
      </w:r>
      <w:r>
        <w:rPr>
          <w:b w:val="0"/>
          <w:bCs w:val="0"/>
        </w:rPr>
        <w:t xml:space="preserve">.   </w:t>
      </w:r>
      <w:r>
        <w:rPr>
          <w:b w:val="0"/>
          <w:bCs w:val="0"/>
          <w:u w:val="single"/>
        </w:rPr>
        <w:t>Доля вышеуказанных бюджетных затрат в ВВП в 1995-1998 годах</w:t>
      </w:r>
    </w:p>
    <w:p w:rsidR="00000000" w:rsidRDefault="00000000"/>
    <w:tbl>
      <w:tblPr>
        <w:tblW w:w="0" w:type="auto"/>
        <w:tblInd w:w="1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8"/>
        <w:gridCol w:w="3364"/>
      </w:tblGrid>
      <w:tr w:rsidR="00000000">
        <w:tblPrEx>
          <w:tblCellMar>
            <w:top w:w="0" w:type="dxa"/>
            <w:bottom w:w="0" w:type="dxa"/>
          </w:tblCellMar>
        </w:tblPrEx>
        <w:tc>
          <w:tcPr>
            <w:tcW w:w="3368" w:type="dxa"/>
          </w:tcPr>
          <w:p w:rsidR="00000000" w:rsidRDefault="00000000">
            <w:pPr>
              <w:jc w:val="center"/>
            </w:pPr>
            <w:r>
              <w:t>Год</w:t>
            </w:r>
          </w:p>
        </w:tc>
        <w:tc>
          <w:tcPr>
            <w:tcW w:w="3364" w:type="dxa"/>
          </w:tcPr>
          <w:p w:rsidR="00000000" w:rsidRDefault="00000000">
            <w:pPr>
              <w:jc w:val="center"/>
            </w:pPr>
            <w:r>
              <w:t>Доля ВВП</w:t>
            </w:r>
          </w:p>
        </w:tc>
      </w:tr>
      <w:tr w:rsidR="00000000">
        <w:tblPrEx>
          <w:tblCellMar>
            <w:top w:w="0" w:type="dxa"/>
            <w:bottom w:w="0" w:type="dxa"/>
          </w:tblCellMar>
        </w:tblPrEx>
        <w:tc>
          <w:tcPr>
            <w:tcW w:w="3368" w:type="dxa"/>
          </w:tcPr>
          <w:p w:rsidR="00000000" w:rsidRDefault="00000000">
            <w:pPr>
              <w:jc w:val="center"/>
            </w:pPr>
            <w:r>
              <w:t>1995</w:t>
            </w:r>
          </w:p>
        </w:tc>
        <w:tc>
          <w:tcPr>
            <w:tcW w:w="3364" w:type="dxa"/>
          </w:tcPr>
          <w:p w:rsidR="00000000" w:rsidRDefault="00000000">
            <w:pPr>
              <w:jc w:val="center"/>
            </w:pPr>
            <w:r>
              <w:t>1,0%</w:t>
            </w:r>
          </w:p>
        </w:tc>
      </w:tr>
      <w:tr w:rsidR="00000000">
        <w:tblPrEx>
          <w:tblCellMar>
            <w:top w:w="0" w:type="dxa"/>
            <w:bottom w:w="0" w:type="dxa"/>
          </w:tblCellMar>
        </w:tblPrEx>
        <w:tc>
          <w:tcPr>
            <w:tcW w:w="3368" w:type="dxa"/>
          </w:tcPr>
          <w:p w:rsidR="00000000" w:rsidRDefault="00000000">
            <w:pPr>
              <w:jc w:val="center"/>
            </w:pPr>
            <w:r>
              <w:t>1996</w:t>
            </w:r>
          </w:p>
        </w:tc>
        <w:tc>
          <w:tcPr>
            <w:tcW w:w="3364" w:type="dxa"/>
          </w:tcPr>
          <w:p w:rsidR="00000000" w:rsidRDefault="00000000">
            <w:pPr>
              <w:jc w:val="center"/>
            </w:pPr>
            <w:r>
              <w:t>0,9%</w:t>
            </w:r>
          </w:p>
        </w:tc>
      </w:tr>
      <w:tr w:rsidR="00000000">
        <w:tblPrEx>
          <w:tblCellMar>
            <w:top w:w="0" w:type="dxa"/>
            <w:bottom w:w="0" w:type="dxa"/>
          </w:tblCellMar>
        </w:tblPrEx>
        <w:tc>
          <w:tcPr>
            <w:tcW w:w="3368" w:type="dxa"/>
          </w:tcPr>
          <w:p w:rsidR="00000000" w:rsidRDefault="00000000">
            <w:pPr>
              <w:jc w:val="center"/>
            </w:pPr>
            <w:r>
              <w:t>1997</w:t>
            </w:r>
          </w:p>
        </w:tc>
        <w:tc>
          <w:tcPr>
            <w:tcW w:w="3364" w:type="dxa"/>
          </w:tcPr>
          <w:p w:rsidR="00000000" w:rsidRDefault="00000000">
            <w:pPr>
              <w:jc w:val="center"/>
            </w:pPr>
            <w:r>
              <w:t>0,8%</w:t>
            </w:r>
          </w:p>
        </w:tc>
      </w:tr>
      <w:tr w:rsidR="00000000">
        <w:tblPrEx>
          <w:tblCellMar>
            <w:top w:w="0" w:type="dxa"/>
            <w:bottom w:w="0" w:type="dxa"/>
          </w:tblCellMar>
        </w:tblPrEx>
        <w:tc>
          <w:tcPr>
            <w:tcW w:w="3368" w:type="dxa"/>
          </w:tcPr>
          <w:p w:rsidR="00000000" w:rsidRDefault="00000000">
            <w:pPr>
              <w:jc w:val="center"/>
            </w:pPr>
            <w:r>
              <w:t>1998</w:t>
            </w:r>
          </w:p>
        </w:tc>
        <w:tc>
          <w:tcPr>
            <w:tcW w:w="3364" w:type="dxa"/>
          </w:tcPr>
          <w:p w:rsidR="00000000" w:rsidRDefault="00000000">
            <w:pPr>
              <w:jc w:val="center"/>
            </w:pPr>
            <w:r>
              <w:t>0,7%</w:t>
            </w:r>
          </w:p>
        </w:tc>
      </w:tr>
    </w:tbl>
    <w:p w:rsidR="00000000" w:rsidRDefault="00000000"/>
    <w:p w:rsidR="00000000" w:rsidRDefault="00000000">
      <w:r>
        <w:tab/>
      </w:r>
      <w:r>
        <w:rPr>
          <w:u w:val="single"/>
        </w:rPr>
        <w:t>Источник</w:t>
      </w:r>
      <w:r>
        <w:t>:  данные Управления жилищного строительства и градостроительства.</w:t>
      </w:r>
    </w:p>
    <w:p w:rsidR="00000000" w:rsidRDefault="00000000"/>
    <w:p w:rsidR="00000000" w:rsidRDefault="00000000">
      <w:pPr>
        <w:pStyle w:val="10"/>
        <w:ind w:left="1134" w:hanging="1134"/>
        <w:jc w:val="left"/>
        <w:rPr>
          <w:bCs/>
        </w:rPr>
      </w:pPr>
      <w:r>
        <w:rPr>
          <w:bCs/>
        </w:rPr>
        <w:tab/>
        <w:t>5.</w:t>
      </w:r>
      <w:r>
        <w:rPr>
          <w:bCs/>
        </w:rPr>
        <w:tab/>
        <w:t>Изменения, негативно затрагивающие право на надлежащее жилище</w:t>
      </w:r>
    </w:p>
    <w:p w:rsidR="00000000" w:rsidRDefault="00000000">
      <w:pPr>
        <w:pStyle w:val="10"/>
        <w:rPr>
          <w:bCs/>
        </w:rPr>
      </w:pPr>
    </w:p>
    <w:p w:rsidR="00000000" w:rsidRDefault="00000000">
      <w:r>
        <w:t>257.</w:t>
      </w:r>
      <w:r>
        <w:tab/>
        <w:t>За отчетный период в национальную политику и национальное законодательство не было внесено никаких изменений, которые могли бы неблагоприятно затронуть право на надлежащее жилище.  В практическом плане было вынесено больше судебных решений о выселении по сравнению с предыдущим периодом, особенно за невнесение в срок арендной платы (см. таблицу 31 выше).  Вместе с тем это следует рассматривать не как негативное изменение существующего положения, а как результат последовательного применения Закона от 2 июля 1994 года об арендной плате и жилищных субсидиях (Законодательный вестник за 1998 год, № 120, статья 787), который вступил в силу 12 ноября 1994 года.</w:t>
      </w:r>
    </w:p>
    <w:p w:rsidR="00000000" w:rsidRDefault="00000000"/>
    <w:p w:rsidR="00000000" w:rsidRDefault="00000000">
      <w:pPr>
        <w:ind w:left="567" w:hanging="567"/>
      </w:pPr>
      <w:r>
        <w:rPr>
          <w:b/>
          <w:bCs/>
        </w:rPr>
        <w:t>D.</w:t>
      </w:r>
      <w:r>
        <w:rPr>
          <w:b/>
          <w:bCs/>
        </w:rPr>
        <w:tab/>
        <w:t>Позиция Управления жилищного строительства и градостроительства в отношении пунктов 16 и 25 заключительных замечаний по предыдущему докладу (</w:t>
      </w:r>
      <w:r>
        <w:rPr>
          <w:b/>
          <w:bCs/>
          <w:lang w:val="en-US"/>
        </w:rPr>
        <w:t>E</w:t>
      </w:r>
      <w:r>
        <w:rPr>
          <w:b/>
          <w:bCs/>
        </w:rPr>
        <w:t>/</w:t>
      </w:r>
      <w:r>
        <w:rPr>
          <w:b/>
          <w:bCs/>
          <w:lang w:val="en-US"/>
        </w:rPr>
        <w:t>C</w:t>
      </w:r>
      <w:r>
        <w:rPr>
          <w:b/>
          <w:bCs/>
        </w:rPr>
        <w:t>.12/1/Add.26) применительно к жилищным вопросам</w:t>
      </w:r>
    </w:p>
    <w:p w:rsidR="00000000" w:rsidRDefault="00000000"/>
    <w:p w:rsidR="00000000" w:rsidRDefault="00000000">
      <w:r>
        <w:t>258.</w:t>
      </w:r>
      <w:r>
        <w:tab/>
        <w:t>Вопросы, касающиеся права на жилье и защиты арендаторов, а также вопросы выселения и предоставления другого жилья будут вновь поставлены на обсуждение и рассмотрение в связи с подготовкой следующих законопроектов:</w:t>
      </w:r>
    </w:p>
    <w:p w:rsidR="00000000" w:rsidRDefault="00000000"/>
    <w:p w:rsidR="00000000" w:rsidRDefault="00000000">
      <w:pPr>
        <w:ind w:left="1134" w:hanging="1134"/>
      </w:pPr>
      <w:r>
        <w:tab/>
        <w:t>-</w:t>
      </w:r>
      <w:r>
        <w:tab/>
        <w:t>закона об арендной плате и защите арендаторов, который находится на стадии межведомственного согласования;</w:t>
      </w:r>
    </w:p>
    <w:p w:rsidR="00000000" w:rsidRDefault="00000000"/>
    <w:p w:rsidR="00000000" w:rsidRDefault="00000000">
      <w:pPr>
        <w:ind w:left="1134" w:hanging="1134"/>
      </w:pPr>
      <w:r>
        <w:tab/>
        <w:t>-</w:t>
      </w:r>
      <w:r>
        <w:tab/>
        <w:t>закона о жилищных субсидиях, который передан для обсуждения в экономический комитет совета министров.</w:t>
      </w:r>
    </w:p>
    <w:p w:rsidR="00000000" w:rsidRDefault="00000000"/>
    <w:p w:rsidR="00000000" w:rsidRDefault="00000000">
      <w:r>
        <w:t>259.</w:t>
      </w:r>
      <w:r>
        <w:tab/>
        <w:t>В соответствии с пунктом 2 статьи 75 Конституции Польши защита прав нанимателей жилья обеспечивается законом, а согласно пункту 1 статьи 236 Конституции правительство несет ответственность за представление сейму законопроектов, имеющих важнейшее значение для применения положений Конституции, в течение двух лет со дня ее вступления в силу.  Кроме того, в соответствии с пунктом 1 статьи 75 Конституции, согласно которому государственные органы власти несут, в частности, ответственность за борьбу с бездомностью, для наиболее нуждающихся (бездомных, частных лиц и семей, временно оставшихся без крыши над головой, для семей, не имеющих доходов и в силу различных причин не имеющих даже права на получение социального жилья) планируется учредить программу социального жилья, которая предусматривала бы строительство общежитий, приютов и ночлежных домов.  Эта программа направлена на сокращение масштабов проблемы бездомных и бедности за счет предоставления (сравнительно быстро и по невысокой цене) крыши над головой людям, навсегда или на время потерявшим жилье, получившим увечья, пострадавшим от стихийных бедствий, одиноким матерям, не имеющим доходов, инвалидам, а также людям, оказавшимся на задворках общества.  Не менее важное значение имеет обеспечение возможности перестройки не используемых в настоящее время зданий, с тем чтобы привести их в пригодное для проживания состояние.  Для этого необходима возможность отхода от строительных правил и норм, что позволило бы строить социальное жилье коллективного типа (например, с общими кухнями, столовыми и ванными комнатами, а в случае ночлежек - и с общими спальнями).  Управление жилищного строительства и градостроительства подготовило законопроект о государственной помощи в создании и функционировании жилищных объектов для малоимущих и направило его в министерство труда и социальной политики для проведения анализа и возможного совместного представления этого законопроекта на межведомственном уровне для обсуждения.</w:t>
      </w:r>
    </w:p>
    <w:p w:rsidR="00000000" w:rsidRDefault="00000000"/>
    <w:p w:rsidR="00000000" w:rsidRDefault="00000000">
      <w:pPr>
        <w:pStyle w:val="10"/>
        <w:rPr>
          <w:bCs/>
        </w:rPr>
      </w:pPr>
      <w:r>
        <w:rPr>
          <w:bCs/>
        </w:rPr>
        <w:t>Е.</w:t>
      </w:r>
      <w:r>
        <w:rPr>
          <w:bCs/>
        </w:rPr>
        <w:tab/>
        <w:t>Новое законодательство и постановления органов исполнительной власти, имеющие отношение к статье 11</w:t>
      </w:r>
    </w:p>
    <w:p w:rsidR="00000000" w:rsidRDefault="00000000">
      <w:pPr>
        <w:pStyle w:val="10"/>
        <w:rPr>
          <w:bCs/>
        </w:rPr>
      </w:pPr>
    </w:p>
    <w:p w:rsidR="00000000" w:rsidRDefault="00000000">
      <w:r>
        <w:t>260.</w:t>
      </w:r>
      <w:r>
        <w:tab/>
        <w:t>К числу этих законов и постановлений относятся следующие:</w:t>
      </w:r>
    </w:p>
    <w:p w:rsidR="00000000" w:rsidRDefault="00000000"/>
    <w:p w:rsidR="00000000" w:rsidRDefault="00000000">
      <w:pPr>
        <w:ind w:left="1134" w:hanging="1134"/>
      </w:pPr>
      <w:r>
        <w:tab/>
        <w:t>-</w:t>
      </w:r>
      <w:r>
        <w:tab/>
        <w:t>статья 75 Конституции 1997 года (жилищные потребности граждан и защита прав квартиросъемщиков);</w:t>
      </w:r>
    </w:p>
    <w:p w:rsidR="00000000" w:rsidRDefault="00000000"/>
    <w:p w:rsidR="00000000" w:rsidRDefault="00000000">
      <w:pPr>
        <w:ind w:left="1134" w:hanging="1134"/>
      </w:pPr>
      <w:r>
        <w:tab/>
        <w:t>-</w:t>
      </w:r>
      <w:r>
        <w:tab/>
        <w:t>Закон от 16 сентября 1982 года с поправками - Закон о кооперативах (Законодательный вестник за 1995 год, № 54, статья 288);</w:t>
      </w:r>
    </w:p>
    <w:p w:rsidR="00000000" w:rsidRDefault="00000000"/>
    <w:p w:rsidR="00000000" w:rsidRDefault="00000000">
      <w:pPr>
        <w:ind w:left="1134" w:hanging="1134"/>
      </w:pPr>
      <w:r>
        <w:tab/>
        <w:t>-</w:t>
      </w:r>
      <w:r>
        <w:tab/>
        <w:t>Закон от 2 июля 1994 года об арендной плате и жилищных субсидиях с поправками от 21 августа 1997 года (Законодательный вестник за 1998 год, № 120, статья 787 с последующими поправками);</w:t>
      </w:r>
    </w:p>
    <w:p w:rsidR="00000000" w:rsidRDefault="00000000"/>
    <w:p w:rsidR="00000000" w:rsidRDefault="00000000">
      <w:pPr>
        <w:ind w:left="1134" w:hanging="1134"/>
      </w:pPr>
      <w:r>
        <w:tab/>
        <w:t>-</w:t>
      </w:r>
      <w:r>
        <w:tab/>
        <w:t>ряд поправок к Закону от 7 июля 1994 года - Строительные нормы и правила (Законодательный вестник за 1996 год, № 106, статья 496;  1997 год, № 111, статья 726;  № 133, статья 885;  № 141, статья 943;  1998 год, № 106, статья 668);</w:t>
      </w:r>
    </w:p>
    <w:p w:rsidR="00000000" w:rsidRDefault="00000000"/>
    <w:p w:rsidR="00000000" w:rsidRDefault="00000000">
      <w:pPr>
        <w:ind w:left="1134" w:hanging="1134"/>
      </w:pPr>
      <w:r>
        <w:tab/>
        <w:t>-</w:t>
      </w:r>
      <w:r>
        <w:tab/>
        <w:t>ряд поправок к Закону от 27 октября 1994 года о плате за проезд по шоссейным дорогам (Законодательный вестник за 1996 год, № 106, статья 496;  № 156, статья 775;  1997 год, № 133, статья 885;  1998 год, № 106, статья 668);</w:t>
      </w:r>
    </w:p>
    <w:p w:rsidR="00000000" w:rsidRDefault="00000000"/>
    <w:p w:rsidR="00000000" w:rsidRDefault="00000000">
      <w:pPr>
        <w:ind w:left="1134" w:hanging="1134"/>
      </w:pPr>
      <w:r>
        <w:tab/>
        <w:t>-</w:t>
      </w:r>
      <w:r>
        <w:tab/>
        <w:t>Закон от 26 октября 1995 года об отдельных видах поддержки жилищного строительства и поправках к отдельным законам;</w:t>
      </w:r>
    </w:p>
    <w:p w:rsidR="00000000" w:rsidRDefault="00000000"/>
    <w:p w:rsidR="00000000" w:rsidRDefault="00000000">
      <w:pPr>
        <w:ind w:left="1134" w:hanging="1134"/>
      </w:pPr>
      <w:r>
        <w:tab/>
        <w:t>-</w:t>
      </w:r>
      <w:r>
        <w:tab/>
        <w:t>Закон от 27 июня 1997 года об услугах по охране профессионального здоровья (Законодательный вестник за 1997 год, № 96, статья 593);</w:t>
      </w:r>
    </w:p>
    <w:p w:rsidR="00000000" w:rsidRDefault="00000000"/>
    <w:p w:rsidR="00000000" w:rsidRDefault="00000000">
      <w:pPr>
        <w:ind w:left="1134" w:hanging="1134"/>
      </w:pPr>
      <w:r>
        <w:tab/>
        <w:t>-</w:t>
      </w:r>
      <w:r>
        <w:tab/>
        <w:t>Закон от 21 августа 1997 года об управлении недвижимостью (Законодательный вестник за 1997 год, № 115, статья 741);</w:t>
      </w:r>
    </w:p>
    <w:p w:rsidR="00000000" w:rsidRDefault="00000000"/>
    <w:p w:rsidR="00000000" w:rsidRDefault="00000000">
      <w:pPr>
        <w:ind w:left="1134" w:hanging="1134"/>
      </w:pPr>
      <w:r>
        <w:tab/>
        <w:t>-</w:t>
      </w:r>
      <w:r>
        <w:tab/>
        <w:t>Постановление Совета министров от 28 июля 1998 года об установлении обстоятельств и причин несчастных случаев на производстве (Законодательный вестник за 1998 год, № 115, статья 744);</w:t>
      </w:r>
    </w:p>
    <w:p w:rsidR="00000000" w:rsidRDefault="00000000"/>
    <w:p w:rsidR="00000000" w:rsidRDefault="00000000">
      <w:pPr>
        <w:ind w:left="1134" w:hanging="1134"/>
      </w:pPr>
      <w:r>
        <w:tab/>
        <w:t>-</w:t>
      </w:r>
      <w:r>
        <w:tab/>
        <w:t>Распоряжение министра здравоохранения и социального обеспечения от 30 мая 1996 года о проведении медицинских осмотров работников, охвате деятельности по охране здоровья работников, а также медицинских диагнозах, ставящихся для целей, предусмотренных Кодексом законов о труде (Законодательный вестник, за 1996 год, № 86, статья 394);</w:t>
      </w:r>
    </w:p>
    <w:p w:rsidR="00000000" w:rsidRDefault="00000000"/>
    <w:p w:rsidR="00000000" w:rsidRDefault="00000000">
      <w:pPr>
        <w:ind w:left="1134" w:hanging="1134"/>
      </w:pPr>
      <w:r>
        <w:tab/>
        <w:t>-</w:t>
      </w:r>
      <w:r>
        <w:tab/>
        <w:t>Распоряжение министра труда и социальной политики от 26 сентября 1997 года об охране здоровья и безопасности на производстве (Законодательный вестник за 1997 год, № 129, статья 844);</w:t>
      </w:r>
    </w:p>
    <w:p w:rsidR="00000000" w:rsidRDefault="00000000"/>
    <w:p w:rsidR="00000000" w:rsidRDefault="00000000">
      <w:pPr>
        <w:ind w:left="1134" w:hanging="1134"/>
      </w:pPr>
      <w:r>
        <w:tab/>
        <w:t>-</w:t>
      </w:r>
      <w:r>
        <w:tab/>
        <w:t>Распоряжение министра охраны окружающей среды, природных ресурсов и лесного хозяйства от 5 июня 1995 года о требованиях, которые должны соблюдаться при оценке воздействия шоссейных дорог на природную среду, сельскохозяйственные земли и леса, а также охраняемые культурные ценности (Законодательный вестник за 1995 год, № 64, статья 332);</w:t>
      </w:r>
    </w:p>
    <w:p w:rsidR="00000000" w:rsidRDefault="00000000"/>
    <w:p w:rsidR="00000000" w:rsidRDefault="00000000">
      <w:pPr>
        <w:ind w:left="1134" w:hanging="1134"/>
      </w:pPr>
      <w:r>
        <w:tab/>
        <w:t>-</w:t>
      </w:r>
      <w:r>
        <w:tab/>
        <w:t>Распоряжение министра охраны окружающей среды, природных ресурсов и лесного хозяйства от 14 июля 1998 года о видах инвестиционных проектов, оказывающих особо вредное влияние на санитарное состояние окружающей среды и здоровье человека или способных привести к ухудшению состояния окружающей среды, а также о требованиях, которые должны быть соблюдены при оценке воздействия этих капиталовложений на окружающую среду (Законодательный вестник за 1998 год, № 93, статья 589);</w:t>
      </w:r>
    </w:p>
    <w:p w:rsidR="00000000" w:rsidRDefault="00000000"/>
    <w:p w:rsidR="00000000" w:rsidRDefault="00000000">
      <w:pPr>
        <w:ind w:left="1134" w:hanging="1134"/>
      </w:pPr>
      <w:r>
        <w:tab/>
        <w:t>-</w:t>
      </w:r>
      <w:r>
        <w:tab/>
        <w:t>Распоряжение министра охраны окружающей среды, природных ресурсов и лесного хозяйства от 14 июля 1998 года о требованиях, которые должны соблюдаться при оценке воздействия на окружающую среду инвестиций, не относимых к категории наносящих особый ущерб санитарному состоянию окружающей среды и здоровью человека или же способных привести к ухудшению состояния окружающей среды, а также при оценке воздействия на окружающую среду сооружений и работ, затрагивающих водные отношения (Законодательный вестник за 1998 год, № 93, статья 590).</w:t>
      </w:r>
    </w:p>
    <w:p w:rsidR="00000000" w:rsidRDefault="00000000"/>
    <w:p w:rsidR="00000000" w:rsidRDefault="00000000">
      <w:pPr>
        <w:pStyle w:val="10"/>
        <w:rPr>
          <w:bCs/>
        </w:rPr>
      </w:pPr>
      <w:r>
        <w:br w:type="page"/>
      </w:r>
      <w:r>
        <w:rPr>
          <w:bCs/>
        </w:rPr>
        <w:t>VII.</w:t>
      </w:r>
      <w:r>
        <w:rPr>
          <w:bCs/>
        </w:rPr>
        <w:tab/>
        <w:t>ОСУЩЕСТВЛЕНИЕ ПРАВ, ЗАКРЕПЛЕННЫХ В СТАТЬЕ 12</w:t>
      </w:r>
    </w:p>
    <w:p w:rsidR="00000000" w:rsidRDefault="00000000">
      <w:pPr>
        <w:pStyle w:val="10"/>
        <w:rPr>
          <w:bCs/>
        </w:rPr>
      </w:pPr>
    </w:p>
    <w:p w:rsidR="00000000" w:rsidRDefault="00000000">
      <w:pPr>
        <w:jc w:val="center"/>
        <w:rPr>
          <w:b/>
          <w:bCs/>
        </w:rPr>
      </w:pPr>
      <w:r>
        <w:rPr>
          <w:b/>
          <w:bCs/>
        </w:rPr>
        <w:t>A.</w:t>
      </w:r>
      <w:r>
        <w:rPr>
          <w:b/>
          <w:bCs/>
        </w:rPr>
        <w:tab/>
        <w:t>Физическое и психическое здоровье населения</w:t>
      </w:r>
    </w:p>
    <w:p w:rsidR="00000000" w:rsidRDefault="00000000">
      <w:pPr>
        <w:jc w:val="center"/>
        <w:rPr>
          <w:b/>
          <w:bCs/>
        </w:rPr>
      </w:pPr>
    </w:p>
    <w:p w:rsidR="00000000" w:rsidRDefault="00000000">
      <w:r>
        <w:t>261.</w:t>
      </w:r>
      <w:r>
        <w:tab/>
        <w:t>В связи с общей оценкой, изложенной в предыдущем докладе, мы можем указать, что в период 1995-1998 годов:</w:t>
      </w:r>
    </w:p>
    <w:p w:rsidR="00000000" w:rsidRDefault="00000000"/>
    <w:p w:rsidR="00000000" w:rsidRDefault="00000000">
      <w:pPr>
        <w:ind w:left="1134" w:hanging="1134"/>
      </w:pPr>
      <w:r>
        <w:tab/>
        <w:t>-</w:t>
      </w:r>
      <w:r>
        <w:tab/>
        <w:t>положение в области заболеваний сердечно-сосудистой системы несколько улучшилось (снизилась в процентном отношении смертность от этих заболеваний);</w:t>
      </w:r>
    </w:p>
    <w:p w:rsidR="00000000" w:rsidRDefault="00000000">
      <w:pPr>
        <w:ind w:left="1134" w:hanging="1134"/>
      </w:pPr>
    </w:p>
    <w:p w:rsidR="00000000" w:rsidRDefault="00000000">
      <w:pPr>
        <w:ind w:left="1134" w:hanging="1134"/>
      </w:pPr>
      <w:r>
        <w:tab/>
        <w:t>-</w:t>
      </w:r>
      <w:r>
        <w:tab/>
        <w:t>положение в области опухолевых образований не улучшилось;</w:t>
      </w:r>
    </w:p>
    <w:p w:rsidR="00000000" w:rsidRDefault="00000000">
      <w:pPr>
        <w:ind w:left="1134" w:hanging="1134"/>
      </w:pPr>
    </w:p>
    <w:p w:rsidR="00000000" w:rsidRDefault="00000000">
      <w:pPr>
        <w:ind w:left="1134" w:hanging="1134"/>
      </w:pPr>
      <w:r>
        <w:tab/>
        <w:t>-</w:t>
      </w:r>
      <w:r>
        <w:tab/>
        <w:t>положение в отношении инфекционных заболеваний улучшилось;</w:t>
      </w:r>
    </w:p>
    <w:p w:rsidR="00000000" w:rsidRDefault="00000000">
      <w:pPr>
        <w:ind w:left="1134" w:hanging="1134"/>
      </w:pPr>
    </w:p>
    <w:p w:rsidR="00000000" w:rsidRDefault="00000000">
      <w:pPr>
        <w:ind w:left="1134" w:hanging="1134"/>
      </w:pPr>
      <w:r>
        <w:tab/>
        <w:t>-</w:t>
      </w:r>
      <w:r>
        <w:tab/>
        <w:t>в целом уровень смертности снизился, однако сохранялся чрезмерно высокий уровень смертности среди мужчин;</w:t>
      </w:r>
    </w:p>
    <w:p w:rsidR="00000000" w:rsidRDefault="00000000">
      <w:pPr>
        <w:ind w:left="1134" w:hanging="1134"/>
      </w:pPr>
    </w:p>
    <w:p w:rsidR="00000000" w:rsidRDefault="00000000">
      <w:pPr>
        <w:ind w:left="1134" w:hanging="1134"/>
      </w:pPr>
      <w:r>
        <w:tab/>
        <w:t>-</w:t>
      </w:r>
      <w:r>
        <w:tab/>
        <w:t>произошло существенное снижение уровня детской смертности;</w:t>
      </w:r>
    </w:p>
    <w:p w:rsidR="00000000" w:rsidRDefault="00000000">
      <w:pPr>
        <w:ind w:left="1134" w:hanging="1134"/>
      </w:pPr>
    </w:p>
    <w:p w:rsidR="00000000" w:rsidRDefault="00000000">
      <w:pPr>
        <w:ind w:left="1134" w:hanging="1134"/>
      </w:pPr>
      <w:r>
        <w:tab/>
        <w:t>-</w:t>
      </w:r>
      <w:r>
        <w:tab/>
        <w:t>существенно возросла средняя продолжительность предстоящей жизни при рождении, особенно для женщин;</w:t>
      </w:r>
    </w:p>
    <w:p w:rsidR="00000000" w:rsidRDefault="00000000">
      <w:pPr>
        <w:ind w:left="1134" w:hanging="1134"/>
      </w:pPr>
    </w:p>
    <w:p w:rsidR="00000000" w:rsidRDefault="00000000">
      <w:pPr>
        <w:ind w:left="1134" w:hanging="1134"/>
      </w:pPr>
      <w:r>
        <w:tab/>
        <w:t>-</w:t>
      </w:r>
      <w:r>
        <w:tab/>
        <w:t>сохранялись территориальные различия в уровне смертности.</w:t>
      </w:r>
    </w:p>
    <w:p w:rsidR="00000000" w:rsidRDefault="00000000">
      <w:pPr>
        <w:ind w:left="1134" w:hanging="1134"/>
      </w:pPr>
    </w:p>
    <w:p w:rsidR="00000000" w:rsidRDefault="00000000">
      <w:pPr>
        <w:pStyle w:val="Heading2"/>
        <w:rPr>
          <w:b/>
          <w:bCs/>
          <w:u w:val="none"/>
        </w:rPr>
      </w:pPr>
      <w:r>
        <w:rPr>
          <w:b/>
          <w:bCs/>
          <w:u w:val="none"/>
        </w:rPr>
        <w:t>Сердечно-сосудистые заболевания</w:t>
      </w:r>
    </w:p>
    <w:p w:rsidR="00000000" w:rsidRDefault="00000000">
      <w:pPr>
        <w:pStyle w:val="Heading2"/>
      </w:pPr>
    </w:p>
    <w:p w:rsidR="00000000" w:rsidRDefault="00000000">
      <w:r>
        <w:t>262.</w:t>
      </w:r>
      <w:r>
        <w:tab/>
        <w:t>В течение рассматриваемого периода эти заболевания оставались главной причиной смертности.  В 1995 году на долю сердечно-сосудистых заболеваний приходилось 50,4% случаев смерти (194 710 случаев), из которых примерно 46% составляли мужчины и 56% женщины.  В 1996 году эти заболевания были причиной 45,7% случаев смерти среди мужчин и 55,6% среди женщин.  Вместе с тем в 1991 году наметилась тенденция к снижению этого показателя.  Основными причинами смерти были заболевания сосудов, вызванные атероматозом, ишемическая болезнь сердца и цереброваскулярные заболевания.  Растет число случаев гипертонии (в настоящее время ею страдает примерно 20% населения).  Болезни системы кровообращения были главной причиной госпитализации (примерно 20% для мужчин и примерно 16% для женщин).  Примерно 30% мужчин и около 20% женщин умерли от инфаркта вне больницы;  период времени между появлением первых симптомов и госпитализацией был слишком продолжительным.</w:t>
      </w:r>
    </w:p>
    <w:p w:rsidR="00000000" w:rsidRDefault="00000000">
      <w:pPr>
        <w:widowControl w:val="0"/>
      </w:pPr>
    </w:p>
    <w:p w:rsidR="00000000" w:rsidRDefault="00000000">
      <w:pPr>
        <w:pStyle w:val="Heading2"/>
        <w:keepNext w:val="0"/>
        <w:widowControl w:val="0"/>
        <w:rPr>
          <w:b/>
          <w:bCs/>
          <w:u w:val="none"/>
        </w:rPr>
      </w:pPr>
      <w:r>
        <w:rPr>
          <w:b/>
          <w:bCs/>
          <w:u w:val="none"/>
        </w:rPr>
        <w:t>Злокачественные новообразования</w:t>
      </w:r>
    </w:p>
    <w:p w:rsidR="00000000" w:rsidRDefault="00000000">
      <w:pPr>
        <w:pStyle w:val="Heading2"/>
        <w:keepNext w:val="0"/>
        <w:widowControl w:val="0"/>
      </w:pPr>
    </w:p>
    <w:p w:rsidR="00000000" w:rsidRDefault="00000000">
      <w:pPr>
        <w:widowControl w:val="0"/>
      </w:pPr>
      <w:r>
        <w:t>263.</w:t>
      </w:r>
      <w:r>
        <w:tab/>
        <w:t>Эти заболевания были второй по значению причиной смерти (на их долю приходилось 21,5% случаев смерти среди мужчин и почти 18% среди женщин).  В период 1995-1998 годов главной причиной роста числа раковых заболеваний были злокачественные опухоли трахеи, бронхов и легких наряду с злокачественными образованиями в нижней части желудочно-кишечного тракта (особенно рак прямой кишки) и раком поджелудочной железы.  Среди женщин наиболее распространенными являются опухоли груди и шейки матки.  Есть признаки резкого снижения числа раковых заболеваний и смерти в результате таких заболеваний, однако они по</w:t>
      </w:r>
      <w:r>
        <w:noBreakHyphen/>
        <w:t>прежнему являлись причиной 10% всех случаев госпитализации в Польше.  Наиболее высокий рост числа пациентов, помещенных в больницы, приходился на больных раком легких.  В 1995 году злокачественные новообразования были обнаружены у 105 186 человек (в том числе 49 759 женщин), т.е. 272,6 случая заболеваний на 100 000 человек населения.</w:t>
      </w:r>
    </w:p>
    <w:p w:rsidR="00000000" w:rsidRDefault="00000000"/>
    <w:p w:rsidR="00000000" w:rsidRDefault="00000000">
      <w:pPr>
        <w:pStyle w:val="Heading2"/>
        <w:rPr>
          <w:b/>
          <w:bCs/>
          <w:u w:val="none"/>
        </w:rPr>
      </w:pPr>
      <w:r>
        <w:rPr>
          <w:b/>
          <w:bCs/>
          <w:u w:val="none"/>
        </w:rPr>
        <w:t>Травмы и отравления</w:t>
      </w:r>
    </w:p>
    <w:p w:rsidR="00000000" w:rsidRDefault="00000000">
      <w:pPr>
        <w:pStyle w:val="Heading2"/>
      </w:pPr>
    </w:p>
    <w:p w:rsidR="00000000" w:rsidRDefault="00000000">
      <w:r>
        <w:t>264.</w:t>
      </w:r>
      <w:r>
        <w:tab/>
        <w:t>Основной причиной смерти среди мужчин в возрасте от 1-45 лет и женщин в возрасте от 1-35 лет были такие внешние факторы, как травмы и отравления.  Значительная часть подобных случаев приходится на долю автомобильных аварий:  приблизительно одна четверть для мужчин и пятая часть для женщин (один из наиболее высоких показателей в Европе).  В 1995 году в 56 904 автомобильных авариях погибли 6 900 человек, причем порядка 40% из них составляли пешеходы.  При этом число лиц, получивших травмы, почти в десять раз превышало этот показатель.  В 1995 году 5 499 человек совершили самоубийство.  Из общего числа людей, помещенных в больницы, 14% мужчин и 6% женщин проходили курс лечения от травм или отравлений.  В 1995 году было отмечено 34 436 случаев пищевых отравлений и 9 678 случаев отравления химическими веществами;  в 1996 году эти показатели составляли соответственно 29 296 и 10 376, а в 1997 году было отмечено 8 900 случаев отравления химическими веществами (23 случая на 100 000 человек).</w:t>
      </w:r>
    </w:p>
    <w:p w:rsidR="00000000" w:rsidRDefault="00000000"/>
    <w:p w:rsidR="00000000" w:rsidRDefault="00000000">
      <w:pPr>
        <w:pStyle w:val="Heading2"/>
        <w:rPr>
          <w:b/>
          <w:bCs/>
          <w:u w:val="none"/>
        </w:rPr>
      </w:pPr>
      <w:r>
        <w:rPr>
          <w:b/>
          <w:bCs/>
          <w:u w:val="none"/>
        </w:rPr>
        <w:t>Неинфекционные заболевания дыхательной и пищеварительной системы</w:t>
      </w:r>
    </w:p>
    <w:p w:rsidR="00000000" w:rsidRDefault="00000000">
      <w:pPr>
        <w:pStyle w:val="Heading2"/>
      </w:pPr>
    </w:p>
    <w:p w:rsidR="00000000" w:rsidRDefault="00000000">
      <w:r>
        <w:t>265.</w:t>
      </w:r>
      <w:r>
        <w:tab/>
        <w:t>Эти заболевания были причиной каждого пятнадцатого случая смерти в отчетный период.  Вместе с тем имело место постепенное уменьшение уровня смертности.  Основной причиной смерти от заболеваний органов дыхания среди мужчин была хроническая эмболия легких (включая астму), а среди женщин - пневмония.  Что касается заболеваний пищеварительной системы, то основной причиной смерти как среди мужчин, так и среди женщин был цирроз печени.  Одна четверть случаев госпитализации мужчин и одна пятая часть госпитализации женщин были вызваны этими заболеваниями.  Что касается заболеваний респираторной системы, то основными причинами госпитализации была пневмония, а среди заболеваний системы пищеварения на первом месте здесь стоят пупочная грыжа (мужчины) и холелитиаз (женщины).</w:t>
      </w:r>
    </w:p>
    <w:p w:rsidR="00000000" w:rsidRDefault="00000000"/>
    <w:p w:rsidR="00000000" w:rsidRDefault="00000000">
      <w:pPr>
        <w:pStyle w:val="Heading2"/>
        <w:rPr>
          <w:b/>
          <w:bCs/>
          <w:u w:val="none"/>
        </w:rPr>
      </w:pPr>
      <w:r>
        <w:rPr>
          <w:b/>
          <w:bCs/>
          <w:u w:val="none"/>
        </w:rPr>
        <w:t>Инфекционные заболевания</w:t>
      </w:r>
    </w:p>
    <w:p w:rsidR="00000000" w:rsidRDefault="00000000">
      <w:pPr>
        <w:pStyle w:val="Heading2"/>
      </w:pPr>
    </w:p>
    <w:p w:rsidR="00000000" w:rsidRDefault="00000000">
      <w:r>
        <w:t>266.</w:t>
      </w:r>
      <w:r>
        <w:tab/>
        <w:t>С начала 90-х годов благодаря профилактическим прививкам и общему прогрессу в области здравоохранения, а также улучшению жилищных условий удалось достичь общего сокращения числа случаев наиболее распространенных инфекционных заболеваний (что касается пневмонии, то это произошло в середине 90-х годов).  Согласно данным за 1996 год, отмечались следующие инфекционные заболевания:</w:t>
      </w:r>
    </w:p>
    <w:p w:rsidR="00000000" w:rsidRDefault="00000000"/>
    <w:p w:rsidR="00000000" w:rsidRDefault="00000000">
      <w:pPr>
        <w:ind w:left="1134" w:hanging="1134"/>
      </w:pPr>
      <w:r>
        <w:tab/>
        <w:t>-</w:t>
      </w:r>
      <w:r>
        <w:tab/>
        <w:t>туберкулез - 39 случаев на 100 000 человек (в общей сложности 15 358 случаев);</w:t>
      </w:r>
    </w:p>
    <w:p w:rsidR="00000000" w:rsidRDefault="00000000">
      <w:pPr>
        <w:ind w:left="1134" w:hanging="1134"/>
      </w:pPr>
    </w:p>
    <w:p w:rsidR="00000000" w:rsidRDefault="00000000">
      <w:pPr>
        <w:ind w:left="1134" w:hanging="1134"/>
      </w:pPr>
      <w:r>
        <w:tab/>
        <w:t>-</w:t>
      </w:r>
      <w:r>
        <w:tab/>
        <w:t>вирусный гепатит - 47,8 случая на 100 000 человек (в общей сложности 18 456 случаев);</w:t>
      </w:r>
    </w:p>
    <w:p w:rsidR="00000000" w:rsidRDefault="00000000">
      <w:pPr>
        <w:ind w:left="1134" w:hanging="1134"/>
      </w:pPr>
    </w:p>
    <w:p w:rsidR="00000000" w:rsidRDefault="00000000">
      <w:pPr>
        <w:ind w:left="1134" w:hanging="1134"/>
      </w:pPr>
      <w:r>
        <w:tab/>
        <w:t>-</w:t>
      </w:r>
      <w:r>
        <w:tab/>
        <w:t>дифтерит - практически 0 случаев на 100 000 человек (в общей сложности 9 случаев);</w:t>
      </w:r>
    </w:p>
    <w:p w:rsidR="00000000" w:rsidRDefault="00000000">
      <w:pPr>
        <w:ind w:left="1134" w:hanging="1134"/>
      </w:pPr>
    </w:p>
    <w:p w:rsidR="00000000" w:rsidRDefault="00000000">
      <w:pPr>
        <w:ind w:left="1134" w:hanging="1134"/>
      </w:pPr>
      <w:r>
        <w:tab/>
        <w:t>-</w:t>
      </w:r>
      <w:r>
        <w:tab/>
        <w:t>столбняк - 0,1 на 100 000 человек (в общей сложности 46 случаев);</w:t>
      </w:r>
    </w:p>
    <w:p w:rsidR="00000000" w:rsidRDefault="00000000">
      <w:pPr>
        <w:ind w:left="1134" w:hanging="1134"/>
      </w:pPr>
    </w:p>
    <w:p w:rsidR="00000000" w:rsidRDefault="00000000">
      <w:pPr>
        <w:ind w:left="1134" w:hanging="1134"/>
      </w:pPr>
      <w:r>
        <w:tab/>
        <w:t>-</w:t>
      </w:r>
      <w:r>
        <w:tab/>
        <w:t>коклюш - 0,9 на 100 000 человек (в общей сложности 330 случаев);</w:t>
      </w:r>
    </w:p>
    <w:p w:rsidR="00000000" w:rsidRDefault="00000000">
      <w:pPr>
        <w:ind w:left="1134" w:hanging="1134"/>
      </w:pPr>
    </w:p>
    <w:p w:rsidR="00000000" w:rsidRDefault="00000000">
      <w:pPr>
        <w:ind w:left="1134" w:hanging="1134"/>
      </w:pPr>
      <w:r>
        <w:tab/>
        <w:t>-</w:t>
      </w:r>
      <w:r>
        <w:tab/>
        <w:t>полиомиелит - ни одного случая;</w:t>
      </w:r>
    </w:p>
    <w:p w:rsidR="00000000" w:rsidRDefault="00000000">
      <w:pPr>
        <w:ind w:left="1134" w:hanging="1134"/>
      </w:pPr>
    </w:p>
    <w:p w:rsidR="00000000" w:rsidRDefault="00000000">
      <w:pPr>
        <w:ind w:left="1134" w:hanging="1134"/>
      </w:pPr>
      <w:r>
        <w:tab/>
        <w:t>-</w:t>
      </w:r>
      <w:r>
        <w:tab/>
        <w:t>корь - 1,7 на 100 000 человек (в общей сложности 639 случаев).</w:t>
      </w:r>
    </w:p>
    <w:p w:rsidR="00000000" w:rsidRDefault="00000000">
      <w:pPr>
        <w:ind w:left="1134" w:hanging="1134"/>
      </w:pPr>
    </w:p>
    <w:p w:rsidR="00000000" w:rsidRDefault="00000000">
      <w:r>
        <w:t>267.</w:t>
      </w:r>
      <w:r>
        <w:tab/>
        <w:t>Данные за 1997 год (данные по туберкулезу за 1997 год отсутствуют):</w:t>
      </w:r>
    </w:p>
    <w:p w:rsidR="00000000" w:rsidRDefault="00000000"/>
    <w:p w:rsidR="00000000" w:rsidRDefault="00000000">
      <w:pPr>
        <w:ind w:left="1134" w:hanging="1134"/>
      </w:pPr>
      <w:r>
        <w:tab/>
        <w:t>-</w:t>
      </w:r>
      <w:r>
        <w:tab/>
        <w:t>вирусный гепатит - 27,7 случая на 100 000 человек (в общей сложности 10 715 случаев);</w:t>
      </w:r>
    </w:p>
    <w:p w:rsidR="00000000" w:rsidRDefault="00000000">
      <w:pPr>
        <w:ind w:left="1134" w:hanging="1134"/>
      </w:pPr>
    </w:p>
    <w:p w:rsidR="00000000" w:rsidRDefault="00000000">
      <w:pPr>
        <w:ind w:left="1134" w:hanging="1134"/>
      </w:pPr>
      <w:r>
        <w:tab/>
        <w:t>-</w:t>
      </w:r>
      <w:r>
        <w:tab/>
        <w:t>дифтерит ни одного случая;</w:t>
      </w:r>
    </w:p>
    <w:p w:rsidR="00000000" w:rsidRDefault="00000000"/>
    <w:p w:rsidR="00000000" w:rsidRDefault="00000000">
      <w:pPr>
        <w:ind w:left="567"/>
      </w:pPr>
      <w:r>
        <w:t>-</w:t>
      </w:r>
      <w:r>
        <w:tab/>
        <w:t xml:space="preserve">столбняк </w:t>
      </w:r>
      <w:r>
        <w:noBreakHyphen/>
        <w:t xml:space="preserve"> 0,1 на 100 000 человек (в общей сложности 37 случаев);</w:t>
      </w:r>
    </w:p>
    <w:p w:rsidR="00000000" w:rsidRDefault="00000000">
      <w:pPr>
        <w:tabs>
          <w:tab w:val="clear" w:pos="1134"/>
        </w:tabs>
        <w:ind w:left="567"/>
      </w:pPr>
    </w:p>
    <w:p w:rsidR="00000000" w:rsidRDefault="00000000">
      <w:pPr>
        <w:ind w:left="567"/>
      </w:pPr>
      <w:r>
        <w:t>-</w:t>
      </w:r>
      <w:r>
        <w:tab/>
        <w:t xml:space="preserve">коклюш </w:t>
      </w:r>
      <w:r>
        <w:noBreakHyphen/>
        <w:t xml:space="preserve"> 5,4 на 100 000 человек (в общей сложности 2 092 случая);</w:t>
      </w:r>
    </w:p>
    <w:p w:rsidR="00000000" w:rsidRDefault="00000000">
      <w:pPr>
        <w:tabs>
          <w:tab w:val="clear" w:pos="1134"/>
        </w:tabs>
        <w:ind w:left="567"/>
      </w:pPr>
    </w:p>
    <w:p w:rsidR="00000000" w:rsidRDefault="00000000">
      <w:pPr>
        <w:ind w:left="567"/>
      </w:pPr>
      <w:r>
        <w:t>-</w:t>
      </w:r>
      <w:r>
        <w:tab/>
        <w:t xml:space="preserve">полиомиелит </w:t>
      </w:r>
      <w:r>
        <w:noBreakHyphen/>
        <w:t xml:space="preserve"> ни одного случая;</w:t>
      </w:r>
    </w:p>
    <w:p w:rsidR="00000000" w:rsidRDefault="00000000">
      <w:pPr>
        <w:tabs>
          <w:tab w:val="clear" w:pos="1134"/>
        </w:tabs>
        <w:ind w:left="567"/>
      </w:pPr>
    </w:p>
    <w:p w:rsidR="00000000" w:rsidRDefault="00000000">
      <w:pPr>
        <w:ind w:left="567"/>
      </w:pPr>
      <w:r>
        <w:t>-</w:t>
      </w:r>
      <w:r>
        <w:tab/>
        <w:t xml:space="preserve">корь </w:t>
      </w:r>
      <w:r>
        <w:noBreakHyphen/>
        <w:t xml:space="preserve"> 0,9 на 100 000 человек (в общей сложности 338 случаев).</w:t>
      </w:r>
    </w:p>
    <w:p w:rsidR="00000000" w:rsidRDefault="00000000">
      <w:pPr>
        <w:tabs>
          <w:tab w:val="clear" w:pos="1134"/>
        </w:tabs>
        <w:ind w:left="567"/>
      </w:pPr>
    </w:p>
    <w:p w:rsidR="00000000" w:rsidRDefault="00000000">
      <w:r>
        <w:t>268.</w:t>
      </w:r>
      <w:r>
        <w:tab/>
        <w:t>После временного резкого роста заболеваемости вирусным гепатитом (30 276 случаев в 1995 году) в 1996 году наблюдалось сокращение числа случаев этого заболевания.  Вирусный гепатит ведет к хроническому воспалению, циррозу и раку печени.  Число случаев заболевания дифтеритом сокращается.  Столбняк почти ликвидирован.  Рост числа случаев заболевания коклюшем носил временный характер.  Что касается ВИЧ, то масштабы этого явления не столь велики, как во многих западноевропейских или североамериканских государствах.  В 1985</w:t>
      </w:r>
      <w:r>
        <w:noBreakHyphen/>
        <w:t>1998 годах этим вирусом заразились 4 990 польских граждан (хотя неофициальные оценочные данные указывают на то, что на середину 90</w:t>
      </w:r>
      <w:r>
        <w:noBreakHyphen/>
        <w:t>х годов число таких лиц составляло 12 000 человек);  из них 3 267 человек заразились в результате употребления наркотиков.  Зарегистрированы 606 случаев заболевания СПИДом (согласно подробным регистрационным данным, 114 человек заболели СПИДом в 1995 году и 105 человек </w:t>
      </w:r>
      <w:r>
        <w:noBreakHyphen/>
        <w:t xml:space="preserve"> в 1996 году).  До 1997 года общее число лиц, умерших от СПИДа в Польше, составляло 359 человек.  Во всех крупных городах Польши обеспечивается лечение этого заболевания в 11 специализированных клиниках.  В Центре диагностики и лечения СПИДа проходят лечение примерно 250 пациентов, половина из которых пользуются средствами из бюджета министерства здравоохранения и социального обеспечения.  Другие центры финансируются из средств региональных бюджетов воеводств.</w:t>
      </w:r>
    </w:p>
    <w:p w:rsidR="00000000" w:rsidRDefault="00000000"/>
    <w:p w:rsidR="00000000" w:rsidRDefault="00000000">
      <w:pPr>
        <w:pStyle w:val="Heading2"/>
        <w:rPr>
          <w:b/>
          <w:bCs/>
          <w:u w:val="none"/>
        </w:rPr>
      </w:pPr>
      <w:r>
        <w:rPr>
          <w:b/>
          <w:bCs/>
          <w:u w:val="none"/>
        </w:rPr>
        <w:t>Профессиональные заболевания</w:t>
      </w:r>
    </w:p>
    <w:p w:rsidR="00000000" w:rsidRDefault="00000000">
      <w:pPr>
        <w:pStyle w:val="Heading2"/>
      </w:pPr>
    </w:p>
    <w:p w:rsidR="00000000" w:rsidRDefault="00000000">
      <w:r>
        <w:t>269.</w:t>
      </w:r>
      <w:r>
        <w:tab/>
        <w:t>За последние 20 лет наметилась тенденция к росту числа этих заболеваний.  Число случаев таких заболеваний за отчетный период было следующим:  11 320 </w:t>
      </w:r>
      <w:r>
        <w:noBreakHyphen/>
        <w:t xml:space="preserve"> в 1995 году, 11 318 </w:t>
      </w:r>
      <w:r>
        <w:noBreakHyphen/>
        <w:t xml:space="preserve"> в 1996 году, 11 685 </w:t>
      </w:r>
      <w:r>
        <w:noBreakHyphen/>
        <w:t xml:space="preserve"> в 1997 году и 12 017 </w:t>
      </w:r>
      <w:r>
        <w:noBreakHyphen/>
        <w:t xml:space="preserve"> в 1998 году.  См. также таблицы 15 и 16 в разделе II.</w:t>
      </w:r>
    </w:p>
    <w:p w:rsidR="00000000" w:rsidRDefault="00000000"/>
    <w:p w:rsidR="00000000" w:rsidRDefault="00000000">
      <w:pPr>
        <w:pStyle w:val="Heading2"/>
        <w:rPr>
          <w:b/>
          <w:bCs/>
          <w:u w:val="none"/>
        </w:rPr>
      </w:pPr>
      <w:r>
        <w:rPr>
          <w:b/>
          <w:bCs/>
          <w:u w:val="none"/>
        </w:rPr>
        <w:br w:type="page"/>
        <w:t>Инвалидность</w:t>
      </w:r>
    </w:p>
    <w:p w:rsidR="00000000" w:rsidRDefault="00000000">
      <w:pPr>
        <w:pStyle w:val="Heading2"/>
      </w:pPr>
    </w:p>
    <w:p w:rsidR="00000000" w:rsidRDefault="00000000">
      <w:r>
        <w:t>270.</w:t>
      </w:r>
      <w:r>
        <w:tab/>
        <w:t>В 1996 году, согласно оценочным данным Национальной программы здравоохранения, число лиц в возрасте старше 15 лет, имеющих инвалидность, составляло примерно 5,1 млн. человек (примерно 13% населения).  Примерно в одной трети случаев инвалидность возникла в возрасте 40</w:t>
      </w:r>
      <w:r>
        <w:noBreakHyphen/>
        <w:t>50 лет;  примерно 5% инвалидов имели инвалидность от рождения или приобрели ее в течение первого года жизни.  Примерно в 60% случаев инвалидность была вызвана заболеваниями опорно-двигательного аппарата или системы кровообращения, а примерно 13% случаев инвалидности обусловлено травмами.</w:t>
      </w:r>
    </w:p>
    <w:p w:rsidR="00000000" w:rsidRDefault="00000000"/>
    <w:p w:rsidR="00000000" w:rsidRDefault="00000000">
      <w:pPr>
        <w:pStyle w:val="Heading2"/>
        <w:rPr>
          <w:b/>
          <w:bCs/>
          <w:u w:val="none"/>
        </w:rPr>
      </w:pPr>
      <w:r>
        <w:rPr>
          <w:b/>
          <w:bCs/>
          <w:u w:val="none"/>
        </w:rPr>
        <w:t>Кариес и пародонтоз</w:t>
      </w:r>
    </w:p>
    <w:p w:rsidR="00000000" w:rsidRDefault="00000000">
      <w:pPr>
        <w:pStyle w:val="Heading2"/>
      </w:pPr>
    </w:p>
    <w:p w:rsidR="00000000" w:rsidRDefault="00000000">
      <w:pPr>
        <w:pStyle w:val="FootnoteText"/>
        <w:spacing w:line="288" w:lineRule="auto"/>
      </w:pPr>
      <w:r>
        <w:t>271.</w:t>
      </w:r>
      <w:r>
        <w:tab/>
        <w:t>Более 90% детей и 98% взрослых страдают кариесом зубов;  50% детей в возрасте 12 лет и 92% взрослых в возрасте 45 лет больны пародонтозом.  У 60% детей в возрасте 12 лет отмечается прогрессирующий кариес зубов.  15% взрослых в возрасте 45 лет страдают пародонтозом в высокой степени.  Кариес и его последствия являются главной причиной преждевременной потери зубов.  О существенном улучшении положения в этой области говорить трудно.</w:t>
      </w:r>
    </w:p>
    <w:p w:rsidR="00000000" w:rsidRDefault="00000000">
      <w:pPr>
        <w:pStyle w:val="FootnoteText"/>
        <w:spacing w:line="288" w:lineRule="auto"/>
      </w:pPr>
    </w:p>
    <w:p w:rsidR="00000000" w:rsidRDefault="00000000">
      <w:pPr>
        <w:pStyle w:val="FootnoteText"/>
        <w:spacing w:line="288" w:lineRule="auto"/>
        <w:rPr>
          <w:b/>
          <w:bCs/>
        </w:rPr>
      </w:pPr>
      <w:r>
        <w:rPr>
          <w:b/>
          <w:bCs/>
        </w:rPr>
        <w:t>Психическое здоровье, алкоголизм, лекарственная зависимость, наркомания</w:t>
      </w:r>
    </w:p>
    <w:p w:rsidR="00000000" w:rsidRDefault="00000000">
      <w:pPr>
        <w:pStyle w:val="FootnoteText"/>
        <w:spacing w:line="288" w:lineRule="auto"/>
        <w:rPr>
          <w:u w:val="single"/>
        </w:rPr>
      </w:pPr>
    </w:p>
    <w:p w:rsidR="00000000" w:rsidRDefault="00000000">
      <w:pPr>
        <w:pStyle w:val="FootnoteText"/>
        <w:spacing w:line="288" w:lineRule="auto"/>
      </w:pPr>
      <w:r>
        <w:t>272.</w:t>
      </w:r>
      <w:r>
        <w:tab/>
        <w:t>В течение отчетного периода в Польше примерно 15-25% населения страдали умственными расстройствами и примерно 10-20% детей и подростков нуждались в психологической и психиатрической помощи.  В 1996 году на учете в психиатрических диспансерах стояли более 658 000 человек, из которых 182 000 были впервые поставлены на учет (это означает увеличение числа случаев психических заболеваний на 6 536 по сравнению с 1995 годом).  Аналогичным образом в 1996 году был зарегистрирован 182 601 новый случай умственных расстройств и нервных заболеваний (176 065 в 1995 году).  В 1997 году в психиатрических диспансерах на учете находились 664 000</w:t>
      </w:r>
      <w:r>
        <w:rPr>
          <w:lang w:val="en-US"/>
        </w:rPr>
        <w:t> </w:t>
      </w:r>
      <w:r>
        <w:t>пациентов, и впервые в стране было отмечено уменьшение числа новых случаев по сравнению с 1996 годом (178 206).  В 1996 году число пациентов психиатрических больниц, впервые принятых на лечение, составляло примерно 62 000 человек (на 2 401 меньше по сравнению с 1995 годом).  В амбулаторных клиниках по лечению алкоголизма и наркомании общее число зарегистрированных пациентов составило в 1996 году 103 000 человек (37 365 новых пациентов, что на 1 929 меньше по сравнению с 1995 годом), а в 1997 году </w:t>
      </w:r>
      <w:r>
        <w:noBreakHyphen/>
        <w:t xml:space="preserve"> 113 000 человек (44 000 новых пациентов).  В 1996 году в наркологических клиниках были взяты на учет 1 517 новых пациентов (уменьшение на 310 человек по сравнению с 1995 годом).  Число впервые взятых на учет лиц, имеющих наркотическую зависимость, составляло в 1996 году 1 653 человека (1 657 </w:t>
      </w:r>
      <w:r>
        <w:noBreakHyphen/>
        <w:t xml:space="preserve"> в 1995 году).  Сюда относятся лица, взятые на учет в психиатрических диспансерах, амбулаторных клиниках по лечению алкоголизма и нестационарных наркологических лечебных учреждениях (без учета амбулаторных клиник и консультативных центров общественной организации "МОНАР").  Число пациентов, впервые помещенных в стационары для лечения наркологической зависимости, возросло на 13%.  По числу зарегистрированных случаев на первом месте находятся Краковский, Новосадский, Хелмский и Пшемский районы.  Наибольшее число пациентов, впервые помещенных в психиатрические стационары, было зарегистрировано в Лещиньском, Сувальском и Лодзинском районах.  В январе 1995 года вступил в силу Закон об охране психического здоровья, и министерство здравоохранения и социального обеспечения учредило программу по охране психического здоровья.</w:t>
      </w:r>
    </w:p>
    <w:p w:rsidR="00000000" w:rsidRDefault="00000000">
      <w:pPr>
        <w:pStyle w:val="FootnoteText"/>
        <w:spacing w:line="288" w:lineRule="auto"/>
      </w:pPr>
    </w:p>
    <w:p w:rsidR="00000000" w:rsidRDefault="00000000">
      <w:pPr>
        <w:pStyle w:val="Heading2"/>
        <w:rPr>
          <w:b/>
          <w:bCs/>
          <w:u w:val="none"/>
        </w:rPr>
      </w:pPr>
      <w:r>
        <w:rPr>
          <w:b/>
          <w:bCs/>
          <w:u w:val="none"/>
        </w:rPr>
        <w:t>Смертность</w:t>
      </w:r>
    </w:p>
    <w:p w:rsidR="00000000" w:rsidRDefault="00000000">
      <w:pPr>
        <w:pStyle w:val="Heading2"/>
      </w:pPr>
    </w:p>
    <w:p w:rsidR="00000000" w:rsidRDefault="00000000">
      <w:r>
        <w:t>273.</w:t>
      </w:r>
      <w:r>
        <w:tab/>
        <w:t>Коэффициент смертности в стране систематически снижается.  В 1995 году было зарегистрировано 386 100 случаев смерти, в 1996 году </w:t>
      </w:r>
      <w:r>
        <w:noBreakHyphen/>
        <w:t xml:space="preserve"> 385 500 , а в 1997 году </w:t>
      </w:r>
      <w:r>
        <w:noBreakHyphen/>
        <w:t xml:space="preserve"> 380 200 (202 000 мужчин и 178 200 женщин, что представляет собой уменьшение примерно на 2 000 случаев среди обоих полов).  В 1998 году было зарегистрировано в общей сложности 375 300 случаев смерти, что говорит о снижении показателя числа умерших на 1 000 населения:  10,2 в 1995 году, 10,0 в 1996 году, 9,8 в 1997 году и 9,7 в 1998 году.  Особо высокая смертность отмечается среди мужчин (от примерно 12% в возрастной группе 1</w:t>
      </w:r>
      <w:r>
        <w:noBreakHyphen/>
        <w:t>4 года до примерно 300% в возрастной группе 20</w:t>
      </w:r>
      <w:r>
        <w:noBreakHyphen/>
        <w:t>24 лет).  Показатели смертности уменьшились во всех возрастных группах, за исключением лиц преклонного возраста и девочек в возрасте от 5 до 9 лет, среди которых коэффициент смертности увеличился.  На протяжении последних нескольких лет основной причиной смерти были заболевания органов системы кровообращения (503,2 случая на 100 000 человек в 1996 году), злокачественные новообразования (203,7 на 100 000 человек в 1996 году), травмы и отравления (70,5 на 100 000 в 1996 году).  Случаи смерти от инфекционных заболеваний встречались редко:  в 1996 году в возрастной группе от 0 до 19 лет было зарегистрировано 4 случая смерти от туберкулеза и один от коклюша (в общей сложности 5,9 случая смерти от инфекционных заболеваний на 100 000 человек).  С 1994 года общий показатель смертности и чрезмерной мужской смертности был выше в сельских районах по сравнению с городскими почти во всех возрастных группах (хотя коэффициент младенческой смертности на конец отчетного периода в сельских районах был ниже).  После 1979 года коэффициенты смертности среди женщин в городских районах превышали соответствующие показатели по сельским районам.  Обратная картина отмечалась в отношении девочек и девушек в возрастной группе от одного до 19 лет и женщин старших возрастных категорий.  Для детей в возрасте от одного до четырех лет, проживающих в сельских районах, коэффициент смертности был выше, чем для их сверстников из городских районов (на 26%).  Основной причиной смерти жителей сельских районов были заболевания дыхательных органов, травмы и отравления для мужчин (включая автоаварии </w:t>
      </w:r>
      <w:r>
        <w:noBreakHyphen/>
        <w:t xml:space="preserve"> рост почти на 70% </w:t>
      </w:r>
      <w:r>
        <w:noBreakHyphen/>
        <w:t xml:space="preserve"> и самоубийства </w:t>
      </w:r>
      <w:r>
        <w:noBreakHyphen/>
        <w:t xml:space="preserve"> рост почти на 60%), а для женщин такими заболеваниями были гипертония (рост на 35%) и атеросклероз (рост примерно на 15%).  Основными причинами смерти в городских районах были заболевания органов пищеварения (рост почти на 40% и почти двукратное увеличение числа случаев смерти от цирроза печени), злокачественные новообразования и инфаркт.  Наиболее высокие коэффициенты смертности были зарегистрированы среди мужчин в Лодзинском и Еленёгурском регионах, а среди женщин </w:t>
      </w:r>
      <w:r>
        <w:noBreakHyphen/>
        <w:t xml:space="preserve"> в Лодзинском: Валбжском и Катовицком регионах.  Самые низкие коэффициенты смертности отмечались в Ломжинском и Жешовском районах.  Самый низкий уровень смертности только среди мужчин был отмечен в Кросненьском, а среди женщин </w:t>
      </w:r>
      <w:r>
        <w:noBreakHyphen/>
        <w:t xml:space="preserve"> в Белостокском районе.</w:t>
      </w:r>
    </w:p>
    <w:p w:rsidR="00000000" w:rsidRDefault="00000000"/>
    <w:p w:rsidR="00000000" w:rsidRDefault="00000000">
      <w:pPr>
        <w:pStyle w:val="10"/>
        <w:rPr>
          <w:bCs/>
        </w:rPr>
      </w:pPr>
      <w:r>
        <w:rPr>
          <w:bCs/>
        </w:rPr>
        <w:t>В.</w:t>
      </w:r>
      <w:r>
        <w:rPr>
          <w:bCs/>
        </w:rPr>
        <w:tab/>
        <w:t>Национальная политика в области здравоохранения:  требования</w:t>
      </w:r>
    </w:p>
    <w:p w:rsidR="00000000" w:rsidRDefault="00000000">
      <w:pPr>
        <w:jc w:val="center"/>
        <w:rPr>
          <w:b/>
          <w:bCs/>
        </w:rPr>
      </w:pPr>
      <w:r>
        <w:rPr>
          <w:b/>
          <w:bCs/>
        </w:rPr>
        <w:t>Всемирной организации здравоохранения в отношении</w:t>
      </w:r>
    </w:p>
    <w:p w:rsidR="00000000" w:rsidRDefault="00000000">
      <w:pPr>
        <w:pStyle w:val="10"/>
        <w:rPr>
          <w:bCs/>
        </w:rPr>
      </w:pPr>
      <w:r>
        <w:rPr>
          <w:bCs/>
        </w:rPr>
        <w:t>первичной медико-санитарной помощи</w:t>
      </w:r>
    </w:p>
    <w:p w:rsidR="00000000" w:rsidRDefault="00000000">
      <w:pPr>
        <w:pStyle w:val="10"/>
        <w:rPr>
          <w:bCs/>
        </w:rPr>
      </w:pPr>
    </w:p>
    <w:p w:rsidR="00000000" w:rsidRDefault="00000000">
      <w:r>
        <w:t>274.</w:t>
      </w:r>
      <w:r>
        <w:tab/>
        <w:t>В целом право на охрану здоровья гарантировано статьей 68 Конституции от 2 апреля 1997 года.  В пункте 2 указывается, что "гражданам независимо от их материального положения государственные власти обеспечивают равный доступ к медицинской помощи, финансируемой за счет государственных средств", в то время как в пункте 3 отмечается, что государственные власти обеспечивают особую охрану здоровья детям, беременным женщинам, лицам с физическими и психическими недостатками и лицам пожилого возраста.  Ниже приводится перечень всех основных программ в области охраны здоровья.</w:t>
      </w:r>
    </w:p>
    <w:p w:rsidR="00000000" w:rsidRDefault="00000000"/>
    <w:p w:rsidR="00000000" w:rsidRDefault="00000000">
      <w:pPr>
        <w:pStyle w:val="Heading2"/>
        <w:rPr>
          <w:b/>
          <w:bCs/>
          <w:u w:val="none"/>
        </w:rPr>
      </w:pPr>
      <w:r>
        <w:rPr>
          <w:b/>
          <w:bCs/>
          <w:u w:val="none"/>
        </w:rPr>
        <w:t>Национальная программа в области здравоохранения (НПЗ) на 1996</w:t>
      </w:r>
      <w:r>
        <w:rPr>
          <w:b/>
          <w:bCs/>
          <w:u w:val="none"/>
        </w:rPr>
        <w:noBreakHyphen/>
        <w:t>2005 годы</w:t>
      </w:r>
    </w:p>
    <w:p w:rsidR="00000000" w:rsidRDefault="00000000">
      <w:pPr>
        <w:pStyle w:val="Heading2"/>
      </w:pPr>
    </w:p>
    <w:p w:rsidR="00000000" w:rsidRDefault="00000000">
      <w:r>
        <w:t>275.</w:t>
      </w:r>
      <w:r>
        <w:tab/>
        <w:t>НПЗ осуществляется с 1990 года на основе стратегии ВОЗ "Здоровье для всех к 2000 году" (см. предыдущий доклад).  В третий вариант этой программы, который был утвержден правительством 3 сентября 1996 года, могли вноситься поправки.  Согласно НПЗ здоровье </w:t>
      </w:r>
      <w:r>
        <w:noBreakHyphen/>
        <w:t xml:space="preserve"> это "хорошее физическое и умственное состояние и социальное благополучие, а не только отсутствие болезней или инвалидности", что соответствует определению, данному ВОЗ.  Здоровье означает "способность выполнять социальные функции в условиях происходящих изменений в окружающей среде".  Из стратегии ВОЗ, которая была принята Польшей, следует, что здоровье </w:t>
      </w:r>
      <w:r>
        <w:noBreakHyphen/>
        <w:t xml:space="preserve"> это ценный фактор, способствующий реализации устремлений, ресурс, гарантирующий развитие, и средство улучшения качества жизни.  Его необходимо защищать (профилактика), улучшать (меры содействия укреплению здоровья) и восстанавливать (лечение и реабилитация).  Для этого требуется мир, экономическая стабильность, возобновление природных ресурсов, безопасность на глобальном и местном уровне, жилье, продовольствие, образование, заработная плата, справедливость и социальное равенство.  На здоровье оказывают влияние следующие факторы:  образ жизни (50</w:t>
      </w:r>
      <w:r>
        <w:noBreakHyphen/>
        <w:t>60%), окружающая среда (примерно 20%), генетические факторы (примерно 20%) и услуги в области здравоохранения (лишь 10</w:t>
      </w:r>
      <w:r>
        <w:noBreakHyphen/>
        <w:t>15%).  Наиболее важное место в НПЗ занимают меры содействия, направленные на усиление людьми контроля за собственным здоровьем и его улучшение за счет принятия правильных решений.  Меры по содействию укреплению здоровья осуществляются в следующих пяти областях:  политика в области здравоохранения, здоровая окружающая среда, содействие тому, чтобы люди сами заботились о своем здоровье, развитие индивидуальных навыков, которые укрепят здоровье самих людей, а также переориентация службы здравоохранения.</w:t>
      </w:r>
    </w:p>
    <w:p w:rsidR="00000000" w:rsidRDefault="00000000"/>
    <w:p w:rsidR="00000000" w:rsidRDefault="00000000">
      <w:r>
        <w:t>276.</w:t>
      </w:r>
      <w:r>
        <w:tab/>
        <w:t>Согласно НПЗ, основными угрозами здоровью являются:</w:t>
      </w:r>
    </w:p>
    <w:p w:rsidR="00000000" w:rsidRDefault="00000000"/>
    <w:p w:rsidR="00000000" w:rsidRDefault="00000000">
      <w:r>
        <w:tab/>
        <w:t>-</w:t>
      </w:r>
      <w:r>
        <w:tab/>
        <w:t>гиподинамия:  30% детей, 70% молодежи и 90% взрослых;</w:t>
      </w:r>
    </w:p>
    <w:p w:rsidR="00000000" w:rsidRDefault="00000000"/>
    <w:p w:rsidR="00000000" w:rsidRDefault="00000000">
      <w:pPr>
        <w:ind w:left="1134" w:hanging="1134"/>
      </w:pPr>
      <w:r>
        <w:tab/>
        <w:t>-</w:t>
      </w:r>
      <w:r>
        <w:tab/>
        <w:t>неправильное питание:  слишком большое количество животных жиров, соли, недостаточное потребление молока, овощей, фруктов и хлеба из муки крупного помола;</w:t>
      </w:r>
    </w:p>
    <w:p w:rsidR="00000000" w:rsidRDefault="00000000">
      <w:pPr>
        <w:ind w:left="1134" w:hanging="1134"/>
      </w:pPr>
    </w:p>
    <w:p w:rsidR="00000000" w:rsidRDefault="00000000">
      <w:pPr>
        <w:ind w:left="1134" w:hanging="1134"/>
      </w:pPr>
      <w:r>
        <w:tab/>
        <w:t>-</w:t>
      </w:r>
      <w:r>
        <w:tab/>
        <w:t>нерегулярный прием пищи и недостаточное питание, особенно среди детей и молодежи;</w:t>
      </w:r>
    </w:p>
    <w:p w:rsidR="00000000" w:rsidRDefault="00000000">
      <w:pPr>
        <w:ind w:left="1134" w:hanging="1134"/>
      </w:pPr>
    </w:p>
    <w:p w:rsidR="00000000" w:rsidRDefault="00000000">
      <w:pPr>
        <w:ind w:left="1134" w:hanging="1134"/>
      </w:pPr>
      <w:r>
        <w:tab/>
        <w:t>-</w:t>
      </w:r>
      <w:r>
        <w:tab/>
        <w:t>слабо развитая практика грудного вскармливания детей;</w:t>
      </w:r>
    </w:p>
    <w:p w:rsidR="00000000" w:rsidRDefault="00000000">
      <w:pPr>
        <w:ind w:left="1134" w:hanging="1134"/>
      </w:pPr>
    </w:p>
    <w:p w:rsidR="00000000" w:rsidRDefault="00000000">
      <w:pPr>
        <w:ind w:left="1134" w:hanging="1134"/>
      </w:pPr>
      <w:r>
        <w:tab/>
        <w:t>-</w:t>
      </w:r>
      <w:r>
        <w:tab/>
        <w:t>табакокурение (в 1995 году среди курящих насчитывалось 47% мужчин и 23% женщин, однако эти показатели уменьшаются);</w:t>
      </w:r>
    </w:p>
    <w:p w:rsidR="00000000" w:rsidRDefault="00000000">
      <w:pPr>
        <w:ind w:left="1134" w:hanging="1134"/>
      </w:pPr>
    </w:p>
    <w:p w:rsidR="00000000" w:rsidRDefault="00000000">
      <w:pPr>
        <w:ind w:left="1134" w:hanging="1134"/>
      </w:pPr>
      <w:r>
        <w:tab/>
        <w:t>-</w:t>
      </w:r>
      <w:r>
        <w:tab/>
        <w:t>чрезмерное употребление спиртных напитков (среднегодовое потребление на душу населения составляет приблизительно 10 литров чистого спирта), от 600 000 до 800 000 людей имеют алкогольную зависимость, примерно 2</w:t>
      </w:r>
      <w:r>
        <w:noBreakHyphen/>
        <w:t xml:space="preserve">3 миллиона употребляют спиртные напитки в чрезмерно больших количествах, растет доля пьющих среди молодежи; </w:t>
      </w:r>
    </w:p>
    <w:p w:rsidR="00000000" w:rsidRDefault="00000000">
      <w:pPr>
        <w:ind w:left="1134" w:hanging="1134"/>
      </w:pPr>
    </w:p>
    <w:p w:rsidR="00000000" w:rsidRDefault="00000000">
      <w:pPr>
        <w:ind w:left="1134" w:hanging="1134"/>
      </w:pPr>
      <w:r>
        <w:tab/>
        <w:t>-</w:t>
      </w:r>
      <w:r>
        <w:tab/>
        <w:t>от 3 до 8%  молодых людей хотя бы один раз пробовали наркотики, 0,3-0,8% стали наркоманами, причем оба эти показателя увеличиваются;</w:t>
      </w:r>
    </w:p>
    <w:p w:rsidR="00000000" w:rsidRDefault="00000000">
      <w:pPr>
        <w:ind w:left="1134" w:hanging="1134"/>
      </w:pPr>
    </w:p>
    <w:p w:rsidR="00000000" w:rsidRDefault="00000000">
      <w:pPr>
        <w:ind w:left="1134" w:hanging="1134"/>
      </w:pPr>
      <w:r>
        <w:tab/>
        <w:t>-</w:t>
      </w:r>
      <w:r>
        <w:tab/>
        <w:t xml:space="preserve">социальные угрозы </w:t>
      </w:r>
      <w:r>
        <w:noBreakHyphen/>
        <w:t xml:space="preserve"> сокращение реальных доходов; обнищание некоторых социальных групп (хотя безработица продолжала сокращаться на протяжении этого периода до августа 1998 года) на фоне обогащения других групп населения;  низкий уровень капиталовложений в сферы образования и культуры;  явления патологического характера;</w:t>
      </w:r>
    </w:p>
    <w:p w:rsidR="00000000" w:rsidRDefault="00000000">
      <w:pPr>
        <w:ind w:left="1134" w:hanging="1134"/>
      </w:pPr>
    </w:p>
    <w:p w:rsidR="00000000" w:rsidRDefault="00000000">
      <w:pPr>
        <w:ind w:left="1134" w:hanging="1134"/>
      </w:pPr>
      <w:r>
        <w:tab/>
        <w:t>-</w:t>
      </w:r>
      <w:r>
        <w:tab/>
        <w:t>экологические угрозы.</w:t>
      </w:r>
    </w:p>
    <w:p w:rsidR="00000000" w:rsidRDefault="00000000">
      <w:pPr>
        <w:ind w:left="1134" w:hanging="1134"/>
      </w:pPr>
    </w:p>
    <w:p w:rsidR="00000000" w:rsidRDefault="00000000">
      <w:r>
        <w:t>277.</w:t>
      </w:r>
      <w:r>
        <w:tab/>
        <w:t>Основное внимание в НПЗ уделяется проблемам здравоохранения, неравенства между мужчинами и женщинами в плане здоровья, а также неравенства между людьми в отношении здоровья, обусловленного местом жительства.  Стратегической целью НПЗ является улучшение здоровья и качества жизни населения.  Ниже перечислены ее главные цели:</w:t>
      </w:r>
    </w:p>
    <w:p w:rsidR="00000000" w:rsidRDefault="00000000">
      <w:pPr>
        <w:pStyle w:val="1"/>
      </w:pPr>
    </w:p>
    <w:p w:rsidR="00000000" w:rsidRDefault="00000000">
      <w:pPr>
        <w:ind w:left="567"/>
      </w:pPr>
      <w:r>
        <w:t>1.</w:t>
      </w:r>
      <w:r>
        <w:tab/>
        <w:t>Повышение физической активности населения.</w:t>
      </w:r>
    </w:p>
    <w:p w:rsidR="00000000" w:rsidRDefault="00000000">
      <w:pPr>
        <w:ind w:left="567"/>
      </w:pPr>
    </w:p>
    <w:p w:rsidR="00000000" w:rsidRDefault="00000000">
      <w:pPr>
        <w:ind w:left="567"/>
      </w:pPr>
      <w:r>
        <w:t>2.</w:t>
      </w:r>
      <w:r>
        <w:tab/>
        <w:t>Улучшение традиций питания и качества продовольствия.</w:t>
      </w:r>
    </w:p>
    <w:p w:rsidR="00000000" w:rsidRDefault="00000000">
      <w:pPr>
        <w:ind w:left="567"/>
      </w:pPr>
    </w:p>
    <w:p w:rsidR="00000000" w:rsidRDefault="00000000">
      <w:pPr>
        <w:ind w:left="567"/>
      </w:pPr>
      <w:r>
        <w:t>3.</w:t>
      </w:r>
      <w:r>
        <w:tab/>
        <w:t>Борьба с табакокурением.</w:t>
      </w:r>
    </w:p>
    <w:p w:rsidR="00000000" w:rsidRDefault="00000000">
      <w:pPr>
        <w:ind w:left="567"/>
      </w:pPr>
    </w:p>
    <w:p w:rsidR="00000000" w:rsidRDefault="00000000">
      <w:pPr>
        <w:ind w:left="1134" w:hanging="567"/>
      </w:pPr>
      <w:r>
        <w:t>4.</w:t>
      </w:r>
      <w:r>
        <w:tab/>
        <w:t>Ограничение и изменение структуры потребления алкоголя, а также уменьшение вредных последствий употребления алкоголя для здоровья человека.</w:t>
      </w:r>
    </w:p>
    <w:p w:rsidR="00000000" w:rsidRDefault="00000000">
      <w:pPr>
        <w:ind w:left="1134" w:hanging="567"/>
      </w:pPr>
    </w:p>
    <w:p w:rsidR="00000000" w:rsidRDefault="00000000">
      <w:pPr>
        <w:ind w:left="567"/>
      </w:pPr>
      <w:r>
        <w:t>5.</w:t>
      </w:r>
      <w:r>
        <w:tab/>
        <w:t>Сокращение использования психотропных веществ.</w:t>
      </w:r>
    </w:p>
    <w:p w:rsidR="00000000" w:rsidRDefault="00000000">
      <w:pPr>
        <w:ind w:left="567"/>
      </w:pPr>
    </w:p>
    <w:p w:rsidR="00000000" w:rsidRDefault="00000000">
      <w:pPr>
        <w:ind w:left="1134" w:hanging="567"/>
      </w:pPr>
      <w:r>
        <w:t>6.</w:t>
      </w:r>
      <w:r>
        <w:tab/>
        <w:t>Повышение эффективности мер просвещения и поощрение здорового образа жизни.</w:t>
      </w:r>
    </w:p>
    <w:p w:rsidR="00000000" w:rsidRDefault="00000000">
      <w:pPr>
        <w:ind w:left="1134" w:hanging="567"/>
      </w:pPr>
    </w:p>
    <w:p w:rsidR="00000000" w:rsidRDefault="00000000">
      <w:pPr>
        <w:ind w:left="1134" w:hanging="567"/>
      </w:pPr>
      <w:r>
        <w:t>7.</w:t>
      </w:r>
      <w:r>
        <w:tab/>
        <w:t>Содействие укреплению психического здоровья и профилактика психических расстройств.</w:t>
      </w:r>
    </w:p>
    <w:p w:rsidR="00000000" w:rsidRDefault="00000000">
      <w:pPr>
        <w:ind w:left="1134" w:hanging="567"/>
      </w:pPr>
    </w:p>
    <w:p w:rsidR="00000000" w:rsidRDefault="00000000">
      <w:pPr>
        <w:ind w:left="1134" w:hanging="567"/>
      </w:pPr>
      <w:r>
        <w:t>8.</w:t>
      </w:r>
      <w:r>
        <w:tab/>
        <w:t>Уменьшение воздействия вредных веществ в быту и на производстве.</w:t>
      </w:r>
    </w:p>
    <w:p w:rsidR="00000000" w:rsidRDefault="00000000">
      <w:pPr>
        <w:ind w:left="1134" w:hanging="567"/>
      </w:pPr>
    </w:p>
    <w:p w:rsidR="00000000" w:rsidRDefault="00000000">
      <w:pPr>
        <w:ind w:left="1134" w:hanging="567"/>
      </w:pPr>
      <w:r>
        <w:t>9.</w:t>
      </w:r>
      <w:r>
        <w:tab/>
        <w:t>Улучшение санитарно-гигиенических условий по всей стране.</w:t>
      </w:r>
    </w:p>
    <w:p w:rsidR="00000000" w:rsidRDefault="00000000">
      <w:pPr>
        <w:ind w:left="1134" w:hanging="567"/>
      </w:pPr>
    </w:p>
    <w:p w:rsidR="00000000" w:rsidRDefault="00000000">
      <w:pPr>
        <w:ind w:left="1134" w:hanging="567"/>
      </w:pPr>
      <w:r>
        <w:t>10.</w:t>
      </w:r>
      <w:r>
        <w:tab/>
        <w:t>Сокращение числа несчастных случаев, в частности автоаварий.</w:t>
      </w:r>
    </w:p>
    <w:p w:rsidR="00000000" w:rsidRDefault="00000000">
      <w:pPr>
        <w:ind w:left="1134" w:hanging="567"/>
      </w:pPr>
    </w:p>
    <w:p w:rsidR="00000000" w:rsidRDefault="00000000">
      <w:pPr>
        <w:ind w:left="1134" w:hanging="567"/>
      </w:pPr>
      <w:r>
        <w:t>11.</w:t>
      </w:r>
      <w:r>
        <w:tab/>
        <w:t>Повышение эффективности и результативности услуг первой помощи в случае чрезвычайных обстоятельств и возникновения угрозы для жизни человека.</w:t>
      </w:r>
    </w:p>
    <w:p w:rsidR="00000000" w:rsidRDefault="00000000">
      <w:pPr>
        <w:ind w:left="1134" w:hanging="567"/>
      </w:pPr>
    </w:p>
    <w:p w:rsidR="00000000" w:rsidRDefault="00000000">
      <w:pPr>
        <w:ind w:left="1134" w:hanging="567"/>
      </w:pPr>
      <w:r>
        <w:t>12.</w:t>
      </w:r>
      <w:r>
        <w:tab/>
        <w:t>Расширение доступа и повышение эффективности первичной медико-санитарной помощи.</w:t>
      </w:r>
    </w:p>
    <w:p w:rsidR="00000000" w:rsidRDefault="00000000">
      <w:pPr>
        <w:ind w:left="1134" w:hanging="567"/>
      </w:pPr>
    </w:p>
    <w:p w:rsidR="00000000" w:rsidRDefault="00000000">
      <w:pPr>
        <w:ind w:left="1134" w:hanging="567"/>
      </w:pPr>
      <w:r>
        <w:t>13.</w:t>
      </w:r>
      <w:r>
        <w:tab/>
        <w:t>Профилактика и ликвидация последствий преждевременных родов и рождения недоношенных детей.</w:t>
      </w:r>
    </w:p>
    <w:p w:rsidR="00000000" w:rsidRDefault="00000000">
      <w:pPr>
        <w:ind w:left="1134" w:hanging="567"/>
      </w:pPr>
    </w:p>
    <w:p w:rsidR="00000000" w:rsidRDefault="00000000">
      <w:pPr>
        <w:ind w:left="1134" w:hanging="567"/>
      </w:pPr>
      <w:r>
        <w:t>14.</w:t>
      </w:r>
      <w:r>
        <w:tab/>
        <w:t>Совершенствование работы по раннему диагностированию ишемической болезни сердца и уходу за лицами, страдающими этим заболеванием.</w:t>
      </w:r>
    </w:p>
    <w:p w:rsidR="00000000" w:rsidRDefault="00000000">
      <w:pPr>
        <w:ind w:left="1134" w:hanging="567"/>
      </w:pPr>
    </w:p>
    <w:p w:rsidR="00000000" w:rsidRDefault="00000000">
      <w:pPr>
        <w:ind w:left="1134" w:hanging="567"/>
      </w:pPr>
      <w:r>
        <w:t>15.</w:t>
      </w:r>
      <w:r>
        <w:tab/>
        <w:t>Совершенствование работы по раннему диагностированию и лечению злокачественных опухолей шейки матки и груди.</w:t>
      </w:r>
    </w:p>
    <w:p w:rsidR="00000000" w:rsidRDefault="00000000">
      <w:pPr>
        <w:ind w:left="1134" w:hanging="567"/>
      </w:pPr>
    </w:p>
    <w:p w:rsidR="00000000" w:rsidRDefault="00000000">
      <w:pPr>
        <w:ind w:left="1134" w:hanging="567"/>
      </w:pPr>
      <w:r>
        <w:t>16.</w:t>
      </w:r>
      <w:r>
        <w:tab/>
        <w:t>Создание условий, способствующих возвращению к активной жизни инвалидов.</w:t>
      </w:r>
    </w:p>
    <w:p w:rsidR="00000000" w:rsidRDefault="00000000">
      <w:pPr>
        <w:ind w:left="1134" w:hanging="567"/>
      </w:pPr>
    </w:p>
    <w:p w:rsidR="00000000" w:rsidRDefault="00000000">
      <w:pPr>
        <w:ind w:left="1134" w:hanging="567"/>
      </w:pPr>
      <w:r>
        <w:t>17.</w:t>
      </w:r>
      <w:r>
        <w:tab/>
        <w:t>Повышение эффективности мер по профилактике инфекционных заболеваний.</w:t>
      </w:r>
    </w:p>
    <w:p w:rsidR="00000000" w:rsidRDefault="00000000">
      <w:pPr>
        <w:ind w:left="1134" w:hanging="567"/>
      </w:pPr>
    </w:p>
    <w:p w:rsidR="00000000" w:rsidRDefault="00000000">
      <w:pPr>
        <w:ind w:left="1134" w:hanging="567"/>
      </w:pPr>
      <w:r>
        <w:t>18.</w:t>
      </w:r>
      <w:r>
        <w:tab/>
        <w:t>Повышение эффективности лечения кариеса и пародонтоза у детей, молодежи и беременных женщин.</w:t>
      </w:r>
    </w:p>
    <w:p w:rsidR="00000000" w:rsidRDefault="00000000">
      <w:pPr>
        <w:ind w:left="567" w:hanging="567"/>
      </w:pPr>
    </w:p>
    <w:p w:rsidR="00000000" w:rsidRDefault="00000000">
      <w:r>
        <w:t>278.</w:t>
      </w:r>
      <w:r>
        <w:tab/>
        <w:t>В связи с вышеуказанными стратегическими целями НПЗ были установлены следующие руководящие принципы, которые сохраняли свою актуальность в течение периода 1995-1998 годов и в последующий период:</w:t>
      </w:r>
    </w:p>
    <w:p w:rsidR="00000000" w:rsidRDefault="00000000">
      <w:pPr>
        <w:pStyle w:val="1"/>
      </w:pPr>
    </w:p>
    <w:p w:rsidR="00000000" w:rsidRDefault="00000000">
      <w:pPr>
        <w:ind w:left="1134" w:hanging="567"/>
      </w:pPr>
      <w:r>
        <w:t>-</w:t>
      </w:r>
      <w:r>
        <w:tab/>
        <w:t>Цель 1:  проведение до пяти уроков физкультуры в неделю, создание гимнастических залов в 75% школ, подготовка новых преподавателей физкультуры;</w:t>
      </w:r>
    </w:p>
    <w:p w:rsidR="00000000" w:rsidRDefault="00000000">
      <w:pPr>
        <w:ind w:left="1134" w:hanging="567"/>
      </w:pPr>
    </w:p>
    <w:p w:rsidR="00000000" w:rsidRDefault="00000000">
      <w:pPr>
        <w:ind w:left="1134" w:hanging="567"/>
      </w:pPr>
      <w:r>
        <w:t>-</w:t>
      </w:r>
      <w:r>
        <w:tab/>
        <w:t>Цель 2:  обеспечение того, чтобы как минимум 30% новорожденных вскармливались грудью, обеспечение школьными завтраками и обедами для 50% школьников, снижение уровня жиров и холестерина, расширение потребления молока, зерновых, бобовых, овощей и фруктов, сокращение потребления соли, просветительская деятельность и консультирование в вопросах питания,  контроль за пищевыми продуктами, сертификация продовольствия и производство экологически чистых продуктов;</w:t>
      </w:r>
    </w:p>
    <w:p w:rsidR="00000000" w:rsidRDefault="00000000">
      <w:pPr>
        <w:ind w:left="1134" w:hanging="567"/>
      </w:pPr>
    </w:p>
    <w:p w:rsidR="00000000" w:rsidRDefault="00000000">
      <w:pPr>
        <w:ind w:left="1134" w:hanging="567"/>
      </w:pPr>
      <w:r>
        <w:t>-</w:t>
      </w:r>
      <w:r>
        <w:tab/>
        <w:t>Цель 3:  сокращение потребления табачных изделий на 25% по сравнению с 1995 годом, увеличение доли некурящих мужчин до 60% и некурящих женщин до 80%, внедрение соответствующих норм, борьба с курением в школах, учреждениях здравоохранения и общественных местах, запрет на рекламу табачных изделий, повышение цен на сигареты и сокращение содержания вредных веществ в табачных изделиях;</w:t>
      </w:r>
    </w:p>
    <w:p w:rsidR="00000000" w:rsidRDefault="00000000">
      <w:pPr>
        <w:ind w:left="1134" w:hanging="567"/>
      </w:pPr>
    </w:p>
    <w:p w:rsidR="00000000" w:rsidRDefault="00000000">
      <w:pPr>
        <w:ind w:left="1134" w:hanging="567"/>
      </w:pPr>
      <w:r>
        <w:t>-</w:t>
      </w:r>
      <w:r>
        <w:tab/>
        <w:t>Цель 4:  сокращение потребления алкоголя на 10% на душу населения по сравнению с 1995 годом, сокращение доли алкогольных напитков с высоким содержанием спирта на 20% по сравнению с 1995 годом, уменьшение вредных последствий для здоровья и снижение смертности, обусловленной употреблением спиртных напитков, сокращение употребления спиртных напитков подростками на 20% по сравнению с 1995 годом, обеспечение соблюдения законов, ограничение доступа к алкоголю, ужесточение рыночных механизмов, совершенствование мер профилактики, лечения, просветительской деятельности и создания атмосферы взаимной помощи;</w:t>
      </w:r>
    </w:p>
    <w:p w:rsidR="00000000" w:rsidRDefault="00000000">
      <w:pPr>
        <w:ind w:left="1134" w:hanging="567"/>
      </w:pPr>
    </w:p>
    <w:p w:rsidR="00000000" w:rsidRDefault="00000000">
      <w:pPr>
        <w:ind w:left="1134" w:hanging="567"/>
      </w:pPr>
      <w:r>
        <w:t>-</w:t>
      </w:r>
      <w:r>
        <w:tab/>
        <w:t>Цель 5:  ограничение растущего спроса на психотропные вещества и доступа к ним;  строгое исполнение законов, просветительская работа в школах, проведение профилактических мероприятий с помощью средств массовой информации, подготовка преподавателей, меры по детоксикации, лечению и реабилитации наркоманов;</w:t>
      </w:r>
    </w:p>
    <w:p w:rsidR="00000000" w:rsidRDefault="00000000">
      <w:pPr>
        <w:ind w:left="1134" w:hanging="567"/>
      </w:pPr>
    </w:p>
    <w:p w:rsidR="00000000" w:rsidRDefault="00000000">
      <w:pPr>
        <w:ind w:left="1134" w:hanging="567"/>
      </w:pPr>
      <w:r>
        <w:t>-</w:t>
      </w:r>
      <w:r>
        <w:tab/>
        <w:t>Цель 6:  просвещение в вопросах здоровья, профилактика ВИЧ и включение вопросов сексуального воспитания в учебную программу школ, использование средств массовой информации, институциональная поддержка мер по пропаганде здорового образа жизни, увеличение числа компетентных лиц путем проведения соответствующих учебных занятий среди студентов старших курсов и выпускников высших учебных заведений, осуществление программ Хабитат (таких, как "Здоровый город", "Здоровая община", "Здоровая школа", "Здоровое рабочее место" и т.д.), консультативные услуги;</w:t>
      </w:r>
    </w:p>
    <w:p w:rsidR="00000000" w:rsidRDefault="00000000">
      <w:pPr>
        <w:ind w:left="1134" w:hanging="567"/>
      </w:pPr>
    </w:p>
    <w:p w:rsidR="00000000" w:rsidRDefault="00000000">
      <w:pPr>
        <w:ind w:left="1134" w:hanging="567"/>
      </w:pPr>
      <w:r>
        <w:t>-</w:t>
      </w:r>
      <w:r>
        <w:tab/>
        <w:t>Цель 7:  создание новых правовых и экономических основ для развития сети учреждений и разработки местных инициатив в поддержку семьи, просвещение в вопросах охраны психического здоровья, увеличение числа профилактических и консультативных учреждений, предоставление родителям возможности больше знать о своих детях и их психологии, оказание помощи нуждающимся семьям и социальным группам, самопомощь и НПО;</w:t>
      </w:r>
    </w:p>
    <w:p w:rsidR="00000000" w:rsidRDefault="00000000">
      <w:pPr>
        <w:ind w:left="1134" w:hanging="567"/>
      </w:pPr>
    </w:p>
    <w:p w:rsidR="00000000" w:rsidRDefault="00000000">
      <w:pPr>
        <w:ind w:left="1134" w:hanging="567"/>
      </w:pPr>
      <w:r>
        <w:t>-</w:t>
      </w:r>
      <w:r>
        <w:tab/>
        <w:t xml:space="preserve">Цель 8:  сокращение объема выбросов </w:t>
      </w:r>
      <w:r>
        <w:rPr>
          <w:lang w:val="en-US"/>
        </w:rPr>
        <w:t>SO</w:t>
      </w:r>
      <w:r>
        <w:rPr>
          <w:vertAlign w:val="subscript"/>
        </w:rPr>
        <w:t>2</w:t>
      </w:r>
      <w:r>
        <w:t xml:space="preserve"> до 2 млн. т в год, сокращение выбросов окислов углерода, уменьшение объема неочищенных сточных вод на 15% по сравнению с 1995 годом и уровня шума на 25% по сравнению с 1995 годом, разработка программы "Окружающая среда и здоровье", продолжение осуществления программы "Безопасность и охрана здоровья человека на производстве", профилактика последствий попадания загрязнителей в окружающую среду, мониторинг, упразднение многих устаревших технологий, модернизация других технологий, создание экологически безопасных систем отопления в городах, свертывание (постепенное) потребления бензина со свинцовыми добавками и использования автомобилей без катализаторов, очистка сточных вод, создание шумозащитных экранов, просвещение в вопросах экологии, обнаружение источников ионизирующей и неионизирующей радиации, утилизация отходов и сокращение практики сжигания отходов;</w:t>
      </w:r>
    </w:p>
    <w:p w:rsidR="00000000" w:rsidRDefault="00000000">
      <w:pPr>
        <w:ind w:left="1134" w:hanging="567"/>
      </w:pPr>
    </w:p>
    <w:p w:rsidR="00000000" w:rsidRDefault="00000000">
      <w:pPr>
        <w:ind w:left="1134" w:hanging="567"/>
      </w:pPr>
      <w:r>
        <w:t>-</w:t>
      </w:r>
      <w:r>
        <w:tab/>
        <w:t>Цель 9:  ликвидация многих объектов, находящихся в плохом техническом состоянии, развитие рынка дешевых услуг по очистке и уборке мусора, разработка технологических стандартов в отношении удаления, хранения и утилизации отходов в соответствии с нормами, принятыми Европейским союзом, увеличение числа отвечающих требованиям гигиены публичных туалетов, повышение эффективности системы очистки сточных вод, повышение санитарно-гигиенических стандартов учреждений здравоохранения и учебных заведений, ужесточение санитарно-гигиенических критериев, применяемых в отношении мест общественного пользования;</w:t>
      </w:r>
    </w:p>
    <w:p w:rsidR="00000000" w:rsidRDefault="00000000">
      <w:pPr>
        <w:ind w:left="1134" w:hanging="567"/>
      </w:pPr>
    </w:p>
    <w:p w:rsidR="00000000" w:rsidRDefault="00000000">
      <w:pPr>
        <w:ind w:left="1134" w:hanging="567"/>
      </w:pPr>
      <w:r>
        <w:t>-</w:t>
      </w:r>
      <w:r>
        <w:tab/>
        <w:t>Цель 10:  сокращение числа несчастных случаев и жертв, в том числе несчастных случаев со смертельным исходом, на 20% по сравнению с 1995 годом.  Обеспечение соблюдения правил дорожного движения, ужесточение полицейского контроля за скоростью движения, увеличение числа ограничений скорости движения в городах, совершенствование навыков вождения автомобилистов, введение для молодых водителей водительского удостоверения на "пробный" период и удостоверения, дающего право на вождение транспортного средства "с сопровождающим лицом", уменьшение числа автоаварий, вызванных управлением автомобилем в нетрезвом состоянии, распространение информации о принципах оказания первой помощи, принятие мер безопасности в отношении транспортных средств, модернизация пешеходных переходов, сооружение большого числа кольцевых дорог, активизация подготовки специалистов в вопросах здоровья и безопасности, сокращение числа несчастных случаев на производстве на 50% по сравнению с 1995 годом, учреждение национального центра по предупреждению аварий;</w:t>
      </w:r>
    </w:p>
    <w:p w:rsidR="00000000" w:rsidRDefault="00000000">
      <w:pPr>
        <w:ind w:left="1134" w:hanging="567"/>
      </w:pPr>
    </w:p>
    <w:p w:rsidR="00000000" w:rsidRDefault="00000000">
      <w:pPr>
        <w:ind w:left="1134" w:hanging="567"/>
      </w:pPr>
      <w:r>
        <w:t>-</w:t>
      </w:r>
      <w:r>
        <w:tab/>
        <w:t>Цель 11:  уменьшение смертности среди жертв несчастных случаев в течение первого часа после получения травмы, сокращение до 15 минут максимального времени, необходимого для оказания скорой помощи жертвам несчастных случаев, выделение соответствующих средств на скорую медицинскую помощь, введение в начальных школах учебных программ по вопросам оказания первой помощи, включение услуг по оказанию экстренной помощи в круг обязанностей пожарной службы, полиции и морской и речной спасательной службы, модернизация медицинской транспортной авиации и амбулаторного обслуживания, а также увеличение числа государственных учреждений системы здравоохранения и установление специальной телефонной линии для экстренного вызова специалиста-кардиолога.</w:t>
      </w:r>
    </w:p>
    <w:p w:rsidR="00000000" w:rsidRDefault="00000000">
      <w:pPr>
        <w:ind w:left="567" w:hanging="567"/>
      </w:pPr>
    </w:p>
    <w:p w:rsidR="00000000" w:rsidRDefault="00000000">
      <w:pPr>
        <w:ind w:left="1134" w:hanging="567"/>
      </w:pPr>
      <w:r>
        <w:t>-</w:t>
      </w:r>
      <w:r>
        <w:tab/>
        <w:t>Цель 12:  развитие института семейных врачей, передача средств первичной медико-санитарной помощи в ведение местных органов самоуправления, предоставление медицинских услуг по контрактам через медицинские страховые фонды, подготовка примерно 2 500 врачей по полной программе и приблизительно 1 200 врачей по "краткому курсу" в вопросах семейной медицины, повышение квалификации медсестер и акушерок, переход от существующей системы финансирования первичной медико-санитарной помощи к системе финансирования на основе страхования в соответствии с вышеупомянутой реформой;</w:t>
      </w:r>
    </w:p>
    <w:p w:rsidR="00000000" w:rsidRDefault="00000000">
      <w:pPr>
        <w:ind w:left="1134" w:hanging="567"/>
      </w:pPr>
    </w:p>
    <w:p w:rsidR="00000000" w:rsidRDefault="00000000">
      <w:pPr>
        <w:ind w:left="1134" w:hanging="567"/>
      </w:pPr>
      <w:r>
        <w:t>-</w:t>
      </w:r>
      <w:r>
        <w:tab/>
        <w:t>Цель 13:  уменьшение числа случаев преждевременных родов и рождения недоношенных детей (весом менее 2 500 грамм) до 5%, снижение перинатальной смертности до 11 случаев на 1 000 рождений, совершенствование диагностирования и лечения органов мочеполовой системы беременных женщин, сокращение числа курящих среди беременных женщин до менее 10%, обеспечение более рациональной диеты для беременных женщин, живущих в условиях нищеты, а также сокращение подростковой беременности и числа случаев рождения детей женщинами в возрасте старше 35 лет (на 20% по сравнению с 1995 годом), обеспечение надлежащего ухода в период, предшествующий беременности, совершенствование системы диагностики и обеспечение активного ухода за беременными женщинами, которым угрожают преждевременные роды, совершенствование ухода за недоношенными детьми;</w:t>
      </w:r>
    </w:p>
    <w:p w:rsidR="00000000" w:rsidRDefault="00000000">
      <w:pPr>
        <w:ind w:left="1134" w:hanging="567"/>
      </w:pPr>
    </w:p>
    <w:p w:rsidR="00000000" w:rsidRDefault="00000000">
      <w:pPr>
        <w:ind w:left="1134" w:hanging="567"/>
      </w:pPr>
      <w:r>
        <w:t>-</w:t>
      </w:r>
      <w:r>
        <w:tab/>
        <w:t>Цель 14:  повышение выявляемости случаев гипертонии на уровне первичной медико-санитарной помощи минимум на 2% в год, расширение возможностей поликлиник по раннему лечению этого заболевания без применения фармацевтических средств, расширение работы по анализу содержания жиров в крови, введение соответствующей диеты или лекарств, расширение круга аналитических методов, используемых в региональных лабораториях, для включения в их число методов определения содержания жира в организме;</w:t>
      </w:r>
    </w:p>
    <w:p w:rsidR="00000000" w:rsidRDefault="00000000">
      <w:pPr>
        <w:ind w:left="1134" w:hanging="567"/>
      </w:pPr>
    </w:p>
    <w:p w:rsidR="00000000" w:rsidRDefault="00000000">
      <w:pPr>
        <w:ind w:left="1134" w:hanging="567"/>
      </w:pPr>
      <w:r>
        <w:t>-</w:t>
      </w:r>
      <w:r>
        <w:tab/>
        <w:t>Цель 15:  сокращение уровня смертности от злокачественных новообразований на 10% по сравнению с 1995 годом, развитие навыков проведения медицинского осмотра, увеличение числа случаев диагностирования до операционного вмешательства на 2% в год, увеличение числа цитологических анализов мазка из шейки матки для женщин в возрасте до 60 лет минимум на 2% в год, создание центров по выявлению заболеваний раком груди при региональных отделениях онкологического института, распространение практики цитологических обследований женщин в возрасте от 18 до 60 лет;</w:t>
      </w:r>
    </w:p>
    <w:p w:rsidR="00000000" w:rsidRDefault="00000000">
      <w:pPr>
        <w:ind w:left="1134" w:hanging="567"/>
      </w:pPr>
    </w:p>
    <w:p w:rsidR="00000000" w:rsidRDefault="00000000">
      <w:pPr>
        <w:ind w:left="1134" w:hanging="567"/>
      </w:pPr>
      <w:r>
        <w:t>-</w:t>
      </w:r>
      <w:r>
        <w:tab/>
        <w:t>Цель 16:  устранение различных барьеров в области градостроительства, архитектуры и транспорта, уделение внимания созданию ортопедических и других видов протезов, а также обучение инвалидов (занятия по интеграции, переподготовка), защищенность в период трудовой деятельности, обеспечение защищенной занятости и переоборудование рабочих мест, оказание помощи семьям инвалидов, формирование в обществе надлежащего отношения к инвалидам, оказание помощи местным органам самоуправления и НПО, реформа системы подтверждения инвалидности, совершенствование условий для реабилитации инвалидов;</w:t>
      </w:r>
    </w:p>
    <w:p w:rsidR="00000000" w:rsidRDefault="00000000">
      <w:pPr>
        <w:ind w:left="1134" w:hanging="567"/>
      </w:pPr>
    </w:p>
    <w:p w:rsidR="00000000" w:rsidRDefault="00000000">
      <w:pPr>
        <w:ind w:left="1134" w:hanging="567"/>
      </w:pPr>
      <w:r>
        <w:t>-</w:t>
      </w:r>
      <w:r>
        <w:tab/>
        <w:t>Цель 17:  введение практики вакцинации против свинки наряду с вакцинацией против кори и краснухи, вакцинация всех подверженных высокому риску групп населения от вирусного гепатита В, повышение до 90% эффективности работы по выявлению и лечению туберкулеза, сокращение числа случаев заражений через кровь в рамках программы "Профилактика и борьба против СПИДа", устранение случаев пищевых отравлений (соблюдение правил гигиены, просвещение), внедрение экологически безопасных методов стерилизации медицинского оборудования и консервирования продовольствия, обязательная вакцинация против дифтерита;</w:t>
      </w:r>
    </w:p>
    <w:p w:rsidR="00000000" w:rsidRDefault="00000000">
      <w:pPr>
        <w:ind w:left="1134" w:hanging="567"/>
      </w:pPr>
    </w:p>
    <w:p w:rsidR="00000000" w:rsidRDefault="00000000">
      <w:pPr>
        <w:ind w:left="1134" w:hanging="567"/>
      </w:pPr>
      <w:r>
        <w:br w:type="page"/>
        <w:t>-</w:t>
      </w:r>
      <w:r>
        <w:tab/>
        <w:t>Цель 18:  просвещение детей и беременных женщин в вопросах гигиены полости рта как минимум в 50% учреждений первичной медико-санитарной помощи, увеличение на 25% по сравнению с 1994 годом доли учащихся, охваченных программой профилактики кариеса с применением фторсодержащих препаратов и полировкой зубов, в том числе по меньшей мере для 60% детей в возрасте от 6 до 8 лет, у которых молочные зубы меняются на постоянные, внедрение практики чистки зубов после приема пищи в яслях, детских садах, санаториях, сиротских приютах и летних лагерях отдыха.</w:t>
      </w:r>
    </w:p>
    <w:p w:rsidR="00000000" w:rsidRDefault="00000000">
      <w:pPr>
        <w:ind w:left="567" w:hanging="567"/>
      </w:pPr>
    </w:p>
    <w:p w:rsidR="00000000" w:rsidRDefault="00000000">
      <w:r>
        <w:t>279.</w:t>
      </w:r>
      <w:r>
        <w:tab/>
        <w:t>В соответствии с призывом ВОЗ "мыслить глобально, действовать на месте" НПЗ уделяла главное внимание местным органам самоуправления, местным общинам и НПО.  Были выполнены требования ВОЗ в отношении системы первичной медико-санитарной помощи, причем этой области уделялось особое внимание.  Администрация несла ответственность за обеспечение соответствующих условий, содействие проведению соответствующей деятельности, создание правовых рамок, финансирование исследований и выполнение многих других задач, а также за проведение ревизий и оценки достигнутых результатов.  Ожидается, что реализация НПЗ не затронет бюджет, и на эти цели не было выделено каких-либо других дополнительных средств.</w:t>
      </w:r>
    </w:p>
    <w:p w:rsidR="00000000" w:rsidRDefault="00000000"/>
    <w:p w:rsidR="00000000" w:rsidRDefault="00000000">
      <w:pPr>
        <w:pStyle w:val="BodyText"/>
        <w:spacing w:line="288" w:lineRule="auto"/>
      </w:pPr>
      <w:r>
        <w:t>Основные программы в области здравоохранения, финансируемые из бюджета министерства здравоохранения</w:t>
      </w:r>
    </w:p>
    <w:p w:rsidR="00000000" w:rsidRDefault="00000000">
      <w:pPr>
        <w:pStyle w:val="BodyText"/>
        <w:spacing w:line="288" w:lineRule="auto"/>
      </w:pPr>
    </w:p>
    <w:p w:rsidR="00000000" w:rsidRDefault="00000000">
      <w:r>
        <w:t>280.</w:t>
      </w:r>
      <w:r>
        <w:tab/>
        <w:t>Все новорожденные проходят осмотр на предмет выявления случаев гипотиреоза и фенилкетонурии.  С 1995 года в рамках НПЗ осуществляется "Программа совершенствования перинатального ухода".  В 1996 году началось осуществление программы генетических исследований для выявления заболеваний фиброзным кистозом.  В 1998 году проверку прошли 20% новорожденных.  Масштабы этой работы расширяются.  Проводится экспериментальная проверка и регистрация случаев врожденных пороков обмена веществ.  С начала 80-х годов детям с пониженной функцией гипофиза бесплатно выдавались гормоны роста (финансирование шло из бюджета министерства).  В 90</w:t>
      </w:r>
      <w:r>
        <w:noBreakHyphen/>
        <w:t>х годах расширилась программа профилактических прививок.  В 1998 году детям делались прививки от туберкулеза, гепатита В, дифтерита, столбняка, коклюша, полиомиелита, кори и краснухи.</w:t>
      </w:r>
    </w:p>
    <w:p w:rsidR="00000000" w:rsidRDefault="00000000"/>
    <w:p w:rsidR="00000000" w:rsidRDefault="00000000">
      <w:pPr>
        <w:pStyle w:val="Heading2"/>
        <w:rPr>
          <w:b/>
          <w:bCs/>
          <w:u w:val="none"/>
        </w:rPr>
      </w:pPr>
      <w:r>
        <w:rPr>
          <w:b/>
          <w:bCs/>
          <w:u w:val="none"/>
        </w:rPr>
        <w:br w:type="page"/>
        <w:t>Новые нормы, регулирующие деятельность в области охраны психического здоровья</w:t>
      </w:r>
    </w:p>
    <w:p w:rsidR="00000000" w:rsidRDefault="00000000">
      <w:pPr>
        <w:pStyle w:val="Heading2"/>
      </w:pPr>
    </w:p>
    <w:p w:rsidR="00000000" w:rsidRDefault="00000000">
      <w:r>
        <w:t>281.</w:t>
      </w:r>
      <w:r>
        <w:tab/>
        <w:t>Упомянутые в разделе А Закон и программа взаимно дополняют друг друга и направлены на коренную перестройку системы психиатрического лечения.  Учитывая, что на протяжении многих лет коммунистического правления этим вопросам не уделялось должного внимания, а также принимая во внимание общественные проблемы, связанные с адаптацией к новым реалиям, данный вопрос является чрезвычайно сложным и требует неотложных действий.  В вышеупомянутый Закон были включены положения, касающиеся предоставления социальной помощи и функционирования судов по опеке, а также других областей здравоохранения, в первую очередь первичной медико-санитарной помощи.  Положения этого Закона предусматривают три стратегические цели:</w:t>
      </w:r>
    </w:p>
    <w:p w:rsidR="00000000" w:rsidRDefault="00000000"/>
    <w:p w:rsidR="00000000" w:rsidRDefault="00000000">
      <w:r>
        <w:tab/>
        <w:t>а)</w:t>
      </w:r>
      <w:r>
        <w:tab/>
        <w:t>содействие укреплению психического здоровья, профилактика психических расстройств, формирование правильного отношения к лицам, страдающим психическими расстройствами;</w:t>
      </w:r>
    </w:p>
    <w:p w:rsidR="00000000" w:rsidRDefault="00000000"/>
    <w:p w:rsidR="00000000" w:rsidRDefault="00000000">
      <w:r>
        <w:tab/>
      </w:r>
      <w:r>
        <w:rPr>
          <w:lang w:val="en-US"/>
        </w:rPr>
        <w:t>b</w:t>
      </w:r>
      <w:r>
        <w:t>)</w:t>
      </w:r>
      <w:r>
        <w:tab/>
        <w:t>обеспечение ухода за лицами, страдающими психическими расстройствами, и предоставление им иных форм помощи.  В частности, предусматривается внедрение новой модели ухода за психически больными, при которой на воеводства возложена ответственность за создание психиатрических лечебниц и объектов системы социального обеспечения, организовано обучение и реабилитация детей с психическими расстройствами, предоставляется социальная поддержка лицам с психическими расстройствами, на безвозмездной основе выделяются пособия на лечение, на министерство здравоохранения и социального обеспечения возложена обязанность по развитию сети психиатрических лечебниц, а на министерство труда и социальной политики - обязанность по развитию сети учреждений социального обеспечения и самопомощи на уровне общин (через 10 лет после вступления Закона в силу);</w:t>
      </w:r>
    </w:p>
    <w:p w:rsidR="00000000" w:rsidRDefault="00000000"/>
    <w:p w:rsidR="00000000" w:rsidRDefault="00000000">
      <w:r>
        <w:tab/>
        <w:t>с)</w:t>
      </w:r>
      <w:r>
        <w:tab/>
        <w:t xml:space="preserve">защита гражданских прав лиц с психическими расстройствами:  контроль за соблюдением прав пациента на основе законов и новых правил, регулирующих взаимоотношения между пациентом и врачом (профессиональная тайна, согласие пациента и т.д.), прав лиц, помещенных в больницы для лечения без их согласия, создание системы административно-медицинских гарантий, обеспечение безопасности судопроизводства, а также гарантии, надзор за соблюдением которых осуществляют суды. </w:t>
      </w:r>
    </w:p>
    <w:p w:rsidR="00000000" w:rsidRDefault="00000000"/>
    <w:p w:rsidR="00000000" w:rsidRDefault="00000000">
      <w:r>
        <w:t>282.</w:t>
      </w:r>
      <w:r>
        <w:tab/>
        <w:t>Первым этапом в осуществлении положений первой главы вышеупомянутого Закона является Программа по охране психического здоровья.  Она явилась итогом совместных усилий, принятых специалистами Института психиатрии и неврологии, Европейского бюро ВОЗ, министерства здравоохранения и социального обеспечения, экспертами из Польского общества психиатрии, а также отдельными психиатрами.  Эта программа охватывает следующие вопросы:</w:t>
      </w:r>
    </w:p>
    <w:p w:rsidR="00000000" w:rsidRDefault="00000000"/>
    <w:p w:rsidR="00000000" w:rsidRDefault="00000000">
      <w:r>
        <w:tab/>
        <w:t>а)</w:t>
      </w:r>
      <w:r>
        <w:tab/>
        <w:t>оценка ситуации (существенных изменений в общей численности пациентов не произошло, хотя отмечался рост случаев заболеваний, связанных со злоупотреблением алкоголем и психотропными веществами, самоубийств, наркомании и заражения ВИЧ);</w:t>
      </w:r>
    </w:p>
    <w:p w:rsidR="00000000" w:rsidRDefault="00000000"/>
    <w:p w:rsidR="00000000" w:rsidRDefault="00000000">
      <w:r>
        <w:tab/>
      </w:r>
      <w:r>
        <w:rPr>
          <w:lang w:val="en-US"/>
        </w:rPr>
        <w:t>b</w:t>
      </w:r>
      <w:r>
        <w:t>)</w:t>
      </w:r>
      <w:r>
        <w:tab/>
        <w:t>обзор мер в области информационно-пропагандистской деятельности, профилактики, лечения и реабилитации;</w:t>
      </w:r>
    </w:p>
    <w:p w:rsidR="00000000" w:rsidRDefault="00000000"/>
    <w:p w:rsidR="00000000" w:rsidRDefault="00000000">
      <w:r>
        <w:tab/>
        <w:t>с)</w:t>
      </w:r>
      <w:r>
        <w:tab/>
        <w:t>программа информационно-пропагандистских мероприятий и профилактики первой ступени;</w:t>
      </w:r>
    </w:p>
    <w:p w:rsidR="00000000" w:rsidRDefault="00000000"/>
    <w:p w:rsidR="00000000" w:rsidRDefault="00000000">
      <w:r>
        <w:tab/>
      </w:r>
      <w:r>
        <w:rPr>
          <w:lang w:val="en-US"/>
        </w:rPr>
        <w:t>d</w:t>
      </w:r>
      <w:r>
        <w:t>)</w:t>
      </w:r>
      <w:r>
        <w:tab/>
        <w:t>разработка основополагающей программы здравоохранения и социальной помощи лицам с психическими расстройствами (необходимо новое законодательство для улучшения качества и повышения доступности психиатрического лечения и улучшения качества первичной медико-санитарной помощи, в том числе за счет изменения учебной программы студентов старших курсов, расширения программы подготовки врачей в области первичной медико-санитарной помощи для включения в нее вопросов, касающихся выявления и лечения психических расстройств непсихотического типа, увеличения численности медицинского персонала и повышения уровня его образования, обеспечения большей доступности лечения за счет создания специальных психиатрических палат в больницах общего профиля, перестройки системы стационарных лечебных учреждений, создания региональных центров судебной психиатрии и психиатрических учреждений для несовершеннолетних, а также центров для лечения неврозов, увеличения доли социальной помощи, развития сети учреждений самопомощи на уровне общин);</w:t>
      </w:r>
    </w:p>
    <w:p w:rsidR="00000000" w:rsidRDefault="00000000"/>
    <w:p w:rsidR="00000000" w:rsidRDefault="00000000">
      <w:r>
        <w:tab/>
        <w:t>е)</w:t>
      </w:r>
      <w:r>
        <w:tab/>
        <w:t>проведение запланированных исследований.</w:t>
      </w:r>
    </w:p>
    <w:p w:rsidR="00000000" w:rsidRDefault="00000000"/>
    <w:p w:rsidR="00000000" w:rsidRDefault="00000000">
      <w:r>
        <w:t>283.</w:t>
      </w:r>
      <w:r>
        <w:tab/>
        <w:t xml:space="preserve">В целом идея заключалась в перестройке модели психиатрической помощи и в переходе от системы лечения в крупных стационарах к промежуточным формам.  В результате принятия этого Закона и программы Польша приблизилась к стандартам Европейского союза и другим международным нормам.  Для полного осуществления Программы потребуется 10 лет.  </w:t>
      </w:r>
    </w:p>
    <w:p w:rsidR="00000000" w:rsidRDefault="00000000"/>
    <w:p w:rsidR="00000000" w:rsidRDefault="00000000">
      <w:pPr>
        <w:pStyle w:val="BodyText"/>
        <w:keepNext/>
        <w:spacing w:line="288" w:lineRule="auto"/>
      </w:pPr>
      <w:r>
        <w:t>Национальная программа профилактики ВИЧ и лечения ВИЧ-инфицированных, а также лиц, больных СПИДом</w:t>
      </w:r>
    </w:p>
    <w:p w:rsidR="00000000" w:rsidRDefault="00000000">
      <w:pPr>
        <w:keepNext/>
      </w:pPr>
    </w:p>
    <w:p w:rsidR="00000000" w:rsidRDefault="00000000">
      <w:pPr>
        <w:keepNext/>
      </w:pPr>
      <w:r>
        <w:t>284.</w:t>
      </w:r>
      <w:r>
        <w:tab/>
        <w:t>Эта программа была предпринята правительством с целью борьбы с дискриминацией в отношении людей, зараженных ВИЧ и страдающих СПИДом, проведения широкой просветительской работы в обществе, а также укрепление сотрудничества со средствами массовой информации.  Данная программа охватывает следующие основные вопросы:</w:t>
      </w:r>
    </w:p>
    <w:p w:rsidR="00000000" w:rsidRDefault="00000000">
      <w:pPr>
        <w:spacing w:line="240" w:lineRule="auto"/>
      </w:pPr>
    </w:p>
    <w:p w:rsidR="00000000" w:rsidRDefault="00000000">
      <w:pPr>
        <w:spacing w:line="240" w:lineRule="auto"/>
        <w:ind w:left="567"/>
      </w:pPr>
      <w:r>
        <w:t>-</w:t>
      </w:r>
      <w:r>
        <w:tab/>
        <w:t>права человека и права больных ВИЧ/СПИДом;</w:t>
      </w:r>
    </w:p>
    <w:p w:rsidR="00000000" w:rsidRDefault="00000000">
      <w:pPr>
        <w:spacing w:line="240" w:lineRule="auto"/>
        <w:ind w:left="567"/>
      </w:pPr>
    </w:p>
    <w:p w:rsidR="00000000" w:rsidRDefault="00000000">
      <w:pPr>
        <w:spacing w:line="240" w:lineRule="auto"/>
        <w:ind w:left="567"/>
      </w:pPr>
      <w:r>
        <w:t>-</w:t>
      </w:r>
      <w:r>
        <w:tab/>
        <w:t>совершенствование методов лечения людей, страдающих ВИЧ/СПИДом;</w:t>
      </w:r>
    </w:p>
    <w:p w:rsidR="00000000" w:rsidRDefault="00000000">
      <w:pPr>
        <w:spacing w:line="240" w:lineRule="auto"/>
        <w:ind w:left="567"/>
      </w:pPr>
    </w:p>
    <w:p w:rsidR="00000000" w:rsidRDefault="00000000">
      <w:pPr>
        <w:spacing w:line="240" w:lineRule="auto"/>
        <w:ind w:left="567"/>
      </w:pPr>
      <w:r>
        <w:t>-</w:t>
      </w:r>
      <w:r>
        <w:tab/>
        <w:t>формирование правильного отношения в обществе к проблеме ВИЧ/СПИДа;</w:t>
      </w:r>
    </w:p>
    <w:p w:rsidR="00000000" w:rsidRDefault="00000000">
      <w:pPr>
        <w:spacing w:line="240" w:lineRule="auto"/>
        <w:ind w:left="567"/>
      </w:pPr>
    </w:p>
    <w:p w:rsidR="00000000" w:rsidRDefault="00000000">
      <w:pPr>
        <w:spacing w:line="240" w:lineRule="auto"/>
        <w:ind w:left="1134" w:hanging="567"/>
      </w:pPr>
      <w:r>
        <w:t>-</w:t>
      </w:r>
      <w:r>
        <w:tab/>
        <w:t>сотрудничество со средствами массовой информации в вышеуказанных областях.</w:t>
      </w:r>
    </w:p>
    <w:p w:rsidR="00000000" w:rsidRDefault="00000000">
      <w:pPr>
        <w:spacing w:line="240" w:lineRule="auto"/>
      </w:pPr>
    </w:p>
    <w:p w:rsidR="00000000" w:rsidRDefault="00000000">
      <w:r>
        <w:t>285.</w:t>
      </w:r>
      <w:r>
        <w:tab/>
        <w:t>За реализацию этой программы отвечают следующие учреждения:  министерство здравоохранения и социального обеспечения, министерство национального образования, министерство юстиции, министерство труда и социальной политики, министерство национальной безопасности, министерство внутренних дел и администрации, а также председатели Польского комитета телевидения и Польского комитета радио.  На региональном уровне ответственность за осуществление программы несут соответствующие учреждения, подведомственные министерству здравоохранения и социального обеспечения.</w:t>
      </w:r>
    </w:p>
    <w:p w:rsidR="00000000" w:rsidRDefault="00000000">
      <w:pPr>
        <w:spacing w:line="216" w:lineRule="auto"/>
      </w:pPr>
    </w:p>
    <w:p w:rsidR="00000000" w:rsidRDefault="00000000">
      <w:pPr>
        <w:pStyle w:val="10"/>
        <w:spacing w:line="240" w:lineRule="auto"/>
        <w:rPr>
          <w:bCs/>
        </w:rPr>
      </w:pPr>
      <w:r>
        <w:rPr>
          <w:bCs/>
        </w:rPr>
        <w:t>С.</w:t>
      </w:r>
      <w:r>
        <w:rPr>
          <w:bCs/>
        </w:rPr>
        <w:tab/>
        <w:t>Доля ВВП и национального и местных бюджетов, выделяемая</w:t>
      </w:r>
    </w:p>
    <w:p w:rsidR="00000000" w:rsidRDefault="00000000">
      <w:pPr>
        <w:pStyle w:val="10"/>
        <w:spacing w:line="240" w:lineRule="auto"/>
        <w:rPr>
          <w:bCs/>
        </w:rPr>
      </w:pPr>
      <w:r>
        <w:rPr>
          <w:bCs/>
        </w:rPr>
        <w:t>на цели здравоохранения</w:t>
      </w:r>
    </w:p>
    <w:p w:rsidR="00000000" w:rsidRDefault="00000000">
      <w:pPr>
        <w:pStyle w:val="10"/>
        <w:spacing w:line="216" w:lineRule="auto"/>
        <w:rPr>
          <w:bCs/>
        </w:rPr>
      </w:pPr>
    </w:p>
    <w:p w:rsidR="00000000" w:rsidRDefault="00000000">
      <w:pPr>
        <w:spacing w:line="240" w:lineRule="auto"/>
        <w:jc w:val="center"/>
      </w:pPr>
      <w:r>
        <w:rPr>
          <w:u w:val="single"/>
        </w:rPr>
        <w:t>Таблица 35</w:t>
      </w:r>
      <w:r>
        <w:rPr>
          <w:b/>
          <w:bCs/>
        </w:rPr>
        <w:t>.</w:t>
      </w:r>
      <w:r>
        <w:rPr>
          <w:b/>
          <w:bCs/>
        </w:rPr>
        <w:tab/>
      </w:r>
      <w:r>
        <w:rPr>
          <w:u w:val="single"/>
        </w:rPr>
        <w:t>Государственные расходы на здравоохранение в 1988-1998 годах</w:t>
      </w:r>
    </w:p>
    <w:p w:rsidR="00000000" w:rsidRDefault="00000000">
      <w:pPr>
        <w:spacing w:line="240" w:lineRule="auto"/>
        <w:jc w:val="cente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4783"/>
        <w:gridCol w:w="1439"/>
        <w:gridCol w:w="1122"/>
        <w:gridCol w:w="992"/>
        <w:gridCol w:w="1235"/>
      </w:tblGrid>
      <w:tr w:rsidR="00000000">
        <w:tblPrEx>
          <w:tblCellMar>
            <w:top w:w="0" w:type="dxa"/>
            <w:bottom w:w="0" w:type="dxa"/>
          </w:tblCellMar>
        </w:tblPrEx>
        <w:tc>
          <w:tcPr>
            <w:tcW w:w="4783" w:type="dxa"/>
          </w:tcPr>
          <w:p w:rsidR="00000000" w:rsidRDefault="00000000">
            <w:pPr>
              <w:pStyle w:val="16"/>
              <w:spacing w:line="240" w:lineRule="auto"/>
            </w:pPr>
          </w:p>
        </w:tc>
        <w:tc>
          <w:tcPr>
            <w:tcW w:w="1439" w:type="dxa"/>
          </w:tcPr>
          <w:p w:rsidR="00000000" w:rsidRDefault="00000000">
            <w:pPr>
              <w:spacing w:line="240" w:lineRule="auto"/>
              <w:jc w:val="center"/>
            </w:pPr>
            <w:r>
              <w:t>1988 год</w:t>
            </w:r>
          </w:p>
        </w:tc>
        <w:tc>
          <w:tcPr>
            <w:tcW w:w="1122" w:type="dxa"/>
          </w:tcPr>
          <w:p w:rsidR="00000000" w:rsidRDefault="00000000">
            <w:pPr>
              <w:spacing w:line="240" w:lineRule="auto"/>
              <w:jc w:val="center"/>
            </w:pPr>
            <w:r>
              <w:t>1995 год</w:t>
            </w:r>
          </w:p>
        </w:tc>
        <w:tc>
          <w:tcPr>
            <w:tcW w:w="992" w:type="dxa"/>
          </w:tcPr>
          <w:p w:rsidR="00000000" w:rsidRDefault="00000000">
            <w:pPr>
              <w:spacing w:line="240" w:lineRule="auto"/>
              <w:jc w:val="center"/>
            </w:pPr>
            <w:r>
              <w:t>1997 год</w:t>
            </w:r>
          </w:p>
        </w:tc>
        <w:tc>
          <w:tcPr>
            <w:tcW w:w="1235" w:type="dxa"/>
          </w:tcPr>
          <w:p w:rsidR="00000000" w:rsidRDefault="00000000">
            <w:pPr>
              <w:pStyle w:val="16"/>
              <w:spacing w:line="240" w:lineRule="auto"/>
            </w:pPr>
            <w:r>
              <w:t>1998 год</w:t>
            </w:r>
          </w:p>
        </w:tc>
      </w:tr>
      <w:tr w:rsidR="00000000">
        <w:tblPrEx>
          <w:tblCellMar>
            <w:top w:w="0" w:type="dxa"/>
            <w:bottom w:w="0" w:type="dxa"/>
          </w:tblCellMar>
        </w:tblPrEx>
        <w:tc>
          <w:tcPr>
            <w:tcW w:w="4783" w:type="dxa"/>
          </w:tcPr>
          <w:p w:rsidR="00000000" w:rsidRDefault="00000000">
            <w:pPr>
              <w:spacing w:line="240" w:lineRule="auto"/>
            </w:pPr>
            <w:r>
              <w:t>Доля ВВП в процентах</w:t>
            </w:r>
          </w:p>
        </w:tc>
        <w:tc>
          <w:tcPr>
            <w:tcW w:w="1439" w:type="dxa"/>
          </w:tcPr>
          <w:p w:rsidR="00000000" w:rsidRDefault="00000000">
            <w:pPr>
              <w:tabs>
                <w:tab w:val="clear" w:pos="567"/>
                <w:tab w:val="clear" w:pos="1134"/>
              </w:tabs>
              <w:spacing w:line="240" w:lineRule="auto"/>
              <w:jc w:val="center"/>
            </w:pPr>
            <w:r>
              <w:t>3,4*</w:t>
            </w:r>
          </w:p>
        </w:tc>
        <w:tc>
          <w:tcPr>
            <w:tcW w:w="1122" w:type="dxa"/>
          </w:tcPr>
          <w:p w:rsidR="00000000" w:rsidRDefault="00000000">
            <w:pPr>
              <w:tabs>
                <w:tab w:val="clear" w:pos="567"/>
                <w:tab w:val="clear" w:pos="1134"/>
              </w:tabs>
              <w:spacing w:line="240" w:lineRule="auto"/>
              <w:jc w:val="center"/>
            </w:pPr>
            <w:r>
              <w:t>4,5**</w:t>
            </w:r>
          </w:p>
        </w:tc>
        <w:tc>
          <w:tcPr>
            <w:tcW w:w="992" w:type="dxa"/>
          </w:tcPr>
          <w:p w:rsidR="00000000" w:rsidRDefault="00000000">
            <w:pPr>
              <w:tabs>
                <w:tab w:val="clear" w:pos="567"/>
                <w:tab w:val="clear" w:pos="1134"/>
              </w:tabs>
              <w:spacing w:line="240" w:lineRule="auto"/>
              <w:jc w:val="center"/>
            </w:pPr>
            <w:r>
              <w:t>4,3</w:t>
            </w:r>
          </w:p>
        </w:tc>
        <w:tc>
          <w:tcPr>
            <w:tcW w:w="1235" w:type="dxa"/>
          </w:tcPr>
          <w:p w:rsidR="00000000" w:rsidRDefault="00000000">
            <w:pPr>
              <w:tabs>
                <w:tab w:val="clear" w:pos="567"/>
                <w:tab w:val="clear" w:pos="1134"/>
              </w:tabs>
              <w:spacing w:line="240" w:lineRule="auto"/>
              <w:jc w:val="center"/>
            </w:pPr>
            <w:r>
              <w:t>4,0</w:t>
            </w:r>
          </w:p>
        </w:tc>
      </w:tr>
      <w:tr w:rsidR="00000000">
        <w:tblPrEx>
          <w:tblCellMar>
            <w:top w:w="0" w:type="dxa"/>
            <w:bottom w:w="0" w:type="dxa"/>
          </w:tblCellMar>
        </w:tblPrEx>
        <w:tc>
          <w:tcPr>
            <w:tcW w:w="4783" w:type="dxa"/>
          </w:tcPr>
          <w:p w:rsidR="00000000" w:rsidRDefault="00000000">
            <w:pPr>
              <w:spacing w:line="240" w:lineRule="auto"/>
            </w:pPr>
            <w:r>
              <w:t>Доля национального бюджета в процентах</w:t>
            </w:r>
          </w:p>
        </w:tc>
        <w:tc>
          <w:tcPr>
            <w:tcW w:w="1439" w:type="dxa"/>
          </w:tcPr>
          <w:p w:rsidR="00000000" w:rsidRDefault="00000000">
            <w:pPr>
              <w:tabs>
                <w:tab w:val="clear" w:pos="567"/>
                <w:tab w:val="clear" w:pos="1134"/>
              </w:tabs>
              <w:spacing w:line="240" w:lineRule="auto"/>
              <w:jc w:val="center"/>
            </w:pPr>
            <w:r>
              <w:t>13,0</w:t>
            </w:r>
          </w:p>
        </w:tc>
        <w:tc>
          <w:tcPr>
            <w:tcW w:w="1122" w:type="dxa"/>
          </w:tcPr>
          <w:p w:rsidR="00000000" w:rsidRDefault="00000000">
            <w:pPr>
              <w:tabs>
                <w:tab w:val="clear" w:pos="567"/>
                <w:tab w:val="clear" w:pos="1134"/>
              </w:tabs>
              <w:spacing w:line="240" w:lineRule="auto"/>
              <w:jc w:val="center"/>
            </w:pPr>
            <w:r>
              <w:t>14,4</w:t>
            </w:r>
          </w:p>
        </w:tc>
        <w:tc>
          <w:tcPr>
            <w:tcW w:w="992" w:type="dxa"/>
          </w:tcPr>
          <w:p w:rsidR="00000000" w:rsidRDefault="00000000">
            <w:pPr>
              <w:tabs>
                <w:tab w:val="clear" w:pos="567"/>
                <w:tab w:val="clear" w:pos="1134"/>
              </w:tabs>
              <w:spacing w:line="240" w:lineRule="auto"/>
              <w:jc w:val="center"/>
            </w:pPr>
            <w:r>
              <w:t>15,0</w:t>
            </w:r>
          </w:p>
        </w:tc>
        <w:tc>
          <w:tcPr>
            <w:tcW w:w="1235" w:type="dxa"/>
          </w:tcPr>
          <w:p w:rsidR="00000000" w:rsidRDefault="00000000">
            <w:pPr>
              <w:tabs>
                <w:tab w:val="clear" w:pos="567"/>
                <w:tab w:val="clear" w:pos="1134"/>
              </w:tabs>
              <w:spacing w:line="240" w:lineRule="auto"/>
              <w:jc w:val="center"/>
            </w:pPr>
            <w:r>
              <w:t>15,0</w:t>
            </w:r>
          </w:p>
        </w:tc>
      </w:tr>
      <w:tr w:rsidR="00000000">
        <w:tblPrEx>
          <w:tblCellMar>
            <w:top w:w="0" w:type="dxa"/>
            <w:bottom w:w="0" w:type="dxa"/>
          </w:tblCellMar>
        </w:tblPrEx>
        <w:tc>
          <w:tcPr>
            <w:tcW w:w="4783" w:type="dxa"/>
          </w:tcPr>
          <w:p w:rsidR="00000000" w:rsidRDefault="00000000">
            <w:pPr>
              <w:spacing w:line="216" w:lineRule="auto"/>
            </w:pPr>
            <w:r>
              <w:t>Доля местных бюджетов (бюджетов гмин) в процентах</w:t>
            </w:r>
          </w:p>
        </w:tc>
        <w:tc>
          <w:tcPr>
            <w:tcW w:w="1439" w:type="dxa"/>
          </w:tcPr>
          <w:p w:rsidR="00000000" w:rsidRDefault="00000000">
            <w:pPr>
              <w:pStyle w:val="16"/>
              <w:tabs>
                <w:tab w:val="clear" w:pos="567"/>
                <w:tab w:val="clear" w:pos="1134"/>
              </w:tabs>
              <w:spacing w:line="240" w:lineRule="auto"/>
            </w:pPr>
            <w:r>
              <w:t>Данных не имеется</w:t>
            </w:r>
          </w:p>
        </w:tc>
        <w:tc>
          <w:tcPr>
            <w:tcW w:w="1122" w:type="dxa"/>
            <w:vAlign w:val="bottom"/>
          </w:tcPr>
          <w:p w:rsidR="00000000" w:rsidRDefault="00000000">
            <w:pPr>
              <w:tabs>
                <w:tab w:val="clear" w:pos="567"/>
                <w:tab w:val="clear" w:pos="1134"/>
              </w:tabs>
              <w:spacing w:line="240" w:lineRule="auto"/>
              <w:jc w:val="center"/>
            </w:pPr>
            <w:r>
              <w:t>7,6</w:t>
            </w:r>
          </w:p>
        </w:tc>
        <w:tc>
          <w:tcPr>
            <w:tcW w:w="992" w:type="dxa"/>
            <w:vAlign w:val="bottom"/>
          </w:tcPr>
          <w:p w:rsidR="00000000" w:rsidRDefault="00000000">
            <w:pPr>
              <w:tabs>
                <w:tab w:val="clear" w:pos="567"/>
                <w:tab w:val="clear" w:pos="1134"/>
              </w:tabs>
              <w:spacing w:line="240" w:lineRule="auto"/>
              <w:jc w:val="center"/>
            </w:pPr>
            <w:r>
              <w:t>6,1</w:t>
            </w:r>
          </w:p>
        </w:tc>
        <w:tc>
          <w:tcPr>
            <w:tcW w:w="1235" w:type="dxa"/>
            <w:vAlign w:val="bottom"/>
          </w:tcPr>
          <w:p w:rsidR="00000000" w:rsidRDefault="00000000">
            <w:pPr>
              <w:tabs>
                <w:tab w:val="clear" w:pos="567"/>
                <w:tab w:val="clear" w:pos="1134"/>
              </w:tabs>
              <w:spacing w:line="240" w:lineRule="auto"/>
              <w:jc w:val="center"/>
            </w:pPr>
            <w:r>
              <w:t>6,1</w:t>
            </w:r>
          </w:p>
        </w:tc>
      </w:tr>
    </w:tbl>
    <w:p w:rsidR="00000000" w:rsidRDefault="00000000">
      <w:pPr>
        <w:pStyle w:val="FootnoteText"/>
        <w:spacing w:line="216" w:lineRule="auto"/>
      </w:pPr>
    </w:p>
    <w:p w:rsidR="00000000" w:rsidRDefault="00000000">
      <w:pPr>
        <w:pStyle w:val="FootnoteText"/>
        <w:spacing w:line="216" w:lineRule="auto"/>
      </w:pPr>
      <w:r>
        <w:t xml:space="preserve"> *</w:t>
      </w:r>
      <w:r>
        <w:tab/>
        <w:t>Данные за 1989 год.</w:t>
      </w:r>
    </w:p>
    <w:p w:rsidR="00000000" w:rsidRDefault="00000000">
      <w:pPr>
        <w:pStyle w:val="FootnoteText"/>
        <w:spacing w:line="216" w:lineRule="auto"/>
      </w:pPr>
    </w:p>
    <w:p w:rsidR="00000000" w:rsidRDefault="00000000">
      <w:pPr>
        <w:pStyle w:val="FootnoteText"/>
        <w:spacing w:line="216" w:lineRule="auto"/>
      </w:pPr>
      <w:r>
        <w:t>**</w:t>
      </w:r>
      <w:r>
        <w:tab/>
        <w:t>Данные за 1994 год.</w:t>
      </w:r>
    </w:p>
    <w:p w:rsidR="00000000" w:rsidRDefault="00000000">
      <w:pPr>
        <w:pStyle w:val="FootnoteText"/>
        <w:spacing w:line="216" w:lineRule="auto"/>
      </w:pPr>
    </w:p>
    <w:p w:rsidR="00000000" w:rsidRDefault="00000000">
      <w:pPr>
        <w:pStyle w:val="FootnoteText"/>
      </w:pPr>
      <w:r>
        <w:tab/>
      </w:r>
      <w:r>
        <w:rPr>
          <w:u w:val="single"/>
        </w:rPr>
        <w:t>Источник</w:t>
      </w:r>
      <w:r>
        <w:t>:  Главное статистическое управление, министерство здравоохранения, министерство финансов.</w:t>
      </w:r>
    </w:p>
    <w:p w:rsidR="00000000" w:rsidRDefault="00000000">
      <w:pPr>
        <w:pStyle w:val="FootnoteText"/>
        <w:spacing w:line="288" w:lineRule="auto"/>
      </w:pPr>
    </w:p>
    <w:p w:rsidR="00000000" w:rsidRDefault="00000000">
      <w:pPr>
        <w:pStyle w:val="FootnoteText"/>
        <w:spacing w:line="288" w:lineRule="auto"/>
      </w:pPr>
      <w:r>
        <w:t>286.</w:t>
      </w:r>
      <w:r>
        <w:tab/>
        <w:t>Объем расходов на здравоохранение в том или ином году определяется польским сеймом в законе о бюджете.  Расходы на первичную медико-санитарную помощь не являются отдельной статьей бюджетных расходов.  Средства на эти цели ассигнуются в бюджетах отдельных воеводств.</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D.</w:t>
      </w:r>
      <w:r>
        <w:rPr>
          <w:b/>
          <w:bCs/>
        </w:rPr>
        <w:tab/>
        <w:t>Показатели в области здравоохранения</w:t>
      </w:r>
    </w:p>
    <w:p w:rsidR="00000000" w:rsidRDefault="00000000">
      <w:pPr>
        <w:pStyle w:val="FootnoteText"/>
        <w:spacing w:line="288" w:lineRule="auto"/>
        <w:jc w:val="center"/>
        <w:rPr>
          <w:b/>
          <w:bCs/>
        </w:rPr>
      </w:pPr>
    </w:p>
    <w:p w:rsidR="00000000" w:rsidRDefault="00000000">
      <w:pPr>
        <w:pStyle w:val="FootnoteText"/>
        <w:spacing w:line="288" w:lineRule="auto"/>
        <w:rPr>
          <w:b/>
          <w:bCs/>
        </w:rPr>
      </w:pPr>
      <w:r>
        <w:rPr>
          <w:b/>
          <w:bCs/>
        </w:rPr>
        <w:tab/>
        <w:t>1.</w:t>
      </w:r>
      <w:r>
        <w:rPr>
          <w:b/>
          <w:bCs/>
        </w:rPr>
        <w:tab/>
        <w:t>Младенческая смертность</w:t>
      </w:r>
    </w:p>
    <w:p w:rsidR="00000000" w:rsidRDefault="00000000">
      <w:pPr>
        <w:pStyle w:val="FootnoteText"/>
        <w:spacing w:line="288" w:lineRule="auto"/>
        <w:jc w:val="center"/>
        <w:rPr>
          <w:b/>
          <w:bCs/>
        </w:rPr>
      </w:pPr>
    </w:p>
    <w:p w:rsidR="00000000" w:rsidRDefault="00000000">
      <w:pPr>
        <w:pStyle w:val="FootnoteText"/>
        <w:spacing w:line="288" w:lineRule="auto"/>
      </w:pPr>
      <w:r>
        <w:t>287.</w:t>
      </w:r>
      <w:r>
        <w:tab/>
        <w:t>По сравнению с периодом, отраженным в последнем докладе, положение в этой области значительно улучшилось.  В 1990 году уровень смертности составлял 19,3 на 1 000 рождений.  В 1994 году Польша приняла разработанные ВОЗ определения абортов, рождений, внутриутробной, младенческой и материнской смертности.  В 1995 году было отмечен 5 891 случай смерти, что на 1 393 меньше по сравнению с 1994 годом;  коэффициент младенческой смертности снизился с 15,1 в 1994 году до 13,6 в 1995 году (согласно ГСУ и докладу правительственной комиссии по народонаселению за 1996 год "Демографическая ситуация в Польше").  Согласно данным ГСУ и Государственного института гигиены ("Положение в области здравоохранения населения Польши в 1996 году"), этот показатель снизился с 13,6 в 1995 году до 12,2 в 1996 году.  В 1996 году было зарегистрировано в общей сложности 428 203 случая живорождений.  Согласно статистическим данным ГСУ, уровень младенческой смертности снизился с 10,2 в 1997 году, до 9,5 в 1998 году.  Таким образом, в стране опережающими темпами шло осуществление Национальной программы здравоохранения, а именно "Программы совершенствования перинатального ухода за детьми", цель которой состоит в снижении уровня младенческой смертности на 10 пунктов к 2000 году.</w:t>
      </w:r>
    </w:p>
    <w:p w:rsidR="00000000" w:rsidRDefault="00000000">
      <w:pPr>
        <w:pStyle w:val="FootnoteText"/>
        <w:spacing w:line="288" w:lineRule="auto"/>
      </w:pPr>
    </w:p>
    <w:p w:rsidR="00000000" w:rsidRDefault="00000000">
      <w:pPr>
        <w:pStyle w:val="FootnoteText"/>
        <w:spacing w:line="288" w:lineRule="auto"/>
      </w:pPr>
      <w:r>
        <w:t>288.</w:t>
      </w:r>
      <w:r>
        <w:tab/>
        <w:t>Смертность зависит также от возраста и веса тела младенца.  Наиболее частой она бывает в течение первых 27 дней жизни (74%).  Ее причинами, в частности, являются преждевременные роды, аномальное развитие и инфекции.  В течение первой недели после рождения показатели смертности в два раза превышают показатели смертности в течение последующих недель;  свыше 50% случаев смерти вызваны заболеваниями, полученными в перинатальный период, а 25% случаев - врожденными пороками развития.  В 1996 году наивысшие показатели смертности были отмечены в Радомском регионе (15,5 на 1 000 человек), а самые низкие показатели - в Лещиньском регионе (7,8).  Число воеводств, где этот показатель был ниже 10, увеличилось от одного в 1995 году (Пëтрковское воеводство) до 6 в 1996 году (Калиское - 9,9, Кониньское - 9,8, Кросненьское </w:t>
      </w:r>
      <w:r>
        <w:noBreakHyphen/>
        <w:t xml:space="preserve"> 7,9, Лещиньское </w:t>
      </w:r>
      <w:r>
        <w:noBreakHyphen/>
        <w:t xml:space="preserve"> 7,8, Серадзское </w:t>
      </w:r>
      <w:r>
        <w:noBreakHyphen/>
        <w:t xml:space="preserve"> 8,9 и Зелëногурское </w:t>
      </w:r>
      <w:r>
        <w:noBreakHyphen/>
        <w:t xml:space="preserve"> 9,4).  Еще в шести воеводствах этот показатель составлял от 10,0 до 10,5 (Бяльскоподлаское </w:t>
      </w:r>
      <w:r>
        <w:noBreakHyphen/>
        <w:t xml:space="preserve"> 10,3, Краковское </w:t>
      </w:r>
      <w:r>
        <w:noBreakHyphen/>
        <w:t xml:space="preserve"> 10,5, Ольштынское </w:t>
      </w:r>
      <w:r>
        <w:noBreakHyphen/>
        <w:t xml:space="preserve"> 10,2, Пëтрковское </w:t>
      </w:r>
      <w:r>
        <w:noBreakHyphen/>
        <w:t xml:space="preserve"> 10,2, Седлецкое </w:t>
      </w:r>
      <w:r>
        <w:noBreakHyphen/>
        <w:t xml:space="preserve"> 10,1, Скерневицкое </w:t>
      </w:r>
      <w:r>
        <w:noBreakHyphen/>
        <w:t xml:space="preserve"> 10,2).  Самые высокие коэффициенты смертности были зарегистрированы в следующих воеводствах:  Вроцлавское </w:t>
      </w:r>
      <w:r>
        <w:noBreakHyphen/>
        <w:t xml:space="preserve"> 14,5, Еленëгурское </w:t>
      </w:r>
      <w:r>
        <w:noBreakHyphen/>
        <w:t xml:space="preserve"> 14,7, Сечановское </w:t>
      </w:r>
      <w:r>
        <w:noBreakHyphen/>
        <w:t xml:space="preserve"> 14,6, Влоцлавское </w:t>
      </w:r>
      <w:r>
        <w:noBreakHyphen/>
        <w:t xml:space="preserve"> 13,9 и Радомское </w:t>
      </w:r>
      <w:r>
        <w:noBreakHyphen/>
        <w:t xml:space="preserve"> 15,5.  Средняя продолжительность жизни при рождении для мужчин (в 1996 году) составляла примерно 68,1 лет, а для женщин этот же показатель составлял порядка 76,6 лет, т.е. увеличение на 0,5 года для мужчин и 0,2 года для женщин.  Уменьшилась разница в показателях младенческой смертности между городскими и сельскими районами.  По существу, отмечалось новое явление:  в городских районах младенческая смертность стала превышать аналогичные показатели сельских районов (в 1990 году </w:t>
      </w:r>
      <w:r>
        <w:noBreakHyphen/>
        <w:t xml:space="preserve"> 19,1 и 19,7 соответственно, в 1995 году </w:t>
      </w:r>
      <w:r>
        <w:noBreakHyphen/>
        <w:t xml:space="preserve"> уже 13,7 и 13,5, а в 1998 году </w:t>
      </w:r>
      <w:r>
        <w:noBreakHyphen/>
        <w:t xml:space="preserve"> 9,7 и 9,4).  </w:t>
      </w:r>
    </w:p>
    <w:p w:rsidR="00000000" w:rsidRDefault="00000000">
      <w:pPr>
        <w:pStyle w:val="FootnoteText"/>
        <w:spacing w:line="288" w:lineRule="auto"/>
      </w:pPr>
    </w:p>
    <w:p w:rsidR="00000000" w:rsidRDefault="00000000">
      <w:pPr>
        <w:pStyle w:val="FootnoteText"/>
        <w:spacing w:line="288" w:lineRule="auto"/>
        <w:rPr>
          <w:b/>
          <w:bCs/>
        </w:rPr>
      </w:pPr>
      <w:r>
        <w:rPr>
          <w:b/>
          <w:bCs/>
        </w:rPr>
        <w:tab/>
        <w:t>2.</w:t>
      </w:r>
      <w:r>
        <w:rPr>
          <w:b/>
          <w:bCs/>
        </w:rPr>
        <w:tab/>
        <w:t>Число людей, имеющих доступ к питьевой воде</w:t>
      </w:r>
    </w:p>
    <w:p w:rsidR="00000000" w:rsidRDefault="00000000">
      <w:pPr>
        <w:pStyle w:val="FootnoteText"/>
        <w:spacing w:line="288" w:lineRule="auto"/>
        <w:jc w:val="center"/>
        <w:rPr>
          <w:b/>
          <w:bCs/>
        </w:rPr>
      </w:pPr>
    </w:p>
    <w:p w:rsidR="00000000" w:rsidRDefault="00000000">
      <w:pPr>
        <w:pStyle w:val="FootnoteText"/>
        <w:spacing w:line="288" w:lineRule="auto"/>
      </w:pPr>
      <w:r>
        <w:t>289.</w:t>
      </w:r>
      <w:r>
        <w:tab/>
        <w:t xml:space="preserve">Согласно данным Главного статистического управления (ГСУ), доля городских жителей, пользующихся водой из системы центрального водоснабжения составляет примерно 91,2-91,3% (общая численность на 31 декабря 1997 года равнялась 23 925 000 человек).  В 1995 году 91,1% систем коммунального водоснабжения поставляли воду, соответствующую санитарно-гигиеническим нормам, установленным распоряжением министра здравоохранения и социального обеспечения от 31 мая 1997 года о требованиях, которым должна отвечать питьевая вода и вода, используемая в промышленных целях (Законодательный вестник № 18, статья 72;  поправка:  Законодательный вестник за 1990 год, № 35, статья 205);   в 1997 году эта цифра составляла 92,2%.  Приведенные выше данные свидетельствуют о том, что в 1995 году примерно 19,8 млн. жителей пользовались водой, отвечающей санитарным нормам, а в 1997 году </w:t>
      </w:r>
      <w:r>
        <w:noBreakHyphen/>
        <w:t xml:space="preserve"> 20,1 млн. человек.  В 1998 году доля систем водоснабжения, обеспечивающих "качественную" воду, увеличилась на 1,6% (до 94,6%).  В 1995-1998 годах происходило активное развитие систем центрального водоснабжения в сельских районах.  В связи с этим уменьшилось число мелких объектов водоснабжения, поставляющих воду для общественного пользования (например, местных водопроводных систем и водопроводов, принадлежащих компаниям, скважин, принадлежащих компаниям и отдельным домохозяйствам), особенно объектов, поставляющих воду, не отвечающую установленным требованиям.  Данные санитарной инспекции указывают на то, что в сельских районах действовало свыше 77% публичных объектов водоснабжения, контролируемых санитарно-эпидемиологическими станциями.</w:t>
      </w:r>
    </w:p>
    <w:p w:rsidR="00000000" w:rsidRDefault="00000000">
      <w:pPr>
        <w:pStyle w:val="FootnoteText"/>
        <w:spacing w:line="288" w:lineRule="auto"/>
      </w:pPr>
    </w:p>
    <w:p w:rsidR="00000000" w:rsidRDefault="00000000">
      <w:r>
        <w:t>290.</w:t>
      </w:r>
      <w:r>
        <w:tab/>
        <w:t>Для получения общей картины положения в этой области необходим краткий общий обзор качества водных ресурсов в Польше.  Согласно данным за 1996 год, по физико-химическому критерию 4,8%  контролируемых речных участков относились к категории</w:t>
      </w:r>
      <w:r>
        <w:rPr>
          <w:lang w:val="en-US"/>
        </w:rPr>
        <w:t> I</w:t>
      </w:r>
      <w:r>
        <w:t>, 23,7% - к категории </w:t>
      </w:r>
      <w:r>
        <w:rPr>
          <w:lang w:val="en-US"/>
        </w:rPr>
        <w:t>II</w:t>
      </w:r>
      <w:r>
        <w:t>, 38,7% - к категории</w:t>
      </w:r>
      <w:r>
        <w:rPr>
          <w:lang w:val="en-US"/>
        </w:rPr>
        <w:t> III</w:t>
      </w:r>
      <w:r>
        <w:t>, 32,8% - ни к одной из категорий.  По биологическому критерию 0,1% относились к категории </w:t>
      </w:r>
      <w:r>
        <w:rPr>
          <w:lang w:val="en-US"/>
        </w:rPr>
        <w:t>I</w:t>
      </w:r>
      <w:r>
        <w:t>, 2,6% - к категории </w:t>
      </w:r>
      <w:r>
        <w:rPr>
          <w:lang w:val="en-US"/>
        </w:rPr>
        <w:t>II</w:t>
      </w:r>
      <w:r>
        <w:t>, 13,4% - к категории </w:t>
      </w:r>
      <w:r>
        <w:rPr>
          <w:lang w:val="en-US"/>
        </w:rPr>
        <w:t>III</w:t>
      </w:r>
      <w:r>
        <w:t xml:space="preserve"> и 83,9% - ни к одной из категорий.  В 1997 году по физико-химическому критерию 1,8% контролируемые речных участков относились к категории </w:t>
      </w:r>
      <w:r>
        <w:rPr>
          <w:lang w:val="en-US"/>
        </w:rPr>
        <w:t>I</w:t>
      </w:r>
      <w:r>
        <w:t>, 24,9% - к категории</w:t>
      </w:r>
      <w:r>
        <w:rPr>
          <w:lang w:val="en-US"/>
        </w:rPr>
        <w:t> II</w:t>
      </w:r>
      <w:r>
        <w:t>, 42,4% - к категории</w:t>
      </w:r>
      <w:r>
        <w:rPr>
          <w:lang w:val="en-US"/>
        </w:rPr>
        <w:t> III</w:t>
      </w:r>
      <w:r>
        <w:t xml:space="preserve"> и 30,9% - ни к одной из категорий.  По биологическому критерию 0,1% относились к категории </w:t>
      </w:r>
      <w:r>
        <w:rPr>
          <w:lang w:val="en-US"/>
        </w:rPr>
        <w:t>I</w:t>
      </w:r>
      <w:r>
        <w:t>, 3,1% - к категории </w:t>
      </w:r>
      <w:r>
        <w:rPr>
          <w:lang w:val="en-US"/>
        </w:rPr>
        <w:t>II</w:t>
      </w:r>
      <w:r>
        <w:t>, 12,3% - к категории </w:t>
      </w:r>
      <w:r>
        <w:rPr>
          <w:lang w:val="en-US"/>
        </w:rPr>
        <w:t>III</w:t>
      </w:r>
      <w:r>
        <w:t xml:space="preserve"> и 84,5% - ни к одной из категорий.  Несколько улучшилось качество воды рек Висла и Одра и их притоков, однако, что касается высокого уровня загрязнения рек, то существенных изменений к лучшему не отмечается.  В стране ежегодно вводится в строй свыше 400 новых водоочистных сооружений.  Ожидается, что качество воды заметно улучшится после сооружения новых водоочистных сооружений во всех крупных городах.  По данным за 1966 год, из 134 обследованных озер лишь два относились к категории качества </w:t>
      </w:r>
      <w:r>
        <w:rPr>
          <w:lang w:val="en-US"/>
        </w:rPr>
        <w:t>I</w:t>
      </w:r>
      <w:r>
        <w:t>, а 37% водных запасов озер относились к категории </w:t>
      </w:r>
      <w:r>
        <w:rPr>
          <w:lang w:val="en-US"/>
        </w:rPr>
        <w:t>III</w:t>
      </w:r>
      <w:r>
        <w:t xml:space="preserve"> или ни к одной из категорий.  В 42 озера сточные воды сбрасывались без очистки.  Хотя из 115 озер, контролировавшихся в 1997 году, шесть (увеличение на четыре по сравнению с предыдущим годом) были отнесены к категории </w:t>
      </w:r>
      <w:r>
        <w:rPr>
          <w:lang w:val="en-US"/>
        </w:rPr>
        <w:t>I</w:t>
      </w:r>
      <w:r>
        <w:t>, 42% контролируемых озер относились к категории </w:t>
      </w:r>
      <w:r>
        <w:rPr>
          <w:lang w:val="en-US"/>
        </w:rPr>
        <w:t>III</w:t>
      </w:r>
      <w:r>
        <w:t xml:space="preserve"> или ни к одной из категорий, и в 30 озер сточные воды сбрасывались без очистки.  В 1997 году 52,5% подземных вод относились к категории </w:t>
      </w:r>
      <w:r>
        <w:rPr>
          <w:lang w:val="en-US"/>
        </w:rPr>
        <w:t>I</w:t>
      </w:r>
      <w:r>
        <w:t>, 12,6% - к категории </w:t>
      </w:r>
      <w:r>
        <w:rPr>
          <w:lang w:val="en-US"/>
        </w:rPr>
        <w:t>II</w:t>
      </w:r>
      <w:r>
        <w:t xml:space="preserve"> и 34,9% - к категории </w:t>
      </w:r>
      <w:r>
        <w:rPr>
          <w:lang w:val="en-US"/>
        </w:rPr>
        <w:t>III</w:t>
      </w:r>
      <w:r>
        <w:t>.  Лишь 46,2% грунтовых вод относились к категории </w:t>
      </w:r>
      <w:r>
        <w:rPr>
          <w:lang w:val="en-US"/>
        </w:rPr>
        <w:t>I</w:t>
      </w:r>
      <w:r>
        <w:t>, 8,2% - к категории </w:t>
      </w:r>
      <w:r>
        <w:rPr>
          <w:lang w:val="en-US"/>
        </w:rPr>
        <w:t>II</w:t>
      </w:r>
      <w:r>
        <w:t xml:space="preserve"> и 45,6% - к категории </w:t>
      </w:r>
      <w:r>
        <w:rPr>
          <w:lang w:val="en-US"/>
        </w:rPr>
        <w:t>III</w:t>
      </w:r>
      <w:r>
        <w:t>.</w:t>
      </w:r>
    </w:p>
    <w:p w:rsidR="00000000" w:rsidRDefault="00000000"/>
    <w:p w:rsidR="00000000" w:rsidRDefault="00000000">
      <w:pPr>
        <w:pStyle w:val="10"/>
        <w:rPr>
          <w:b w:val="0"/>
          <w:u w:val="single"/>
        </w:rPr>
      </w:pPr>
      <w:r>
        <w:rPr>
          <w:b w:val="0"/>
          <w:u w:val="single"/>
        </w:rPr>
        <w:t>Таблица 36</w:t>
      </w:r>
      <w:r>
        <w:rPr>
          <w:b w:val="0"/>
        </w:rPr>
        <w:t xml:space="preserve">.  </w:t>
      </w:r>
      <w:r>
        <w:rPr>
          <w:b w:val="0"/>
          <w:u w:val="single"/>
        </w:rPr>
        <w:t>Санитарная оценка контролируемых гидротехнических сооружений и скважин по состоянию на конец 1998 года</w:t>
      </w:r>
    </w:p>
    <w:p w:rsidR="00000000" w:rsidRDefault="00000000">
      <w:pPr>
        <w:pStyle w:val="10"/>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142"/>
        <w:gridCol w:w="1525"/>
        <w:gridCol w:w="1136"/>
        <w:gridCol w:w="1525"/>
        <w:gridCol w:w="1140"/>
      </w:tblGrid>
      <w:tr w:rsidR="00000000">
        <w:tblPrEx>
          <w:tblCellMar>
            <w:top w:w="0" w:type="dxa"/>
            <w:bottom w:w="0" w:type="dxa"/>
          </w:tblCellMar>
        </w:tblPrEx>
        <w:trPr>
          <w:cantSplit/>
        </w:trPr>
        <w:tc>
          <w:tcPr>
            <w:tcW w:w="2188" w:type="pct"/>
            <w:vMerge w:val="restart"/>
          </w:tcPr>
          <w:p w:rsidR="00000000" w:rsidRDefault="00000000">
            <w:pPr>
              <w:pStyle w:val="16"/>
              <w:rPr>
                <w:sz w:val="20"/>
              </w:rPr>
            </w:pPr>
          </w:p>
        </w:tc>
        <w:tc>
          <w:tcPr>
            <w:tcW w:w="1405" w:type="pct"/>
            <w:gridSpan w:val="2"/>
          </w:tcPr>
          <w:p w:rsidR="00000000" w:rsidRDefault="00000000">
            <w:pPr>
              <w:jc w:val="center"/>
              <w:rPr>
                <w:sz w:val="20"/>
              </w:rPr>
            </w:pPr>
            <w:r>
              <w:rPr>
                <w:sz w:val="20"/>
              </w:rPr>
              <w:t>Городские районы</w:t>
            </w:r>
          </w:p>
        </w:tc>
        <w:tc>
          <w:tcPr>
            <w:tcW w:w="1407" w:type="pct"/>
            <w:gridSpan w:val="2"/>
          </w:tcPr>
          <w:p w:rsidR="00000000" w:rsidRDefault="00000000">
            <w:pPr>
              <w:jc w:val="center"/>
              <w:rPr>
                <w:sz w:val="20"/>
              </w:rPr>
            </w:pPr>
            <w:r>
              <w:rPr>
                <w:sz w:val="20"/>
              </w:rPr>
              <w:t>Сельские районы</w:t>
            </w:r>
          </w:p>
        </w:tc>
      </w:tr>
      <w:tr w:rsidR="00000000">
        <w:tblPrEx>
          <w:tblCellMar>
            <w:top w:w="0" w:type="dxa"/>
            <w:bottom w:w="0" w:type="dxa"/>
          </w:tblCellMar>
        </w:tblPrEx>
        <w:trPr>
          <w:cantSplit/>
        </w:trPr>
        <w:tc>
          <w:tcPr>
            <w:tcW w:w="2188" w:type="pct"/>
            <w:vMerge/>
          </w:tcPr>
          <w:p w:rsidR="00000000" w:rsidRDefault="00000000">
            <w:pPr>
              <w:pStyle w:val="16"/>
              <w:rPr>
                <w:sz w:val="20"/>
              </w:rPr>
            </w:pPr>
          </w:p>
        </w:tc>
        <w:tc>
          <w:tcPr>
            <w:tcW w:w="805" w:type="pct"/>
          </w:tcPr>
          <w:p w:rsidR="00000000" w:rsidRDefault="00000000">
            <w:pPr>
              <w:jc w:val="center"/>
              <w:rPr>
                <w:sz w:val="20"/>
              </w:rPr>
            </w:pPr>
            <w:r>
              <w:rPr>
                <w:sz w:val="20"/>
              </w:rPr>
              <w:t>Неопределенное качество %</w:t>
            </w:r>
          </w:p>
        </w:tc>
        <w:tc>
          <w:tcPr>
            <w:tcW w:w="600" w:type="pct"/>
          </w:tcPr>
          <w:p w:rsidR="00000000" w:rsidRDefault="00000000">
            <w:pPr>
              <w:jc w:val="center"/>
              <w:rPr>
                <w:sz w:val="20"/>
              </w:rPr>
            </w:pPr>
            <w:r>
              <w:rPr>
                <w:sz w:val="20"/>
              </w:rPr>
              <w:t>Плохое качество %</w:t>
            </w:r>
          </w:p>
        </w:tc>
        <w:tc>
          <w:tcPr>
            <w:tcW w:w="805" w:type="pct"/>
          </w:tcPr>
          <w:p w:rsidR="00000000" w:rsidRDefault="00000000">
            <w:pPr>
              <w:jc w:val="center"/>
              <w:rPr>
                <w:sz w:val="20"/>
              </w:rPr>
            </w:pPr>
            <w:r>
              <w:rPr>
                <w:sz w:val="20"/>
              </w:rPr>
              <w:t>Неопределенное качество %</w:t>
            </w:r>
          </w:p>
        </w:tc>
        <w:tc>
          <w:tcPr>
            <w:tcW w:w="602" w:type="pct"/>
          </w:tcPr>
          <w:p w:rsidR="00000000" w:rsidRDefault="00000000">
            <w:pPr>
              <w:jc w:val="center"/>
              <w:rPr>
                <w:sz w:val="20"/>
              </w:rPr>
            </w:pPr>
            <w:r>
              <w:rPr>
                <w:sz w:val="20"/>
              </w:rPr>
              <w:t>Плохое качество %</w:t>
            </w:r>
          </w:p>
        </w:tc>
      </w:tr>
      <w:tr w:rsidR="00000000">
        <w:tblPrEx>
          <w:tblCellMar>
            <w:top w:w="0" w:type="dxa"/>
            <w:bottom w:w="0" w:type="dxa"/>
          </w:tblCellMar>
        </w:tblPrEx>
        <w:tc>
          <w:tcPr>
            <w:tcW w:w="2188" w:type="pct"/>
          </w:tcPr>
          <w:p w:rsidR="00000000" w:rsidRDefault="00000000">
            <w:pPr>
              <w:pStyle w:val="16"/>
              <w:jc w:val="left"/>
              <w:rPr>
                <w:sz w:val="20"/>
              </w:rPr>
            </w:pPr>
            <w:r>
              <w:rPr>
                <w:sz w:val="20"/>
              </w:rPr>
              <w:t>Гидротехнические сооружения</w:t>
            </w:r>
          </w:p>
        </w:tc>
        <w:tc>
          <w:tcPr>
            <w:tcW w:w="805" w:type="pct"/>
          </w:tcPr>
          <w:p w:rsidR="00000000" w:rsidRDefault="00000000">
            <w:pPr>
              <w:jc w:val="right"/>
              <w:rPr>
                <w:sz w:val="20"/>
              </w:rPr>
            </w:pPr>
          </w:p>
        </w:tc>
        <w:tc>
          <w:tcPr>
            <w:tcW w:w="600" w:type="pct"/>
          </w:tcPr>
          <w:p w:rsidR="00000000" w:rsidRDefault="00000000">
            <w:pPr>
              <w:jc w:val="right"/>
              <w:rPr>
                <w:sz w:val="20"/>
              </w:rPr>
            </w:pPr>
          </w:p>
        </w:tc>
        <w:tc>
          <w:tcPr>
            <w:tcW w:w="805" w:type="pct"/>
          </w:tcPr>
          <w:p w:rsidR="00000000" w:rsidRDefault="00000000">
            <w:pPr>
              <w:jc w:val="right"/>
              <w:rPr>
                <w:sz w:val="20"/>
              </w:rPr>
            </w:pPr>
          </w:p>
        </w:tc>
        <w:tc>
          <w:tcPr>
            <w:tcW w:w="602" w:type="pct"/>
          </w:tcPr>
          <w:p w:rsidR="00000000" w:rsidRDefault="00000000">
            <w:pPr>
              <w:jc w:val="right"/>
              <w:rPr>
                <w:sz w:val="20"/>
              </w:rPr>
            </w:pPr>
          </w:p>
        </w:tc>
      </w:tr>
      <w:tr w:rsidR="00000000">
        <w:tblPrEx>
          <w:tblCellMar>
            <w:top w:w="0" w:type="dxa"/>
            <w:bottom w:w="0" w:type="dxa"/>
          </w:tblCellMar>
        </w:tblPrEx>
        <w:tc>
          <w:tcPr>
            <w:tcW w:w="2188" w:type="pct"/>
          </w:tcPr>
          <w:p w:rsidR="00000000" w:rsidRDefault="00000000">
            <w:pPr>
              <w:pStyle w:val="16"/>
              <w:tabs>
                <w:tab w:val="left" w:pos="284"/>
              </w:tabs>
              <w:jc w:val="left"/>
              <w:rPr>
                <w:sz w:val="20"/>
              </w:rPr>
            </w:pPr>
            <w:r>
              <w:rPr>
                <w:sz w:val="20"/>
              </w:rPr>
              <w:tab/>
              <w:t>-</w:t>
            </w:r>
            <w:r>
              <w:rPr>
                <w:sz w:val="20"/>
              </w:rPr>
              <w:tab/>
              <w:t>публичные</w:t>
            </w:r>
          </w:p>
        </w:tc>
        <w:tc>
          <w:tcPr>
            <w:tcW w:w="805" w:type="pct"/>
          </w:tcPr>
          <w:p w:rsidR="00000000" w:rsidRDefault="00000000">
            <w:pPr>
              <w:tabs>
                <w:tab w:val="clear" w:pos="567"/>
                <w:tab w:val="clear" w:pos="1134"/>
                <w:tab w:val="clear" w:pos="1701"/>
              </w:tabs>
              <w:ind w:right="569"/>
              <w:jc w:val="right"/>
              <w:rPr>
                <w:sz w:val="20"/>
              </w:rPr>
            </w:pPr>
            <w:r>
              <w:rPr>
                <w:sz w:val="20"/>
              </w:rPr>
              <w:t>4,0</w:t>
            </w:r>
          </w:p>
        </w:tc>
        <w:tc>
          <w:tcPr>
            <w:tcW w:w="600" w:type="pct"/>
          </w:tcPr>
          <w:p w:rsidR="00000000" w:rsidRDefault="00000000">
            <w:pPr>
              <w:tabs>
                <w:tab w:val="clear" w:pos="567"/>
                <w:tab w:val="clear" w:pos="1134"/>
              </w:tabs>
              <w:ind w:right="325"/>
              <w:jc w:val="right"/>
              <w:rPr>
                <w:sz w:val="20"/>
              </w:rPr>
            </w:pPr>
            <w:r>
              <w:rPr>
                <w:sz w:val="20"/>
              </w:rPr>
              <w:t>1,4</w:t>
            </w:r>
          </w:p>
        </w:tc>
        <w:tc>
          <w:tcPr>
            <w:tcW w:w="805" w:type="pct"/>
          </w:tcPr>
          <w:p w:rsidR="00000000" w:rsidRDefault="00000000">
            <w:pPr>
              <w:tabs>
                <w:tab w:val="clear" w:pos="567"/>
                <w:tab w:val="clear" w:pos="1134"/>
              </w:tabs>
              <w:ind w:right="389"/>
              <w:jc w:val="right"/>
              <w:rPr>
                <w:sz w:val="20"/>
              </w:rPr>
            </w:pPr>
            <w:r>
              <w:rPr>
                <w:sz w:val="20"/>
              </w:rPr>
              <w:t>5,4</w:t>
            </w:r>
          </w:p>
        </w:tc>
        <w:tc>
          <w:tcPr>
            <w:tcW w:w="602" w:type="pct"/>
          </w:tcPr>
          <w:p w:rsidR="00000000" w:rsidRDefault="00000000">
            <w:pPr>
              <w:ind w:right="284"/>
              <w:jc w:val="right"/>
              <w:rPr>
                <w:sz w:val="20"/>
              </w:rPr>
            </w:pPr>
            <w:r>
              <w:rPr>
                <w:sz w:val="20"/>
              </w:rPr>
              <w:t>2,8</w:t>
            </w:r>
          </w:p>
        </w:tc>
      </w:tr>
      <w:tr w:rsidR="00000000">
        <w:tblPrEx>
          <w:tblCellMar>
            <w:top w:w="0" w:type="dxa"/>
            <w:bottom w:w="0" w:type="dxa"/>
          </w:tblCellMar>
        </w:tblPrEx>
        <w:tc>
          <w:tcPr>
            <w:tcW w:w="2188" w:type="pct"/>
          </w:tcPr>
          <w:p w:rsidR="00000000" w:rsidRDefault="00000000">
            <w:pPr>
              <w:pStyle w:val="16"/>
              <w:tabs>
                <w:tab w:val="left" w:pos="284"/>
              </w:tabs>
              <w:ind w:left="567" w:hanging="567"/>
              <w:jc w:val="left"/>
              <w:rPr>
                <w:sz w:val="20"/>
              </w:rPr>
            </w:pPr>
            <w:r>
              <w:rPr>
                <w:sz w:val="20"/>
              </w:rPr>
              <w:tab/>
              <w:t>-</w:t>
            </w:r>
            <w:r>
              <w:rPr>
                <w:sz w:val="20"/>
              </w:rPr>
              <w:tab/>
              <w:t>принадлежащие компаниям</w:t>
            </w:r>
          </w:p>
        </w:tc>
        <w:tc>
          <w:tcPr>
            <w:tcW w:w="805" w:type="pct"/>
          </w:tcPr>
          <w:p w:rsidR="00000000" w:rsidRDefault="00000000">
            <w:pPr>
              <w:ind w:right="569"/>
              <w:jc w:val="right"/>
              <w:rPr>
                <w:sz w:val="20"/>
              </w:rPr>
            </w:pPr>
            <w:r>
              <w:rPr>
                <w:sz w:val="20"/>
              </w:rPr>
              <w:t>5,9</w:t>
            </w:r>
          </w:p>
        </w:tc>
        <w:tc>
          <w:tcPr>
            <w:tcW w:w="600" w:type="pct"/>
          </w:tcPr>
          <w:p w:rsidR="00000000" w:rsidRDefault="00000000">
            <w:pPr>
              <w:tabs>
                <w:tab w:val="clear" w:pos="567"/>
                <w:tab w:val="clear" w:pos="1134"/>
              </w:tabs>
              <w:ind w:right="325"/>
              <w:jc w:val="right"/>
              <w:rPr>
                <w:sz w:val="20"/>
              </w:rPr>
            </w:pPr>
            <w:r>
              <w:rPr>
                <w:sz w:val="20"/>
              </w:rPr>
              <w:t>3,2</w:t>
            </w:r>
          </w:p>
        </w:tc>
        <w:tc>
          <w:tcPr>
            <w:tcW w:w="805" w:type="pct"/>
          </w:tcPr>
          <w:p w:rsidR="00000000" w:rsidRDefault="00000000">
            <w:pPr>
              <w:tabs>
                <w:tab w:val="clear" w:pos="567"/>
                <w:tab w:val="clear" w:pos="1134"/>
              </w:tabs>
              <w:ind w:right="389"/>
              <w:jc w:val="right"/>
              <w:rPr>
                <w:sz w:val="20"/>
              </w:rPr>
            </w:pPr>
            <w:r>
              <w:rPr>
                <w:sz w:val="20"/>
              </w:rPr>
              <w:t>10,4</w:t>
            </w:r>
          </w:p>
        </w:tc>
        <w:tc>
          <w:tcPr>
            <w:tcW w:w="602" w:type="pct"/>
          </w:tcPr>
          <w:p w:rsidR="00000000" w:rsidRDefault="00000000">
            <w:pPr>
              <w:tabs>
                <w:tab w:val="clear" w:pos="567"/>
                <w:tab w:val="clear" w:pos="1134"/>
              </w:tabs>
              <w:ind w:right="284"/>
              <w:jc w:val="right"/>
              <w:rPr>
                <w:sz w:val="20"/>
              </w:rPr>
            </w:pPr>
            <w:r>
              <w:rPr>
                <w:sz w:val="20"/>
              </w:rPr>
              <w:t>7,4</w:t>
            </w:r>
          </w:p>
        </w:tc>
      </w:tr>
      <w:tr w:rsidR="00000000">
        <w:tblPrEx>
          <w:tblCellMar>
            <w:top w:w="0" w:type="dxa"/>
            <w:bottom w:w="0" w:type="dxa"/>
          </w:tblCellMar>
        </w:tblPrEx>
        <w:tc>
          <w:tcPr>
            <w:tcW w:w="2188" w:type="pct"/>
          </w:tcPr>
          <w:p w:rsidR="00000000" w:rsidRDefault="00000000">
            <w:pPr>
              <w:pStyle w:val="16"/>
              <w:tabs>
                <w:tab w:val="left" w:pos="284"/>
              </w:tabs>
              <w:jc w:val="left"/>
              <w:rPr>
                <w:sz w:val="20"/>
              </w:rPr>
            </w:pPr>
            <w:r>
              <w:rPr>
                <w:sz w:val="20"/>
              </w:rPr>
              <w:tab/>
              <w:t>-</w:t>
            </w:r>
            <w:r>
              <w:rPr>
                <w:sz w:val="20"/>
              </w:rPr>
              <w:tab/>
              <w:t>местные</w:t>
            </w:r>
          </w:p>
        </w:tc>
        <w:tc>
          <w:tcPr>
            <w:tcW w:w="805" w:type="pct"/>
          </w:tcPr>
          <w:p w:rsidR="00000000" w:rsidRDefault="00000000">
            <w:pPr>
              <w:ind w:right="569"/>
              <w:jc w:val="right"/>
              <w:rPr>
                <w:sz w:val="20"/>
              </w:rPr>
            </w:pPr>
            <w:r>
              <w:rPr>
                <w:sz w:val="20"/>
              </w:rPr>
              <w:t>6,4</w:t>
            </w:r>
          </w:p>
        </w:tc>
        <w:tc>
          <w:tcPr>
            <w:tcW w:w="600" w:type="pct"/>
          </w:tcPr>
          <w:p w:rsidR="00000000" w:rsidRDefault="00000000">
            <w:pPr>
              <w:tabs>
                <w:tab w:val="clear" w:pos="567"/>
                <w:tab w:val="clear" w:pos="1134"/>
              </w:tabs>
              <w:ind w:right="325"/>
              <w:jc w:val="right"/>
              <w:rPr>
                <w:sz w:val="20"/>
              </w:rPr>
            </w:pPr>
            <w:r>
              <w:rPr>
                <w:sz w:val="20"/>
              </w:rPr>
              <w:t>10,0</w:t>
            </w:r>
          </w:p>
        </w:tc>
        <w:tc>
          <w:tcPr>
            <w:tcW w:w="805" w:type="pct"/>
          </w:tcPr>
          <w:p w:rsidR="00000000" w:rsidRDefault="00000000">
            <w:pPr>
              <w:tabs>
                <w:tab w:val="clear" w:pos="567"/>
                <w:tab w:val="clear" w:pos="1134"/>
              </w:tabs>
              <w:ind w:right="389"/>
              <w:jc w:val="right"/>
              <w:rPr>
                <w:sz w:val="20"/>
              </w:rPr>
            </w:pPr>
            <w:r>
              <w:rPr>
                <w:sz w:val="20"/>
              </w:rPr>
              <w:t>7,5</w:t>
            </w:r>
          </w:p>
        </w:tc>
        <w:tc>
          <w:tcPr>
            <w:tcW w:w="602" w:type="pct"/>
          </w:tcPr>
          <w:p w:rsidR="00000000" w:rsidRDefault="00000000">
            <w:pPr>
              <w:tabs>
                <w:tab w:val="clear" w:pos="567"/>
                <w:tab w:val="clear" w:pos="1134"/>
              </w:tabs>
              <w:ind w:right="284"/>
              <w:jc w:val="right"/>
              <w:rPr>
                <w:sz w:val="20"/>
              </w:rPr>
            </w:pPr>
            <w:r>
              <w:rPr>
                <w:sz w:val="20"/>
              </w:rPr>
              <w:t>13.3</w:t>
            </w:r>
          </w:p>
        </w:tc>
      </w:tr>
      <w:tr w:rsidR="00000000">
        <w:tblPrEx>
          <w:tblCellMar>
            <w:top w:w="0" w:type="dxa"/>
            <w:bottom w:w="0" w:type="dxa"/>
          </w:tblCellMar>
        </w:tblPrEx>
        <w:tc>
          <w:tcPr>
            <w:tcW w:w="2188" w:type="pct"/>
          </w:tcPr>
          <w:p w:rsidR="00000000" w:rsidRDefault="00000000">
            <w:pPr>
              <w:pStyle w:val="16"/>
              <w:ind w:left="567" w:hanging="567"/>
              <w:jc w:val="left"/>
              <w:rPr>
                <w:sz w:val="20"/>
              </w:rPr>
            </w:pPr>
            <w:r>
              <w:rPr>
                <w:sz w:val="20"/>
              </w:rPr>
              <w:t>Публичные скважины</w:t>
            </w:r>
          </w:p>
        </w:tc>
        <w:tc>
          <w:tcPr>
            <w:tcW w:w="805" w:type="pct"/>
          </w:tcPr>
          <w:p w:rsidR="00000000" w:rsidRDefault="00000000">
            <w:pPr>
              <w:ind w:right="569"/>
              <w:jc w:val="right"/>
              <w:rPr>
                <w:sz w:val="20"/>
              </w:rPr>
            </w:pPr>
            <w:r>
              <w:rPr>
                <w:sz w:val="20"/>
              </w:rPr>
              <w:t>25,8</w:t>
            </w:r>
          </w:p>
        </w:tc>
        <w:tc>
          <w:tcPr>
            <w:tcW w:w="600" w:type="pct"/>
          </w:tcPr>
          <w:p w:rsidR="00000000" w:rsidRDefault="00000000">
            <w:pPr>
              <w:tabs>
                <w:tab w:val="clear" w:pos="567"/>
                <w:tab w:val="clear" w:pos="1134"/>
              </w:tabs>
              <w:ind w:right="325"/>
              <w:jc w:val="right"/>
              <w:rPr>
                <w:sz w:val="20"/>
              </w:rPr>
            </w:pPr>
            <w:r>
              <w:rPr>
                <w:sz w:val="20"/>
              </w:rPr>
              <w:t>37,2</w:t>
            </w:r>
          </w:p>
        </w:tc>
        <w:tc>
          <w:tcPr>
            <w:tcW w:w="805" w:type="pct"/>
          </w:tcPr>
          <w:p w:rsidR="00000000" w:rsidRDefault="00000000">
            <w:pPr>
              <w:tabs>
                <w:tab w:val="clear" w:pos="567"/>
                <w:tab w:val="clear" w:pos="1134"/>
              </w:tabs>
              <w:ind w:right="389"/>
              <w:jc w:val="right"/>
              <w:rPr>
                <w:sz w:val="20"/>
              </w:rPr>
            </w:pPr>
            <w:r>
              <w:rPr>
                <w:sz w:val="20"/>
              </w:rPr>
              <w:t>23,0</w:t>
            </w:r>
          </w:p>
        </w:tc>
        <w:tc>
          <w:tcPr>
            <w:tcW w:w="602" w:type="pct"/>
          </w:tcPr>
          <w:p w:rsidR="00000000" w:rsidRDefault="00000000">
            <w:pPr>
              <w:tabs>
                <w:tab w:val="clear" w:pos="567"/>
                <w:tab w:val="clear" w:pos="1134"/>
              </w:tabs>
              <w:ind w:right="284"/>
              <w:jc w:val="right"/>
              <w:rPr>
                <w:sz w:val="20"/>
              </w:rPr>
            </w:pPr>
            <w:r>
              <w:rPr>
                <w:sz w:val="20"/>
              </w:rPr>
              <w:t>32,2</w:t>
            </w:r>
          </w:p>
        </w:tc>
      </w:tr>
      <w:tr w:rsidR="00000000">
        <w:tblPrEx>
          <w:tblCellMar>
            <w:top w:w="0" w:type="dxa"/>
            <w:bottom w:w="0" w:type="dxa"/>
          </w:tblCellMar>
        </w:tblPrEx>
        <w:tc>
          <w:tcPr>
            <w:tcW w:w="2188" w:type="pct"/>
          </w:tcPr>
          <w:p w:rsidR="00000000" w:rsidRDefault="00000000">
            <w:pPr>
              <w:pStyle w:val="16"/>
              <w:tabs>
                <w:tab w:val="left" w:pos="284"/>
              </w:tabs>
              <w:ind w:left="567" w:hanging="567"/>
              <w:jc w:val="left"/>
              <w:rPr>
                <w:sz w:val="20"/>
              </w:rPr>
            </w:pPr>
            <w:r>
              <w:rPr>
                <w:sz w:val="20"/>
              </w:rPr>
              <w:tab/>
              <w:t>-</w:t>
            </w:r>
            <w:r>
              <w:rPr>
                <w:sz w:val="20"/>
              </w:rPr>
              <w:tab/>
              <w:t>принадлежащие компаниям</w:t>
            </w:r>
          </w:p>
        </w:tc>
        <w:tc>
          <w:tcPr>
            <w:tcW w:w="805" w:type="pct"/>
          </w:tcPr>
          <w:p w:rsidR="00000000" w:rsidRDefault="00000000">
            <w:pPr>
              <w:ind w:right="569"/>
              <w:jc w:val="right"/>
              <w:rPr>
                <w:sz w:val="20"/>
              </w:rPr>
            </w:pPr>
            <w:r>
              <w:rPr>
                <w:sz w:val="20"/>
              </w:rPr>
              <w:t>11,9</w:t>
            </w:r>
          </w:p>
        </w:tc>
        <w:tc>
          <w:tcPr>
            <w:tcW w:w="600" w:type="pct"/>
          </w:tcPr>
          <w:p w:rsidR="00000000" w:rsidRDefault="00000000">
            <w:pPr>
              <w:tabs>
                <w:tab w:val="clear" w:pos="567"/>
                <w:tab w:val="clear" w:pos="1134"/>
              </w:tabs>
              <w:ind w:right="325"/>
              <w:jc w:val="right"/>
              <w:rPr>
                <w:sz w:val="20"/>
              </w:rPr>
            </w:pPr>
            <w:r>
              <w:rPr>
                <w:sz w:val="20"/>
              </w:rPr>
              <w:t>19,6</w:t>
            </w:r>
          </w:p>
        </w:tc>
        <w:tc>
          <w:tcPr>
            <w:tcW w:w="805" w:type="pct"/>
          </w:tcPr>
          <w:p w:rsidR="00000000" w:rsidRDefault="00000000">
            <w:pPr>
              <w:tabs>
                <w:tab w:val="clear" w:pos="567"/>
                <w:tab w:val="clear" w:pos="1134"/>
              </w:tabs>
              <w:ind w:right="389"/>
              <w:jc w:val="right"/>
              <w:rPr>
                <w:sz w:val="20"/>
              </w:rPr>
            </w:pPr>
            <w:r>
              <w:rPr>
                <w:sz w:val="20"/>
              </w:rPr>
              <w:t>10,8</w:t>
            </w:r>
          </w:p>
        </w:tc>
        <w:tc>
          <w:tcPr>
            <w:tcW w:w="602" w:type="pct"/>
          </w:tcPr>
          <w:p w:rsidR="00000000" w:rsidRDefault="00000000">
            <w:pPr>
              <w:tabs>
                <w:tab w:val="clear" w:pos="567"/>
                <w:tab w:val="clear" w:pos="1134"/>
              </w:tabs>
              <w:ind w:right="284"/>
              <w:jc w:val="right"/>
              <w:rPr>
                <w:sz w:val="20"/>
              </w:rPr>
            </w:pPr>
            <w:r>
              <w:rPr>
                <w:sz w:val="20"/>
              </w:rPr>
              <w:t>19,3</w:t>
            </w:r>
          </w:p>
        </w:tc>
      </w:tr>
      <w:tr w:rsidR="00000000">
        <w:tblPrEx>
          <w:tblCellMar>
            <w:top w:w="0" w:type="dxa"/>
            <w:bottom w:w="0" w:type="dxa"/>
          </w:tblCellMar>
        </w:tblPrEx>
        <w:tc>
          <w:tcPr>
            <w:tcW w:w="2188" w:type="pct"/>
          </w:tcPr>
          <w:p w:rsidR="00000000" w:rsidRDefault="00000000">
            <w:pPr>
              <w:pStyle w:val="16"/>
              <w:tabs>
                <w:tab w:val="left" w:pos="284"/>
              </w:tabs>
              <w:jc w:val="left"/>
              <w:rPr>
                <w:sz w:val="20"/>
              </w:rPr>
            </w:pPr>
            <w:r>
              <w:rPr>
                <w:sz w:val="20"/>
              </w:rPr>
              <w:tab/>
              <w:t>-</w:t>
            </w:r>
            <w:r>
              <w:rPr>
                <w:sz w:val="20"/>
              </w:rPr>
              <w:tab/>
              <w:t>принадлежащие домашним хозяйствам</w:t>
            </w:r>
          </w:p>
        </w:tc>
        <w:tc>
          <w:tcPr>
            <w:tcW w:w="805" w:type="pct"/>
          </w:tcPr>
          <w:p w:rsidR="00000000" w:rsidRDefault="00000000">
            <w:pPr>
              <w:ind w:right="569"/>
              <w:jc w:val="right"/>
              <w:rPr>
                <w:sz w:val="20"/>
              </w:rPr>
            </w:pPr>
            <w:r>
              <w:rPr>
                <w:sz w:val="20"/>
              </w:rPr>
              <w:t>6,7</w:t>
            </w:r>
          </w:p>
        </w:tc>
        <w:tc>
          <w:tcPr>
            <w:tcW w:w="600" w:type="pct"/>
          </w:tcPr>
          <w:p w:rsidR="00000000" w:rsidRDefault="00000000">
            <w:pPr>
              <w:tabs>
                <w:tab w:val="clear" w:pos="567"/>
                <w:tab w:val="clear" w:pos="1134"/>
              </w:tabs>
              <w:ind w:right="325"/>
              <w:jc w:val="right"/>
              <w:rPr>
                <w:sz w:val="20"/>
              </w:rPr>
            </w:pPr>
            <w:r>
              <w:rPr>
                <w:sz w:val="20"/>
              </w:rPr>
              <w:t>50,5</w:t>
            </w:r>
          </w:p>
        </w:tc>
        <w:tc>
          <w:tcPr>
            <w:tcW w:w="805" w:type="pct"/>
          </w:tcPr>
          <w:p w:rsidR="00000000" w:rsidRDefault="00000000">
            <w:pPr>
              <w:tabs>
                <w:tab w:val="clear" w:pos="567"/>
                <w:tab w:val="clear" w:pos="1134"/>
              </w:tabs>
              <w:ind w:right="389"/>
              <w:jc w:val="right"/>
              <w:rPr>
                <w:sz w:val="20"/>
              </w:rPr>
            </w:pPr>
            <w:r>
              <w:rPr>
                <w:sz w:val="20"/>
              </w:rPr>
              <w:t>7,3</w:t>
            </w:r>
          </w:p>
        </w:tc>
        <w:tc>
          <w:tcPr>
            <w:tcW w:w="602" w:type="pct"/>
          </w:tcPr>
          <w:p w:rsidR="00000000" w:rsidRDefault="00000000">
            <w:pPr>
              <w:tabs>
                <w:tab w:val="clear" w:pos="567"/>
                <w:tab w:val="clear" w:pos="1134"/>
              </w:tabs>
              <w:ind w:right="284"/>
              <w:jc w:val="right"/>
              <w:rPr>
                <w:sz w:val="20"/>
              </w:rPr>
            </w:pPr>
            <w:r>
              <w:rPr>
                <w:sz w:val="20"/>
              </w:rPr>
              <w:t>57,3</w:t>
            </w:r>
          </w:p>
        </w:tc>
      </w:tr>
    </w:tbl>
    <w:p w:rsidR="00000000" w:rsidRDefault="00000000">
      <w:pPr>
        <w:pStyle w:val="16"/>
        <w:jc w:val="left"/>
      </w:pPr>
    </w:p>
    <w:p w:rsidR="00000000" w:rsidRDefault="00000000">
      <w:pPr>
        <w:pStyle w:val="16"/>
        <w:jc w:val="left"/>
      </w:pPr>
      <w:r>
        <w:tab/>
      </w:r>
      <w:r>
        <w:rPr>
          <w:u w:val="single"/>
        </w:rPr>
        <w:t>Источник</w:t>
      </w:r>
      <w:r>
        <w:t>: - данные Главного статистического управления.</w:t>
      </w:r>
    </w:p>
    <w:p w:rsidR="00000000" w:rsidRDefault="00000000">
      <w:pPr>
        <w:pStyle w:val="16"/>
        <w:jc w:val="left"/>
      </w:pPr>
    </w:p>
    <w:p w:rsidR="00000000" w:rsidRDefault="00000000">
      <w:pPr>
        <w:pStyle w:val="16"/>
        <w:jc w:val="left"/>
        <w:rPr>
          <w:b/>
          <w:bCs/>
        </w:rPr>
      </w:pPr>
      <w:r>
        <w:rPr>
          <w:b/>
          <w:bCs/>
        </w:rPr>
        <w:tab/>
        <w:t>3.</w:t>
      </w:r>
      <w:r>
        <w:rPr>
          <w:b/>
          <w:bCs/>
        </w:rPr>
        <w:tab/>
        <w:t>Число людей, пользующихся системой канализации</w:t>
      </w:r>
    </w:p>
    <w:p w:rsidR="00000000" w:rsidRDefault="00000000">
      <w:pPr>
        <w:pStyle w:val="16"/>
        <w:rPr>
          <w:b/>
          <w:bCs/>
        </w:rPr>
      </w:pPr>
    </w:p>
    <w:p w:rsidR="00000000" w:rsidRDefault="00000000">
      <w:pPr>
        <w:pStyle w:val="16"/>
        <w:jc w:val="left"/>
      </w:pPr>
      <w:r>
        <w:t>291.</w:t>
      </w:r>
      <w:r>
        <w:tab/>
        <w:t>По данным ГСУ, в 1995-1997 годах 82,1-82,3% городского населения, иными словами 19,6-19,7 млн. человек пользовались общесплавной канализационной системой.  По сельским районам данное обследование не проводилось.  Оценочные данные ГСУ (основанные на результатах сельскохозяйственной переписи) указывают на то, что 54% польского населения пользуются общесплавной канализационной системой (в городах и сельских районах).  Иными словами, в 1997 году из 870 городов в 822 имелась канализационная система (существенный прогресс по сравнению с периодом, охватываемым предыдущим докладом).  В 1995 году в общей сложности 75,7% жилых помещений (в городских и сельских районах вместе взятых) были подключены к канализационной системе и оснащены туалетами и ванными комнатами;  14,5% всех жилых помещений были оборудованы только канализационной системой и 9,8% вообще не имели никакой очистной системы.  В 1997 году 79% всех жилых помещений были оборудованы канализационной системой и в них имелись туалеты и ванные комнаты;  лишь 9% жилищ не были оснащены канализационной системой.  У нас отсутствуют данные о количестве лиц, проживающих в помещениях, подключенных к канализационным коллекторам (по оценкам, это примерно 90% населения, что значительно выше доли населения, проживающегося в домах, подключенных к общесплавной канализационной системе, которая в 1996 году составляла 54%, о чем говорится выше).  Подавляющее большинство остальных 10% населения проживают в старых домах в сельской местности, а иногда в городах (главным образом в небольших городах или в тех районах крупных городов, которые не были разрушены в ходе второй мировой войны).  ГСУ планирует провести новое статистическое обследование положения в данной области при проведении следующей переписи населения в 2002 году.</w:t>
      </w:r>
    </w:p>
    <w:p w:rsidR="00000000" w:rsidRDefault="00000000">
      <w:pPr>
        <w:pStyle w:val="16"/>
        <w:jc w:val="left"/>
      </w:pPr>
    </w:p>
    <w:p w:rsidR="00000000" w:rsidRDefault="00000000">
      <w:pPr>
        <w:pStyle w:val="16"/>
        <w:ind w:left="1134" w:hanging="1134"/>
        <w:jc w:val="left"/>
        <w:rPr>
          <w:b/>
          <w:bCs/>
        </w:rPr>
      </w:pPr>
      <w:r>
        <w:rPr>
          <w:b/>
          <w:bCs/>
        </w:rPr>
        <w:tab/>
        <w:t>4.</w:t>
      </w:r>
      <w:r>
        <w:rPr>
          <w:b/>
          <w:bCs/>
        </w:rPr>
        <w:tab/>
        <w:t>Число детей, вакцинированных от дифтерита, коклюша, столбняка, кори, полиомиелита и туберкулеза</w:t>
      </w:r>
    </w:p>
    <w:p w:rsidR="00000000" w:rsidRDefault="00000000">
      <w:pPr>
        <w:pStyle w:val="16"/>
        <w:rPr>
          <w:b/>
          <w:bCs/>
        </w:rPr>
      </w:pPr>
    </w:p>
    <w:p w:rsidR="00000000" w:rsidRDefault="00000000">
      <w:pPr>
        <w:pStyle w:val="16"/>
        <w:tabs>
          <w:tab w:val="left" w:pos="187"/>
        </w:tabs>
        <w:jc w:val="left"/>
      </w:pPr>
      <w:r>
        <w:t>292.</w:t>
      </w:r>
      <w:r>
        <w:tab/>
        <w:t>На протяжении последних нескольких десятилетий профилактическая вакцинация в Польше проводилась на основе регулярно обновляемого графика профилактических прививок.  В ходе тщательных проверок определялась степень достигнутой иммунности в каждой возрастной группе (детей и подростков).  На протяжении многих лет уровень вакцинации в Польше был весьма высоким.  В 1995-1997 годах свыше 95% общего числа детей каждой возрастной группы было вакцинировано от вышеупомянутых заболеваний.  Что касается некоторых заболеваний, то доля вакцинированных детей в возрасте старше двух лет, не превышала 98%.  Информация о числе вакцинированных детей той или иной возрастной группы в Польше не собиралась, равно как не собирались и данные в разбивке по полу или городским/сельским районам.</w:t>
      </w:r>
    </w:p>
    <w:p w:rsidR="00000000" w:rsidRDefault="00000000">
      <w:pPr>
        <w:pStyle w:val="16"/>
        <w:tabs>
          <w:tab w:val="left" w:pos="187"/>
        </w:tabs>
        <w:jc w:val="left"/>
      </w:pPr>
    </w:p>
    <w:p w:rsidR="00000000" w:rsidRDefault="00000000">
      <w:pPr>
        <w:pStyle w:val="10"/>
        <w:rPr>
          <w:bCs/>
        </w:rPr>
      </w:pPr>
      <w:r>
        <w:rPr>
          <w:bCs/>
        </w:rPr>
        <w:br w:type="page"/>
      </w:r>
      <w:r>
        <w:rPr>
          <w:b w:val="0"/>
          <w:u w:val="single"/>
        </w:rPr>
        <w:t>Таблица 37</w:t>
      </w:r>
      <w:r>
        <w:rPr>
          <w:b w:val="0"/>
        </w:rPr>
        <w:t>.</w:t>
      </w:r>
      <w:r>
        <w:rPr>
          <w:b w:val="0"/>
          <w:lang w:val="en-US"/>
        </w:rPr>
        <w:t xml:space="preserve"> </w:t>
      </w:r>
      <w:r>
        <w:rPr>
          <w:b w:val="0"/>
        </w:rPr>
        <w:t xml:space="preserve">  </w:t>
      </w:r>
      <w:r>
        <w:rPr>
          <w:b w:val="0"/>
          <w:u w:val="single"/>
        </w:rPr>
        <w:t>Процентная доля вакцинированных детей, 1995</w:t>
      </w:r>
      <w:r>
        <w:rPr>
          <w:b w:val="0"/>
          <w:u w:val="single"/>
        </w:rPr>
        <w:noBreakHyphen/>
        <w:t>1997 годы</w:t>
      </w:r>
    </w:p>
    <w:p w:rsidR="00000000" w:rsidRDefault="00000000">
      <w:pPr>
        <w:pStyle w:val="10"/>
        <w:rPr>
          <w:bCs/>
        </w:rPr>
      </w:pPr>
    </w:p>
    <w:tbl>
      <w:tblPr>
        <w:tblW w:w="8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4783"/>
        <w:gridCol w:w="1122"/>
        <w:gridCol w:w="992"/>
        <w:gridCol w:w="1235"/>
      </w:tblGrid>
      <w:tr w:rsidR="00000000">
        <w:tblPrEx>
          <w:tblCellMar>
            <w:top w:w="0" w:type="dxa"/>
            <w:bottom w:w="0" w:type="dxa"/>
          </w:tblCellMar>
        </w:tblPrEx>
        <w:trPr>
          <w:jc w:val="center"/>
        </w:trPr>
        <w:tc>
          <w:tcPr>
            <w:tcW w:w="4783" w:type="dxa"/>
          </w:tcPr>
          <w:p w:rsidR="00000000" w:rsidRDefault="00000000">
            <w:pPr>
              <w:pStyle w:val="16"/>
            </w:pPr>
            <w:r>
              <w:t>Спецификация</w:t>
            </w:r>
          </w:p>
        </w:tc>
        <w:tc>
          <w:tcPr>
            <w:tcW w:w="1122" w:type="dxa"/>
          </w:tcPr>
          <w:p w:rsidR="00000000" w:rsidRDefault="00000000">
            <w:pPr>
              <w:jc w:val="center"/>
            </w:pPr>
            <w:r>
              <w:t>1995</w:t>
            </w:r>
          </w:p>
        </w:tc>
        <w:tc>
          <w:tcPr>
            <w:tcW w:w="992" w:type="dxa"/>
          </w:tcPr>
          <w:p w:rsidR="00000000" w:rsidRDefault="00000000">
            <w:pPr>
              <w:jc w:val="center"/>
            </w:pPr>
            <w:r>
              <w:t>1996</w:t>
            </w:r>
          </w:p>
        </w:tc>
        <w:tc>
          <w:tcPr>
            <w:tcW w:w="1235" w:type="dxa"/>
          </w:tcPr>
          <w:p w:rsidR="00000000" w:rsidRDefault="00000000">
            <w:pPr>
              <w:jc w:val="center"/>
            </w:pPr>
            <w:r>
              <w:t>1997</w:t>
            </w:r>
          </w:p>
          <w:p w:rsidR="00000000" w:rsidRDefault="00000000">
            <w:pPr>
              <w:jc w:val="center"/>
            </w:pPr>
          </w:p>
        </w:tc>
      </w:tr>
      <w:tr w:rsidR="00000000">
        <w:tblPrEx>
          <w:tblCellMar>
            <w:top w:w="0" w:type="dxa"/>
            <w:bottom w:w="0" w:type="dxa"/>
          </w:tblCellMar>
        </w:tblPrEx>
        <w:trPr>
          <w:jc w:val="center"/>
        </w:trPr>
        <w:tc>
          <w:tcPr>
            <w:tcW w:w="4783" w:type="dxa"/>
          </w:tcPr>
          <w:p w:rsidR="00000000" w:rsidRDefault="00000000">
            <w:pPr>
              <w:spacing w:line="240" w:lineRule="auto"/>
            </w:pPr>
            <w:r>
              <w:t>Дифтерит/столбняк, дети в возрасте 2 лет (первая прививка)</w:t>
            </w:r>
          </w:p>
        </w:tc>
        <w:tc>
          <w:tcPr>
            <w:tcW w:w="1122" w:type="dxa"/>
          </w:tcPr>
          <w:p w:rsidR="00000000" w:rsidRDefault="00000000">
            <w:pPr>
              <w:tabs>
                <w:tab w:val="clear" w:pos="567"/>
                <w:tab w:val="clear" w:pos="1134"/>
              </w:tabs>
              <w:spacing w:line="240" w:lineRule="auto"/>
              <w:jc w:val="center"/>
            </w:pPr>
            <w:r>
              <w:t>96,0</w:t>
            </w:r>
          </w:p>
        </w:tc>
        <w:tc>
          <w:tcPr>
            <w:tcW w:w="992" w:type="dxa"/>
          </w:tcPr>
          <w:p w:rsidR="00000000" w:rsidRDefault="00000000">
            <w:pPr>
              <w:tabs>
                <w:tab w:val="clear" w:pos="567"/>
                <w:tab w:val="clear" w:pos="1134"/>
              </w:tabs>
              <w:spacing w:line="240" w:lineRule="auto"/>
              <w:jc w:val="center"/>
            </w:pPr>
            <w:r>
              <w:t>96,9</w:t>
            </w:r>
          </w:p>
        </w:tc>
        <w:tc>
          <w:tcPr>
            <w:tcW w:w="1235" w:type="dxa"/>
          </w:tcPr>
          <w:p w:rsidR="00000000" w:rsidRDefault="00000000">
            <w:pPr>
              <w:tabs>
                <w:tab w:val="clear" w:pos="567"/>
                <w:tab w:val="clear" w:pos="1134"/>
              </w:tabs>
              <w:spacing w:line="240" w:lineRule="auto"/>
              <w:jc w:val="center"/>
            </w:pPr>
            <w:r>
              <w:t>97,8</w:t>
            </w:r>
          </w:p>
        </w:tc>
      </w:tr>
      <w:tr w:rsidR="00000000">
        <w:tblPrEx>
          <w:tblCellMar>
            <w:top w:w="0" w:type="dxa"/>
            <w:bottom w:w="0" w:type="dxa"/>
          </w:tblCellMar>
        </w:tblPrEx>
        <w:trPr>
          <w:jc w:val="center"/>
        </w:trPr>
        <w:tc>
          <w:tcPr>
            <w:tcW w:w="4783" w:type="dxa"/>
          </w:tcPr>
          <w:p w:rsidR="00000000" w:rsidRDefault="00000000">
            <w:pPr>
              <w:spacing w:line="240" w:lineRule="auto"/>
            </w:pPr>
            <w:r>
              <w:t>Дифтерит/столбняк, 3-летние дети</w:t>
            </w:r>
          </w:p>
          <w:p w:rsidR="00000000" w:rsidRDefault="00000000">
            <w:pPr>
              <w:spacing w:line="240" w:lineRule="auto"/>
            </w:pPr>
            <w:r>
              <w:t>(вторая прививка, базовая, полная)</w:t>
            </w:r>
          </w:p>
        </w:tc>
        <w:tc>
          <w:tcPr>
            <w:tcW w:w="1122" w:type="dxa"/>
          </w:tcPr>
          <w:p w:rsidR="00000000" w:rsidRDefault="00000000">
            <w:pPr>
              <w:tabs>
                <w:tab w:val="clear" w:pos="567"/>
                <w:tab w:val="clear" w:pos="1134"/>
              </w:tabs>
              <w:spacing w:line="240" w:lineRule="auto"/>
              <w:jc w:val="center"/>
            </w:pPr>
            <w:r>
              <w:t>90,5</w:t>
            </w:r>
          </w:p>
        </w:tc>
        <w:tc>
          <w:tcPr>
            <w:tcW w:w="992" w:type="dxa"/>
          </w:tcPr>
          <w:p w:rsidR="00000000" w:rsidRDefault="00000000">
            <w:pPr>
              <w:tabs>
                <w:tab w:val="clear" w:pos="567"/>
                <w:tab w:val="clear" w:pos="1134"/>
              </w:tabs>
              <w:spacing w:line="240" w:lineRule="auto"/>
              <w:jc w:val="center"/>
            </w:pPr>
            <w:r>
              <w:t>91,7</w:t>
            </w:r>
          </w:p>
        </w:tc>
        <w:tc>
          <w:tcPr>
            <w:tcW w:w="1235" w:type="dxa"/>
          </w:tcPr>
          <w:p w:rsidR="00000000" w:rsidRDefault="00000000">
            <w:pPr>
              <w:tabs>
                <w:tab w:val="clear" w:pos="567"/>
                <w:tab w:val="clear" w:pos="1134"/>
              </w:tabs>
              <w:spacing w:line="240" w:lineRule="auto"/>
              <w:jc w:val="center"/>
            </w:pPr>
            <w:r>
              <w:t>93,3</w:t>
            </w:r>
          </w:p>
        </w:tc>
      </w:tr>
      <w:tr w:rsidR="00000000">
        <w:tblPrEx>
          <w:tblCellMar>
            <w:top w:w="0" w:type="dxa"/>
            <w:bottom w:w="0" w:type="dxa"/>
          </w:tblCellMar>
        </w:tblPrEx>
        <w:trPr>
          <w:jc w:val="center"/>
        </w:trPr>
        <w:tc>
          <w:tcPr>
            <w:tcW w:w="4783" w:type="dxa"/>
          </w:tcPr>
          <w:p w:rsidR="00000000" w:rsidRDefault="00000000">
            <w:pPr>
              <w:spacing w:line="240" w:lineRule="auto"/>
            </w:pPr>
            <w:r>
              <w:t>Дифтерит/столбняк, семилетние дети</w:t>
            </w:r>
          </w:p>
          <w:p w:rsidR="00000000" w:rsidRDefault="00000000">
            <w:pPr>
              <w:spacing w:line="240" w:lineRule="auto"/>
            </w:pPr>
            <w:r>
              <w:t xml:space="preserve">(бустер-инъекция I) </w:t>
            </w:r>
          </w:p>
        </w:tc>
        <w:tc>
          <w:tcPr>
            <w:tcW w:w="1122" w:type="dxa"/>
            <w:vAlign w:val="bottom"/>
          </w:tcPr>
          <w:p w:rsidR="00000000" w:rsidRDefault="00000000">
            <w:pPr>
              <w:tabs>
                <w:tab w:val="clear" w:pos="567"/>
                <w:tab w:val="clear" w:pos="1134"/>
              </w:tabs>
              <w:spacing w:line="240" w:lineRule="auto"/>
              <w:jc w:val="center"/>
            </w:pPr>
            <w:r>
              <w:t>93,4</w:t>
            </w:r>
          </w:p>
          <w:p w:rsidR="00000000" w:rsidRDefault="00000000">
            <w:pPr>
              <w:tabs>
                <w:tab w:val="clear" w:pos="567"/>
                <w:tab w:val="clear" w:pos="1134"/>
              </w:tabs>
              <w:spacing w:line="240" w:lineRule="auto"/>
              <w:jc w:val="center"/>
            </w:pPr>
          </w:p>
        </w:tc>
        <w:tc>
          <w:tcPr>
            <w:tcW w:w="992" w:type="dxa"/>
            <w:vAlign w:val="bottom"/>
          </w:tcPr>
          <w:p w:rsidR="00000000" w:rsidRDefault="00000000">
            <w:pPr>
              <w:tabs>
                <w:tab w:val="clear" w:pos="567"/>
                <w:tab w:val="clear" w:pos="1134"/>
              </w:tabs>
              <w:spacing w:line="240" w:lineRule="auto"/>
              <w:jc w:val="center"/>
            </w:pPr>
            <w:r>
              <w:t>94,3</w:t>
            </w:r>
          </w:p>
          <w:p w:rsidR="00000000" w:rsidRDefault="00000000">
            <w:pPr>
              <w:tabs>
                <w:tab w:val="clear" w:pos="567"/>
                <w:tab w:val="clear" w:pos="1134"/>
              </w:tabs>
              <w:spacing w:line="240" w:lineRule="auto"/>
              <w:jc w:val="center"/>
            </w:pPr>
          </w:p>
        </w:tc>
        <w:tc>
          <w:tcPr>
            <w:tcW w:w="1235" w:type="dxa"/>
            <w:vAlign w:val="bottom"/>
          </w:tcPr>
          <w:p w:rsidR="00000000" w:rsidRDefault="00000000">
            <w:pPr>
              <w:tabs>
                <w:tab w:val="clear" w:pos="567"/>
                <w:tab w:val="clear" w:pos="1134"/>
              </w:tabs>
              <w:spacing w:line="240" w:lineRule="auto"/>
              <w:jc w:val="center"/>
            </w:pPr>
            <w:r>
              <w:t>94,9</w:t>
            </w:r>
          </w:p>
          <w:p w:rsidR="00000000" w:rsidRDefault="00000000">
            <w:pPr>
              <w:tabs>
                <w:tab w:val="clear" w:pos="567"/>
                <w:tab w:val="clear" w:pos="1134"/>
              </w:tabs>
              <w:spacing w:line="240" w:lineRule="auto"/>
              <w:jc w:val="center"/>
            </w:pPr>
          </w:p>
        </w:tc>
      </w:tr>
      <w:tr w:rsidR="00000000">
        <w:tblPrEx>
          <w:tblCellMar>
            <w:top w:w="0" w:type="dxa"/>
            <w:bottom w:w="0" w:type="dxa"/>
          </w:tblCellMar>
        </w:tblPrEx>
        <w:trPr>
          <w:jc w:val="center"/>
        </w:trPr>
        <w:tc>
          <w:tcPr>
            <w:tcW w:w="4783" w:type="dxa"/>
          </w:tcPr>
          <w:p w:rsidR="00000000" w:rsidRDefault="00000000">
            <w:pPr>
              <w:spacing w:line="240" w:lineRule="auto"/>
            </w:pPr>
            <w:r>
              <w:t>Дифтерит/столбняк, 15-летние дети</w:t>
            </w:r>
          </w:p>
          <w:p w:rsidR="00000000" w:rsidRDefault="00000000">
            <w:pPr>
              <w:spacing w:line="240" w:lineRule="auto"/>
            </w:pPr>
            <w:r>
              <w:t>(бустер-инъекция II)</w:t>
            </w:r>
          </w:p>
        </w:tc>
        <w:tc>
          <w:tcPr>
            <w:tcW w:w="1122" w:type="dxa"/>
            <w:vAlign w:val="bottom"/>
          </w:tcPr>
          <w:p w:rsidR="00000000" w:rsidRDefault="00000000">
            <w:pPr>
              <w:tabs>
                <w:tab w:val="clear" w:pos="567"/>
                <w:tab w:val="clear" w:pos="1134"/>
              </w:tabs>
              <w:spacing w:line="240" w:lineRule="auto"/>
              <w:jc w:val="center"/>
            </w:pPr>
            <w:r>
              <w:t>97,4</w:t>
            </w:r>
          </w:p>
          <w:p w:rsidR="00000000" w:rsidRDefault="00000000">
            <w:pPr>
              <w:tabs>
                <w:tab w:val="clear" w:pos="567"/>
                <w:tab w:val="clear" w:pos="1134"/>
              </w:tabs>
              <w:spacing w:line="240" w:lineRule="auto"/>
              <w:jc w:val="center"/>
            </w:pPr>
          </w:p>
        </w:tc>
        <w:tc>
          <w:tcPr>
            <w:tcW w:w="992" w:type="dxa"/>
            <w:vAlign w:val="bottom"/>
          </w:tcPr>
          <w:p w:rsidR="00000000" w:rsidRDefault="00000000">
            <w:pPr>
              <w:tabs>
                <w:tab w:val="clear" w:pos="567"/>
                <w:tab w:val="clear" w:pos="1134"/>
              </w:tabs>
              <w:spacing w:line="240" w:lineRule="auto"/>
              <w:jc w:val="center"/>
            </w:pPr>
            <w:r>
              <w:t>97,6</w:t>
            </w:r>
          </w:p>
          <w:p w:rsidR="00000000" w:rsidRDefault="00000000">
            <w:pPr>
              <w:tabs>
                <w:tab w:val="clear" w:pos="567"/>
                <w:tab w:val="clear" w:pos="1134"/>
              </w:tabs>
              <w:spacing w:line="240" w:lineRule="auto"/>
              <w:jc w:val="center"/>
            </w:pPr>
          </w:p>
        </w:tc>
        <w:tc>
          <w:tcPr>
            <w:tcW w:w="1235" w:type="dxa"/>
            <w:vAlign w:val="bottom"/>
          </w:tcPr>
          <w:p w:rsidR="00000000" w:rsidRDefault="00000000">
            <w:pPr>
              <w:tabs>
                <w:tab w:val="clear" w:pos="567"/>
                <w:tab w:val="clear" w:pos="1134"/>
              </w:tabs>
              <w:spacing w:line="240" w:lineRule="auto"/>
              <w:jc w:val="center"/>
            </w:pPr>
            <w:r>
              <w:t>97,8</w:t>
            </w:r>
          </w:p>
          <w:p w:rsidR="00000000" w:rsidRDefault="00000000">
            <w:pPr>
              <w:tabs>
                <w:tab w:val="clear" w:pos="567"/>
                <w:tab w:val="clear" w:pos="1134"/>
              </w:tabs>
              <w:spacing w:line="240" w:lineRule="auto"/>
              <w:jc w:val="center"/>
            </w:pPr>
          </w:p>
        </w:tc>
      </w:tr>
      <w:tr w:rsidR="00000000">
        <w:tblPrEx>
          <w:tblCellMar>
            <w:top w:w="0" w:type="dxa"/>
            <w:bottom w:w="0" w:type="dxa"/>
          </w:tblCellMar>
        </w:tblPrEx>
        <w:trPr>
          <w:jc w:val="center"/>
        </w:trPr>
        <w:tc>
          <w:tcPr>
            <w:tcW w:w="4783" w:type="dxa"/>
          </w:tcPr>
          <w:p w:rsidR="00000000" w:rsidRDefault="00000000">
            <w:pPr>
              <w:spacing w:line="240" w:lineRule="auto"/>
            </w:pPr>
            <w:r>
              <w:t>Коклюш, дети в возрасте 2 лет</w:t>
            </w:r>
          </w:p>
          <w:p w:rsidR="00000000" w:rsidRDefault="00000000">
            <w:pPr>
              <w:spacing w:line="240" w:lineRule="auto"/>
            </w:pPr>
            <w:r>
              <w:t>(первая прививка)</w:t>
            </w:r>
          </w:p>
        </w:tc>
        <w:tc>
          <w:tcPr>
            <w:tcW w:w="1122" w:type="dxa"/>
            <w:vAlign w:val="bottom"/>
          </w:tcPr>
          <w:p w:rsidR="00000000" w:rsidRDefault="00000000">
            <w:pPr>
              <w:tabs>
                <w:tab w:val="clear" w:pos="567"/>
                <w:tab w:val="clear" w:pos="1134"/>
              </w:tabs>
              <w:spacing w:line="240" w:lineRule="auto"/>
              <w:jc w:val="center"/>
            </w:pPr>
            <w:r>
              <w:t>95,6</w:t>
            </w:r>
          </w:p>
          <w:p w:rsidR="00000000" w:rsidRDefault="00000000">
            <w:pPr>
              <w:tabs>
                <w:tab w:val="clear" w:pos="567"/>
                <w:tab w:val="clear" w:pos="1134"/>
              </w:tabs>
              <w:spacing w:line="240" w:lineRule="auto"/>
              <w:jc w:val="center"/>
            </w:pPr>
          </w:p>
        </w:tc>
        <w:tc>
          <w:tcPr>
            <w:tcW w:w="992" w:type="dxa"/>
            <w:vAlign w:val="bottom"/>
          </w:tcPr>
          <w:p w:rsidR="00000000" w:rsidRDefault="00000000">
            <w:pPr>
              <w:tabs>
                <w:tab w:val="clear" w:pos="567"/>
                <w:tab w:val="clear" w:pos="1134"/>
              </w:tabs>
              <w:spacing w:line="240" w:lineRule="auto"/>
              <w:jc w:val="center"/>
            </w:pPr>
            <w:r>
              <w:t>96,6</w:t>
            </w:r>
          </w:p>
          <w:p w:rsidR="00000000" w:rsidRDefault="00000000">
            <w:pPr>
              <w:tabs>
                <w:tab w:val="clear" w:pos="567"/>
                <w:tab w:val="clear" w:pos="1134"/>
              </w:tabs>
              <w:spacing w:line="240" w:lineRule="auto"/>
              <w:jc w:val="center"/>
            </w:pPr>
          </w:p>
        </w:tc>
        <w:tc>
          <w:tcPr>
            <w:tcW w:w="1235" w:type="dxa"/>
            <w:vAlign w:val="bottom"/>
          </w:tcPr>
          <w:p w:rsidR="00000000" w:rsidRDefault="00000000">
            <w:pPr>
              <w:tabs>
                <w:tab w:val="clear" w:pos="567"/>
                <w:tab w:val="clear" w:pos="1134"/>
              </w:tabs>
              <w:spacing w:line="240" w:lineRule="auto"/>
              <w:jc w:val="center"/>
            </w:pPr>
            <w:r>
              <w:t>97,5</w:t>
            </w:r>
          </w:p>
          <w:p w:rsidR="00000000" w:rsidRDefault="00000000">
            <w:pPr>
              <w:tabs>
                <w:tab w:val="clear" w:pos="567"/>
                <w:tab w:val="clear" w:pos="1134"/>
              </w:tabs>
              <w:spacing w:line="240" w:lineRule="auto"/>
              <w:jc w:val="center"/>
            </w:pPr>
          </w:p>
        </w:tc>
      </w:tr>
      <w:tr w:rsidR="00000000">
        <w:tblPrEx>
          <w:tblCellMar>
            <w:top w:w="0" w:type="dxa"/>
            <w:bottom w:w="0" w:type="dxa"/>
          </w:tblCellMar>
        </w:tblPrEx>
        <w:trPr>
          <w:jc w:val="center"/>
        </w:trPr>
        <w:tc>
          <w:tcPr>
            <w:tcW w:w="4783" w:type="dxa"/>
          </w:tcPr>
          <w:p w:rsidR="00000000" w:rsidRDefault="00000000">
            <w:pPr>
              <w:spacing w:line="240" w:lineRule="auto"/>
            </w:pPr>
            <w:r>
              <w:t>Коклюш, 3-летние дети</w:t>
            </w:r>
          </w:p>
          <w:p w:rsidR="00000000" w:rsidRDefault="00000000">
            <w:pPr>
              <w:spacing w:line="240" w:lineRule="auto"/>
            </w:pPr>
            <w:r>
              <w:t>(базовая, полная прививка)</w:t>
            </w:r>
          </w:p>
        </w:tc>
        <w:tc>
          <w:tcPr>
            <w:tcW w:w="1122" w:type="dxa"/>
            <w:vAlign w:val="bottom"/>
          </w:tcPr>
          <w:p w:rsidR="00000000" w:rsidRDefault="00000000">
            <w:pPr>
              <w:tabs>
                <w:tab w:val="clear" w:pos="567"/>
                <w:tab w:val="clear" w:pos="1134"/>
              </w:tabs>
              <w:spacing w:line="240" w:lineRule="auto"/>
              <w:jc w:val="center"/>
            </w:pPr>
            <w:r>
              <w:t>90,0</w:t>
            </w:r>
          </w:p>
          <w:p w:rsidR="00000000" w:rsidRDefault="00000000">
            <w:pPr>
              <w:tabs>
                <w:tab w:val="clear" w:pos="567"/>
                <w:tab w:val="clear" w:pos="1134"/>
              </w:tabs>
              <w:spacing w:line="240" w:lineRule="auto"/>
              <w:jc w:val="center"/>
            </w:pPr>
          </w:p>
        </w:tc>
        <w:tc>
          <w:tcPr>
            <w:tcW w:w="992" w:type="dxa"/>
            <w:vAlign w:val="bottom"/>
          </w:tcPr>
          <w:p w:rsidR="00000000" w:rsidRDefault="00000000">
            <w:pPr>
              <w:tabs>
                <w:tab w:val="clear" w:pos="567"/>
                <w:tab w:val="clear" w:pos="1134"/>
              </w:tabs>
              <w:spacing w:line="240" w:lineRule="auto"/>
              <w:jc w:val="center"/>
            </w:pPr>
            <w:r>
              <w:t>91,3</w:t>
            </w:r>
          </w:p>
          <w:p w:rsidR="00000000" w:rsidRDefault="00000000">
            <w:pPr>
              <w:tabs>
                <w:tab w:val="clear" w:pos="567"/>
                <w:tab w:val="clear" w:pos="1134"/>
              </w:tabs>
              <w:spacing w:line="240" w:lineRule="auto"/>
              <w:jc w:val="center"/>
            </w:pPr>
          </w:p>
        </w:tc>
        <w:tc>
          <w:tcPr>
            <w:tcW w:w="1235" w:type="dxa"/>
            <w:vAlign w:val="bottom"/>
          </w:tcPr>
          <w:p w:rsidR="00000000" w:rsidRDefault="00000000">
            <w:pPr>
              <w:tabs>
                <w:tab w:val="clear" w:pos="567"/>
                <w:tab w:val="clear" w:pos="1134"/>
              </w:tabs>
              <w:spacing w:line="240" w:lineRule="auto"/>
              <w:jc w:val="center"/>
            </w:pPr>
            <w:r>
              <w:t>93,0</w:t>
            </w:r>
          </w:p>
          <w:p w:rsidR="00000000" w:rsidRDefault="00000000">
            <w:pPr>
              <w:tabs>
                <w:tab w:val="clear" w:pos="567"/>
                <w:tab w:val="clear" w:pos="1134"/>
              </w:tabs>
              <w:spacing w:line="240" w:lineRule="auto"/>
              <w:jc w:val="center"/>
            </w:pPr>
          </w:p>
        </w:tc>
      </w:tr>
      <w:tr w:rsidR="00000000">
        <w:tblPrEx>
          <w:tblCellMar>
            <w:top w:w="0" w:type="dxa"/>
            <w:bottom w:w="0" w:type="dxa"/>
          </w:tblCellMar>
        </w:tblPrEx>
        <w:trPr>
          <w:jc w:val="center"/>
        </w:trPr>
        <w:tc>
          <w:tcPr>
            <w:tcW w:w="4783" w:type="dxa"/>
          </w:tcPr>
          <w:p w:rsidR="00000000" w:rsidRDefault="00000000">
            <w:pPr>
              <w:spacing w:line="240" w:lineRule="auto"/>
            </w:pPr>
            <w:r>
              <w:t>Корь, 3-летние дети (первая прививка)</w:t>
            </w:r>
          </w:p>
        </w:tc>
        <w:tc>
          <w:tcPr>
            <w:tcW w:w="1122" w:type="dxa"/>
            <w:vAlign w:val="bottom"/>
          </w:tcPr>
          <w:p w:rsidR="00000000" w:rsidRDefault="00000000">
            <w:pPr>
              <w:tabs>
                <w:tab w:val="clear" w:pos="567"/>
                <w:tab w:val="clear" w:pos="1134"/>
              </w:tabs>
              <w:spacing w:line="240" w:lineRule="auto"/>
              <w:jc w:val="center"/>
            </w:pPr>
            <w:r>
              <w:t>96,1</w:t>
            </w:r>
          </w:p>
        </w:tc>
        <w:tc>
          <w:tcPr>
            <w:tcW w:w="992" w:type="dxa"/>
            <w:vAlign w:val="bottom"/>
          </w:tcPr>
          <w:p w:rsidR="00000000" w:rsidRDefault="00000000">
            <w:pPr>
              <w:tabs>
                <w:tab w:val="clear" w:pos="567"/>
                <w:tab w:val="clear" w:pos="1134"/>
              </w:tabs>
              <w:spacing w:line="240" w:lineRule="auto"/>
              <w:jc w:val="center"/>
            </w:pPr>
            <w:r>
              <w:t>96,7</w:t>
            </w:r>
          </w:p>
        </w:tc>
        <w:tc>
          <w:tcPr>
            <w:tcW w:w="1235" w:type="dxa"/>
            <w:vAlign w:val="bottom"/>
          </w:tcPr>
          <w:p w:rsidR="00000000" w:rsidRDefault="00000000">
            <w:pPr>
              <w:tabs>
                <w:tab w:val="clear" w:pos="567"/>
                <w:tab w:val="clear" w:pos="1134"/>
              </w:tabs>
              <w:spacing w:line="240" w:lineRule="auto"/>
              <w:jc w:val="center"/>
            </w:pPr>
            <w:r>
              <w:t>96,9</w:t>
            </w:r>
          </w:p>
        </w:tc>
      </w:tr>
      <w:tr w:rsidR="00000000">
        <w:tblPrEx>
          <w:tblCellMar>
            <w:top w:w="0" w:type="dxa"/>
            <w:bottom w:w="0" w:type="dxa"/>
          </w:tblCellMar>
        </w:tblPrEx>
        <w:trPr>
          <w:jc w:val="center"/>
        </w:trPr>
        <w:tc>
          <w:tcPr>
            <w:tcW w:w="4783" w:type="dxa"/>
          </w:tcPr>
          <w:p w:rsidR="00000000" w:rsidRDefault="00000000">
            <w:pPr>
              <w:spacing w:line="240" w:lineRule="auto"/>
            </w:pPr>
            <w:r>
              <w:t>Корь, 8-летние дети (бустер-инъекция)</w:t>
            </w:r>
          </w:p>
        </w:tc>
        <w:tc>
          <w:tcPr>
            <w:tcW w:w="1122" w:type="dxa"/>
            <w:vAlign w:val="bottom"/>
          </w:tcPr>
          <w:p w:rsidR="00000000" w:rsidRDefault="00000000">
            <w:pPr>
              <w:tabs>
                <w:tab w:val="clear" w:pos="567"/>
                <w:tab w:val="clear" w:pos="1134"/>
              </w:tabs>
              <w:spacing w:line="240" w:lineRule="auto"/>
              <w:jc w:val="center"/>
            </w:pPr>
            <w:r>
              <w:t>88,8</w:t>
            </w:r>
          </w:p>
        </w:tc>
        <w:tc>
          <w:tcPr>
            <w:tcW w:w="992" w:type="dxa"/>
            <w:vAlign w:val="bottom"/>
          </w:tcPr>
          <w:p w:rsidR="00000000" w:rsidRDefault="00000000">
            <w:pPr>
              <w:tabs>
                <w:tab w:val="clear" w:pos="567"/>
                <w:tab w:val="clear" w:pos="1134"/>
              </w:tabs>
              <w:spacing w:line="240" w:lineRule="auto"/>
              <w:jc w:val="center"/>
            </w:pPr>
            <w:r>
              <w:t>93,6</w:t>
            </w:r>
          </w:p>
        </w:tc>
        <w:tc>
          <w:tcPr>
            <w:tcW w:w="1235" w:type="dxa"/>
            <w:vAlign w:val="bottom"/>
          </w:tcPr>
          <w:p w:rsidR="00000000" w:rsidRDefault="00000000">
            <w:pPr>
              <w:tabs>
                <w:tab w:val="clear" w:pos="567"/>
                <w:tab w:val="clear" w:pos="1134"/>
              </w:tabs>
              <w:spacing w:line="240" w:lineRule="auto"/>
              <w:jc w:val="center"/>
            </w:pPr>
            <w:r>
              <w:t>95,5</w:t>
            </w:r>
          </w:p>
        </w:tc>
      </w:tr>
      <w:tr w:rsidR="00000000">
        <w:tblPrEx>
          <w:tblCellMar>
            <w:top w:w="0" w:type="dxa"/>
            <w:bottom w:w="0" w:type="dxa"/>
          </w:tblCellMar>
        </w:tblPrEx>
        <w:trPr>
          <w:jc w:val="center"/>
        </w:trPr>
        <w:tc>
          <w:tcPr>
            <w:tcW w:w="4783" w:type="dxa"/>
          </w:tcPr>
          <w:p w:rsidR="00000000" w:rsidRDefault="00000000">
            <w:pPr>
              <w:spacing w:line="240" w:lineRule="auto"/>
            </w:pPr>
            <w:r>
              <w:t>Туберкулез - новорожденные (БЦЖ)</w:t>
            </w:r>
          </w:p>
        </w:tc>
        <w:tc>
          <w:tcPr>
            <w:tcW w:w="1122" w:type="dxa"/>
            <w:vAlign w:val="bottom"/>
          </w:tcPr>
          <w:p w:rsidR="00000000" w:rsidRDefault="00000000">
            <w:pPr>
              <w:tabs>
                <w:tab w:val="clear" w:pos="567"/>
                <w:tab w:val="clear" w:pos="1134"/>
              </w:tabs>
              <w:spacing w:line="240" w:lineRule="auto"/>
              <w:jc w:val="center"/>
            </w:pPr>
            <w:r>
              <w:t>98,1</w:t>
            </w:r>
          </w:p>
        </w:tc>
        <w:tc>
          <w:tcPr>
            <w:tcW w:w="992" w:type="dxa"/>
            <w:vAlign w:val="bottom"/>
          </w:tcPr>
          <w:p w:rsidR="00000000" w:rsidRDefault="00000000">
            <w:pPr>
              <w:tabs>
                <w:tab w:val="clear" w:pos="567"/>
                <w:tab w:val="clear" w:pos="1134"/>
              </w:tabs>
              <w:spacing w:line="240" w:lineRule="auto"/>
              <w:jc w:val="center"/>
            </w:pPr>
            <w:r>
              <w:t>96,9</w:t>
            </w:r>
          </w:p>
        </w:tc>
        <w:tc>
          <w:tcPr>
            <w:tcW w:w="1235" w:type="dxa"/>
            <w:vAlign w:val="bottom"/>
          </w:tcPr>
          <w:p w:rsidR="00000000" w:rsidRDefault="00000000">
            <w:pPr>
              <w:tabs>
                <w:tab w:val="clear" w:pos="567"/>
                <w:tab w:val="clear" w:pos="1134"/>
              </w:tabs>
              <w:spacing w:line="240" w:lineRule="auto"/>
              <w:jc w:val="center"/>
            </w:pPr>
            <w:r>
              <w:t>96,4</w:t>
            </w:r>
          </w:p>
        </w:tc>
      </w:tr>
    </w:tbl>
    <w:p w:rsidR="00000000" w:rsidRDefault="00000000">
      <w:pPr>
        <w:pStyle w:val="FootnoteText"/>
        <w:spacing w:line="288" w:lineRule="auto"/>
      </w:pPr>
    </w:p>
    <w:p w:rsidR="00000000" w:rsidRDefault="00000000">
      <w:pPr>
        <w:pStyle w:val="10"/>
        <w:ind w:left="1134" w:hanging="1134"/>
        <w:jc w:val="left"/>
        <w:rPr>
          <w:b w:val="0"/>
          <w:bCs/>
        </w:rPr>
      </w:pPr>
      <w:r>
        <w:rPr>
          <w:b w:val="0"/>
          <w:bCs/>
        </w:rPr>
        <w:tab/>
      </w:r>
      <w:r>
        <w:rPr>
          <w:b w:val="0"/>
          <w:bCs/>
          <w:u w:val="single"/>
        </w:rPr>
        <w:t>Источник</w:t>
      </w:r>
      <w:r>
        <w:rPr>
          <w:b w:val="0"/>
          <w:bCs/>
        </w:rPr>
        <w:t>:  данные Главного статистического управления.</w:t>
      </w:r>
    </w:p>
    <w:p w:rsidR="00000000" w:rsidRDefault="00000000">
      <w:pPr>
        <w:pStyle w:val="10"/>
        <w:jc w:val="left"/>
        <w:rPr>
          <w:b w:val="0"/>
          <w:bCs/>
        </w:rPr>
      </w:pPr>
    </w:p>
    <w:p w:rsidR="00000000" w:rsidRDefault="00000000">
      <w:pPr>
        <w:pStyle w:val="10"/>
        <w:jc w:val="left"/>
        <w:rPr>
          <w:b w:val="0"/>
          <w:bCs/>
        </w:rPr>
      </w:pPr>
      <w:r>
        <w:rPr>
          <w:b w:val="0"/>
          <w:bCs/>
        </w:rPr>
        <w:t>Что касается вакцинации против полиомиелита, то картина здесь является аналогичной.  Общий уровень вакцинации в 1998 году соответствовал показателю 1995-1997 годов.</w:t>
      </w:r>
    </w:p>
    <w:p w:rsidR="00000000" w:rsidRDefault="00000000">
      <w:pPr>
        <w:pStyle w:val="10"/>
        <w:jc w:val="left"/>
        <w:rPr>
          <w:b w:val="0"/>
          <w:bCs/>
        </w:rPr>
      </w:pPr>
    </w:p>
    <w:p w:rsidR="00000000" w:rsidRDefault="00000000">
      <w:pPr>
        <w:pStyle w:val="10"/>
        <w:jc w:val="left"/>
        <w:rPr>
          <w:b w:val="0"/>
          <w:bCs/>
        </w:rPr>
      </w:pPr>
      <w:r>
        <w:tab/>
        <w:t>5.</w:t>
      </w:r>
      <w:r>
        <w:tab/>
        <w:t>Средняя продолжительность жизни</w:t>
      </w:r>
    </w:p>
    <w:p w:rsidR="00000000" w:rsidRDefault="00000000">
      <w:pPr>
        <w:pStyle w:val="10"/>
        <w:rPr>
          <w:b w:val="0"/>
          <w:bCs/>
        </w:rPr>
      </w:pPr>
    </w:p>
    <w:p w:rsidR="00000000" w:rsidRDefault="00000000">
      <w:pPr>
        <w:pStyle w:val="10"/>
        <w:jc w:val="left"/>
        <w:rPr>
          <w:b w:val="0"/>
          <w:bCs/>
        </w:rPr>
      </w:pPr>
      <w:r>
        <w:rPr>
          <w:b w:val="0"/>
          <w:bCs/>
        </w:rPr>
        <w:t>293.</w:t>
      </w:r>
      <w:r>
        <w:rPr>
          <w:b w:val="0"/>
          <w:bCs/>
        </w:rPr>
        <w:tab/>
        <w:t>В городских районах средняя продолжительность жизни выше, чем в сельских.  Средняя продолжительность жизни мужчин в городских районах выше по сравнению с сельскими районами (68,7 и 68,0);  среди женщин картина является обратной (76,8 и 77,3).  В 1995 году средняя продолжительность жизни мужчин составляла 67,6 года (женщин - 76,4 года), в 1996 году - 68,1 (женщин - 76,6), а в 1997 году - 68,5 (для женщин - 77,0).  Начавшаяся в 1991 году тенденция к росту средней продолжительности жизни мужчин и женщин продолжалась до 1998 года включительно.  Эти явления были связаны также с чрезмерной смертностью среди мужчин.  Помимо этого в западных и центральных районах Польши средняя продолжительность жизни была меньше, чем в других частях страны.</w:t>
      </w:r>
    </w:p>
    <w:p w:rsidR="00000000" w:rsidRDefault="00000000">
      <w:pPr>
        <w:pStyle w:val="10"/>
        <w:jc w:val="left"/>
        <w:rPr>
          <w:b w:val="0"/>
          <w:bCs/>
        </w:rPr>
      </w:pPr>
    </w:p>
    <w:p w:rsidR="00000000" w:rsidRDefault="00000000">
      <w:pPr>
        <w:pStyle w:val="10"/>
        <w:ind w:left="1134" w:hanging="1134"/>
        <w:jc w:val="left"/>
      </w:pPr>
      <w:r>
        <w:br w:type="page"/>
      </w:r>
      <w:r>
        <w:tab/>
        <w:t>6.</w:t>
      </w:r>
      <w:r>
        <w:tab/>
        <w:t>Доля лиц, имеющих доступ к учреждениям первичной медико-санитарной помощи, расположенным в пределах часа ходьбы или езды от дома</w:t>
      </w:r>
    </w:p>
    <w:p w:rsidR="00000000" w:rsidRDefault="00000000">
      <w:pPr>
        <w:pStyle w:val="10"/>
      </w:pPr>
    </w:p>
    <w:p w:rsidR="00000000" w:rsidRDefault="00000000">
      <w:pPr>
        <w:pStyle w:val="10"/>
        <w:jc w:val="left"/>
        <w:rPr>
          <w:b w:val="0"/>
          <w:bCs/>
        </w:rPr>
      </w:pPr>
      <w:r>
        <w:rPr>
          <w:b w:val="0"/>
          <w:bCs/>
        </w:rPr>
        <w:t>294.</w:t>
      </w:r>
      <w:r>
        <w:rPr>
          <w:b w:val="0"/>
          <w:bCs/>
        </w:rPr>
        <w:tab/>
        <w:t>В городах основные услуги в области здравоохранения предоставляются районными поликлиниками (в 1997 году их насчитывалось 1 896), а в сельских районах - центрами здравоохранения (3 324 в 1997 году).  Сеть этих учреждений охватывает всю территорию страны и обеспечивает доступ к медицинским учреждениям, расположенным в часе ходьбы или езды от дома.  В этих учреждениях работают примерно 16 000 городских и порядка 5 930 сельских врачей (1997 год).  Помимо этого в них работают медсестры и акушерки.  Районные поликлиники и центры здравоохранения оснащены необходимыми медицинскими средствами для предоставления срочной медицинской помощи в экстренных случаях.</w:t>
      </w:r>
    </w:p>
    <w:p w:rsidR="00000000" w:rsidRDefault="00000000">
      <w:pPr>
        <w:pStyle w:val="10"/>
        <w:jc w:val="left"/>
        <w:rPr>
          <w:b w:val="0"/>
          <w:bCs/>
        </w:rPr>
      </w:pPr>
    </w:p>
    <w:p w:rsidR="00000000" w:rsidRDefault="00000000">
      <w:pPr>
        <w:pStyle w:val="10"/>
        <w:ind w:left="1134" w:hanging="1134"/>
        <w:jc w:val="left"/>
      </w:pPr>
      <w:r>
        <w:tab/>
        <w:t>7.</w:t>
      </w:r>
      <w:r>
        <w:tab/>
        <w:t>Доля беременных женщин, которые могут пользоваться услугами квалифицированного медперсонала в период беременности, и доля</w:t>
      </w:r>
    </w:p>
    <w:p w:rsidR="00000000" w:rsidRDefault="00000000">
      <w:pPr>
        <w:pStyle w:val="10"/>
        <w:ind w:left="567" w:hanging="567"/>
        <w:jc w:val="left"/>
      </w:pPr>
      <w:r>
        <w:tab/>
      </w:r>
      <w:r>
        <w:tab/>
        <w:t>женщин, пользовавшихся услугами такого персонала во время</w:t>
      </w:r>
    </w:p>
    <w:p w:rsidR="00000000" w:rsidRDefault="00000000">
      <w:pPr>
        <w:pStyle w:val="10"/>
        <w:ind w:left="567" w:hanging="567"/>
        <w:jc w:val="left"/>
      </w:pPr>
      <w:r>
        <w:tab/>
      </w:r>
      <w:r>
        <w:tab/>
        <w:t>родов;  женская перинатальная смертность</w:t>
      </w:r>
    </w:p>
    <w:p w:rsidR="00000000" w:rsidRDefault="00000000">
      <w:pPr>
        <w:pStyle w:val="10"/>
      </w:pPr>
    </w:p>
    <w:p w:rsidR="00000000" w:rsidRDefault="00000000">
      <w:pPr>
        <w:pStyle w:val="10"/>
        <w:jc w:val="left"/>
        <w:rPr>
          <w:b w:val="0"/>
          <w:bCs/>
        </w:rPr>
      </w:pPr>
      <w:r>
        <w:rPr>
          <w:b w:val="0"/>
          <w:bCs/>
        </w:rPr>
        <w:t>295.</w:t>
      </w:r>
      <w:r>
        <w:rPr>
          <w:b w:val="0"/>
          <w:bCs/>
        </w:rPr>
        <w:tab/>
        <w:t>Все беременные женщины имеют полный беспрепятственный доступ к услугам квалифицированного медицинского персонала (100%);  в поликлиниках медицинские услуги предоставляются женщинам бесплатно.  Доля женщин, пользовавшихся услугами квалифицированного медицинского персонала при родах, составляла 99%.  Коэффициент материнской смертности в Польше подсчитывается с учетом случаев смерти как до, так и после рождения ребенка.  В 1997 году коэффициент материнской смертности из-за осложнений в ходе беременности, при родах и в послеродовой период составил 11,2 на 100 000 живорождений.  В 1995 году от тех же причин умерли 57 женщин, а в 1996 году - лишь 36.</w:t>
      </w:r>
    </w:p>
    <w:p w:rsidR="00000000" w:rsidRDefault="00000000">
      <w:pPr>
        <w:pStyle w:val="10"/>
        <w:jc w:val="left"/>
        <w:rPr>
          <w:b w:val="0"/>
          <w:bCs/>
        </w:rPr>
      </w:pPr>
    </w:p>
    <w:p w:rsidR="00000000" w:rsidRDefault="00000000">
      <w:pPr>
        <w:pStyle w:val="10"/>
        <w:jc w:val="left"/>
      </w:pPr>
      <w:r>
        <w:tab/>
        <w:t>8.</w:t>
      </w:r>
      <w:r>
        <w:tab/>
        <w:t>Доля детей, получающих квалифицированный медицинский уход</w:t>
      </w:r>
    </w:p>
    <w:p w:rsidR="00000000" w:rsidRDefault="00000000">
      <w:pPr>
        <w:pStyle w:val="10"/>
      </w:pPr>
    </w:p>
    <w:p w:rsidR="00000000" w:rsidRDefault="00000000">
      <w:pPr>
        <w:pStyle w:val="10"/>
        <w:jc w:val="left"/>
        <w:rPr>
          <w:b w:val="0"/>
          <w:bCs/>
        </w:rPr>
      </w:pPr>
      <w:r>
        <w:rPr>
          <w:b w:val="0"/>
          <w:bCs/>
        </w:rPr>
        <w:t>296.</w:t>
      </w:r>
      <w:r>
        <w:rPr>
          <w:b w:val="0"/>
          <w:bCs/>
        </w:rPr>
        <w:tab/>
        <w:t xml:space="preserve">Со времени представления предыдущего доклада (в котором было разъяснено значение термина "персонал по уходу" в номенклатуре профессий Польши) положение в этой области не изменилось.  Все грудные дети (100%) получают квалифицированный медицинский уход, имеют доступ к услугам среднего медицинского персонала, иными словами, - квалифицированного медицинского персонала.  </w:t>
      </w:r>
    </w:p>
    <w:p w:rsidR="00000000" w:rsidRDefault="00000000">
      <w:pPr>
        <w:pStyle w:val="10"/>
        <w:jc w:val="left"/>
        <w:rPr>
          <w:b w:val="0"/>
          <w:bCs/>
        </w:rPr>
      </w:pPr>
    </w:p>
    <w:p w:rsidR="00000000" w:rsidRDefault="00000000">
      <w:pPr>
        <w:pStyle w:val="10"/>
      </w:pPr>
      <w:r>
        <w:br w:type="page"/>
        <w:t>Е.</w:t>
      </w:r>
      <w:r>
        <w:tab/>
        <w:t>Группа населения и регионы, положение которых в области здравоохранения является существенно менее благоприятным, чем положение</w:t>
      </w:r>
    </w:p>
    <w:p w:rsidR="00000000" w:rsidRDefault="00000000">
      <w:pPr>
        <w:pStyle w:val="10"/>
      </w:pPr>
      <w:r>
        <w:t>большинства населения</w:t>
      </w:r>
    </w:p>
    <w:p w:rsidR="00000000" w:rsidRDefault="00000000">
      <w:pPr>
        <w:pStyle w:val="10"/>
      </w:pPr>
    </w:p>
    <w:p w:rsidR="00000000" w:rsidRDefault="00000000">
      <w:pPr>
        <w:pStyle w:val="10"/>
        <w:jc w:val="left"/>
        <w:rPr>
          <w:b w:val="0"/>
          <w:bCs/>
        </w:rPr>
      </w:pPr>
      <w:r>
        <w:rPr>
          <w:b w:val="0"/>
          <w:bCs/>
        </w:rPr>
        <w:t>297.</w:t>
      </w:r>
      <w:r>
        <w:rPr>
          <w:b w:val="0"/>
          <w:bCs/>
        </w:rPr>
        <w:tab/>
        <w:t xml:space="preserve">Было установлено, что состояние здоровья людей зависит от их социального статуса.  В малоимущих общинах отмечалась более высокая младенческая смертность, замедленное развитие детей, высокая смертность среди работников физического труда.  Существенные различия были отмечены и в том, что касается травм и случаев отравления, которые часто связаны с недостаточными знаниями и возможностями.  Вместе с тем трудно выделить какую-либо группу, положение которой было бы значительно менее благоприятным по сравнению с другими группами населения.  Различия в уровнях смертности в отдельных воеводствах связаны с географическими факторами.  В западных и центральных районах Польши уровни смертности выше, а средняя продолжительность жизни меньше по сравнению с восточными районами. </w:t>
      </w:r>
    </w:p>
    <w:p w:rsidR="00000000" w:rsidRDefault="00000000">
      <w:pPr>
        <w:pStyle w:val="10"/>
        <w:jc w:val="left"/>
        <w:rPr>
          <w:b w:val="0"/>
          <w:bCs/>
        </w:rPr>
      </w:pPr>
    </w:p>
    <w:p w:rsidR="00000000" w:rsidRDefault="00000000">
      <w:r>
        <w:t>298.</w:t>
      </w:r>
      <w:r>
        <w:tab/>
        <w:t>Согласно данным министерства здравоохранения и социального обеспечения, среди районов, которые в 1995</w:t>
      </w:r>
      <w:r>
        <w:noBreakHyphen/>
        <w:t>1998 годах находились в наиболее благоприятном положении с точки зрения здоровья населения, следует отметить:  регион Лодзи, Горни Сляск, Дольни Сляск и Поморже Заходнее.  Данные, представленные Государственной экологической инспекцией за 1995 год, свидетельствуют об улучшении положения в регионах высокого риска:  Лодзинском, Быдгощском, Легницком, Скерневицком и Пëтрковском.  Наиболее серьезные угрозы окружающей среде существуют в Катовицком и Вабжиском регионах.  Наиболее благоприятное положение отмечается на северо-востоке и юго-востоке Польши.  В воеводствах с наиболее высокими показателями смертности угроза жизни людей на 20% превышает соответствующий показатель для воеводств с самыми низкими показателями смертности.  В 1996 году наибольшее число психических заболеваний было зарегистрировано в психиатрических клиниках следующих воеводств:  Краковского, Новосадского, Хелмского, Пшешского, Лещиньского, Сувальского и Лодзинского.</w:t>
      </w:r>
    </w:p>
    <w:p w:rsidR="00000000" w:rsidRDefault="00000000"/>
    <w:p w:rsidR="00000000" w:rsidRDefault="00000000">
      <w:pPr>
        <w:pStyle w:val="10"/>
        <w:ind w:left="1134" w:hanging="1134"/>
        <w:jc w:val="left"/>
        <w:rPr>
          <w:b w:val="0"/>
          <w:bCs/>
        </w:rPr>
      </w:pPr>
      <w:r>
        <w:tab/>
        <w:t>1.</w:t>
      </w:r>
      <w:r>
        <w:tab/>
        <w:t>Изменения в области политики и законодательства, отрицательно воздействующие на здоровье этих групп и регионов</w:t>
      </w:r>
    </w:p>
    <w:p w:rsidR="00000000" w:rsidRDefault="00000000">
      <w:pPr>
        <w:pStyle w:val="FootnoteText"/>
        <w:spacing w:line="288" w:lineRule="auto"/>
      </w:pPr>
    </w:p>
    <w:p w:rsidR="00000000" w:rsidRDefault="00000000">
      <w:r>
        <w:t>299.</w:t>
      </w:r>
      <w:r>
        <w:tab/>
        <w:t>Подобных изменений не отмечалось.  НПЗ, как и другие вышеупомянутые программы в области здравоохранения, была направлена на сглаживание различий в показателях здоровья между воеводствами с наихудшим и наилучшим положением в этом отношении, между городскими и сельскими районами, а также между малоимущими и состоятельными жителями страны.  Кроме того, после 1989 года не создавалось каких</w:t>
      </w:r>
      <w:r>
        <w:noBreakHyphen/>
        <w:t>либо промышленных предприятий, наносящих ущерб окружающей среде, а значительная часть существующих предприятий были закрыты или перестали функционировать, не выдержав конкуренции.</w:t>
      </w:r>
    </w:p>
    <w:p w:rsidR="00000000" w:rsidRDefault="00000000"/>
    <w:p w:rsidR="00000000" w:rsidRDefault="00000000">
      <w:pPr>
        <w:pStyle w:val="10"/>
        <w:ind w:left="1134" w:hanging="1134"/>
        <w:jc w:val="left"/>
        <w:rPr>
          <w:b w:val="0"/>
          <w:bCs/>
        </w:rPr>
      </w:pPr>
      <w:r>
        <w:tab/>
        <w:t>2.</w:t>
      </w:r>
      <w:r>
        <w:tab/>
        <w:t>Меры, которые считаются необходимыми для улучшения здоровья групп или районов, находящихся в неблагоприятном положении</w:t>
      </w:r>
    </w:p>
    <w:p w:rsidR="00000000" w:rsidRDefault="00000000">
      <w:pPr>
        <w:pStyle w:val="10"/>
        <w:jc w:val="left"/>
        <w:rPr>
          <w:b w:val="0"/>
          <w:bCs/>
        </w:rPr>
      </w:pPr>
    </w:p>
    <w:p w:rsidR="00000000" w:rsidRDefault="00000000">
      <w:pPr>
        <w:pStyle w:val="10"/>
        <w:jc w:val="left"/>
        <w:rPr>
          <w:b w:val="0"/>
          <w:bCs/>
        </w:rPr>
      </w:pPr>
      <w:r>
        <w:rPr>
          <w:b w:val="0"/>
          <w:bCs/>
        </w:rPr>
        <w:t>300.</w:t>
      </w:r>
      <w:r>
        <w:rPr>
          <w:b w:val="0"/>
          <w:bCs/>
        </w:rPr>
        <w:tab/>
        <w:t>Как в НПЗ, так и в других программах, о которых подробно говорится в настоящей части доклада, содержится обширная информация по данному вопросу.  Дополнительную информацию см. в пунктах 299</w:t>
      </w:r>
      <w:r>
        <w:rPr>
          <w:b w:val="0"/>
          <w:bCs/>
        </w:rPr>
        <w:noBreakHyphen/>
        <w:t>308 ниже.</w:t>
      </w:r>
    </w:p>
    <w:p w:rsidR="00000000" w:rsidRDefault="00000000">
      <w:pPr>
        <w:pStyle w:val="10"/>
        <w:jc w:val="left"/>
        <w:rPr>
          <w:b w:val="0"/>
          <w:bCs/>
        </w:rPr>
      </w:pPr>
    </w:p>
    <w:p w:rsidR="00000000" w:rsidRDefault="00000000">
      <w:pPr>
        <w:pStyle w:val="10"/>
        <w:ind w:left="1134" w:hanging="1134"/>
        <w:jc w:val="left"/>
        <w:rPr>
          <w:b w:val="0"/>
          <w:bCs/>
        </w:rPr>
      </w:pPr>
      <w:r>
        <w:tab/>
        <w:t>3.</w:t>
      </w:r>
      <w:r>
        <w:tab/>
        <w:t>Правительственные меры, направленные на сглаживание вышеупомянутых различий;  график мероприятий, оценка выполнения</w:t>
      </w:r>
    </w:p>
    <w:p w:rsidR="00000000" w:rsidRDefault="00000000">
      <w:pPr>
        <w:pStyle w:val="10"/>
        <w:rPr>
          <w:b w:val="0"/>
          <w:bCs/>
        </w:rPr>
      </w:pPr>
    </w:p>
    <w:p w:rsidR="00000000" w:rsidRDefault="00000000">
      <w:pPr>
        <w:pStyle w:val="10"/>
        <w:jc w:val="left"/>
        <w:rPr>
          <w:b w:val="0"/>
          <w:bCs/>
        </w:rPr>
      </w:pPr>
      <w:r>
        <w:rPr>
          <w:b w:val="0"/>
          <w:bCs/>
        </w:rPr>
        <w:t>301.</w:t>
      </w:r>
      <w:r>
        <w:rPr>
          <w:b w:val="0"/>
          <w:bCs/>
        </w:rPr>
        <w:tab/>
        <w:t>Для ликвидации разрыва между показателями состояния здоровья граждан Польши и соответствующими показателями по государствам Европейского союза необходимо было активизировать усилия правительства и НПО.  Национальная программа здравоохранения, о которой говорится выше (раздел В), утвержденная правительством в 1996 году, была разработана на основе принятой Всемирной организацией здравоохранения стратегии "Здоровье для всех".  Эта программа предусматривала привлечение различных административных органов к ее осуществлению, начиная от центральных органов и кончая местными органами власти и НПО.  НПЗ была направлена на осуществление задач по укреплению здоровья и профилактике заболеваний, приводящих, в свою очередь, к уменьшению факторов риска, вызывающих различные болезни.  В ходе региональной конференции ВОЗ, проходившей в Копенгагене в сентябре 1998 года, был представлен и утвержден для осуществления в ХХI веке измененный вариант 21 стратегической цели программы "Здоровье для всех".  Эти цели  послужили рекомендациями для разработки общей политики государств - членов ВОЗ в области здравоохранения.  По меньшей мере 10 из вышеупомянутых целей программы "Здоровье для всех" были учтены в перечне упомянутых в разделе В 18 практических целей, который был утвержден НПЗ.  Эти цели включали:</w:t>
      </w:r>
    </w:p>
    <w:p w:rsidR="00000000" w:rsidRDefault="00000000">
      <w:pPr>
        <w:pStyle w:val="10"/>
        <w:jc w:val="left"/>
        <w:rPr>
          <w:b w:val="0"/>
          <w:bCs/>
        </w:rPr>
      </w:pPr>
    </w:p>
    <w:p w:rsidR="00000000" w:rsidRDefault="00000000">
      <w:pPr>
        <w:pStyle w:val="10"/>
        <w:jc w:val="left"/>
        <w:rPr>
          <w:b w:val="0"/>
          <w:bCs/>
        </w:rPr>
      </w:pPr>
      <w:r>
        <w:rPr>
          <w:b w:val="0"/>
          <w:bCs/>
        </w:rPr>
        <w:tab/>
        <w:t>-</w:t>
      </w:r>
      <w:r>
        <w:rPr>
          <w:b w:val="0"/>
          <w:bCs/>
        </w:rPr>
        <w:tab/>
        <w:t>сокращение числа случаев неинфекционных заболеваний;</w:t>
      </w:r>
    </w:p>
    <w:p w:rsidR="00000000" w:rsidRDefault="00000000">
      <w:pPr>
        <w:pStyle w:val="10"/>
        <w:jc w:val="left"/>
        <w:rPr>
          <w:b w:val="0"/>
          <w:bCs/>
        </w:rPr>
      </w:pPr>
    </w:p>
    <w:p w:rsidR="00000000" w:rsidRDefault="00000000">
      <w:pPr>
        <w:pStyle w:val="10"/>
        <w:jc w:val="left"/>
        <w:rPr>
          <w:b w:val="0"/>
          <w:bCs/>
        </w:rPr>
      </w:pPr>
      <w:r>
        <w:rPr>
          <w:b w:val="0"/>
          <w:bCs/>
        </w:rPr>
        <w:tab/>
        <w:t>-</w:t>
      </w:r>
      <w:r>
        <w:rPr>
          <w:b w:val="0"/>
          <w:bCs/>
        </w:rPr>
        <w:tab/>
        <w:t>смягчение последствий травм и отравлений;</w:t>
      </w:r>
    </w:p>
    <w:p w:rsidR="00000000" w:rsidRDefault="00000000">
      <w:pPr>
        <w:pStyle w:val="10"/>
        <w:jc w:val="left"/>
        <w:rPr>
          <w:b w:val="0"/>
          <w:bCs/>
        </w:rPr>
      </w:pPr>
    </w:p>
    <w:p w:rsidR="00000000" w:rsidRDefault="00000000">
      <w:pPr>
        <w:pStyle w:val="10"/>
        <w:ind w:left="1134" w:hanging="1134"/>
        <w:jc w:val="left"/>
        <w:rPr>
          <w:b w:val="0"/>
          <w:bCs/>
        </w:rPr>
      </w:pPr>
      <w:r>
        <w:rPr>
          <w:b w:val="0"/>
          <w:bCs/>
        </w:rPr>
        <w:tab/>
        <w:t>-</w:t>
      </w:r>
      <w:r>
        <w:rPr>
          <w:b w:val="0"/>
          <w:bCs/>
        </w:rPr>
        <w:tab/>
        <w:t>сокращение неблагоприятных последствий употребления алкоголя, наркотиков и табачных изделий.</w:t>
      </w:r>
    </w:p>
    <w:p w:rsidR="00000000" w:rsidRDefault="00000000">
      <w:pPr>
        <w:pStyle w:val="10"/>
        <w:ind w:left="1134" w:hanging="1134"/>
        <w:jc w:val="left"/>
        <w:rPr>
          <w:b w:val="0"/>
          <w:bCs/>
        </w:rPr>
      </w:pPr>
    </w:p>
    <w:p w:rsidR="00000000" w:rsidRDefault="00000000">
      <w:pPr>
        <w:pStyle w:val="10"/>
        <w:jc w:val="left"/>
        <w:rPr>
          <w:b w:val="0"/>
          <w:bCs/>
        </w:rPr>
      </w:pPr>
      <w:r>
        <w:rPr>
          <w:b w:val="0"/>
          <w:bCs/>
        </w:rPr>
        <w:t>302.</w:t>
      </w:r>
      <w:r>
        <w:rPr>
          <w:b w:val="0"/>
          <w:bCs/>
        </w:rPr>
        <w:tab/>
        <w:t>Среди социальных задач следует упомянуть о необходимости обеспечения равенства различных социальных групп в области здоровья, что также представляет собой одну из стратегических целей НПЗ.  Тот факт, что многие из 21 цели стратегии "Здоровье для всех" совпадают с 18 целями НПЗ, свидетельствует о правильности выбора Польшей стратегического направления в области здравоохранения.</w:t>
      </w:r>
    </w:p>
    <w:p w:rsidR="00000000" w:rsidRDefault="00000000">
      <w:pPr>
        <w:pStyle w:val="10"/>
        <w:jc w:val="left"/>
        <w:rPr>
          <w:b w:val="0"/>
          <w:bCs/>
        </w:rPr>
      </w:pPr>
    </w:p>
    <w:p w:rsidR="00000000" w:rsidRDefault="00000000">
      <w:pPr>
        <w:pStyle w:val="10"/>
        <w:ind w:left="1134" w:hanging="1134"/>
        <w:jc w:val="left"/>
        <w:rPr>
          <w:b w:val="0"/>
          <w:bCs/>
        </w:rPr>
      </w:pPr>
      <w:r>
        <w:tab/>
        <w:t>4.</w:t>
      </w:r>
      <w:r>
        <w:tab/>
        <w:t>Влияние вышеупомянутых мер на здоровье данных групп/регионов;  успехи и проблемы</w:t>
      </w:r>
    </w:p>
    <w:p w:rsidR="00000000" w:rsidRDefault="00000000">
      <w:pPr>
        <w:pStyle w:val="10"/>
        <w:rPr>
          <w:b w:val="0"/>
          <w:bCs/>
        </w:rPr>
      </w:pPr>
    </w:p>
    <w:p w:rsidR="00000000" w:rsidRDefault="00000000">
      <w:pPr>
        <w:pStyle w:val="10"/>
        <w:jc w:val="left"/>
        <w:rPr>
          <w:b w:val="0"/>
          <w:bCs/>
        </w:rPr>
      </w:pPr>
      <w:r>
        <w:rPr>
          <w:b w:val="0"/>
          <w:bCs/>
        </w:rPr>
        <w:t>303.</w:t>
      </w:r>
      <w:r>
        <w:rPr>
          <w:b w:val="0"/>
          <w:bCs/>
        </w:rPr>
        <w:tab/>
        <w:t>В предыдущих разделах содержится большой объем информации.  Все другие аспекты данного вопроса отражены ниже (они касаются главным образом состояния здоровья населения сельских районов).</w:t>
      </w:r>
    </w:p>
    <w:p w:rsidR="00000000" w:rsidRDefault="00000000">
      <w:pPr>
        <w:pStyle w:val="10"/>
        <w:jc w:val="left"/>
        <w:rPr>
          <w:b w:val="0"/>
          <w:bCs/>
        </w:rPr>
      </w:pPr>
    </w:p>
    <w:p w:rsidR="00000000" w:rsidRDefault="00000000">
      <w:pPr>
        <w:pStyle w:val="10"/>
        <w:jc w:val="left"/>
        <w:rPr>
          <w:b w:val="0"/>
          <w:bCs/>
        </w:rPr>
      </w:pPr>
      <w:r>
        <w:rPr>
          <w:b w:val="0"/>
          <w:bCs/>
        </w:rPr>
        <w:t>304.</w:t>
      </w:r>
      <w:r>
        <w:rPr>
          <w:b w:val="0"/>
          <w:bCs/>
        </w:rPr>
        <w:tab/>
        <w:t>В 1995</w:t>
      </w:r>
      <w:r>
        <w:rPr>
          <w:b w:val="0"/>
          <w:bCs/>
        </w:rPr>
        <w:noBreakHyphen/>
        <w:t>1998 годах показатель госпитализации в сельских районах был ниже, чем в городских;  вместе с тем в некоторых обстоятельствах жители сельских районов госпитализировались чаще, чем жители городов.  В сельских районах число мужчин, госпитализированных в связи с травмами и отравлениями, было выше, чем в городских районах.  С другой стороны, среди женщин, проживающих в сельских районах, чаще встречались случаи осложнения в период беременности, родов и в послеродовой период по сравнению с соответствующим показателем в городах.</w:t>
      </w:r>
    </w:p>
    <w:p w:rsidR="00000000" w:rsidRDefault="00000000">
      <w:pPr>
        <w:pStyle w:val="10"/>
        <w:jc w:val="left"/>
        <w:rPr>
          <w:b w:val="0"/>
          <w:bCs/>
        </w:rPr>
      </w:pPr>
    </w:p>
    <w:p w:rsidR="00000000" w:rsidRDefault="00000000">
      <w:r>
        <w:t>305.</w:t>
      </w:r>
      <w:r>
        <w:tab/>
        <w:t>Результаты выборочного исследования, проведенного Главным статистическим управлением в апреле 1996 года, свидетельствуют о том, что огромное число людей в стране страдают ревматическим артритом и другими видами артропатии.  Нетрудоспособность, определяемая на основе предполагаемой способности к повседневной деятельности, затрагивает 38,8% людей, страдающих этими заболеваниями (1 803 409 человек).  Наибольшие сложности испытывают лица, проживающие в сельских общинах.  Лицами, не имеющими возможности заниматься повседневной деятельностью, как правило, являются люди в возрасте старше 55 лет.</w:t>
      </w:r>
    </w:p>
    <w:p w:rsidR="00000000" w:rsidRDefault="00000000"/>
    <w:p w:rsidR="00000000" w:rsidRDefault="00000000">
      <w:r>
        <w:t>306.</w:t>
      </w:r>
      <w:r>
        <w:tab/>
        <w:t>В середине 90-х годов в связи с ограниченными возможностями доступа к реабилитационным услугам амбулаторных центров в сельских районах, в сельских и общинных медпунктах были созданы специальные кабинеты реабилитации.  В 1997 году насчитывалось 357 таких кабинетов, т.е. на 67 больше, чем в 1996 году.</w:t>
      </w:r>
    </w:p>
    <w:p w:rsidR="00000000" w:rsidRDefault="00000000"/>
    <w:p w:rsidR="00000000" w:rsidRDefault="00000000">
      <w:r>
        <w:t>307.</w:t>
      </w:r>
      <w:r>
        <w:tab/>
        <w:t>Сельскохозяйственное агентство социального страхования, финансируемое Сельскохозяйственным фондом социального страхования учредило программу ранней реабилитации, которая осуществляется в шести реабилитационных центрах, созданных этим Агентством.</w:t>
      </w:r>
    </w:p>
    <w:p w:rsidR="00000000" w:rsidRDefault="00000000"/>
    <w:p w:rsidR="00000000" w:rsidRDefault="00000000">
      <w:r>
        <w:t>308.</w:t>
      </w:r>
      <w:r>
        <w:tab/>
        <w:t>Жители сельских районов получают ортопедическое оборудование и протезы наравне с другими застрахованными лицами, однако эта часть населения редко имеет возможность пройти курс реабилитации в санаториях.  В 1996 году из более 5 млн. больных и 800 000 пациентов больниц курс лечения в санатории прошли 256 000 человек.  В большинстве случаев - это жители городских районов, а реже других услугами санаториев пользуются мужчины, проживающие в сельских общинах (лишь 2,2%).</w:t>
      </w:r>
    </w:p>
    <w:p w:rsidR="00000000" w:rsidRDefault="00000000"/>
    <w:p w:rsidR="00000000" w:rsidRDefault="00000000">
      <w:r>
        <w:t>309.</w:t>
      </w:r>
      <w:r>
        <w:tab/>
        <w:t>Для фермеров опасность несчастных случаев на производстве является наиболее высокой, поскольку техника безопасности на фермах почти не соблюдается.  Сельское хозяйство относится к числу секторов национальной экономики с наиболее высокой степенью опасности возникновения несчастных случаев.</w:t>
      </w:r>
    </w:p>
    <w:p w:rsidR="00000000" w:rsidRDefault="00000000"/>
    <w:p w:rsidR="00000000" w:rsidRDefault="00000000">
      <w:r>
        <w:t>310.</w:t>
      </w:r>
      <w:r>
        <w:tab/>
        <w:t>Общий уровень здоровья фермеров, обусловленный условиями их работы, требует разработки и применения новых организационно-правовых механизмов, направленных на улучшение охраны труда и техники безопасности на производстве, равно как и на обеспечение для них комплексных профилактических услуг.  Министерство здравоохранения и социального обеспечения поручило люблинскому Институту сельской медицины разработать концепцию профилактического обслуживания фермеров с учетом условий их труда.  Были приняты следующие основные принципы:</w:t>
      </w:r>
    </w:p>
    <w:p w:rsidR="00000000" w:rsidRDefault="00000000"/>
    <w:p w:rsidR="00000000" w:rsidRDefault="00000000">
      <w:r>
        <w:tab/>
        <w:t>1.</w:t>
      </w:r>
      <w:r>
        <w:tab/>
        <w:t>Система должна носить универсальный характер.</w:t>
      </w:r>
    </w:p>
    <w:p w:rsidR="00000000" w:rsidRDefault="00000000"/>
    <w:p w:rsidR="00000000" w:rsidRDefault="00000000">
      <w:pPr>
        <w:ind w:left="1134" w:hanging="1134"/>
      </w:pPr>
      <w:r>
        <w:tab/>
        <w:t>2.</w:t>
      </w:r>
      <w:r>
        <w:tab/>
        <w:t>Ее основными звеньями должны быть сельские и общинные центры здравоохранения.</w:t>
      </w:r>
    </w:p>
    <w:p w:rsidR="00000000" w:rsidRDefault="00000000">
      <w:pPr>
        <w:ind w:left="1134" w:hanging="1134"/>
      </w:pPr>
    </w:p>
    <w:p w:rsidR="00000000" w:rsidRDefault="00000000">
      <w:pPr>
        <w:ind w:left="1134" w:hanging="1134"/>
      </w:pPr>
      <w:r>
        <w:tab/>
        <w:t>3.</w:t>
      </w:r>
      <w:r>
        <w:tab/>
        <w:t>Она должна быть связана с системой здравоохранения и социального страхования.</w:t>
      </w:r>
    </w:p>
    <w:p w:rsidR="00000000" w:rsidRDefault="00000000">
      <w:pPr>
        <w:ind w:left="1134" w:hanging="1134"/>
      </w:pPr>
    </w:p>
    <w:p w:rsidR="00000000" w:rsidRDefault="00000000">
      <w:pPr>
        <w:ind w:left="1134" w:hanging="1134"/>
      </w:pPr>
      <w:r>
        <w:tab/>
        <w:t>4.</w:t>
      </w:r>
      <w:r>
        <w:tab/>
        <w:t>Она не должна быть связана с расходами для фермеров.</w:t>
      </w:r>
    </w:p>
    <w:p w:rsidR="00000000" w:rsidRDefault="00000000">
      <w:pPr>
        <w:ind w:left="1134" w:hanging="1134"/>
      </w:pPr>
    </w:p>
    <w:p w:rsidR="00000000" w:rsidRDefault="00000000">
      <w:pPr>
        <w:ind w:left="1134" w:hanging="1134"/>
      </w:pPr>
      <w:r>
        <w:tab/>
        <w:t>5.</w:t>
      </w:r>
      <w:r>
        <w:tab/>
        <w:t>Она должна действовать в соответствии с четкими и транспарентными правилами.</w:t>
      </w:r>
    </w:p>
    <w:p w:rsidR="00000000" w:rsidRDefault="00000000">
      <w:pPr>
        <w:ind w:left="1134" w:hanging="1134"/>
      </w:pPr>
    </w:p>
    <w:p w:rsidR="00000000" w:rsidRDefault="00000000">
      <w:pPr>
        <w:ind w:left="1134" w:hanging="1134"/>
      </w:pPr>
      <w:r>
        <w:tab/>
        <w:t>6.</w:t>
      </w:r>
      <w:r>
        <w:tab/>
        <w:t>Она должна действовать на основе эффективных механизмов.</w:t>
      </w:r>
    </w:p>
    <w:p w:rsidR="00000000" w:rsidRDefault="00000000">
      <w:pPr>
        <w:ind w:left="1134" w:hanging="1134"/>
      </w:pPr>
    </w:p>
    <w:p w:rsidR="00000000" w:rsidRDefault="00000000">
      <w:pPr>
        <w:pStyle w:val="BodyTextIndent"/>
        <w:tabs>
          <w:tab w:val="clear" w:pos="1309"/>
          <w:tab w:val="clear" w:pos="1701"/>
          <w:tab w:val="left" w:pos="1134"/>
        </w:tabs>
        <w:spacing w:line="288" w:lineRule="auto"/>
        <w:ind w:left="1134" w:hanging="1134"/>
        <w:rPr>
          <w:b/>
          <w:bCs/>
        </w:rPr>
      </w:pPr>
      <w:r>
        <w:rPr>
          <w:b/>
          <w:bCs/>
        </w:rPr>
        <w:br w:type="page"/>
      </w:r>
    </w:p>
    <w:p w:rsidR="00000000" w:rsidRDefault="00000000">
      <w:pPr>
        <w:pStyle w:val="BodyTextIndent"/>
        <w:tabs>
          <w:tab w:val="clear" w:pos="1309"/>
          <w:tab w:val="clear" w:pos="1701"/>
          <w:tab w:val="left" w:pos="1134"/>
        </w:tabs>
        <w:spacing w:line="288" w:lineRule="auto"/>
        <w:ind w:left="1134" w:hanging="1134"/>
        <w:rPr>
          <w:b/>
          <w:bCs/>
        </w:rPr>
      </w:pPr>
      <w:r>
        <w:rPr>
          <w:b/>
          <w:bCs/>
        </w:rPr>
        <w:tab/>
        <w:t>5.</w:t>
      </w:r>
      <w:r>
        <w:rPr>
          <w:b/>
          <w:bCs/>
        </w:rPr>
        <w:tab/>
        <w:t>Правительственные меры, направленные на сокращение числа абортов, детской смертности и на обеспечение здорового развития детей</w:t>
      </w:r>
    </w:p>
    <w:p w:rsidR="00000000" w:rsidRDefault="00000000">
      <w:pPr>
        <w:pStyle w:val="BodyTextIndent"/>
        <w:spacing w:line="288" w:lineRule="auto"/>
      </w:pPr>
    </w:p>
    <w:p w:rsidR="00000000" w:rsidRDefault="00000000">
      <w:r>
        <w:t>311.</w:t>
      </w:r>
      <w:r>
        <w:tab/>
        <w:t>Из многочисленных правительственных программ, осуществляемых в этой области, наиболее важной является программа "Улучшение здоровья матери и ребенка".  Основное внимание в ней уделяется сокращению и без того уже сравнительно низкого показателя младенческой смертности (см. раздел </w:t>
      </w:r>
      <w:r>
        <w:rPr>
          <w:lang w:val="en-US"/>
        </w:rPr>
        <w:t>D</w:t>
      </w:r>
      <w:r>
        <w:t>.1 выше) и предоставлению профилактических и медицинских услуг, направленных на улучшение здоровья и повышение благополучия матери и ребенка.  Основными элементами данной программы являются:  осуществление программы "Совершенствование перинатального ухода в Польше" (в рамках НПЗ);  проверочное обследование всех детей на предмет выявления случаев врожденного гипотиреоидизма и фенилкетонурии;  проведение генетических исследований для обнаружения случаев фиброкистозных заболеваний поджелудочной железы и выявления переносчиков фенилкетонурии (в отношении фенилкетонурии см. также статью 9, раздел</w:t>
      </w:r>
      <w:r>
        <w:rPr>
          <w:lang w:val="en-US"/>
        </w:rPr>
        <w:t> C</w:t>
      </w:r>
      <w:r>
        <w:t>, подраздел "Пособия по болезни";  статью 11 В.4-5;  статью 12, раздел А, подраздел "Центральные программы в области здравоохранения");  реализация программы первичной профилактики аномалий спинного мозга в Польше;  осуществление так называемых правительственных закупок для детей, страдающих опухолевыми заболеваниями, соматотропической гипофункцией гипофиза, синдромом Тернера, болезнью Гаучера и вирусным гепатитом.  Идея, лежащая в основе данной программы, обусловлена стремлением к совершенствованию перинатального ухода за счет создания региональных скоординированных систем ухода за беременными женщинами и новорожденными.  Цель данной системы заключается в управлении работой сети медицинских центров, сотрудничающих друг с другом, лечении пациентов, предоставлении консультаций, организации потоков информации, поддержании и координации системы транспортировки матерей и детей, а также в подготовке специалистов.  В основе этой системы лежит принцип осуществления деятельности по уходу на трех уровнях.  Цель этого заключается в обеспечении высокого качества и эффективности, а также рационального расходования государственных средств на здравоохранение.  С учетом такого трехступенчатого характера деятельности по перинатальному уходу в Польше задачи по оказанию услуг в области охраны здоровья беременных женщин и грудных детей разделены на три отдельные группы.  Таким образом:</w:t>
      </w:r>
    </w:p>
    <w:p w:rsidR="00000000" w:rsidRDefault="00000000"/>
    <w:p w:rsidR="00000000" w:rsidRDefault="00000000">
      <w:r>
        <w:br w:type="page"/>
      </w:r>
      <w:r>
        <w:tab/>
        <w:t>а)</w:t>
      </w:r>
      <w:r>
        <w:tab/>
        <w:t>в рамках первой группы задач уход осуществляется в период нормальной в физиологическом отношении беременности, во время родов и в послеродовой период, уход за здоровыми детьми, включая кратковременные услуги по уходу в случае любых неожиданных патологий;</w:t>
      </w:r>
    </w:p>
    <w:p w:rsidR="00000000" w:rsidRDefault="00000000"/>
    <w:p w:rsidR="00000000" w:rsidRDefault="00000000">
      <w:r>
        <w:rPr>
          <w:lang w:val="en-US"/>
        </w:rPr>
        <w:tab/>
        <w:t>b</w:t>
      </w:r>
      <w:r>
        <w:t>)</w:t>
      </w:r>
      <w:r>
        <w:tab/>
        <w:t>в рамках второй группы </w:t>
      </w:r>
      <w:r>
        <w:noBreakHyphen/>
        <w:t xml:space="preserve"> уход за лицами с патологиями средней степени;</w:t>
      </w:r>
    </w:p>
    <w:p w:rsidR="00000000" w:rsidRDefault="00000000"/>
    <w:p w:rsidR="00000000" w:rsidRDefault="00000000">
      <w:r>
        <w:tab/>
        <w:t>с)</w:t>
      </w:r>
      <w:r>
        <w:tab/>
        <w:t>в рамках третьей группы </w:t>
      </w:r>
      <w:r>
        <w:noBreakHyphen/>
        <w:t xml:space="preserve"> уход за лицами с наиболее серьезными формами патологий.</w:t>
      </w:r>
    </w:p>
    <w:p w:rsidR="00000000" w:rsidRDefault="00000000"/>
    <w:p w:rsidR="00000000" w:rsidRDefault="00000000">
      <w:r>
        <w:t>312.</w:t>
      </w:r>
      <w:r>
        <w:tab/>
        <w:t>Одним из важнейших элементов функционирования этой трехуровневой системы перинатального ухода в Польше было создание кабинетов интенсивной терапии во всех центрах учреждений второй группы и палат интенсивной терапии для грудных детей в учреждениях третьей группы.  Создание системы транспортировки пациентов и связи между учреждениями различных групп имело целью обеспечить равные возможности пациентов  в плане пользования всеми услугами в области акушерства и неонатологии независимо от их места жительства или уровня доходов.</w:t>
      </w:r>
    </w:p>
    <w:p w:rsidR="00000000" w:rsidRDefault="00000000"/>
    <w:p w:rsidR="00000000" w:rsidRDefault="00000000">
      <w:r>
        <w:t>313.</w:t>
      </w:r>
      <w:r>
        <w:tab/>
        <w:t>В рамках программы по улучшению перинатального ухода в Польше акцент был сделан на снижение младенческой смертности до уровня ниже 10 на 1 000 живорождений к 2000 году (см. раздел </w:t>
      </w:r>
      <w:r>
        <w:rPr>
          <w:lang w:val="en-US"/>
        </w:rPr>
        <w:t>D</w:t>
      </w:r>
      <w:r>
        <w:t>.1 выше) и сокращение числа случаев преждевременных родов и рождения недоношенных детей.  Помимо этого, данная программа была направлена на уменьшение числа детей, рожденных с осложнениями в результате заболеваний, перенесенных в период беременности и в перинатальный период (инвалидность, хронические заболевания), что должно было снизить расходы по длительному лечению и реабилитации пациентов.</w:t>
      </w:r>
    </w:p>
    <w:p w:rsidR="00000000" w:rsidRDefault="00000000"/>
    <w:p w:rsidR="00000000" w:rsidRDefault="00000000">
      <w:pPr>
        <w:rPr>
          <w:b/>
          <w:bCs/>
        </w:rPr>
      </w:pPr>
      <w:r>
        <w:tab/>
      </w:r>
      <w:r>
        <w:rPr>
          <w:b/>
          <w:bCs/>
        </w:rPr>
        <w:t>6.</w:t>
      </w:r>
      <w:r>
        <w:rPr>
          <w:b/>
          <w:bCs/>
        </w:rPr>
        <w:tab/>
        <w:t>Санитарное состояние окружающей среды и производственная гигиена</w:t>
      </w:r>
    </w:p>
    <w:p w:rsidR="00000000" w:rsidRDefault="00000000">
      <w:pPr>
        <w:rPr>
          <w:b/>
          <w:bCs/>
        </w:rPr>
      </w:pPr>
    </w:p>
    <w:p w:rsidR="00000000" w:rsidRDefault="00000000">
      <w:r>
        <w:t>314.</w:t>
      </w:r>
      <w:r>
        <w:tab/>
        <w:t>В 1995</w:t>
      </w:r>
      <w:r>
        <w:noBreakHyphen/>
        <w:t>1998 годах министерство охраны окружающей среды, природных ресурсов и лесного хозяйства израсходовало 8 968 800 злотых на экологическое просвещение населения.  Эта деятельность была ориентирована главным образом на детей, учащихся, студентов, преподавателей экологических дисциплин, местные органы самоуправления, журналистов, работников медицинских профессий, фермеров, специалистов в области охраны окружающей среды и сотрудников таможни.  Среди прочего, министерство</w:t>
      </w:r>
    </w:p>
    <w:p w:rsidR="00000000" w:rsidRDefault="00000000">
      <w:r>
        <w:br w:type="page"/>
        <w:t xml:space="preserve">финансировало выплату присуждаемой министром премии за выдающиеся достижения в области охраны окружающей среды, проведение общенациональных конкурсов в области охраны окружающей среды, организацию встреч экологов, научных конференций и мероприятий для широкой общественности, таких, как национальные конгрессы "Экомед" в Тарнове, публикацию документов по итогам конференции "Земля </w:t>
      </w:r>
      <w:r>
        <w:noBreakHyphen/>
        <w:t xml:space="preserve"> колыбель человечества", которая проводилась под эгидой министерства охраны окружающей среды, природных ресурсов и лесного хозяйства, а также польского сената, осуществление программ "Чистая Висла и приморский регион", "Наблюдение за состоянием побережья европейских морей" и т.д.  Ежегодно Национальный фонд защиты окружающей среды и рационального водопользования участвует в финансировании различных кампаний, таких, как:  "Сделаем мир чистым", "Средства ликвидации отходов", "Кампания за использование биологически разлагаемых упаковочных материалов", "Кампания за сохранение озонового слоя", программ просвещения для молодежи, таких, как "Чистая Висла", "Пропуск в будущее", "Экологический цикл", "Загрязнение воздуха", "Одуванчик", "Наша окружающая среда:  как жить в ней", "Берег реки, близ которого ты живешь", "Долины рек", или программ для взрослых, таких, как "Сельское хозяйство и защита качества воды" и "Контролируемое производство экологически чистого продовольствия".</w:t>
      </w:r>
    </w:p>
    <w:p w:rsidR="00000000" w:rsidRDefault="00000000"/>
    <w:p w:rsidR="00000000" w:rsidRDefault="00000000">
      <w:r>
        <w:t>315.</w:t>
      </w:r>
      <w:r>
        <w:tab/>
        <w:t>В 1995</w:t>
      </w:r>
      <w:r>
        <w:noBreakHyphen/>
        <w:t>1998 годах Экологическая инспекция выполняла следующие возложенные на нее задачи:</w:t>
      </w:r>
    </w:p>
    <w:p w:rsidR="00000000" w:rsidRDefault="00000000"/>
    <w:p w:rsidR="00000000" w:rsidRDefault="00000000">
      <w:pPr>
        <w:ind w:left="1134" w:hanging="1134"/>
      </w:pPr>
      <w:r>
        <w:tab/>
        <w:t>-</w:t>
      </w:r>
      <w:r>
        <w:tab/>
        <w:t>надзор за соблюдением законов в области охраны окружающей среды и обеспечение их выполнения;</w:t>
      </w:r>
    </w:p>
    <w:p w:rsidR="00000000" w:rsidRDefault="00000000">
      <w:pPr>
        <w:ind w:left="1134" w:hanging="1134"/>
      </w:pPr>
    </w:p>
    <w:p w:rsidR="00000000" w:rsidRDefault="00000000">
      <w:pPr>
        <w:ind w:left="1134" w:hanging="1134"/>
      </w:pPr>
      <w:r>
        <w:tab/>
        <w:t>-</w:t>
      </w:r>
      <w:r>
        <w:tab/>
        <w:t>проведение экологических исследований в рамках Государственной программы экологического мониторинга (изучаемые вопросы:  наземные и подземные воды, воды Балтийского моря, состояние воздуха, почв, лесов, разнообразие биологических видов;  физические факторы:  уровень шума, ионизирующая радиация.  Результаты исследований публиковались в периодических докладах, коммюнике и помещались в Интернете);</w:t>
      </w:r>
    </w:p>
    <w:p w:rsidR="00000000" w:rsidRDefault="00000000">
      <w:pPr>
        <w:ind w:left="1134" w:hanging="1134"/>
      </w:pPr>
    </w:p>
    <w:p w:rsidR="00000000" w:rsidRDefault="00000000">
      <w:r>
        <w:tab/>
        <w:t>-</w:t>
      </w:r>
      <w:r>
        <w:tab/>
        <w:t>предотвращение последствий стихийных бедствий;</w:t>
      </w:r>
    </w:p>
    <w:p w:rsidR="00000000" w:rsidRDefault="00000000"/>
    <w:p w:rsidR="00000000" w:rsidRDefault="00000000">
      <w:r>
        <w:tab/>
        <w:t>-</w:t>
      </w:r>
      <w:r>
        <w:tab/>
        <w:t>борьба с незаконным ввозом, вывозом и транзитом отходов;</w:t>
      </w:r>
    </w:p>
    <w:p w:rsidR="00000000" w:rsidRDefault="00000000"/>
    <w:p w:rsidR="00000000" w:rsidRDefault="00000000">
      <w:pPr>
        <w:ind w:left="1134" w:hanging="1134"/>
      </w:pPr>
      <w:r>
        <w:br w:type="page"/>
      </w:r>
      <w:r>
        <w:tab/>
        <w:t>-</w:t>
      </w:r>
      <w:r>
        <w:tab/>
        <w:t>международное сотрудничество (исследования, обмен информацией, совместные мероприятия по профилактике последствий стихийных бедствий в приграничных водах, сотрудничество с Базельской конвенцией о контроле за трансграничной перевозкой опасных отходов и их удалением, Конвенцией о трансграничных последствиях промышленных аварий, Хельсинкской конвенцией о защите морской среды Балтики).</w:t>
      </w:r>
    </w:p>
    <w:p w:rsidR="00000000" w:rsidRDefault="00000000">
      <w:pPr>
        <w:ind w:left="1134" w:hanging="1134"/>
      </w:pPr>
    </w:p>
    <w:p w:rsidR="00000000" w:rsidRDefault="00000000">
      <w:r>
        <w:t>316.</w:t>
      </w:r>
      <w:r>
        <w:tab/>
        <w:t>В шести воеводствах, которые в предыдущем докладе отмечались как неблагополучные (Быдгощское, Легницкое, Лодзинское, Петрковское, Скерневицкое и Валбжиское) ситуация улучшилась благодаря следующим факторам:</w:t>
      </w:r>
    </w:p>
    <w:p w:rsidR="00000000" w:rsidRDefault="00000000"/>
    <w:p w:rsidR="00000000" w:rsidRDefault="00000000">
      <w:r>
        <w:tab/>
        <w:t>-</w:t>
      </w:r>
      <w:r>
        <w:tab/>
        <w:t>изменение числа экономических объектов;</w:t>
      </w:r>
    </w:p>
    <w:p w:rsidR="00000000" w:rsidRDefault="00000000"/>
    <w:p w:rsidR="00000000" w:rsidRDefault="00000000">
      <w:r>
        <w:tab/>
        <w:t>-</w:t>
      </w:r>
      <w:r>
        <w:tab/>
        <w:t>создание очистных сооружений на существующих предприятиях;</w:t>
      </w:r>
    </w:p>
    <w:p w:rsidR="00000000" w:rsidRDefault="00000000"/>
    <w:p w:rsidR="00000000" w:rsidRDefault="00000000">
      <w:r>
        <w:tab/>
        <w:t>-</w:t>
      </w:r>
      <w:r>
        <w:tab/>
        <w:t>новые инвестиции в экологически чистое производство.</w:t>
      </w:r>
    </w:p>
    <w:p w:rsidR="00000000" w:rsidRDefault="00000000"/>
    <w:p w:rsidR="00000000" w:rsidRDefault="00000000">
      <w:r>
        <w:t>317.</w:t>
      </w:r>
      <w:r>
        <w:tab/>
        <w:t>По состоянию на 1998 год никаких новых углубленных исследований в этих областях не проводилось.  В связи с поправками, внесенными в законодательные акты, была запланирована проверка метода классификации чрезвычайных обстоятельств.  По итогам этой проверки будут проведены исследования и всесторонний анализ результатов.</w:t>
      </w:r>
    </w:p>
    <w:p w:rsidR="00000000" w:rsidRDefault="00000000"/>
    <w:p w:rsidR="00000000" w:rsidRDefault="00000000">
      <w:pPr>
        <w:pStyle w:val="10"/>
        <w:jc w:val="left"/>
        <w:rPr>
          <w:bCs/>
        </w:rPr>
      </w:pPr>
      <w:r>
        <w:rPr>
          <w:bCs/>
        </w:rPr>
        <w:tab/>
        <w:t>7.</w:t>
      </w:r>
      <w:r>
        <w:rPr>
          <w:bCs/>
        </w:rPr>
        <w:tab/>
        <w:t>Меры, принятые правительством по профилактике и лечению</w:t>
      </w:r>
    </w:p>
    <w:p w:rsidR="00000000" w:rsidRDefault="00000000">
      <w:pPr>
        <w:ind w:left="567"/>
        <w:rPr>
          <w:b/>
          <w:bCs/>
        </w:rPr>
      </w:pPr>
      <w:r>
        <w:tab/>
      </w:r>
      <w:r>
        <w:rPr>
          <w:b/>
          <w:bCs/>
        </w:rPr>
        <w:t>эпидемических, эндемических, профессиональных и других заболеваний</w:t>
      </w:r>
    </w:p>
    <w:p w:rsidR="00000000" w:rsidRDefault="00000000">
      <w:pPr>
        <w:ind w:left="567"/>
        <w:rPr>
          <w:b/>
          <w:bCs/>
        </w:rPr>
      </w:pPr>
      <w:r>
        <w:rPr>
          <w:b/>
          <w:bCs/>
        </w:rPr>
        <w:tab/>
        <w:t>и борьбе с ними</w:t>
      </w:r>
    </w:p>
    <w:p w:rsidR="00000000" w:rsidRDefault="00000000">
      <w:pPr>
        <w:pStyle w:val="10"/>
        <w:rPr>
          <w:bCs/>
        </w:rPr>
      </w:pPr>
    </w:p>
    <w:p w:rsidR="00000000" w:rsidRDefault="00000000">
      <w:r>
        <w:t>318.</w:t>
      </w:r>
      <w:r>
        <w:tab/>
        <w:t>В 90 </w:t>
      </w:r>
      <w:r>
        <w:noBreakHyphen/>
        <w:t>х годах среди эндемических заболеваний в Польше числились пищевые отравления, детская диарея и гепатит А и В.  Все эти заболевания распространяются через пищеварительный тракт (за исключением гепатита В).  Была разработана специальная программа, в рамках которой основное внимание уделялось вопросам снабжения питьевой водой и продовольствием высокого качества, а также удалению отходов.  Эта программа, действовавшая на протяжении последних нескольких лет, оказалась довольно эффективной в борьбе с брюшным тифом и паратифом.  В 1997 году было зарегистрировано лишь семь случаев брюшного типа и четыре случая паратифа</w:t>
      </w:r>
    </w:p>
    <w:p w:rsidR="00000000" w:rsidRDefault="00000000">
      <w:r>
        <w:br w:type="page"/>
        <w:t xml:space="preserve">(20 годами ранее число таких случаев исчислялось несколькими сотнями в год).  В отношении трех вышеупомянутых заболеваний результаты работы были не столь удовлетворительными, хотя число случаев таких заболеваний постепенно уменьшалось.  К числу заболеваний, масштабы которых постоянно сокращаются, относятся болезни, вызываемые </w:t>
      </w:r>
      <w:r>
        <w:rPr>
          <w:lang w:val="en-US"/>
        </w:rPr>
        <w:t>Salmonella</w:t>
      </w:r>
      <w:r>
        <w:t xml:space="preserve"> </w:t>
      </w:r>
      <w:r>
        <w:rPr>
          <w:lang w:val="en-US"/>
        </w:rPr>
        <w:t>enteritidis</w:t>
      </w:r>
      <w:r>
        <w:t>, которые распространяются через куриное мясо и яйца и являются одной из главных причин пищевых отравлений.  Предпринимались усилия по ликвидации этого возбудителя заболеваний.  Еще до 1995 года в Польше проводилась вакцинация против гепатита А.  Эта прививка, которая оплачивалась самими пациентами, была рекомендована детям, подросткам и лицам, работающим в пищевой промышленности.  В 1997 году была проведена вакцинация детей в возрасте от 7 до 12 лет (с использованием вакцин, предоставленных донорами) в районах, пострадавших от наводнений.  Гепатит В передается через кровь.  В Польше в 60% случаев заражения инфекционными заболеваниями происходят в учреждениях системы здравоохранения.  Благодаря широкой кампании по вакцинации в 1993</w:t>
      </w:r>
      <w:r>
        <w:noBreakHyphen/>
        <w:t>1997 годах число таких случаев снизилось в три раза.  Во второй половине 90</w:t>
      </w:r>
      <w:r>
        <w:noBreakHyphen/>
        <w:t>х годов более значительное внимание уделялось профилактике заражений в больницах, особенно улучшению гигиены в учреждениях системы здравоохранения и изменению методов стерилизации медицинских инструментов (переход от стерилизации сухим теплом к стерилизации в автоклавах).</w:t>
      </w:r>
    </w:p>
    <w:p w:rsidR="00000000" w:rsidRDefault="00000000"/>
    <w:p w:rsidR="00000000" w:rsidRDefault="00000000">
      <w:pPr>
        <w:ind w:left="1134" w:hanging="1134"/>
      </w:pPr>
      <w:r>
        <w:rPr>
          <w:b/>
          <w:bCs/>
        </w:rPr>
        <w:tab/>
        <w:t>8.</w:t>
      </w:r>
      <w:r>
        <w:rPr>
          <w:b/>
          <w:bCs/>
        </w:rPr>
        <w:tab/>
        <w:t xml:space="preserve">Меры, принятые правительством по предоставлению медицинских услуг и обеспечению медицинского ухода за всеми больными </w:t>
      </w:r>
    </w:p>
    <w:p w:rsidR="00000000" w:rsidRDefault="00000000"/>
    <w:p w:rsidR="00000000" w:rsidRDefault="00000000">
      <w:r>
        <w:t>319.</w:t>
      </w:r>
      <w:r>
        <w:tab/>
        <w:t>Информация о положении, существовавшем в 1995-1998 годах, и аналогичной ситуации, о которой говорилось в предыдущем докладе, изложена выше в разделе, посвященном статье 9 (право на социальное обеспечение) и статье 12 (право на охрану здоровья).  1 января 1999 года должен был вступить в силу Закон о государственном страховании по болезни от 6 февраля 1997 года (Законодательный вестник за 1997 год, № 28, статья 153 с последующими поправками).  Были разработаны планы по введению обязательного государственного страхования по болезни, которые в соответствии с этим Законом должны осуществляться соответствующими страховыми учреждениями, называемыми фондами страхования по болезни.</w:t>
      </w:r>
    </w:p>
    <w:p w:rsidR="00000000" w:rsidRDefault="00000000"/>
    <w:p w:rsidR="00000000" w:rsidRDefault="00000000">
      <w:pPr>
        <w:pStyle w:val="10"/>
        <w:tabs>
          <w:tab w:val="left" w:pos="567"/>
          <w:tab w:val="left" w:pos="1134"/>
          <w:tab w:val="left" w:pos="1701"/>
          <w:tab w:val="left" w:pos="2268"/>
          <w:tab w:val="left" w:pos="6237"/>
        </w:tabs>
        <w:rPr>
          <w:bCs/>
        </w:rPr>
      </w:pPr>
      <w:r>
        <w:rPr>
          <w:bCs/>
        </w:rPr>
        <w:t>F.</w:t>
      </w:r>
      <w:r>
        <w:rPr>
          <w:bCs/>
        </w:rPr>
        <w:tab/>
        <w:t>Меры, принятые правительством по обеспечению того, чтобы растущие расходы на здравоохранение не нарушали право престарелых</w:t>
      </w:r>
    </w:p>
    <w:p w:rsidR="00000000" w:rsidRDefault="00000000">
      <w:pPr>
        <w:jc w:val="center"/>
      </w:pPr>
      <w:r>
        <w:rPr>
          <w:b/>
          <w:bCs/>
        </w:rPr>
        <w:t>на охрану здоровья</w:t>
      </w:r>
    </w:p>
    <w:p w:rsidR="00000000" w:rsidRDefault="00000000"/>
    <w:p w:rsidR="00000000" w:rsidRDefault="00000000">
      <w:r>
        <w:t>320.</w:t>
      </w:r>
      <w:r>
        <w:tab/>
        <w:t>На протяжении отчетного периода был расширен перечень хронических заболеваний, который сейчас охватывает 30 таких болезней.  Основные лекарства, необходимые для лечения заболеваний, включенных в этот перечень, выдаются бесплатно или продаются по фиксированной цене.  Право на бесплатное медицинское лечение имеют инвалиды войны, военнослужащие и члены их семей, а также доноры в той мере, в какой соответствующие лекарства могут использоваться в терапевтических и профилактических целях в связи со сдачей крови.  В 1998 году некоторые лекарства выдавались бесплатно, некоторые продавались по фиксированной цене, а некоторые - по цене, составляющей от 30 до 50% от рыночной.  Расходы на охрану здоровья не отразились на положении 89 домов престарелых, которые, согласно Закону об учреждениях системы здравоохранения от 30 августа 1991 года, открыты для престарелых, нуждающихся в круглосуточном уходе и специализированной помощи (в общей сложности 7 500 мест).  32 таких учреждения финансируются из государственного бюджета, а 47 - за счет средств монастырей.  Эти учреждения финансируются также министерством здравоохранения и социального обеспечения.  Услуги медсестер из числа социальных работников общин в государственных комплексах здравоохранения также являются бесплатными.</w:t>
      </w:r>
    </w:p>
    <w:p w:rsidR="00000000" w:rsidRDefault="00000000"/>
    <w:p w:rsidR="00000000" w:rsidRDefault="00000000">
      <w:pPr>
        <w:pStyle w:val="10"/>
        <w:tabs>
          <w:tab w:val="left" w:pos="567"/>
          <w:tab w:val="left" w:pos="1134"/>
          <w:tab w:val="left" w:pos="1701"/>
          <w:tab w:val="left" w:pos="2268"/>
          <w:tab w:val="left" w:pos="6237"/>
        </w:tabs>
        <w:rPr>
          <w:bCs/>
        </w:rPr>
      </w:pPr>
      <w:r>
        <w:rPr>
          <w:bCs/>
        </w:rPr>
        <w:t>G.</w:t>
      </w:r>
      <w:r>
        <w:rPr>
          <w:bCs/>
        </w:rPr>
        <w:tab/>
        <w:t>Меры по расширению участия общин в оказании первичной медико-санитарной помощи</w:t>
      </w:r>
    </w:p>
    <w:p w:rsidR="00000000" w:rsidRDefault="00000000"/>
    <w:p w:rsidR="00000000" w:rsidRDefault="00000000">
      <w:r>
        <w:t>321.</w:t>
      </w:r>
      <w:r>
        <w:tab/>
        <w:t>Для сохранения надлежащего доступа к медицинским услугам фондами страхования по болезни (после истечения отчетного периода, т.е. начиная с 1 января 1999 года) планируется проведение анализа возможностей такого доступа и получения услуг врачей-специалистов.</w:t>
      </w:r>
    </w:p>
    <w:p w:rsidR="00000000" w:rsidRDefault="00000000"/>
    <w:p w:rsidR="00000000" w:rsidRDefault="00000000">
      <w:pPr>
        <w:pStyle w:val="10"/>
        <w:tabs>
          <w:tab w:val="left" w:pos="567"/>
          <w:tab w:val="left" w:pos="1134"/>
          <w:tab w:val="left" w:pos="1701"/>
          <w:tab w:val="left" w:pos="2268"/>
          <w:tab w:val="left" w:pos="6237"/>
        </w:tabs>
        <w:rPr>
          <w:bCs/>
        </w:rPr>
      </w:pPr>
      <w:r>
        <w:rPr>
          <w:bCs/>
        </w:rPr>
        <w:t>Н.</w:t>
      </w:r>
      <w:r>
        <w:rPr>
          <w:bCs/>
        </w:rPr>
        <w:tab/>
        <w:t>Просвещение по основным проблемам здравоохранения</w:t>
      </w:r>
    </w:p>
    <w:p w:rsidR="00000000" w:rsidRDefault="00000000"/>
    <w:p w:rsidR="00000000" w:rsidRDefault="00000000">
      <w:r>
        <w:t>322.</w:t>
      </w:r>
      <w:r>
        <w:tab/>
        <w:t>За отчетный период были осуществлены следующие программы:</w:t>
      </w:r>
    </w:p>
    <w:p w:rsidR="00000000" w:rsidRDefault="00000000"/>
    <w:p w:rsidR="00000000" w:rsidRDefault="00000000">
      <w:r>
        <w:tab/>
        <w:t>а)</w:t>
      </w:r>
      <w:r>
        <w:tab/>
        <w:t>Программа информационно-просветительских мероприятий в области здравоохранения на уровне общины, рассчитанная на учащихся начальной и средней школы, которая была начата в 1997 году и охватывала следующие вопросы:  пропаганда здорового образа жизни, жизнь в семье, психическое здоровье, жизнь без наркотиков, здоровый режим питания, безопасность в повседневной жизни, личная гигиена и гигиена окружающей среды и физическая активность.  В регионах работа по осуществлению этой программы координируется специалистами по просветительской деятельности в вопросах охраны здоровья.</w:t>
      </w:r>
    </w:p>
    <w:p w:rsidR="00000000" w:rsidRDefault="00000000"/>
    <w:p w:rsidR="00000000" w:rsidRDefault="00000000">
      <w:r>
        <w:br w:type="page"/>
      </w:r>
      <w:r>
        <w:tab/>
        <w:t>b)</w:t>
      </w:r>
      <w:r>
        <w:tab/>
        <w:t>Цели программы "Безопасный и здоровый дом", рассчитанной на детей в возрасте от 0 до 6 лет и женщин в возрасте старше 65 лет, заключались в следующем:  выявление факторов, способствующих бытовым травмам, расширение осведомленности о причинах несчастных случаев, первая помощь при несчастных случаях, профилактика несчастных случаев.  Осуществление данной программы началось в феврале 1998 года.</w:t>
      </w:r>
    </w:p>
    <w:p w:rsidR="00000000" w:rsidRDefault="00000000"/>
    <w:p w:rsidR="00000000" w:rsidRDefault="00000000">
      <w:r>
        <w:tab/>
        <w:t>с)</w:t>
      </w:r>
      <w:r>
        <w:tab/>
        <w:t>Программа оказания первой помощи пострадавшим до прибытия врача была ориентирована на учащихся средней школы.  В основе этой программы лежала тема "Основные вопросы жизнеобеспечения".</w:t>
      </w:r>
    </w:p>
    <w:p w:rsidR="00000000" w:rsidRDefault="00000000"/>
    <w:p w:rsidR="00000000" w:rsidRDefault="00000000">
      <w:r>
        <w:tab/>
        <w:t>d)</w:t>
      </w:r>
      <w:r>
        <w:tab/>
        <w:t>Программа профилактики кариеса зубов для учащихся 1-3 классов начальной школы в 1997-1998 годах охватывала всех учащихся этих классов.</w:t>
      </w:r>
    </w:p>
    <w:p w:rsidR="00000000" w:rsidRDefault="00000000"/>
    <w:p w:rsidR="00000000" w:rsidRDefault="00000000">
      <w:r>
        <w:tab/>
        <w:t>е)</w:t>
      </w:r>
      <w:r>
        <w:tab/>
        <w:t>Осуществлялись также программа профилактики табакокурения в Польше, направленная на содействие охране здоровья на рабочем месте, и программа охраны здоровья за счет надлежащего режима питания.</w:t>
      </w:r>
    </w:p>
    <w:p w:rsidR="00000000" w:rsidRDefault="00000000"/>
    <w:p w:rsidR="00000000" w:rsidRDefault="00000000">
      <w:pPr>
        <w:pStyle w:val="10"/>
        <w:rPr>
          <w:bCs/>
        </w:rPr>
      </w:pPr>
      <w:r>
        <w:rPr>
          <w:bCs/>
        </w:rPr>
        <w:t>I.</w:t>
      </w:r>
      <w:r>
        <w:rPr>
          <w:bCs/>
        </w:rPr>
        <w:tab/>
        <w:t>Новое законодательство и постановления органов исполнительной власти, имеющие отношение к статье 12</w:t>
      </w:r>
    </w:p>
    <w:p w:rsidR="00000000" w:rsidRDefault="00000000">
      <w:pPr>
        <w:pStyle w:val="10"/>
        <w:rPr>
          <w:bCs/>
        </w:rPr>
      </w:pPr>
    </w:p>
    <w:p w:rsidR="00000000" w:rsidRDefault="00000000">
      <w:r>
        <w:t>323.</w:t>
      </w:r>
      <w:r>
        <w:tab/>
        <w:t>К числу этих законов и постановлений относятся:</w:t>
      </w:r>
    </w:p>
    <w:p w:rsidR="00000000" w:rsidRDefault="00000000"/>
    <w:p w:rsidR="00000000" w:rsidRDefault="00000000">
      <w:pPr>
        <w:ind w:left="1134" w:hanging="1134"/>
      </w:pPr>
      <w:r>
        <w:tab/>
        <w:t>-</w:t>
      </w:r>
      <w:r>
        <w:tab/>
        <w:t>статья 68 Конституции от 2 апреля 1997 года (гарантия права граждан на охрану здоровья);</w:t>
      </w:r>
    </w:p>
    <w:p w:rsidR="00000000" w:rsidRDefault="00000000">
      <w:pPr>
        <w:ind w:left="1134" w:hanging="1134"/>
      </w:pPr>
    </w:p>
    <w:p w:rsidR="00000000" w:rsidRDefault="00000000">
      <w:pPr>
        <w:ind w:left="1134" w:hanging="1134"/>
      </w:pPr>
      <w:r>
        <w:tab/>
        <w:t>-</w:t>
      </w:r>
      <w:r>
        <w:tab/>
        <w:t>Закон от 24 октября 1974 года с поправками "Закон о водных ресурсах" (Законодательный вестник за 1995 год, № 47, статья 243;  1996 год, № 106, статья 496;  1997 год, № 47, статья 299, № 88, статья 554, № 133, статья 885;  1998 год, № 106, статья 668);</w:t>
      </w:r>
    </w:p>
    <w:p w:rsidR="00000000" w:rsidRDefault="00000000">
      <w:pPr>
        <w:ind w:left="1134" w:hanging="1134"/>
      </w:pPr>
    </w:p>
    <w:p w:rsidR="00000000" w:rsidRDefault="00000000">
      <w:pPr>
        <w:ind w:left="1134" w:hanging="1134"/>
      </w:pPr>
      <w:r>
        <w:tab/>
        <w:t>-</w:t>
      </w:r>
      <w:r>
        <w:tab/>
        <w:t>Закон от 31 января 1980 года с поправками о защите окружающей среды и рациональном природопользовании (Законодательный вестник за 1995 год, № 90, статья 445;  1996 год, № 106, статья 496, № 132, статья 662;  1997 год, № 46, статья 296, № 96, статья 592, № 121, статья 770, № 133, статья 885;  1998 год, № 106, статья 668);</w:t>
      </w:r>
    </w:p>
    <w:p w:rsidR="00000000" w:rsidRDefault="00000000">
      <w:pPr>
        <w:ind w:left="1134" w:hanging="1134"/>
      </w:pPr>
    </w:p>
    <w:p w:rsidR="00000000" w:rsidRDefault="00000000">
      <w:pPr>
        <w:ind w:left="1134" w:hanging="1134"/>
      </w:pPr>
      <w:r>
        <w:br w:type="page"/>
      </w:r>
      <w:r>
        <w:tab/>
        <w:t>-</w:t>
      </w:r>
      <w:r>
        <w:tab/>
        <w:t>Закон от 19 августа 1994 года об охране психического здоровья, вступивший в силу в январе 1995 года (Законодательный вестник за 1994 год, № 111, статья 535);</w:t>
      </w:r>
    </w:p>
    <w:p w:rsidR="00000000" w:rsidRDefault="00000000">
      <w:pPr>
        <w:ind w:left="1134" w:hanging="1134"/>
      </w:pPr>
    </w:p>
    <w:p w:rsidR="00000000" w:rsidRDefault="00000000">
      <w:pPr>
        <w:ind w:left="1134" w:hanging="1134"/>
      </w:pPr>
      <w:r>
        <w:tab/>
        <w:t>-</w:t>
      </w:r>
      <w:r>
        <w:tab/>
        <w:t>Закон от 13 сентября 1996 года о поддержании чистоты и порядка в гминах (общинах) (Законодательный вестник за 1996 год, № 132, статья 622;  1997 год, № 60, статья 396, № 121, статья 770);</w:t>
      </w:r>
    </w:p>
    <w:p w:rsidR="00000000" w:rsidRDefault="00000000">
      <w:pPr>
        <w:ind w:left="1134" w:hanging="1134"/>
      </w:pPr>
    </w:p>
    <w:p w:rsidR="00000000" w:rsidRDefault="00000000">
      <w:pPr>
        <w:ind w:left="1134" w:hanging="1134"/>
      </w:pPr>
      <w:r>
        <w:tab/>
        <w:t>-</w:t>
      </w:r>
      <w:r>
        <w:tab/>
        <w:t>Закон от 6 февраля 1997 года о государственном страховании по болезни (Законодательный вестник, № 28, статья 153 с поправками);</w:t>
      </w:r>
    </w:p>
    <w:p w:rsidR="00000000" w:rsidRDefault="00000000">
      <w:pPr>
        <w:ind w:left="1134" w:hanging="1134"/>
      </w:pPr>
    </w:p>
    <w:p w:rsidR="00000000" w:rsidRDefault="00000000">
      <w:pPr>
        <w:ind w:left="1134" w:hanging="1134"/>
      </w:pPr>
      <w:r>
        <w:tab/>
        <w:t>-</w:t>
      </w:r>
      <w:r>
        <w:tab/>
        <w:t>Закон от 27 июня 1997 года об отходах (Законодательный вестник за 1997 год, № 96, статья 592;  от 1998 года, № 106, статья 668);</w:t>
      </w:r>
    </w:p>
    <w:p w:rsidR="00000000" w:rsidRDefault="00000000">
      <w:pPr>
        <w:ind w:left="1134" w:hanging="1134"/>
      </w:pPr>
    </w:p>
    <w:p w:rsidR="00000000" w:rsidRDefault="00000000">
      <w:pPr>
        <w:ind w:left="1134" w:hanging="1134"/>
      </w:pPr>
      <w:r>
        <w:tab/>
        <w:t>-</w:t>
      </w:r>
      <w:r>
        <w:tab/>
        <w:t>Постановление Совета министров от 20 июня 1995 года о размерах штрафов за несоблюдение установленных требований охраны окружающей среды и правилах и условиях наложения таких штрафов и о показателях, устанавливающих суммы таких штрафов (Законодательный вестник, № 79, статья 399);</w:t>
      </w:r>
    </w:p>
    <w:p w:rsidR="00000000" w:rsidRDefault="00000000">
      <w:pPr>
        <w:ind w:left="1134" w:hanging="1134"/>
      </w:pPr>
    </w:p>
    <w:p w:rsidR="00000000" w:rsidRDefault="00000000">
      <w:pPr>
        <w:ind w:left="1134" w:hanging="1134"/>
      </w:pPr>
      <w:r>
        <w:tab/>
        <w:t>-</w:t>
      </w:r>
      <w:r>
        <w:tab/>
        <w:t>Постановление Совета министров от 20 июня 1995 года о правилах и условиях наложения штрафов за несоблюдение установленных требований в отношении сброса отходов в воду и почву, а также о показателях, определяющих суммы таких штрафов (Законодательный вестник, № 79, статья 400);</w:t>
      </w:r>
    </w:p>
    <w:p w:rsidR="00000000" w:rsidRDefault="00000000">
      <w:pPr>
        <w:ind w:left="1134" w:hanging="1134"/>
      </w:pPr>
    </w:p>
    <w:p w:rsidR="00000000" w:rsidRDefault="00000000">
      <w:pPr>
        <w:ind w:left="1134" w:hanging="1134"/>
      </w:pPr>
      <w:r>
        <w:tab/>
        <w:t>-</w:t>
      </w:r>
      <w:r>
        <w:tab/>
        <w:t>Постановление Совета министров от 18 декабря 1996 года о водоснабжении и канализации, плате за воду и канализацию (Законодательный вестник, № 151, статья 716);</w:t>
      </w:r>
    </w:p>
    <w:p w:rsidR="00000000" w:rsidRDefault="00000000">
      <w:pPr>
        <w:ind w:left="1134" w:hanging="1134"/>
      </w:pPr>
    </w:p>
    <w:p w:rsidR="00000000" w:rsidRDefault="00000000">
      <w:pPr>
        <w:ind w:left="1134" w:hanging="1134"/>
      </w:pPr>
      <w:r>
        <w:tab/>
        <w:t>-</w:t>
      </w:r>
      <w:r>
        <w:tab/>
        <w:t>Постановление Совета министров от 30 декабря 1997 года о взимании платы за вывоз мусора (Законодательный вестник, № 162, статья 1116);</w:t>
      </w:r>
    </w:p>
    <w:p w:rsidR="00000000" w:rsidRDefault="00000000">
      <w:pPr>
        <w:ind w:left="1134" w:hanging="1134"/>
      </w:pPr>
    </w:p>
    <w:p w:rsidR="00000000" w:rsidRDefault="00000000">
      <w:pPr>
        <w:ind w:left="1134" w:hanging="1134"/>
      </w:pPr>
      <w:r>
        <w:tab/>
        <w:t>-</w:t>
      </w:r>
      <w:r>
        <w:tab/>
        <w:t>Постановление Совета министров от 30 декабря 1997 года о взимании платы за выбросы загрязнителей в воздух и вырубку деревьев и кустарников (Законодательный вестник, № 162, статья 1117);</w:t>
      </w:r>
    </w:p>
    <w:p w:rsidR="00000000" w:rsidRDefault="00000000">
      <w:pPr>
        <w:ind w:left="1134" w:hanging="1134"/>
      </w:pPr>
    </w:p>
    <w:p w:rsidR="00000000" w:rsidRDefault="00000000">
      <w:pPr>
        <w:ind w:left="1134" w:hanging="1134"/>
      </w:pPr>
      <w:r>
        <w:br w:type="page"/>
      </w:r>
      <w:r>
        <w:tab/>
        <w:t>-</w:t>
      </w:r>
      <w:r>
        <w:tab/>
        <w:t>Постановление Совета министров от 5 августа 1998 года о регистрации и учете выбросов загрязнителей в воздух (Законодательный вестник, № 102, статья 647);</w:t>
      </w:r>
    </w:p>
    <w:p w:rsidR="00000000" w:rsidRDefault="00000000">
      <w:pPr>
        <w:ind w:left="1134" w:hanging="1134"/>
      </w:pPr>
    </w:p>
    <w:p w:rsidR="00000000" w:rsidRDefault="00000000">
      <w:pPr>
        <w:ind w:left="1134" w:hanging="1134"/>
      </w:pPr>
      <w:r>
        <w:tab/>
        <w:t>-</w:t>
      </w:r>
      <w:r>
        <w:tab/>
        <w:t>Распоряжение министра охраны окружающей среды, природных ресурсов и лесного хозяйства о технических требованиях, которым должны отвечать здания, используемые в сфере водоснабжения, и о требованиях, предъявляемых к их расположению (Законодательный вестник, № 21, статья 111);</w:t>
      </w:r>
    </w:p>
    <w:p w:rsidR="00000000" w:rsidRDefault="00000000">
      <w:pPr>
        <w:ind w:left="1134" w:hanging="1134"/>
      </w:pPr>
    </w:p>
    <w:p w:rsidR="00000000" w:rsidRDefault="00000000">
      <w:pPr>
        <w:ind w:left="1134" w:hanging="1134"/>
      </w:pPr>
      <w:r>
        <w:tab/>
        <w:t>-</w:t>
      </w:r>
      <w:r>
        <w:tab/>
        <w:t>Распоряжение министра охраны окружающей среды, природных ресурсов и лесного хозяйства от 24 декабря 1997 года о классификации отходов (Законодательный вестник, № 162, статья 1135);</w:t>
      </w:r>
    </w:p>
    <w:p w:rsidR="00000000" w:rsidRDefault="00000000">
      <w:pPr>
        <w:ind w:left="1134" w:hanging="1134"/>
      </w:pPr>
    </w:p>
    <w:p w:rsidR="00000000" w:rsidRDefault="00000000">
      <w:pPr>
        <w:ind w:left="1134" w:hanging="1134"/>
      </w:pPr>
      <w:r>
        <w:tab/>
        <w:t>-</w:t>
      </w:r>
      <w:r>
        <w:tab/>
        <w:t>Распоряжение министра охраны окружающей среды, природных ресурсов и лесного хозяйства от 13 февраля 1998 года о маркировке упаковок (Законодательный вестник, № 25, статья 138);</w:t>
      </w:r>
    </w:p>
    <w:p w:rsidR="00000000" w:rsidRDefault="00000000">
      <w:pPr>
        <w:ind w:left="1134" w:hanging="1134"/>
      </w:pPr>
    </w:p>
    <w:p w:rsidR="00000000" w:rsidRDefault="00000000">
      <w:pPr>
        <w:ind w:left="1134" w:hanging="1134"/>
      </w:pPr>
      <w:r>
        <w:tab/>
        <w:t>-</w:t>
      </w:r>
      <w:r>
        <w:tab/>
        <w:t>Распоряжение министра охраны окружающей среды, природных ресурсов и лесного хозяйства от 16 апреля 1998 года о составлении перечня отходов, для транспортировки которых не требуется разрешения главного экологического инспектора (Законодательный вестник, № 4, статья 299);</w:t>
      </w:r>
    </w:p>
    <w:p w:rsidR="00000000" w:rsidRDefault="00000000">
      <w:pPr>
        <w:ind w:left="1134" w:hanging="1134"/>
      </w:pPr>
    </w:p>
    <w:p w:rsidR="00000000" w:rsidRDefault="00000000">
      <w:pPr>
        <w:ind w:left="1134" w:hanging="1134"/>
      </w:pPr>
      <w:r>
        <w:tab/>
        <w:t>-</w:t>
      </w:r>
      <w:r>
        <w:tab/>
        <w:t>Распоряжение министра охраны окружающей среды, природных ресурсов и лесного хозяйства от 28 апреля 1998 года о допустимых уровнях концентрации загрязнителей в воздухе (Законодательный вестник, № 55, статья 355);</w:t>
      </w:r>
    </w:p>
    <w:p w:rsidR="00000000" w:rsidRDefault="00000000">
      <w:pPr>
        <w:ind w:left="1134" w:hanging="1134"/>
      </w:pPr>
    </w:p>
    <w:p w:rsidR="00000000" w:rsidRDefault="00000000">
      <w:pPr>
        <w:ind w:left="1134" w:hanging="1134"/>
      </w:pPr>
      <w:r>
        <w:tab/>
        <w:t>-</w:t>
      </w:r>
      <w:r>
        <w:tab/>
        <w:t>Распоряжение министра охраны окружающей среды, природных ресурсов и лесного хозяйства от 13 мая 1998 года о допустимых уровнях шума в окружающей среде (Законодательный вестник, № 66, статья 75);</w:t>
      </w:r>
    </w:p>
    <w:p w:rsidR="00000000" w:rsidRDefault="00000000">
      <w:pPr>
        <w:ind w:left="1134" w:hanging="1134"/>
      </w:pPr>
    </w:p>
    <w:p w:rsidR="00000000" w:rsidRDefault="00000000">
      <w:pPr>
        <w:ind w:left="1134" w:hanging="1134"/>
      </w:pPr>
      <w:r>
        <w:tab/>
        <w:t>-</w:t>
      </w:r>
      <w:r>
        <w:tab/>
        <w:t>Распоряжение министра охраны окружающей среды, природных ресурсов и лесного хозяйства от 11 августа 1998 года о принципах защиты от излучения, вредного для людей и окружающей среды, допустимых возможных уровнях радиации в окружающей среде, а также действующих требованиях, касающихся контрольных замеров уровня радиации (Законодательный вестник, № 107, статья 676);</w:t>
      </w:r>
    </w:p>
    <w:p w:rsidR="00000000" w:rsidRDefault="00000000">
      <w:pPr>
        <w:ind w:left="1134" w:hanging="1134"/>
      </w:pPr>
    </w:p>
    <w:p w:rsidR="00000000" w:rsidRDefault="00000000">
      <w:pPr>
        <w:ind w:left="1134" w:hanging="1134"/>
      </w:pPr>
      <w:r>
        <w:br w:type="page"/>
      </w:r>
      <w:r>
        <w:tab/>
        <w:t>-</w:t>
      </w:r>
      <w:r>
        <w:tab/>
        <w:t>Распоряжение министра охраны окружающей среды, природных ресурсов и лесного хозяйства от 8 сентября 1998 года о выбросах загрязнителей в воздух в результате технологических процессов и технических операций (Законодательный вестник, № 121, статья 793);</w:t>
      </w:r>
    </w:p>
    <w:p w:rsidR="00000000" w:rsidRDefault="00000000">
      <w:pPr>
        <w:ind w:left="1134" w:hanging="1134"/>
      </w:pPr>
    </w:p>
    <w:p w:rsidR="00000000" w:rsidRDefault="00000000">
      <w:pPr>
        <w:ind w:left="1134" w:hanging="1134"/>
      </w:pPr>
      <w:r>
        <w:tab/>
        <w:t>-</w:t>
      </w:r>
      <w:r>
        <w:tab/>
        <w:t>Распоряжение министра охраны окружающей среды, природных ресурсов и лесного хозяйства от 12 сентября 1998 года об образцах документов, используемых для регистрации отходов, с указанием информации относительно типа и количества отходов, хранящихся в местах их захоронения, и времени хранения (Законодательный вестник, № 121, статья 794);</w:t>
      </w:r>
    </w:p>
    <w:p w:rsidR="00000000" w:rsidRDefault="00000000">
      <w:pPr>
        <w:ind w:left="1134" w:hanging="1134"/>
      </w:pPr>
    </w:p>
    <w:p w:rsidR="00000000" w:rsidRDefault="00000000">
      <w:pPr>
        <w:ind w:left="1134" w:hanging="1134"/>
      </w:pPr>
      <w:r>
        <w:tab/>
        <w:t>-</w:t>
      </w:r>
      <w:r>
        <w:tab/>
        <w:t>Распоряжение министра охраны окружающей среды, природных ресурсов и лесного хозяйства от 18 сентября 1998 года о подробных принципах определения видов и количеств загрязнителей, выброс которых в воздух разрешен, а также о требованиях, которым должна отвечать документация, необходимая для принятия решения относительно типа и количества загрязнителей, выбрасываемых в воздух (Законодательный вестник, № 124, статья 819);</w:t>
      </w:r>
    </w:p>
    <w:p w:rsidR="00000000" w:rsidRDefault="00000000">
      <w:pPr>
        <w:ind w:left="1134" w:hanging="1134"/>
      </w:pPr>
    </w:p>
    <w:p w:rsidR="00000000" w:rsidRDefault="00000000">
      <w:pPr>
        <w:ind w:left="1134" w:hanging="1134"/>
      </w:pPr>
      <w:r>
        <w:tab/>
        <w:t>-</w:t>
      </w:r>
      <w:r>
        <w:tab/>
        <w:t>Распоряжение министра охраны окружающей среды, природных ресурсов и лесного хозяйства от 18 сентября 1998 года о методах расчета степени загрязнения воздуха из существующих и прогнозируемых будущих источников (Законодательный вестник, № 122, статья 805);</w:t>
      </w:r>
    </w:p>
    <w:p w:rsidR="00000000" w:rsidRDefault="00000000">
      <w:pPr>
        <w:ind w:left="1134" w:hanging="1134"/>
      </w:pPr>
    </w:p>
    <w:p w:rsidR="00000000" w:rsidRDefault="00000000">
      <w:pPr>
        <w:ind w:left="1134" w:hanging="1134"/>
      </w:pPr>
      <w:r>
        <w:tab/>
        <w:t>-</w:t>
      </w:r>
      <w:r>
        <w:tab/>
        <w:t>Распоряжение министра финансов от 7 января 1998 года об определении видов отходов, утилизация которых дает право на освобождение от подоходного налога, и о подробных принципах стоимостной оценки отходов, используемых в процессе производства (Законодательный вестник, 1998 год, № 8, статья 29);</w:t>
      </w:r>
    </w:p>
    <w:p w:rsidR="00000000" w:rsidRDefault="00000000">
      <w:pPr>
        <w:ind w:left="1134" w:hanging="1134"/>
      </w:pPr>
    </w:p>
    <w:p w:rsidR="00000000" w:rsidRDefault="00000000">
      <w:pPr>
        <w:ind w:left="1134" w:hanging="1134"/>
      </w:pPr>
      <w:r>
        <w:tab/>
        <w:t>-</w:t>
      </w:r>
      <w:r>
        <w:tab/>
        <w:t>Распоряжение министра экономики от 2 июля 1998 года об определении отходов, которые должны использоваться в промышленном производстве, и условиях, которые должны соблюдаться при их утилизации (Законодательный вестник, № 90, статья 573);</w:t>
      </w:r>
    </w:p>
    <w:p w:rsidR="00000000" w:rsidRDefault="00000000">
      <w:pPr>
        <w:ind w:left="1134" w:hanging="1134"/>
      </w:pPr>
    </w:p>
    <w:p w:rsidR="00000000" w:rsidRDefault="00000000">
      <w:pPr>
        <w:jc w:val="center"/>
        <w:rPr>
          <w:b/>
          <w:bCs/>
        </w:rPr>
      </w:pPr>
      <w:r>
        <w:tab/>
        <w:t>-</w:t>
      </w:r>
      <w:r>
        <w:tab/>
        <w:t>Распоряжение министра здравоохранения и социального обеспечения от 2 ноября 1998 года о реестре основных медицинских услуг, предоставляемых стоматологами, и основных материалов, используемых при лечении зубов (Законодательный вестник, № 140, статья 911).</w:t>
      </w:r>
      <w:r>
        <w:rPr>
          <w:b/>
          <w:bCs/>
          <w:lang w:val="en-US"/>
        </w:rPr>
        <w:t>VIII</w:t>
      </w:r>
      <w:r>
        <w:rPr>
          <w:b/>
          <w:bCs/>
        </w:rPr>
        <w:t>.</w:t>
      </w:r>
      <w:r>
        <w:rPr>
          <w:b/>
          <w:bCs/>
        </w:rPr>
        <w:tab/>
        <w:t xml:space="preserve">  ОСУЩЕСТВЛЕНИЕ ПРАВ, ЗАКРЕПЛЕННЫХ В СТАТЬЕ 13</w:t>
      </w:r>
    </w:p>
    <w:p w:rsidR="00000000" w:rsidRDefault="00000000">
      <w:pPr>
        <w:jc w:val="center"/>
        <w:rPr>
          <w:b/>
          <w:bCs/>
        </w:rPr>
      </w:pPr>
    </w:p>
    <w:p w:rsidR="00000000" w:rsidRDefault="00000000">
      <w:pPr>
        <w:jc w:val="center"/>
        <w:rPr>
          <w:b/>
          <w:bCs/>
        </w:rPr>
      </w:pPr>
      <w:r>
        <w:rPr>
          <w:b/>
          <w:bCs/>
        </w:rPr>
        <w:t>А.</w:t>
      </w:r>
      <w:r>
        <w:rPr>
          <w:b/>
          <w:bCs/>
        </w:rPr>
        <w:tab/>
        <w:t>Общие гарантии права на образование</w:t>
      </w:r>
    </w:p>
    <w:p w:rsidR="00000000" w:rsidRDefault="00000000">
      <w:pPr>
        <w:jc w:val="center"/>
        <w:rPr>
          <w:b/>
          <w:bCs/>
        </w:rPr>
      </w:pPr>
    </w:p>
    <w:p w:rsidR="00000000" w:rsidRDefault="00000000">
      <w:r>
        <w:t>324.</w:t>
      </w:r>
      <w:r>
        <w:tab/>
        <w:t>Статья 70 Конституции от 2 апреля 1997 года предусматривает, что:  "Каждый имеет право на образование…".  В соответствии с этим положением бесплатное государственное школьное образование доступно всем и на равных условиях.  При этом можно выбирать между государственной и негосударственной школой.  Соответствующие расходы на государственное обучение покрываются за счет государственных средств, получаемых в результате налогообложения.</w:t>
      </w:r>
    </w:p>
    <w:p w:rsidR="00000000" w:rsidRDefault="00000000"/>
    <w:p w:rsidR="00000000" w:rsidRDefault="00000000">
      <w:pPr>
        <w:pStyle w:val="10"/>
        <w:jc w:val="left"/>
        <w:rPr>
          <w:bCs/>
        </w:rPr>
      </w:pPr>
      <w:r>
        <w:rPr>
          <w:bCs/>
          <w:lang w:val="en-US"/>
        </w:rPr>
        <w:tab/>
      </w:r>
      <w:r>
        <w:rPr>
          <w:bCs/>
        </w:rPr>
        <w:t>1.</w:t>
      </w:r>
      <w:r>
        <w:rPr>
          <w:bCs/>
        </w:rPr>
        <w:tab/>
        <w:t>Бесплатное и доступное для всех начальное образование</w:t>
      </w:r>
    </w:p>
    <w:p w:rsidR="00000000" w:rsidRDefault="00000000">
      <w:pPr>
        <w:pStyle w:val="10"/>
        <w:rPr>
          <w:bCs/>
        </w:rPr>
      </w:pPr>
    </w:p>
    <w:p w:rsidR="00000000" w:rsidRDefault="00000000">
      <w:r>
        <w:t>325.</w:t>
      </w:r>
      <w:r>
        <w:tab/>
        <w:t>В 1995-1998 годах система начального образования, не носившего обязательного характера, по-прежнему существовала в детских садах для детей в возрасте от 3 до 6 лет, а обязательное и бесплатное для всех образование начиналось для детей в возрасте от 7 до 15 лет (восемь классов).  Система дошкольного обучения действовала в детских садах или в дошкольных группах начальных школ, а также в специальных и смешанных детских садах.  Сеть начальных школ, кроме тех, о которых говорилось в предыдущем докладе, включала в себя смешанные школы.  В стране существовали также, главным образом в крупных городах, негосударственные начальные школы, которые взимали плату за обучение и в которых обучалось относительно небольшое количество учащихся по сравнению с государственными школами.  С 1 января 1996 года руководство начальными государственными школами было возложено на гмины, за исключением специальных и художественных школ.  Обучение в этих школах финансировалось за счет субсидий на образование, которые гмины получали из бюджета.  В 1996/97 учебном году примерно 99,8% детей, годных для прохождения обязательного образования, были приняты в школу.  Цифры 1997/98 года аналогичны прежним показателям.</w:t>
      </w:r>
    </w:p>
    <w:p w:rsidR="00000000" w:rsidRDefault="00000000"/>
    <w:p w:rsidR="00000000" w:rsidRDefault="00000000">
      <w:pPr>
        <w:pStyle w:val="16"/>
        <w:tabs>
          <w:tab w:val="clear" w:pos="1701"/>
          <w:tab w:val="clear" w:pos="2268"/>
          <w:tab w:val="left" w:pos="1496"/>
          <w:tab w:val="left" w:pos="2057"/>
        </w:tabs>
      </w:pPr>
      <w:r>
        <w:rPr>
          <w:u w:val="single"/>
        </w:rPr>
        <w:t>Таблица 38</w:t>
      </w:r>
      <w:r>
        <w:t>.</w:t>
      </w:r>
      <w:r>
        <w:tab/>
      </w:r>
      <w:r>
        <w:rPr>
          <w:u w:val="single"/>
        </w:rPr>
        <w:t>Дети школьного возраста, не посещающие начальные школы</w:t>
      </w:r>
    </w:p>
    <w:p w:rsidR="00000000" w:rsidRDefault="00000000">
      <w:pPr>
        <w:pStyle w:val="16"/>
      </w:pPr>
      <w:r>
        <w:t>(</w:t>
      </w:r>
      <w:r>
        <w:rPr>
          <w:u w:val="single"/>
        </w:rPr>
        <w:t>1996/97 учебный год</w:t>
      </w:r>
      <w:r>
        <w:t>)</w:t>
      </w:r>
    </w:p>
    <w:p w:rsidR="00000000" w:rsidRDefault="00000000">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50"/>
        <w:gridCol w:w="2611"/>
        <w:gridCol w:w="2609"/>
      </w:tblGrid>
      <w:tr w:rsidR="00000000">
        <w:tblPrEx>
          <w:tblCellMar>
            <w:top w:w="0" w:type="dxa"/>
            <w:bottom w:w="0" w:type="dxa"/>
          </w:tblCellMar>
        </w:tblPrEx>
        <w:tc>
          <w:tcPr>
            <w:tcW w:w="2273" w:type="pct"/>
            <w:tcBorders>
              <w:bottom w:val="single" w:sz="4" w:space="0" w:color="auto"/>
            </w:tcBorders>
          </w:tcPr>
          <w:p w:rsidR="00000000" w:rsidRDefault="00000000">
            <w:pPr>
              <w:pStyle w:val="FootnoteText"/>
              <w:jc w:val="center"/>
              <w:rPr>
                <w:sz w:val="22"/>
              </w:rPr>
            </w:pPr>
            <w:r>
              <w:rPr>
                <w:sz w:val="22"/>
              </w:rPr>
              <w:t>Причина непосещения</w:t>
            </w:r>
          </w:p>
        </w:tc>
        <w:tc>
          <w:tcPr>
            <w:tcW w:w="1364" w:type="pct"/>
            <w:tcBorders>
              <w:bottom w:val="single" w:sz="4" w:space="0" w:color="auto"/>
            </w:tcBorders>
          </w:tcPr>
          <w:p w:rsidR="00000000" w:rsidRDefault="00000000">
            <w:pPr>
              <w:spacing w:line="240" w:lineRule="auto"/>
              <w:jc w:val="center"/>
              <w:rPr>
                <w:sz w:val="22"/>
              </w:rPr>
            </w:pPr>
            <w:r>
              <w:rPr>
                <w:sz w:val="22"/>
              </w:rPr>
              <w:t>Всего детей</w:t>
            </w:r>
          </w:p>
        </w:tc>
        <w:tc>
          <w:tcPr>
            <w:tcW w:w="1364" w:type="pct"/>
            <w:tcBorders>
              <w:bottom w:val="single" w:sz="4" w:space="0" w:color="auto"/>
            </w:tcBorders>
          </w:tcPr>
          <w:p w:rsidR="00000000" w:rsidRDefault="00000000">
            <w:pPr>
              <w:spacing w:line="240" w:lineRule="auto"/>
              <w:jc w:val="center"/>
              <w:rPr>
                <w:sz w:val="22"/>
              </w:rPr>
            </w:pPr>
            <w:r>
              <w:rPr>
                <w:sz w:val="22"/>
              </w:rPr>
              <w:t>Девочки</w:t>
            </w:r>
          </w:p>
        </w:tc>
      </w:tr>
      <w:tr w:rsidR="00000000">
        <w:tblPrEx>
          <w:tblCellMar>
            <w:top w:w="0" w:type="dxa"/>
            <w:bottom w:w="0" w:type="dxa"/>
          </w:tblCellMar>
        </w:tblPrEx>
        <w:tc>
          <w:tcPr>
            <w:tcW w:w="2273" w:type="pct"/>
            <w:tcBorders>
              <w:bottom w:val="nil"/>
            </w:tcBorders>
          </w:tcPr>
          <w:p w:rsidR="00000000" w:rsidRDefault="00000000">
            <w:pPr>
              <w:spacing w:line="240" w:lineRule="auto"/>
              <w:rPr>
                <w:sz w:val="22"/>
              </w:rPr>
            </w:pPr>
            <w:r>
              <w:rPr>
                <w:sz w:val="22"/>
              </w:rPr>
              <w:t>Временное непосещение школы</w:t>
            </w:r>
          </w:p>
        </w:tc>
        <w:tc>
          <w:tcPr>
            <w:tcW w:w="1364" w:type="pct"/>
            <w:tcBorders>
              <w:bottom w:val="nil"/>
            </w:tcBorders>
          </w:tcPr>
          <w:p w:rsidR="00000000" w:rsidRDefault="00000000">
            <w:pPr>
              <w:spacing w:line="240" w:lineRule="auto"/>
              <w:ind w:right="640"/>
              <w:jc w:val="right"/>
              <w:rPr>
                <w:sz w:val="22"/>
              </w:rPr>
            </w:pPr>
            <w:r>
              <w:rPr>
                <w:sz w:val="22"/>
              </w:rPr>
              <w:t>7 338</w:t>
            </w:r>
          </w:p>
        </w:tc>
        <w:tc>
          <w:tcPr>
            <w:tcW w:w="1364" w:type="pct"/>
            <w:tcBorders>
              <w:bottom w:val="nil"/>
            </w:tcBorders>
          </w:tcPr>
          <w:p w:rsidR="00000000" w:rsidRDefault="00000000">
            <w:pPr>
              <w:spacing w:line="240" w:lineRule="auto"/>
              <w:ind w:right="640"/>
              <w:jc w:val="right"/>
              <w:rPr>
                <w:sz w:val="22"/>
              </w:rPr>
            </w:pPr>
            <w:r>
              <w:rPr>
                <w:sz w:val="22"/>
              </w:rPr>
              <w:t>2 658</w:t>
            </w:r>
          </w:p>
        </w:tc>
      </w:tr>
      <w:tr w:rsidR="00000000">
        <w:tblPrEx>
          <w:tblCellMar>
            <w:top w:w="0" w:type="dxa"/>
            <w:bottom w:w="0" w:type="dxa"/>
          </w:tblCellMar>
        </w:tblPrEx>
        <w:tc>
          <w:tcPr>
            <w:tcW w:w="2273" w:type="pct"/>
            <w:tcBorders>
              <w:top w:val="nil"/>
              <w:bottom w:val="nil"/>
            </w:tcBorders>
          </w:tcPr>
          <w:p w:rsidR="00000000" w:rsidRDefault="00000000">
            <w:pPr>
              <w:spacing w:line="240" w:lineRule="auto"/>
              <w:rPr>
                <w:sz w:val="22"/>
              </w:rPr>
            </w:pPr>
            <w:r>
              <w:rPr>
                <w:sz w:val="22"/>
              </w:rPr>
              <w:t>Освобождение от школы</w:t>
            </w:r>
          </w:p>
        </w:tc>
        <w:tc>
          <w:tcPr>
            <w:tcW w:w="1364" w:type="pct"/>
            <w:tcBorders>
              <w:top w:val="nil"/>
              <w:bottom w:val="nil"/>
            </w:tcBorders>
          </w:tcPr>
          <w:p w:rsidR="00000000" w:rsidRDefault="00000000">
            <w:pPr>
              <w:spacing w:line="240" w:lineRule="auto"/>
              <w:ind w:right="640"/>
              <w:jc w:val="right"/>
              <w:rPr>
                <w:sz w:val="22"/>
              </w:rPr>
            </w:pPr>
            <w:r>
              <w:rPr>
                <w:sz w:val="22"/>
              </w:rPr>
              <w:t>1 381</w:t>
            </w:r>
          </w:p>
        </w:tc>
        <w:tc>
          <w:tcPr>
            <w:tcW w:w="1364" w:type="pct"/>
            <w:tcBorders>
              <w:top w:val="nil"/>
              <w:bottom w:val="nil"/>
            </w:tcBorders>
          </w:tcPr>
          <w:p w:rsidR="00000000" w:rsidRDefault="00000000">
            <w:pPr>
              <w:spacing w:line="240" w:lineRule="auto"/>
              <w:ind w:right="640"/>
              <w:jc w:val="right"/>
              <w:rPr>
                <w:sz w:val="22"/>
              </w:rPr>
            </w:pPr>
            <w:r>
              <w:rPr>
                <w:sz w:val="22"/>
              </w:rPr>
              <w:t>576</w:t>
            </w:r>
          </w:p>
        </w:tc>
      </w:tr>
      <w:tr w:rsidR="00000000">
        <w:tblPrEx>
          <w:tblCellMar>
            <w:top w:w="0" w:type="dxa"/>
            <w:bottom w:w="0" w:type="dxa"/>
          </w:tblCellMar>
        </w:tblPrEx>
        <w:tc>
          <w:tcPr>
            <w:tcW w:w="2273" w:type="pct"/>
            <w:tcBorders>
              <w:top w:val="nil"/>
              <w:bottom w:val="nil"/>
            </w:tcBorders>
          </w:tcPr>
          <w:p w:rsidR="00000000" w:rsidRDefault="00000000">
            <w:pPr>
              <w:spacing w:line="240" w:lineRule="auto"/>
              <w:rPr>
                <w:sz w:val="22"/>
              </w:rPr>
            </w:pPr>
            <w:r>
              <w:rPr>
                <w:sz w:val="22"/>
              </w:rPr>
              <w:t>Исключение из школы</w:t>
            </w:r>
          </w:p>
        </w:tc>
        <w:tc>
          <w:tcPr>
            <w:tcW w:w="1364" w:type="pct"/>
            <w:tcBorders>
              <w:top w:val="nil"/>
              <w:bottom w:val="nil"/>
            </w:tcBorders>
          </w:tcPr>
          <w:p w:rsidR="00000000" w:rsidRDefault="00000000">
            <w:pPr>
              <w:spacing w:line="240" w:lineRule="auto"/>
              <w:ind w:right="640"/>
              <w:jc w:val="right"/>
              <w:rPr>
                <w:sz w:val="22"/>
              </w:rPr>
            </w:pPr>
            <w:r>
              <w:rPr>
                <w:sz w:val="22"/>
              </w:rPr>
              <w:t>2 182</w:t>
            </w:r>
          </w:p>
        </w:tc>
        <w:tc>
          <w:tcPr>
            <w:tcW w:w="1364" w:type="pct"/>
            <w:tcBorders>
              <w:top w:val="nil"/>
              <w:bottom w:val="nil"/>
            </w:tcBorders>
          </w:tcPr>
          <w:p w:rsidR="00000000" w:rsidRDefault="00000000">
            <w:pPr>
              <w:spacing w:line="240" w:lineRule="auto"/>
              <w:ind w:right="640"/>
              <w:jc w:val="right"/>
              <w:rPr>
                <w:sz w:val="22"/>
              </w:rPr>
            </w:pPr>
            <w:r>
              <w:rPr>
                <w:sz w:val="22"/>
              </w:rPr>
              <w:t>935</w:t>
            </w:r>
          </w:p>
        </w:tc>
      </w:tr>
      <w:tr w:rsidR="00000000">
        <w:tblPrEx>
          <w:tblCellMar>
            <w:top w:w="0" w:type="dxa"/>
            <w:bottom w:w="0" w:type="dxa"/>
          </w:tblCellMar>
        </w:tblPrEx>
        <w:tc>
          <w:tcPr>
            <w:tcW w:w="2273" w:type="pct"/>
            <w:tcBorders>
              <w:top w:val="nil"/>
            </w:tcBorders>
          </w:tcPr>
          <w:p w:rsidR="00000000" w:rsidRDefault="00000000">
            <w:pPr>
              <w:spacing w:line="240" w:lineRule="auto"/>
              <w:rPr>
                <w:sz w:val="22"/>
              </w:rPr>
            </w:pPr>
            <w:r>
              <w:rPr>
                <w:sz w:val="22"/>
              </w:rPr>
              <w:t>Всего</w:t>
            </w:r>
          </w:p>
        </w:tc>
        <w:tc>
          <w:tcPr>
            <w:tcW w:w="1364" w:type="pct"/>
            <w:tcBorders>
              <w:top w:val="nil"/>
            </w:tcBorders>
          </w:tcPr>
          <w:p w:rsidR="00000000" w:rsidRDefault="00000000">
            <w:pPr>
              <w:spacing w:line="240" w:lineRule="auto"/>
              <w:ind w:right="640"/>
              <w:jc w:val="right"/>
              <w:rPr>
                <w:sz w:val="22"/>
              </w:rPr>
            </w:pPr>
            <w:r>
              <w:rPr>
                <w:sz w:val="22"/>
              </w:rPr>
              <w:t>10 901</w:t>
            </w:r>
          </w:p>
        </w:tc>
        <w:tc>
          <w:tcPr>
            <w:tcW w:w="1364" w:type="pct"/>
            <w:tcBorders>
              <w:top w:val="nil"/>
            </w:tcBorders>
          </w:tcPr>
          <w:p w:rsidR="00000000" w:rsidRDefault="00000000">
            <w:pPr>
              <w:spacing w:line="240" w:lineRule="auto"/>
              <w:ind w:right="640"/>
              <w:jc w:val="right"/>
              <w:rPr>
                <w:sz w:val="22"/>
              </w:rPr>
            </w:pPr>
            <w:r>
              <w:rPr>
                <w:sz w:val="22"/>
              </w:rPr>
              <w:t>4 169</w:t>
            </w:r>
          </w:p>
        </w:tc>
      </w:tr>
    </w:tbl>
    <w:p w:rsidR="00000000" w:rsidRDefault="00000000">
      <w:pPr>
        <w:pStyle w:val="FootnoteText"/>
        <w:spacing w:line="288" w:lineRule="auto"/>
      </w:pPr>
    </w:p>
    <w:p w:rsidR="00000000" w:rsidRDefault="00000000">
      <w:pPr>
        <w:pStyle w:val="FootnoteText"/>
        <w:spacing w:line="288" w:lineRule="auto"/>
      </w:pPr>
      <w:r>
        <w:tab/>
      </w:r>
      <w:r>
        <w:rPr>
          <w:u w:val="single"/>
        </w:rPr>
        <w:t>Источник</w:t>
      </w:r>
      <w:r>
        <w:t>:  данные министерства национального образования.</w:t>
      </w:r>
    </w:p>
    <w:p w:rsidR="00000000" w:rsidRDefault="00000000">
      <w:pPr>
        <w:pStyle w:val="ListBullet"/>
        <w:numPr>
          <w:ilvl w:val="0"/>
          <w:numId w:val="0"/>
        </w:numPr>
      </w:pPr>
    </w:p>
    <w:p w:rsidR="00000000" w:rsidRDefault="00000000">
      <w:pPr>
        <w:pStyle w:val="10"/>
        <w:jc w:val="left"/>
        <w:rPr>
          <w:bCs/>
        </w:rPr>
      </w:pPr>
      <w:r>
        <w:rPr>
          <w:bCs/>
        </w:rPr>
        <w:br w:type="page"/>
      </w:r>
      <w:r>
        <w:rPr>
          <w:bCs/>
        </w:rPr>
        <w:tab/>
        <w:t>2.</w:t>
      </w:r>
      <w:r>
        <w:rPr>
          <w:bCs/>
        </w:rPr>
        <w:tab/>
        <w:t>Бесплатное и доступное для всех посленачальное образование</w:t>
      </w:r>
    </w:p>
    <w:p w:rsidR="00000000" w:rsidRDefault="00000000">
      <w:pPr>
        <w:pStyle w:val="ListBullet"/>
        <w:numPr>
          <w:ilvl w:val="0"/>
          <w:numId w:val="0"/>
        </w:numPr>
      </w:pPr>
    </w:p>
    <w:p w:rsidR="00000000" w:rsidRDefault="00000000">
      <w:r>
        <w:t>326.</w:t>
      </w:r>
      <w:r>
        <w:tab/>
        <w:t>В 1995-1998 годах дальнейшее образование продолжали 96% выпускников начальных школ.  В этот период происходило дальнейшее расширение общего среднего школьного образования;  такие школы посещали около 30% выпускников начальных школ.  Некоторые школы испытывали проблемы в связи с нехваткой преподавателей, особенно преподавателей иностранных языков, а также некоторые финансовые проблемы.  В рассматриваемый период к школьному образованию посленачального уровня доступ имели все учащиеся в государственных школах с бесплатным обучением, т.е. в четырехгодичных общеобразовательных школах или профессионально-технических училищах (общее среднее образование дает учащимся право сдавать вступительные экзамены в высшие учебные заведения), пятилетних технических средних школах (с аналогичными правами), трехлетних базовых профессионально-технических училищах (которые не дают учащимся права поступать в высшие учебные заведения, но позволяют продолжать образование в технических училищах и общеобразовательных школах с укороченным сроком обучения).  В стране, как правило в крупных городах, также существовали негосударственные средние школы с платным обучением.  Количество учащихся этих школ невелико, однако число желающих в них учиться неуклонно увеличивается.</w:t>
      </w:r>
    </w:p>
    <w:p w:rsidR="00000000" w:rsidRDefault="00000000"/>
    <w:p w:rsidR="00000000" w:rsidRDefault="00000000">
      <w:pPr>
        <w:pStyle w:val="10"/>
        <w:jc w:val="left"/>
        <w:rPr>
          <w:bCs/>
        </w:rPr>
      </w:pPr>
      <w:r>
        <w:rPr>
          <w:bCs/>
          <w:lang w:val="en-US"/>
        </w:rPr>
        <w:tab/>
      </w:r>
      <w:r>
        <w:rPr>
          <w:bCs/>
        </w:rPr>
        <w:t>3.</w:t>
      </w:r>
      <w:r>
        <w:rPr>
          <w:bCs/>
        </w:rPr>
        <w:tab/>
        <w:t>Доступность высшего образования</w:t>
      </w:r>
    </w:p>
    <w:p w:rsidR="00000000" w:rsidRDefault="00000000">
      <w:pPr>
        <w:pStyle w:val="10"/>
        <w:rPr>
          <w:bCs/>
        </w:rPr>
      </w:pPr>
    </w:p>
    <w:p w:rsidR="00000000" w:rsidRDefault="00000000">
      <w:r>
        <w:t>327.</w:t>
      </w:r>
      <w:r>
        <w:tab/>
        <w:t>Польская система гражданского высшего образования включает в себя два вида высших учебных заведений:  учебные заведения, действующие на основе Закона о высшем образовании от 12 сентября 1990 года, и высшие профессионально-технические учебные заведения, действующие на основе Закона о высших профессионально-технических учебных заведениях от 26 июня 1997 года.  В конце 1998 года в стране насчитывалось 90 государственных гражданских высших учебных заведений и Люблинский католический университет, действующий на основе Закона о высшем образовании, а также девять высших государственных профессионально-технических учебных заведений.  Кроме государственного сектора высшего образования, существовал и негосударственный сектор.  В конце 1998 года в Польше насчитывалось 137 негосударственных высших учебных заведений, действующих на основе Закона о высшем образовании, и десять негосударственных высших профессионально-технических учебных заведений.  Дневное обучение в государственных ВУЗах было бесплатным.  За обучение в вечернее время и выходные дни взималась плата.  В конце 1998 года в гражданских высших учебных заведениях насчитывалось около 1 260 000 студентов, из которых почти 946 000 посещали государственные учебные заведения и учебные заведения, финансирующиеся за счет государственного бюджета, в то время как 308 000 человек учились в негосударственных университетах (остальная часть обучалась в религиозных учебных заведениях).  Негосударственные университеты, действующие на основании Закона о высшем образовании, давали диплом о получении высшего профессионально-технического образования (с присвоением степени лиценциата или инженера), а также имели курсы для получения степени магистра.  В конце 1998 года в 28 негосударственных университетах существовали курсы, по окончании которых выпускникам присваивалась степень магистра.  Учебные заведения, действующие на основании Закона о высших профессионально-технических учебных заведениях, имели исключительное право готовить технических специалистов и присваивать степень лиценциата или инженера в зависимости от профиля курса и/или профильной специализации.</w:t>
      </w:r>
    </w:p>
    <w:p w:rsidR="00000000" w:rsidRDefault="00000000">
      <w:pPr>
        <w:spacing w:line="240" w:lineRule="auto"/>
      </w:pPr>
    </w:p>
    <w:p w:rsidR="00000000" w:rsidRDefault="00000000">
      <w:pPr>
        <w:pStyle w:val="10"/>
        <w:tabs>
          <w:tab w:val="clear" w:pos="1701"/>
          <w:tab w:val="left" w:pos="1496"/>
        </w:tabs>
        <w:spacing w:line="240" w:lineRule="auto"/>
        <w:rPr>
          <w:b w:val="0"/>
        </w:rPr>
      </w:pPr>
      <w:r>
        <w:rPr>
          <w:b w:val="0"/>
          <w:u w:val="single"/>
        </w:rPr>
        <w:t>Таблица 39</w:t>
      </w:r>
      <w:r>
        <w:rPr>
          <w:b w:val="0"/>
        </w:rPr>
        <w:t>.</w:t>
      </w:r>
      <w:r>
        <w:rPr>
          <w:b w:val="0"/>
        </w:rPr>
        <w:tab/>
      </w:r>
      <w:r>
        <w:rPr>
          <w:b w:val="0"/>
          <w:u w:val="single"/>
        </w:rPr>
        <w:t>Учащиеся различных типов школ в 1997/98 учебном году</w:t>
      </w:r>
    </w:p>
    <w:p w:rsidR="00000000" w:rsidRDefault="00000000">
      <w:pPr>
        <w:pStyle w:val="10"/>
        <w:spacing w:line="120" w:lineRule="auto"/>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16"/>
        <w:gridCol w:w="1122"/>
        <w:gridCol w:w="1133"/>
      </w:tblGrid>
      <w:tr w:rsidR="00000000">
        <w:tblPrEx>
          <w:tblCellMar>
            <w:top w:w="0" w:type="dxa"/>
            <w:bottom w:w="0" w:type="dxa"/>
          </w:tblCellMar>
        </w:tblPrEx>
        <w:trPr>
          <w:cantSplit/>
          <w:tblHeader/>
        </w:trPr>
        <w:tc>
          <w:tcPr>
            <w:tcW w:w="7316" w:type="dxa"/>
            <w:vMerge w:val="restart"/>
            <w:vAlign w:val="center"/>
          </w:tcPr>
          <w:p w:rsidR="00000000" w:rsidRDefault="00000000">
            <w:pPr>
              <w:pStyle w:val="10"/>
              <w:spacing w:line="216" w:lineRule="auto"/>
              <w:rPr>
                <w:b w:val="0"/>
                <w:sz w:val="19"/>
              </w:rPr>
            </w:pPr>
            <w:r>
              <w:rPr>
                <w:b w:val="0"/>
                <w:sz w:val="19"/>
              </w:rPr>
              <w:t>Тип школы (учебного заведения)</w:t>
            </w:r>
          </w:p>
        </w:tc>
        <w:tc>
          <w:tcPr>
            <w:tcW w:w="2255" w:type="dxa"/>
            <w:gridSpan w:val="2"/>
          </w:tcPr>
          <w:p w:rsidR="00000000" w:rsidRDefault="00000000">
            <w:pPr>
              <w:pStyle w:val="10"/>
              <w:spacing w:line="216" w:lineRule="auto"/>
              <w:rPr>
                <w:b w:val="0"/>
                <w:sz w:val="19"/>
              </w:rPr>
            </w:pPr>
            <w:r>
              <w:rPr>
                <w:b w:val="0"/>
                <w:sz w:val="19"/>
              </w:rPr>
              <w:t>Учащиеся</w:t>
            </w:r>
          </w:p>
        </w:tc>
      </w:tr>
      <w:tr w:rsidR="00000000">
        <w:tblPrEx>
          <w:tblCellMar>
            <w:top w:w="0" w:type="dxa"/>
            <w:bottom w:w="0" w:type="dxa"/>
          </w:tblCellMar>
        </w:tblPrEx>
        <w:trPr>
          <w:cantSplit/>
          <w:tblHeader/>
        </w:trPr>
        <w:tc>
          <w:tcPr>
            <w:tcW w:w="7316" w:type="dxa"/>
            <w:vMerge/>
            <w:tcBorders>
              <w:bottom w:val="single" w:sz="4" w:space="0" w:color="auto"/>
            </w:tcBorders>
          </w:tcPr>
          <w:p w:rsidR="00000000" w:rsidRDefault="00000000">
            <w:pPr>
              <w:pStyle w:val="10"/>
              <w:spacing w:line="216" w:lineRule="auto"/>
              <w:rPr>
                <w:b w:val="0"/>
                <w:sz w:val="19"/>
              </w:rPr>
            </w:pPr>
          </w:p>
        </w:tc>
        <w:tc>
          <w:tcPr>
            <w:tcW w:w="1122" w:type="dxa"/>
            <w:tcBorders>
              <w:bottom w:val="single" w:sz="4" w:space="0" w:color="auto"/>
            </w:tcBorders>
          </w:tcPr>
          <w:p w:rsidR="00000000" w:rsidRDefault="00000000">
            <w:pPr>
              <w:pStyle w:val="10"/>
              <w:spacing w:line="216" w:lineRule="auto"/>
              <w:rPr>
                <w:b w:val="0"/>
                <w:sz w:val="19"/>
              </w:rPr>
            </w:pPr>
            <w:r>
              <w:rPr>
                <w:b w:val="0"/>
                <w:sz w:val="19"/>
              </w:rPr>
              <w:t>Всего</w:t>
            </w:r>
          </w:p>
        </w:tc>
        <w:tc>
          <w:tcPr>
            <w:tcW w:w="1133" w:type="dxa"/>
            <w:tcBorders>
              <w:bottom w:val="single" w:sz="4" w:space="0" w:color="auto"/>
            </w:tcBorders>
          </w:tcPr>
          <w:p w:rsidR="00000000" w:rsidRDefault="00000000">
            <w:pPr>
              <w:pStyle w:val="10"/>
              <w:spacing w:line="216" w:lineRule="auto"/>
              <w:rPr>
                <w:b w:val="0"/>
                <w:sz w:val="19"/>
              </w:rPr>
            </w:pPr>
            <w:r>
              <w:rPr>
                <w:b w:val="0"/>
                <w:sz w:val="19"/>
              </w:rPr>
              <w:t>Женщины</w:t>
            </w:r>
          </w:p>
        </w:tc>
      </w:tr>
      <w:tr w:rsidR="00000000">
        <w:tblPrEx>
          <w:tblCellMar>
            <w:top w:w="0" w:type="dxa"/>
            <w:bottom w:w="0" w:type="dxa"/>
          </w:tblCellMar>
        </w:tblPrEx>
        <w:tc>
          <w:tcPr>
            <w:tcW w:w="7316" w:type="dxa"/>
            <w:tcBorders>
              <w:bottom w:val="nil"/>
            </w:tcBorders>
          </w:tcPr>
          <w:p w:rsidR="00000000" w:rsidRDefault="00000000">
            <w:pPr>
              <w:pStyle w:val="10"/>
              <w:spacing w:before="40" w:after="20" w:line="216" w:lineRule="auto"/>
              <w:jc w:val="left"/>
              <w:rPr>
                <w:b w:val="0"/>
                <w:sz w:val="19"/>
              </w:rPr>
            </w:pPr>
            <w:r>
              <w:rPr>
                <w:b w:val="0"/>
                <w:sz w:val="19"/>
              </w:rPr>
              <w:t>Дети в детских садах (в возрасте 3-6 лет)</w:t>
            </w:r>
          </w:p>
        </w:tc>
        <w:tc>
          <w:tcPr>
            <w:tcW w:w="1122" w:type="dxa"/>
            <w:tcBorders>
              <w:bottom w:val="nil"/>
            </w:tcBorders>
          </w:tcPr>
          <w:p w:rsidR="00000000" w:rsidRDefault="00000000">
            <w:pPr>
              <w:pStyle w:val="10"/>
              <w:spacing w:before="40" w:after="20" w:line="216" w:lineRule="auto"/>
              <w:jc w:val="right"/>
              <w:rPr>
                <w:b w:val="0"/>
                <w:sz w:val="19"/>
              </w:rPr>
            </w:pPr>
            <w:r>
              <w:rPr>
                <w:b w:val="0"/>
                <w:sz w:val="19"/>
              </w:rPr>
              <w:t>959 541</w:t>
            </w:r>
          </w:p>
        </w:tc>
        <w:tc>
          <w:tcPr>
            <w:tcW w:w="1133" w:type="dxa"/>
            <w:tcBorders>
              <w:bottom w:val="nil"/>
            </w:tcBorders>
          </w:tcPr>
          <w:p w:rsidR="00000000" w:rsidRDefault="00000000">
            <w:pPr>
              <w:pStyle w:val="10"/>
              <w:spacing w:before="40" w:after="20" w:line="216" w:lineRule="auto"/>
              <w:jc w:val="right"/>
              <w:rPr>
                <w:b w:val="0"/>
                <w:sz w:val="19"/>
              </w:rPr>
            </w:pPr>
            <w:r>
              <w:rPr>
                <w:b w:val="0"/>
                <w:sz w:val="19"/>
              </w:rPr>
              <w:t>477 101</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left" w:pos="187"/>
              </w:tabs>
              <w:spacing w:before="40" w:after="20" w:line="216" w:lineRule="auto"/>
              <w:jc w:val="left"/>
              <w:rPr>
                <w:b w:val="0"/>
                <w:sz w:val="19"/>
              </w:rPr>
            </w:pPr>
            <w:r>
              <w:rPr>
                <w:b w:val="0"/>
                <w:sz w:val="19"/>
              </w:rPr>
              <w:tab/>
              <w:t>из них:  дети-инвалиды</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4 552</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p>
        </w:tc>
      </w:tr>
      <w:tr w:rsidR="00000000">
        <w:tblPrEx>
          <w:tblCellMar>
            <w:top w:w="0" w:type="dxa"/>
            <w:bottom w:w="0" w:type="dxa"/>
          </w:tblCellMar>
        </w:tblPrEx>
        <w:tc>
          <w:tcPr>
            <w:tcW w:w="7316" w:type="dxa"/>
            <w:tcBorders>
              <w:top w:val="nil"/>
              <w:bottom w:val="nil"/>
            </w:tcBorders>
          </w:tcPr>
          <w:p w:rsidR="00000000" w:rsidRDefault="00000000">
            <w:pPr>
              <w:pStyle w:val="10"/>
              <w:tabs>
                <w:tab w:val="left" w:pos="187"/>
              </w:tabs>
              <w:spacing w:before="40" w:after="20" w:line="216" w:lineRule="auto"/>
              <w:jc w:val="left"/>
              <w:rPr>
                <w:b w:val="0"/>
                <w:sz w:val="19"/>
              </w:rPr>
            </w:pPr>
            <w:r>
              <w:rPr>
                <w:b w:val="0"/>
                <w:sz w:val="19"/>
              </w:rPr>
              <w:tab/>
              <w:t>из них:  в смешанных детских садах и группах</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2 197</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p>
        </w:tc>
      </w:tr>
      <w:tr w:rsidR="00000000">
        <w:tblPrEx>
          <w:tblCellMar>
            <w:top w:w="0" w:type="dxa"/>
            <w:bottom w:w="0" w:type="dxa"/>
          </w:tblCellMar>
        </w:tblPrEx>
        <w:tc>
          <w:tcPr>
            <w:tcW w:w="7316" w:type="dxa"/>
            <w:tcBorders>
              <w:top w:val="nil"/>
              <w:bottom w:val="nil"/>
            </w:tcBorders>
          </w:tcPr>
          <w:p w:rsidR="00000000" w:rsidRDefault="00000000">
            <w:pPr>
              <w:pStyle w:val="10"/>
              <w:tabs>
                <w:tab w:val="left" w:pos="187"/>
                <w:tab w:val="left" w:pos="1496"/>
              </w:tabs>
              <w:spacing w:before="40" w:after="20" w:line="216" w:lineRule="auto"/>
              <w:jc w:val="left"/>
              <w:rPr>
                <w:b w:val="0"/>
                <w:sz w:val="19"/>
              </w:rPr>
            </w:pPr>
            <w:r>
              <w:rPr>
                <w:b w:val="0"/>
                <w:sz w:val="19"/>
              </w:rPr>
              <w:t>Дети в начальной школе (в возрасте 7-15 лет),</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4 802 659</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2 335 425</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left" w:pos="187"/>
              </w:tabs>
              <w:spacing w:before="40" w:after="20" w:line="216" w:lineRule="auto"/>
              <w:ind w:left="187" w:hanging="187"/>
              <w:jc w:val="left"/>
              <w:rPr>
                <w:b w:val="0"/>
                <w:sz w:val="19"/>
              </w:rPr>
            </w:pPr>
            <w:r>
              <w:rPr>
                <w:b w:val="0"/>
                <w:sz w:val="19"/>
              </w:rPr>
              <w:tab/>
              <w:t>из них:  дети-инвалиды (в специальных классах/группах, смешанных классах,</w:t>
            </w:r>
          </w:p>
          <w:p w:rsidR="00000000" w:rsidRDefault="00000000">
            <w:pPr>
              <w:pStyle w:val="10"/>
              <w:tabs>
                <w:tab w:val="left" w:pos="0"/>
                <w:tab w:val="left" w:pos="187"/>
              </w:tabs>
              <w:spacing w:before="40" w:after="20" w:line="216" w:lineRule="auto"/>
              <w:jc w:val="left"/>
              <w:rPr>
                <w:b w:val="0"/>
                <w:sz w:val="19"/>
              </w:rPr>
            </w:pPr>
            <w:r>
              <w:rPr>
                <w:b w:val="0"/>
                <w:sz w:val="19"/>
              </w:rPr>
              <w:tab/>
            </w:r>
            <w:r>
              <w:rPr>
                <w:b w:val="0"/>
                <w:sz w:val="19"/>
              </w:rPr>
              <w:tab/>
              <w:t xml:space="preserve">      в общих классах)</w:t>
            </w:r>
          </w:p>
        </w:tc>
        <w:tc>
          <w:tcPr>
            <w:tcW w:w="1122" w:type="dxa"/>
            <w:tcBorders>
              <w:top w:val="nil"/>
              <w:bottom w:val="nil"/>
            </w:tcBorders>
            <w:vAlign w:val="bottom"/>
          </w:tcPr>
          <w:p w:rsidR="00000000" w:rsidRDefault="00000000">
            <w:pPr>
              <w:pStyle w:val="10"/>
              <w:tabs>
                <w:tab w:val="left" w:pos="187"/>
              </w:tabs>
              <w:spacing w:before="40" w:after="20" w:line="216" w:lineRule="auto"/>
              <w:jc w:val="right"/>
              <w:rPr>
                <w:b w:val="0"/>
                <w:sz w:val="19"/>
              </w:rPr>
            </w:pPr>
            <w:r>
              <w:rPr>
                <w:b w:val="0"/>
                <w:sz w:val="19"/>
              </w:rPr>
              <w:t>20 623</w:t>
            </w:r>
          </w:p>
        </w:tc>
        <w:tc>
          <w:tcPr>
            <w:tcW w:w="1133" w:type="dxa"/>
            <w:tcBorders>
              <w:top w:val="nil"/>
              <w:bottom w:val="nil"/>
            </w:tcBorders>
            <w:vAlign w:val="bottom"/>
          </w:tcPr>
          <w:p w:rsidR="00000000" w:rsidRDefault="00000000">
            <w:pPr>
              <w:pStyle w:val="10"/>
              <w:tabs>
                <w:tab w:val="left" w:pos="187"/>
              </w:tabs>
              <w:spacing w:before="40" w:after="20" w:line="216" w:lineRule="auto"/>
              <w:jc w:val="right"/>
              <w:rPr>
                <w:b w:val="0"/>
                <w:sz w:val="19"/>
              </w:rPr>
            </w:pPr>
            <w:r>
              <w:rPr>
                <w:b w:val="0"/>
                <w:sz w:val="19"/>
              </w:rPr>
              <w:t>6 967</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left" w:pos="187"/>
              </w:tabs>
              <w:spacing w:before="40" w:after="20" w:line="216" w:lineRule="auto"/>
              <w:jc w:val="left"/>
              <w:rPr>
                <w:b w:val="0"/>
                <w:sz w:val="19"/>
              </w:rPr>
            </w:pPr>
            <w:r>
              <w:rPr>
                <w:b w:val="0"/>
                <w:sz w:val="19"/>
              </w:rPr>
              <w:t>Учащиеся общеобразовательных средних школ (в возрасте 15</w:t>
            </w:r>
            <w:r>
              <w:rPr>
                <w:b w:val="0"/>
                <w:sz w:val="19"/>
              </w:rPr>
              <w:noBreakHyphen/>
              <w:t>18 лет и старше)</w:t>
            </w:r>
          </w:p>
        </w:tc>
        <w:tc>
          <w:tcPr>
            <w:tcW w:w="1122" w:type="dxa"/>
            <w:tcBorders>
              <w:top w:val="nil"/>
              <w:bottom w:val="nil"/>
            </w:tcBorders>
            <w:vAlign w:val="bottom"/>
          </w:tcPr>
          <w:p w:rsidR="00000000" w:rsidRDefault="00000000">
            <w:pPr>
              <w:pStyle w:val="10"/>
              <w:tabs>
                <w:tab w:val="left" w:pos="187"/>
              </w:tabs>
              <w:spacing w:before="40" w:after="20" w:line="216" w:lineRule="auto"/>
              <w:jc w:val="right"/>
              <w:rPr>
                <w:b w:val="0"/>
                <w:sz w:val="19"/>
              </w:rPr>
            </w:pPr>
            <w:r>
              <w:rPr>
                <w:b w:val="0"/>
                <w:sz w:val="19"/>
              </w:rPr>
              <w:t>756 552</w:t>
            </w:r>
          </w:p>
        </w:tc>
        <w:tc>
          <w:tcPr>
            <w:tcW w:w="1133" w:type="dxa"/>
            <w:tcBorders>
              <w:top w:val="nil"/>
              <w:bottom w:val="nil"/>
            </w:tcBorders>
            <w:vAlign w:val="bottom"/>
          </w:tcPr>
          <w:p w:rsidR="00000000" w:rsidRDefault="00000000">
            <w:pPr>
              <w:pStyle w:val="10"/>
              <w:tabs>
                <w:tab w:val="left" w:pos="187"/>
              </w:tabs>
              <w:spacing w:before="40" w:after="20" w:line="216" w:lineRule="auto"/>
              <w:jc w:val="right"/>
              <w:rPr>
                <w:b w:val="0"/>
                <w:sz w:val="19"/>
              </w:rPr>
            </w:pPr>
            <w:r>
              <w:rPr>
                <w:b w:val="0"/>
                <w:sz w:val="19"/>
              </w:rPr>
              <w:t>498 966</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left" w:pos="187"/>
              </w:tabs>
              <w:spacing w:before="40" w:after="20" w:line="216" w:lineRule="auto"/>
              <w:jc w:val="left"/>
              <w:rPr>
                <w:b w:val="0"/>
                <w:sz w:val="19"/>
              </w:rPr>
            </w:pPr>
            <w:r>
              <w:rPr>
                <w:b w:val="0"/>
                <w:sz w:val="19"/>
              </w:rPr>
              <w:t>Учащиеся профессионально-технических училищ (в возрасте 15</w:t>
            </w:r>
            <w:r>
              <w:rPr>
                <w:b w:val="0"/>
                <w:sz w:val="19"/>
              </w:rPr>
              <w:noBreakHyphen/>
              <w:t>19 лет и старше),</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1 627 946</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718 499</w:t>
            </w:r>
          </w:p>
        </w:tc>
      </w:tr>
      <w:tr w:rsidR="00000000">
        <w:tblPrEx>
          <w:tblCellMar>
            <w:top w:w="0" w:type="dxa"/>
            <w:bottom w:w="0" w:type="dxa"/>
          </w:tblCellMar>
        </w:tblPrEx>
        <w:trPr>
          <w:trHeight w:val="164"/>
        </w:trPr>
        <w:tc>
          <w:tcPr>
            <w:tcW w:w="7316" w:type="dxa"/>
            <w:tcBorders>
              <w:top w:val="nil"/>
              <w:bottom w:val="nil"/>
            </w:tcBorders>
          </w:tcPr>
          <w:p w:rsidR="00000000" w:rsidRDefault="00000000">
            <w:pPr>
              <w:pStyle w:val="10"/>
              <w:tabs>
                <w:tab w:val="clear" w:pos="567"/>
                <w:tab w:val="clear" w:pos="1134"/>
                <w:tab w:val="left" w:pos="187"/>
                <w:tab w:val="left" w:pos="374"/>
                <w:tab w:val="left" w:pos="748"/>
              </w:tabs>
              <w:spacing w:before="40" w:after="20" w:line="216" w:lineRule="auto"/>
              <w:jc w:val="left"/>
              <w:rPr>
                <w:b w:val="0"/>
                <w:sz w:val="19"/>
              </w:rPr>
            </w:pPr>
            <w:r>
              <w:rPr>
                <w:b w:val="0"/>
                <w:sz w:val="19"/>
              </w:rPr>
              <w:tab/>
              <w:t>их них:  - учащиеся базовых профессионально-технических училищ</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633 762</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225 291</w:t>
            </w:r>
          </w:p>
        </w:tc>
      </w:tr>
      <w:tr w:rsidR="00000000">
        <w:tblPrEx>
          <w:tblCellMar>
            <w:top w:w="0" w:type="dxa"/>
            <w:bottom w:w="0" w:type="dxa"/>
          </w:tblCellMar>
        </w:tblPrEx>
        <w:trPr>
          <w:trHeight w:val="195"/>
        </w:trPr>
        <w:tc>
          <w:tcPr>
            <w:tcW w:w="7316" w:type="dxa"/>
            <w:tcBorders>
              <w:top w:val="nil"/>
              <w:bottom w:val="nil"/>
            </w:tcBorders>
          </w:tcPr>
          <w:p w:rsidR="00000000" w:rsidRDefault="00000000">
            <w:pPr>
              <w:pStyle w:val="10"/>
              <w:tabs>
                <w:tab w:val="clear" w:pos="567"/>
                <w:tab w:val="clear" w:pos="1134"/>
                <w:tab w:val="left" w:pos="187"/>
                <w:tab w:val="left" w:pos="935"/>
              </w:tabs>
              <w:spacing w:before="40" w:after="20" w:line="216" w:lineRule="auto"/>
              <w:ind w:left="748" w:hanging="748"/>
              <w:jc w:val="left"/>
              <w:rPr>
                <w:b w:val="0"/>
                <w:sz w:val="19"/>
              </w:rPr>
            </w:pPr>
            <w:r>
              <w:rPr>
                <w:b w:val="0"/>
                <w:sz w:val="19"/>
              </w:rPr>
              <w:tab/>
              <w:t xml:space="preserve">               - учащиеся технических и профессиональных средних школ</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897 447</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421 869</w:t>
            </w:r>
          </w:p>
        </w:tc>
      </w:tr>
      <w:tr w:rsidR="00000000">
        <w:tblPrEx>
          <w:tblCellMar>
            <w:top w:w="0" w:type="dxa"/>
            <w:bottom w:w="0" w:type="dxa"/>
          </w:tblCellMar>
        </w:tblPrEx>
        <w:trPr>
          <w:trHeight w:val="97"/>
        </w:trPr>
        <w:tc>
          <w:tcPr>
            <w:tcW w:w="7316" w:type="dxa"/>
            <w:tcBorders>
              <w:top w:val="nil"/>
              <w:bottom w:val="nil"/>
            </w:tcBorders>
          </w:tcPr>
          <w:p w:rsidR="00000000" w:rsidRDefault="00000000">
            <w:pPr>
              <w:pStyle w:val="10"/>
              <w:tabs>
                <w:tab w:val="clear" w:pos="567"/>
                <w:tab w:val="clear" w:pos="1134"/>
                <w:tab w:val="left" w:pos="187"/>
                <w:tab w:val="left" w:pos="935"/>
              </w:tabs>
              <w:spacing w:before="40" w:after="20" w:line="216" w:lineRule="auto"/>
              <w:ind w:left="935" w:hanging="935"/>
              <w:jc w:val="left"/>
              <w:rPr>
                <w:b w:val="0"/>
                <w:sz w:val="19"/>
              </w:rPr>
            </w:pPr>
            <w:r>
              <w:rPr>
                <w:b w:val="0"/>
                <w:sz w:val="19"/>
              </w:rPr>
              <w:tab/>
              <w:t xml:space="preserve">               - учащиеся учебных заведений послесреднего уровня</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96 737</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71 319</w:t>
            </w:r>
          </w:p>
        </w:tc>
      </w:tr>
      <w:tr w:rsidR="00000000">
        <w:tblPrEx>
          <w:tblCellMar>
            <w:top w:w="0" w:type="dxa"/>
            <w:bottom w:w="0" w:type="dxa"/>
          </w:tblCellMar>
        </w:tblPrEx>
        <w:trPr>
          <w:trHeight w:val="480"/>
        </w:trPr>
        <w:tc>
          <w:tcPr>
            <w:tcW w:w="7316" w:type="dxa"/>
            <w:tcBorders>
              <w:top w:val="nil"/>
              <w:bottom w:val="nil"/>
            </w:tcBorders>
          </w:tcPr>
          <w:p w:rsidR="00000000" w:rsidRDefault="00000000">
            <w:pPr>
              <w:pStyle w:val="10"/>
              <w:tabs>
                <w:tab w:val="left" w:pos="187"/>
                <w:tab w:val="left" w:pos="1309"/>
              </w:tabs>
              <w:spacing w:before="40" w:after="20" w:line="216" w:lineRule="auto"/>
              <w:jc w:val="left"/>
              <w:rPr>
                <w:b w:val="0"/>
                <w:sz w:val="19"/>
              </w:rPr>
            </w:pPr>
            <w:r>
              <w:rPr>
                <w:b w:val="0"/>
                <w:sz w:val="19"/>
              </w:rPr>
              <w:t>Учащиеся специальных общеобразовательных и профессионально-технических учебных заведений</w:t>
            </w:r>
          </w:p>
        </w:tc>
        <w:tc>
          <w:tcPr>
            <w:tcW w:w="1122" w:type="dxa"/>
            <w:tcBorders>
              <w:top w:val="nil"/>
              <w:bottom w:val="nil"/>
            </w:tcBorders>
            <w:vAlign w:val="bottom"/>
          </w:tcPr>
          <w:p w:rsidR="00000000" w:rsidRDefault="00000000">
            <w:pPr>
              <w:pStyle w:val="10"/>
              <w:tabs>
                <w:tab w:val="left" w:pos="187"/>
              </w:tabs>
              <w:spacing w:before="40" w:after="20" w:line="216" w:lineRule="auto"/>
              <w:jc w:val="right"/>
              <w:rPr>
                <w:b w:val="0"/>
                <w:sz w:val="19"/>
              </w:rPr>
            </w:pPr>
            <w:r>
              <w:rPr>
                <w:b w:val="0"/>
                <w:sz w:val="19"/>
              </w:rPr>
              <w:t>122 039</w:t>
            </w:r>
          </w:p>
        </w:tc>
        <w:tc>
          <w:tcPr>
            <w:tcW w:w="1133" w:type="dxa"/>
            <w:tcBorders>
              <w:top w:val="nil"/>
              <w:bottom w:val="nil"/>
            </w:tcBorders>
            <w:vAlign w:val="bottom"/>
          </w:tcPr>
          <w:p w:rsidR="00000000" w:rsidRDefault="00000000">
            <w:pPr>
              <w:pStyle w:val="10"/>
              <w:tabs>
                <w:tab w:val="left" w:pos="187"/>
              </w:tabs>
              <w:spacing w:before="40" w:after="20" w:line="216" w:lineRule="auto"/>
              <w:jc w:val="right"/>
              <w:rPr>
                <w:b w:val="0"/>
                <w:sz w:val="19"/>
              </w:rPr>
            </w:pPr>
            <w:r>
              <w:rPr>
                <w:b w:val="0"/>
                <w:sz w:val="19"/>
              </w:rPr>
              <w:t>48 953</w:t>
            </w:r>
          </w:p>
        </w:tc>
      </w:tr>
      <w:tr w:rsidR="00000000">
        <w:tblPrEx>
          <w:tblCellMar>
            <w:top w:w="0" w:type="dxa"/>
            <w:bottom w:w="0" w:type="dxa"/>
          </w:tblCellMar>
        </w:tblPrEx>
        <w:trPr>
          <w:trHeight w:val="274"/>
        </w:trPr>
        <w:tc>
          <w:tcPr>
            <w:tcW w:w="7316" w:type="dxa"/>
            <w:tcBorders>
              <w:top w:val="nil"/>
              <w:bottom w:val="nil"/>
            </w:tcBorders>
          </w:tcPr>
          <w:p w:rsidR="00000000" w:rsidRDefault="00000000">
            <w:pPr>
              <w:pStyle w:val="10"/>
              <w:tabs>
                <w:tab w:val="clear" w:pos="1134"/>
                <w:tab w:val="left" w:pos="187"/>
                <w:tab w:val="left" w:pos="748"/>
                <w:tab w:val="left" w:pos="1309"/>
              </w:tabs>
              <w:spacing w:before="40" w:after="20" w:line="216" w:lineRule="auto"/>
              <w:jc w:val="left"/>
              <w:rPr>
                <w:b w:val="0"/>
                <w:sz w:val="19"/>
              </w:rPr>
            </w:pPr>
            <w:r>
              <w:rPr>
                <w:b w:val="0"/>
                <w:sz w:val="19"/>
              </w:rPr>
              <w:tab/>
              <w:t>из них:  - в начальных школах</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8 353</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30 905</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clear" w:pos="567"/>
                <w:tab w:val="clear" w:pos="1134"/>
                <w:tab w:val="left" w:pos="0"/>
                <w:tab w:val="left" w:pos="187"/>
                <w:tab w:val="left" w:pos="1309"/>
              </w:tabs>
              <w:spacing w:before="40" w:after="20" w:line="216" w:lineRule="auto"/>
              <w:jc w:val="left"/>
              <w:rPr>
                <w:b w:val="0"/>
                <w:sz w:val="19"/>
              </w:rPr>
            </w:pPr>
            <w:r>
              <w:rPr>
                <w:b w:val="0"/>
                <w:sz w:val="19"/>
              </w:rPr>
              <w:tab/>
              <w:t xml:space="preserve">              - в общеобразовательных средних школах</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1 149</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659</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clear" w:pos="1134"/>
                <w:tab w:val="left" w:pos="187"/>
                <w:tab w:val="left" w:pos="748"/>
                <w:tab w:val="left" w:pos="1309"/>
              </w:tabs>
              <w:spacing w:before="40" w:after="20" w:line="216" w:lineRule="auto"/>
              <w:jc w:val="left"/>
              <w:rPr>
                <w:b w:val="0"/>
                <w:sz w:val="19"/>
              </w:rPr>
            </w:pPr>
            <w:r>
              <w:rPr>
                <w:b w:val="0"/>
                <w:sz w:val="19"/>
              </w:rPr>
              <w:tab/>
              <w:t xml:space="preserve">              - в профессионально-технических училищах</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29 415</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12 520</w:t>
            </w:r>
          </w:p>
        </w:tc>
      </w:tr>
      <w:tr w:rsidR="00000000">
        <w:tblPrEx>
          <w:tblCellMar>
            <w:top w:w="0" w:type="dxa"/>
            <w:bottom w:w="0" w:type="dxa"/>
          </w:tblCellMar>
        </w:tblPrEx>
        <w:trPr>
          <w:trHeight w:val="325"/>
        </w:trPr>
        <w:tc>
          <w:tcPr>
            <w:tcW w:w="7316" w:type="dxa"/>
            <w:tcBorders>
              <w:top w:val="nil"/>
              <w:bottom w:val="nil"/>
            </w:tcBorders>
          </w:tcPr>
          <w:p w:rsidR="00000000" w:rsidRDefault="00000000">
            <w:pPr>
              <w:pStyle w:val="10"/>
              <w:tabs>
                <w:tab w:val="clear" w:pos="1134"/>
                <w:tab w:val="left" w:pos="187"/>
                <w:tab w:val="left" w:pos="748"/>
                <w:tab w:val="left" w:pos="935"/>
              </w:tabs>
              <w:spacing w:before="40" w:after="20" w:line="216" w:lineRule="auto"/>
              <w:ind w:left="748" w:hanging="748"/>
              <w:jc w:val="left"/>
              <w:rPr>
                <w:b w:val="0"/>
                <w:sz w:val="19"/>
              </w:rPr>
            </w:pPr>
            <w:r>
              <w:rPr>
                <w:b w:val="0"/>
                <w:sz w:val="19"/>
              </w:rPr>
              <w:tab/>
              <w:t xml:space="preserve">              - на специальных курсах в профессионально-технических училищах</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1 148</w:t>
            </w:r>
          </w:p>
        </w:tc>
        <w:tc>
          <w:tcPr>
            <w:tcW w:w="1133" w:type="dxa"/>
            <w:tcBorders>
              <w:top w:val="nil"/>
              <w:bottom w:val="nil"/>
            </w:tcBorders>
          </w:tcPr>
          <w:p w:rsidR="00000000" w:rsidRDefault="00000000">
            <w:pPr>
              <w:pStyle w:val="10"/>
              <w:tabs>
                <w:tab w:val="left" w:pos="187"/>
              </w:tabs>
              <w:spacing w:before="40" w:after="20" w:line="168" w:lineRule="auto"/>
              <w:rPr>
                <w:b w:val="0"/>
                <w:sz w:val="16"/>
              </w:rPr>
            </w:pPr>
            <w:r>
              <w:rPr>
                <w:b w:val="0"/>
                <w:sz w:val="16"/>
              </w:rPr>
              <w:t>данные отсутствуют</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clear" w:pos="1134"/>
                <w:tab w:val="left" w:pos="187"/>
                <w:tab w:val="left" w:pos="748"/>
                <w:tab w:val="left" w:pos="1309"/>
              </w:tabs>
              <w:spacing w:before="40" w:after="20" w:line="216" w:lineRule="auto"/>
              <w:jc w:val="left"/>
              <w:rPr>
                <w:b w:val="0"/>
                <w:sz w:val="19"/>
              </w:rPr>
            </w:pPr>
            <w:r>
              <w:rPr>
                <w:b w:val="0"/>
                <w:sz w:val="19"/>
              </w:rPr>
              <w:tab/>
              <w:t xml:space="preserve">              - в школах профессиональной подготовки</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1 001</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383</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clear" w:pos="1134"/>
                <w:tab w:val="left" w:pos="187"/>
                <w:tab w:val="left" w:pos="748"/>
                <w:tab w:val="left" w:pos="1309"/>
              </w:tabs>
              <w:spacing w:before="40" w:after="20" w:line="216" w:lineRule="auto"/>
              <w:jc w:val="left"/>
              <w:rPr>
                <w:b w:val="0"/>
                <w:sz w:val="19"/>
              </w:rPr>
            </w:pPr>
            <w:r>
              <w:rPr>
                <w:b w:val="0"/>
                <w:sz w:val="19"/>
              </w:rPr>
              <w:tab/>
              <w:t xml:space="preserve">              - в системе индивидуального образования</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8 973</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4 486</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left" w:pos="187"/>
                <w:tab w:val="left" w:pos="1309"/>
              </w:tabs>
              <w:spacing w:before="40" w:after="20" w:line="216" w:lineRule="auto"/>
              <w:jc w:val="left"/>
              <w:rPr>
                <w:b w:val="0"/>
                <w:sz w:val="19"/>
              </w:rPr>
            </w:pPr>
            <w:r>
              <w:rPr>
                <w:b w:val="0"/>
                <w:sz w:val="19"/>
              </w:rPr>
              <w:t>Учащиеся художественных школ первого уровня (с образованием на уровне начальной школы или исключительно по художественной программе)</w:t>
            </w:r>
          </w:p>
        </w:tc>
        <w:tc>
          <w:tcPr>
            <w:tcW w:w="1122" w:type="dxa"/>
            <w:tcBorders>
              <w:top w:val="nil"/>
              <w:bottom w:val="nil"/>
            </w:tcBorders>
            <w:vAlign w:val="bottom"/>
          </w:tcPr>
          <w:p w:rsidR="00000000" w:rsidRDefault="00000000">
            <w:pPr>
              <w:pStyle w:val="10"/>
              <w:tabs>
                <w:tab w:val="left" w:pos="187"/>
              </w:tabs>
              <w:spacing w:before="40" w:after="20" w:line="216" w:lineRule="auto"/>
              <w:jc w:val="right"/>
              <w:rPr>
                <w:b w:val="0"/>
                <w:sz w:val="19"/>
              </w:rPr>
            </w:pPr>
            <w:r>
              <w:rPr>
                <w:b w:val="0"/>
                <w:sz w:val="19"/>
              </w:rPr>
              <w:t>48 584</w:t>
            </w:r>
          </w:p>
        </w:tc>
        <w:tc>
          <w:tcPr>
            <w:tcW w:w="1133" w:type="dxa"/>
            <w:tcBorders>
              <w:top w:val="nil"/>
              <w:bottom w:val="nil"/>
            </w:tcBorders>
            <w:vAlign w:val="bottom"/>
          </w:tcPr>
          <w:p w:rsidR="00000000" w:rsidRDefault="00000000">
            <w:pPr>
              <w:pStyle w:val="10"/>
              <w:tabs>
                <w:tab w:val="left" w:pos="187"/>
              </w:tabs>
              <w:spacing w:before="40" w:after="20" w:line="216" w:lineRule="auto"/>
              <w:jc w:val="right"/>
              <w:rPr>
                <w:b w:val="0"/>
                <w:sz w:val="19"/>
              </w:rPr>
            </w:pPr>
            <w:r>
              <w:rPr>
                <w:b w:val="0"/>
                <w:sz w:val="19"/>
              </w:rPr>
              <w:t>30 129</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left" w:pos="187"/>
              </w:tabs>
              <w:spacing w:before="40" w:after="20" w:line="216" w:lineRule="auto"/>
              <w:jc w:val="left"/>
              <w:rPr>
                <w:b w:val="0"/>
                <w:sz w:val="19"/>
              </w:rPr>
            </w:pPr>
            <w:r>
              <w:rPr>
                <w:b w:val="0"/>
                <w:sz w:val="19"/>
              </w:rPr>
              <w:t>Учащиеся школ профессиональной подготовки</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4 397</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720</w:t>
            </w:r>
          </w:p>
        </w:tc>
      </w:tr>
      <w:tr w:rsidR="00000000">
        <w:tblPrEx>
          <w:tblCellMar>
            <w:top w:w="0" w:type="dxa"/>
            <w:bottom w:w="0" w:type="dxa"/>
          </w:tblCellMar>
        </w:tblPrEx>
        <w:trPr>
          <w:trHeight w:val="156"/>
        </w:trPr>
        <w:tc>
          <w:tcPr>
            <w:tcW w:w="7316" w:type="dxa"/>
            <w:tcBorders>
              <w:top w:val="nil"/>
              <w:bottom w:val="nil"/>
            </w:tcBorders>
          </w:tcPr>
          <w:p w:rsidR="00000000" w:rsidRDefault="00000000">
            <w:pPr>
              <w:pStyle w:val="10"/>
              <w:tabs>
                <w:tab w:val="left" w:pos="187"/>
                <w:tab w:val="left" w:pos="1309"/>
              </w:tabs>
              <w:spacing w:before="40" w:after="20" w:line="216" w:lineRule="auto"/>
              <w:jc w:val="left"/>
              <w:rPr>
                <w:b w:val="0"/>
                <w:sz w:val="19"/>
              </w:rPr>
            </w:pPr>
            <w:r>
              <w:rPr>
                <w:b w:val="0"/>
                <w:sz w:val="19"/>
              </w:rPr>
              <w:t>Образование взрослых,</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389 434</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171 539</w:t>
            </w:r>
          </w:p>
        </w:tc>
      </w:tr>
      <w:tr w:rsidR="00000000">
        <w:tblPrEx>
          <w:tblCellMar>
            <w:top w:w="0" w:type="dxa"/>
            <w:bottom w:w="0" w:type="dxa"/>
          </w:tblCellMar>
        </w:tblPrEx>
        <w:trPr>
          <w:trHeight w:val="189"/>
        </w:trPr>
        <w:tc>
          <w:tcPr>
            <w:tcW w:w="7316" w:type="dxa"/>
            <w:tcBorders>
              <w:top w:val="nil"/>
              <w:bottom w:val="nil"/>
            </w:tcBorders>
          </w:tcPr>
          <w:p w:rsidR="00000000" w:rsidRDefault="00000000">
            <w:pPr>
              <w:pStyle w:val="10"/>
              <w:tabs>
                <w:tab w:val="clear" w:pos="1134"/>
                <w:tab w:val="left" w:pos="187"/>
                <w:tab w:val="left" w:pos="748"/>
                <w:tab w:val="left" w:pos="1309"/>
              </w:tabs>
              <w:spacing w:before="40" w:after="20" w:line="216" w:lineRule="auto"/>
              <w:jc w:val="left"/>
              <w:rPr>
                <w:b w:val="0"/>
                <w:sz w:val="19"/>
              </w:rPr>
            </w:pPr>
            <w:r>
              <w:rPr>
                <w:b w:val="0"/>
                <w:sz w:val="19"/>
              </w:rPr>
              <w:tab/>
              <w:t>из них:  - в системе начального образования</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8 923</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1 563</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clear" w:pos="1134"/>
                <w:tab w:val="left" w:pos="187"/>
                <w:tab w:val="left" w:pos="748"/>
                <w:tab w:val="left" w:pos="1309"/>
              </w:tabs>
              <w:spacing w:before="40" w:after="20" w:line="216" w:lineRule="auto"/>
              <w:jc w:val="left"/>
              <w:rPr>
                <w:b w:val="0"/>
                <w:sz w:val="19"/>
              </w:rPr>
            </w:pPr>
            <w:r>
              <w:rPr>
                <w:b w:val="0"/>
                <w:sz w:val="19"/>
              </w:rPr>
              <w:tab/>
              <w:t xml:space="preserve">              - в системе общего среднего образования</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85 027</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44 287</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clear" w:pos="1134"/>
                <w:tab w:val="left" w:pos="187"/>
                <w:tab w:val="left" w:pos="748"/>
                <w:tab w:val="left" w:pos="1309"/>
              </w:tabs>
              <w:spacing w:before="40" w:after="20" w:line="216" w:lineRule="auto"/>
              <w:jc w:val="left"/>
              <w:rPr>
                <w:b w:val="0"/>
                <w:sz w:val="19"/>
              </w:rPr>
            </w:pPr>
            <w:r>
              <w:rPr>
                <w:b w:val="0"/>
                <w:sz w:val="19"/>
              </w:rPr>
              <w:t xml:space="preserve"> </w:t>
            </w:r>
            <w:r>
              <w:rPr>
                <w:b w:val="0"/>
                <w:sz w:val="19"/>
              </w:rPr>
              <w:tab/>
              <w:t xml:space="preserve">              - в системе профессионального образования,</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295 484</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125 689</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clear" w:pos="1134"/>
                <w:tab w:val="left" w:pos="187"/>
                <w:tab w:val="left" w:pos="748"/>
                <w:tab w:val="left" w:pos="1122"/>
                <w:tab w:val="left" w:pos="2618"/>
              </w:tabs>
              <w:spacing w:before="40" w:after="20" w:line="216" w:lineRule="auto"/>
              <w:jc w:val="left"/>
              <w:rPr>
                <w:b w:val="0"/>
                <w:sz w:val="19"/>
              </w:rPr>
            </w:pPr>
            <w:r>
              <w:rPr>
                <w:b w:val="0"/>
                <w:sz w:val="19"/>
              </w:rPr>
              <w:tab/>
              <w:t xml:space="preserve"> </w:t>
            </w:r>
            <w:r>
              <w:rPr>
                <w:b w:val="0"/>
                <w:sz w:val="19"/>
              </w:rPr>
              <w:tab/>
            </w:r>
            <w:r>
              <w:rPr>
                <w:b w:val="0"/>
                <w:sz w:val="19"/>
              </w:rPr>
              <w:tab/>
            </w:r>
            <w:r>
              <w:rPr>
                <w:b w:val="0"/>
                <w:sz w:val="19"/>
              </w:rPr>
              <w:tab/>
              <w:t>в том числе:   -  базовое профессионально-техническое</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11 362</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2 298</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left" w:pos="187"/>
                <w:tab w:val="left" w:pos="1309"/>
                <w:tab w:val="left" w:pos="2618"/>
                <w:tab w:val="left" w:pos="2805"/>
              </w:tabs>
              <w:spacing w:before="40" w:after="20" w:line="216" w:lineRule="auto"/>
              <w:ind w:left="2618" w:hanging="2618"/>
              <w:jc w:val="left"/>
              <w:rPr>
                <w:b w:val="0"/>
                <w:sz w:val="19"/>
              </w:rPr>
            </w:pPr>
            <w:r>
              <w:rPr>
                <w:b w:val="0"/>
                <w:sz w:val="19"/>
              </w:rPr>
              <w:t xml:space="preserve">                                               -  техническое и среднее профессиональное</w:t>
            </w:r>
          </w:p>
        </w:tc>
        <w:tc>
          <w:tcPr>
            <w:tcW w:w="1122" w:type="dxa"/>
            <w:tcBorders>
              <w:top w:val="nil"/>
              <w:bottom w:val="nil"/>
            </w:tcBorders>
            <w:vAlign w:val="bottom"/>
          </w:tcPr>
          <w:p w:rsidR="00000000" w:rsidRDefault="00000000">
            <w:pPr>
              <w:pStyle w:val="10"/>
              <w:tabs>
                <w:tab w:val="left" w:pos="187"/>
              </w:tabs>
              <w:spacing w:before="40" w:after="20" w:line="216" w:lineRule="auto"/>
              <w:jc w:val="right"/>
              <w:rPr>
                <w:b w:val="0"/>
                <w:sz w:val="19"/>
              </w:rPr>
            </w:pPr>
            <w:r>
              <w:rPr>
                <w:b w:val="0"/>
                <w:sz w:val="19"/>
              </w:rPr>
              <w:t>190 778</w:t>
            </w:r>
          </w:p>
        </w:tc>
        <w:tc>
          <w:tcPr>
            <w:tcW w:w="1133" w:type="dxa"/>
            <w:tcBorders>
              <w:top w:val="nil"/>
              <w:bottom w:val="nil"/>
            </w:tcBorders>
            <w:vAlign w:val="bottom"/>
          </w:tcPr>
          <w:p w:rsidR="00000000" w:rsidRDefault="00000000">
            <w:pPr>
              <w:pStyle w:val="10"/>
              <w:tabs>
                <w:tab w:val="left" w:pos="187"/>
              </w:tabs>
              <w:spacing w:before="40" w:after="20" w:line="216" w:lineRule="auto"/>
              <w:jc w:val="right"/>
              <w:rPr>
                <w:b w:val="0"/>
                <w:sz w:val="19"/>
              </w:rPr>
            </w:pPr>
            <w:r>
              <w:rPr>
                <w:b w:val="0"/>
                <w:sz w:val="19"/>
              </w:rPr>
              <w:t>66 132</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left" w:pos="187"/>
                <w:tab w:val="left" w:pos="1309"/>
                <w:tab w:val="left" w:pos="2618"/>
                <w:tab w:val="left" w:pos="2805"/>
              </w:tabs>
              <w:spacing w:before="40" w:after="20" w:line="216" w:lineRule="auto"/>
              <w:ind w:left="2618" w:hanging="2618"/>
              <w:jc w:val="left"/>
              <w:rPr>
                <w:b w:val="0"/>
                <w:sz w:val="19"/>
              </w:rPr>
            </w:pPr>
            <w:r>
              <w:rPr>
                <w:b w:val="0"/>
                <w:sz w:val="19"/>
              </w:rPr>
              <w:t xml:space="preserve">                                               -  образование послесреднего уровня обучения</w:t>
            </w:r>
          </w:p>
        </w:tc>
        <w:tc>
          <w:tcPr>
            <w:tcW w:w="1122" w:type="dxa"/>
            <w:tcBorders>
              <w:top w:val="nil"/>
              <w:bottom w:val="nil"/>
            </w:tcBorders>
            <w:vAlign w:val="bottom"/>
          </w:tcPr>
          <w:p w:rsidR="00000000" w:rsidRDefault="00000000">
            <w:pPr>
              <w:pStyle w:val="10"/>
              <w:tabs>
                <w:tab w:val="left" w:pos="187"/>
              </w:tabs>
              <w:spacing w:before="40" w:after="20" w:line="216" w:lineRule="auto"/>
              <w:jc w:val="right"/>
              <w:rPr>
                <w:b w:val="0"/>
                <w:sz w:val="19"/>
              </w:rPr>
            </w:pPr>
            <w:r>
              <w:rPr>
                <w:b w:val="0"/>
                <w:sz w:val="19"/>
              </w:rPr>
              <w:t>93 344</w:t>
            </w:r>
          </w:p>
        </w:tc>
        <w:tc>
          <w:tcPr>
            <w:tcW w:w="1133" w:type="dxa"/>
            <w:tcBorders>
              <w:top w:val="nil"/>
              <w:bottom w:val="nil"/>
            </w:tcBorders>
            <w:vAlign w:val="bottom"/>
          </w:tcPr>
          <w:p w:rsidR="00000000" w:rsidRDefault="00000000">
            <w:pPr>
              <w:pStyle w:val="10"/>
              <w:tabs>
                <w:tab w:val="left" w:pos="187"/>
              </w:tabs>
              <w:spacing w:before="40" w:after="20" w:line="216" w:lineRule="auto"/>
              <w:jc w:val="right"/>
              <w:rPr>
                <w:b w:val="0"/>
                <w:sz w:val="19"/>
              </w:rPr>
            </w:pPr>
            <w:r>
              <w:rPr>
                <w:b w:val="0"/>
                <w:sz w:val="19"/>
              </w:rPr>
              <w:t>57 259</w:t>
            </w:r>
          </w:p>
        </w:tc>
      </w:tr>
      <w:tr w:rsidR="00000000">
        <w:tblPrEx>
          <w:tblCellMar>
            <w:top w:w="0" w:type="dxa"/>
            <w:bottom w:w="0" w:type="dxa"/>
          </w:tblCellMar>
        </w:tblPrEx>
        <w:tc>
          <w:tcPr>
            <w:tcW w:w="7316" w:type="dxa"/>
            <w:tcBorders>
              <w:top w:val="nil"/>
              <w:bottom w:val="nil"/>
            </w:tcBorders>
          </w:tcPr>
          <w:p w:rsidR="00000000" w:rsidRDefault="00000000">
            <w:pPr>
              <w:pStyle w:val="10"/>
              <w:tabs>
                <w:tab w:val="left" w:pos="187"/>
              </w:tabs>
              <w:spacing w:before="40" w:after="20" w:line="216" w:lineRule="auto"/>
              <w:jc w:val="left"/>
              <w:rPr>
                <w:b w:val="0"/>
                <w:sz w:val="19"/>
              </w:rPr>
            </w:pPr>
            <w:r>
              <w:rPr>
                <w:b w:val="0"/>
                <w:sz w:val="19"/>
              </w:rPr>
              <w:t>Учащиеся дневных отделений</w:t>
            </w:r>
          </w:p>
        </w:tc>
        <w:tc>
          <w:tcPr>
            <w:tcW w:w="1122"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534 721</w:t>
            </w:r>
          </w:p>
        </w:tc>
        <w:tc>
          <w:tcPr>
            <w:tcW w:w="1133" w:type="dxa"/>
            <w:tcBorders>
              <w:top w:val="nil"/>
              <w:bottom w:val="nil"/>
            </w:tcBorders>
          </w:tcPr>
          <w:p w:rsidR="00000000" w:rsidRDefault="00000000">
            <w:pPr>
              <w:pStyle w:val="10"/>
              <w:tabs>
                <w:tab w:val="left" w:pos="187"/>
              </w:tabs>
              <w:spacing w:before="40" w:after="20" w:line="216" w:lineRule="auto"/>
              <w:jc w:val="right"/>
              <w:rPr>
                <w:b w:val="0"/>
                <w:sz w:val="19"/>
              </w:rPr>
            </w:pPr>
            <w:r>
              <w:rPr>
                <w:b w:val="0"/>
                <w:sz w:val="19"/>
              </w:rPr>
              <w:t>280 258</w:t>
            </w:r>
          </w:p>
        </w:tc>
      </w:tr>
      <w:tr w:rsidR="00000000">
        <w:tblPrEx>
          <w:tblCellMar>
            <w:top w:w="0" w:type="dxa"/>
            <w:bottom w:w="0" w:type="dxa"/>
          </w:tblCellMar>
        </w:tblPrEx>
        <w:tc>
          <w:tcPr>
            <w:tcW w:w="7316" w:type="dxa"/>
            <w:tcBorders>
              <w:top w:val="nil"/>
            </w:tcBorders>
          </w:tcPr>
          <w:p w:rsidR="00000000" w:rsidRDefault="00000000">
            <w:pPr>
              <w:pStyle w:val="10"/>
              <w:tabs>
                <w:tab w:val="left" w:pos="187"/>
              </w:tabs>
              <w:spacing w:before="40" w:after="20" w:line="216" w:lineRule="auto"/>
              <w:jc w:val="left"/>
              <w:rPr>
                <w:b w:val="0"/>
                <w:sz w:val="19"/>
              </w:rPr>
            </w:pPr>
            <w:r>
              <w:rPr>
                <w:b w:val="0"/>
                <w:sz w:val="19"/>
              </w:rPr>
              <w:t>Учащиеся вечерних и заочных курсов и курсов по выходным дням</w:t>
            </w:r>
          </w:p>
        </w:tc>
        <w:tc>
          <w:tcPr>
            <w:tcW w:w="1122" w:type="dxa"/>
            <w:tcBorders>
              <w:top w:val="nil"/>
            </w:tcBorders>
          </w:tcPr>
          <w:p w:rsidR="00000000" w:rsidRDefault="00000000">
            <w:pPr>
              <w:pStyle w:val="10"/>
              <w:tabs>
                <w:tab w:val="left" w:pos="187"/>
              </w:tabs>
              <w:spacing w:before="40" w:after="20" w:line="216" w:lineRule="auto"/>
              <w:jc w:val="right"/>
              <w:rPr>
                <w:b w:val="0"/>
                <w:sz w:val="19"/>
              </w:rPr>
            </w:pPr>
            <w:r>
              <w:rPr>
                <w:b w:val="0"/>
                <w:sz w:val="19"/>
              </w:rPr>
              <w:t>551 677</w:t>
            </w:r>
          </w:p>
        </w:tc>
        <w:tc>
          <w:tcPr>
            <w:tcW w:w="1133" w:type="dxa"/>
            <w:tcBorders>
              <w:top w:val="nil"/>
            </w:tcBorders>
          </w:tcPr>
          <w:p w:rsidR="00000000" w:rsidRDefault="00000000">
            <w:pPr>
              <w:pStyle w:val="10"/>
              <w:tabs>
                <w:tab w:val="left" w:pos="187"/>
              </w:tabs>
              <w:spacing w:before="40" w:after="20" w:line="216" w:lineRule="auto"/>
              <w:jc w:val="right"/>
              <w:rPr>
                <w:b w:val="0"/>
                <w:sz w:val="19"/>
              </w:rPr>
            </w:pPr>
            <w:r>
              <w:rPr>
                <w:b w:val="0"/>
                <w:sz w:val="19"/>
              </w:rPr>
              <w:t>334 794</w:t>
            </w:r>
          </w:p>
        </w:tc>
      </w:tr>
    </w:tbl>
    <w:p w:rsidR="00000000" w:rsidRDefault="00000000">
      <w:pPr>
        <w:pStyle w:val="10"/>
        <w:spacing w:line="216" w:lineRule="auto"/>
        <w:jc w:val="left"/>
        <w:rPr>
          <w:b w:val="0"/>
          <w:sz w:val="20"/>
        </w:rPr>
      </w:pPr>
    </w:p>
    <w:p w:rsidR="00000000" w:rsidRDefault="00000000">
      <w:pPr>
        <w:pStyle w:val="10"/>
        <w:jc w:val="left"/>
        <w:rPr>
          <w:b w:val="0"/>
          <w:sz w:val="20"/>
        </w:rPr>
      </w:pPr>
      <w:r>
        <w:rPr>
          <w:b w:val="0"/>
          <w:sz w:val="20"/>
        </w:rPr>
        <w:tab/>
      </w:r>
      <w:r>
        <w:rPr>
          <w:b w:val="0"/>
          <w:sz w:val="20"/>
          <w:u w:val="single"/>
        </w:rPr>
        <w:t>Источник</w:t>
      </w:r>
      <w:r>
        <w:rPr>
          <w:b w:val="0"/>
          <w:sz w:val="20"/>
        </w:rPr>
        <w:t>:  данные министерства национального образования.</w:t>
      </w:r>
    </w:p>
    <w:p w:rsidR="00000000" w:rsidRDefault="00000000">
      <w:pPr>
        <w:pStyle w:val="10"/>
        <w:ind w:left="1134" w:hanging="1134"/>
        <w:jc w:val="left"/>
        <w:rPr>
          <w:bCs/>
        </w:rPr>
      </w:pPr>
      <w:r>
        <w:rPr>
          <w:bCs/>
        </w:rPr>
        <w:tab/>
        <w:t>4.</w:t>
      </w:r>
      <w:r>
        <w:rPr>
          <w:bCs/>
        </w:rPr>
        <w:tab/>
        <w:t>Базовое образование для лиц, не получивших или не завершивших начальное образование</w:t>
      </w:r>
    </w:p>
    <w:p w:rsidR="00000000" w:rsidRDefault="00000000">
      <w:pPr>
        <w:pStyle w:val="10"/>
        <w:ind w:left="567" w:hanging="567"/>
        <w:jc w:val="left"/>
        <w:rPr>
          <w:bCs/>
        </w:rPr>
      </w:pPr>
    </w:p>
    <w:p w:rsidR="00000000" w:rsidRDefault="00000000">
      <w:pPr>
        <w:pStyle w:val="10"/>
        <w:jc w:val="left"/>
        <w:rPr>
          <w:b w:val="0"/>
        </w:rPr>
      </w:pPr>
      <w:r>
        <w:rPr>
          <w:b w:val="0"/>
        </w:rPr>
        <w:t>328.</w:t>
      </w:r>
      <w:r>
        <w:rPr>
          <w:b w:val="0"/>
        </w:rPr>
        <w:tab/>
        <w:t>Каждый человек, не получивший или не завершивший начальное образование, имеет возможность сделать это в рамках системы образования для взрослых.  В 1995-1997 годах лица в возрасте до 17 лет должны были закончить, по меньшей мере, восемь начальных классов.  В 1997 году в соответствии со статьей 70 новой польской Конституции срок обязательного обучения был продлен до 18 лет.  В 1998 году на основе Закона об образовании от 7 сентября 1991 года был подготовлен законопроект о новой системе образования, которая должна была быть внедрена 1 сентября 1999 года и предусматривала шестилетнюю программу начальной школы, трехгодичную гимназию (первые классы средней школы) и трехгодичный лицей (средняя школа).  Учащиеся, которые по завершении первой ступени гимназии подавали мало надежд на завершение остальной части программы в обычные сроки, переводились бы в профессионально-технические училища.  После окончания гимназии образование могло быть продолжено в лицее или на курсах сверх учебной программы (статья 16 проекта поправки к вышеупомянутому закону).</w:t>
      </w:r>
    </w:p>
    <w:p w:rsidR="00000000" w:rsidRDefault="00000000">
      <w:pPr>
        <w:pStyle w:val="10"/>
        <w:jc w:val="left"/>
        <w:rPr>
          <w:b w:val="0"/>
        </w:rPr>
      </w:pPr>
    </w:p>
    <w:p w:rsidR="00000000" w:rsidRDefault="00000000">
      <w:pPr>
        <w:pStyle w:val="10"/>
        <w:rPr>
          <w:bCs/>
        </w:rPr>
      </w:pPr>
      <w:r>
        <w:rPr>
          <w:bCs/>
        </w:rPr>
        <w:t>В.</w:t>
      </w:r>
      <w:r>
        <w:rPr>
          <w:bCs/>
        </w:rPr>
        <w:tab/>
        <w:t>Трудности в деле реализации права на образование</w:t>
      </w:r>
    </w:p>
    <w:p w:rsidR="00000000" w:rsidRDefault="00000000">
      <w:pPr>
        <w:pStyle w:val="10"/>
        <w:rPr>
          <w:bCs/>
        </w:rPr>
      </w:pPr>
    </w:p>
    <w:p w:rsidR="00000000" w:rsidRDefault="00000000">
      <w:pPr>
        <w:pStyle w:val="10"/>
        <w:jc w:val="left"/>
        <w:rPr>
          <w:b w:val="0"/>
        </w:rPr>
      </w:pPr>
      <w:r>
        <w:rPr>
          <w:b w:val="0"/>
        </w:rPr>
        <w:t>329.</w:t>
      </w:r>
      <w:r>
        <w:rPr>
          <w:b w:val="0"/>
        </w:rPr>
        <w:tab/>
        <w:t>Трудности были связаны с некоторыми детьми в сельских районах (проезд в школу и из школы, работа на ферме), а также с детьми в семьях с определенными отклонениями (злоупотребление алкоголем или наркотиками, насилие в семье).  Родители, систематически препятствовавшие осуществлению их детьми права на образование, могли быть наказаны в судебном порядке или, в крайних случаях (жестокое обращение с детьми), даже лишены родительских прав.</w:t>
      </w:r>
    </w:p>
    <w:p w:rsidR="00000000" w:rsidRDefault="00000000">
      <w:pPr>
        <w:pStyle w:val="10"/>
        <w:jc w:val="left"/>
        <w:rPr>
          <w:b w:val="0"/>
        </w:rPr>
      </w:pPr>
    </w:p>
    <w:p w:rsidR="00000000" w:rsidRDefault="00000000">
      <w:pPr>
        <w:pStyle w:val="10"/>
        <w:rPr>
          <w:bCs/>
        </w:rPr>
      </w:pPr>
      <w:r>
        <w:rPr>
          <w:bCs/>
        </w:rPr>
        <w:t>С.</w:t>
      </w:r>
      <w:r>
        <w:rPr>
          <w:bCs/>
        </w:rPr>
        <w:tab/>
        <w:t>Борьба с неграмотностью</w:t>
      </w:r>
    </w:p>
    <w:p w:rsidR="00000000" w:rsidRDefault="00000000">
      <w:pPr>
        <w:pStyle w:val="10"/>
        <w:rPr>
          <w:bCs/>
        </w:rPr>
      </w:pPr>
    </w:p>
    <w:p w:rsidR="00000000" w:rsidRDefault="00000000">
      <w:pPr>
        <w:pStyle w:val="10"/>
        <w:jc w:val="left"/>
        <w:rPr>
          <w:b w:val="0"/>
        </w:rPr>
      </w:pPr>
      <w:r>
        <w:rPr>
          <w:b w:val="0"/>
        </w:rPr>
        <w:t>330.</w:t>
      </w:r>
      <w:r>
        <w:rPr>
          <w:b w:val="0"/>
        </w:rPr>
        <w:tab/>
        <w:t>Проблема неграмотности в Польше постепенно теряет свою актуальность.  Количество "бывших" неграмотных людей (лица преклонного возраста, люди без образования, главным образом в сельских районах и небольших поселках, патологические случаи, некоторая часть бездомных) уменьшается естественным порядком.  Вместе с тем появилась новая небольшая, но тем не менее заметная группа "новых" неграмотных, особенно среди детей, которым уделяется мало внимания и которые живут в условиях крайней нищеты и в социально неблагополучных семьях (см. раздел В выше).  Наблюдались также отдельные редкие случаи функциональной неграмотности, когда брошенные на произвол судьбы подростки утрачивали навыки письма, ограничиваясь аудиовизуальными средствами (видео, кино, телевидение или, реже, компьютеры - из</w:t>
      </w:r>
      <w:r>
        <w:rPr>
          <w:b w:val="0"/>
        </w:rPr>
        <w:noBreakHyphen/>
        <w:t>за их более высокой стоимости).  Во всех этих случаях существовала теоретическая возможность получить (платное) начальное образование для взрослых на вечерних курсах.  Однако главным препятствием в данном случае была бедность большинства неграмотных лиц и их семей, а также чувство потерянности, социальная изолированность и дезориентация.</w:t>
      </w:r>
    </w:p>
    <w:p w:rsidR="00000000" w:rsidRDefault="00000000">
      <w:pPr>
        <w:pStyle w:val="10"/>
        <w:jc w:val="left"/>
        <w:rPr>
          <w:b w:val="0"/>
        </w:rPr>
      </w:pPr>
    </w:p>
    <w:p w:rsidR="00000000" w:rsidRDefault="00000000">
      <w:pPr>
        <w:pStyle w:val="10"/>
        <w:ind w:left="1134"/>
        <w:jc w:val="left"/>
        <w:rPr>
          <w:bCs/>
        </w:rPr>
      </w:pPr>
      <w:r>
        <w:rPr>
          <w:bCs/>
          <w:lang w:val="en-US"/>
        </w:rPr>
        <w:t>D</w:t>
      </w:r>
      <w:r>
        <w:rPr>
          <w:bCs/>
        </w:rPr>
        <w:t>.</w:t>
      </w:r>
      <w:r>
        <w:rPr>
          <w:bCs/>
        </w:rPr>
        <w:tab/>
        <w:t>Доля государственных и региональных бюджетных средств,</w:t>
      </w:r>
    </w:p>
    <w:p w:rsidR="00000000" w:rsidRDefault="00000000">
      <w:pPr>
        <w:pStyle w:val="10"/>
        <w:ind w:left="1134"/>
        <w:jc w:val="left"/>
        <w:rPr>
          <w:bCs/>
        </w:rPr>
      </w:pPr>
      <w:r>
        <w:rPr>
          <w:bCs/>
        </w:rPr>
        <w:tab/>
        <w:t>выделяемых на образование;  система образования</w:t>
      </w:r>
    </w:p>
    <w:p w:rsidR="00000000" w:rsidRDefault="00000000">
      <w:pPr>
        <w:pStyle w:val="10"/>
        <w:rPr>
          <w:bCs/>
        </w:rPr>
      </w:pPr>
    </w:p>
    <w:p w:rsidR="00000000" w:rsidRDefault="00000000">
      <w:pPr>
        <w:pStyle w:val="10"/>
        <w:jc w:val="left"/>
        <w:rPr>
          <w:b w:val="0"/>
          <w:bCs/>
        </w:rPr>
      </w:pPr>
      <w:r>
        <w:rPr>
          <w:b w:val="0"/>
        </w:rPr>
        <w:t>331.</w:t>
      </w:r>
      <w:r>
        <w:rPr>
          <w:b w:val="0"/>
        </w:rPr>
        <w:tab/>
        <w:t>Ниже приводятся данные о доле государственных средств в финансировании школ и учебных заведений, находящихся в ведении органов государственного управления (субсидируемых ими), а также о частичном выделении финансовых средств гминами, к которым с 1 января 1996 года перешло руководство начальными школами и в некоторых случаях системой образования посленачального обучения;  приводятся также данные о</w:t>
      </w:r>
      <w:r>
        <w:rPr>
          <w:b w:val="0"/>
          <w:bCs/>
        </w:rPr>
        <w:t xml:space="preserve"> финансовой помощи различным учебным и попечительским учреждениям и высшим учебным заведениям за отчетный период:</w:t>
      </w:r>
    </w:p>
    <w:p w:rsidR="00000000" w:rsidRDefault="00000000">
      <w:pPr>
        <w:pStyle w:val="10"/>
        <w:jc w:val="left"/>
        <w:rPr>
          <w:b w:val="0"/>
          <w:bCs/>
        </w:rPr>
      </w:pPr>
    </w:p>
    <w:p w:rsidR="00000000" w:rsidRDefault="00000000">
      <w:pPr>
        <w:pStyle w:val="10"/>
        <w:tabs>
          <w:tab w:val="clear" w:pos="2268"/>
          <w:tab w:val="left" w:pos="2057"/>
          <w:tab w:val="left" w:pos="2431"/>
        </w:tabs>
        <w:jc w:val="left"/>
        <w:rPr>
          <w:b w:val="0"/>
          <w:bCs/>
        </w:rPr>
      </w:pPr>
      <w:r>
        <w:rPr>
          <w:b w:val="0"/>
          <w:bCs/>
        </w:rPr>
        <w:tab/>
        <w:t>-</w:t>
      </w:r>
      <w:r>
        <w:rPr>
          <w:b w:val="0"/>
          <w:bCs/>
        </w:rPr>
        <w:tab/>
        <w:t>1995 год</w:t>
      </w:r>
      <w:r>
        <w:rPr>
          <w:b w:val="0"/>
          <w:bCs/>
        </w:rPr>
        <w:tab/>
        <w:t xml:space="preserve">  -</w:t>
      </w:r>
      <w:r>
        <w:rPr>
          <w:b w:val="0"/>
          <w:bCs/>
        </w:rPr>
        <w:tab/>
        <w:t>13,7% расходов (на центральном уровне);</w:t>
      </w:r>
    </w:p>
    <w:p w:rsidR="00000000" w:rsidRDefault="00000000">
      <w:pPr>
        <w:pStyle w:val="10"/>
        <w:tabs>
          <w:tab w:val="clear" w:pos="2268"/>
          <w:tab w:val="left" w:pos="2057"/>
          <w:tab w:val="left" w:pos="2431"/>
        </w:tabs>
        <w:jc w:val="left"/>
        <w:rPr>
          <w:b w:val="0"/>
          <w:bCs/>
        </w:rPr>
      </w:pPr>
    </w:p>
    <w:p w:rsidR="00000000" w:rsidRDefault="00000000">
      <w:pPr>
        <w:pStyle w:val="10"/>
        <w:tabs>
          <w:tab w:val="clear" w:pos="2268"/>
          <w:tab w:val="left" w:pos="2057"/>
          <w:tab w:val="left" w:pos="2431"/>
        </w:tabs>
        <w:jc w:val="left"/>
        <w:rPr>
          <w:b w:val="0"/>
          <w:bCs/>
        </w:rPr>
      </w:pPr>
      <w:r>
        <w:rPr>
          <w:b w:val="0"/>
          <w:bCs/>
        </w:rPr>
        <w:tab/>
        <w:t>-</w:t>
      </w:r>
      <w:r>
        <w:rPr>
          <w:b w:val="0"/>
          <w:bCs/>
        </w:rPr>
        <w:tab/>
        <w:t>1996 год</w:t>
      </w:r>
      <w:r>
        <w:rPr>
          <w:b w:val="0"/>
          <w:bCs/>
        </w:rPr>
        <w:tab/>
        <w:t xml:space="preserve">  -</w:t>
      </w:r>
      <w:r>
        <w:rPr>
          <w:b w:val="0"/>
          <w:bCs/>
        </w:rPr>
        <w:tab/>
        <w:t>14% расходов (уже включая частичное финансирование гминами);</w:t>
      </w:r>
    </w:p>
    <w:p w:rsidR="00000000" w:rsidRDefault="00000000">
      <w:pPr>
        <w:pStyle w:val="10"/>
        <w:tabs>
          <w:tab w:val="clear" w:pos="2268"/>
          <w:tab w:val="left" w:pos="2057"/>
          <w:tab w:val="left" w:pos="2431"/>
        </w:tabs>
        <w:jc w:val="left"/>
        <w:rPr>
          <w:b w:val="0"/>
          <w:bCs/>
        </w:rPr>
      </w:pPr>
    </w:p>
    <w:p w:rsidR="00000000" w:rsidRDefault="00000000">
      <w:pPr>
        <w:pStyle w:val="10"/>
        <w:tabs>
          <w:tab w:val="clear" w:pos="2268"/>
          <w:tab w:val="left" w:pos="2057"/>
          <w:tab w:val="left" w:pos="2431"/>
        </w:tabs>
        <w:ind w:left="2431" w:hanging="2431"/>
        <w:jc w:val="left"/>
        <w:rPr>
          <w:b w:val="0"/>
          <w:bCs/>
        </w:rPr>
      </w:pPr>
      <w:r>
        <w:rPr>
          <w:b w:val="0"/>
          <w:bCs/>
        </w:rPr>
        <w:tab/>
        <w:t>-</w:t>
      </w:r>
      <w:r>
        <w:rPr>
          <w:b w:val="0"/>
          <w:bCs/>
        </w:rPr>
        <w:tab/>
        <w:t>1997 год</w:t>
      </w:r>
      <w:r>
        <w:rPr>
          <w:b w:val="0"/>
          <w:bCs/>
        </w:rPr>
        <w:tab/>
        <w:t xml:space="preserve">  -</w:t>
      </w:r>
      <w:r>
        <w:rPr>
          <w:b w:val="0"/>
          <w:bCs/>
        </w:rPr>
        <w:tab/>
        <w:t>15,7% расходов (8,2% на центральном уровне и 7,5% для финансирования гминами);</w:t>
      </w:r>
    </w:p>
    <w:p w:rsidR="00000000" w:rsidRDefault="00000000">
      <w:pPr>
        <w:pStyle w:val="10"/>
        <w:tabs>
          <w:tab w:val="clear" w:pos="2268"/>
          <w:tab w:val="left" w:pos="2057"/>
          <w:tab w:val="left" w:pos="2244"/>
        </w:tabs>
        <w:ind w:left="2805" w:hanging="2805"/>
        <w:jc w:val="left"/>
        <w:rPr>
          <w:b w:val="0"/>
          <w:bCs/>
        </w:rPr>
      </w:pPr>
    </w:p>
    <w:p w:rsidR="00000000" w:rsidRDefault="00000000">
      <w:pPr>
        <w:pStyle w:val="10"/>
        <w:tabs>
          <w:tab w:val="clear" w:pos="2268"/>
          <w:tab w:val="left" w:pos="2057"/>
          <w:tab w:val="left" w:pos="2431"/>
        </w:tabs>
        <w:jc w:val="left"/>
        <w:rPr>
          <w:b w:val="0"/>
          <w:bCs/>
        </w:rPr>
      </w:pPr>
      <w:r>
        <w:rPr>
          <w:b w:val="0"/>
          <w:bCs/>
        </w:rPr>
        <w:tab/>
        <w:t>-</w:t>
      </w:r>
      <w:r>
        <w:rPr>
          <w:b w:val="0"/>
          <w:bCs/>
        </w:rPr>
        <w:tab/>
        <w:t>1998 год</w:t>
      </w:r>
      <w:r>
        <w:rPr>
          <w:b w:val="0"/>
          <w:bCs/>
        </w:rPr>
        <w:tab/>
        <w:t xml:space="preserve">  -</w:t>
      </w:r>
      <w:r>
        <w:rPr>
          <w:b w:val="0"/>
          <w:bCs/>
        </w:rPr>
        <w:tab/>
        <w:t>8,1% расходов (только расходы на центральном уровне).</w:t>
      </w:r>
    </w:p>
    <w:p w:rsidR="00000000" w:rsidRDefault="00000000">
      <w:pPr>
        <w:pStyle w:val="10"/>
        <w:tabs>
          <w:tab w:val="left" w:pos="2805"/>
        </w:tabs>
        <w:jc w:val="left"/>
        <w:rPr>
          <w:b w:val="0"/>
          <w:bCs/>
        </w:rPr>
      </w:pPr>
    </w:p>
    <w:p w:rsidR="00000000" w:rsidRDefault="00000000">
      <w:pPr>
        <w:pStyle w:val="10"/>
        <w:jc w:val="left"/>
        <w:rPr>
          <w:b w:val="0"/>
          <w:bCs/>
        </w:rPr>
      </w:pPr>
      <w:r>
        <w:rPr>
          <w:b w:val="0"/>
          <w:bCs/>
        </w:rPr>
        <w:t>332.</w:t>
      </w:r>
      <w:r>
        <w:rPr>
          <w:b w:val="0"/>
          <w:bCs/>
        </w:rPr>
        <w:tab/>
        <w:t>Бюджетные расходы гминов на вышеуказанные цели были следующими (за 1996 год статистические данные отсутствуют):</w:t>
      </w:r>
    </w:p>
    <w:p w:rsidR="00000000" w:rsidRDefault="00000000">
      <w:pPr>
        <w:pStyle w:val="10"/>
        <w:jc w:val="left"/>
        <w:rPr>
          <w:b w:val="0"/>
          <w:bCs/>
        </w:rPr>
      </w:pPr>
    </w:p>
    <w:p w:rsidR="00000000" w:rsidRDefault="00000000">
      <w:pPr>
        <w:pStyle w:val="10"/>
        <w:tabs>
          <w:tab w:val="clear" w:pos="2268"/>
          <w:tab w:val="left" w:pos="2057"/>
          <w:tab w:val="left" w:pos="2431"/>
        </w:tabs>
        <w:ind w:left="567"/>
        <w:jc w:val="left"/>
        <w:rPr>
          <w:b w:val="0"/>
          <w:bCs/>
        </w:rPr>
      </w:pPr>
      <w:r>
        <w:rPr>
          <w:b w:val="0"/>
          <w:bCs/>
        </w:rPr>
        <w:t>-</w:t>
      </w:r>
      <w:r>
        <w:rPr>
          <w:b w:val="0"/>
          <w:bCs/>
        </w:rPr>
        <w:tab/>
        <w:t>1995 год   -</w:t>
      </w:r>
      <w:r>
        <w:rPr>
          <w:b w:val="0"/>
          <w:bCs/>
        </w:rPr>
        <w:tab/>
        <w:t>26,3% расходов;</w:t>
      </w:r>
    </w:p>
    <w:p w:rsidR="00000000" w:rsidRDefault="00000000">
      <w:pPr>
        <w:pStyle w:val="10"/>
        <w:tabs>
          <w:tab w:val="clear" w:pos="2268"/>
          <w:tab w:val="left" w:pos="2057"/>
          <w:tab w:val="left" w:pos="2431"/>
        </w:tabs>
        <w:ind w:left="567"/>
        <w:jc w:val="left"/>
        <w:rPr>
          <w:b w:val="0"/>
          <w:bCs/>
        </w:rPr>
      </w:pPr>
      <w:r>
        <w:rPr>
          <w:b w:val="0"/>
          <w:bCs/>
        </w:rPr>
        <w:t>-</w:t>
      </w:r>
      <w:r>
        <w:rPr>
          <w:b w:val="0"/>
          <w:bCs/>
        </w:rPr>
        <w:tab/>
        <w:t>1997 год   -</w:t>
      </w:r>
      <w:r>
        <w:rPr>
          <w:b w:val="0"/>
          <w:bCs/>
        </w:rPr>
        <w:tab/>
        <w:t>36,6% расходов;</w:t>
      </w:r>
    </w:p>
    <w:p w:rsidR="00000000" w:rsidRDefault="00000000">
      <w:pPr>
        <w:pStyle w:val="10"/>
        <w:tabs>
          <w:tab w:val="clear" w:pos="2268"/>
          <w:tab w:val="left" w:pos="2057"/>
          <w:tab w:val="left" w:pos="2431"/>
        </w:tabs>
        <w:ind w:left="567"/>
        <w:jc w:val="left"/>
        <w:rPr>
          <w:b w:val="0"/>
          <w:bCs/>
        </w:rPr>
      </w:pPr>
      <w:r>
        <w:rPr>
          <w:b w:val="0"/>
          <w:bCs/>
        </w:rPr>
        <w:t>-</w:t>
      </w:r>
      <w:r>
        <w:rPr>
          <w:b w:val="0"/>
          <w:bCs/>
        </w:rPr>
        <w:tab/>
        <w:t>1998 год   -</w:t>
      </w:r>
      <w:r>
        <w:rPr>
          <w:b w:val="0"/>
          <w:bCs/>
        </w:rPr>
        <w:tab/>
        <w:t>36,2% расходов.</w:t>
      </w:r>
    </w:p>
    <w:p w:rsidR="00000000" w:rsidRDefault="00000000">
      <w:pPr>
        <w:pStyle w:val="10"/>
        <w:tabs>
          <w:tab w:val="left" w:pos="2805"/>
        </w:tabs>
        <w:ind w:left="567"/>
        <w:jc w:val="left"/>
        <w:rPr>
          <w:b w:val="0"/>
          <w:bCs/>
        </w:rPr>
      </w:pPr>
    </w:p>
    <w:p w:rsidR="00000000" w:rsidRDefault="00000000">
      <w:pPr>
        <w:pStyle w:val="10"/>
        <w:jc w:val="left"/>
        <w:rPr>
          <w:b w:val="0"/>
          <w:bCs/>
        </w:rPr>
      </w:pPr>
      <w:r>
        <w:rPr>
          <w:b w:val="0"/>
          <w:bCs/>
        </w:rPr>
        <w:t>333.</w:t>
      </w:r>
      <w:r>
        <w:rPr>
          <w:b w:val="0"/>
          <w:bCs/>
        </w:rPr>
        <w:tab/>
        <w:t>О системе образования уже много говорилось в разделе А выше, поскольку эта тема тесно связана с вопросами 1 а)-d) руководящих принципов.  Кроме уже перечисленных обычных школ в Польше существовали также следующие типы школ:</w:t>
      </w:r>
    </w:p>
    <w:p w:rsidR="00000000" w:rsidRDefault="00000000">
      <w:pPr>
        <w:pStyle w:val="10"/>
        <w:jc w:val="left"/>
        <w:rPr>
          <w:b w:val="0"/>
          <w:bCs/>
        </w:rPr>
      </w:pPr>
    </w:p>
    <w:p w:rsidR="00000000" w:rsidRDefault="00000000">
      <w:pPr>
        <w:pStyle w:val="10"/>
        <w:jc w:val="left"/>
        <w:rPr>
          <w:b w:val="0"/>
          <w:bCs/>
        </w:rPr>
      </w:pPr>
      <w:r>
        <w:rPr>
          <w:b w:val="0"/>
          <w:bCs/>
        </w:rPr>
        <w:br w:type="page"/>
      </w:r>
      <w:r>
        <w:rPr>
          <w:b w:val="0"/>
          <w:bCs/>
        </w:rPr>
        <w:tab/>
        <w:t>а)</w:t>
      </w:r>
      <w:r>
        <w:rPr>
          <w:b w:val="0"/>
          <w:bCs/>
        </w:rPr>
        <w:tab/>
        <w:t>учебные заведения послесреднего уровня с учебными программами, рассчитанными на один, два или два с половиной года.  Они не являются промежуточными между посленачальным и высшим образованием.  Выпускники этих учебных заведений должны сдавать вступительные экзамены в университеты, где они должны проходить учебу с самого начала, независимо от типа высшего учебного заведения, в котором они учились.  Некоторые прекращали свое образование на уровне этих школ;  другие же, не сдав вступительные экзамены в университет, рассматривали такие школы в качестве переходной ступени до поступления в университет.  По завершении годовой учебной программы выпускник получал звание квалифицированного рабочего;  после прохождения программы, рассчитанной на два и два с половиной года, выпускник получал звание специалиста по выбранной специализации;</w:t>
      </w:r>
    </w:p>
    <w:p w:rsidR="00000000" w:rsidRDefault="00000000">
      <w:pPr>
        <w:pStyle w:val="10"/>
        <w:jc w:val="left"/>
        <w:rPr>
          <w:b w:val="0"/>
          <w:bCs/>
        </w:rPr>
      </w:pPr>
    </w:p>
    <w:p w:rsidR="00000000" w:rsidRDefault="00000000">
      <w:pPr>
        <w:pStyle w:val="10"/>
        <w:jc w:val="left"/>
        <w:rPr>
          <w:b w:val="0"/>
          <w:bCs/>
        </w:rPr>
      </w:pPr>
      <w:r>
        <w:rPr>
          <w:b w:val="0"/>
          <w:bCs/>
        </w:rPr>
        <w:tab/>
      </w:r>
      <w:r>
        <w:rPr>
          <w:b w:val="0"/>
          <w:bCs/>
          <w:lang w:val="en-US"/>
        </w:rPr>
        <w:t>b</w:t>
      </w:r>
      <w:r>
        <w:rPr>
          <w:b w:val="0"/>
          <w:bCs/>
        </w:rPr>
        <w:t>)</w:t>
      </w:r>
      <w:r>
        <w:rPr>
          <w:b w:val="0"/>
          <w:bCs/>
        </w:rPr>
        <w:tab/>
        <w:t>лингвистические колледжи и колледжи для подготовки преподавателей;</w:t>
      </w:r>
    </w:p>
    <w:p w:rsidR="00000000" w:rsidRDefault="00000000">
      <w:pPr>
        <w:pStyle w:val="10"/>
        <w:jc w:val="left"/>
        <w:rPr>
          <w:b w:val="0"/>
          <w:bCs/>
        </w:rPr>
      </w:pPr>
    </w:p>
    <w:p w:rsidR="00000000" w:rsidRDefault="00000000">
      <w:pPr>
        <w:pStyle w:val="10"/>
        <w:jc w:val="left"/>
        <w:rPr>
          <w:b w:val="0"/>
          <w:bCs/>
        </w:rPr>
      </w:pPr>
      <w:r>
        <w:rPr>
          <w:b w:val="0"/>
          <w:bCs/>
        </w:rPr>
        <w:tab/>
        <w:t>с)</w:t>
      </w:r>
      <w:r>
        <w:rPr>
          <w:b w:val="0"/>
          <w:bCs/>
        </w:rPr>
        <w:tab/>
        <w:t>вечерние школы - начальный уровень и посленачальный уровень.</w:t>
      </w:r>
    </w:p>
    <w:p w:rsidR="00000000" w:rsidRDefault="00000000">
      <w:pPr>
        <w:pStyle w:val="10"/>
        <w:jc w:val="left"/>
        <w:rPr>
          <w:b w:val="0"/>
          <w:bCs/>
        </w:rPr>
      </w:pPr>
    </w:p>
    <w:p w:rsidR="00000000" w:rsidRDefault="00000000">
      <w:pPr>
        <w:pStyle w:val="10"/>
        <w:jc w:val="left"/>
        <w:rPr>
          <w:b w:val="0"/>
          <w:bCs/>
        </w:rPr>
      </w:pPr>
      <w:r>
        <w:rPr>
          <w:b w:val="0"/>
          <w:bCs/>
        </w:rPr>
        <w:t>334.</w:t>
      </w:r>
      <w:r>
        <w:rPr>
          <w:b w:val="0"/>
          <w:bCs/>
        </w:rPr>
        <w:tab/>
        <w:t>Недавно преподаватели, методисты и научные работники подготовили новую программную основу для общего образования.  Совет по реформе национального образования в составе известных преподавателей и научных работников высших учебных заведений, представляющих различные области знаний, высказал свое мнение о конкретных этапах этой работы.  Было введено около 40 альтернативных программ обучения, а также новая, более свободная система выбора школьных учебников, в результате чего резко возросла творческая активность их авторов, что пришло на пользу всей системе образования.  Был опубликован список экспертов, уполномоченных министерством национального образования высказать свое мнение об этих учебниках.  При выработке новой формулы выпускного экзамена была составлена новая программа вступительных экзаменов.</w:t>
      </w:r>
    </w:p>
    <w:p w:rsidR="00000000" w:rsidRDefault="00000000"/>
    <w:p w:rsidR="00000000" w:rsidRDefault="00000000">
      <w:pPr>
        <w:jc w:val="center"/>
        <w:rPr>
          <w:b/>
          <w:bCs/>
        </w:rPr>
      </w:pPr>
      <w:r>
        <w:rPr>
          <w:b/>
          <w:bCs/>
        </w:rPr>
        <w:t>Е.</w:t>
      </w:r>
      <w:r>
        <w:rPr>
          <w:b/>
          <w:bCs/>
        </w:rPr>
        <w:tab/>
        <w:t>Равный доступ к образованию и меры по борьбе с неграмотностью</w:t>
      </w:r>
    </w:p>
    <w:p w:rsidR="00000000" w:rsidRDefault="00000000">
      <w:pPr>
        <w:jc w:val="center"/>
        <w:rPr>
          <w:b/>
          <w:bCs/>
        </w:rPr>
      </w:pPr>
    </w:p>
    <w:p w:rsidR="00000000" w:rsidRDefault="00000000">
      <w:pPr>
        <w:ind w:left="1134" w:hanging="1134"/>
        <w:rPr>
          <w:b/>
          <w:bCs/>
        </w:rPr>
      </w:pPr>
      <w:r>
        <w:rPr>
          <w:b/>
          <w:bCs/>
        </w:rPr>
        <w:tab/>
        <w:t>1.</w:t>
      </w:r>
      <w:r>
        <w:rPr>
          <w:b/>
          <w:bCs/>
        </w:rPr>
        <w:tab/>
        <w:t>Доля мужчин и женщин, обучающихся на разных уровнях системы образования</w:t>
      </w:r>
    </w:p>
    <w:p w:rsidR="00000000" w:rsidRDefault="00000000">
      <w:pPr>
        <w:rPr>
          <w:b/>
          <w:bCs/>
        </w:rPr>
      </w:pPr>
    </w:p>
    <w:p w:rsidR="00000000" w:rsidRDefault="00000000">
      <w:r>
        <w:t>335.</w:t>
      </w:r>
      <w:r>
        <w:tab/>
        <w:t>Эта информация приводится в следующей таблице:</w:t>
      </w:r>
    </w:p>
    <w:p w:rsidR="00000000" w:rsidRDefault="00000000"/>
    <w:p w:rsidR="00000000" w:rsidRDefault="00000000">
      <w:pPr>
        <w:tabs>
          <w:tab w:val="clear" w:pos="1701"/>
          <w:tab w:val="left" w:pos="1496"/>
          <w:tab w:val="left" w:pos="2618"/>
        </w:tabs>
        <w:ind w:left="2268" w:hanging="1134"/>
        <w:rPr>
          <w:u w:val="single"/>
        </w:rPr>
      </w:pPr>
      <w:r>
        <w:rPr>
          <w:u w:val="single"/>
        </w:rPr>
        <w:br w:type="page"/>
        <w:t>Таблица 40</w:t>
      </w:r>
      <w:r>
        <w:t>.</w:t>
      </w:r>
      <w:r>
        <w:tab/>
      </w:r>
      <w:r>
        <w:rPr>
          <w:u w:val="single"/>
        </w:rPr>
        <w:t>Доля мужчин и женщин, обучавшихся на различных</w:t>
      </w:r>
    </w:p>
    <w:p w:rsidR="00000000" w:rsidRDefault="00000000">
      <w:pPr>
        <w:tabs>
          <w:tab w:val="clear" w:pos="1701"/>
          <w:tab w:val="left" w:pos="1496"/>
          <w:tab w:val="left" w:pos="2618"/>
        </w:tabs>
        <w:ind w:left="2268" w:hanging="1134"/>
      </w:pPr>
      <w:r>
        <w:tab/>
      </w:r>
      <w:r>
        <w:tab/>
      </w:r>
      <w:r>
        <w:tab/>
      </w:r>
      <w:r>
        <w:rPr>
          <w:u w:val="single"/>
        </w:rPr>
        <w:t>уровнях системы образования в 1997/98 учебном году</w:t>
      </w:r>
    </w:p>
    <w:p w:rsidR="00000000" w:rsidRDefault="00000000">
      <w:pPr>
        <w:pStyle w:val="10"/>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0"/>
        <w:gridCol w:w="2019"/>
        <w:gridCol w:w="2021"/>
      </w:tblGrid>
      <w:tr w:rsidR="00000000">
        <w:tblPrEx>
          <w:tblCellMar>
            <w:top w:w="0" w:type="dxa"/>
            <w:bottom w:w="0" w:type="dxa"/>
          </w:tblCellMar>
        </w:tblPrEx>
        <w:tc>
          <w:tcPr>
            <w:tcW w:w="2889" w:type="pct"/>
            <w:tcBorders>
              <w:bottom w:val="single" w:sz="4" w:space="0" w:color="auto"/>
            </w:tcBorders>
          </w:tcPr>
          <w:p w:rsidR="00000000" w:rsidRDefault="00000000">
            <w:pPr>
              <w:jc w:val="center"/>
              <w:rPr>
                <w:sz w:val="20"/>
              </w:rPr>
            </w:pPr>
            <w:r>
              <w:rPr>
                <w:sz w:val="20"/>
              </w:rPr>
              <w:t>Вид среднего заведения</w:t>
            </w:r>
          </w:p>
        </w:tc>
        <w:tc>
          <w:tcPr>
            <w:tcW w:w="1055" w:type="pct"/>
            <w:tcBorders>
              <w:bottom w:val="single" w:sz="4" w:space="0" w:color="auto"/>
            </w:tcBorders>
          </w:tcPr>
          <w:p w:rsidR="00000000" w:rsidRDefault="00000000">
            <w:pPr>
              <w:jc w:val="center"/>
              <w:rPr>
                <w:sz w:val="20"/>
              </w:rPr>
            </w:pPr>
            <w:r>
              <w:rPr>
                <w:sz w:val="20"/>
              </w:rPr>
              <w:t>Женщины (%)</w:t>
            </w:r>
          </w:p>
        </w:tc>
        <w:tc>
          <w:tcPr>
            <w:tcW w:w="1056" w:type="pct"/>
            <w:tcBorders>
              <w:bottom w:val="single" w:sz="4" w:space="0" w:color="auto"/>
            </w:tcBorders>
          </w:tcPr>
          <w:p w:rsidR="00000000" w:rsidRDefault="00000000">
            <w:pPr>
              <w:jc w:val="center"/>
              <w:rPr>
                <w:sz w:val="20"/>
              </w:rPr>
            </w:pPr>
            <w:r>
              <w:rPr>
                <w:sz w:val="20"/>
              </w:rPr>
              <w:t>Мужчины (%)</w:t>
            </w:r>
          </w:p>
        </w:tc>
      </w:tr>
      <w:tr w:rsidR="00000000">
        <w:tblPrEx>
          <w:tblCellMar>
            <w:top w:w="0" w:type="dxa"/>
            <w:bottom w:w="0" w:type="dxa"/>
          </w:tblCellMar>
        </w:tblPrEx>
        <w:tc>
          <w:tcPr>
            <w:tcW w:w="2889" w:type="pct"/>
            <w:tcBorders>
              <w:bottom w:val="nil"/>
            </w:tcBorders>
          </w:tcPr>
          <w:p w:rsidR="00000000" w:rsidRDefault="00000000">
            <w:pPr>
              <w:rPr>
                <w:sz w:val="20"/>
              </w:rPr>
            </w:pPr>
            <w:r>
              <w:rPr>
                <w:sz w:val="20"/>
              </w:rPr>
              <w:t>Детский сад</w:t>
            </w:r>
          </w:p>
        </w:tc>
        <w:tc>
          <w:tcPr>
            <w:tcW w:w="1055" w:type="pct"/>
            <w:tcBorders>
              <w:bottom w:val="nil"/>
            </w:tcBorders>
          </w:tcPr>
          <w:p w:rsidR="00000000" w:rsidRDefault="00000000">
            <w:pPr>
              <w:ind w:right="567"/>
              <w:jc w:val="right"/>
              <w:rPr>
                <w:sz w:val="20"/>
              </w:rPr>
            </w:pPr>
            <w:r>
              <w:rPr>
                <w:sz w:val="20"/>
              </w:rPr>
              <w:t>48,79</w:t>
            </w:r>
          </w:p>
        </w:tc>
        <w:tc>
          <w:tcPr>
            <w:tcW w:w="1056" w:type="pct"/>
            <w:tcBorders>
              <w:bottom w:val="nil"/>
            </w:tcBorders>
          </w:tcPr>
          <w:p w:rsidR="00000000" w:rsidRDefault="00000000">
            <w:pPr>
              <w:ind w:right="567"/>
              <w:jc w:val="right"/>
              <w:rPr>
                <w:sz w:val="20"/>
              </w:rPr>
            </w:pPr>
            <w:r>
              <w:rPr>
                <w:sz w:val="20"/>
              </w:rPr>
              <w:t>51,21</w:t>
            </w:r>
          </w:p>
        </w:tc>
      </w:tr>
      <w:tr w:rsidR="00000000">
        <w:tblPrEx>
          <w:tblCellMar>
            <w:top w:w="0" w:type="dxa"/>
            <w:bottom w:w="0" w:type="dxa"/>
          </w:tblCellMar>
        </w:tblPrEx>
        <w:tc>
          <w:tcPr>
            <w:tcW w:w="2889" w:type="pct"/>
            <w:tcBorders>
              <w:top w:val="nil"/>
              <w:bottom w:val="nil"/>
            </w:tcBorders>
          </w:tcPr>
          <w:p w:rsidR="00000000" w:rsidRDefault="00000000">
            <w:pPr>
              <w:rPr>
                <w:sz w:val="20"/>
              </w:rPr>
            </w:pPr>
            <w:r>
              <w:rPr>
                <w:sz w:val="20"/>
              </w:rPr>
              <w:t>Начальная школа, в том числе:</w:t>
            </w:r>
          </w:p>
        </w:tc>
        <w:tc>
          <w:tcPr>
            <w:tcW w:w="1055" w:type="pct"/>
            <w:tcBorders>
              <w:top w:val="nil"/>
              <w:bottom w:val="nil"/>
            </w:tcBorders>
          </w:tcPr>
          <w:p w:rsidR="00000000" w:rsidRDefault="00000000">
            <w:pPr>
              <w:ind w:right="567"/>
              <w:jc w:val="right"/>
              <w:rPr>
                <w:sz w:val="20"/>
              </w:rPr>
            </w:pPr>
            <w:r>
              <w:rPr>
                <w:sz w:val="20"/>
              </w:rPr>
              <w:t>48,72</w:t>
            </w:r>
          </w:p>
        </w:tc>
        <w:tc>
          <w:tcPr>
            <w:tcW w:w="1056" w:type="pct"/>
            <w:tcBorders>
              <w:top w:val="nil"/>
              <w:bottom w:val="nil"/>
            </w:tcBorders>
          </w:tcPr>
          <w:p w:rsidR="00000000" w:rsidRDefault="00000000">
            <w:pPr>
              <w:ind w:right="567"/>
              <w:jc w:val="right"/>
              <w:rPr>
                <w:sz w:val="20"/>
              </w:rPr>
            </w:pPr>
            <w:r>
              <w:rPr>
                <w:sz w:val="20"/>
              </w:rPr>
              <w:t>51,28</w:t>
            </w:r>
          </w:p>
        </w:tc>
      </w:tr>
      <w:tr w:rsidR="00000000">
        <w:tblPrEx>
          <w:tblCellMar>
            <w:top w:w="0" w:type="dxa"/>
            <w:bottom w:w="0" w:type="dxa"/>
          </w:tblCellMar>
        </w:tblPrEx>
        <w:tc>
          <w:tcPr>
            <w:tcW w:w="2889" w:type="pct"/>
            <w:tcBorders>
              <w:top w:val="nil"/>
              <w:bottom w:val="nil"/>
            </w:tcBorders>
          </w:tcPr>
          <w:p w:rsidR="00000000" w:rsidRDefault="00000000">
            <w:pPr>
              <w:tabs>
                <w:tab w:val="clear" w:pos="567"/>
                <w:tab w:val="left" w:pos="266"/>
              </w:tabs>
              <w:ind w:left="453" w:hanging="453"/>
              <w:rPr>
                <w:sz w:val="20"/>
              </w:rPr>
            </w:pPr>
            <w:r>
              <w:rPr>
                <w:sz w:val="20"/>
              </w:rPr>
              <w:tab/>
              <w:t>-</w:t>
            </w:r>
            <w:r>
              <w:rPr>
                <w:sz w:val="20"/>
              </w:rPr>
              <w:tab/>
              <w:t>специальная</w:t>
            </w:r>
          </w:p>
        </w:tc>
        <w:tc>
          <w:tcPr>
            <w:tcW w:w="1055" w:type="pct"/>
            <w:tcBorders>
              <w:top w:val="nil"/>
              <w:bottom w:val="nil"/>
            </w:tcBorders>
          </w:tcPr>
          <w:p w:rsidR="00000000" w:rsidRDefault="00000000">
            <w:pPr>
              <w:ind w:right="567"/>
              <w:jc w:val="right"/>
              <w:rPr>
                <w:sz w:val="20"/>
              </w:rPr>
            </w:pPr>
            <w:r>
              <w:rPr>
                <w:sz w:val="20"/>
              </w:rPr>
              <w:t>37,80</w:t>
            </w:r>
          </w:p>
        </w:tc>
        <w:tc>
          <w:tcPr>
            <w:tcW w:w="1056" w:type="pct"/>
            <w:tcBorders>
              <w:top w:val="nil"/>
              <w:bottom w:val="nil"/>
            </w:tcBorders>
          </w:tcPr>
          <w:p w:rsidR="00000000" w:rsidRDefault="00000000">
            <w:pPr>
              <w:ind w:right="567"/>
              <w:jc w:val="right"/>
              <w:rPr>
                <w:sz w:val="20"/>
              </w:rPr>
            </w:pPr>
            <w:r>
              <w:rPr>
                <w:sz w:val="20"/>
              </w:rPr>
              <w:t>62,20</w:t>
            </w:r>
          </w:p>
        </w:tc>
      </w:tr>
      <w:tr w:rsidR="00000000">
        <w:tblPrEx>
          <w:tblCellMar>
            <w:top w:w="0" w:type="dxa"/>
            <w:bottom w:w="0" w:type="dxa"/>
          </w:tblCellMar>
        </w:tblPrEx>
        <w:tc>
          <w:tcPr>
            <w:tcW w:w="2889" w:type="pct"/>
            <w:tcBorders>
              <w:top w:val="nil"/>
              <w:bottom w:val="nil"/>
            </w:tcBorders>
          </w:tcPr>
          <w:p w:rsidR="00000000" w:rsidRDefault="00000000">
            <w:pPr>
              <w:rPr>
                <w:sz w:val="20"/>
              </w:rPr>
            </w:pPr>
            <w:r>
              <w:rPr>
                <w:sz w:val="20"/>
              </w:rPr>
              <w:t>Общеобразовательная средняя школа</w:t>
            </w:r>
          </w:p>
        </w:tc>
        <w:tc>
          <w:tcPr>
            <w:tcW w:w="1055" w:type="pct"/>
            <w:tcBorders>
              <w:top w:val="nil"/>
              <w:bottom w:val="nil"/>
            </w:tcBorders>
          </w:tcPr>
          <w:p w:rsidR="00000000" w:rsidRDefault="00000000">
            <w:pPr>
              <w:ind w:right="567"/>
              <w:jc w:val="right"/>
              <w:rPr>
                <w:sz w:val="20"/>
              </w:rPr>
            </w:pPr>
            <w:r>
              <w:rPr>
                <w:sz w:val="20"/>
              </w:rPr>
              <w:t>66,09</w:t>
            </w:r>
          </w:p>
        </w:tc>
        <w:tc>
          <w:tcPr>
            <w:tcW w:w="1056" w:type="pct"/>
            <w:tcBorders>
              <w:top w:val="nil"/>
              <w:bottom w:val="nil"/>
            </w:tcBorders>
          </w:tcPr>
          <w:p w:rsidR="00000000" w:rsidRDefault="00000000">
            <w:pPr>
              <w:ind w:right="567"/>
              <w:jc w:val="right"/>
              <w:rPr>
                <w:sz w:val="20"/>
              </w:rPr>
            </w:pPr>
            <w:r>
              <w:rPr>
                <w:sz w:val="20"/>
              </w:rPr>
              <w:t>33,91</w:t>
            </w:r>
          </w:p>
        </w:tc>
      </w:tr>
      <w:tr w:rsidR="00000000">
        <w:tblPrEx>
          <w:tblCellMar>
            <w:top w:w="0" w:type="dxa"/>
            <w:bottom w:w="0" w:type="dxa"/>
          </w:tblCellMar>
        </w:tblPrEx>
        <w:tc>
          <w:tcPr>
            <w:tcW w:w="2889" w:type="pct"/>
            <w:tcBorders>
              <w:top w:val="nil"/>
              <w:bottom w:val="nil"/>
            </w:tcBorders>
          </w:tcPr>
          <w:p w:rsidR="00000000" w:rsidRDefault="00000000">
            <w:pPr>
              <w:rPr>
                <w:sz w:val="20"/>
              </w:rPr>
            </w:pPr>
            <w:r>
              <w:rPr>
                <w:sz w:val="20"/>
              </w:rPr>
              <w:t>Профессионально-техническое училище, в том числе:</w:t>
            </w:r>
          </w:p>
        </w:tc>
        <w:tc>
          <w:tcPr>
            <w:tcW w:w="1055" w:type="pct"/>
            <w:tcBorders>
              <w:top w:val="nil"/>
              <w:bottom w:val="nil"/>
            </w:tcBorders>
          </w:tcPr>
          <w:p w:rsidR="00000000" w:rsidRDefault="00000000">
            <w:pPr>
              <w:ind w:right="567"/>
              <w:jc w:val="right"/>
              <w:rPr>
                <w:sz w:val="20"/>
              </w:rPr>
            </w:pPr>
            <w:r>
              <w:rPr>
                <w:sz w:val="20"/>
              </w:rPr>
              <w:t>44,59</w:t>
            </w:r>
          </w:p>
        </w:tc>
        <w:tc>
          <w:tcPr>
            <w:tcW w:w="1056" w:type="pct"/>
            <w:tcBorders>
              <w:top w:val="nil"/>
              <w:bottom w:val="nil"/>
            </w:tcBorders>
          </w:tcPr>
          <w:p w:rsidR="00000000" w:rsidRDefault="00000000">
            <w:pPr>
              <w:ind w:right="567"/>
              <w:jc w:val="right"/>
              <w:rPr>
                <w:sz w:val="20"/>
              </w:rPr>
            </w:pPr>
            <w:r>
              <w:rPr>
                <w:sz w:val="20"/>
              </w:rPr>
              <w:t>55,41</w:t>
            </w:r>
          </w:p>
        </w:tc>
      </w:tr>
      <w:tr w:rsidR="00000000">
        <w:tblPrEx>
          <w:tblCellMar>
            <w:top w:w="0" w:type="dxa"/>
            <w:bottom w:w="0" w:type="dxa"/>
          </w:tblCellMar>
        </w:tblPrEx>
        <w:tc>
          <w:tcPr>
            <w:tcW w:w="2889" w:type="pct"/>
            <w:tcBorders>
              <w:top w:val="nil"/>
              <w:bottom w:val="nil"/>
            </w:tcBorders>
          </w:tcPr>
          <w:p w:rsidR="00000000" w:rsidRDefault="00000000">
            <w:pPr>
              <w:tabs>
                <w:tab w:val="clear" w:pos="567"/>
                <w:tab w:val="left" w:pos="266"/>
              </w:tabs>
              <w:ind w:left="453" w:hanging="453"/>
              <w:rPr>
                <w:sz w:val="20"/>
              </w:rPr>
            </w:pPr>
            <w:r>
              <w:rPr>
                <w:sz w:val="20"/>
              </w:rPr>
              <w:tab/>
              <w:t>-</w:t>
            </w:r>
            <w:r>
              <w:rPr>
                <w:sz w:val="20"/>
              </w:rPr>
              <w:tab/>
              <w:t>базовое профессионально-техническое училище</w:t>
            </w:r>
          </w:p>
        </w:tc>
        <w:tc>
          <w:tcPr>
            <w:tcW w:w="1055" w:type="pct"/>
            <w:tcBorders>
              <w:top w:val="nil"/>
              <w:bottom w:val="nil"/>
            </w:tcBorders>
          </w:tcPr>
          <w:p w:rsidR="00000000" w:rsidRDefault="00000000">
            <w:pPr>
              <w:ind w:right="567"/>
              <w:jc w:val="right"/>
              <w:rPr>
                <w:sz w:val="20"/>
              </w:rPr>
            </w:pPr>
            <w:r>
              <w:rPr>
                <w:sz w:val="20"/>
              </w:rPr>
              <w:t>35,73</w:t>
            </w:r>
          </w:p>
        </w:tc>
        <w:tc>
          <w:tcPr>
            <w:tcW w:w="1056" w:type="pct"/>
            <w:tcBorders>
              <w:top w:val="nil"/>
              <w:bottom w:val="nil"/>
            </w:tcBorders>
          </w:tcPr>
          <w:p w:rsidR="00000000" w:rsidRDefault="00000000">
            <w:pPr>
              <w:ind w:right="567"/>
              <w:jc w:val="right"/>
              <w:rPr>
                <w:sz w:val="20"/>
              </w:rPr>
            </w:pPr>
            <w:r>
              <w:rPr>
                <w:sz w:val="20"/>
              </w:rPr>
              <w:t>64,27</w:t>
            </w:r>
          </w:p>
        </w:tc>
      </w:tr>
      <w:tr w:rsidR="00000000">
        <w:tblPrEx>
          <w:tblCellMar>
            <w:top w:w="0" w:type="dxa"/>
            <w:bottom w:w="0" w:type="dxa"/>
          </w:tblCellMar>
        </w:tblPrEx>
        <w:tc>
          <w:tcPr>
            <w:tcW w:w="2889" w:type="pct"/>
            <w:tcBorders>
              <w:top w:val="nil"/>
              <w:bottom w:val="nil"/>
            </w:tcBorders>
          </w:tcPr>
          <w:p w:rsidR="00000000" w:rsidRDefault="00000000">
            <w:pPr>
              <w:tabs>
                <w:tab w:val="clear" w:pos="567"/>
                <w:tab w:val="left" w:pos="266"/>
              </w:tabs>
              <w:ind w:left="453" w:hanging="453"/>
              <w:rPr>
                <w:sz w:val="20"/>
              </w:rPr>
            </w:pPr>
            <w:r>
              <w:rPr>
                <w:sz w:val="20"/>
              </w:rPr>
              <w:tab/>
              <w:t>-</w:t>
            </w:r>
            <w:r>
              <w:rPr>
                <w:sz w:val="20"/>
              </w:rPr>
              <w:tab/>
              <w:t>техническая и профессиональная средняя школа</w:t>
            </w:r>
          </w:p>
        </w:tc>
        <w:tc>
          <w:tcPr>
            <w:tcW w:w="1055" w:type="pct"/>
            <w:tcBorders>
              <w:top w:val="nil"/>
              <w:bottom w:val="nil"/>
            </w:tcBorders>
          </w:tcPr>
          <w:p w:rsidR="00000000" w:rsidRDefault="00000000">
            <w:pPr>
              <w:ind w:right="567"/>
              <w:jc w:val="right"/>
              <w:rPr>
                <w:sz w:val="20"/>
              </w:rPr>
            </w:pPr>
            <w:r>
              <w:rPr>
                <w:sz w:val="20"/>
              </w:rPr>
              <w:t>47,65</w:t>
            </w:r>
          </w:p>
        </w:tc>
        <w:tc>
          <w:tcPr>
            <w:tcW w:w="1056" w:type="pct"/>
            <w:tcBorders>
              <w:top w:val="nil"/>
              <w:bottom w:val="nil"/>
            </w:tcBorders>
          </w:tcPr>
          <w:p w:rsidR="00000000" w:rsidRDefault="00000000">
            <w:pPr>
              <w:ind w:right="567"/>
              <w:jc w:val="right"/>
              <w:rPr>
                <w:sz w:val="20"/>
              </w:rPr>
            </w:pPr>
            <w:r>
              <w:rPr>
                <w:sz w:val="20"/>
              </w:rPr>
              <w:t>52,35</w:t>
            </w:r>
          </w:p>
        </w:tc>
      </w:tr>
      <w:tr w:rsidR="00000000">
        <w:tblPrEx>
          <w:tblCellMar>
            <w:top w:w="0" w:type="dxa"/>
            <w:bottom w:w="0" w:type="dxa"/>
          </w:tblCellMar>
        </w:tblPrEx>
        <w:tc>
          <w:tcPr>
            <w:tcW w:w="2889" w:type="pct"/>
            <w:tcBorders>
              <w:top w:val="nil"/>
              <w:bottom w:val="nil"/>
            </w:tcBorders>
          </w:tcPr>
          <w:p w:rsidR="00000000" w:rsidRDefault="00000000">
            <w:pPr>
              <w:tabs>
                <w:tab w:val="left" w:pos="266"/>
              </w:tabs>
              <w:ind w:left="453" w:hanging="453"/>
              <w:rPr>
                <w:sz w:val="20"/>
              </w:rPr>
            </w:pPr>
            <w:r>
              <w:rPr>
                <w:sz w:val="20"/>
              </w:rPr>
              <w:tab/>
              <w:t>-</w:t>
            </w:r>
            <w:r>
              <w:rPr>
                <w:sz w:val="20"/>
              </w:rPr>
              <w:tab/>
              <w:t>школа на уровне послесреднего образования</w:t>
            </w:r>
          </w:p>
        </w:tc>
        <w:tc>
          <w:tcPr>
            <w:tcW w:w="1055" w:type="pct"/>
            <w:tcBorders>
              <w:top w:val="nil"/>
              <w:bottom w:val="nil"/>
            </w:tcBorders>
          </w:tcPr>
          <w:p w:rsidR="00000000" w:rsidRDefault="00000000">
            <w:pPr>
              <w:ind w:right="567"/>
              <w:jc w:val="right"/>
              <w:rPr>
                <w:sz w:val="20"/>
              </w:rPr>
            </w:pPr>
            <w:r>
              <w:rPr>
                <w:sz w:val="20"/>
              </w:rPr>
              <w:t>75,32</w:t>
            </w:r>
          </w:p>
        </w:tc>
        <w:tc>
          <w:tcPr>
            <w:tcW w:w="1056" w:type="pct"/>
            <w:tcBorders>
              <w:top w:val="nil"/>
              <w:bottom w:val="nil"/>
            </w:tcBorders>
          </w:tcPr>
          <w:p w:rsidR="00000000" w:rsidRDefault="00000000">
            <w:pPr>
              <w:ind w:right="567"/>
              <w:jc w:val="right"/>
              <w:rPr>
                <w:sz w:val="20"/>
              </w:rPr>
            </w:pPr>
            <w:r>
              <w:rPr>
                <w:sz w:val="20"/>
              </w:rPr>
              <w:t>24,68</w:t>
            </w:r>
          </w:p>
        </w:tc>
      </w:tr>
      <w:tr w:rsidR="00000000">
        <w:tblPrEx>
          <w:tblCellMar>
            <w:top w:w="0" w:type="dxa"/>
            <w:bottom w:w="0" w:type="dxa"/>
          </w:tblCellMar>
        </w:tblPrEx>
        <w:tc>
          <w:tcPr>
            <w:tcW w:w="2889" w:type="pct"/>
            <w:tcBorders>
              <w:top w:val="nil"/>
              <w:bottom w:val="nil"/>
            </w:tcBorders>
          </w:tcPr>
          <w:p w:rsidR="00000000" w:rsidRDefault="00000000">
            <w:pPr>
              <w:rPr>
                <w:sz w:val="20"/>
              </w:rPr>
            </w:pPr>
            <w:r>
              <w:rPr>
                <w:sz w:val="20"/>
              </w:rPr>
              <w:t>Специализированные школы, в том числе:</w:t>
            </w:r>
          </w:p>
        </w:tc>
        <w:tc>
          <w:tcPr>
            <w:tcW w:w="1055" w:type="pct"/>
            <w:tcBorders>
              <w:top w:val="nil"/>
              <w:bottom w:val="nil"/>
            </w:tcBorders>
          </w:tcPr>
          <w:p w:rsidR="00000000" w:rsidRDefault="00000000">
            <w:pPr>
              <w:ind w:right="567"/>
              <w:jc w:val="right"/>
              <w:rPr>
                <w:sz w:val="20"/>
              </w:rPr>
            </w:pPr>
            <w:r>
              <w:rPr>
                <w:sz w:val="20"/>
              </w:rPr>
              <w:t>40,96</w:t>
            </w:r>
          </w:p>
        </w:tc>
        <w:tc>
          <w:tcPr>
            <w:tcW w:w="1056" w:type="pct"/>
            <w:tcBorders>
              <w:top w:val="nil"/>
              <w:bottom w:val="nil"/>
            </w:tcBorders>
          </w:tcPr>
          <w:p w:rsidR="00000000" w:rsidRDefault="00000000">
            <w:pPr>
              <w:ind w:right="567"/>
              <w:jc w:val="right"/>
              <w:rPr>
                <w:sz w:val="20"/>
              </w:rPr>
            </w:pPr>
            <w:r>
              <w:rPr>
                <w:sz w:val="20"/>
              </w:rPr>
              <w:t>59,34</w:t>
            </w:r>
          </w:p>
        </w:tc>
      </w:tr>
      <w:tr w:rsidR="00000000">
        <w:tblPrEx>
          <w:tblCellMar>
            <w:top w:w="0" w:type="dxa"/>
            <w:bottom w:w="0" w:type="dxa"/>
          </w:tblCellMar>
        </w:tblPrEx>
        <w:tc>
          <w:tcPr>
            <w:tcW w:w="2889" w:type="pct"/>
            <w:tcBorders>
              <w:top w:val="nil"/>
              <w:bottom w:val="nil"/>
            </w:tcBorders>
          </w:tcPr>
          <w:p w:rsidR="00000000" w:rsidRDefault="00000000">
            <w:pPr>
              <w:tabs>
                <w:tab w:val="left" w:pos="266"/>
              </w:tabs>
              <w:ind w:left="453" w:hanging="453"/>
              <w:rPr>
                <w:sz w:val="20"/>
              </w:rPr>
            </w:pPr>
            <w:r>
              <w:rPr>
                <w:sz w:val="20"/>
              </w:rPr>
              <w:tab/>
              <w:t>-</w:t>
            </w:r>
            <w:r>
              <w:rPr>
                <w:sz w:val="20"/>
              </w:rPr>
              <w:tab/>
              <w:t>художественные школы первого уровня</w:t>
            </w:r>
          </w:p>
        </w:tc>
        <w:tc>
          <w:tcPr>
            <w:tcW w:w="1055" w:type="pct"/>
            <w:tcBorders>
              <w:top w:val="nil"/>
              <w:bottom w:val="nil"/>
            </w:tcBorders>
          </w:tcPr>
          <w:p w:rsidR="00000000" w:rsidRDefault="00000000">
            <w:pPr>
              <w:ind w:right="567"/>
              <w:jc w:val="right"/>
              <w:rPr>
                <w:sz w:val="20"/>
              </w:rPr>
            </w:pPr>
            <w:r>
              <w:rPr>
                <w:sz w:val="20"/>
              </w:rPr>
              <w:t>61,60</w:t>
            </w:r>
          </w:p>
        </w:tc>
        <w:tc>
          <w:tcPr>
            <w:tcW w:w="1056" w:type="pct"/>
            <w:tcBorders>
              <w:top w:val="nil"/>
              <w:bottom w:val="nil"/>
            </w:tcBorders>
          </w:tcPr>
          <w:p w:rsidR="00000000" w:rsidRDefault="00000000">
            <w:pPr>
              <w:ind w:right="567"/>
              <w:jc w:val="right"/>
              <w:rPr>
                <w:sz w:val="20"/>
              </w:rPr>
            </w:pPr>
            <w:r>
              <w:rPr>
                <w:sz w:val="20"/>
              </w:rPr>
              <w:t>38,40</w:t>
            </w:r>
          </w:p>
        </w:tc>
      </w:tr>
      <w:tr w:rsidR="00000000">
        <w:tblPrEx>
          <w:tblCellMar>
            <w:top w:w="0" w:type="dxa"/>
            <w:bottom w:w="0" w:type="dxa"/>
          </w:tblCellMar>
        </w:tblPrEx>
        <w:tc>
          <w:tcPr>
            <w:tcW w:w="2889" w:type="pct"/>
            <w:tcBorders>
              <w:top w:val="nil"/>
            </w:tcBorders>
          </w:tcPr>
          <w:p w:rsidR="00000000" w:rsidRDefault="00000000">
            <w:pPr>
              <w:rPr>
                <w:sz w:val="20"/>
              </w:rPr>
            </w:pPr>
            <w:r>
              <w:rPr>
                <w:sz w:val="20"/>
              </w:rPr>
              <w:t>Высшие учебные заведения (очное обучение)</w:t>
            </w:r>
          </w:p>
        </w:tc>
        <w:tc>
          <w:tcPr>
            <w:tcW w:w="1055" w:type="pct"/>
            <w:tcBorders>
              <w:top w:val="nil"/>
            </w:tcBorders>
          </w:tcPr>
          <w:p w:rsidR="00000000" w:rsidRDefault="00000000">
            <w:pPr>
              <w:ind w:right="567"/>
              <w:jc w:val="right"/>
              <w:rPr>
                <w:sz w:val="20"/>
              </w:rPr>
            </w:pPr>
            <w:r>
              <w:rPr>
                <w:sz w:val="20"/>
              </w:rPr>
              <w:t>53,38</w:t>
            </w:r>
          </w:p>
        </w:tc>
        <w:tc>
          <w:tcPr>
            <w:tcW w:w="1056" w:type="pct"/>
            <w:tcBorders>
              <w:top w:val="nil"/>
            </w:tcBorders>
          </w:tcPr>
          <w:p w:rsidR="00000000" w:rsidRDefault="00000000">
            <w:pPr>
              <w:ind w:right="567"/>
              <w:jc w:val="right"/>
              <w:rPr>
                <w:sz w:val="20"/>
              </w:rPr>
            </w:pPr>
            <w:r>
              <w:rPr>
                <w:sz w:val="20"/>
              </w:rPr>
              <w:t>46,62</w:t>
            </w:r>
          </w:p>
        </w:tc>
      </w:tr>
    </w:tbl>
    <w:p w:rsidR="00000000" w:rsidRDefault="00000000"/>
    <w:p w:rsidR="00000000" w:rsidRDefault="00000000">
      <w:r>
        <w:tab/>
      </w:r>
      <w:r>
        <w:rPr>
          <w:u w:val="single"/>
        </w:rPr>
        <w:t>Источник</w:t>
      </w:r>
      <w:r>
        <w:t>:  данные министерства национального образования.</w:t>
      </w:r>
    </w:p>
    <w:p w:rsidR="00000000" w:rsidRDefault="00000000">
      <w:pPr>
        <w:pStyle w:val="FootnoteText"/>
        <w:spacing w:line="288" w:lineRule="auto"/>
      </w:pPr>
    </w:p>
    <w:p w:rsidR="00000000" w:rsidRDefault="00000000">
      <w:pPr>
        <w:ind w:left="1134" w:hanging="1134"/>
        <w:rPr>
          <w:b/>
          <w:bCs/>
        </w:rPr>
      </w:pPr>
      <w:r>
        <w:tab/>
      </w:r>
      <w:r>
        <w:rPr>
          <w:b/>
          <w:bCs/>
        </w:rPr>
        <w:t>2.</w:t>
      </w:r>
      <w:r>
        <w:rPr>
          <w:b/>
          <w:bCs/>
        </w:rPr>
        <w:tab/>
        <w:t>В какой степени девочки, дети из семей с низким доходом, дети в сельских районах, физически или умственно отсталые дети, дети иммигрантов и трудящихся-мигрантов, дети, принадлежащие к языковым, расовым, религиозным или прочим меньшинствам, и дети из числа коренного населения пользуются правом на приобретение грамотности и на образование</w:t>
      </w:r>
    </w:p>
    <w:p w:rsidR="00000000" w:rsidRDefault="00000000">
      <w:pPr>
        <w:rPr>
          <w:b/>
          <w:bCs/>
        </w:rPr>
      </w:pPr>
    </w:p>
    <w:p w:rsidR="00000000" w:rsidRDefault="00000000">
      <w:pPr>
        <w:pStyle w:val="Heading1"/>
        <w:rPr>
          <w:bCs/>
        </w:rPr>
      </w:pPr>
      <w:r>
        <w:rPr>
          <w:bCs/>
        </w:rPr>
        <w:t>Девочки, дети из семей с низким доходом, дети в сельских районах</w:t>
      </w:r>
    </w:p>
    <w:p w:rsidR="00000000" w:rsidRDefault="00000000">
      <w:pPr>
        <w:rPr>
          <w:u w:val="single"/>
        </w:rPr>
      </w:pPr>
    </w:p>
    <w:p w:rsidR="00000000" w:rsidRDefault="00000000">
      <w:r>
        <w:t>336.</w:t>
      </w:r>
      <w:r>
        <w:tab/>
        <w:t>Что касается девочек, то какие-либо правовые или иные ограничения в их отношении отсутствовали.  Дети из семей с низким доходом ни в коей мере не ограничивались в своем праве, но при этом они сталкивались с другими ограничениями, описанными выше.  У них также было мало возможностей посещать негосударственные платные школы, поскольку в Польше еще нет полностью развитой современной системы стипендий или грантов для одаренных учащихся, лишенных средств для использования в полной мере преимуществ всех видов школ.  В сельских районах проблема, как правило, заключается в том, что детям приходится преодолевать большие расстояния до школы и они вынуждены работать на фермах.  В пункте 9 статьи 1 Закона о системе образования говорится об уменьшении различий в сфере образования и попечения в разных районах страны, в частности различий между городом и деревней.</w:t>
      </w:r>
    </w:p>
    <w:p w:rsidR="00000000" w:rsidRDefault="00000000"/>
    <w:p w:rsidR="00000000" w:rsidRDefault="00000000">
      <w:pPr>
        <w:pStyle w:val="Heading1"/>
        <w:rPr>
          <w:bCs/>
        </w:rPr>
      </w:pPr>
      <w:r>
        <w:rPr>
          <w:bCs/>
        </w:rPr>
        <w:br w:type="page"/>
        <w:t>Физически или умственно отсталые дети</w:t>
      </w:r>
    </w:p>
    <w:p w:rsidR="00000000" w:rsidRDefault="00000000">
      <w:pPr>
        <w:rPr>
          <w:u w:val="single"/>
        </w:rPr>
      </w:pPr>
    </w:p>
    <w:p w:rsidR="00000000" w:rsidRDefault="00000000">
      <w:r>
        <w:t>337.</w:t>
      </w:r>
      <w:r>
        <w:tab/>
        <w:t>В целом представленная в предыдущем докладе информация сохраняет свою актуальность.  Министерство национального образования сформировало правовую и организационную основу для обучения детей со всеми видами инвалидности.  В распоряжении министра национального образования от 30 января 1997 года о принципах организации мероприятий по реабилитации и обучению детей и подростков, страдающих серьезными умственными заболеваниями, содержится положение о том, что эта группа может осуществлять свое право на образование через посредство реабилитационных и учебных курсов.  Дети в возрасте от трех до шести лет, страдающие физическими или умственными недостатками, могли проходить курс ранней реабилитации.  Наряду с другими детьми они получали образование на уровне детского сада.  В марте 1997 года были организованы реабилитационные учебные курсы для детей и подростков в возрасте от 3 до 25 лет с серьезными умственными недостатками.  Для нужд таких детей и подростков была подготовлена большая группа преподавателей, специализирующихся на различных методах реабилитации и обучения.  Для них была подготовлена программа, посвященная тому, как заниматься с "детьми, встречающими глубокое непонимание в обществе".  Она в свою очередь послужила основой для разработки индивидуальных программ реабилитации и обучения, одновременно являясь методическим пособием.  Пункт 5 статьи 1 Закона о системе образования предусматривает, что инвалиды и социально неадаптированные дети и подростки могут получать образование во всех видах школ в соответствии со своими индивидуальными потребностями развития и образования.</w:t>
      </w:r>
    </w:p>
    <w:p w:rsidR="00000000" w:rsidRDefault="00000000"/>
    <w:p w:rsidR="00000000" w:rsidRDefault="00000000">
      <w:pPr>
        <w:pStyle w:val="Heading1"/>
        <w:rPr>
          <w:bCs/>
        </w:rPr>
      </w:pPr>
      <w:r>
        <w:rPr>
          <w:bCs/>
        </w:rPr>
        <w:t>Дети, принадлежащие к национальным меньшинствам</w:t>
      </w:r>
    </w:p>
    <w:p w:rsidR="00000000" w:rsidRDefault="00000000">
      <w:pPr>
        <w:rPr>
          <w:u w:val="single"/>
        </w:rPr>
      </w:pPr>
    </w:p>
    <w:p w:rsidR="00000000" w:rsidRDefault="00000000">
      <w:r>
        <w:t>338.</w:t>
      </w:r>
      <w:r>
        <w:tab/>
        <w:t>Конституция 1997 года предусматривала, что национальные и этнические меньшинства имеют возможность обучаться на своем родном языке и иметь учебники на этом языке.  Кроме того, в статье 1 Закона о системе образования от 7 сентября 1991 года закреплено право каждого гражданина на образование, включая право детей на школьное образование.  Подробно об образовании меньшинств говорится в статье 13 указанного Закона,  подробно истолкованной распоряжением министра национального образования от 24 марта 1992 года об организации образования, обеспечивающего сохранение национальной, этнической и языковой самобытности учащихся, принадлежащих к национальным меньшинствам (Законодательный вестник за 1992 год, № 34, пункт 150).  При организации таких школ были учтены просьбы родителей, учащихся и групп меньшинств.  В стране существуют школы, где преподавание ведется на родном языке меньшинства, школы с дополнительными классами для изучения языка данного меньшинства и школы, где обучение ведется на двух языках.  Классы могут состоять из представителей одного меньшинства или быть смешанными.  Занятия, которые ведутся на родном языке меньшинства, организуются по группам в составе минимум 7 учащихся в начальных школах и 14 учащихся в школах посленачального уровня.  В школах с обучением на языке меньшинства даются уроки географии и истории, на которых рассказывается о стране их происхождения.  Все школьные предметы преподаются на языке меньшинства, за исключением занятий по польскому языку, литературе и истории.  Оба вида занятий на родном и польском языке одинаковы по количеству часов.  Учащиеся должны сдавать выпускные экзамены на своем родном языке и получать свидетельства об окончании школы на обоих языках.  В школах с дополнительными занятиями на языке меньшинства и в школах, где обучение ведется на двух языках, имеется возможность изучать элементы истории и географии страны происхождения.  Детские сады также обеспечивают образование на языке меньшинств.  Государственный бюджет предусматривает финансовую помощь для управления предназначенных для меньшинств школ, а также подготовку преподавателей и проведение культурно-просветительных мероприятий в поддержку национальной, этнической и языковой самобытности учащихся.  С 1 января 1996 года, когда руководство государственными начальными школами перешло к гминам, им стали выделять больше средств на образование.  Средние школы для меньшинств финансировались за счет расходов на образование, запланированных в бюджете воеводств.</w:t>
      </w:r>
    </w:p>
    <w:p w:rsidR="00000000" w:rsidRDefault="00000000"/>
    <w:p w:rsidR="00000000" w:rsidRDefault="00000000">
      <w:pPr>
        <w:pStyle w:val="BodyTextIndent"/>
        <w:rPr>
          <w:b/>
          <w:bCs/>
        </w:rPr>
      </w:pPr>
      <w:r>
        <w:rPr>
          <w:b/>
          <w:bCs/>
          <w:u w:val="single"/>
        </w:rPr>
        <w:t>Таблица 41</w:t>
      </w:r>
      <w:r>
        <w:rPr>
          <w:b/>
          <w:bCs/>
        </w:rPr>
        <w:t>.</w:t>
      </w:r>
      <w:r>
        <w:rPr>
          <w:b/>
          <w:bCs/>
        </w:rPr>
        <w:tab/>
      </w:r>
      <w:r>
        <w:rPr>
          <w:b/>
          <w:bCs/>
          <w:u w:val="single"/>
        </w:rPr>
        <w:t>Преподавание на языке национальных и этнических меньшинств в 1996/97 учебном году</w:t>
      </w:r>
    </w:p>
    <w:p w:rsidR="00000000" w:rsidRDefault="00000000">
      <w:pPr>
        <w:pStyle w:val="BodyTextIndent"/>
        <w:jc w:val="right"/>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13" w:type="dxa"/>
          <w:bottom w:w="28" w:type="dxa"/>
          <w:right w:w="113" w:type="dxa"/>
        </w:tblCellMar>
        <w:tblLook w:val="0000" w:firstRow="0" w:lastRow="0" w:firstColumn="0" w:lastColumn="0" w:noHBand="0" w:noVBand="0"/>
      </w:tblPr>
      <w:tblGrid>
        <w:gridCol w:w="1524"/>
        <w:gridCol w:w="3339"/>
        <w:gridCol w:w="1605"/>
        <w:gridCol w:w="1304"/>
        <w:gridCol w:w="1808"/>
      </w:tblGrid>
      <w:tr w:rsidR="00000000">
        <w:trPr>
          <w:tblHeader/>
        </w:trPr>
        <w:tc>
          <w:tcPr>
            <w:tcW w:w="1524" w:type="dxa"/>
            <w:vAlign w:val="center"/>
          </w:tcPr>
          <w:p w:rsidR="00000000" w:rsidRDefault="00000000">
            <w:pPr>
              <w:spacing w:line="240" w:lineRule="auto"/>
              <w:jc w:val="center"/>
              <w:rPr>
                <w:sz w:val="20"/>
              </w:rPr>
            </w:pPr>
            <w:r>
              <w:rPr>
                <w:sz w:val="20"/>
              </w:rPr>
              <w:t>Язык</w:t>
            </w:r>
          </w:p>
        </w:tc>
        <w:tc>
          <w:tcPr>
            <w:tcW w:w="3339" w:type="dxa"/>
            <w:vAlign w:val="center"/>
          </w:tcPr>
          <w:p w:rsidR="00000000" w:rsidRDefault="00000000">
            <w:pPr>
              <w:spacing w:line="240" w:lineRule="auto"/>
              <w:jc w:val="center"/>
              <w:rPr>
                <w:sz w:val="20"/>
              </w:rPr>
            </w:pPr>
            <w:r>
              <w:rPr>
                <w:sz w:val="20"/>
              </w:rPr>
              <w:t>Уровень образования</w:t>
            </w:r>
          </w:p>
        </w:tc>
        <w:tc>
          <w:tcPr>
            <w:tcW w:w="0" w:type="auto"/>
            <w:vAlign w:val="center"/>
          </w:tcPr>
          <w:p w:rsidR="00000000" w:rsidRDefault="00000000">
            <w:pPr>
              <w:tabs>
                <w:tab w:val="clear" w:pos="567"/>
                <w:tab w:val="clear" w:pos="1134"/>
                <w:tab w:val="clear" w:pos="1701"/>
                <w:tab w:val="clear" w:pos="2268"/>
                <w:tab w:val="clear" w:pos="6237"/>
                <w:tab w:val="decimal" w:pos="851"/>
              </w:tabs>
              <w:spacing w:line="240" w:lineRule="auto"/>
              <w:jc w:val="center"/>
              <w:rPr>
                <w:sz w:val="20"/>
              </w:rPr>
            </w:pPr>
            <w:r>
              <w:rPr>
                <w:sz w:val="20"/>
              </w:rPr>
              <w:t>Кол-во учебных заведений</w:t>
            </w:r>
          </w:p>
        </w:tc>
        <w:tc>
          <w:tcPr>
            <w:tcW w:w="0" w:type="auto"/>
            <w:vAlign w:val="center"/>
          </w:tcPr>
          <w:p w:rsidR="00000000" w:rsidRDefault="00000000">
            <w:pPr>
              <w:tabs>
                <w:tab w:val="clear" w:pos="567"/>
                <w:tab w:val="clear" w:pos="1134"/>
                <w:tab w:val="clear" w:pos="1701"/>
                <w:tab w:val="clear" w:pos="2268"/>
                <w:tab w:val="clear" w:pos="6237"/>
                <w:tab w:val="decimal" w:pos="851"/>
              </w:tabs>
              <w:spacing w:line="240" w:lineRule="auto"/>
              <w:jc w:val="center"/>
              <w:rPr>
                <w:sz w:val="20"/>
              </w:rPr>
            </w:pPr>
            <w:r>
              <w:rPr>
                <w:sz w:val="20"/>
              </w:rPr>
              <w:t>Кол-во учащихся</w:t>
            </w:r>
          </w:p>
        </w:tc>
        <w:tc>
          <w:tcPr>
            <w:tcW w:w="0" w:type="auto"/>
            <w:vAlign w:val="center"/>
          </w:tcPr>
          <w:p w:rsidR="00000000" w:rsidRDefault="00000000">
            <w:pPr>
              <w:tabs>
                <w:tab w:val="clear" w:pos="567"/>
                <w:tab w:val="clear" w:pos="1134"/>
                <w:tab w:val="clear" w:pos="1701"/>
                <w:tab w:val="clear" w:pos="2268"/>
                <w:tab w:val="clear" w:pos="6237"/>
                <w:tab w:val="decimal" w:pos="851"/>
              </w:tabs>
              <w:spacing w:line="240" w:lineRule="auto"/>
              <w:jc w:val="center"/>
              <w:rPr>
                <w:sz w:val="20"/>
              </w:rPr>
            </w:pPr>
            <w:r>
              <w:rPr>
                <w:sz w:val="20"/>
              </w:rPr>
              <w:t>Кол-во преподавателей</w:t>
            </w:r>
          </w:p>
        </w:tc>
      </w:tr>
      <w:tr w:rsidR="00000000">
        <w:trPr>
          <w:cantSplit/>
        </w:trPr>
        <w:tc>
          <w:tcPr>
            <w:tcW w:w="1524" w:type="dxa"/>
            <w:vMerge w:val="restart"/>
          </w:tcPr>
          <w:p w:rsidR="00000000" w:rsidRDefault="00000000">
            <w:pPr>
              <w:spacing w:line="240" w:lineRule="auto"/>
              <w:rPr>
                <w:sz w:val="20"/>
              </w:rPr>
            </w:pPr>
            <w:r>
              <w:rPr>
                <w:sz w:val="20"/>
              </w:rPr>
              <w:t>Родные языки, всего</w:t>
            </w:r>
          </w:p>
        </w:tc>
        <w:tc>
          <w:tcPr>
            <w:tcW w:w="3339" w:type="dxa"/>
            <w:tcBorders>
              <w:bottom w:val="nil"/>
            </w:tcBorders>
          </w:tcPr>
          <w:p w:rsidR="00000000" w:rsidRDefault="00000000">
            <w:pPr>
              <w:spacing w:line="240" w:lineRule="auto"/>
              <w:rPr>
                <w:sz w:val="20"/>
              </w:rPr>
            </w:pPr>
            <w:r>
              <w:rPr>
                <w:sz w:val="20"/>
              </w:rPr>
              <w:t>Всего:</w:t>
            </w:r>
          </w:p>
        </w:tc>
        <w:tc>
          <w:tcPr>
            <w:tcW w:w="0" w:type="auto"/>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440</w:t>
            </w:r>
          </w:p>
        </w:tc>
        <w:tc>
          <w:tcPr>
            <w:tcW w:w="0" w:type="auto"/>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32 078</w:t>
            </w:r>
          </w:p>
        </w:tc>
        <w:tc>
          <w:tcPr>
            <w:tcW w:w="0" w:type="auto"/>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640</w:t>
            </w:r>
          </w:p>
        </w:tc>
      </w:tr>
      <w:tr w:rsidR="00000000">
        <w:trPr>
          <w:cantSplit/>
        </w:trPr>
        <w:tc>
          <w:tcPr>
            <w:tcW w:w="1524" w:type="dxa"/>
            <w:vMerge/>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Детский сад</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127</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8</w:t>
            </w:r>
          </w:p>
        </w:tc>
      </w:tr>
      <w:tr w:rsidR="00000000">
        <w:trPr>
          <w:cantSplit/>
          <w:trHeight w:val="77"/>
        </w:trPr>
        <w:tc>
          <w:tcPr>
            <w:tcW w:w="1524" w:type="dxa"/>
            <w:vMerge/>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Отделения детских садов в начальных школах</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27</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288</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w:t>
            </w:r>
          </w:p>
        </w:tc>
      </w:tr>
      <w:tr w:rsidR="00000000">
        <w:trPr>
          <w:cantSplit/>
        </w:trPr>
        <w:tc>
          <w:tcPr>
            <w:tcW w:w="1524" w:type="dxa"/>
            <w:vMerge/>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Начальные школы</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395</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29 348</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608</w:t>
            </w:r>
          </w:p>
        </w:tc>
      </w:tr>
      <w:tr w:rsidR="00000000">
        <w:trPr>
          <w:cantSplit/>
        </w:trPr>
        <w:tc>
          <w:tcPr>
            <w:tcW w:w="1524" w:type="dxa"/>
            <w:vMerge/>
            <w:tcBorders>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Школы посленачального уровня</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14</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2 315</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24</w:t>
            </w:r>
          </w:p>
        </w:tc>
      </w:tr>
      <w:tr w:rsidR="00000000">
        <w:trPr>
          <w:cantSplit/>
        </w:trPr>
        <w:tc>
          <w:tcPr>
            <w:tcW w:w="1524" w:type="dxa"/>
            <w:vMerge w:val="restart"/>
            <w:tcBorders>
              <w:top w:val="nil"/>
            </w:tcBorders>
          </w:tcPr>
          <w:p w:rsidR="00000000" w:rsidRDefault="00000000">
            <w:pPr>
              <w:spacing w:line="240" w:lineRule="auto"/>
              <w:rPr>
                <w:sz w:val="20"/>
              </w:rPr>
            </w:pPr>
            <w:r>
              <w:rPr>
                <w:sz w:val="20"/>
              </w:rPr>
              <w:t>Украинский</w:t>
            </w:r>
          </w:p>
        </w:tc>
        <w:tc>
          <w:tcPr>
            <w:tcW w:w="3339" w:type="dxa"/>
            <w:tcBorders>
              <w:top w:val="nil"/>
              <w:bottom w:val="nil"/>
            </w:tcBorders>
          </w:tcPr>
          <w:p w:rsidR="00000000" w:rsidRDefault="00000000">
            <w:pPr>
              <w:spacing w:line="240" w:lineRule="auto"/>
              <w:rPr>
                <w:sz w:val="20"/>
              </w:rPr>
            </w:pPr>
            <w:r>
              <w:rPr>
                <w:sz w:val="20"/>
              </w:rPr>
              <w:t>Всего:</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91</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2 779</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112</w:t>
            </w:r>
          </w:p>
        </w:tc>
      </w:tr>
      <w:tr w:rsidR="00000000">
        <w:trPr>
          <w:cantSplit/>
        </w:trPr>
        <w:tc>
          <w:tcPr>
            <w:tcW w:w="1524" w:type="dxa"/>
            <w:vMerge/>
            <w:tcBorders>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Детский сад</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11</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w:t>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Отделения детских садов в начальных школах</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9</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76</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w:t>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Начальные школы</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75</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2 255</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104</w:t>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Школы посленачального уровня</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6</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437</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6</w:t>
            </w:r>
          </w:p>
        </w:tc>
      </w:tr>
      <w:tr w:rsidR="00000000">
        <w:trPr>
          <w:cantSplit/>
        </w:trPr>
        <w:tc>
          <w:tcPr>
            <w:tcW w:w="1524" w:type="dxa"/>
            <w:vMerge w:val="restart"/>
            <w:tcBorders>
              <w:top w:val="nil"/>
            </w:tcBorders>
          </w:tcPr>
          <w:p w:rsidR="00000000" w:rsidRDefault="00000000">
            <w:pPr>
              <w:spacing w:line="240" w:lineRule="auto"/>
              <w:rPr>
                <w:sz w:val="20"/>
              </w:rPr>
            </w:pPr>
            <w:r>
              <w:rPr>
                <w:sz w:val="20"/>
              </w:rPr>
              <w:t>Литовский</w:t>
            </w:r>
          </w:p>
        </w:tc>
        <w:tc>
          <w:tcPr>
            <w:tcW w:w="3339" w:type="dxa"/>
            <w:tcBorders>
              <w:top w:val="nil"/>
              <w:bottom w:val="nil"/>
            </w:tcBorders>
          </w:tcPr>
          <w:p w:rsidR="00000000" w:rsidRDefault="00000000">
            <w:pPr>
              <w:spacing w:line="240" w:lineRule="auto"/>
              <w:rPr>
                <w:sz w:val="20"/>
              </w:rPr>
            </w:pPr>
            <w:r>
              <w:rPr>
                <w:sz w:val="20"/>
              </w:rPr>
              <w:t>Всего:</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18</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809</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30</w:t>
            </w:r>
          </w:p>
        </w:tc>
      </w:tr>
      <w:tr w:rsidR="00000000">
        <w:trPr>
          <w:cantSplit/>
        </w:trPr>
        <w:tc>
          <w:tcPr>
            <w:tcW w:w="1524" w:type="dxa"/>
            <w:vMerge/>
            <w:tcBorders>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Детский сад</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sym w:font="Symbol" w:char="F02D"/>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sym w:font="Symbol" w:char="F02D"/>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sym w:font="Symbol" w:char="F02D"/>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Отделения детских садов в начальных школах</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18</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w:t>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Начальные школы</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13</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636</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27</w:t>
            </w:r>
          </w:p>
        </w:tc>
      </w:tr>
      <w:tr w:rsidR="00000000">
        <w:tc>
          <w:tcPr>
            <w:tcW w:w="1524" w:type="dxa"/>
            <w:tcBorders>
              <w:top w:val="nil"/>
            </w:tcBorders>
          </w:tcPr>
          <w:p w:rsidR="00000000" w:rsidRDefault="00000000">
            <w:pPr>
              <w:spacing w:line="240" w:lineRule="auto"/>
              <w:rPr>
                <w:sz w:val="20"/>
              </w:rPr>
            </w:pPr>
          </w:p>
        </w:tc>
        <w:tc>
          <w:tcPr>
            <w:tcW w:w="3339" w:type="dxa"/>
            <w:tcBorders>
              <w:top w:val="nil"/>
            </w:tcBorders>
          </w:tcPr>
          <w:p w:rsidR="00000000" w:rsidRDefault="00000000">
            <w:pPr>
              <w:spacing w:line="240" w:lineRule="auto"/>
              <w:rPr>
                <w:sz w:val="20"/>
              </w:rPr>
            </w:pPr>
            <w:r>
              <w:rPr>
                <w:sz w:val="20"/>
              </w:rPr>
              <w:t>Школы посленачального уровня</w:t>
            </w:r>
          </w:p>
        </w:tc>
        <w:tc>
          <w:tcPr>
            <w:tcW w:w="0" w:type="auto"/>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w:t>
            </w:r>
          </w:p>
        </w:tc>
        <w:tc>
          <w:tcPr>
            <w:tcW w:w="0" w:type="auto"/>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155</w:t>
            </w:r>
          </w:p>
        </w:tc>
        <w:tc>
          <w:tcPr>
            <w:tcW w:w="0" w:type="auto"/>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w:t>
            </w:r>
          </w:p>
        </w:tc>
      </w:tr>
      <w:tr w:rsidR="00000000">
        <w:trPr>
          <w:cantSplit/>
        </w:trPr>
        <w:tc>
          <w:tcPr>
            <w:tcW w:w="1524" w:type="dxa"/>
            <w:vMerge w:val="restart"/>
          </w:tcPr>
          <w:p w:rsidR="00000000" w:rsidRDefault="00000000">
            <w:pPr>
              <w:spacing w:line="240" w:lineRule="auto"/>
              <w:rPr>
                <w:sz w:val="20"/>
              </w:rPr>
            </w:pPr>
            <w:r>
              <w:rPr>
                <w:sz w:val="20"/>
              </w:rPr>
              <w:t>Белорусский</w:t>
            </w:r>
          </w:p>
        </w:tc>
        <w:tc>
          <w:tcPr>
            <w:tcW w:w="3339" w:type="dxa"/>
            <w:tcBorders>
              <w:bottom w:val="nil"/>
            </w:tcBorders>
          </w:tcPr>
          <w:p w:rsidR="00000000" w:rsidRDefault="00000000">
            <w:pPr>
              <w:spacing w:line="240" w:lineRule="auto"/>
              <w:rPr>
                <w:sz w:val="20"/>
              </w:rPr>
            </w:pPr>
            <w:r>
              <w:rPr>
                <w:sz w:val="20"/>
              </w:rPr>
              <w:t>Всего:</w:t>
            </w:r>
          </w:p>
        </w:tc>
        <w:tc>
          <w:tcPr>
            <w:tcW w:w="0" w:type="auto"/>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48</w:t>
            </w:r>
          </w:p>
        </w:tc>
        <w:tc>
          <w:tcPr>
            <w:tcW w:w="0" w:type="auto"/>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3 929</w:t>
            </w:r>
          </w:p>
        </w:tc>
        <w:tc>
          <w:tcPr>
            <w:tcW w:w="0" w:type="auto"/>
            <w:tcBorders>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80</w:t>
            </w:r>
          </w:p>
        </w:tc>
      </w:tr>
      <w:tr w:rsidR="00000000">
        <w:trPr>
          <w:cantSplit/>
        </w:trPr>
        <w:tc>
          <w:tcPr>
            <w:tcW w:w="1524" w:type="dxa"/>
            <w:vMerge/>
            <w:tcBorders>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Детский сад</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39</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w:t>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Отделения детских садов в начальных школах</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5</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63</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w:t>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Начальные школы</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40</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2 904</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69</w:t>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Школы посленачального уровня</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923</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7</w:t>
            </w:r>
          </w:p>
        </w:tc>
      </w:tr>
      <w:tr w:rsidR="00000000">
        <w:trPr>
          <w:cantSplit/>
        </w:trPr>
        <w:tc>
          <w:tcPr>
            <w:tcW w:w="1524" w:type="dxa"/>
            <w:vMerge w:val="restart"/>
            <w:tcBorders>
              <w:top w:val="nil"/>
            </w:tcBorders>
          </w:tcPr>
          <w:p w:rsidR="00000000" w:rsidRDefault="00000000">
            <w:pPr>
              <w:spacing w:line="240" w:lineRule="auto"/>
              <w:rPr>
                <w:sz w:val="20"/>
              </w:rPr>
            </w:pPr>
            <w:r>
              <w:rPr>
                <w:sz w:val="20"/>
              </w:rPr>
              <w:t>Немецкий</w:t>
            </w:r>
          </w:p>
        </w:tc>
        <w:tc>
          <w:tcPr>
            <w:tcW w:w="3339" w:type="dxa"/>
            <w:tcBorders>
              <w:top w:val="nil"/>
              <w:bottom w:val="nil"/>
            </w:tcBorders>
          </w:tcPr>
          <w:p w:rsidR="00000000" w:rsidRDefault="00000000">
            <w:pPr>
              <w:spacing w:line="240" w:lineRule="auto"/>
              <w:rPr>
                <w:sz w:val="20"/>
              </w:rPr>
            </w:pPr>
            <w:r>
              <w:rPr>
                <w:sz w:val="20"/>
              </w:rPr>
              <w:t>Всего:</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265</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23 738</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391</w:t>
            </w:r>
          </w:p>
        </w:tc>
      </w:tr>
      <w:tr w:rsidR="00000000">
        <w:trPr>
          <w:cantSplit/>
        </w:trPr>
        <w:tc>
          <w:tcPr>
            <w:tcW w:w="1524" w:type="dxa"/>
            <w:vMerge/>
            <w:tcBorders>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Детский сад</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77</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w:t>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Отделения детских садов в начальных школах</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9</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125</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w:t>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Начальные школы</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252</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23 050</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384</w:t>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Школы посленачального уровня</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486</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5</w:t>
            </w:r>
          </w:p>
        </w:tc>
      </w:tr>
      <w:tr w:rsidR="00000000">
        <w:trPr>
          <w:cantSplit/>
        </w:trPr>
        <w:tc>
          <w:tcPr>
            <w:tcW w:w="1524" w:type="dxa"/>
            <w:vMerge w:val="restart"/>
            <w:tcBorders>
              <w:top w:val="nil"/>
            </w:tcBorders>
          </w:tcPr>
          <w:p w:rsidR="00000000" w:rsidRDefault="00000000">
            <w:pPr>
              <w:spacing w:line="240" w:lineRule="auto"/>
              <w:rPr>
                <w:sz w:val="20"/>
              </w:rPr>
            </w:pPr>
            <w:r>
              <w:rPr>
                <w:sz w:val="20"/>
              </w:rPr>
              <w:t>Словацкий</w:t>
            </w:r>
          </w:p>
        </w:tc>
        <w:tc>
          <w:tcPr>
            <w:tcW w:w="3339" w:type="dxa"/>
            <w:tcBorders>
              <w:top w:val="nil"/>
              <w:bottom w:val="nil"/>
            </w:tcBorders>
          </w:tcPr>
          <w:p w:rsidR="00000000" w:rsidRDefault="00000000">
            <w:pPr>
              <w:spacing w:line="240" w:lineRule="auto"/>
              <w:rPr>
                <w:sz w:val="20"/>
              </w:rPr>
            </w:pPr>
            <w:r>
              <w:rPr>
                <w:sz w:val="20"/>
              </w:rPr>
              <w:t>Всего:</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15</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515</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22</w:t>
            </w:r>
          </w:p>
        </w:tc>
      </w:tr>
      <w:tr w:rsidR="00000000">
        <w:trPr>
          <w:cantSplit/>
        </w:trPr>
        <w:tc>
          <w:tcPr>
            <w:tcW w:w="1524" w:type="dxa"/>
            <w:vMerge/>
            <w:tcBorders>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Детский сад</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sym w:font="Symbol" w:char="F02D"/>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sym w:font="Symbol" w:char="F02D"/>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sym w:font="Symbol" w:char="F02D"/>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Отделения детских садов в начальных школах</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6</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0</w:t>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Начальные школы</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13</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471</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21</w:t>
            </w:r>
          </w:p>
        </w:tc>
      </w:tr>
      <w:tr w:rsidR="00000000">
        <w:tc>
          <w:tcPr>
            <w:tcW w:w="1524" w:type="dxa"/>
            <w:tcBorders>
              <w:top w:val="nil"/>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Школы посленачального уровня</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38</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w:t>
            </w:r>
          </w:p>
        </w:tc>
      </w:tr>
      <w:tr w:rsidR="00000000">
        <w:trPr>
          <w:cantSplit/>
          <w:trHeight w:val="228"/>
        </w:trPr>
        <w:tc>
          <w:tcPr>
            <w:tcW w:w="1524" w:type="dxa"/>
            <w:vMerge w:val="restart"/>
            <w:tcBorders>
              <w:top w:val="nil"/>
            </w:tcBorders>
          </w:tcPr>
          <w:p w:rsidR="00000000" w:rsidRDefault="00000000">
            <w:pPr>
              <w:keepNext/>
              <w:spacing w:line="240" w:lineRule="auto"/>
              <w:rPr>
                <w:sz w:val="20"/>
              </w:rPr>
            </w:pPr>
            <w:r>
              <w:rPr>
                <w:sz w:val="20"/>
              </w:rPr>
              <w:t>Кажубийский (этническое меньшинство)</w:t>
            </w:r>
          </w:p>
        </w:tc>
        <w:tc>
          <w:tcPr>
            <w:tcW w:w="3339" w:type="dxa"/>
            <w:tcBorders>
              <w:top w:val="nil"/>
              <w:bottom w:val="nil"/>
            </w:tcBorders>
          </w:tcPr>
          <w:p w:rsidR="00000000" w:rsidRDefault="00000000">
            <w:pPr>
              <w:keepNext/>
              <w:spacing w:line="240" w:lineRule="auto"/>
              <w:rPr>
                <w:sz w:val="20"/>
              </w:rPr>
            </w:pPr>
            <w:r>
              <w:rPr>
                <w:sz w:val="20"/>
              </w:rPr>
              <w:t>Всего:</w:t>
            </w:r>
          </w:p>
        </w:tc>
        <w:tc>
          <w:tcPr>
            <w:tcW w:w="0" w:type="auto"/>
            <w:tcBorders>
              <w:top w:val="nil"/>
              <w:bottom w:val="nil"/>
            </w:tcBorders>
          </w:tcPr>
          <w:p w:rsidR="00000000" w:rsidRDefault="00000000">
            <w:pPr>
              <w:keepNext/>
              <w:tabs>
                <w:tab w:val="clear" w:pos="567"/>
                <w:tab w:val="clear" w:pos="1134"/>
                <w:tab w:val="clear" w:pos="1701"/>
                <w:tab w:val="clear" w:pos="2268"/>
                <w:tab w:val="clear" w:pos="6237"/>
                <w:tab w:val="decimal" w:pos="851"/>
              </w:tabs>
              <w:spacing w:line="240" w:lineRule="auto"/>
              <w:rPr>
                <w:sz w:val="20"/>
              </w:rPr>
            </w:pPr>
            <w:r>
              <w:rPr>
                <w:sz w:val="20"/>
              </w:rPr>
              <w:t>3</w:t>
            </w:r>
          </w:p>
        </w:tc>
        <w:tc>
          <w:tcPr>
            <w:tcW w:w="0" w:type="auto"/>
            <w:tcBorders>
              <w:top w:val="nil"/>
              <w:bottom w:val="nil"/>
            </w:tcBorders>
          </w:tcPr>
          <w:p w:rsidR="00000000" w:rsidRDefault="00000000">
            <w:pPr>
              <w:keepNext/>
              <w:tabs>
                <w:tab w:val="clear" w:pos="567"/>
                <w:tab w:val="clear" w:pos="1134"/>
                <w:tab w:val="clear" w:pos="1701"/>
                <w:tab w:val="clear" w:pos="2268"/>
                <w:tab w:val="clear" w:pos="6237"/>
                <w:tab w:val="decimal" w:pos="851"/>
              </w:tabs>
              <w:spacing w:line="240" w:lineRule="auto"/>
              <w:rPr>
                <w:sz w:val="20"/>
              </w:rPr>
            </w:pPr>
            <w:r>
              <w:rPr>
                <w:sz w:val="20"/>
              </w:rPr>
              <w:t>308</w:t>
            </w:r>
          </w:p>
        </w:tc>
        <w:tc>
          <w:tcPr>
            <w:tcW w:w="0" w:type="auto"/>
            <w:tcBorders>
              <w:top w:val="nil"/>
              <w:bottom w:val="nil"/>
            </w:tcBorders>
          </w:tcPr>
          <w:p w:rsidR="00000000" w:rsidRDefault="00000000">
            <w:pPr>
              <w:keepNext/>
              <w:tabs>
                <w:tab w:val="clear" w:pos="567"/>
                <w:tab w:val="clear" w:pos="1134"/>
                <w:tab w:val="clear" w:pos="1701"/>
                <w:tab w:val="clear" w:pos="2268"/>
                <w:tab w:val="clear" w:pos="6237"/>
                <w:tab w:val="decimal" w:pos="851"/>
              </w:tabs>
              <w:spacing w:line="240" w:lineRule="auto"/>
              <w:rPr>
                <w:sz w:val="20"/>
              </w:rPr>
            </w:pPr>
            <w:r>
              <w:rPr>
                <w:sz w:val="20"/>
              </w:rPr>
              <w:t>5</w:t>
            </w:r>
          </w:p>
        </w:tc>
      </w:tr>
      <w:tr w:rsidR="00000000">
        <w:trPr>
          <w:cantSplit/>
        </w:trPr>
        <w:tc>
          <w:tcPr>
            <w:tcW w:w="1524" w:type="dxa"/>
            <w:vMerge/>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Детский сад</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sym w:font="Symbol" w:char="F02D"/>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sym w:font="Symbol" w:char="F02D"/>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sym w:font="Symbol" w:char="F02D"/>
            </w:r>
          </w:p>
        </w:tc>
      </w:tr>
      <w:tr w:rsidR="00000000">
        <w:trPr>
          <w:cantSplit/>
        </w:trPr>
        <w:tc>
          <w:tcPr>
            <w:tcW w:w="1524" w:type="dxa"/>
            <w:vMerge/>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Отделения детских садов в начальных школах</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sym w:font="Symbol" w:char="F02D"/>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sym w:font="Symbol" w:char="F02D"/>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sym w:font="Symbol" w:char="F02D"/>
            </w:r>
          </w:p>
        </w:tc>
      </w:tr>
      <w:tr w:rsidR="00000000">
        <w:trPr>
          <w:cantSplit/>
        </w:trPr>
        <w:tc>
          <w:tcPr>
            <w:tcW w:w="1524" w:type="dxa"/>
            <w:vMerge/>
            <w:tcBorders>
              <w:bottom w:val="nil"/>
            </w:tcBorders>
          </w:tcPr>
          <w:p w:rsidR="00000000" w:rsidRDefault="00000000">
            <w:pPr>
              <w:spacing w:line="240" w:lineRule="auto"/>
              <w:rPr>
                <w:sz w:val="20"/>
              </w:rPr>
            </w:pPr>
          </w:p>
        </w:tc>
        <w:tc>
          <w:tcPr>
            <w:tcW w:w="3339" w:type="dxa"/>
            <w:tcBorders>
              <w:top w:val="nil"/>
              <w:bottom w:val="nil"/>
            </w:tcBorders>
          </w:tcPr>
          <w:p w:rsidR="00000000" w:rsidRDefault="00000000">
            <w:pPr>
              <w:spacing w:line="240" w:lineRule="auto"/>
              <w:rPr>
                <w:sz w:val="20"/>
              </w:rPr>
            </w:pPr>
            <w:r>
              <w:rPr>
                <w:sz w:val="20"/>
              </w:rPr>
              <w:t>Начальные школы</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32</w:t>
            </w:r>
          </w:p>
        </w:tc>
        <w:tc>
          <w:tcPr>
            <w:tcW w:w="0" w:type="auto"/>
            <w:tcBorders>
              <w:top w:val="nil"/>
              <w:bottom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3</w:t>
            </w:r>
          </w:p>
        </w:tc>
      </w:tr>
      <w:tr w:rsidR="00000000">
        <w:tc>
          <w:tcPr>
            <w:tcW w:w="1524" w:type="dxa"/>
            <w:tcBorders>
              <w:top w:val="nil"/>
            </w:tcBorders>
          </w:tcPr>
          <w:p w:rsidR="00000000" w:rsidRDefault="00000000">
            <w:pPr>
              <w:spacing w:line="240" w:lineRule="auto"/>
              <w:rPr>
                <w:sz w:val="20"/>
              </w:rPr>
            </w:pPr>
          </w:p>
        </w:tc>
        <w:tc>
          <w:tcPr>
            <w:tcW w:w="3339" w:type="dxa"/>
            <w:tcBorders>
              <w:top w:val="nil"/>
            </w:tcBorders>
          </w:tcPr>
          <w:p w:rsidR="00000000" w:rsidRDefault="00000000">
            <w:pPr>
              <w:spacing w:line="240" w:lineRule="auto"/>
              <w:rPr>
                <w:sz w:val="20"/>
              </w:rPr>
            </w:pPr>
            <w:r>
              <w:rPr>
                <w:sz w:val="20"/>
              </w:rPr>
              <w:t>Школы посленачального уровня</w:t>
            </w:r>
          </w:p>
        </w:tc>
        <w:tc>
          <w:tcPr>
            <w:tcW w:w="0" w:type="auto"/>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1</w:t>
            </w:r>
          </w:p>
        </w:tc>
        <w:tc>
          <w:tcPr>
            <w:tcW w:w="0" w:type="auto"/>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276</w:t>
            </w:r>
          </w:p>
        </w:tc>
        <w:tc>
          <w:tcPr>
            <w:tcW w:w="0" w:type="auto"/>
            <w:tcBorders>
              <w:top w:val="nil"/>
            </w:tcBorders>
          </w:tcPr>
          <w:p w:rsidR="00000000" w:rsidRDefault="00000000">
            <w:pPr>
              <w:tabs>
                <w:tab w:val="clear" w:pos="567"/>
                <w:tab w:val="clear" w:pos="1134"/>
                <w:tab w:val="clear" w:pos="1701"/>
                <w:tab w:val="clear" w:pos="2268"/>
                <w:tab w:val="clear" w:pos="6237"/>
                <w:tab w:val="decimal" w:pos="851"/>
              </w:tabs>
              <w:spacing w:line="240" w:lineRule="auto"/>
              <w:rPr>
                <w:sz w:val="20"/>
              </w:rPr>
            </w:pPr>
            <w:r>
              <w:rPr>
                <w:sz w:val="20"/>
              </w:rPr>
              <w:t>2</w:t>
            </w:r>
          </w:p>
        </w:tc>
      </w:tr>
    </w:tbl>
    <w:p w:rsidR="00000000" w:rsidRDefault="00000000">
      <w:pPr>
        <w:tabs>
          <w:tab w:val="clear" w:pos="1134"/>
          <w:tab w:val="left" w:pos="1276"/>
          <w:tab w:val="left" w:pos="1309"/>
        </w:tabs>
        <w:spacing w:line="240" w:lineRule="auto"/>
      </w:pPr>
    </w:p>
    <w:p w:rsidR="00000000" w:rsidRDefault="00000000">
      <w:pPr>
        <w:tabs>
          <w:tab w:val="clear" w:pos="1134"/>
          <w:tab w:val="left" w:pos="1276"/>
          <w:tab w:val="left" w:pos="1309"/>
        </w:tabs>
        <w:spacing w:line="240" w:lineRule="auto"/>
      </w:pPr>
      <w:r>
        <w:tab/>
      </w:r>
      <w:r>
        <w:rPr>
          <w:u w:val="single"/>
        </w:rPr>
        <w:t>Источник</w:t>
      </w:r>
      <w:r>
        <w:t>:  министерство национального образования.</w:t>
      </w:r>
    </w:p>
    <w:p w:rsidR="00000000" w:rsidRDefault="00000000">
      <w:pPr>
        <w:pStyle w:val="FootnoteText"/>
        <w:tabs>
          <w:tab w:val="clear" w:pos="1134"/>
          <w:tab w:val="left" w:pos="1276"/>
          <w:tab w:val="left" w:pos="1309"/>
        </w:tabs>
      </w:pPr>
    </w:p>
    <w:p w:rsidR="00000000" w:rsidRDefault="00000000">
      <w:pPr>
        <w:pStyle w:val="BodyTextIndent"/>
        <w:keepNext/>
        <w:rPr>
          <w:b/>
          <w:bCs/>
        </w:rPr>
      </w:pPr>
      <w:r>
        <w:rPr>
          <w:b/>
          <w:bCs/>
          <w:u w:val="single"/>
        </w:rPr>
        <w:t>Таблица 42</w:t>
      </w:r>
      <w:r>
        <w:rPr>
          <w:b/>
          <w:bCs/>
        </w:rPr>
        <w:t>.</w:t>
      </w:r>
      <w:r>
        <w:rPr>
          <w:b/>
          <w:bCs/>
        </w:rPr>
        <w:tab/>
      </w:r>
      <w:r>
        <w:rPr>
          <w:b/>
          <w:bCs/>
          <w:u w:val="single"/>
        </w:rPr>
        <w:t>Создание начальных школ для меньшинств, 1995</w:t>
      </w:r>
      <w:r>
        <w:rPr>
          <w:b/>
          <w:bCs/>
          <w:u w:val="single"/>
        </w:rPr>
        <w:sym w:font="Symbol" w:char="F02D"/>
      </w:r>
      <w:r>
        <w:rPr>
          <w:b/>
          <w:bCs/>
          <w:u w:val="single"/>
        </w:rPr>
        <w:t>1998  годы</w:t>
      </w:r>
    </w:p>
    <w:p w:rsidR="00000000" w:rsidRDefault="00000000">
      <w:pPr>
        <w:pStyle w:val="BodyTextIndent"/>
        <w:keepNext/>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000" w:firstRow="0" w:lastRow="0" w:firstColumn="0" w:lastColumn="0" w:noHBand="0" w:noVBand="0"/>
      </w:tblPr>
      <w:tblGrid>
        <w:gridCol w:w="2317"/>
        <w:gridCol w:w="1817"/>
        <w:gridCol w:w="1816"/>
        <w:gridCol w:w="1816"/>
        <w:gridCol w:w="1814"/>
      </w:tblGrid>
      <w:tr w:rsidR="00000000">
        <w:trPr>
          <w:trHeight w:hRule="exact" w:val="343"/>
        </w:trPr>
        <w:tc>
          <w:tcPr>
            <w:tcW w:w="1209" w:type="pct"/>
            <w:tcBorders>
              <w:bottom w:val="single" w:sz="2" w:space="0" w:color="auto"/>
            </w:tcBorders>
            <w:vAlign w:val="center"/>
          </w:tcPr>
          <w:p w:rsidR="00000000" w:rsidRDefault="00000000">
            <w:pPr>
              <w:pStyle w:val="FootnoteText"/>
              <w:rPr>
                <w:sz w:val="20"/>
              </w:rPr>
            </w:pPr>
            <w:r>
              <w:rPr>
                <w:sz w:val="20"/>
              </w:rPr>
              <w:t>Меньшинства</w:t>
            </w:r>
          </w:p>
        </w:tc>
        <w:tc>
          <w:tcPr>
            <w:tcW w:w="948" w:type="pct"/>
            <w:tcBorders>
              <w:bottom w:val="single" w:sz="2" w:space="0" w:color="auto"/>
            </w:tcBorders>
            <w:vAlign w:val="center"/>
          </w:tcPr>
          <w:p w:rsidR="00000000" w:rsidRDefault="00000000">
            <w:pPr>
              <w:spacing w:line="240" w:lineRule="auto"/>
              <w:jc w:val="center"/>
              <w:rPr>
                <w:sz w:val="20"/>
              </w:rPr>
            </w:pPr>
            <w:r>
              <w:rPr>
                <w:sz w:val="20"/>
              </w:rPr>
              <w:t>1994/95 год</w:t>
            </w:r>
          </w:p>
        </w:tc>
        <w:tc>
          <w:tcPr>
            <w:tcW w:w="948" w:type="pct"/>
            <w:tcBorders>
              <w:bottom w:val="single" w:sz="2" w:space="0" w:color="auto"/>
            </w:tcBorders>
            <w:vAlign w:val="center"/>
          </w:tcPr>
          <w:p w:rsidR="00000000" w:rsidRDefault="00000000">
            <w:pPr>
              <w:spacing w:line="240" w:lineRule="auto"/>
              <w:jc w:val="center"/>
              <w:rPr>
                <w:sz w:val="20"/>
              </w:rPr>
            </w:pPr>
            <w:r>
              <w:rPr>
                <w:sz w:val="20"/>
              </w:rPr>
              <w:t>1995/96 год</w:t>
            </w:r>
          </w:p>
        </w:tc>
        <w:tc>
          <w:tcPr>
            <w:tcW w:w="948" w:type="pct"/>
            <w:tcBorders>
              <w:bottom w:val="single" w:sz="2" w:space="0" w:color="auto"/>
            </w:tcBorders>
            <w:vAlign w:val="center"/>
          </w:tcPr>
          <w:p w:rsidR="00000000" w:rsidRDefault="00000000">
            <w:pPr>
              <w:spacing w:line="240" w:lineRule="auto"/>
              <w:jc w:val="center"/>
              <w:rPr>
                <w:sz w:val="20"/>
              </w:rPr>
            </w:pPr>
            <w:r>
              <w:rPr>
                <w:sz w:val="20"/>
              </w:rPr>
              <w:t>1996/97 год</w:t>
            </w:r>
          </w:p>
        </w:tc>
        <w:tc>
          <w:tcPr>
            <w:tcW w:w="948" w:type="pct"/>
            <w:tcBorders>
              <w:bottom w:val="single" w:sz="2" w:space="0" w:color="auto"/>
            </w:tcBorders>
            <w:vAlign w:val="center"/>
          </w:tcPr>
          <w:p w:rsidR="00000000" w:rsidRDefault="00000000">
            <w:pPr>
              <w:spacing w:line="240" w:lineRule="auto"/>
              <w:jc w:val="center"/>
              <w:rPr>
                <w:sz w:val="20"/>
              </w:rPr>
            </w:pPr>
            <w:r>
              <w:rPr>
                <w:sz w:val="20"/>
              </w:rPr>
              <w:t>1997/98 год</w:t>
            </w:r>
          </w:p>
        </w:tc>
      </w:tr>
      <w:tr w:rsidR="00000000">
        <w:tc>
          <w:tcPr>
            <w:tcW w:w="1209" w:type="pct"/>
            <w:tcBorders>
              <w:top w:val="single" w:sz="2" w:space="0" w:color="auto"/>
              <w:bottom w:val="nil"/>
            </w:tcBorders>
          </w:tcPr>
          <w:p w:rsidR="00000000" w:rsidRDefault="00000000">
            <w:pPr>
              <w:spacing w:before="40" w:after="20" w:line="240" w:lineRule="auto"/>
              <w:rPr>
                <w:sz w:val="20"/>
              </w:rPr>
            </w:pPr>
            <w:r>
              <w:rPr>
                <w:sz w:val="20"/>
              </w:rPr>
              <w:t>Немцы</w:t>
            </w:r>
          </w:p>
        </w:tc>
        <w:tc>
          <w:tcPr>
            <w:tcW w:w="948" w:type="pct"/>
            <w:tcBorders>
              <w:top w:val="single" w:sz="2" w:space="0" w:color="auto"/>
              <w:bottom w:val="nil"/>
            </w:tcBorders>
            <w:vAlign w:val="center"/>
          </w:tcPr>
          <w:p w:rsidR="00000000" w:rsidRDefault="00000000">
            <w:pPr>
              <w:pStyle w:val="16"/>
              <w:tabs>
                <w:tab w:val="clear" w:pos="567"/>
                <w:tab w:val="clear" w:pos="1134"/>
                <w:tab w:val="clear" w:pos="1701"/>
                <w:tab w:val="clear" w:pos="2268"/>
                <w:tab w:val="clear" w:pos="6237"/>
                <w:tab w:val="decimal" w:pos="907"/>
              </w:tabs>
              <w:spacing w:before="40" w:after="20" w:line="240" w:lineRule="auto"/>
              <w:jc w:val="left"/>
              <w:rPr>
                <w:sz w:val="20"/>
              </w:rPr>
            </w:pPr>
            <w:r>
              <w:rPr>
                <w:sz w:val="20"/>
              </w:rPr>
              <w:t>111</w:t>
            </w:r>
          </w:p>
        </w:tc>
        <w:tc>
          <w:tcPr>
            <w:tcW w:w="948" w:type="pct"/>
            <w:tcBorders>
              <w:top w:val="single" w:sz="2" w:space="0" w:color="auto"/>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161</w:t>
            </w:r>
          </w:p>
        </w:tc>
        <w:tc>
          <w:tcPr>
            <w:tcW w:w="948" w:type="pct"/>
            <w:tcBorders>
              <w:top w:val="single" w:sz="2" w:space="0" w:color="auto"/>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252</w:t>
            </w:r>
          </w:p>
        </w:tc>
        <w:tc>
          <w:tcPr>
            <w:tcW w:w="948" w:type="pct"/>
            <w:tcBorders>
              <w:top w:val="single" w:sz="2" w:space="0" w:color="auto"/>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265</w:t>
            </w:r>
          </w:p>
        </w:tc>
      </w:tr>
      <w:tr w:rsidR="00000000">
        <w:tc>
          <w:tcPr>
            <w:tcW w:w="1209" w:type="pct"/>
            <w:tcBorders>
              <w:top w:val="nil"/>
              <w:bottom w:val="nil"/>
            </w:tcBorders>
          </w:tcPr>
          <w:p w:rsidR="00000000" w:rsidRDefault="00000000">
            <w:pPr>
              <w:spacing w:before="40" w:after="20" w:line="240" w:lineRule="auto"/>
              <w:rPr>
                <w:sz w:val="20"/>
              </w:rPr>
            </w:pPr>
            <w:r>
              <w:rPr>
                <w:sz w:val="20"/>
              </w:rPr>
              <w:t>Украинцы</w:t>
            </w:r>
          </w:p>
        </w:tc>
        <w:tc>
          <w:tcPr>
            <w:tcW w:w="948" w:type="pct"/>
            <w:tcBorders>
              <w:top w:val="nil"/>
              <w:bottom w:val="nil"/>
            </w:tcBorders>
            <w:vAlign w:val="center"/>
          </w:tcPr>
          <w:p w:rsidR="00000000" w:rsidRDefault="00000000">
            <w:pPr>
              <w:pStyle w:val="16"/>
              <w:tabs>
                <w:tab w:val="clear" w:pos="567"/>
                <w:tab w:val="clear" w:pos="1134"/>
                <w:tab w:val="clear" w:pos="1701"/>
                <w:tab w:val="clear" w:pos="2268"/>
                <w:tab w:val="clear" w:pos="6237"/>
                <w:tab w:val="decimal" w:pos="907"/>
              </w:tabs>
              <w:spacing w:before="40" w:after="20" w:line="240" w:lineRule="auto"/>
              <w:jc w:val="left"/>
              <w:rPr>
                <w:sz w:val="20"/>
              </w:rPr>
            </w:pPr>
            <w:r>
              <w:rPr>
                <w:sz w:val="20"/>
              </w:rPr>
              <w:t>69</w:t>
            </w:r>
          </w:p>
        </w:tc>
        <w:tc>
          <w:tcPr>
            <w:tcW w:w="948" w:type="pct"/>
            <w:tcBorders>
              <w:top w:val="nil"/>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69</w:t>
            </w:r>
          </w:p>
        </w:tc>
        <w:tc>
          <w:tcPr>
            <w:tcW w:w="948" w:type="pct"/>
            <w:tcBorders>
              <w:top w:val="nil"/>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75</w:t>
            </w:r>
          </w:p>
        </w:tc>
        <w:tc>
          <w:tcPr>
            <w:tcW w:w="948" w:type="pct"/>
            <w:tcBorders>
              <w:top w:val="nil"/>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84</w:t>
            </w:r>
          </w:p>
        </w:tc>
      </w:tr>
      <w:tr w:rsidR="00000000">
        <w:tc>
          <w:tcPr>
            <w:tcW w:w="1209" w:type="pct"/>
            <w:tcBorders>
              <w:top w:val="nil"/>
              <w:bottom w:val="nil"/>
            </w:tcBorders>
          </w:tcPr>
          <w:p w:rsidR="00000000" w:rsidRDefault="00000000">
            <w:pPr>
              <w:spacing w:before="40" w:after="20" w:line="240" w:lineRule="auto"/>
              <w:rPr>
                <w:sz w:val="20"/>
              </w:rPr>
            </w:pPr>
            <w:r>
              <w:rPr>
                <w:sz w:val="20"/>
              </w:rPr>
              <w:t>Белорусы</w:t>
            </w:r>
          </w:p>
        </w:tc>
        <w:tc>
          <w:tcPr>
            <w:tcW w:w="948" w:type="pct"/>
            <w:tcBorders>
              <w:top w:val="nil"/>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43</w:t>
            </w:r>
          </w:p>
        </w:tc>
        <w:tc>
          <w:tcPr>
            <w:tcW w:w="948" w:type="pct"/>
            <w:tcBorders>
              <w:top w:val="nil"/>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43</w:t>
            </w:r>
          </w:p>
        </w:tc>
        <w:tc>
          <w:tcPr>
            <w:tcW w:w="948" w:type="pct"/>
            <w:tcBorders>
              <w:top w:val="nil"/>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40</w:t>
            </w:r>
          </w:p>
        </w:tc>
        <w:tc>
          <w:tcPr>
            <w:tcW w:w="948" w:type="pct"/>
            <w:tcBorders>
              <w:top w:val="nil"/>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38</w:t>
            </w:r>
          </w:p>
        </w:tc>
      </w:tr>
      <w:tr w:rsidR="00000000">
        <w:tc>
          <w:tcPr>
            <w:tcW w:w="1209" w:type="pct"/>
            <w:tcBorders>
              <w:top w:val="nil"/>
              <w:bottom w:val="nil"/>
            </w:tcBorders>
          </w:tcPr>
          <w:p w:rsidR="00000000" w:rsidRDefault="00000000">
            <w:pPr>
              <w:spacing w:before="40" w:after="20" w:line="240" w:lineRule="auto"/>
              <w:rPr>
                <w:sz w:val="20"/>
              </w:rPr>
            </w:pPr>
            <w:r>
              <w:rPr>
                <w:sz w:val="20"/>
              </w:rPr>
              <w:t>Словаки</w:t>
            </w:r>
          </w:p>
        </w:tc>
        <w:tc>
          <w:tcPr>
            <w:tcW w:w="948" w:type="pct"/>
            <w:tcBorders>
              <w:top w:val="nil"/>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14</w:t>
            </w:r>
          </w:p>
        </w:tc>
        <w:tc>
          <w:tcPr>
            <w:tcW w:w="948" w:type="pct"/>
            <w:tcBorders>
              <w:top w:val="nil"/>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14</w:t>
            </w:r>
          </w:p>
        </w:tc>
        <w:tc>
          <w:tcPr>
            <w:tcW w:w="948" w:type="pct"/>
            <w:tcBorders>
              <w:top w:val="nil"/>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13</w:t>
            </w:r>
          </w:p>
        </w:tc>
        <w:tc>
          <w:tcPr>
            <w:tcW w:w="948" w:type="pct"/>
            <w:tcBorders>
              <w:top w:val="nil"/>
              <w:bottom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15</w:t>
            </w:r>
          </w:p>
        </w:tc>
      </w:tr>
      <w:tr w:rsidR="00000000">
        <w:tc>
          <w:tcPr>
            <w:tcW w:w="1209" w:type="pct"/>
            <w:tcBorders>
              <w:top w:val="nil"/>
            </w:tcBorders>
          </w:tcPr>
          <w:p w:rsidR="00000000" w:rsidRDefault="00000000">
            <w:pPr>
              <w:spacing w:before="40" w:after="20" w:line="240" w:lineRule="auto"/>
              <w:rPr>
                <w:sz w:val="20"/>
              </w:rPr>
            </w:pPr>
            <w:r>
              <w:rPr>
                <w:sz w:val="20"/>
              </w:rPr>
              <w:t>Литовцы</w:t>
            </w:r>
          </w:p>
        </w:tc>
        <w:tc>
          <w:tcPr>
            <w:tcW w:w="948" w:type="pct"/>
            <w:tcBorders>
              <w:top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10</w:t>
            </w:r>
          </w:p>
        </w:tc>
        <w:tc>
          <w:tcPr>
            <w:tcW w:w="948" w:type="pct"/>
            <w:tcBorders>
              <w:top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10</w:t>
            </w:r>
          </w:p>
        </w:tc>
        <w:tc>
          <w:tcPr>
            <w:tcW w:w="948" w:type="pct"/>
            <w:tcBorders>
              <w:top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13</w:t>
            </w:r>
          </w:p>
        </w:tc>
        <w:tc>
          <w:tcPr>
            <w:tcW w:w="948" w:type="pct"/>
            <w:tcBorders>
              <w:top w:val="nil"/>
            </w:tcBorders>
            <w:vAlign w:val="center"/>
          </w:tcPr>
          <w:p w:rsidR="00000000" w:rsidRDefault="00000000">
            <w:pPr>
              <w:tabs>
                <w:tab w:val="clear" w:pos="567"/>
                <w:tab w:val="clear" w:pos="1134"/>
                <w:tab w:val="clear" w:pos="1701"/>
                <w:tab w:val="clear" w:pos="2268"/>
                <w:tab w:val="clear" w:pos="6237"/>
                <w:tab w:val="decimal" w:pos="907"/>
              </w:tabs>
              <w:spacing w:before="40" w:after="20" w:line="240" w:lineRule="auto"/>
              <w:rPr>
                <w:sz w:val="20"/>
              </w:rPr>
            </w:pPr>
            <w:r>
              <w:rPr>
                <w:sz w:val="20"/>
              </w:rPr>
              <w:t>13</w:t>
            </w:r>
          </w:p>
        </w:tc>
      </w:tr>
    </w:tbl>
    <w:p w:rsidR="00000000" w:rsidRDefault="00000000">
      <w:pPr>
        <w:pStyle w:val="FootnoteText"/>
      </w:pPr>
    </w:p>
    <w:p w:rsidR="00000000" w:rsidRDefault="00000000">
      <w:pPr>
        <w:pStyle w:val="BodyTextIndent2"/>
        <w:tabs>
          <w:tab w:val="left" w:pos="1276"/>
        </w:tabs>
        <w:ind w:left="0" w:firstLine="0"/>
      </w:pPr>
      <w:r>
        <w:tab/>
      </w:r>
      <w:r>
        <w:rPr>
          <w:u w:val="single"/>
        </w:rPr>
        <w:t>Источник</w:t>
      </w:r>
      <w:r>
        <w:t>:  министерство национального образования на основе данных министерства внутренних дел и администрации (департамент по персональным вопросам), а также Главного статистического управления.</w:t>
      </w:r>
    </w:p>
    <w:p w:rsidR="00000000" w:rsidRDefault="00000000">
      <w:pPr>
        <w:pStyle w:val="BodyTextIndent2"/>
        <w:tabs>
          <w:tab w:val="left" w:pos="1276"/>
        </w:tabs>
        <w:ind w:left="1276" w:hanging="1276"/>
      </w:pPr>
    </w:p>
    <w:p w:rsidR="00000000" w:rsidRDefault="00000000">
      <w:pPr>
        <w:pStyle w:val="BodyTextIndent2"/>
        <w:tabs>
          <w:tab w:val="left" w:pos="1276"/>
        </w:tabs>
        <w:ind w:left="1276" w:hanging="1276"/>
      </w:pPr>
    </w:p>
    <w:p w:rsidR="00000000" w:rsidRDefault="00000000">
      <w:pPr>
        <w:pStyle w:val="Heading2"/>
        <w:rPr>
          <w:b/>
          <w:bCs/>
          <w:u w:val="none"/>
        </w:rPr>
      </w:pPr>
      <w:r>
        <w:rPr>
          <w:b/>
          <w:bCs/>
          <w:u w:val="none"/>
        </w:rPr>
        <w:t>Дети мигрантов и беженцев</w:t>
      </w:r>
    </w:p>
    <w:p w:rsidR="00000000" w:rsidRDefault="00000000">
      <w:pPr>
        <w:pStyle w:val="Heading2"/>
        <w:rPr>
          <w:u w:val="none"/>
        </w:rPr>
      </w:pPr>
    </w:p>
    <w:p w:rsidR="00000000" w:rsidRDefault="00000000">
      <w:r>
        <w:t>339.</w:t>
      </w:r>
      <w:r>
        <w:tab/>
        <w:t>Дети мигрантов и беженцев, право на проживание которых в Польше было юридически подтверждено и которые получили удостоверения личности, были взяты под юрисдикцию Польши, получив, в частности, право на образование, в том числе на бесплатное начальное образование (письмо заместителя государственного секретаря министерства национального образования от 21 августа 1991 года, адресованное школам).</w:t>
      </w:r>
    </w:p>
    <w:p w:rsidR="00000000" w:rsidRDefault="00000000"/>
    <w:p w:rsidR="00000000" w:rsidRDefault="00000000">
      <w:pPr>
        <w:pStyle w:val="BodyTextIndent3"/>
      </w:pPr>
      <w:r>
        <w:t>3.</w:t>
      </w:r>
      <w:r>
        <w:tab/>
        <w:t>Действия правительства в целях обеспечения равноправного доступа ко всем уровням образования, например в форме антидискриминационных мер, финансовых стимулов, стипендий и т.д.</w:t>
      </w:r>
    </w:p>
    <w:p w:rsidR="00000000" w:rsidRDefault="00000000">
      <w:pPr>
        <w:pStyle w:val="BodyTextIndent3"/>
      </w:pPr>
    </w:p>
    <w:p w:rsidR="00000000" w:rsidRDefault="00000000">
      <w:r>
        <w:t>340.</w:t>
      </w:r>
      <w:r>
        <w:tab/>
        <w:t>Пункт 4 статьи 70 Конституции от 2 апреля 1997 года гласит:  "Государственные органы власти обеспечивают гражданам всеобщий и равный доступ к образованию.  С этой целью создаются и поддерживаются системы индивидуальной финансовой и организационной помощи ученикам и студентам".  В Польше велась работа по воплощению в жизнь данной статьи Конституции путем принятия соответствующих подзаконных актов (в настоящее время уже осуществляется программа кредитования для студентов высших учебных заведений).  Была создана система оказания финансовой помощи студентам, которая предусматривает выделение денежных пособий студентам из семей с низким уровнем доходов на основе анализа их потребностей, выплату стипендий и предоставление частичной финансовой помощи для покрытия расходов на проживание и питание.  Кроме того, студенты получили право на бесплатное медицинское обслуживание на основе общего страхования по болезни.  В 1998 году были введены льготные кредиты для студентов.  Процентные выплаты по этим кредитам полностью покрывались за счет студенческого кредитно-ссудного фонда, который был создан банком "Господарства крайовего" и финансировался из государственного бюджета.</w:t>
      </w:r>
    </w:p>
    <w:p w:rsidR="00000000" w:rsidRDefault="00000000"/>
    <w:p w:rsidR="00000000" w:rsidRDefault="00000000">
      <w:pPr>
        <w:pStyle w:val="BodyTextIndent"/>
        <w:spacing w:line="288" w:lineRule="auto"/>
      </w:pPr>
      <w:r>
        <w:t>F.</w:t>
      </w:r>
      <w:r>
        <w:tab/>
        <w:t>Условия работы и оклады преподавательского состава, принятые и планируемые меры, необходимые для изменения положения</w:t>
      </w:r>
    </w:p>
    <w:p w:rsidR="00000000" w:rsidRDefault="00000000">
      <w:pPr>
        <w:ind w:left="567" w:hanging="567"/>
      </w:pPr>
    </w:p>
    <w:p w:rsidR="00000000" w:rsidRDefault="00000000">
      <w:r>
        <w:t>341.</w:t>
      </w:r>
      <w:r>
        <w:tab/>
        <w:t>Условия, описанные в предыдущем докладе за 1992</w:t>
      </w:r>
      <w:r>
        <w:sym w:font="Symbol" w:char="F02D"/>
      </w:r>
      <w:r>
        <w:t>1994 годы, в 1995</w:t>
      </w:r>
      <w:r>
        <w:sym w:font="Symbol" w:char="F02D"/>
      </w:r>
      <w:r>
        <w:t>1998 годах в целом сохранялись.  Единственное изменение связано с увеличением продолжительности отпуска преподавателей учебных заведений, где нет зимних каникул.  Начиная с 1 июля 1996 года продолжительность их отпуска составляет семь недель.  В настоящее время рассматривается вопрос о сохранении еще на 8 лет права преподавателей выходить на пенсию через 30 лет работы (из них 20 лет - в качестве школьного учителя/преподавателя вуза) в соответствии с Законом от 17 декабря 1998 года о пенсиях и выплатах за выслугу лет из фондов социального страхования.  В течение отчетного периода продолжалась работа над новыми законоположениями, касающимися профессионального статуса преподавательского состава.  Планировалось ввести "вертикальную" профессиональную классификацию для преподавателей (преподаватель-стажер, преподаватель по договору, официально назначенный преподаватель, аттестованный преподаватель) и "горизонтальную" дифференциацию путем определения новых функций и обязанностей в учебных заведениях.  Велась также работа по введению системы стимулов, отражающих качество преподавательской работы.  Предполагаемые изменения потребуют внесения поправок в законодательство, например в Закон об учительской хартии и в исполнительные акты.  Министерство национального образования уже провело соответствующие консультации с общественными и профсоюзными группами.  Подготовлены проекты предлагаемых законодательных изменений.  Поскольку профессиональный статус преподавателей изменился, должны измениться и их условия работы и оклады.  Работа над осуществлением реформы запланирована еще на два</w:t>
      </w:r>
      <w:r>
        <w:noBreakHyphen/>
        <w:t>три года, т.е. по меньшей мере до 2000 или 2001 года, после чего социальный статус преподавательской профессии должен коренным образом измениться.</w:t>
      </w:r>
    </w:p>
    <w:p w:rsidR="00000000" w:rsidRDefault="00000000"/>
    <w:p w:rsidR="00000000" w:rsidRDefault="00000000">
      <w:pPr>
        <w:pStyle w:val="BodyTextIndent"/>
        <w:tabs>
          <w:tab w:val="left" w:pos="1496"/>
        </w:tabs>
        <w:spacing w:line="288" w:lineRule="auto"/>
        <w:rPr>
          <w:b/>
          <w:bCs/>
        </w:rPr>
      </w:pPr>
      <w:r>
        <w:rPr>
          <w:b/>
          <w:bCs/>
          <w:u w:val="single"/>
        </w:rPr>
        <w:t>Таблица 43</w:t>
      </w:r>
      <w:r>
        <w:rPr>
          <w:b/>
          <w:bCs/>
        </w:rPr>
        <w:t>.</w:t>
      </w:r>
      <w:r>
        <w:rPr>
          <w:b/>
          <w:bCs/>
        </w:rPr>
        <w:tab/>
      </w:r>
      <w:r>
        <w:rPr>
          <w:b/>
          <w:bCs/>
          <w:u w:val="single"/>
        </w:rPr>
        <w:t>Средняя заработная плата преподавательского состава, в злотых, 1989</w:t>
      </w:r>
      <w:r>
        <w:rPr>
          <w:b/>
          <w:bCs/>
          <w:u w:val="single"/>
        </w:rPr>
        <w:sym w:font="Symbol" w:char="F02D"/>
      </w:r>
      <w:r>
        <w:rPr>
          <w:b/>
          <w:bCs/>
          <w:u w:val="single"/>
        </w:rPr>
        <w:t>1998 годы</w:t>
      </w:r>
    </w:p>
    <w:p w:rsidR="00000000" w:rsidRDefault="00000000">
      <w:pPr>
        <w:pStyle w:val="BodyTextIndent"/>
        <w:spacing w:line="288" w:lineRule="auto"/>
        <w:ind w:left="1134" w:hanging="1134"/>
        <w:rPr>
          <w:b/>
          <w:bCs/>
        </w:rPr>
      </w:pPr>
      <w:r>
        <w:rPr>
          <w:b/>
          <w:bCs/>
          <w:u w:val="single"/>
        </w:rPr>
        <w:t>Сравнительная иллюстрация (брутто</w:t>
      </w:r>
      <w:r>
        <w:rPr>
          <w:b/>
          <w:bCs/>
        </w:rPr>
        <w:t>)</w:t>
      </w:r>
    </w:p>
    <w:p w:rsidR="00000000" w:rsidRDefault="00000000">
      <w:pPr>
        <w:jc w:val="cente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514"/>
        <w:gridCol w:w="1765"/>
        <w:gridCol w:w="1448"/>
        <w:gridCol w:w="1539"/>
        <w:gridCol w:w="1562"/>
        <w:gridCol w:w="1172"/>
        <w:gridCol w:w="1411"/>
      </w:tblGrid>
      <w:tr w:rsidR="00000000">
        <w:trPr>
          <w:cantSplit/>
          <w:trHeight w:val="20"/>
          <w:tblHeader/>
        </w:trPr>
        <w:tc>
          <w:tcPr>
            <w:tcW w:w="0" w:type="auto"/>
            <w:vMerge w:val="restart"/>
          </w:tcPr>
          <w:p w:rsidR="00000000" w:rsidRDefault="00000000">
            <w:pPr>
              <w:pStyle w:val="16"/>
              <w:spacing w:before="40" w:after="20" w:line="216" w:lineRule="auto"/>
              <w:rPr>
                <w:sz w:val="20"/>
              </w:rPr>
            </w:pPr>
            <w:r>
              <w:rPr>
                <w:sz w:val="20"/>
              </w:rPr>
              <w:t>Год</w:t>
            </w:r>
          </w:p>
        </w:tc>
        <w:tc>
          <w:tcPr>
            <w:tcW w:w="1765" w:type="dxa"/>
            <w:vMerge w:val="restart"/>
          </w:tcPr>
          <w:p w:rsidR="00000000" w:rsidRDefault="00000000">
            <w:pPr>
              <w:spacing w:before="40" w:after="20" w:line="216" w:lineRule="auto"/>
              <w:jc w:val="center"/>
              <w:rPr>
                <w:sz w:val="20"/>
              </w:rPr>
            </w:pPr>
            <w:r>
              <w:rPr>
                <w:sz w:val="20"/>
              </w:rPr>
              <w:t>Средняя минимальная заработная плата</w:t>
            </w:r>
          </w:p>
        </w:tc>
        <w:tc>
          <w:tcPr>
            <w:tcW w:w="1448" w:type="dxa"/>
            <w:vMerge w:val="restart"/>
          </w:tcPr>
          <w:p w:rsidR="00000000" w:rsidRDefault="00000000">
            <w:pPr>
              <w:spacing w:before="40" w:after="20" w:line="216" w:lineRule="auto"/>
              <w:jc w:val="center"/>
              <w:rPr>
                <w:sz w:val="20"/>
              </w:rPr>
            </w:pPr>
            <w:r>
              <w:rPr>
                <w:sz w:val="20"/>
              </w:rPr>
              <w:t>Средняя заработная плата</w:t>
            </w:r>
          </w:p>
          <w:p w:rsidR="00000000" w:rsidRDefault="00000000">
            <w:pPr>
              <w:spacing w:before="40" w:after="20" w:line="216" w:lineRule="auto"/>
              <w:jc w:val="center"/>
              <w:rPr>
                <w:sz w:val="20"/>
              </w:rPr>
            </w:pPr>
            <w:r>
              <w:rPr>
                <w:sz w:val="20"/>
              </w:rPr>
              <w:t>(всего)</w:t>
            </w:r>
          </w:p>
        </w:tc>
        <w:tc>
          <w:tcPr>
            <w:tcW w:w="0" w:type="auto"/>
            <w:vMerge w:val="restart"/>
          </w:tcPr>
          <w:p w:rsidR="00000000" w:rsidRDefault="00000000">
            <w:pPr>
              <w:pStyle w:val="16"/>
              <w:spacing w:before="40" w:after="20" w:line="216" w:lineRule="auto"/>
              <w:rPr>
                <w:sz w:val="20"/>
              </w:rPr>
            </w:pPr>
            <w:r>
              <w:rPr>
                <w:sz w:val="20"/>
              </w:rPr>
              <w:t>Средняя заработная плата в бюджетном секторе</w:t>
            </w:r>
          </w:p>
        </w:tc>
        <w:tc>
          <w:tcPr>
            <w:tcW w:w="0" w:type="auto"/>
            <w:vMerge w:val="restart"/>
          </w:tcPr>
          <w:p w:rsidR="00000000" w:rsidRDefault="00000000">
            <w:pPr>
              <w:spacing w:before="40" w:after="20" w:line="216" w:lineRule="auto"/>
              <w:jc w:val="center"/>
              <w:rPr>
                <w:sz w:val="20"/>
              </w:rPr>
            </w:pPr>
            <w:r>
              <w:rPr>
                <w:sz w:val="20"/>
              </w:rPr>
              <w:t>Средняя заработная плата в частных компаниях</w:t>
            </w:r>
          </w:p>
        </w:tc>
        <w:tc>
          <w:tcPr>
            <w:tcW w:w="2583" w:type="dxa"/>
            <w:gridSpan w:val="2"/>
          </w:tcPr>
          <w:p w:rsidR="00000000" w:rsidRDefault="00000000">
            <w:pPr>
              <w:spacing w:before="40" w:after="20" w:line="216" w:lineRule="auto"/>
              <w:jc w:val="center"/>
              <w:rPr>
                <w:sz w:val="20"/>
              </w:rPr>
            </w:pPr>
            <w:r>
              <w:rPr>
                <w:sz w:val="20"/>
              </w:rPr>
              <w:t>Средняя заработная плата в сфере образования</w:t>
            </w:r>
          </w:p>
        </w:tc>
      </w:tr>
      <w:tr w:rsidR="00000000">
        <w:trPr>
          <w:cantSplit/>
          <w:trHeight w:val="20"/>
          <w:tblHeader/>
        </w:trPr>
        <w:tc>
          <w:tcPr>
            <w:tcW w:w="0" w:type="auto"/>
            <w:vMerge/>
            <w:tcBorders>
              <w:bottom w:val="single" w:sz="4" w:space="0" w:color="auto"/>
            </w:tcBorders>
            <w:vAlign w:val="center"/>
          </w:tcPr>
          <w:p w:rsidR="00000000" w:rsidRDefault="00000000">
            <w:pPr>
              <w:spacing w:before="40" w:after="20" w:line="216" w:lineRule="auto"/>
              <w:jc w:val="center"/>
              <w:rPr>
                <w:sz w:val="20"/>
              </w:rPr>
            </w:pPr>
          </w:p>
        </w:tc>
        <w:tc>
          <w:tcPr>
            <w:tcW w:w="1765" w:type="dxa"/>
            <w:vMerge/>
            <w:tcBorders>
              <w:bottom w:val="single" w:sz="4" w:space="0" w:color="auto"/>
            </w:tcBorders>
          </w:tcPr>
          <w:p w:rsidR="00000000" w:rsidRDefault="00000000">
            <w:pPr>
              <w:spacing w:before="40" w:after="20" w:line="216" w:lineRule="auto"/>
              <w:rPr>
                <w:sz w:val="20"/>
              </w:rPr>
            </w:pPr>
          </w:p>
        </w:tc>
        <w:tc>
          <w:tcPr>
            <w:tcW w:w="1448" w:type="dxa"/>
            <w:vMerge/>
            <w:tcBorders>
              <w:bottom w:val="single" w:sz="4" w:space="0" w:color="auto"/>
            </w:tcBorders>
          </w:tcPr>
          <w:p w:rsidR="00000000" w:rsidRDefault="00000000">
            <w:pPr>
              <w:spacing w:before="40" w:after="20" w:line="216" w:lineRule="auto"/>
              <w:rPr>
                <w:sz w:val="20"/>
              </w:rPr>
            </w:pPr>
          </w:p>
        </w:tc>
        <w:tc>
          <w:tcPr>
            <w:tcW w:w="0" w:type="auto"/>
            <w:vMerge/>
            <w:tcBorders>
              <w:bottom w:val="single" w:sz="4" w:space="0" w:color="auto"/>
            </w:tcBorders>
          </w:tcPr>
          <w:p w:rsidR="00000000" w:rsidRDefault="00000000">
            <w:pPr>
              <w:spacing w:before="40" w:after="20" w:line="216" w:lineRule="auto"/>
              <w:rPr>
                <w:sz w:val="20"/>
              </w:rPr>
            </w:pPr>
          </w:p>
        </w:tc>
        <w:tc>
          <w:tcPr>
            <w:tcW w:w="0" w:type="auto"/>
            <w:vMerge/>
            <w:tcBorders>
              <w:bottom w:val="single" w:sz="4" w:space="0" w:color="auto"/>
            </w:tcBorders>
          </w:tcPr>
          <w:p w:rsidR="00000000" w:rsidRDefault="00000000">
            <w:pPr>
              <w:spacing w:before="40" w:after="20" w:line="216" w:lineRule="auto"/>
              <w:rPr>
                <w:sz w:val="20"/>
              </w:rPr>
            </w:pPr>
          </w:p>
        </w:tc>
        <w:tc>
          <w:tcPr>
            <w:tcW w:w="1172" w:type="dxa"/>
            <w:tcBorders>
              <w:bottom w:val="single" w:sz="4" w:space="0" w:color="auto"/>
            </w:tcBorders>
            <w:vAlign w:val="center"/>
          </w:tcPr>
          <w:p w:rsidR="00000000" w:rsidRDefault="00000000">
            <w:pPr>
              <w:spacing w:before="40" w:after="20" w:line="216" w:lineRule="auto"/>
              <w:jc w:val="center"/>
              <w:rPr>
                <w:sz w:val="20"/>
              </w:rPr>
            </w:pPr>
            <w:r>
              <w:rPr>
                <w:sz w:val="20"/>
              </w:rPr>
              <w:t>Всего</w:t>
            </w:r>
          </w:p>
        </w:tc>
        <w:tc>
          <w:tcPr>
            <w:tcW w:w="1411" w:type="dxa"/>
            <w:tcBorders>
              <w:bottom w:val="single" w:sz="4" w:space="0" w:color="auto"/>
            </w:tcBorders>
            <w:vAlign w:val="center"/>
          </w:tcPr>
          <w:p w:rsidR="00000000" w:rsidRDefault="00000000">
            <w:pPr>
              <w:pStyle w:val="16"/>
              <w:tabs>
                <w:tab w:val="clear" w:pos="567"/>
                <w:tab w:val="clear" w:pos="1134"/>
                <w:tab w:val="clear" w:pos="1701"/>
                <w:tab w:val="clear" w:pos="2268"/>
                <w:tab w:val="clear" w:pos="6237"/>
              </w:tabs>
              <w:spacing w:before="40" w:after="20" w:line="216" w:lineRule="auto"/>
              <w:rPr>
                <w:sz w:val="20"/>
              </w:rPr>
            </w:pPr>
            <w:r>
              <w:rPr>
                <w:sz w:val="20"/>
              </w:rPr>
              <w:t>Преподаватели</w:t>
            </w:r>
          </w:p>
        </w:tc>
      </w:tr>
      <w:tr w:rsidR="00000000">
        <w:trPr>
          <w:trHeight w:val="20"/>
        </w:trPr>
        <w:tc>
          <w:tcPr>
            <w:tcW w:w="0" w:type="auto"/>
            <w:tcBorders>
              <w:bottom w:val="nil"/>
            </w:tcBorders>
            <w:vAlign w:val="center"/>
          </w:tcPr>
          <w:p w:rsidR="00000000" w:rsidRDefault="00000000">
            <w:pPr>
              <w:spacing w:before="40" w:after="20" w:line="216" w:lineRule="auto"/>
              <w:jc w:val="center"/>
              <w:rPr>
                <w:sz w:val="20"/>
              </w:rPr>
            </w:pPr>
            <w:r>
              <w:rPr>
                <w:sz w:val="20"/>
              </w:rPr>
              <w:t>1989</w:t>
            </w:r>
          </w:p>
        </w:tc>
        <w:tc>
          <w:tcPr>
            <w:tcW w:w="1765" w:type="dxa"/>
            <w:tcBorders>
              <w:bottom w:val="nil"/>
            </w:tcBorders>
          </w:tcPr>
          <w:p w:rsidR="00000000" w:rsidRDefault="00000000">
            <w:pPr>
              <w:tabs>
                <w:tab w:val="clear" w:pos="567"/>
                <w:tab w:val="clear" w:pos="1134"/>
                <w:tab w:val="clear" w:pos="1701"/>
                <w:tab w:val="clear" w:pos="2268"/>
                <w:tab w:val="clear" w:pos="6237"/>
              </w:tabs>
              <w:spacing w:before="40" w:after="20" w:line="216" w:lineRule="auto"/>
              <w:ind w:right="539"/>
              <w:jc w:val="right"/>
              <w:rPr>
                <w:sz w:val="20"/>
              </w:rPr>
            </w:pPr>
            <w:r>
              <w:rPr>
                <w:sz w:val="20"/>
              </w:rPr>
              <w:t>2,39</w:t>
            </w:r>
          </w:p>
        </w:tc>
        <w:tc>
          <w:tcPr>
            <w:tcW w:w="1448" w:type="dxa"/>
            <w:tcBorders>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20,68</w:t>
            </w:r>
          </w:p>
        </w:tc>
        <w:tc>
          <w:tcPr>
            <w:tcW w:w="0" w:type="auto"/>
            <w:tcBorders>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19,44</w:t>
            </w:r>
          </w:p>
        </w:tc>
        <w:tc>
          <w:tcPr>
            <w:tcW w:w="0" w:type="auto"/>
            <w:tcBorders>
              <w:bottom w:val="nil"/>
            </w:tcBorders>
          </w:tcPr>
          <w:p w:rsidR="00000000" w:rsidRDefault="00000000">
            <w:pPr>
              <w:tabs>
                <w:tab w:val="clear" w:pos="567"/>
                <w:tab w:val="clear" w:pos="1134"/>
                <w:tab w:val="clear" w:pos="1701"/>
                <w:tab w:val="clear" w:pos="2268"/>
                <w:tab w:val="clear" w:pos="6237"/>
              </w:tabs>
              <w:spacing w:before="40" w:after="20" w:line="216" w:lineRule="auto"/>
              <w:ind w:right="414"/>
              <w:jc w:val="right"/>
              <w:rPr>
                <w:sz w:val="20"/>
              </w:rPr>
            </w:pPr>
            <w:r>
              <w:rPr>
                <w:sz w:val="20"/>
              </w:rPr>
              <w:t>21,21</w:t>
            </w:r>
          </w:p>
        </w:tc>
        <w:tc>
          <w:tcPr>
            <w:tcW w:w="1172" w:type="dxa"/>
            <w:tcBorders>
              <w:bottom w:val="nil"/>
            </w:tcBorders>
          </w:tcPr>
          <w:p w:rsidR="00000000" w:rsidRDefault="00000000">
            <w:pPr>
              <w:tabs>
                <w:tab w:val="clear" w:pos="567"/>
                <w:tab w:val="clear" w:pos="1134"/>
                <w:tab w:val="clear" w:pos="1701"/>
                <w:tab w:val="clear" w:pos="2268"/>
                <w:tab w:val="clear" w:pos="6237"/>
                <w:tab w:val="left" w:pos="913"/>
              </w:tabs>
              <w:spacing w:before="40" w:after="20" w:line="216" w:lineRule="auto"/>
              <w:ind w:right="242"/>
              <w:jc w:val="right"/>
              <w:rPr>
                <w:sz w:val="20"/>
              </w:rPr>
            </w:pPr>
            <w:r>
              <w:rPr>
                <w:sz w:val="20"/>
              </w:rPr>
              <w:t>18,99</w:t>
            </w:r>
          </w:p>
        </w:tc>
        <w:tc>
          <w:tcPr>
            <w:tcW w:w="1411" w:type="dxa"/>
            <w:tcBorders>
              <w:bottom w:val="nil"/>
            </w:tcBorders>
          </w:tcPr>
          <w:p w:rsidR="00000000" w:rsidRDefault="00000000">
            <w:pPr>
              <w:tabs>
                <w:tab w:val="clear" w:pos="567"/>
                <w:tab w:val="clear" w:pos="1134"/>
                <w:tab w:val="clear" w:pos="1701"/>
                <w:tab w:val="clear" w:pos="2268"/>
                <w:tab w:val="clear" w:pos="6237"/>
              </w:tabs>
              <w:spacing w:before="40" w:after="20" w:line="216" w:lineRule="auto"/>
              <w:ind w:right="379"/>
              <w:jc w:val="right"/>
              <w:rPr>
                <w:sz w:val="20"/>
              </w:rPr>
            </w:pPr>
            <w:r>
              <w:rPr>
                <w:sz w:val="20"/>
              </w:rPr>
              <w:t>21,89</w:t>
            </w:r>
          </w:p>
        </w:tc>
      </w:tr>
      <w:tr w:rsidR="00000000">
        <w:trPr>
          <w:trHeight w:val="20"/>
        </w:trPr>
        <w:tc>
          <w:tcPr>
            <w:tcW w:w="0" w:type="auto"/>
            <w:tcBorders>
              <w:top w:val="nil"/>
              <w:bottom w:val="nil"/>
            </w:tcBorders>
            <w:vAlign w:val="center"/>
          </w:tcPr>
          <w:p w:rsidR="00000000" w:rsidRDefault="00000000">
            <w:pPr>
              <w:spacing w:before="40" w:after="20" w:line="216" w:lineRule="auto"/>
              <w:jc w:val="center"/>
              <w:rPr>
                <w:sz w:val="20"/>
              </w:rPr>
            </w:pPr>
            <w:r>
              <w:rPr>
                <w:sz w:val="20"/>
              </w:rPr>
              <w:t>1990</w:t>
            </w:r>
          </w:p>
        </w:tc>
        <w:tc>
          <w:tcPr>
            <w:tcW w:w="1765"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539"/>
              <w:jc w:val="right"/>
              <w:rPr>
                <w:sz w:val="20"/>
              </w:rPr>
            </w:pPr>
            <w:r>
              <w:rPr>
                <w:sz w:val="20"/>
              </w:rPr>
              <w:t>22,07</w:t>
            </w:r>
          </w:p>
        </w:tc>
        <w:tc>
          <w:tcPr>
            <w:tcW w:w="1448"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102,96</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109,24</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14"/>
              <w:jc w:val="right"/>
              <w:rPr>
                <w:sz w:val="20"/>
              </w:rPr>
            </w:pPr>
            <w:r>
              <w:rPr>
                <w:sz w:val="20"/>
              </w:rPr>
              <w:t>102,11</w:t>
            </w:r>
          </w:p>
        </w:tc>
        <w:tc>
          <w:tcPr>
            <w:tcW w:w="1172" w:type="dxa"/>
            <w:tcBorders>
              <w:top w:val="nil"/>
              <w:bottom w:val="nil"/>
            </w:tcBorders>
          </w:tcPr>
          <w:p w:rsidR="00000000" w:rsidRDefault="00000000">
            <w:pPr>
              <w:tabs>
                <w:tab w:val="clear" w:pos="567"/>
                <w:tab w:val="clear" w:pos="1134"/>
                <w:tab w:val="clear" w:pos="1701"/>
                <w:tab w:val="clear" w:pos="2268"/>
                <w:tab w:val="clear" w:pos="6237"/>
                <w:tab w:val="left" w:pos="913"/>
              </w:tabs>
              <w:spacing w:before="40" w:after="20" w:line="216" w:lineRule="auto"/>
              <w:ind w:right="242"/>
              <w:jc w:val="right"/>
              <w:rPr>
                <w:sz w:val="20"/>
              </w:rPr>
            </w:pPr>
            <w:r>
              <w:rPr>
                <w:sz w:val="20"/>
              </w:rPr>
              <w:t>105,77</w:t>
            </w:r>
          </w:p>
        </w:tc>
        <w:tc>
          <w:tcPr>
            <w:tcW w:w="1411"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379"/>
              <w:jc w:val="right"/>
              <w:rPr>
                <w:sz w:val="20"/>
              </w:rPr>
            </w:pPr>
            <w:r>
              <w:rPr>
                <w:sz w:val="20"/>
              </w:rPr>
              <w:t>118,17</w:t>
            </w:r>
          </w:p>
        </w:tc>
      </w:tr>
      <w:tr w:rsidR="00000000">
        <w:trPr>
          <w:trHeight w:val="20"/>
        </w:trPr>
        <w:tc>
          <w:tcPr>
            <w:tcW w:w="0" w:type="auto"/>
            <w:tcBorders>
              <w:top w:val="nil"/>
              <w:bottom w:val="nil"/>
            </w:tcBorders>
            <w:vAlign w:val="center"/>
          </w:tcPr>
          <w:p w:rsidR="00000000" w:rsidRDefault="00000000">
            <w:pPr>
              <w:spacing w:before="40" w:after="20" w:line="216" w:lineRule="auto"/>
              <w:jc w:val="center"/>
              <w:rPr>
                <w:sz w:val="20"/>
              </w:rPr>
            </w:pPr>
            <w:r>
              <w:rPr>
                <w:sz w:val="20"/>
              </w:rPr>
              <w:t>1991</w:t>
            </w:r>
          </w:p>
        </w:tc>
        <w:tc>
          <w:tcPr>
            <w:tcW w:w="1765"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539"/>
              <w:jc w:val="right"/>
              <w:rPr>
                <w:sz w:val="20"/>
              </w:rPr>
            </w:pPr>
            <w:r>
              <w:rPr>
                <w:sz w:val="20"/>
              </w:rPr>
              <w:t>61,37</w:t>
            </w:r>
          </w:p>
        </w:tc>
        <w:tc>
          <w:tcPr>
            <w:tcW w:w="1448"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175,63</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167,43</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14"/>
              <w:jc w:val="right"/>
              <w:rPr>
                <w:sz w:val="20"/>
              </w:rPr>
            </w:pPr>
            <w:r>
              <w:rPr>
                <w:sz w:val="20"/>
              </w:rPr>
              <w:t>178,04</w:t>
            </w:r>
          </w:p>
        </w:tc>
        <w:tc>
          <w:tcPr>
            <w:tcW w:w="1172" w:type="dxa"/>
            <w:tcBorders>
              <w:top w:val="nil"/>
              <w:bottom w:val="nil"/>
            </w:tcBorders>
          </w:tcPr>
          <w:p w:rsidR="00000000" w:rsidRDefault="00000000">
            <w:pPr>
              <w:tabs>
                <w:tab w:val="clear" w:pos="567"/>
                <w:tab w:val="clear" w:pos="1134"/>
                <w:tab w:val="clear" w:pos="1701"/>
                <w:tab w:val="clear" w:pos="2268"/>
                <w:tab w:val="clear" w:pos="6237"/>
                <w:tab w:val="left" w:pos="913"/>
              </w:tabs>
              <w:spacing w:before="40" w:after="20" w:line="216" w:lineRule="auto"/>
              <w:ind w:right="242"/>
              <w:jc w:val="right"/>
              <w:rPr>
                <w:sz w:val="20"/>
              </w:rPr>
            </w:pPr>
            <w:r>
              <w:rPr>
                <w:sz w:val="20"/>
              </w:rPr>
              <w:t>159,04</w:t>
            </w:r>
          </w:p>
        </w:tc>
        <w:tc>
          <w:tcPr>
            <w:tcW w:w="1411"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379"/>
              <w:jc w:val="right"/>
              <w:rPr>
                <w:sz w:val="20"/>
              </w:rPr>
            </w:pPr>
            <w:r>
              <w:rPr>
                <w:sz w:val="20"/>
              </w:rPr>
              <w:t>176,92</w:t>
            </w:r>
          </w:p>
        </w:tc>
      </w:tr>
      <w:tr w:rsidR="00000000">
        <w:trPr>
          <w:trHeight w:val="20"/>
        </w:trPr>
        <w:tc>
          <w:tcPr>
            <w:tcW w:w="0" w:type="auto"/>
            <w:tcBorders>
              <w:top w:val="nil"/>
              <w:bottom w:val="nil"/>
            </w:tcBorders>
            <w:vAlign w:val="center"/>
          </w:tcPr>
          <w:p w:rsidR="00000000" w:rsidRDefault="00000000">
            <w:pPr>
              <w:spacing w:before="40" w:after="20" w:line="216" w:lineRule="auto"/>
              <w:jc w:val="center"/>
              <w:rPr>
                <w:sz w:val="20"/>
              </w:rPr>
            </w:pPr>
            <w:r>
              <w:rPr>
                <w:sz w:val="20"/>
              </w:rPr>
              <w:t>1992</w:t>
            </w:r>
          </w:p>
        </w:tc>
        <w:tc>
          <w:tcPr>
            <w:tcW w:w="1765"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539"/>
              <w:jc w:val="right"/>
              <w:rPr>
                <w:sz w:val="20"/>
              </w:rPr>
            </w:pPr>
            <w:r>
              <w:rPr>
                <w:sz w:val="20"/>
              </w:rPr>
              <w:t>108,75</w:t>
            </w:r>
          </w:p>
        </w:tc>
        <w:tc>
          <w:tcPr>
            <w:tcW w:w="1448"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289,73</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271,14</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14"/>
              <w:jc w:val="right"/>
              <w:rPr>
                <w:sz w:val="20"/>
              </w:rPr>
            </w:pPr>
            <w:r>
              <w:rPr>
                <w:sz w:val="20"/>
              </w:rPr>
              <w:t>291,81</w:t>
            </w:r>
          </w:p>
        </w:tc>
        <w:tc>
          <w:tcPr>
            <w:tcW w:w="1172" w:type="dxa"/>
            <w:tcBorders>
              <w:top w:val="nil"/>
              <w:bottom w:val="nil"/>
            </w:tcBorders>
          </w:tcPr>
          <w:p w:rsidR="00000000" w:rsidRDefault="00000000">
            <w:pPr>
              <w:tabs>
                <w:tab w:val="clear" w:pos="567"/>
                <w:tab w:val="clear" w:pos="1134"/>
                <w:tab w:val="clear" w:pos="1701"/>
                <w:tab w:val="clear" w:pos="2268"/>
                <w:tab w:val="clear" w:pos="6237"/>
                <w:tab w:val="left" w:pos="913"/>
              </w:tabs>
              <w:spacing w:before="40" w:after="20" w:line="216" w:lineRule="auto"/>
              <w:ind w:right="242"/>
              <w:jc w:val="right"/>
              <w:rPr>
                <w:sz w:val="20"/>
              </w:rPr>
            </w:pPr>
            <w:r>
              <w:rPr>
                <w:sz w:val="20"/>
              </w:rPr>
              <w:t>258,46</w:t>
            </w:r>
          </w:p>
        </w:tc>
        <w:tc>
          <w:tcPr>
            <w:tcW w:w="1411"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379"/>
              <w:jc w:val="right"/>
              <w:rPr>
                <w:sz w:val="20"/>
              </w:rPr>
            </w:pPr>
            <w:r>
              <w:rPr>
                <w:sz w:val="20"/>
              </w:rPr>
              <w:t>269,71</w:t>
            </w:r>
          </w:p>
        </w:tc>
      </w:tr>
      <w:tr w:rsidR="00000000">
        <w:trPr>
          <w:trHeight w:val="20"/>
        </w:trPr>
        <w:tc>
          <w:tcPr>
            <w:tcW w:w="0" w:type="auto"/>
            <w:tcBorders>
              <w:top w:val="nil"/>
              <w:bottom w:val="nil"/>
            </w:tcBorders>
            <w:vAlign w:val="center"/>
          </w:tcPr>
          <w:p w:rsidR="00000000" w:rsidRDefault="00000000">
            <w:pPr>
              <w:spacing w:before="40" w:after="20" w:line="216" w:lineRule="auto"/>
              <w:jc w:val="center"/>
              <w:rPr>
                <w:sz w:val="20"/>
              </w:rPr>
            </w:pPr>
            <w:r>
              <w:rPr>
                <w:sz w:val="20"/>
              </w:rPr>
              <w:t>1993</w:t>
            </w:r>
          </w:p>
        </w:tc>
        <w:tc>
          <w:tcPr>
            <w:tcW w:w="1765"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539"/>
              <w:jc w:val="right"/>
              <w:rPr>
                <w:sz w:val="20"/>
              </w:rPr>
            </w:pPr>
            <w:r>
              <w:rPr>
                <w:sz w:val="20"/>
              </w:rPr>
              <w:t>160,00</w:t>
            </w:r>
          </w:p>
        </w:tc>
        <w:tc>
          <w:tcPr>
            <w:tcW w:w="1448"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390,43</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357,24</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14"/>
              <w:jc w:val="right"/>
              <w:rPr>
                <w:sz w:val="20"/>
              </w:rPr>
            </w:pPr>
            <w:r>
              <w:rPr>
                <w:sz w:val="20"/>
              </w:rPr>
              <w:t>406,10</w:t>
            </w:r>
          </w:p>
        </w:tc>
        <w:tc>
          <w:tcPr>
            <w:tcW w:w="1172" w:type="dxa"/>
            <w:tcBorders>
              <w:top w:val="nil"/>
              <w:bottom w:val="nil"/>
            </w:tcBorders>
          </w:tcPr>
          <w:p w:rsidR="00000000" w:rsidRDefault="00000000">
            <w:pPr>
              <w:tabs>
                <w:tab w:val="clear" w:pos="567"/>
                <w:tab w:val="clear" w:pos="1134"/>
                <w:tab w:val="clear" w:pos="1701"/>
                <w:tab w:val="clear" w:pos="2268"/>
                <w:tab w:val="clear" w:pos="6237"/>
                <w:tab w:val="left" w:pos="913"/>
              </w:tabs>
              <w:spacing w:before="40" w:after="20" w:line="216" w:lineRule="auto"/>
              <w:ind w:right="242"/>
              <w:jc w:val="right"/>
              <w:rPr>
                <w:sz w:val="20"/>
              </w:rPr>
            </w:pPr>
            <w:r>
              <w:rPr>
                <w:sz w:val="20"/>
              </w:rPr>
              <w:t>350,25</w:t>
            </w:r>
          </w:p>
        </w:tc>
        <w:tc>
          <w:tcPr>
            <w:tcW w:w="1411"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379"/>
              <w:jc w:val="right"/>
              <w:rPr>
                <w:sz w:val="20"/>
              </w:rPr>
            </w:pPr>
            <w:r>
              <w:rPr>
                <w:sz w:val="20"/>
              </w:rPr>
              <w:t>373,78</w:t>
            </w:r>
          </w:p>
        </w:tc>
      </w:tr>
      <w:tr w:rsidR="00000000">
        <w:trPr>
          <w:trHeight w:val="20"/>
        </w:trPr>
        <w:tc>
          <w:tcPr>
            <w:tcW w:w="0" w:type="auto"/>
            <w:tcBorders>
              <w:top w:val="nil"/>
              <w:bottom w:val="nil"/>
            </w:tcBorders>
            <w:vAlign w:val="center"/>
          </w:tcPr>
          <w:p w:rsidR="00000000" w:rsidRDefault="00000000">
            <w:pPr>
              <w:spacing w:before="40" w:after="20" w:line="216" w:lineRule="auto"/>
              <w:jc w:val="center"/>
              <w:rPr>
                <w:sz w:val="20"/>
              </w:rPr>
            </w:pPr>
            <w:r>
              <w:rPr>
                <w:sz w:val="20"/>
              </w:rPr>
              <w:t>1994</w:t>
            </w:r>
          </w:p>
        </w:tc>
        <w:tc>
          <w:tcPr>
            <w:tcW w:w="1765"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539"/>
              <w:jc w:val="right"/>
              <w:rPr>
                <w:sz w:val="20"/>
              </w:rPr>
            </w:pPr>
            <w:r>
              <w:rPr>
                <w:sz w:val="20"/>
              </w:rPr>
              <w:t>215,00</w:t>
            </w:r>
          </w:p>
        </w:tc>
        <w:tc>
          <w:tcPr>
            <w:tcW w:w="1448" w:type="dxa"/>
            <w:tcBorders>
              <w:top w:val="nil"/>
              <w:bottom w:val="nil"/>
            </w:tcBorders>
          </w:tcPr>
          <w:p w:rsidR="00000000" w:rsidRDefault="00000000">
            <w:pPr>
              <w:pStyle w:val="FootnoteText"/>
              <w:tabs>
                <w:tab w:val="clear" w:pos="567"/>
                <w:tab w:val="clear" w:pos="1134"/>
                <w:tab w:val="clear" w:pos="1701"/>
                <w:tab w:val="clear" w:pos="2268"/>
                <w:tab w:val="clear" w:pos="6237"/>
              </w:tabs>
              <w:spacing w:before="40" w:after="20" w:line="216" w:lineRule="auto"/>
              <w:ind w:right="491"/>
              <w:jc w:val="right"/>
              <w:rPr>
                <w:sz w:val="20"/>
              </w:rPr>
            </w:pPr>
            <w:r>
              <w:rPr>
                <w:sz w:val="20"/>
              </w:rPr>
              <w:t>525,02</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472,92</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14"/>
              <w:jc w:val="right"/>
              <w:rPr>
                <w:sz w:val="20"/>
              </w:rPr>
            </w:pPr>
            <w:r>
              <w:rPr>
                <w:sz w:val="20"/>
              </w:rPr>
              <w:t>571,08</w:t>
            </w:r>
          </w:p>
        </w:tc>
        <w:tc>
          <w:tcPr>
            <w:tcW w:w="1172" w:type="dxa"/>
            <w:tcBorders>
              <w:top w:val="nil"/>
              <w:bottom w:val="nil"/>
            </w:tcBorders>
          </w:tcPr>
          <w:p w:rsidR="00000000" w:rsidRDefault="00000000">
            <w:pPr>
              <w:tabs>
                <w:tab w:val="clear" w:pos="567"/>
                <w:tab w:val="clear" w:pos="1134"/>
                <w:tab w:val="clear" w:pos="1701"/>
                <w:tab w:val="clear" w:pos="2268"/>
                <w:tab w:val="clear" w:pos="6237"/>
                <w:tab w:val="left" w:pos="913"/>
              </w:tabs>
              <w:spacing w:before="40" w:after="20" w:line="216" w:lineRule="auto"/>
              <w:ind w:right="242"/>
              <w:jc w:val="right"/>
              <w:rPr>
                <w:sz w:val="20"/>
              </w:rPr>
            </w:pPr>
            <w:r>
              <w:rPr>
                <w:sz w:val="20"/>
              </w:rPr>
              <w:t>457,88</w:t>
            </w:r>
          </w:p>
        </w:tc>
        <w:tc>
          <w:tcPr>
            <w:tcW w:w="1411"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379"/>
              <w:jc w:val="right"/>
              <w:rPr>
                <w:sz w:val="20"/>
              </w:rPr>
            </w:pPr>
            <w:r>
              <w:rPr>
                <w:sz w:val="20"/>
              </w:rPr>
              <w:t>495,45</w:t>
            </w:r>
          </w:p>
        </w:tc>
      </w:tr>
      <w:tr w:rsidR="00000000">
        <w:trPr>
          <w:trHeight w:val="20"/>
        </w:trPr>
        <w:tc>
          <w:tcPr>
            <w:tcW w:w="0" w:type="auto"/>
            <w:tcBorders>
              <w:top w:val="nil"/>
              <w:bottom w:val="nil"/>
            </w:tcBorders>
            <w:vAlign w:val="center"/>
          </w:tcPr>
          <w:p w:rsidR="00000000" w:rsidRDefault="00000000">
            <w:pPr>
              <w:spacing w:before="40" w:after="20" w:line="216" w:lineRule="auto"/>
              <w:jc w:val="center"/>
              <w:rPr>
                <w:sz w:val="20"/>
              </w:rPr>
            </w:pPr>
            <w:r>
              <w:rPr>
                <w:sz w:val="20"/>
              </w:rPr>
              <w:t>1995</w:t>
            </w:r>
          </w:p>
        </w:tc>
        <w:tc>
          <w:tcPr>
            <w:tcW w:w="1765"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539"/>
              <w:jc w:val="right"/>
              <w:rPr>
                <w:sz w:val="20"/>
              </w:rPr>
            </w:pPr>
            <w:r>
              <w:rPr>
                <w:sz w:val="20"/>
              </w:rPr>
              <w:t>285,00</w:t>
            </w:r>
          </w:p>
        </w:tc>
        <w:tc>
          <w:tcPr>
            <w:tcW w:w="1448"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690,92</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639,01</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14"/>
              <w:jc w:val="right"/>
              <w:rPr>
                <w:sz w:val="20"/>
              </w:rPr>
            </w:pPr>
            <w:r>
              <w:rPr>
                <w:sz w:val="20"/>
              </w:rPr>
              <w:t>754,17</w:t>
            </w:r>
          </w:p>
        </w:tc>
        <w:tc>
          <w:tcPr>
            <w:tcW w:w="1172" w:type="dxa"/>
            <w:tcBorders>
              <w:top w:val="nil"/>
              <w:bottom w:val="nil"/>
            </w:tcBorders>
          </w:tcPr>
          <w:p w:rsidR="00000000" w:rsidRDefault="00000000">
            <w:pPr>
              <w:tabs>
                <w:tab w:val="clear" w:pos="567"/>
                <w:tab w:val="clear" w:pos="1134"/>
                <w:tab w:val="clear" w:pos="1701"/>
                <w:tab w:val="clear" w:pos="2268"/>
                <w:tab w:val="clear" w:pos="6237"/>
                <w:tab w:val="left" w:pos="913"/>
              </w:tabs>
              <w:spacing w:before="40" w:after="20" w:line="216" w:lineRule="auto"/>
              <w:ind w:right="242"/>
              <w:jc w:val="right"/>
              <w:rPr>
                <w:sz w:val="20"/>
              </w:rPr>
            </w:pPr>
            <w:r>
              <w:rPr>
                <w:sz w:val="20"/>
              </w:rPr>
              <w:t>618,13</w:t>
            </w:r>
          </w:p>
        </w:tc>
        <w:tc>
          <w:tcPr>
            <w:tcW w:w="1411"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379"/>
              <w:jc w:val="right"/>
              <w:rPr>
                <w:sz w:val="20"/>
              </w:rPr>
            </w:pPr>
            <w:r>
              <w:rPr>
                <w:sz w:val="20"/>
              </w:rPr>
              <w:t>671,20</w:t>
            </w:r>
          </w:p>
        </w:tc>
      </w:tr>
      <w:tr w:rsidR="00000000">
        <w:trPr>
          <w:trHeight w:val="20"/>
        </w:trPr>
        <w:tc>
          <w:tcPr>
            <w:tcW w:w="0" w:type="auto"/>
            <w:tcBorders>
              <w:top w:val="nil"/>
              <w:bottom w:val="nil"/>
            </w:tcBorders>
            <w:vAlign w:val="center"/>
          </w:tcPr>
          <w:p w:rsidR="00000000" w:rsidRDefault="00000000">
            <w:pPr>
              <w:spacing w:before="40" w:after="20" w:line="216" w:lineRule="auto"/>
              <w:jc w:val="center"/>
              <w:rPr>
                <w:sz w:val="20"/>
              </w:rPr>
            </w:pPr>
            <w:r>
              <w:rPr>
                <w:sz w:val="20"/>
              </w:rPr>
              <w:t>1996</w:t>
            </w:r>
          </w:p>
        </w:tc>
        <w:tc>
          <w:tcPr>
            <w:tcW w:w="1765"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539"/>
              <w:jc w:val="right"/>
              <w:rPr>
                <w:sz w:val="20"/>
              </w:rPr>
            </w:pPr>
            <w:r>
              <w:rPr>
                <w:sz w:val="20"/>
              </w:rPr>
              <w:t>353,75</w:t>
            </w:r>
          </w:p>
        </w:tc>
        <w:tc>
          <w:tcPr>
            <w:tcW w:w="1448"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874,30</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816,61</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14"/>
              <w:jc w:val="right"/>
              <w:rPr>
                <w:sz w:val="20"/>
              </w:rPr>
            </w:pPr>
            <w:r>
              <w:rPr>
                <w:sz w:val="20"/>
              </w:rPr>
              <w:t>956,85</w:t>
            </w:r>
          </w:p>
        </w:tc>
        <w:tc>
          <w:tcPr>
            <w:tcW w:w="1172" w:type="dxa"/>
            <w:tcBorders>
              <w:top w:val="nil"/>
              <w:bottom w:val="nil"/>
            </w:tcBorders>
          </w:tcPr>
          <w:p w:rsidR="00000000" w:rsidRDefault="00000000">
            <w:pPr>
              <w:tabs>
                <w:tab w:val="clear" w:pos="567"/>
                <w:tab w:val="clear" w:pos="1134"/>
                <w:tab w:val="clear" w:pos="1701"/>
                <w:tab w:val="clear" w:pos="2268"/>
                <w:tab w:val="clear" w:pos="6237"/>
                <w:tab w:val="left" w:pos="913"/>
              </w:tabs>
              <w:spacing w:before="40" w:after="20" w:line="216" w:lineRule="auto"/>
              <w:ind w:right="242"/>
              <w:jc w:val="right"/>
              <w:rPr>
                <w:sz w:val="20"/>
              </w:rPr>
            </w:pPr>
            <w:r>
              <w:rPr>
                <w:sz w:val="20"/>
              </w:rPr>
              <w:t>790,62</w:t>
            </w:r>
          </w:p>
        </w:tc>
        <w:tc>
          <w:tcPr>
            <w:tcW w:w="1411"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379"/>
              <w:jc w:val="right"/>
              <w:rPr>
                <w:sz w:val="20"/>
              </w:rPr>
            </w:pPr>
            <w:r>
              <w:rPr>
                <w:sz w:val="20"/>
              </w:rPr>
              <w:t>857,70</w:t>
            </w:r>
          </w:p>
        </w:tc>
      </w:tr>
      <w:tr w:rsidR="00000000">
        <w:trPr>
          <w:trHeight w:val="20"/>
        </w:trPr>
        <w:tc>
          <w:tcPr>
            <w:tcW w:w="0" w:type="auto"/>
            <w:tcBorders>
              <w:top w:val="nil"/>
              <w:bottom w:val="nil"/>
            </w:tcBorders>
            <w:vAlign w:val="center"/>
          </w:tcPr>
          <w:p w:rsidR="00000000" w:rsidRDefault="00000000">
            <w:pPr>
              <w:spacing w:before="40" w:after="20" w:line="216" w:lineRule="auto"/>
              <w:jc w:val="center"/>
              <w:rPr>
                <w:sz w:val="20"/>
              </w:rPr>
            </w:pPr>
            <w:r>
              <w:rPr>
                <w:sz w:val="20"/>
              </w:rPr>
              <w:t>1997</w:t>
            </w:r>
          </w:p>
        </w:tc>
        <w:tc>
          <w:tcPr>
            <w:tcW w:w="1765"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539"/>
              <w:jc w:val="right"/>
              <w:rPr>
                <w:sz w:val="20"/>
              </w:rPr>
            </w:pPr>
            <w:r>
              <w:rPr>
                <w:sz w:val="20"/>
              </w:rPr>
              <w:t>426,75</w:t>
            </w:r>
          </w:p>
        </w:tc>
        <w:tc>
          <w:tcPr>
            <w:tcW w:w="1448"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1 061,95</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1 005,92</w:t>
            </w:r>
          </w:p>
        </w:tc>
        <w:tc>
          <w:tcPr>
            <w:tcW w:w="0" w:type="auto"/>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414"/>
              <w:jc w:val="right"/>
              <w:rPr>
                <w:sz w:val="20"/>
              </w:rPr>
            </w:pPr>
            <w:r>
              <w:rPr>
                <w:sz w:val="20"/>
              </w:rPr>
              <w:t>1 162,06</w:t>
            </w:r>
          </w:p>
        </w:tc>
        <w:tc>
          <w:tcPr>
            <w:tcW w:w="1172" w:type="dxa"/>
            <w:tcBorders>
              <w:top w:val="nil"/>
              <w:bottom w:val="nil"/>
            </w:tcBorders>
          </w:tcPr>
          <w:p w:rsidR="00000000" w:rsidRDefault="00000000">
            <w:pPr>
              <w:tabs>
                <w:tab w:val="clear" w:pos="567"/>
                <w:tab w:val="clear" w:pos="1134"/>
                <w:tab w:val="clear" w:pos="1701"/>
                <w:tab w:val="clear" w:pos="2268"/>
                <w:tab w:val="clear" w:pos="6237"/>
                <w:tab w:val="left" w:pos="913"/>
              </w:tabs>
              <w:spacing w:before="40" w:after="20" w:line="216" w:lineRule="auto"/>
              <w:ind w:right="242"/>
              <w:jc w:val="right"/>
              <w:rPr>
                <w:sz w:val="20"/>
              </w:rPr>
            </w:pPr>
            <w:r>
              <w:rPr>
                <w:sz w:val="20"/>
              </w:rPr>
              <w:t>977,75</w:t>
            </w:r>
          </w:p>
        </w:tc>
        <w:tc>
          <w:tcPr>
            <w:tcW w:w="1411" w:type="dxa"/>
            <w:tcBorders>
              <w:top w:val="nil"/>
              <w:bottom w:val="nil"/>
            </w:tcBorders>
          </w:tcPr>
          <w:p w:rsidR="00000000" w:rsidRDefault="00000000">
            <w:pPr>
              <w:tabs>
                <w:tab w:val="clear" w:pos="567"/>
                <w:tab w:val="clear" w:pos="1134"/>
                <w:tab w:val="clear" w:pos="1701"/>
                <w:tab w:val="clear" w:pos="2268"/>
                <w:tab w:val="clear" w:pos="6237"/>
              </w:tabs>
              <w:spacing w:before="40" w:after="20" w:line="216" w:lineRule="auto"/>
              <w:ind w:right="379"/>
              <w:jc w:val="right"/>
              <w:rPr>
                <w:sz w:val="20"/>
              </w:rPr>
            </w:pPr>
            <w:r>
              <w:rPr>
                <w:sz w:val="20"/>
              </w:rPr>
              <w:t>1 034,30</w:t>
            </w:r>
          </w:p>
        </w:tc>
      </w:tr>
      <w:tr w:rsidR="00000000">
        <w:trPr>
          <w:trHeight w:val="20"/>
        </w:trPr>
        <w:tc>
          <w:tcPr>
            <w:tcW w:w="0" w:type="auto"/>
            <w:tcBorders>
              <w:top w:val="nil"/>
            </w:tcBorders>
            <w:vAlign w:val="center"/>
          </w:tcPr>
          <w:p w:rsidR="00000000" w:rsidRDefault="00000000">
            <w:pPr>
              <w:spacing w:before="40" w:after="20" w:line="216" w:lineRule="auto"/>
              <w:jc w:val="center"/>
              <w:rPr>
                <w:sz w:val="20"/>
              </w:rPr>
            </w:pPr>
            <w:r>
              <w:rPr>
                <w:sz w:val="20"/>
              </w:rPr>
              <w:t>1998</w:t>
            </w:r>
          </w:p>
        </w:tc>
        <w:tc>
          <w:tcPr>
            <w:tcW w:w="1765" w:type="dxa"/>
            <w:tcBorders>
              <w:top w:val="nil"/>
            </w:tcBorders>
            <w:vAlign w:val="bottom"/>
          </w:tcPr>
          <w:p w:rsidR="00000000" w:rsidRDefault="00000000">
            <w:pPr>
              <w:tabs>
                <w:tab w:val="clear" w:pos="567"/>
                <w:tab w:val="clear" w:pos="1134"/>
                <w:tab w:val="clear" w:pos="1701"/>
                <w:tab w:val="clear" w:pos="2268"/>
                <w:tab w:val="clear" w:pos="6237"/>
              </w:tabs>
              <w:spacing w:before="40" w:after="20" w:line="216" w:lineRule="auto"/>
              <w:ind w:right="539"/>
              <w:jc w:val="right"/>
              <w:rPr>
                <w:sz w:val="20"/>
              </w:rPr>
            </w:pPr>
            <w:r>
              <w:rPr>
                <w:sz w:val="20"/>
              </w:rPr>
              <w:t>431,52</w:t>
            </w:r>
            <w:r>
              <w:rPr>
                <w:b/>
                <w:bCs/>
                <w:sz w:val="20"/>
              </w:rPr>
              <w:t>*</w:t>
            </w:r>
          </w:p>
        </w:tc>
        <w:tc>
          <w:tcPr>
            <w:tcW w:w="1448" w:type="dxa"/>
            <w:tcBorders>
              <w:top w:val="nil"/>
            </w:tcBorders>
            <w:vAlign w:val="bottom"/>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1 239,00</w:t>
            </w:r>
          </w:p>
        </w:tc>
        <w:tc>
          <w:tcPr>
            <w:tcW w:w="0" w:type="auto"/>
            <w:tcBorders>
              <w:top w:val="nil"/>
            </w:tcBorders>
            <w:vAlign w:val="bottom"/>
          </w:tcPr>
          <w:p w:rsidR="00000000" w:rsidRDefault="00000000">
            <w:pPr>
              <w:tabs>
                <w:tab w:val="clear" w:pos="567"/>
                <w:tab w:val="clear" w:pos="1134"/>
                <w:tab w:val="clear" w:pos="1701"/>
                <w:tab w:val="clear" w:pos="2268"/>
                <w:tab w:val="clear" w:pos="6237"/>
              </w:tabs>
              <w:spacing w:before="40" w:after="20" w:line="216" w:lineRule="auto"/>
              <w:ind w:right="491"/>
              <w:jc w:val="right"/>
              <w:rPr>
                <w:sz w:val="20"/>
              </w:rPr>
            </w:pPr>
            <w:r>
              <w:rPr>
                <w:sz w:val="20"/>
              </w:rPr>
              <w:t>1 176,00</w:t>
            </w:r>
          </w:p>
        </w:tc>
        <w:tc>
          <w:tcPr>
            <w:tcW w:w="0" w:type="auto"/>
            <w:tcBorders>
              <w:top w:val="nil"/>
            </w:tcBorders>
            <w:vAlign w:val="bottom"/>
          </w:tcPr>
          <w:p w:rsidR="00000000" w:rsidRDefault="00000000">
            <w:pPr>
              <w:tabs>
                <w:tab w:val="clear" w:pos="567"/>
                <w:tab w:val="clear" w:pos="1134"/>
                <w:tab w:val="clear" w:pos="1701"/>
                <w:tab w:val="clear" w:pos="2268"/>
                <w:tab w:val="clear" w:pos="6237"/>
              </w:tabs>
              <w:spacing w:before="40" w:after="20" w:line="216" w:lineRule="auto"/>
              <w:jc w:val="center"/>
              <w:rPr>
                <w:sz w:val="20"/>
              </w:rPr>
            </w:pPr>
            <w:r>
              <w:rPr>
                <w:sz w:val="20"/>
              </w:rPr>
              <w:t>Данные отсутствуют</w:t>
            </w:r>
          </w:p>
        </w:tc>
        <w:tc>
          <w:tcPr>
            <w:tcW w:w="1172" w:type="dxa"/>
            <w:tcBorders>
              <w:top w:val="nil"/>
            </w:tcBorders>
            <w:vAlign w:val="bottom"/>
          </w:tcPr>
          <w:p w:rsidR="00000000" w:rsidRDefault="00000000">
            <w:pPr>
              <w:tabs>
                <w:tab w:val="clear" w:pos="567"/>
                <w:tab w:val="clear" w:pos="1134"/>
                <w:tab w:val="clear" w:pos="1701"/>
                <w:tab w:val="clear" w:pos="2268"/>
                <w:tab w:val="clear" w:pos="6237"/>
                <w:tab w:val="left" w:pos="913"/>
              </w:tabs>
              <w:spacing w:before="40" w:after="20" w:line="216" w:lineRule="auto"/>
              <w:ind w:right="242"/>
              <w:jc w:val="right"/>
              <w:rPr>
                <w:sz w:val="20"/>
              </w:rPr>
            </w:pPr>
            <w:r>
              <w:rPr>
                <w:sz w:val="20"/>
              </w:rPr>
              <w:t>1 118,00</w:t>
            </w:r>
          </w:p>
        </w:tc>
        <w:tc>
          <w:tcPr>
            <w:tcW w:w="1411" w:type="dxa"/>
            <w:tcBorders>
              <w:top w:val="nil"/>
            </w:tcBorders>
            <w:vAlign w:val="bottom"/>
          </w:tcPr>
          <w:p w:rsidR="00000000" w:rsidRDefault="00000000">
            <w:pPr>
              <w:tabs>
                <w:tab w:val="clear" w:pos="567"/>
                <w:tab w:val="clear" w:pos="1134"/>
                <w:tab w:val="clear" w:pos="1701"/>
                <w:tab w:val="clear" w:pos="2268"/>
                <w:tab w:val="clear" w:pos="6237"/>
              </w:tabs>
              <w:spacing w:before="40" w:after="20" w:line="216" w:lineRule="auto"/>
              <w:jc w:val="center"/>
              <w:rPr>
                <w:sz w:val="20"/>
              </w:rPr>
            </w:pPr>
            <w:r>
              <w:rPr>
                <w:sz w:val="20"/>
              </w:rPr>
              <w:t>Данные отсутствуют</w:t>
            </w:r>
          </w:p>
        </w:tc>
      </w:tr>
    </w:tbl>
    <w:p w:rsidR="00000000" w:rsidRDefault="00000000">
      <w:pPr>
        <w:spacing w:line="240" w:lineRule="auto"/>
      </w:pPr>
    </w:p>
    <w:p w:rsidR="00000000" w:rsidRDefault="00000000">
      <w:pPr>
        <w:pStyle w:val="BodyTextIndent2"/>
        <w:tabs>
          <w:tab w:val="left" w:pos="1276"/>
        </w:tabs>
        <w:ind w:left="0" w:firstLine="0"/>
      </w:pPr>
      <w:r>
        <w:tab/>
      </w:r>
      <w:r>
        <w:rPr>
          <w:u w:val="single"/>
        </w:rPr>
        <w:t>Источник</w:t>
      </w:r>
      <w:r>
        <w:t>:  данные министерства национального образования и Главного статистического управления.</w:t>
      </w:r>
    </w:p>
    <w:p w:rsidR="00000000" w:rsidRDefault="00000000"/>
    <w:p w:rsidR="00000000" w:rsidRDefault="00000000">
      <w:r>
        <w:t>*</w:t>
      </w:r>
      <w:r>
        <w:tab/>
        <w:t>После вычетов.</w:t>
      </w:r>
    </w:p>
    <w:p w:rsidR="00000000" w:rsidRDefault="00000000">
      <w:pPr>
        <w:pStyle w:val="BodyTextIndent"/>
        <w:rPr>
          <w:b/>
          <w:bCs/>
        </w:rPr>
      </w:pPr>
      <w:r>
        <w:rPr>
          <w:b/>
          <w:bCs/>
        </w:rPr>
        <w:br w:type="page"/>
      </w:r>
      <w:r>
        <w:rPr>
          <w:b/>
          <w:bCs/>
          <w:u w:val="single"/>
        </w:rPr>
        <w:t>Таблица 44</w:t>
      </w:r>
      <w:r>
        <w:rPr>
          <w:b/>
          <w:bCs/>
        </w:rPr>
        <w:t>.</w:t>
      </w:r>
      <w:r>
        <w:rPr>
          <w:b/>
          <w:bCs/>
        </w:rPr>
        <w:tab/>
      </w:r>
      <w:r>
        <w:rPr>
          <w:b/>
          <w:bCs/>
          <w:u w:val="single"/>
        </w:rPr>
        <w:t>Средняя заработная плата в сфере образования, всего, 1989</w:t>
      </w:r>
      <w:r>
        <w:rPr>
          <w:b/>
          <w:bCs/>
          <w:u w:val="single"/>
        </w:rPr>
        <w:sym w:font="Symbol" w:char="F02D"/>
      </w:r>
      <w:r>
        <w:rPr>
          <w:b/>
          <w:bCs/>
          <w:u w:val="single"/>
        </w:rPr>
        <w:t>1997 годы</w:t>
      </w:r>
    </w:p>
    <w:p w:rsidR="00000000" w:rsidRDefault="00000000">
      <w:pPr>
        <w:pStyle w:val="BodyTextIndent"/>
        <w:ind w:left="1134" w:hanging="1134"/>
        <w:rPr>
          <w:b/>
          <w:bCs/>
        </w:rPr>
      </w:pPr>
      <w:r>
        <w:tab/>
      </w:r>
      <w:r>
        <w:rPr>
          <w:b/>
          <w:bCs/>
        </w:rPr>
        <w:t>(</w:t>
      </w:r>
      <w:r>
        <w:rPr>
          <w:b/>
          <w:bCs/>
          <w:u w:val="single"/>
        </w:rPr>
        <w:t>в % по отношению к другим секторам</w:t>
      </w:r>
      <w:r>
        <w:rPr>
          <w:b/>
          <w:bCs/>
        </w:rPr>
        <w:t>)</w:t>
      </w:r>
    </w:p>
    <w:p w:rsidR="00000000" w:rsidRDefault="00000000">
      <w:pPr>
        <w:pStyle w:val="BodyTextIndent"/>
        <w:ind w:left="1134" w:hanging="1134"/>
        <w:rPr>
          <w:b/>
          <w:bCs/>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1701"/>
        <w:gridCol w:w="2571"/>
        <w:gridCol w:w="2572"/>
        <w:gridCol w:w="2572"/>
      </w:tblGrid>
      <w:tr w:rsidR="00000000">
        <w:trPr>
          <w:cantSplit/>
          <w:tblHeader/>
        </w:trPr>
        <w:tc>
          <w:tcPr>
            <w:tcW w:w="1701" w:type="dxa"/>
            <w:vMerge w:val="restart"/>
            <w:vAlign w:val="center"/>
          </w:tcPr>
          <w:p w:rsidR="00000000" w:rsidRDefault="00000000">
            <w:pPr>
              <w:spacing w:before="40" w:after="20" w:line="216" w:lineRule="auto"/>
              <w:jc w:val="center"/>
              <w:rPr>
                <w:sz w:val="20"/>
              </w:rPr>
            </w:pPr>
            <w:r>
              <w:rPr>
                <w:sz w:val="20"/>
              </w:rPr>
              <w:t>Год</w:t>
            </w:r>
          </w:p>
        </w:tc>
        <w:tc>
          <w:tcPr>
            <w:tcW w:w="7715" w:type="dxa"/>
            <w:gridSpan w:val="3"/>
            <w:vAlign w:val="center"/>
          </w:tcPr>
          <w:p w:rsidR="00000000" w:rsidRDefault="00000000">
            <w:pPr>
              <w:tabs>
                <w:tab w:val="clear" w:pos="567"/>
                <w:tab w:val="clear" w:pos="1134"/>
                <w:tab w:val="clear" w:pos="1701"/>
                <w:tab w:val="clear" w:pos="2268"/>
                <w:tab w:val="clear" w:pos="6237"/>
              </w:tabs>
              <w:spacing w:before="40" w:after="20" w:line="216" w:lineRule="auto"/>
              <w:jc w:val="center"/>
              <w:rPr>
                <w:sz w:val="20"/>
              </w:rPr>
            </w:pPr>
            <w:r>
              <w:rPr>
                <w:sz w:val="20"/>
              </w:rPr>
              <w:t>Заработная плата в сфере образования по сравнению с другими секторами (в %)</w:t>
            </w:r>
          </w:p>
        </w:tc>
      </w:tr>
      <w:tr w:rsidR="00000000">
        <w:trPr>
          <w:cantSplit/>
          <w:tblHeader/>
        </w:trPr>
        <w:tc>
          <w:tcPr>
            <w:tcW w:w="1701" w:type="dxa"/>
            <w:vMerge/>
            <w:tcBorders>
              <w:bottom w:val="single" w:sz="4" w:space="0" w:color="auto"/>
            </w:tcBorders>
            <w:vAlign w:val="center"/>
          </w:tcPr>
          <w:p w:rsidR="00000000" w:rsidRDefault="00000000">
            <w:pPr>
              <w:spacing w:before="40" w:after="20" w:line="216" w:lineRule="auto"/>
              <w:jc w:val="center"/>
              <w:rPr>
                <w:sz w:val="20"/>
              </w:rPr>
            </w:pPr>
          </w:p>
        </w:tc>
        <w:tc>
          <w:tcPr>
            <w:tcW w:w="2571" w:type="dxa"/>
            <w:tcBorders>
              <w:bottom w:val="single" w:sz="4" w:space="0" w:color="auto"/>
            </w:tcBorders>
            <w:vAlign w:val="center"/>
          </w:tcPr>
          <w:p w:rsidR="00000000" w:rsidRDefault="00000000">
            <w:pPr>
              <w:tabs>
                <w:tab w:val="clear" w:pos="567"/>
                <w:tab w:val="clear" w:pos="1134"/>
                <w:tab w:val="clear" w:pos="1701"/>
                <w:tab w:val="clear" w:pos="2268"/>
                <w:tab w:val="clear" w:pos="6237"/>
              </w:tabs>
              <w:spacing w:before="40" w:after="20" w:line="216" w:lineRule="auto"/>
              <w:jc w:val="center"/>
              <w:rPr>
                <w:sz w:val="20"/>
              </w:rPr>
            </w:pPr>
            <w:r>
              <w:rPr>
                <w:sz w:val="20"/>
              </w:rPr>
              <w:t>Средняя заработная плата по стране</w:t>
            </w:r>
          </w:p>
        </w:tc>
        <w:tc>
          <w:tcPr>
            <w:tcW w:w="2572" w:type="dxa"/>
            <w:tcBorders>
              <w:bottom w:val="single" w:sz="4" w:space="0" w:color="auto"/>
            </w:tcBorders>
            <w:vAlign w:val="center"/>
          </w:tcPr>
          <w:p w:rsidR="00000000" w:rsidRDefault="00000000">
            <w:pPr>
              <w:tabs>
                <w:tab w:val="clear" w:pos="567"/>
                <w:tab w:val="clear" w:pos="1134"/>
                <w:tab w:val="clear" w:pos="1701"/>
                <w:tab w:val="clear" w:pos="2268"/>
                <w:tab w:val="clear" w:pos="6237"/>
              </w:tabs>
              <w:spacing w:before="40" w:after="20" w:line="216" w:lineRule="auto"/>
              <w:jc w:val="center"/>
              <w:rPr>
                <w:sz w:val="20"/>
              </w:rPr>
            </w:pPr>
            <w:r>
              <w:rPr>
                <w:sz w:val="20"/>
              </w:rPr>
              <w:t>Средняя заработная плата в государственном секторе</w:t>
            </w:r>
          </w:p>
        </w:tc>
        <w:tc>
          <w:tcPr>
            <w:tcW w:w="2572" w:type="dxa"/>
            <w:tcBorders>
              <w:bottom w:val="single" w:sz="4" w:space="0" w:color="auto"/>
            </w:tcBorders>
            <w:vAlign w:val="center"/>
          </w:tcPr>
          <w:p w:rsidR="00000000" w:rsidRDefault="00000000">
            <w:pPr>
              <w:tabs>
                <w:tab w:val="clear" w:pos="567"/>
                <w:tab w:val="clear" w:pos="1134"/>
                <w:tab w:val="clear" w:pos="1701"/>
                <w:tab w:val="clear" w:pos="2268"/>
                <w:tab w:val="clear" w:pos="6237"/>
              </w:tabs>
              <w:spacing w:before="40" w:after="20" w:line="216" w:lineRule="auto"/>
              <w:jc w:val="center"/>
              <w:rPr>
                <w:sz w:val="20"/>
              </w:rPr>
            </w:pPr>
            <w:r>
              <w:rPr>
                <w:sz w:val="20"/>
              </w:rPr>
              <w:t>Средняя заработная плата в частном секторе</w:t>
            </w:r>
          </w:p>
        </w:tc>
      </w:tr>
      <w:tr w:rsidR="00000000">
        <w:tc>
          <w:tcPr>
            <w:tcW w:w="1701" w:type="dxa"/>
            <w:tcBorders>
              <w:bottom w:val="nil"/>
            </w:tcBorders>
            <w:vAlign w:val="center"/>
          </w:tcPr>
          <w:p w:rsidR="00000000" w:rsidRDefault="00000000">
            <w:pPr>
              <w:spacing w:before="40" w:after="20" w:line="204" w:lineRule="auto"/>
              <w:jc w:val="center"/>
              <w:rPr>
                <w:sz w:val="20"/>
              </w:rPr>
            </w:pPr>
            <w:r>
              <w:rPr>
                <w:sz w:val="20"/>
              </w:rPr>
              <w:t>1989</w:t>
            </w:r>
          </w:p>
        </w:tc>
        <w:tc>
          <w:tcPr>
            <w:tcW w:w="2571" w:type="dxa"/>
            <w:tcBorders>
              <w:bottom w:val="nil"/>
            </w:tcBorders>
          </w:tcPr>
          <w:p w:rsidR="00000000" w:rsidRDefault="00000000">
            <w:pPr>
              <w:pStyle w:val="16"/>
              <w:tabs>
                <w:tab w:val="clear" w:pos="567"/>
                <w:tab w:val="clear" w:pos="1134"/>
                <w:tab w:val="clear" w:pos="1701"/>
                <w:tab w:val="clear" w:pos="2268"/>
                <w:tab w:val="clear" w:pos="6237"/>
                <w:tab w:val="decimal" w:pos="1247"/>
              </w:tabs>
              <w:spacing w:before="40" w:after="20" w:line="204" w:lineRule="auto"/>
              <w:jc w:val="left"/>
              <w:rPr>
                <w:sz w:val="20"/>
              </w:rPr>
            </w:pPr>
            <w:r>
              <w:rPr>
                <w:sz w:val="20"/>
              </w:rPr>
              <w:t>91,83</w:t>
            </w:r>
          </w:p>
        </w:tc>
        <w:tc>
          <w:tcPr>
            <w:tcW w:w="2572" w:type="dxa"/>
            <w:tcBorders>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rPr>
                <w:sz w:val="20"/>
              </w:rPr>
            </w:pPr>
            <w:r>
              <w:rPr>
                <w:sz w:val="20"/>
              </w:rPr>
              <w:t>97,69</w:t>
            </w:r>
          </w:p>
        </w:tc>
        <w:tc>
          <w:tcPr>
            <w:tcW w:w="2572" w:type="dxa"/>
            <w:tcBorders>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rPr>
                <w:sz w:val="20"/>
              </w:rPr>
            </w:pPr>
            <w:r>
              <w:rPr>
                <w:sz w:val="20"/>
              </w:rPr>
              <w:t>89,53</w:t>
            </w:r>
          </w:p>
        </w:tc>
      </w:tr>
      <w:tr w:rsidR="00000000">
        <w:tc>
          <w:tcPr>
            <w:tcW w:w="1701" w:type="dxa"/>
            <w:tcBorders>
              <w:top w:val="nil"/>
              <w:bottom w:val="nil"/>
            </w:tcBorders>
            <w:vAlign w:val="center"/>
          </w:tcPr>
          <w:p w:rsidR="00000000" w:rsidRDefault="00000000">
            <w:pPr>
              <w:spacing w:before="40" w:after="20" w:line="204" w:lineRule="auto"/>
              <w:jc w:val="center"/>
              <w:rPr>
                <w:sz w:val="20"/>
              </w:rPr>
            </w:pPr>
            <w:r>
              <w:rPr>
                <w:sz w:val="20"/>
              </w:rPr>
              <w:t>1990</w:t>
            </w:r>
          </w:p>
        </w:tc>
        <w:tc>
          <w:tcPr>
            <w:tcW w:w="2571"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102,73</w:t>
            </w:r>
          </w:p>
        </w:tc>
        <w:tc>
          <w:tcPr>
            <w:tcW w:w="2572"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96,82</w:t>
            </w:r>
          </w:p>
        </w:tc>
        <w:tc>
          <w:tcPr>
            <w:tcW w:w="2572"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103,58</w:t>
            </w:r>
          </w:p>
        </w:tc>
      </w:tr>
      <w:tr w:rsidR="00000000">
        <w:tc>
          <w:tcPr>
            <w:tcW w:w="1701" w:type="dxa"/>
            <w:tcBorders>
              <w:top w:val="nil"/>
              <w:bottom w:val="nil"/>
            </w:tcBorders>
            <w:vAlign w:val="center"/>
          </w:tcPr>
          <w:p w:rsidR="00000000" w:rsidRDefault="00000000">
            <w:pPr>
              <w:spacing w:before="40" w:after="20" w:line="204" w:lineRule="auto"/>
              <w:jc w:val="center"/>
              <w:rPr>
                <w:sz w:val="20"/>
              </w:rPr>
            </w:pPr>
            <w:r>
              <w:rPr>
                <w:sz w:val="20"/>
              </w:rPr>
              <w:t>1991</w:t>
            </w:r>
          </w:p>
        </w:tc>
        <w:tc>
          <w:tcPr>
            <w:tcW w:w="2571"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90,55</w:t>
            </w:r>
          </w:p>
        </w:tc>
        <w:tc>
          <w:tcPr>
            <w:tcW w:w="2572"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94,99</w:t>
            </w:r>
          </w:p>
        </w:tc>
        <w:tc>
          <w:tcPr>
            <w:tcW w:w="2572"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89,33</w:t>
            </w:r>
          </w:p>
        </w:tc>
      </w:tr>
      <w:tr w:rsidR="00000000">
        <w:tc>
          <w:tcPr>
            <w:tcW w:w="1701" w:type="dxa"/>
            <w:tcBorders>
              <w:top w:val="nil"/>
              <w:bottom w:val="nil"/>
            </w:tcBorders>
            <w:vAlign w:val="center"/>
          </w:tcPr>
          <w:p w:rsidR="00000000" w:rsidRDefault="00000000">
            <w:pPr>
              <w:spacing w:before="40" w:after="20" w:line="204" w:lineRule="auto"/>
              <w:jc w:val="center"/>
              <w:rPr>
                <w:sz w:val="20"/>
              </w:rPr>
            </w:pPr>
            <w:r>
              <w:rPr>
                <w:sz w:val="20"/>
              </w:rPr>
              <w:t>1992</w:t>
            </w:r>
          </w:p>
        </w:tc>
        <w:tc>
          <w:tcPr>
            <w:tcW w:w="2571"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89,21</w:t>
            </w:r>
          </w:p>
        </w:tc>
        <w:tc>
          <w:tcPr>
            <w:tcW w:w="2572"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95,32</w:t>
            </w:r>
          </w:p>
        </w:tc>
        <w:tc>
          <w:tcPr>
            <w:tcW w:w="2572"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88,57</w:t>
            </w:r>
          </w:p>
        </w:tc>
      </w:tr>
      <w:tr w:rsidR="00000000">
        <w:tc>
          <w:tcPr>
            <w:tcW w:w="1701" w:type="dxa"/>
            <w:tcBorders>
              <w:top w:val="nil"/>
              <w:bottom w:val="nil"/>
            </w:tcBorders>
            <w:vAlign w:val="center"/>
          </w:tcPr>
          <w:p w:rsidR="00000000" w:rsidRDefault="00000000">
            <w:pPr>
              <w:spacing w:before="40" w:after="20" w:line="204" w:lineRule="auto"/>
              <w:jc w:val="center"/>
              <w:rPr>
                <w:sz w:val="20"/>
              </w:rPr>
            </w:pPr>
            <w:r>
              <w:rPr>
                <w:sz w:val="20"/>
              </w:rPr>
              <w:t>1993</w:t>
            </w:r>
          </w:p>
        </w:tc>
        <w:tc>
          <w:tcPr>
            <w:tcW w:w="2571"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89,71</w:t>
            </w:r>
          </w:p>
        </w:tc>
        <w:tc>
          <w:tcPr>
            <w:tcW w:w="2572"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98,04</w:t>
            </w:r>
          </w:p>
        </w:tc>
        <w:tc>
          <w:tcPr>
            <w:tcW w:w="2572"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86,25</w:t>
            </w:r>
          </w:p>
        </w:tc>
      </w:tr>
      <w:tr w:rsidR="00000000">
        <w:tc>
          <w:tcPr>
            <w:tcW w:w="1701" w:type="dxa"/>
            <w:tcBorders>
              <w:top w:val="nil"/>
              <w:bottom w:val="nil"/>
            </w:tcBorders>
            <w:vAlign w:val="center"/>
          </w:tcPr>
          <w:p w:rsidR="00000000" w:rsidRDefault="00000000">
            <w:pPr>
              <w:spacing w:before="40" w:after="20" w:line="204" w:lineRule="auto"/>
              <w:jc w:val="center"/>
              <w:rPr>
                <w:sz w:val="20"/>
              </w:rPr>
            </w:pPr>
            <w:r>
              <w:rPr>
                <w:sz w:val="20"/>
              </w:rPr>
              <w:t>1994</w:t>
            </w:r>
          </w:p>
        </w:tc>
        <w:tc>
          <w:tcPr>
            <w:tcW w:w="2571"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87,21</w:t>
            </w:r>
          </w:p>
        </w:tc>
        <w:tc>
          <w:tcPr>
            <w:tcW w:w="2572" w:type="dxa"/>
            <w:tcBorders>
              <w:top w:val="nil"/>
              <w:bottom w:val="nil"/>
            </w:tcBorders>
          </w:tcPr>
          <w:p w:rsidR="00000000" w:rsidRDefault="00000000">
            <w:pPr>
              <w:pStyle w:val="FootnoteText"/>
              <w:tabs>
                <w:tab w:val="clear" w:pos="567"/>
                <w:tab w:val="clear" w:pos="1134"/>
                <w:tab w:val="clear" w:pos="1701"/>
                <w:tab w:val="clear" w:pos="2268"/>
                <w:tab w:val="clear" w:pos="6237"/>
                <w:tab w:val="decimal" w:pos="1247"/>
              </w:tabs>
              <w:spacing w:before="40" w:after="20" w:line="204" w:lineRule="auto"/>
              <w:jc w:val="both"/>
              <w:rPr>
                <w:sz w:val="20"/>
              </w:rPr>
            </w:pPr>
            <w:r>
              <w:rPr>
                <w:sz w:val="20"/>
              </w:rPr>
              <w:t>96,82</w:t>
            </w:r>
          </w:p>
        </w:tc>
        <w:tc>
          <w:tcPr>
            <w:tcW w:w="2572"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80,18</w:t>
            </w:r>
          </w:p>
        </w:tc>
      </w:tr>
      <w:tr w:rsidR="00000000">
        <w:tc>
          <w:tcPr>
            <w:tcW w:w="1701" w:type="dxa"/>
            <w:tcBorders>
              <w:top w:val="nil"/>
              <w:bottom w:val="nil"/>
            </w:tcBorders>
            <w:vAlign w:val="center"/>
          </w:tcPr>
          <w:p w:rsidR="00000000" w:rsidRDefault="00000000">
            <w:pPr>
              <w:spacing w:before="40" w:after="20" w:line="204" w:lineRule="auto"/>
              <w:jc w:val="center"/>
              <w:rPr>
                <w:sz w:val="20"/>
              </w:rPr>
            </w:pPr>
            <w:r>
              <w:rPr>
                <w:sz w:val="20"/>
              </w:rPr>
              <w:t>1995</w:t>
            </w:r>
          </w:p>
        </w:tc>
        <w:tc>
          <w:tcPr>
            <w:tcW w:w="2571"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89,46</w:t>
            </w:r>
          </w:p>
        </w:tc>
        <w:tc>
          <w:tcPr>
            <w:tcW w:w="2572"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96,73</w:t>
            </w:r>
          </w:p>
        </w:tc>
        <w:tc>
          <w:tcPr>
            <w:tcW w:w="2572"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81,96</w:t>
            </w:r>
          </w:p>
        </w:tc>
      </w:tr>
      <w:tr w:rsidR="00000000">
        <w:tc>
          <w:tcPr>
            <w:tcW w:w="1701" w:type="dxa"/>
            <w:tcBorders>
              <w:top w:val="nil"/>
              <w:bottom w:val="nil"/>
            </w:tcBorders>
            <w:vAlign w:val="center"/>
          </w:tcPr>
          <w:p w:rsidR="00000000" w:rsidRDefault="00000000">
            <w:pPr>
              <w:spacing w:before="40" w:after="20" w:line="204" w:lineRule="auto"/>
              <w:jc w:val="center"/>
              <w:rPr>
                <w:sz w:val="20"/>
              </w:rPr>
            </w:pPr>
            <w:r>
              <w:rPr>
                <w:sz w:val="20"/>
              </w:rPr>
              <w:t>1996</w:t>
            </w:r>
          </w:p>
        </w:tc>
        <w:tc>
          <w:tcPr>
            <w:tcW w:w="2571"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90,43</w:t>
            </w:r>
          </w:p>
        </w:tc>
        <w:tc>
          <w:tcPr>
            <w:tcW w:w="2572"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96,82</w:t>
            </w:r>
          </w:p>
        </w:tc>
        <w:tc>
          <w:tcPr>
            <w:tcW w:w="2572" w:type="dxa"/>
            <w:tcBorders>
              <w:top w:val="nil"/>
              <w:bottom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82,63</w:t>
            </w:r>
          </w:p>
        </w:tc>
      </w:tr>
      <w:tr w:rsidR="00000000">
        <w:tc>
          <w:tcPr>
            <w:tcW w:w="1701" w:type="dxa"/>
            <w:tcBorders>
              <w:top w:val="nil"/>
            </w:tcBorders>
            <w:vAlign w:val="center"/>
          </w:tcPr>
          <w:p w:rsidR="00000000" w:rsidRDefault="00000000">
            <w:pPr>
              <w:spacing w:before="40" w:after="20" w:line="204" w:lineRule="auto"/>
              <w:jc w:val="center"/>
              <w:rPr>
                <w:sz w:val="20"/>
              </w:rPr>
            </w:pPr>
            <w:r>
              <w:rPr>
                <w:sz w:val="20"/>
              </w:rPr>
              <w:t>1997</w:t>
            </w:r>
          </w:p>
        </w:tc>
        <w:tc>
          <w:tcPr>
            <w:tcW w:w="2571" w:type="dxa"/>
            <w:tcBorders>
              <w:top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92,07</w:t>
            </w:r>
          </w:p>
        </w:tc>
        <w:tc>
          <w:tcPr>
            <w:tcW w:w="2572" w:type="dxa"/>
            <w:tcBorders>
              <w:top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97,20</w:t>
            </w:r>
          </w:p>
        </w:tc>
        <w:tc>
          <w:tcPr>
            <w:tcW w:w="2572" w:type="dxa"/>
            <w:tcBorders>
              <w:top w:val="nil"/>
            </w:tcBorders>
          </w:tcPr>
          <w:p w:rsidR="00000000" w:rsidRDefault="00000000">
            <w:pPr>
              <w:tabs>
                <w:tab w:val="clear" w:pos="567"/>
                <w:tab w:val="clear" w:pos="1134"/>
                <w:tab w:val="clear" w:pos="1701"/>
                <w:tab w:val="clear" w:pos="2268"/>
                <w:tab w:val="clear" w:pos="6237"/>
                <w:tab w:val="decimal" w:pos="1247"/>
              </w:tabs>
              <w:spacing w:before="40" w:after="20" w:line="204" w:lineRule="auto"/>
              <w:jc w:val="both"/>
              <w:rPr>
                <w:sz w:val="20"/>
              </w:rPr>
            </w:pPr>
            <w:r>
              <w:rPr>
                <w:sz w:val="20"/>
              </w:rPr>
              <w:t>84,14</w:t>
            </w:r>
          </w:p>
        </w:tc>
      </w:tr>
    </w:tbl>
    <w:p w:rsidR="00000000" w:rsidRDefault="00000000">
      <w:pPr>
        <w:pStyle w:val="BodyTextIndent2"/>
        <w:tabs>
          <w:tab w:val="clear" w:pos="1134"/>
          <w:tab w:val="left" w:pos="1122"/>
        </w:tabs>
        <w:ind w:left="0" w:firstLine="0"/>
      </w:pPr>
    </w:p>
    <w:p w:rsidR="00000000" w:rsidRDefault="00000000">
      <w:pPr>
        <w:pStyle w:val="BodyTextIndent2"/>
        <w:tabs>
          <w:tab w:val="left" w:pos="1276"/>
        </w:tabs>
        <w:ind w:left="1276" w:hanging="1276"/>
      </w:pPr>
      <w:r>
        <w:tab/>
      </w:r>
      <w:r>
        <w:rPr>
          <w:u w:val="single"/>
        </w:rPr>
        <w:t>Источник</w:t>
      </w:r>
      <w:r>
        <w:t>:  данные министерства национального образования.</w:t>
      </w:r>
    </w:p>
    <w:p w:rsidR="00000000" w:rsidRDefault="00000000">
      <w:pPr>
        <w:pStyle w:val="BodyTextIndent2"/>
        <w:tabs>
          <w:tab w:val="left" w:pos="1276"/>
        </w:tabs>
        <w:ind w:left="1276" w:hanging="1276"/>
      </w:pPr>
    </w:p>
    <w:p w:rsidR="00000000" w:rsidRDefault="00000000">
      <w:pPr>
        <w:pStyle w:val="10"/>
        <w:spacing w:line="240" w:lineRule="auto"/>
        <w:rPr>
          <w:b w:val="0"/>
        </w:rPr>
      </w:pPr>
      <w:r>
        <w:rPr>
          <w:b w:val="0"/>
          <w:u w:val="single"/>
        </w:rPr>
        <w:t>Таблица 45</w:t>
      </w:r>
      <w:r>
        <w:rPr>
          <w:b w:val="0"/>
        </w:rPr>
        <w:t xml:space="preserve">.  </w:t>
      </w:r>
      <w:r>
        <w:rPr>
          <w:b w:val="0"/>
          <w:u w:val="single"/>
        </w:rPr>
        <w:t>Средняя заработная плата преподавателей в 1989-1997 годах</w:t>
      </w:r>
    </w:p>
    <w:p w:rsidR="00000000" w:rsidRDefault="00000000">
      <w:pPr>
        <w:spacing w:line="240" w:lineRule="auto"/>
        <w:jc w:val="center"/>
        <w:rPr>
          <w:b/>
          <w:bCs/>
          <w:lang w:val="en-US"/>
        </w:rPr>
      </w:pPr>
      <w:r>
        <w:t>(</w:t>
      </w:r>
      <w:r>
        <w:rPr>
          <w:u w:val="single"/>
        </w:rPr>
        <w:t>в % по отношению к другим секторам</w:t>
      </w:r>
      <w:r>
        <w:t>)</w:t>
      </w:r>
    </w:p>
    <w:p w:rsidR="00000000" w:rsidRDefault="00000000">
      <w:pPr>
        <w:pStyle w:val="16"/>
        <w:spacing w:line="240" w:lineRule="auto"/>
        <w:rPr>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
        <w:gridCol w:w="2805"/>
        <w:gridCol w:w="3005"/>
        <w:gridCol w:w="2718"/>
      </w:tblGrid>
      <w:tr w:rsidR="00000000">
        <w:tblPrEx>
          <w:tblCellMar>
            <w:top w:w="0" w:type="dxa"/>
            <w:bottom w:w="0" w:type="dxa"/>
          </w:tblCellMar>
        </w:tblPrEx>
        <w:trPr>
          <w:cantSplit/>
        </w:trPr>
        <w:tc>
          <w:tcPr>
            <w:tcW w:w="1043" w:type="dxa"/>
            <w:tcBorders>
              <w:bottom w:val="nil"/>
            </w:tcBorders>
          </w:tcPr>
          <w:p w:rsidR="00000000" w:rsidRDefault="00000000">
            <w:pPr>
              <w:spacing w:before="40" w:after="20" w:line="216" w:lineRule="auto"/>
              <w:jc w:val="center"/>
              <w:rPr>
                <w:sz w:val="20"/>
              </w:rPr>
            </w:pPr>
            <w:r>
              <w:rPr>
                <w:sz w:val="20"/>
              </w:rPr>
              <w:t>Год</w:t>
            </w:r>
          </w:p>
        </w:tc>
        <w:tc>
          <w:tcPr>
            <w:tcW w:w="8528" w:type="dxa"/>
            <w:gridSpan w:val="3"/>
          </w:tcPr>
          <w:p w:rsidR="00000000" w:rsidRDefault="00000000">
            <w:pPr>
              <w:spacing w:before="40" w:after="20" w:line="216" w:lineRule="auto"/>
              <w:jc w:val="center"/>
              <w:rPr>
                <w:sz w:val="20"/>
              </w:rPr>
            </w:pPr>
            <w:r>
              <w:rPr>
                <w:sz w:val="20"/>
              </w:rPr>
              <w:t>Заработная плата преподавателей по сравнению с другими секторами (в %)</w:t>
            </w:r>
          </w:p>
        </w:tc>
      </w:tr>
      <w:tr w:rsidR="00000000">
        <w:tblPrEx>
          <w:tblCellMar>
            <w:top w:w="0" w:type="dxa"/>
            <w:bottom w:w="0" w:type="dxa"/>
          </w:tblCellMar>
        </w:tblPrEx>
        <w:tc>
          <w:tcPr>
            <w:tcW w:w="1043" w:type="dxa"/>
            <w:tcBorders>
              <w:top w:val="nil"/>
              <w:bottom w:val="single" w:sz="4" w:space="0" w:color="auto"/>
            </w:tcBorders>
          </w:tcPr>
          <w:p w:rsidR="00000000" w:rsidRDefault="00000000">
            <w:pPr>
              <w:spacing w:before="40" w:after="20" w:line="216" w:lineRule="auto"/>
              <w:jc w:val="center"/>
              <w:rPr>
                <w:sz w:val="20"/>
              </w:rPr>
            </w:pPr>
          </w:p>
        </w:tc>
        <w:tc>
          <w:tcPr>
            <w:tcW w:w="2805" w:type="dxa"/>
            <w:tcBorders>
              <w:bottom w:val="single" w:sz="4" w:space="0" w:color="auto"/>
            </w:tcBorders>
          </w:tcPr>
          <w:p w:rsidR="00000000" w:rsidRDefault="00000000">
            <w:pPr>
              <w:spacing w:before="40" w:after="20" w:line="216" w:lineRule="auto"/>
              <w:jc w:val="center"/>
              <w:rPr>
                <w:sz w:val="20"/>
              </w:rPr>
            </w:pPr>
            <w:r>
              <w:rPr>
                <w:sz w:val="20"/>
              </w:rPr>
              <w:t>Средняя заработная плата по стране</w:t>
            </w:r>
          </w:p>
        </w:tc>
        <w:tc>
          <w:tcPr>
            <w:tcW w:w="3005" w:type="dxa"/>
            <w:tcBorders>
              <w:bottom w:val="single" w:sz="4" w:space="0" w:color="auto"/>
            </w:tcBorders>
          </w:tcPr>
          <w:p w:rsidR="00000000" w:rsidRDefault="00000000">
            <w:pPr>
              <w:spacing w:before="40" w:after="20" w:line="216" w:lineRule="auto"/>
              <w:jc w:val="center"/>
              <w:rPr>
                <w:sz w:val="20"/>
              </w:rPr>
            </w:pPr>
            <w:r>
              <w:rPr>
                <w:sz w:val="20"/>
              </w:rPr>
              <w:t>Средняя заработная плата в государственном секторе</w:t>
            </w:r>
          </w:p>
        </w:tc>
        <w:tc>
          <w:tcPr>
            <w:tcW w:w="2718" w:type="dxa"/>
            <w:tcBorders>
              <w:bottom w:val="single" w:sz="4" w:space="0" w:color="auto"/>
            </w:tcBorders>
          </w:tcPr>
          <w:p w:rsidR="00000000" w:rsidRDefault="00000000">
            <w:pPr>
              <w:spacing w:before="40" w:after="20" w:line="216" w:lineRule="auto"/>
              <w:jc w:val="center"/>
              <w:rPr>
                <w:sz w:val="20"/>
              </w:rPr>
            </w:pPr>
            <w:r>
              <w:rPr>
                <w:sz w:val="20"/>
              </w:rPr>
              <w:t>Средняя заработная плата в частном секторе</w:t>
            </w:r>
          </w:p>
        </w:tc>
      </w:tr>
      <w:tr w:rsidR="00000000">
        <w:tblPrEx>
          <w:tblCellMar>
            <w:top w:w="0" w:type="dxa"/>
            <w:bottom w:w="0" w:type="dxa"/>
          </w:tblCellMar>
        </w:tblPrEx>
        <w:tc>
          <w:tcPr>
            <w:tcW w:w="1043" w:type="dxa"/>
            <w:tcBorders>
              <w:bottom w:val="nil"/>
            </w:tcBorders>
          </w:tcPr>
          <w:p w:rsidR="00000000" w:rsidRDefault="00000000">
            <w:pPr>
              <w:spacing w:before="40" w:after="20" w:line="204" w:lineRule="auto"/>
              <w:jc w:val="center"/>
              <w:rPr>
                <w:sz w:val="20"/>
              </w:rPr>
            </w:pPr>
            <w:r>
              <w:rPr>
                <w:sz w:val="20"/>
              </w:rPr>
              <w:t>1989</w:t>
            </w:r>
          </w:p>
        </w:tc>
        <w:tc>
          <w:tcPr>
            <w:tcW w:w="2805" w:type="dxa"/>
            <w:tcBorders>
              <w:bottom w:val="nil"/>
            </w:tcBorders>
          </w:tcPr>
          <w:p w:rsidR="00000000" w:rsidRDefault="00000000">
            <w:pPr>
              <w:tabs>
                <w:tab w:val="clear" w:pos="567"/>
                <w:tab w:val="clear" w:pos="1134"/>
                <w:tab w:val="clear" w:pos="1701"/>
                <w:tab w:val="clear" w:pos="2268"/>
                <w:tab w:val="clear" w:pos="6237"/>
                <w:tab w:val="decimal" w:pos="1201"/>
              </w:tabs>
              <w:spacing w:before="40" w:after="20" w:line="204" w:lineRule="auto"/>
              <w:rPr>
                <w:sz w:val="20"/>
              </w:rPr>
            </w:pPr>
            <w:r>
              <w:rPr>
                <w:sz w:val="20"/>
              </w:rPr>
              <w:t>105,85</w:t>
            </w:r>
          </w:p>
        </w:tc>
        <w:tc>
          <w:tcPr>
            <w:tcW w:w="3005" w:type="dxa"/>
            <w:tcBorders>
              <w:bottom w:val="nil"/>
            </w:tcBorders>
          </w:tcPr>
          <w:p w:rsidR="00000000" w:rsidRDefault="00000000">
            <w:pPr>
              <w:tabs>
                <w:tab w:val="clear" w:pos="567"/>
                <w:tab w:val="clear" w:pos="1134"/>
                <w:tab w:val="clear" w:pos="1701"/>
                <w:tab w:val="clear" w:pos="2268"/>
                <w:tab w:val="clear" w:pos="6237"/>
                <w:tab w:val="decimal" w:pos="1388"/>
              </w:tabs>
              <w:spacing w:before="40" w:after="20" w:line="204" w:lineRule="auto"/>
              <w:ind w:left="266"/>
              <w:rPr>
                <w:sz w:val="20"/>
              </w:rPr>
            </w:pPr>
            <w:r>
              <w:rPr>
                <w:sz w:val="20"/>
              </w:rPr>
              <w:t>112,60</w:t>
            </w:r>
          </w:p>
        </w:tc>
        <w:tc>
          <w:tcPr>
            <w:tcW w:w="2718" w:type="dxa"/>
            <w:tcBorders>
              <w:bottom w:val="nil"/>
            </w:tcBorders>
          </w:tcPr>
          <w:p w:rsidR="00000000" w:rsidRDefault="00000000">
            <w:pPr>
              <w:tabs>
                <w:tab w:val="clear" w:pos="567"/>
                <w:tab w:val="clear" w:pos="1701"/>
                <w:tab w:val="clear" w:pos="2268"/>
                <w:tab w:val="clear" w:pos="6237"/>
                <w:tab w:val="decimal" w:pos="1134"/>
              </w:tabs>
              <w:spacing w:before="40" w:after="20" w:line="204" w:lineRule="auto"/>
              <w:rPr>
                <w:sz w:val="20"/>
              </w:rPr>
            </w:pPr>
            <w:r>
              <w:rPr>
                <w:sz w:val="20"/>
              </w:rPr>
              <w:t>103,21</w:t>
            </w:r>
          </w:p>
        </w:tc>
      </w:tr>
      <w:tr w:rsidR="00000000">
        <w:tblPrEx>
          <w:tblCellMar>
            <w:top w:w="0" w:type="dxa"/>
            <w:bottom w:w="0" w:type="dxa"/>
          </w:tblCellMar>
        </w:tblPrEx>
        <w:tc>
          <w:tcPr>
            <w:tcW w:w="1043" w:type="dxa"/>
            <w:tcBorders>
              <w:top w:val="nil"/>
              <w:bottom w:val="nil"/>
            </w:tcBorders>
          </w:tcPr>
          <w:p w:rsidR="00000000" w:rsidRDefault="00000000">
            <w:pPr>
              <w:spacing w:before="40" w:after="20" w:line="204" w:lineRule="auto"/>
              <w:jc w:val="center"/>
              <w:rPr>
                <w:sz w:val="20"/>
              </w:rPr>
            </w:pPr>
            <w:r>
              <w:rPr>
                <w:sz w:val="20"/>
              </w:rPr>
              <w:t>1990</w:t>
            </w:r>
          </w:p>
        </w:tc>
        <w:tc>
          <w:tcPr>
            <w:tcW w:w="2805" w:type="dxa"/>
            <w:tcBorders>
              <w:top w:val="nil"/>
              <w:bottom w:val="nil"/>
            </w:tcBorders>
          </w:tcPr>
          <w:p w:rsidR="00000000" w:rsidRDefault="00000000">
            <w:pPr>
              <w:tabs>
                <w:tab w:val="clear" w:pos="567"/>
                <w:tab w:val="clear" w:pos="1134"/>
                <w:tab w:val="clear" w:pos="1701"/>
                <w:tab w:val="clear" w:pos="2268"/>
                <w:tab w:val="clear" w:pos="6237"/>
                <w:tab w:val="decimal" w:pos="1201"/>
              </w:tabs>
              <w:spacing w:before="40" w:after="20" w:line="204" w:lineRule="auto"/>
              <w:rPr>
                <w:sz w:val="20"/>
              </w:rPr>
            </w:pPr>
            <w:r>
              <w:rPr>
                <w:sz w:val="20"/>
              </w:rPr>
              <w:t>114,77</w:t>
            </w:r>
          </w:p>
        </w:tc>
        <w:tc>
          <w:tcPr>
            <w:tcW w:w="3005" w:type="dxa"/>
            <w:tcBorders>
              <w:top w:val="nil"/>
              <w:bottom w:val="nil"/>
            </w:tcBorders>
          </w:tcPr>
          <w:p w:rsidR="00000000" w:rsidRDefault="00000000">
            <w:pPr>
              <w:tabs>
                <w:tab w:val="clear" w:pos="567"/>
                <w:tab w:val="clear" w:pos="1134"/>
                <w:tab w:val="clear" w:pos="1701"/>
                <w:tab w:val="clear" w:pos="2268"/>
                <w:tab w:val="clear" w:pos="6237"/>
                <w:tab w:val="decimal" w:pos="1388"/>
              </w:tabs>
              <w:spacing w:before="40" w:after="20" w:line="204" w:lineRule="auto"/>
              <w:ind w:left="266"/>
              <w:rPr>
                <w:sz w:val="20"/>
              </w:rPr>
            </w:pPr>
            <w:r>
              <w:rPr>
                <w:sz w:val="20"/>
              </w:rPr>
              <w:t>108,17</w:t>
            </w:r>
          </w:p>
        </w:tc>
        <w:tc>
          <w:tcPr>
            <w:tcW w:w="2718" w:type="dxa"/>
            <w:tcBorders>
              <w:top w:val="nil"/>
              <w:bottom w:val="nil"/>
            </w:tcBorders>
          </w:tcPr>
          <w:p w:rsidR="00000000" w:rsidRDefault="00000000">
            <w:pPr>
              <w:tabs>
                <w:tab w:val="clear" w:pos="567"/>
                <w:tab w:val="clear" w:pos="1701"/>
                <w:tab w:val="clear" w:pos="2268"/>
                <w:tab w:val="clear" w:pos="6237"/>
                <w:tab w:val="decimal" w:pos="1134"/>
              </w:tabs>
              <w:spacing w:before="40" w:after="20" w:line="204" w:lineRule="auto"/>
              <w:rPr>
                <w:sz w:val="20"/>
              </w:rPr>
            </w:pPr>
            <w:r>
              <w:rPr>
                <w:sz w:val="20"/>
              </w:rPr>
              <w:t>115,73</w:t>
            </w:r>
          </w:p>
        </w:tc>
      </w:tr>
      <w:tr w:rsidR="00000000">
        <w:tblPrEx>
          <w:tblCellMar>
            <w:top w:w="0" w:type="dxa"/>
            <w:bottom w:w="0" w:type="dxa"/>
          </w:tblCellMar>
        </w:tblPrEx>
        <w:tc>
          <w:tcPr>
            <w:tcW w:w="1043" w:type="dxa"/>
            <w:tcBorders>
              <w:top w:val="nil"/>
              <w:bottom w:val="nil"/>
            </w:tcBorders>
          </w:tcPr>
          <w:p w:rsidR="00000000" w:rsidRDefault="00000000">
            <w:pPr>
              <w:spacing w:before="40" w:after="20" w:line="204" w:lineRule="auto"/>
              <w:jc w:val="center"/>
              <w:rPr>
                <w:sz w:val="20"/>
              </w:rPr>
            </w:pPr>
            <w:r>
              <w:rPr>
                <w:sz w:val="20"/>
              </w:rPr>
              <w:t>1991</w:t>
            </w:r>
          </w:p>
        </w:tc>
        <w:tc>
          <w:tcPr>
            <w:tcW w:w="2805" w:type="dxa"/>
            <w:tcBorders>
              <w:top w:val="nil"/>
              <w:bottom w:val="nil"/>
            </w:tcBorders>
          </w:tcPr>
          <w:p w:rsidR="00000000" w:rsidRDefault="00000000">
            <w:pPr>
              <w:tabs>
                <w:tab w:val="clear" w:pos="567"/>
                <w:tab w:val="clear" w:pos="1134"/>
                <w:tab w:val="clear" w:pos="1701"/>
                <w:tab w:val="clear" w:pos="2268"/>
                <w:tab w:val="clear" w:pos="6237"/>
                <w:tab w:val="decimal" w:pos="1201"/>
              </w:tabs>
              <w:spacing w:before="40" w:after="20" w:line="204" w:lineRule="auto"/>
              <w:rPr>
                <w:sz w:val="20"/>
              </w:rPr>
            </w:pPr>
            <w:r>
              <w:rPr>
                <w:sz w:val="20"/>
              </w:rPr>
              <w:t>100,73</w:t>
            </w:r>
          </w:p>
        </w:tc>
        <w:tc>
          <w:tcPr>
            <w:tcW w:w="3005" w:type="dxa"/>
            <w:tcBorders>
              <w:top w:val="nil"/>
              <w:bottom w:val="nil"/>
            </w:tcBorders>
          </w:tcPr>
          <w:p w:rsidR="00000000" w:rsidRDefault="00000000">
            <w:pPr>
              <w:tabs>
                <w:tab w:val="clear" w:pos="567"/>
                <w:tab w:val="clear" w:pos="1134"/>
                <w:tab w:val="clear" w:pos="1701"/>
                <w:tab w:val="clear" w:pos="2268"/>
                <w:tab w:val="clear" w:pos="6237"/>
                <w:tab w:val="decimal" w:pos="1388"/>
              </w:tabs>
              <w:spacing w:before="40" w:after="20" w:line="204" w:lineRule="auto"/>
              <w:ind w:left="266"/>
              <w:rPr>
                <w:sz w:val="20"/>
              </w:rPr>
            </w:pPr>
            <w:r>
              <w:rPr>
                <w:sz w:val="20"/>
              </w:rPr>
              <w:t>105,67</w:t>
            </w:r>
          </w:p>
        </w:tc>
        <w:tc>
          <w:tcPr>
            <w:tcW w:w="2718" w:type="dxa"/>
            <w:tcBorders>
              <w:top w:val="nil"/>
              <w:bottom w:val="nil"/>
            </w:tcBorders>
          </w:tcPr>
          <w:p w:rsidR="00000000" w:rsidRDefault="00000000">
            <w:pPr>
              <w:tabs>
                <w:tab w:val="clear" w:pos="567"/>
                <w:tab w:val="clear" w:pos="1701"/>
                <w:tab w:val="clear" w:pos="2268"/>
                <w:tab w:val="clear" w:pos="6237"/>
                <w:tab w:val="decimal" w:pos="1134"/>
              </w:tabs>
              <w:spacing w:before="40" w:after="20" w:line="204" w:lineRule="auto"/>
              <w:rPr>
                <w:sz w:val="20"/>
              </w:rPr>
            </w:pPr>
            <w:r>
              <w:rPr>
                <w:sz w:val="20"/>
              </w:rPr>
              <w:t>99,37</w:t>
            </w:r>
          </w:p>
        </w:tc>
      </w:tr>
      <w:tr w:rsidR="00000000">
        <w:tblPrEx>
          <w:tblCellMar>
            <w:top w:w="0" w:type="dxa"/>
            <w:bottom w:w="0" w:type="dxa"/>
          </w:tblCellMar>
        </w:tblPrEx>
        <w:tc>
          <w:tcPr>
            <w:tcW w:w="1043" w:type="dxa"/>
            <w:tcBorders>
              <w:top w:val="nil"/>
              <w:bottom w:val="nil"/>
            </w:tcBorders>
          </w:tcPr>
          <w:p w:rsidR="00000000" w:rsidRDefault="00000000">
            <w:pPr>
              <w:spacing w:before="40" w:after="20" w:line="204" w:lineRule="auto"/>
              <w:jc w:val="center"/>
              <w:rPr>
                <w:sz w:val="20"/>
              </w:rPr>
            </w:pPr>
            <w:r>
              <w:rPr>
                <w:sz w:val="20"/>
              </w:rPr>
              <w:t>1992</w:t>
            </w:r>
          </w:p>
        </w:tc>
        <w:tc>
          <w:tcPr>
            <w:tcW w:w="2805" w:type="dxa"/>
            <w:tcBorders>
              <w:top w:val="nil"/>
              <w:bottom w:val="nil"/>
            </w:tcBorders>
          </w:tcPr>
          <w:p w:rsidR="00000000" w:rsidRDefault="00000000">
            <w:pPr>
              <w:tabs>
                <w:tab w:val="clear" w:pos="567"/>
                <w:tab w:val="clear" w:pos="1134"/>
                <w:tab w:val="clear" w:pos="1701"/>
                <w:tab w:val="clear" w:pos="2268"/>
                <w:tab w:val="clear" w:pos="6237"/>
                <w:tab w:val="decimal" w:pos="1201"/>
              </w:tabs>
              <w:spacing w:before="40" w:after="20" w:line="204" w:lineRule="auto"/>
              <w:rPr>
                <w:sz w:val="20"/>
              </w:rPr>
            </w:pPr>
            <w:r>
              <w:rPr>
                <w:sz w:val="20"/>
              </w:rPr>
              <w:t>93,09</w:t>
            </w:r>
          </w:p>
        </w:tc>
        <w:tc>
          <w:tcPr>
            <w:tcW w:w="3005" w:type="dxa"/>
            <w:tcBorders>
              <w:top w:val="nil"/>
              <w:bottom w:val="nil"/>
            </w:tcBorders>
          </w:tcPr>
          <w:p w:rsidR="00000000" w:rsidRDefault="00000000">
            <w:pPr>
              <w:tabs>
                <w:tab w:val="clear" w:pos="567"/>
                <w:tab w:val="clear" w:pos="1134"/>
                <w:tab w:val="clear" w:pos="1701"/>
                <w:tab w:val="clear" w:pos="2268"/>
                <w:tab w:val="clear" w:pos="6237"/>
                <w:tab w:val="decimal" w:pos="1388"/>
              </w:tabs>
              <w:spacing w:before="40" w:after="20" w:line="204" w:lineRule="auto"/>
              <w:ind w:left="266"/>
              <w:rPr>
                <w:sz w:val="20"/>
              </w:rPr>
            </w:pPr>
            <w:r>
              <w:rPr>
                <w:sz w:val="20"/>
              </w:rPr>
              <w:t>99,47</w:t>
            </w:r>
          </w:p>
        </w:tc>
        <w:tc>
          <w:tcPr>
            <w:tcW w:w="2718" w:type="dxa"/>
            <w:tcBorders>
              <w:top w:val="nil"/>
              <w:bottom w:val="nil"/>
            </w:tcBorders>
          </w:tcPr>
          <w:p w:rsidR="00000000" w:rsidRDefault="00000000">
            <w:pPr>
              <w:tabs>
                <w:tab w:val="clear" w:pos="567"/>
                <w:tab w:val="clear" w:pos="1701"/>
                <w:tab w:val="clear" w:pos="2268"/>
                <w:tab w:val="clear" w:pos="6237"/>
                <w:tab w:val="decimal" w:pos="1134"/>
              </w:tabs>
              <w:spacing w:before="40" w:after="20" w:line="204" w:lineRule="auto"/>
              <w:rPr>
                <w:sz w:val="20"/>
              </w:rPr>
            </w:pPr>
            <w:r>
              <w:rPr>
                <w:sz w:val="20"/>
              </w:rPr>
              <w:t>92,43</w:t>
            </w:r>
          </w:p>
        </w:tc>
      </w:tr>
      <w:tr w:rsidR="00000000">
        <w:tblPrEx>
          <w:tblCellMar>
            <w:top w:w="0" w:type="dxa"/>
            <w:bottom w:w="0" w:type="dxa"/>
          </w:tblCellMar>
        </w:tblPrEx>
        <w:tc>
          <w:tcPr>
            <w:tcW w:w="1043" w:type="dxa"/>
            <w:tcBorders>
              <w:top w:val="nil"/>
              <w:bottom w:val="nil"/>
            </w:tcBorders>
          </w:tcPr>
          <w:p w:rsidR="00000000" w:rsidRDefault="00000000">
            <w:pPr>
              <w:spacing w:before="40" w:after="20" w:line="204" w:lineRule="auto"/>
              <w:jc w:val="center"/>
              <w:rPr>
                <w:sz w:val="20"/>
              </w:rPr>
            </w:pPr>
            <w:r>
              <w:rPr>
                <w:sz w:val="20"/>
              </w:rPr>
              <w:t>1993</w:t>
            </w:r>
          </w:p>
        </w:tc>
        <w:tc>
          <w:tcPr>
            <w:tcW w:w="2805" w:type="dxa"/>
            <w:tcBorders>
              <w:top w:val="nil"/>
              <w:bottom w:val="nil"/>
            </w:tcBorders>
          </w:tcPr>
          <w:p w:rsidR="00000000" w:rsidRDefault="00000000">
            <w:pPr>
              <w:tabs>
                <w:tab w:val="clear" w:pos="567"/>
                <w:tab w:val="clear" w:pos="1134"/>
                <w:tab w:val="clear" w:pos="1701"/>
                <w:tab w:val="clear" w:pos="2268"/>
                <w:tab w:val="clear" w:pos="6237"/>
                <w:tab w:val="decimal" w:pos="1201"/>
              </w:tabs>
              <w:spacing w:before="40" w:after="20" w:line="204" w:lineRule="auto"/>
              <w:rPr>
                <w:sz w:val="20"/>
              </w:rPr>
            </w:pPr>
            <w:r>
              <w:rPr>
                <w:sz w:val="20"/>
              </w:rPr>
              <w:t>95,74</w:t>
            </w:r>
          </w:p>
        </w:tc>
        <w:tc>
          <w:tcPr>
            <w:tcW w:w="3005" w:type="dxa"/>
            <w:tcBorders>
              <w:top w:val="nil"/>
              <w:bottom w:val="nil"/>
            </w:tcBorders>
          </w:tcPr>
          <w:p w:rsidR="00000000" w:rsidRDefault="00000000">
            <w:pPr>
              <w:tabs>
                <w:tab w:val="clear" w:pos="567"/>
                <w:tab w:val="clear" w:pos="1134"/>
                <w:tab w:val="clear" w:pos="1701"/>
                <w:tab w:val="clear" w:pos="2268"/>
                <w:tab w:val="clear" w:pos="6237"/>
                <w:tab w:val="decimal" w:pos="1388"/>
              </w:tabs>
              <w:spacing w:before="40" w:after="20" w:line="204" w:lineRule="auto"/>
              <w:ind w:left="266"/>
              <w:rPr>
                <w:sz w:val="20"/>
              </w:rPr>
            </w:pPr>
            <w:r>
              <w:rPr>
                <w:sz w:val="20"/>
              </w:rPr>
              <w:t>104,63</w:t>
            </w:r>
          </w:p>
        </w:tc>
        <w:tc>
          <w:tcPr>
            <w:tcW w:w="2718" w:type="dxa"/>
            <w:tcBorders>
              <w:top w:val="nil"/>
              <w:bottom w:val="nil"/>
            </w:tcBorders>
          </w:tcPr>
          <w:p w:rsidR="00000000" w:rsidRDefault="00000000">
            <w:pPr>
              <w:tabs>
                <w:tab w:val="clear" w:pos="567"/>
                <w:tab w:val="clear" w:pos="1701"/>
                <w:tab w:val="clear" w:pos="2268"/>
                <w:tab w:val="clear" w:pos="6237"/>
                <w:tab w:val="decimal" w:pos="1134"/>
              </w:tabs>
              <w:spacing w:before="40" w:after="20" w:line="204" w:lineRule="auto"/>
              <w:rPr>
                <w:sz w:val="20"/>
              </w:rPr>
            </w:pPr>
            <w:r>
              <w:rPr>
                <w:sz w:val="20"/>
              </w:rPr>
              <w:t>92,04</w:t>
            </w:r>
          </w:p>
        </w:tc>
      </w:tr>
      <w:tr w:rsidR="00000000">
        <w:tblPrEx>
          <w:tblCellMar>
            <w:top w:w="0" w:type="dxa"/>
            <w:bottom w:w="0" w:type="dxa"/>
          </w:tblCellMar>
        </w:tblPrEx>
        <w:tc>
          <w:tcPr>
            <w:tcW w:w="1043" w:type="dxa"/>
            <w:tcBorders>
              <w:top w:val="nil"/>
              <w:bottom w:val="nil"/>
            </w:tcBorders>
          </w:tcPr>
          <w:p w:rsidR="00000000" w:rsidRDefault="00000000">
            <w:pPr>
              <w:spacing w:before="40" w:after="20" w:line="204" w:lineRule="auto"/>
              <w:jc w:val="center"/>
              <w:rPr>
                <w:sz w:val="20"/>
              </w:rPr>
            </w:pPr>
            <w:r>
              <w:rPr>
                <w:sz w:val="20"/>
              </w:rPr>
              <w:t>1994</w:t>
            </w:r>
          </w:p>
        </w:tc>
        <w:tc>
          <w:tcPr>
            <w:tcW w:w="2805" w:type="dxa"/>
            <w:tcBorders>
              <w:top w:val="nil"/>
              <w:bottom w:val="nil"/>
            </w:tcBorders>
          </w:tcPr>
          <w:p w:rsidR="00000000" w:rsidRDefault="00000000">
            <w:pPr>
              <w:tabs>
                <w:tab w:val="clear" w:pos="567"/>
                <w:tab w:val="clear" w:pos="1134"/>
                <w:tab w:val="clear" w:pos="1701"/>
                <w:tab w:val="clear" w:pos="2268"/>
                <w:tab w:val="clear" w:pos="6237"/>
                <w:tab w:val="decimal" w:pos="1201"/>
              </w:tabs>
              <w:spacing w:before="40" w:after="20" w:line="204" w:lineRule="auto"/>
              <w:rPr>
                <w:sz w:val="20"/>
              </w:rPr>
            </w:pPr>
            <w:r>
              <w:rPr>
                <w:sz w:val="20"/>
              </w:rPr>
              <w:t>94,37</w:t>
            </w:r>
          </w:p>
        </w:tc>
        <w:tc>
          <w:tcPr>
            <w:tcW w:w="3005" w:type="dxa"/>
            <w:tcBorders>
              <w:top w:val="nil"/>
              <w:bottom w:val="nil"/>
            </w:tcBorders>
          </w:tcPr>
          <w:p w:rsidR="00000000" w:rsidRDefault="00000000">
            <w:pPr>
              <w:tabs>
                <w:tab w:val="clear" w:pos="567"/>
                <w:tab w:val="clear" w:pos="1134"/>
                <w:tab w:val="clear" w:pos="1701"/>
                <w:tab w:val="clear" w:pos="2268"/>
                <w:tab w:val="clear" w:pos="6237"/>
                <w:tab w:val="decimal" w:pos="1388"/>
              </w:tabs>
              <w:spacing w:before="40" w:after="20" w:line="204" w:lineRule="auto"/>
              <w:ind w:left="266"/>
              <w:rPr>
                <w:sz w:val="20"/>
              </w:rPr>
            </w:pPr>
            <w:r>
              <w:rPr>
                <w:sz w:val="20"/>
              </w:rPr>
              <w:t>104,76</w:t>
            </w:r>
          </w:p>
        </w:tc>
        <w:tc>
          <w:tcPr>
            <w:tcW w:w="2718" w:type="dxa"/>
            <w:tcBorders>
              <w:top w:val="nil"/>
              <w:bottom w:val="nil"/>
            </w:tcBorders>
          </w:tcPr>
          <w:p w:rsidR="00000000" w:rsidRDefault="00000000">
            <w:pPr>
              <w:tabs>
                <w:tab w:val="clear" w:pos="567"/>
                <w:tab w:val="clear" w:pos="1701"/>
                <w:tab w:val="clear" w:pos="2268"/>
                <w:tab w:val="clear" w:pos="6237"/>
                <w:tab w:val="decimal" w:pos="1134"/>
              </w:tabs>
              <w:spacing w:before="40" w:after="20" w:line="204" w:lineRule="auto"/>
              <w:rPr>
                <w:sz w:val="20"/>
              </w:rPr>
            </w:pPr>
            <w:r>
              <w:rPr>
                <w:sz w:val="20"/>
              </w:rPr>
              <w:t>86,76</w:t>
            </w:r>
          </w:p>
        </w:tc>
      </w:tr>
      <w:tr w:rsidR="00000000">
        <w:tblPrEx>
          <w:tblCellMar>
            <w:top w:w="0" w:type="dxa"/>
            <w:bottom w:w="0" w:type="dxa"/>
          </w:tblCellMar>
        </w:tblPrEx>
        <w:tc>
          <w:tcPr>
            <w:tcW w:w="1043" w:type="dxa"/>
            <w:tcBorders>
              <w:top w:val="nil"/>
              <w:bottom w:val="nil"/>
            </w:tcBorders>
          </w:tcPr>
          <w:p w:rsidR="00000000" w:rsidRDefault="00000000">
            <w:pPr>
              <w:spacing w:before="40" w:after="20" w:line="204" w:lineRule="auto"/>
              <w:jc w:val="center"/>
              <w:rPr>
                <w:sz w:val="20"/>
              </w:rPr>
            </w:pPr>
            <w:r>
              <w:rPr>
                <w:sz w:val="20"/>
              </w:rPr>
              <w:t>1995</w:t>
            </w:r>
          </w:p>
        </w:tc>
        <w:tc>
          <w:tcPr>
            <w:tcW w:w="2805" w:type="dxa"/>
            <w:tcBorders>
              <w:top w:val="nil"/>
              <w:bottom w:val="nil"/>
            </w:tcBorders>
          </w:tcPr>
          <w:p w:rsidR="00000000" w:rsidRDefault="00000000">
            <w:pPr>
              <w:tabs>
                <w:tab w:val="clear" w:pos="567"/>
                <w:tab w:val="clear" w:pos="1134"/>
                <w:tab w:val="clear" w:pos="1701"/>
                <w:tab w:val="clear" w:pos="2268"/>
                <w:tab w:val="clear" w:pos="6237"/>
                <w:tab w:val="decimal" w:pos="1201"/>
              </w:tabs>
              <w:spacing w:before="40" w:after="20" w:line="204" w:lineRule="auto"/>
              <w:rPr>
                <w:sz w:val="20"/>
              </w:rPr>
            </w:pPr>
            <w:r>
              <w:rPr>
                <w:sz w:val="20"/>
              </w:rPr>
              <w:t>97,15</w:t>
            </w:r>
          </w:p>
        </w:tc>
        <w:tc>
          <w:tcPr>
            <w:tcW w:w="3005" w:type="dxa"/>
            <w:tcBorders>
              <w:top w:val="nil"/>
              <w:bottom w:val="nil"/>
            </w:tcBorders>
          </w:tcPr>
          <w:p w:rsidR="00000000" w:rsidRDefault="00000000">
            <w:pPr>
              <w:tabs>
                <w:tab w:val="clear" w:pos="567"/>
                <w:tab w:val="clear" w:pos="1134"/>
                <w:tab w:val="clear" w:pos="1701"/>
                <w:tab w:val="clear" w:pos="2268"/>
                <w:tab w:val="clear" w:pos="6237"/>
                <w:tab w:val="decimal" w:pos="1388"/>
              </w:tabs>
              <w:spacing w:before="40" w:after="20" w:line="204" w:lineRule="auto"/>
              <w:ind w:left="266"/>
              <w:rPr>
                <w:sz w:val="20"/>
              </w:rPr>
            </w:pPr>
            <w:r>
              <w:rPr>
                <w:sz w:val="20"/>
              </w:rPr>
              <w:t>105,04</w:t>
            </w:r>
          </w:p>
        </w:tc>
        <w:tc>
          <w:tcPr>
            <w:tcW w:w="2718" w:type="dxa"/>
            <w:tcBorders>
              <w:top w:val="nil"/>
              <w:bottom w:val="nil"/>
            </w:tcBorders>
          </w:tcPr>
          <w:p w:rsidR="00000000" w:rsidRDefault="00000000">
            <w:pPr>
              <w:tabs>
                <w:tab w:val="clear" w:pos="567"/>
                <w:tab w:val="clear" w:pos="1701"/>
                <w:tab w:val="clear" w:pos="2268"/>
                <w:tab w:val="clear" w:pos="6237"/>
                <w:tab w:val="decimal" w:pos="1134"/>
              </w:tabs>
              <w:spacing w:before="40" w:after="20" w:line="204" w:lineRule="auto"/>
              <w:rPr>
                <w:sz w:val="20"/>
              </w:rPr>
            </w:pPr>
            <w:r>
              <w:rPr>
                <w:sz w:val="20"/>
              </w:rPr>
              <w:t>89,00</w:t>
            </w:r>
          </w:p>
        </w:tc>
      </w:tr>
      <w:tr w:rsidR="00000000">
        <w:tblPrEx>
          <w:tblCellMar>
            <w:top w:w="0" w:type="dxa"/>
            <w:bottom w:w="0" w:type="dxa"/>
          </w:tblCellMar>
        </w:tblPrEx>
        <w:tc>
          <w:tcPr>
            <w:tcW w:w="1043" w:type="dxa"/>
            <w:tcBorders>
              <w:top w:val="nil"/>
              <w:bottom w:val="nil"/>
            </w:tcBorders>
          </w:tcPr>
          <w:p w:rsidR="00000000" w:rsidRDefault="00000000">
            <w:pPr>
              <w:spacing w:before="40" w:after="20" w:line="204" w:lineRule="auto"/>
              <w:jc w:val="center"/>
              <w:rPr>
                <w:sz w:val="20"/>
              </w:rPr>
            </w:pPr>
            <w:r>
              <w:rPr>
                <w:sz w:val="20"/>
              </w:rPr>
              <w:t>1996</w:t>
            </w:r>
          </w:p>
        </w:tc>
        <w:tc>
          <w:tcPr>
            <w:tcW w:w="2805" w:type="dxa"/>
            <w:tcBorders>
              <w:top w:val="nil"/>
              <w:bottom w:val="nil"/>
            </w:tcBorders>
          </w:tcPr>
          <w:p w:rsidR="00000000" w:rsidRDefault="00000000">
            <w:pPr>
              <w:tabs>
                <w:tab w:val="clear" w:pos="567"/>
                <w:tab w:val="clear" w:pos="1134"/>
                <w:tab w:val="clear" w:pos="1701"/>
                <w:tab w:val="clear" w:pos="2268"/>
                <w:tab w:val="clear" w:pos="6237"/>
                <w:tab w:val="decimal" w:pos="1201"/>
              </w:tabs>
              <w:spacing w:before="40" w:after="20" w:line="204" w:lineRule="auto"/>
              <w:rPr>
                <w:sz w:val="20"/>
              </w:rPr>
            </w:pPr>
            <w:r>
              <w:rPr>
                <w:sz w:val="20"/>
              </w:rPr>
              <w:t>98,10</w:t>
            </w:r>
          </w:p>
        </w:tc>
        <w:tc>
          <w:tcPr>
            <w:tcW w:w="3005" w:type="dxa"/>
            <w:tcBorders>
              <w:top w:val="nil"/>
              <w:bottom w:val="nil"/>
            </w:tcBorders>
          </w:tcPr>
          <w:p w:rsidR="00000000" w:rsidRDefault="00000000">
            <w:pPr>
              <w:tabs>
                <w:tab w:val="clear" w:pos="567"/>
                <w:tab w:val="clear" w:pos="1134"/>
                <w:tab w:val="clear" w:pos="1701"/>
                <w:tab w:val="clear" w:pos="2268"/>
                <w:tab w:val="clear" w:pos="6237"/>
                <w:tab w:val="decimal" w:pos="1388"/>
              </w:tabs>
              <w:spacing w:before="40" w:after="20" w:line="204" w:lineRule="auto"/>
              <w:ind w:left="266"/>
              <w:rPr>
                <w:sz w:val="20"/>
              </w:rPr>
            </w:pPr>
            <w:r>
              <w:rPr>
                <w:sz w:val="20"/>
              </w:rPr>
              <w:t>105,03</w:t>
            </w:r>
          </w:p>
        </w:tc>
        <w:tc>
          <w:tcPr>
            <w:tcW w:w="2718" w:type="dxa"/>
            <w:tcBorders>
              <w:top w:val="nil"/>
              <w:bottom w:val="nil"/>
            </w:tcBorders>
          </w:tcPr>
          <w:p w:rsidR="00000000" w:rsidRDefault="00000000">
            <w:pPr>
              <w:tabs>
                <w:tab w:val="clear" w:pos="567"/>
                <w:tab w:val="clear" w:pos="1701"/>
                <w:tab w:val="clear" w:pos="2268"/>
                <w:tab w:val="clear" w:pos="6237"/>
                <w:tab w:val="decimal" w:pos="1134"/>
              </w:tabs>
              <w:spacing w:before="40" w:after="20" w:line="204" w:lineRule="auto"/>
              <w:rPr>
                <w:sz w:val="20"/>
              </w:rPr>
            </w:pPr>
            <w:r>
              <w:rPr>
                <w:sz w:val="20"/>
              </w:rPr>
              <w:t>89,64</w:t>
            </w:r>
          </w:p>
        </w:tc>
      </w:tr>
      <w:tr w:rsidR="00000000">
        <w:tblPrEx>
          <w:tblCellMar>
            <w:top w:w="0" w:type="dxa"/>
            <w:bottom w:w="0" w:type="dxa"/>
          </w:tblCellMar>
        </w:tblPrEx>
        <w:tc>
          <w:tcPr>
            <w:tcW w:w="1043" w:type="dxa"/>
            <w:tcBorders>
              <w:top w:val="nil"/>
            </w:tcBorders>
          </w:tcPr>
          <w:p w:rsidR="00000000" w:rsidRDefault="00000000">
            <w:pPr>
              <w:spacing w:before="40" w:after="20" w:line="204" w:lineRule="auto"/>
              <w:jc w:val="center"/>
              <w:rPr>
                <w:sz w:val="20"/>
              </w:rPr>
            </w:pPr>
            <w:r>
              <w:rPr>
                <w:sz w:val="20"/>
              </w:rPr>
              <w:t>1997</w:t>
            </w:r>
          </w:p>
        </w:tc>
        <w:tc>
          <w:tcPr>
            <w:tcW w:w="2805" w:type="dxa"/>
            <w:tcBorders>
              <w:top w:val="nil"/>
            </w:tcBorders>
          </w:tcPr>
          <w:p w:rsidR="00000000" w:rsidRDefault="00000000">
            <w:pPr>
              <w:tabs>
                <w:tab w:val="clear" w:pos="567"/>
                <w:tab w:val="clear" w:pos="1134"/>
                <w:tab w:val="clear" w:pos="1701"/>
                <w:tab w:val="clear" w:pos="2268"/>
                <w:tab w:val="clear" w:pos="6237"/>
                <w:tab w:val="decimal" w:pos="1201"/>
              </w:tabs>
              <w:spacing w:before="40" w:after="20" w:line="204" w:lineRule="auto"/>
              <w:rPr>
                <w:sz w:val="20"/>
              </w:rPr>
            </w:pPr>
            <w:r>
              <w:rPr>
                <w:sz w:val="20"/>
              </w:rPr>
              <w:t>97,40</w:t>
            </w:r>
          </w:p>
        </w:tc>
        <w:tc>
          <w:tcPr>
            <w:tcW w:w="3005" w:type="dxa"/>
            <w:tcBorders>
              <w:top w:val="nil"/>
            </w:tcBorders>
          </w:tcPr>
          <w:p w:rsidR="00000000" w:rsidRDefault="00000000">
            <w:pPr>
              <w:tabs>
                <w:tab w:val="clear" w:pos="567"/>
                <w:tab w:val="clear" w:pos="1134"/>
                <w:tab w:val="clear" w:pos="1701"/>
                <w:tab w:val="clear" w:pos="2268"/>
                <w:tab w:val="clear" w:pos="6237"/>
                <w:tab w:val="decimal" w:pos="1388"/>
              </w:tabs>
              <w:spacing w:before="40" w:after="20" w:line="204" w:lineRule="auto"/>
              <w:ind w:left="266"/>
              <w:rPr>
                <w:sz w:val="20"/>
              </w:rPr>
            </w:pPr>
            <w:r>
              <w:rPr>
                <w:sz w:val="20"/>
              </w:rPr>
              <w:t>102,82</w:t>
            </w:r>
          </w:p>
        </w:tc>
        <w:tc>
          <w:tcPr>
            <w:tcW w:w="2718" w:type="dxa"/>
            <w:tcBorders>
              <w:top w:val="nil"/>
            </w:tcBorders>
          </w:tcPr>
          <w:p w:rsidR="00000000" w:rsidRDefault="00000000">
            <w:pPr>
              <w:tabs>
                <w:tab w:val="clear" w:pos="567"/>
                <w:tab w:val="clear" w:pos="1701"/>
                <w:tab w:val="clear" w:pos="2268"/>
                <w:tab w:val="clear" w:pos="6237"/>
                <w:tab w:val="decimal" w:pos="1134"/>
              </w:tabs>
              <w:spacing w:before="40" w:after="20" w:line="204" w:lineRule="auto"/>
              <w:rPr>
                <w:sz w:val="20"/>
              </w:rPr>
            </w:pPr>
            <w:r>
              <w:rPr>
                <w:sz w:val="20"/>
              </w:rPr>
              <w:t>89,01</w:t>
            </w:r>
          </w:p>
        </w:tc>
      </w:tr>
    </w:tbl>
    <w:p w:rsidR="00000000" w:rsidRDefault="00000000">
      <w:pPr>
        <w:pStyle w:val="FootnoteText"/>
      </w:pPr>
    </w:p>
    <w:p w:rsidR="00000000" w:rsidRDefault="00000000">
      <w:pPr>
        <w:spacing w:line="240" w:lineRule="auto"/>
      </w:pPr>
      <w:r>
        <w:tab/>
      </w:r>
      <w:r>
        <w:rPr>
          <w:u w:val="single"/>
        </w:rPr>
        <w:t>Источник</w:t>
      </w:r>
      <w:r>
        <w:t>:  данные министерства национального образования.</w:t>
      </w:r>
    </w:p>
    <w:p w:rsidR="00000000" w:rsidRDefault="00000000">
      <w:pPr>
        <w:pStyle w:val="FootnoteText"/>
      </w:pPr>
    </w:p>
    <w:p w:rsidR="00000000" w:rsidRDefault="00000000">
      <w:pPr>
        <w:pStyle w:val="10"/>
        <w:spacing w:line="240" w:lineRule="auto"/>
        <w:rPr>
          <w:b w:val="0"/>
          <w:bCs/>
          <w:u w:val="single"/>
        </w:rPr>
      </w:pPr>
      <w:r>
        <w:rPr>
          <w:b w:val="0"/>
          <w:bCs/>
          <w:u w:val="single"/>
        </w:rPr>
        <w:t>Таблица 46</w:t>
      </w:r>
      <w:r>
        <w:rPr>
          <w:b w:val="0"/>
          <w:bCs/>
        </w:rPr>
        <w:t xml:space="preserve">.  </w:t>
      </w:r>
      <w:r>
        <w:rPr>
          <w:b w:val="0"/>
          <w:bCs/>
          <w:u w:val="single"/>
        </w:rPr>
        <w:t>Темпы увеличения средней заработной платы, в %</w:t>
      </w:r>
      <w:r>
        <w:rPr>
          <w:b w:val="0"/>
          <w:bCs/>
        </w:rPr>
        <w:t>,</w:t>
      </w:r>
    </w:p>
    <w:p w:rsidR="00000000" w:rsidRDefault="00000000">
      <w:pPr>
        <w:pStyle w:val="10"/>
        <w:spacing w:line="240" w:lineRule="auto"/>
        <w:rPr>
          <w:b w:val="0"/>
          <w:bCs/>
        </w:rPr>
      </w:pPr>
      <w:r>
        <w:rPr>
          <w:b w:val="0"/>
          <w:bCs/>
          <w:u w:val="single"/>
        </w:rPr>
        <w:t>1992-1997 годы (1992 = 100%</w:t>
      </w:r>
      <w:r>
        <w:rPr>
          <w:b w:val="0"/>
          <w:bCs/>
        </w:rPr>
        <w:t>)</w:t>
      </w:r>
    </w:p>
    <w:p w:rsidR="00000000" w:rsidRDefault="00000000">
      <w:pPr>
        <w:pStyle w:val="Footnote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7"/>
        <w:gridCol w:w="1574"/>
        <w:gridCol w:w="1348"/>
        <w:gridCol w:w="1989"/>
        <w:gridCol w:w="1494"/>
        <w:gridCol w:w="954"/>
        <w:gridCol w:w="1594"/>
      </w:tblGrid>
      <w:tr w:rsidR="00000000">
        <w:tblPrEx>
          <w:tblCellMar>
            <w:top w:w="0" w:type="dxa"/>
            <w:bottom w:w="0" w:type="dxa"/>
          </w:tblCellMar>
        </w:tblPrEx>
        <w:trPr>
          <w:cantSplit/>
        </w:trPr>
        <w:tc>
          <w:tcPr>
            <w:tcW w:w="242" w:type="pct"/>
            <w:vMerge w:val="restart"/>
          </w:tcPr>
          <w:p w:rsidR="00000000" w:rsidRDefault="00000000">
            <w:pPr>
              <w:spacing w:line="216" w:lineRule="auto"/>
              <w:jc w:val="center"/>
              <w:rPr>
                <w:sz w:val="20"/>
              </w:rPr>
            </w:pPr>
            <w:r>
              <w:rPr>
                <w:sz w:val="20"/>
              </w:rPr>
              <w:t>Год</w:t>
            </w:r>
          </w:p>
        </w:tc>
        <w:tc>
          <w:tcPr>
            <w:tcW w:w="836" w:type="pct"/>
            <w:vMerge w:val="restart"/>
          </w:tcPr>
          <w:p w:rsidR="00000000" w:rsidRDefault="00000000">
            <w:pPr>
              <w:spacing w:line="216" w:lineRule="auto"/>
              <w:jc w:val="center"/>
              <w:rPr>
                <w:sz w:val="20"/>
              </w:rPr>
            </w:pPr>
            <w:r>
              <w:rPr>
                <w:sz w:val="20"/>
              </w:rPr>
              <w:t>Средняя минимальная заработная плата</w:t>
            </w:r>
          </w:p>
        </w:tc>
        <w:tc>
          <w:tcPr>
            <w:tcW w:w="716" w:type="pct"/>
            <w:vMerge w:val="restart"/>
          </w:tcPr>
          <w:p w:rsidR="00000000" w:rsidRDefault="00000000">
            <w:pPr>
              <w:spacing w:line="216" w:lineRule="auto"/>
              <w:jc w:val="center"/>
              <w:rPr>
                <w:sz w:val="20"/>
              </w:rPr>
            </w:pPr>
            <w:r>
              <w:rPr>
                <w:sz w:val="20"/>
              </w:rPr>
              <w:t>Средняя заработная плата по стране</w:t>
            </w:r>
          </w:p>
        </w:tc>
        <w:tc>
          <w:tcPr>
            <w:tcW w:w="1057" w:type="pct"/>
            <w:vMerge w:val="restart"/>
          </w:tcPr>
          <w:p w:rsidR="00000000" w:rsidRDefault="00000000">
            <w:pPr>
              <w:spacing w:line="216" w:lineRule="auto"/>
              <w:jc w:val="center"/>
              <w:rPr>
                <w:sz w:val="20"/>
              </w:rPr>
            </w:pPr>
            <w:r>
              <w:rPr>
                <w:sz w:val="20"/>
              </w:rPr>
              <w:t>Средняя заработная плата в государственном бюджетном секторе</w:t>
            </w:r>
          </w:p>
        </w:tc>
        <w:tc>
          <w:tcPr>
            <w:tcW w:w="794" w:type="pct"/>
            <w:vMerge w:val="restart"/>
          </w:tcPr>
          <w:p w:rsidR="00000000" w:rsidRDefault="00000000">
            <w:pPr>
              <w:spacing w:line="216" w:lineRule="auto"/>
              <w:jc w:val="center"/>
              <w:rPr>
                <w:sz w:val="20"/>
              </w:rPr>
            </w:pPr>
            <w:r>
              <w:rPr>
                <w:sz w:val="20"/>
              </w:rPr>
              <w:t>Средняя заработная плата в частных компаниях</w:t>
            </w:r>
          </w:p>
        </w:tc>
        <w:tc>
          <w:tcPr>
            <w:tcW w:w="1354" w:type="pct"/>
            <w:gridSpan w:val="2"/>
          </w:tcPr>
          <w:p w:rsidR="00000000" w:rsidRDefault="00000000">
            <w:pPr>
              <w:spacing w:line="216" w:lineRule="auto"/>
              <w:jc w:val="center"/>
              <w:rPr>
                <w:sz w:val="20"/>
              </w:rPr>
            </w:pPr>
            <w:r>
              <w:rPr>
                <w:sz w:val="20"/>
              </w:rPr>
              <w:t>Средняя заработная плата в сфере образования</w:t>
            </w:r>
          </w:p>
        </w:tc>
      </w:tr>
      <w:tr w:rsidR="00000000">
        <w:tblPrEx>
          <w:tblCellMar>
            <w:top w:w="0" w:type="dxa"/>
            <w:bottom w:w="0" w:type="dxa"/>
          </w:tblCellMar>
        </w:tblPrEx>
        <w:trPr>
          <w:cantSplit/>
        </w:trPr>
        <w:tc>
          <w:tcPr>
            <w:tcW w:w="242" w:type="pct"/>
            <w:vMerge/>
            <w:tcBorders>
              <w:bottom w:val="single" w:sz="4" w:space="0" w:color="auto"/>
            </w:tcBorders>
          </w:tcPr>
          <w:p w:rsidR="00000000" w:rsidRDefault="00000000">
            <w:pPr>
              <w:spacing w:line="216" w:lineRule="auto"/>
              <w:rPr>
                <w:sz w:val="20"/>
              </w:rPr>
            </w:pPr>
          </w:p>
        </w:tc>
        <w:tc>
          <w:tcPr>
            <w:tcW w:w="836" w:type="pct"/>
            <w:vMerge/>
            <w:tcBorders>
              <w:bottom w:val="single" w:sz="4" w:space="0" w:color="auto"/>
            </w:tcBorders>
          </w:tcPr>
          <w:p w:rsidR="00000000" w:rsidRDefault="00000000">
            <w:pPr>
              <w:spacing w:line="216" w:lineRule="auto"/>
              <w:rPr>
                <w:sz w:val="20"/>
              </w:rPr>
            </w:pPr>
          </w:p>
        </w:tc>
        <w:tc>
          <w:tcPr>
            <w:tcW w:w="716" w:type="pct"/>
            <w:vMerge/>
            <w:tcBorders>
              <w:bottom w:val="single" w:sz="4" w:space="0" w:color="auto"/>
            </w:tcBorders>
          </w:tcPr>
          <w:p w:rsidR="00000000" w:rsidRDefault="00000000">
            <w:pPr>
              <w:spacing w:line="216" w:lineRule="auto"/>
              <w:rPr>
                <w:sz w:val="20"/>
              </w:rPr>
            </w:pPr>
          </w:p>
        </w:tc>
        <w:tc>
          <w:tcPr>
            <w:tcW w:w="1057" w:type="pct"/>
            <w:vMerge/>
            <w:tcBorders>
              <w:bottom w:val="single" w:sz="4" w:space="0" w:color="auto"/>
            </w:tcBorders>
          </w:tcPr>
          <w:p w:rsidR="00000000" w:rsidRDefault="00000000">
            <w:pPr>
              <w:spacing w:line="216" w:lineRule="auto"/>
              <w:rPr>
                <w:sz w:val="20"/>
              </w:rPr>
            </w:pPr>
          </w:p>
        </w:tc>
        <w:tc>
          <w:tcPr>
            <w:tcW w:w="794" w:type="pct"/>
            <w:vMerge/>
            <w:tcBorders>
              <w:bottom w:val="single" w:sz="4" w:space="0" w:color="auto"/>
            </w:tcBorders>
          </w:tcPr>
          <w:p w:rsidR="00000000" w:rsidRDefault="00000000">
            <w:pPr>
              <w:spacing w:line="216" w:lineRule="auto"/>
              <w:rPr>
                <w:sz w:val="20"/>
              </w:rPr>
            </w:pPr>
          </w:p>
        </w:tc>
        <w:tc>
          <w:tcPr>
            <w:tcW w:w="507" w:type="pct"/>
            <w:tcBorders>
              <w:bottom w:val="single" w:sz="4" w:space="0" w:color="auto"/>
            </w:tcBorders>
          </w:tcPr>
          <w:p w:rsidR="00000000" w:rsidRDefault="00000000">
            <w:pPr>
              <w:spacing w:line="216" w:lineRule="auto"/>
              <w:jc w:val="center"/>
              <w:rPr>
                <w:sz w:val="20"/>
              </w:rPr>
            </w:pPr>
            <w:r>
              <w:rPr>
                <w:sz w:val="20"/>
              </w:rPr>
              <w:t>Всего</w:t>
            </w:r>
          </w:p>
        </w:tc>
        <w:tc>
          <w:tcPr>
            <w:tcW w:w="847" w:type="pct"/>
            <w:tcBorders>
              <w:bottom w:val="single" w:sz="4" w:space="0" w:color="auto"/>
            </w:tcBorders>
          </w:tcPr>
          <w:p w:rsidR="00000000" w:rsidRDefault="00000000">
            <w:pPr>
              <w:spacing w:line="216" w:lineRule="auto"/>
              <w:jc w:val="center"/>
              <w:rPr>
                <w:sz w:val="20"/>
              </w:rPr>
            </w:pPr>
            <w:r>
              <w:rPr>
                <w:sz w:val="20"/>
              </w:rPr>
              <w:t>Преподаватели</w:t>
            </w:r>
          </w:p>
        </w:tc>
      </w:tr>
      <w:tr w:rsidR="00000000">
        <w:tblPrEx>
          <w:tblCellMar>
            <w:top w:w="0" w:type="dxa"/>
            <w:bottom w:w="0" w:type="dxa"/>
          </w:tblCellMar>
        </w:tblPrEx>
        <w:tc>
          <w:tcPr>
            <w:tcW w:w="242" w:type="pct"/>
            <w:tcBorders>
              <w:bottom w:val="nil"/>
            </w:tcBorders>
            <w:vAlign w:val="center"/>
          </w:tcPr>
          <w:p w:rsidR="00000000" w:rsidRDefault="00000000">
            <w:pPr>
              <w:spacing w:before="40" w:after="20" w:line="204" w:lineRule="auto"/>
              <w:jc w:val="center"/>
              <w:rPr>
                <w:sz w:val="20"/>
              </w:rPr>
            </w:pPr>
            <w:r>
              <w:rPr>
                <w:sz w:val="20"/>
              </w:rPr>
              <w:t>1992</w:t>
            </w:r>
          </w:p>
        </w:tc>
        <w:tc>
          <w:tcPr>
            <w:tcW w:w="836" w:type="pct"/>
            <w:tcBorders>
              <w:bottom w:val="nil"/>
            </w:tcBorders>
            <w:vAlign w:val="center"/>
          </w:tcPr>
          <w:p w:rsidR="00000000" w:rsidRDefault="00000000">
            <w:pPr>
              <w:spacing w:before="40" w:after="20" w:line="204" w:lineRule="auto"/>
              <w:jc w:val="center"/>
              <w:rPr>
                <w:sz w:val="20"/>
              </w:rPr>
            </w:pPr>
            <w:r>
              <w:rPr>
                <w:sz w:val="20"/>
              </w:rPr>
              <w:t>108,75</w:t>
            </w:r>
          </w:p>
        </w:tc>
        <w:tc>
          <w:tcPr>
            <w:tcW w:w="716" w:type="pct"/>
            <w:tcBorders>
              <w:bottom w:val="nil"/>
            </w:tcBorders>
            <w:vAlign w:val="center"/>
          </w:tcPr>
          <w:p w:rsidR="00000000" w:rsidRDefault="00000000">
            <w:pPr>
              <w:spacing w:before="40" w:after="20" w:line="204" w:lineRule="auto"/>
              <w:jc w:val="center"/>
              <w:rPr>
                <w:sz w:val="20"/>
              </w:rPr>
            </w:pPr>
            <w:r>
              <w:rPr>
                <w:sz w:val="20"/>
              </w:rPr>
              <w:t>289,73</w:t>
            </w:r>
          </w:p>
        </w:tc>
        <w:tc>
          <w:tcPr>
            <w:tcW w:w="1057" w:type="pct"/>
            <w:tcBorders>
              <w:bottom w:val="nil"/>
            </w:tcBorders>
            <w:vAlign w:val="center"/>
          </w:tcPr>
          <w:p w:rsidR="00000000" w:rsidRDefault="00000000">
            <w:pPr>
              <w:spacing w:before="40" w:after="20" w:line="204" w:lineRule="auto"/>
              <w:jc w:val="center"/>
              <w:rPr>
                <w:sz w:val="20"/>
              </w:rPr>
            </w:pPr>
            <w:r>
              <w:rPr>
                <w:sz w:val="20"/>
              </w:rPr>
              <w:t>271,14</w:t>
            </w:r>
          </w:p>
        </w:tc>
        <w:tc>
          <w:tcPr>
            <w:tcW w:w="794" w:type="pct"/>
            <w:tcBorders>
              <w:bottom w:val="nil"/>
            </w:tcBorders>
            <w:vAlign w:val="center"/>
          </w:tcPr>
          <w:p w:rsidR="00000000" w:rsidRDefault="00000000">
            <w:pPr>
              <w:spacing w:before="40" w:after="20" w:line="204" w:lineRule="auto"/>
              <w:jc w:val="center"/>
              <w:rPr>
                <w:sz w:val="20"/>
              </w:rPr>
            </w:pPr>
            <w:r>
              <w:rPr>
                <w:sz w:val="20"/>
              </w:rPr>
              <w:t>291,81</w:t>
            </w:r>
          </w:p>
        </w:tc>
        <w:tc>
          <w:tcPr>
            <w:tcW w:w="507" w:type="pct"/>
            <w:tcBorders>
              <w:bottom w:val="nil"/>
            </w:tcBorders>
            <w:vAlign w:val="center"/>
          </w:tcPr>
          <w:p w:rsidR="00000000" w:rsidRDefault="00000000">
            <w:pPr>
              <w:spacing w:before="40" w:after="20" w:line="204" w:lineRule="auto"/>
              <w:jc w:val="center"/>
              <w:rPr>
                <w:sz w:val="20"/>
              </w:rPr>
            </w:pPr>
            <w:r>
              <w:rPr>
                <w:sz w:val="20"/>
              </w:rPr>
              <w:t>258,46</w:t>
            </w:r>
          </w:p>
        </w:tc>
        <w:tc>
          <w:tcPr>
            <w:tcW w:w="847" w:type="pct"/>
            <w:tcBorders>
              <w:bottom w:val="nil"/>
            </w:tcBorders>
            <w:vAlign w:val="center"/>
          </w:tcPr>
          <w:p w:rsidR="00000000" w:rsidRDefault="00000000">
            <w:pPr>
              <w:spacing w:before="40" w:after="20" w:line="204" w:lineRule="auto"/>
              <w:jc w:val="center"/>
              <w:rPr>
                <w:sz w:val="20"/>
              </w:rPr>
            </w:pPr>
            <w:r>
              <w:rPr>
                <w:sz w:val="20"/>
              </w:rPr>
              <w:t>269,71</w:t>
            </w:r>
          </w:p>
        </w:tc>
      </w:tr>
      <w:tr w:rsidR="00000000">
        <w:tblPrEx>
          <w:tblCellMar>
            <w:top w:w="0" w:type="dxa"/>
            <w:bottom w:w="0" w:type="dxa"/>
          </w:tblCellMar>
        </w:tblPrEx>
        <w:tc>
          <w:tcPr>
            <w:tcW w:w="242" w:type="pct"/>
            <w:tcBorders>
              <w:top w:val="nil"/>
              <w:bottom w:val="nil"/>
            </w:tcBorders>
            <w:vAlign w:val="center"/>
          </w:tcPr>
          <w:p w:rsidR="00000000" w:rsidRDefault="00000000">
            <w:pPr>
              <w:spacing w:before="40" w:after="20" w:line="204" w:lineRule="auto"/>
              <w:jc w:val="center"/>
              <w:rPr>
                <w:sz w:val="20"/>
              </w:rPr>
            </w:pPr>
            <w:r>
              <w:rPr>
                <w:sz w:val="20"/>
              </w:rPr>
              <w:t>1993</w:t>
            </w:r>
          </w:p>
        </w:tc>
        <w:tc>
          <w:tcPr>
            <w:tcW w:w="836" w:type="pct"/>
            <w:tcBorders>
              <w:top w:val="nil"/>
              <w:bottom w:val="nil"/>
            </w:tcBorders>
            <w:vAlign w:val="center"/>
          </w:tcPr>
          <w:p w:rsidR="00000000" w:rsidRDefault="00000000">
            <w:pPr>
              <w:spacing w:before="40" w:after="20" w:line="204" w:lineRule="auto"/>
              <w:jc w:val="center"/>
              <w:rPr>
                <w:sz w:val="20"/>
              </w:rPr>
            </w:pPr>
            <w:r>
              <w:rPr>
                <w:sz w:val="20"/>
              </w:rPr>
              <w:t>147,13</w:t>
            </w:r>
          </w:p>
        </w:tc>
        <w:tc>
          <w:tcPr>
            <w:tcW w:w="716" w:type="pct"/>
            <w:tcBorders>
              <w:top w:val="nil"/>
              <w:bottom w:val="nil"/>
            </w:tcBorders>
            <w:vAlign w:val="center"/>
          </w:tcPr>
          <w:p w:rsidR="00000000" w:rsidRDefault="00000000">
            <w:pPr>
              <w:spacing w:before="40" w:after="20" w:line="204" w:lineRule="auto"/>
              <w:jc w:val="center"/>
              <w:rPr>
                <w:sz w:val="20"/>
              </w:rPr>
            </w:pPr>
            <w:r>
              <w:rPr>
                <w:sz w:val="20"/>
              </w:rPr>
              <w:t>134,76</w:t>
            </w:r>
          </w:p>
        </w:tc>
        <w:tc>
          <w:tcPr>
            <w:tcW w:w="1057" w:type="pct"/>
            <w:tcBorders>
              <w:top w:val="nil"/>
              <w:bottom w:val="nil"/>
            </w:tcBorders>
            <w:vAlign w:val="center"/>
          </w:tcPr>
          <w:p w:rsidR="00000000" w:rsidRDefault="00000000">
            <w:pPr>
              <w:spacing w:before="40" w:after="20" w:line="204" w:lineRule="auto"/>
              <w:jc w:val="center"/>
              <w:rPr>
                <w:sz w:val="20"/>
              </w:rPr>
            </w:pPr>
            <w:r>
              <w:rPr>
                <w:sz w:val="20"/>
              </w:rPr>
              <w:t>131,75</w:t>
            </w:r>
          </w:p>
        </w:tc>
        <w:tc>
          <w:tcPr>
            <w:tcW w:w="794" w:type="pct"/>
            <w:tcBorders>
              <w:top w:val="nil"/>
              <w:bottom w:val="nil"/>
            </w:tcBorders>
            <w:vAlign w:val="center"/>
          </w:tcPr>
          <w:p w:rsidR="00000000" w:rsidRDefault="00000000">
            <w:pPr>
              <w:spacing w:before="40" w:after="20" w:line="204" w:lineRule="auto"/>
              <w:jc w:val="center"/>
              <w:rPr>
                <w:sz w:val="20"/>
              </w:rPr>
            </w:pPr>
            <w:r>
              <w:rPr>
                <w:sz w:val="20"/>
              </w:rPr>
              <w:t>139,17</w:t>
            </w:r>
          </w:p>
        </w:tc>
        <w:tc>
          <w:tcPr>
            <w:tcW w:w="507" w:type="pct"/>
            <w:tcBorders>
              <w:top w:val="nil"/>
              <w:bottom w:val="nil"/>
            </w:tcBorders>
            <w:vAlign w:val="center"/>
          </w:tcPr>
          <w:p w:rsidR="00000000" w:rsidRDefault="00000000">
            <w:pPr>
              <w:spacing w:before="40" w:after="20" w:line="204" w:lineRule="auto"/>
              <w:jc w:val="center"/>
              <w:rPr>
                <w:sz w:val="20"/>
              </w:rPr>
            </w:pPr>
            <w:r>
              <w:rPr>
                <w:sz w:val="20"/>
              </w:rPr>
              <w:t>135,61</w:t>
            </w:r>
          </w:p>
        </w:tc>
        <w:tc>
          <w:tcPr>
            <w:tcW w:w="847" w:type="pct"/>
            <w:tcBorders>
              <w:top w:val="nil"/>
              <w:bottom w:val="nil"/>
            </w:tcBorders>
            <w:vAlign w:val="center"/>
          </w:tcPr>
          <w:p w:rsidR="00000000" w:rsidRDefault="00000000">
            <w:pPr>
              <w:spacing w:before="40" w:after="20" w:line="204" w:lineRule="auto"/>
              <w:jc w:val="center"/>
              <w:rPr>
                <w:sz w:val="20"/>
              </w:rPr>
            </w:pPr>
            <w:r>
              <w:rPr>
                <w:sz w:val="20"/>
              </w:rPr>
              <w:t>138,59</w:t>
            </w:r>
          </w:p>
        </w:tc>
      </w:tr>
      <w:tr w:rsidR="00000000">
        <w:tblPrEx>
          <w:tblCellMar>
            <w:top w:w="0" w:type="dxa"/>
            <w:bottom w:w="0" w:type="dxa"/>
          </w:tblCellMar>
        </w:tblPrEx>
        <w:tc>
          <w:tcPr>
            <w:tcW w:w="242" w:type="pct"/>
            <w:tcBorders>
              <w:top w:val="nil"/>
              <w:bottom w:val="nil"/>
            </w:tcBorders>
            <w:vAlign w:val="center"/>
          </w:tcPr>
          <w:p w:rsidR="00000000" w:rsidRDefault="00000000">
            <w:pPr>
              <w:spacing w:before="40" w:after="20" w:line="204" w:lineRule="auto"/>
              <w:jc w:val="center"/>
              <w:rPr>
                <w:sz w:val="20"/>
              </w:rPr>
            </w:pPr>
            <w:r>
              <w:rPr>
                <w:sz w:val="20"/>
              </w:rPr>
              <w:t>1994</w:t>
            </w:r>
          </w:p>
        </w:tc>
        <w:tc>
          <w:tcPr>
            <w:tcW w:w="836" w:type="pct"/>
            <w:tcBorders>
              <w:top w:val="nil"/>
              <w:bottom w:val="nil"/>
            </w:tcBorders>
            <w:vAlign w:val="center"/>
          </w:tcPr>
          <w:p w:rsidR="00000000" w:rsidRDefault="00000000">
            <w:pPr>
              <w:spacing w:before="40" w:after="20" w:line="204" w:lineRule="auto"/>
              <w:jc w:val="center"/>
              <w:rPr>
                <w:sz w:val="20"/>
              </w:rPr>
            </w:pPr>
            <w:r>
              <w:rPr>
                <w:sz w:val="20"/>
              </w:rPr>
              <w:t>197,70</w:t>
            </w:r>
          </w:p>
        </w:tc>
        <w:tc>
          <w:tcPr>
            <w:tcW w:w="716" w:type="pct"/>
            <w:tcBorders>
              <w:top w:val="nil"/>
              <w:bottom w:val="nil"/>
            </w:tcBorders>
            <w:vAlign w:val="center"/>
          </w:tcPr>
          <w:p w:rsidR="00000000" w:rsidRDefault="00000000">
            <w:pPr>
              <w:spacing w:before="40" w:after="20" w:line="204" w:lineRule="auto"/>
              <w:jc w:val="center"/>
              <w:rPr>
                <w:sz w:val="20"/>
              </w:rPr>
            </w:pPr>
            <w:r>
              <w:rPr>
                <w:sz w:val="20"/>
              </w:rPr>
              <w:t>181,21</w:t>
            </w:r>
          </w:p>
        </w:tc>
        <w:tc>
          <w:tcPr>
            <w:tcW w:w="1057" w:type="pct"/>
            <w:tcBorders>
              <w:top w:val="nil"/>
              <w:bottom w:val="nil"/>
            </w:tcBorders>
            <w:vAlign w:val="center"/>
          </w:tcPr>
          <w:p w:rsidR="00000000" w:rsidRDefault="00000000">
            <w:pPr>
              <w:spacing w:before="40" w:after="20" w:line="204" w:lineRule="auto"/>
              <w:jc w:val="center"/>
              <w:rPr>
                <w:sz w:val="20"/>
              </w:rPr>
            </w:pPr>
            <w:r>
              <w:rPr>
                <w:sz w:val="20"/>
              </w:rPr>
              <w:t>174,42</w:t>
            </w:r>
          </w:p>
        </w:tc>
        <w:tc>
          <w:tcPr>
            <w:tcW w:w="794" w:type="pct"/>
            <w:tcBorders>
              <w:top w:val="nil"/>
              <w:bottom w:val="nil"/>
            </w:tcBorders>
            <w:vAlign w:val="center"/>
          </w:tcPr>
          <w:p w:rsidR="00000000" w:rsidRDefault="00000000">
            <w:pPr>
              <w:spacing w:before="40" w:after="20" w:line="204" w:lineRule="auto"/>
              <w:jc w:val="center"/>
              <w:rPr>
                <w:sz w:val="20"/>
              </w:rPr>
            </w:pPr>
            <w:r>
              <w:rPr>
                <w:sz w:val="20"/>
              </w:rPr>
              <w:t>195,70</w:t>
            </w:r>
          </w:p>
        </w:tc>
        <w:tc>
          <w:tcPr>
            <w:tcW w:w="507" w:type="pct"/>
            <w:tcBorders>
              <w:top w:val="nil"/>
              <w:bottom w:val="nil"/>
            </w:tcBorders>
            <w:vAlign w:val="center"/>
          </w:tcPr>
          <w:p w:rsidR="00000000" w:rsidRDefault="00000000">
            <w:pPr>
              <w:spacing w:before="40" w:after="20" w:line="204" w:lineRule="auto"/>
              <w:jc w:val="center"/>
              <w:rPr>
                <w:sz w:val="20"/>
              </w:rPr>
            </w:pPr>
            <w:r>
              <w:rPr>
                <w:sz w:val="20"/>
              </w:rPr>
              <w:t>177,16</w:t>
            </w:r>
          </w:p>
        </w:tc>
        <w:tc>
          <w:tcPr>
            <w:tcW w:w="847" w:type="pct"/>
            <w:tcBorders>
              <w:top w:val="nil"/>
              <w:bottom w:val="nil"/>
            </w:tcBorders>
            <w:vAlign w:val="center"/>
          </w:tcPr>
          <w:p w:rsidR="00000000" w:rsidRDefault="00000000">
            <w:pPr>
              <w:spacing w:before="40" w:after="20" w:line="204" w:lineRule="auto"/>
              <w:jc w:val="center"/>
              <w:rPr>
                <w:sz w:val="20"/>
              </w:rPr>
            </w:pPr>
            <w:r>
              <w:rPr>
                <w:sz w:val="20"/>
              </w:rPr>
              <w:t>183,70</w:t>
            </w:r>
          </w:p>
        </w:tc>
      </w:tr>
      <w:tr w:rsidR="00000000">
        <w:tblPrEx>
          <w:tblCellMar>
            <w:top w:w="0" w:type="dxa"/>
            <w:bottom w:w="0" w:type="dxa"/>
          </w:tblCellMar>
        </w:tblPrEx>
        <w:tc>
          <w:tcPr>
            <w:tcW w:w="242" w:type="pct"/>
            <w:tcBorders>
              <w:top w:val="nil"/>
              <w:bottom w:val="nil"/>
            </w:tcBorders>
            <w:vAlign w:val="center"/>
          </w:tcPr>
          <w:p w:rsidR="00000000" w:rsidRDefault="00000000">
            <w:pPr>
              <w:spacing w:before="40" w:after="20" w:line="204" w:lineRule="auto"/>
              <w:jc w:val="center"/>
              <w:rPr>
                <w:sz w:val="20"/>
              </w:rPr>
            </w:pPr>
            <w:r>
              <w:rPr>
                <w:sz w:val="20"/>
              </w:rPr>
              <w:t>1995</w:t>
            </w:r>
          </w:p>
        </w:tc>
        <w:tc>
          <w:tcPr>
            <w:tcW w:w="836" w:type="pct"/>
            <w:tcBorders>
              <w:top w:val="nil"/>
              <w:bottom w:val="nil"/>
            </w:tcBorders>
            <w:vAlign w:val="center"/>
          </w:tcPr>
          <w:p w:rsidR="00000000" w:rsidRDefault="00000000">
            <w:pPr>
              <w:spacing w:before="40" w:after="20" w:line="204" w:lineRule="auto"/>
              <w:jc w:val="center"/>
              <w:rPr>
                <w:sz w:val="20"/>
              </w:rPr>
            </w:pPr>
            <w:r>
              <w:rPr>
                <w:sz w:val="20"/>
              </w:rPr>
              <w:t>262,07</w:t>
            </w:r>
          </w:p>
        </w:tc>
        <w:tc>
          <w:tcPr>
            <w:tcW w:w="716" w:type="pct"/>
            <w:tcBorders>
              <w:top w:val="nil"/>
              <w:bottom w:val="nil"/>
            </w:tcBorders>
            <w:vAlign w:val="center"/>
          </w:tcPr>
          <w:p w:rsidR="00000000" w:rsidRDefault="00000000">
            <w:pPr>
              <w:spacing w:before="40" w:after="20" w:line="204" w:lineRule="auto"/>
              <w:jc w:val="center"/>
              <w:rPr>
                <w:sz w:val="20"/>
              </w:rPr>
            </w:pPr>
            <w:r>
              <w:rPr>
                <w:sz w:val="20"/>
              </w:rPr>
              <w:t>238,47</w:t>
            </w:r>
          </w:p>
        </w:tc>
        <w:tc>
          <w:tcPr>
            <w:tcW w:w="1057" w:type="pct"/>
            <w:tcBorders>
              <w:top w:val="nil"/>
              <w:bottom w:val="nil"/>
            </w:tcBorders>
            <w:vAlign w:val="center"/>
          </w:tcPr>
          <w:p w:rsidR="00000000" w:rsidRDefault="00000000">
            <w:pPr>
              <w:spacing w:before="40" w:after="20" w:line="204" w:lineRule="auto"/>
              <w:jc w:val="center"/>
              <w:rPr>
                <w:sz w:val="20"/>
              </w:rPr>
            </w:pPr>
            <w:r>
              <w:rPr>
                <w:sz w:val="20"/>
              </w:rPr>
              <w:t>235,68</w:t>
            </w:r>
          </w:p>
        </w:tc>
        <w:tc>
          <w:tcPr>
            <w:tcW w:w="794" w:type="pct"/>
            <w:tcBorders>
              <w:top w:val="nil"/>
              <w:bottom w:val="nil"/>
            </w:tcBorders>
            <w:vAlign w:val="center"/>
          </w:tcPr>
          <w:p w:rsidR="00000000" w:rsidRDefault="00000000">
            <w:pPr>
              <w:spacing w:before="40" w:after="20" w:line="204" w:lineRule="auto"/>
              <w:jc w:val="center"/>
              <w:rPr>
                <w:sz w:val="20"/>
              </w:rPr>
            </w:pPr>
            <w:r>
              <w:rPr>
                <w:sz w:val="20"/>
              </w:rPr>
              <w:t>258,70</w:t>
            </w:r>
          </w:p>
        </w:tc>
        <w:tc>
          <w:tcPr>
            <w:tcW w:w="507" w:type="pct"/>
            <w:tcBorders>
              <w:top w:val="nil"/>
              <w:bottom w:val="nil"/>
            </w:tcBorders>
            <w:vAlign w:val="center"/>
          </w:tcPr>
          <w:p w:rsidR="00000000" w:rsidRDefault="00000000">
            <w:pPr>
              <w:spacing w:before="40" w:after="20" w:line="204" w:lineRule="auto"/>
              <w:jc w:val="center"/>
              <w:rPr>
                <w:sz w:val="20"/>
              </w:rPr>
            </w:pPr>
            <w:r>
              <w:rPr>
                <w:sz w:val="20"/>
              </w:rPr>
              <w:t>239,16</w:t>
            </w:r>
          </w:p>
        </w:tc>
        <w:tc>
          <w:tcPr>
            <w:tcW w:w="847" w:type="pct"/>
            <w:tcBorders>
              <w:top w:val="nil"/>
              <w:bottom w:val="nil"/>
            </w:tcBorders>
            <w:vAlign w:val="center"/>
          </w:tcPr>
          <w:p w:rsidR="00000000" w:rsidRDefault="00000000">
            <w:pPr>
              <w:spacing w:before="40" w:after="20" w:line="204" w:lineRule="auto"/>
              <w:jc w:val="center"/>
              <w:rPr>
                <w:sz w:val="20"/>
              </w:rPr>
            </w:pPr>
            <w:r>
              <w:rPr>
                <w:sz w:val="20"/>
              </w:rPr>
              <w:t>248,86</w:t>
            </w:r>
          </w:p>
        </w:tc>
      </w:tr>
      <w:tr w:rsidR="00000000">
        <w:tblPrEx>
          <w:tblCellMar>
            <w:top w:w="0" w:type="dxa"/>
            <w:bottom w:w="0" w:type="dxa"/>
          </w:tblCellMar>
        </w:tblPrEx>
        <w:tc>
          <w:tcPr>
            <w:tcW w:w="242" w:type="pct"/>
            <w:tcBorders>
              <w:top w:val="nil"/>
              <w:bottom w:val="nil"/>
            </w:tcBorders>
            <w:vAlign w:val="center"/>
          </w:tcPr>
          <w:p w:rsidR="00000000" w:rsidRDefault="00000000">
            <w:pPr>
              <w:spacing w:before="40" w:after="20" w:line="204" w:lineRule="auto"/>
              <w:jc w:val="center"/>
              <w:rPr>
                <w:sz w:val="20"/>
              </w:rPr>
            </w:pPr>
            <w:r>
              <w:rPr>
                <w:sz w:val="20"/>
              </w:rPr>
              <w:t>1996</w:t>
            </w:r>
          </w:p>
        </w:tc>
        <w:tc>
          <w:tcPr>
            <w:tcW w:w="836" w:type="pct"/>
            <w:tcBorders>
              <w:top w:val="nil"/>
              <w:bottom w:val="nil"/>
            </w:tcBorders>
            <w:vAlign w:val="center"/>
          </w:tcPr>
          <w:p w:rsidR="00000000" w:rsidRDefault="00000000">
            <w:pPr>
              <w:spacing w:before="40" w:after="20" w:line="204" w:lineRule="auto"/>
              <w:jc w:val="center"/>
              <w:rPr>
                <w:sz w:val="20"/>
              </w:rPr>
            </w:pPr>
            <w:r>
              <w:rPr>
                <w:sz w:val="20"/>
              </w:rPr>
              <w:t>325,29</w:t>
            </w:r>
          </w:p>
        </w:tc>
        <w:tc>
          <w:tcPr>
            <w:tcW w:w="716" w:type="pct"/>
            <w:tcBorders>
              <w:top w:val="nil"/>
              <w:bottom w:val="nil"/>
            </w:tcBorders>
            <w:vAlign w:val="center"/>
          </w:tcPr>
          <w:p w:rsidR="00000000" w:rsidRDefault="00000000">
            <w:pPr>
              <w:spacing w:before="40" w:after="20" w:line="204" w:lineRule="auto"/>
              <w:jc w:val="center"/>
              <w:rPr>
                <w:sz w:val="20"/>
              </w:rPr>
            </w:pPr>
            <w:r>
              <w:rPr>
                <w:sz w:val="20"/>
              </w:rPr>
              <w:t>301,76</w:t>
            </w:r>
          </w:p>
        </w:tc>
        <w:tc>
          <w:tcPr>
            <w:tcW w:w="1057" w:type="pct"/>
            <w:tcBorders>
              <w:top w:val="nil"/>
              <w:bottom w:val="nil"/>
            </w:tcBorders>
            <w:vAlign w:val="center"/>
          </w:tcPr>
          <w:p w:rsidR="00000000" w:rsidRDefault="00000000">
            <w:pPr>
              <w:spacing w:before="40" w:after="20" w:line="204" w:lineRule="auto"/>
              <w:jc w:val="center"/>
              <w:rPr>
                <w:sz w:val="20"/>
              </w:rPr>
            </w:pPr>
            <w:r>
              <w:rPr>
                <w:sz w:val="20"/>
              </w:rPr>
              <w:t>301,18</w:t>
            </w:r>
          </w:p>
        </w:tc>
        <w:tc>
          <w:tcPr>
            <w:tcW w:w="794" w:type="pct"/>
            <w:tcBorders>
              <w:top w:val="nil"/>
              <w:bottom w:val="nil"/>
            </w:tcBorders>
            <w:vAlign w:val="center"/>
          </w:tcPr>
          <w:p w:rsidR="00000000" w:rsidRDefault="00000000">
            <w:pPr>
              <w:spacing w:before="40" w:after="20" w:line="204" w:lineRule="auto"/>
              <w:jc w:val="center"/>
              <w:rPr>
                <w:sz w:val="20"/>
              </w:rPr>
            </w:pPr>
            <w:r>
              <w:rPr>
                <w:sz w:val="20"/>
              </w:rPr>
              <w:t>327,90</w:t>
            </w:r>
          </w:p>
        </w:tc>
        <w:tc>
          <w:tcPr>
            <w:tcW w:w="507" w:type="pct"/>
            <w:tcBorders>
              <w:top w:val="nil"/>
              <w:bottom w:val="nil"/>
            </w:tcBorders>
            <w:vAlign w:val="center"/>
          </w:tcPr>
          <w:p w:rsidR="00000000" w:rsidRDefault="00000000">
            <w:pPr>
              <w:spacing w:before="40" w:after="20" w:line="204" w:lineRule="auto"/>
              <w:jc w:val="center"/>
              <w:rPr>
                <w:sz w:val="20"/>
              </w:rPr>
            </w:pPr>
            <w:r>
              <w:rPr>
                <w:sz w:val="20"/>
              </w:rPr>
              <w:t>305,90</w:t>
            </w:r>
          </w:p>
        </w:tc>
        <w:tc>
          <w:tcPr>
            <w:tcW w:w="847" w:type="pct"/>
            <w:tcBorders>
              <w:top w:val="nil"/>
              <w:bottom w:val="nil"/>
            </w:tcBorders>
            <w:vAlign w:val="center"/>
          </w:tcPr>
          <w:p w:rsidR="00000000" w:rsidRDefault="00000000">
            <w:pPr>
              <w:spacing w:before="40" w:after="20" w:line="204" w:lineRule="auto"/>
              <w:jc w:val="center"/>
              <w:rPr>
                <w:sz w:val="20"/>
              </w:rPr>
            </w:pPr>
            <w:r>
              <w:rPr>
                <w:sz w:val="20"/>
              </w:rPr>
              <w:t>318,01</w:t>
            </w:r>
          </w:p>
        </w:tc>
      </w:tr>
      <w:tr w:rsidR="00000000">
        <w:tblPrEx>
          <w:tblCellMar>
            <w:top w:w="0" w:type="dxa"/>
            <w:bottom w:w="0" w:type="dxa"/>
          </w:tblCellMar>
        </w:tblPrEx>
        <w:tc>
          <w:tcPr>
            <w:tcW w:w="242" w:type="pct"/>
            <w:tcBorders>
              <w:top w:val="nil"/>
            </w:tcBorders>
            <w:vAlign w:val="center"/>
          </w:tcPr>
          <w:p w:rsidR="00000000" w:rsidRDefault="00000000">
            <w:pPr>
              <w:spacing w:before="40" w:after="20" w:line="204" w:lineRule="auto"/>
              <w:jc w:val="center"/>
              <w:rPr>
                <w:sz w:val="20"/>
              </w:rPr>
            </w:pPr>
            <w:r>
              <w:rPr>
                <w:sz w:val="20"/>
              </w:rPr>
              <w:t>1997</w:t>
            </w:r>
          </w:p>
        </w:tc>
        <w:tc>
          <w:tcPr>
            <w:tcW w:w="836" w:type="pct"/>
            <w:tcBorders>
              <w:top w:val="nil"/>
            </w:tcBorders>
            <w:vAlign w:val="center"/>
          </w:tcPr>
          <w:p w:rsidR="00000000" w:rsidRDefault="00000000">
            <w:pPr>
              <w:spacing w:before="40" w:after="20" w:line="204" w:lineRule="auto"/>
              <w:jc w:val="center"/>
              <w:rPr>
                <w:sz w:val="20"/>
              </w:rPr>
            </w:pPr>
            <w:r>
              <w:rPr>
                <w:sz w:val="20"/>
              </w:rPr>
              <w:t>392,41</w:t>
            </w:r>
          </w:p>
        </w:tc>
        <w:tc>
          <w:tcPr>
            <w:tcW w:w="716" w:type="pct"/>
            <w:tcBorders>
              <w:top w:val="nil"/>
            </w:tcBorders>
            <w:vAlign w:val="center"/>
          </w:tcPr>
          <w:p w:rsidR="00000000" w:rsidRDefault="00000000">
            <w:pPr>
              <w:spacing w:before="40" w:after="20" w:line="204" w:lineRule="auto"/>
              <w:jc w:val="center"/>
              <w:rPr>
                <w:sz w:val="20"/>
              </w:rPr>
            </w:pPr>
            <w:r>
              <w:rPr>
                <w:sz w:val="20"/>
              </w:rPr>
              <w:t>366,53</w:t>
            </w:r>
          </w:p>
        </w:tc>
        <w:tc>
          <w:tcPr>
            <w:tcW w:w="1057" w:type="pct"/>
            <w:tcBorders>
              <w:top w:val="nil"/>
            </w:tcBorders>
            <w:vAlign w:val="center"/>
          </w:tcPr>
          <w:p w:rsidR="00000000" w:rsidRDefault="00000000">
            <w:pPr>
              <w:spacing w:before="40" w:after="20" w:line="204" w:lineRule="auto"/>
              <w:jc w:val="center"/>
              <w:rPr>
                <w:sz w:val="20"/>
              </w:rPr>
            </w:pPr>
            <w:r>
              <w:rPr>
                <w:sz w:val="20"/>
              </w:rPr>
              <w:t>371,00</w:t>
            </w:r>
          </w:p>
        </w:tc>
        <w:tc>
          <w:tcPr>
            <w:tcW w:w="794" w:type="pct"/>
            <w:tcBorders>
              <w:top w:val="nil"/>
            </w:tcBorders>
            <w:vAlign w:val="center"/>
          </w:tcPr>
          <w:p w:rsidR="00000000" w:rsidRDefault="00000000">
            <w:pPr>
              <w:spacing w:before="40" w:after="20" w:line="204" w:lineRule="auto"/>
              <w:jc w:val="center"/>
              <w:rPr>
                <w:sz w:val="20"/>
              </w:rPr>
            </w:pPr>
            <w:r>
              <w:rPr>
                <w:sz w:val="20"/>
              </w:rPr>
              <w:t>398,22</w:t>
            </w:r>
          </w:p>
        </w:tc>
        <w:tc>
          <w:tcPr>
            <w:tcW w:w="507" w:type="pct"/>
            <w:tcBorders>
              <w:top w:val="nil"/>
            </w:tcBorders>
            <w:vAlign w:val="center"/>
          </w:tcPr>
          <w:p w:rsidR="00000000" w:rsidRDefault="00000000">
            <w:pPr>
              <w:spacing w:before="40" w:after="20" w:line="204" w:lineRule="auto"/>
              <w:jc w:val="center"/>
              <w:rPr>
                <w:sz w:val="20"/>
              </w:rPr>
            </w:pPr>
            <w:r>
              <w:rPr>
                <w:sz w:val="20"/>
              </w:rPr>
              <w:t>378,30</w:t>
            </w:r>
          </w:p>
        </w:tc>
        <w:tc>
          <w:tcPr>
            <w:tcW w:w="847" w:type="pct"/>
            <w:tcBorders>
              <w:top w:val="nil"/>
            </w:tcBorders>
            <w:vAlign w:val="center"/>
          </w:tcPr>
          <w:p w:rsidR="00000000" w:rsidRDefault="00000000">
            <w:pPr>
              <w:spacing w:before="40" w:after="20" w:line="204" w:lineRule="auto"/>
              <w:jc w:val="center"/>
              <w:rPr>
                <w:sz w:val="20"/>
              </w:rPr>
            </w:pPr>
            <w:r>
              <w:rPr>
                <w:sz w:val="20"/>
              </w:rPr>
              <w:t>383,49</w:t>
            </w:r>
          </w:p>
        </w:tc>
      </w:tr>
    </w:tbl>
    <w:p w:rsidR="00000000" w:rsidRDefault="00000000">
      <w:pPr>
        <w:pStyle w:val="FootnoteText"/>
        <w:spacing w:line="72" w:lineRule="auto"/>
      </w:pPr>
    </w:p>
    <w:p w:rsidR="00000000" w:rsidRDefault="00000000">
      <w:r>
        <w:tab/>
      </w:r>
      <w:r>
        <w:rPr>
          <w:u w:val="single"/>
        </w:rPr>
        <w:t>Источник</w:t>
      </w:r>
      <w:r>
        <w:t>:  данные министерства национального образования.</w:t>
      </w:r>
    </w:p>
    <w:p w:rsidR="00000000" w:rsidRDefault="00000000">
      <w:pPr>
        <w:jc w:val="center"/>
        <w:rPr>
          <w:b/>
          <w:bCs/>
        </w:rPr>
      </w:pPr>
      <w:r>
        <w:rPr>
          <w:b/>
          <w:bCs/>
          <w:lang w:val="en-US"/>
        </w:rPr>
        <w:t>G</w:t>
      </w:r>
      <w:r>
        <w:rPr>
          <w:b/>
          <w:bCs/>
        </w:rPr>
        <w:t>.</w:t>
      </w:r>
      <w:r>
        <w:rPr>
          <w:b/>
          <w:bCs/>
        </w:rPr>
        <w:tab/>
        <w:t>Доля неправительственных школ на всех уровнях</w:t>
      </w:r>
    </w:p>
    <w:p w:rsidR="00000000" w:rsidRDefault="00000000">
      <w:pPr>
        <w:pStyle w:val="10"/>
        <w:rPr>
          <w:bCs/>
        </w:rPr>
      </w:pPr>
    </w:p>
    <w:p w:rsidR="00000000" w:rsidRDefault="00000000">
      <w:pPr>
        <w:pStyle w:val="10"/>
        <w:rPr>
          <w:b w:val="0"/>
        </w:rPr>
      </w:pPr>
      <w:r>
        <w:rPr>
          <w:b w:val="0"/>
          <w:bCs/>
          <w:u w:val="single"/>
        </w:rPr>
        <w:t>Таблица 47</w:t>
      </w:r>
      <w:r>
        <w:rPr>
          <w:b w:val="0"/>
          <w:bCs/>
        </w:rPr>
        <w:t xml:space="preserve">.  </w:t>
      </w:r>
      <w:r>
        <w:rPr>
          <w:b w:val="0"/>
          <w:u w:val="single"/>
        </w:rPr>
        <w:t>Доля школ, находящихся в ведении различных органов</w:t>
      </w:r>
      <w:r>
        <w:rPr>
          <w:b w:val="0"/>
        </w:rPr>
        <w:t>,</w:t>
      </w:r>
    </w:p>
    <w:p w:rsidR="00000000" w:rsidRDefault="00000000">
      <w:pPr>
        <w:pStyle w:val="10"/>
        <w:rPr>
          <w:b w:val="0"/>
        </w:rPr>
      </w:pPr>
      <w:r>
        <w:rPr>
          <w:b w:val="0"/>
          <w:u w:val="single"/>
        </w:rPr>
        <w:t>1997/98 учебный год (%</w:t>
      </w:r>
      <w:r>
        <w:rPr>
          <w:b w:val="0"/>
        </w:rPr>
        <w:t>)</w:t>
      </w:r>
    </w:p>
    <w:p w:rsidR="00000000" w:rsidRDefault="0000000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094"/>
        <w:gridCol w:w="1611"/>
        <w:gridCol w:w="1867"/>
        <w:gridCol w:w="2838"/>
      </w:tblGrid>
      <w:tr w:rsidR="00000000">
        <w:tblPrEx>
          <w:tblCellMar>
            <w:top w:w="0" w:type="dxa"/>
            <w:bottom w:w="0" w:type="dxa"/>
          </w:tblCellMar>
        </w:tblPrEx>
        <w:trPr>
          <w:cantSplit/>
        </w:trPr>
        <w:tc>
          <w:tcPr>
            <w:tcW w:w="1644" w:type="pct"/>
            <w:tcBorders>
              <w:bottom w:val="nil"/>
            </w:tcBorders>
          </w:tcPr>
          <w:p w:rsidR="00000000" w:rsidRDefault="00000000">
            <w:pPr>
              <w:pStyle w:val="FootnoteText"/>
              <w:spacing w:line="216" w:lineRule="auto"/>
              <w:jc w:val="center"/>
              <w:rPr>
                <w:sz w:val="20"/>
              </w:rPr>
            </w:pPr>
            <w:r>
              <w:rPr>
                <w:sz w:val="20"/>
              </w:rPr>
              <w:t>Школы</w:t>
            </w:r>
          </w:p>
        </w:tc>
        <w:tc>
          <w:tcPr>
            <w:tcW w:w="3356" w:type="pct"/>
            <w:gridSpan w:val="3"/>
          </w:tcPr>
          <w:p w:rsidR="00000000" w:rsidRDefault="00000000">
            <w:pPr>
              <w:spacing w:line="216" w:lineRule="auto"/>
              <w:jc w:val="center"/>
              <w:rPr>
                <w:sz w:val="20"/>
              </w:rPr>
            </w:pPr>
            <w:r>
              <w:rPr>
                <w:sz w:val="20"/>
              </w:rPr>
              <w:t>В ведении:</w:t>
            </w:r>
          </w:p>
        </w:tc>
      </w:tr>
      <w:tr w:rsidR="00000000">
        <w:tblPrEx>
          <w:tblCellMar>
            <w:top w:w="0" w:type="dxa"/>
            <w:bottom w:w="0" w:type="dxa"/>
          </w:tblCellMar>
        </w:tblPrEx>
        <w:tc>
          <w:tcPr>
            <w:tcW w:w="1644" w:type="pct"/>
            <w:tcBorders>
              <w:top w:val="nil"/>
              <w:bottom w:val="single" w:sz="4" w:space="0" w:color="auto"/>
            </w:tcBorders>
          </w:tcPr>
          <w:p w:rsidR="00000000" w:rsidRDefault="00000000">
            <w:pPr>
              <w:spacing w:line="216" w:lineRule="auto"/>
              <w:jc w:val="center"/>
              <w:rPr>
                <w:sz w:val="20"/>
              </w:rPr>
            </w:pPr>
          </w:p>
        </w:tc>
        <w:tc>
          <w:tcPr>
            <w:tcW w:w="856" w:type="pct"/>
            <w:tcBorders>
              <w:bottom w:val="single" w:sz="4" w:space="0" w:color="auto"/>
            </w:tcBorders>
          </w:tcPr>
          <w:p w:rsidR="00000000" w:rsidRDefault="00000000">
            <w:pPr>
              <w:pStyle w:val="FootnoteText"/>
              <w:spacing w:line="216" w:lineRule="auto"/>
              <w:jc w:val="center"/>
              <w:rPr>
                <w:sz w:val="20"/>
              </w:rPr>
            </w:pPr>
            <w:r>
              <w:rPr>
                <w:sz w:val="20"/>
              </w:rPr>
              <w:t>Государственной администрации</w:t>
            </w:r>
          </w:p>
        </w:tc>
        <w:tc>
          <w:tcPr>
            <w:tcW w:w="992" w:type="pct"/>
            <w:tcBorders>
              <w:bottom w:val="single" w:sz="4" w:space="0" w:color="auto"/>
            </w:tcBorders>
          </w:tcPr>
          <w:p w:rsidR="00000000" w:rsidRDefault="00000000">
            <w:pPr>
              <w:spacing w:line="216" w:lineRule="auto"/>
              <w:jc w:val="center"/>
              <w:rPr>
                <w:sz w:val="20"/>
              </w:rPr>
            </w:pPr>
            <w:r>
              <w:rPr>
                <w:sz w:val="20"/>
              </w:rPr>
              <w:t>Территориальных органов самоуправления</w:t>
            </w:r>
          </w:p>
        </w:tc>
        <w:tc>
          <w:tcPr>
            <w:tcW w:w="1508" w:type="pct"/>
            <w:tcBorders>
              <w:bottom w:val="single" w:sz="4" w:space="0" w:color="auto"/>
            </w:tcBorders>
          </w:tcPr>
          <w:p w:rsidR="00000000" w:rsidRDefault="00000000">
            <w:pPr>
              <w:spacing w:line="216" w:lineRule="auto"/>
              <w:jc w:val="center"/>
              <w:rPr>
                <w:sz w:val="20"/>
              </w:rPr>
            </w:pPr>
            <w:r>
              <w:rPr>
                <w:sz w:val="20"/>
              </w:rPr>
              <w:t>Общественных организаций, религиозных организаций, физических и юридических лиц</w:t>
            </w:r>
          </w:p>
        </w:tc>
      </w:tr>
      <w:tr w:rsidR="00000000">
        <w:tblPrEx>
          <w:tblCellMar>
            <w:top w:w="0" w:type="dxa"/>
            <w:bottom w:w="0" w:type="dxa"/>
          </w:tblCellMar>
        </w:tblPrEx>
        <w:tc>
          <w:tcPr>
            <w:tcW w:w="1644" w:type="pct"/>
            <w:tcBorders>
              <w:bottom w:val="nil"/>
            </w:tcBorders>
          </w:tcPr>
          <w:p w:rsidR="00000000" w:rsidRDefault="00000000">
            <w:pPr>
              <w:spacing w:before="40" w:after="20" w:line="216" w:lineRule="auto"/>
              <w:rPr>
                <w:sz w:val="20"/>
              </w:rPr>
            </w:pPr>
            <w:r>
              <w:rPr>
                <w:sz w:val="20"/>
              </w:rPr>
              <w:t>Начальные</w:t>
            </w:r>
          </w:p>
        </w:tc>
        <w:tc>
          <w:tcPr>
            <w:tcW w:w="856" w:type="pct"/>
            <w:tcBorders>
              <w:bottom w:val="nil"/>
            </w:tcBorders>
          </w:tcPr>
          <w:p w:rsidR="00000000" w:rsidRDefault="00000000">
            <w:pPr>
              <w:spacing w:before="40" w:after="20" w:line="216" w:lineRule="auto"/>
              <w:jc w:val="center"/>
              <w:rPr>
                <w:sz w:val="20"/>
              </w:rPr>
            </w:pPr>
          </w:p>
        </w:tc>
        <w:tc>
          <w:tcPr>
            <w:tcW w:w="992" w:type="pct"/>
            <w:tcBorders>
              <w:bottom w:val="nil"/>
            </w:tcBorders>
          </w:tcPr>
          <w:p w:rsidR="00000000" w:rsidRDefault="00000000">
            <w:pPr>
              <w:spacing w:before="40" w:after="20" w:line="216" w:lineRule="auto"/>
              <w:jc w:val="center"/>
              <w:rPr>
                <w:sz w:val="20"/>
              </w:rPr>
            </w:pPr>
            <w:r>
              <w:rPr>
                <w:sz w:val="20"/>
              </w:rPr>
              <w:t>99,3</w:t>
            </w:r>
          </w:p>
        </w:tc>
        <w:tc>
          <w:tcPr>
            <w:tcW w:w="1508" w:type="pct"/>
            <w:tcBorders>
              <w:bottom w:val="nil"/>
            </w:tcBorders>
          </w:tcPr>
          <w:p w:rsidR="00000000" w:rsidRDefault="00000000">
            <w:pPr>
              <w:spacing w:before="40" w:after="20" w:line="216" w:lineRule="auto"/>
              <w:jc w:val="center"/>
              <w:rPr>
                <w:sz w:val="20"/>
              </w:rPr>
            </w:pPr>
            <w:r>
              <w:rPr>
                <w:sz w:val="20"/>
              </w:rPr>
              <w:t>0,7</w:t>
            </w:r>
          </w:p>
        </w:tc>
      </w:tr>
      <w:tr w:rsidR="00000000">
        <w:tblPrEx>
          <w:tblCellMar>
            <w:top w:w="0" w:type="dxa"/>
            <w:bottom w:w="0" w:type="dxa"/>
          </w:tblCellMar>
        </w:tblPrEx>
        <w:tc>
          <w:tcPr>
            <w:tcW w:w="1644" w:type="pct"/>
            <w:tcBorders>
              <w:top w:val="nil"/>
              <w:bottom w:val="nil"/>
            </w:tcBorders>
          </w:tcPr>
          <w:p w:rsidR="00000000" w:rsidRDefault="00000000">
            <w:pPr>
              <w:spacing w:before="40" w:after="20" w:line="216" w:lineRule="auto"/>
              <w:rPr>
                <w:sz w:val="20"/>
              </w:rPr>
            </w:pPr>
            <w:r>
              <w:rPr>
                <w:sz w:val="20"/>
              </w:rPr>
              <w:t>Общие средние</w:t>
            </w:r>
          </w:p>
        </w:tc>
        <w:tc>
          <w:tcPr>
            <w:tcW w:w="856" w:type="pct"/>
            <w:tcBorders>
              <w:top w:val="nil"/>
              <w:bottom w:val="nil"/>
            </w:tcBorders>
          </w:tcPr>
          <w:p w:rsidR="00000000" w:rsidRDefault="00000000">
            <w:pPr>
              <w:spacing w:before="40" w:after="20" w:line="216" w:lineRule="auto"/>
              <w:jc w:val="center"/>
              <w:rPr>
                <w:sz w:val="20"/>
              </w:rPr>
            </w:pPr>
            <w:r>
              <w:rPr>
                <w:sz w:val="20"/>
              </w:rPr>
              <w:t>52,4</w:t>
            </w:r>
          </w:p>
        </w:tc>
        <w:tc>
          <w:tcPr>
            <w:tcW w:w="992" w:type="pct"/>
            <w:tcBorders>
              <w:top w:val="nil"/>
              <w:bottom w:val="nil"/>
            </w:tcBorders>
          </w:tcPr>
          <w:p w:rsidR="00000000" w:rsidRDefault="00000000">
            <w:pPr>
              <w:spacing w:before="40" w:after="20" w:line="216" w:lineRule="auto"/>
              <w:jc w:val="center"/>
              <w:rPr>
                <w:sz w:val="20"/>
              </w:rPr>
            </w:pPr>
            <w:r>
              <w:rPr>
                <w:sz w:val="20"/>
              </w:rPr>
              <w:t>43,0</w:t>
            </w:r>
          </w:p>
        </w:tc>
        <w:tc>
          <w:tcPr>
            <w:tcW w:w="1508" w:type="pct"/>
            <w:tcBorders>
              <w:top w:val="nil"/>
              <w:bottom w:val="nil"/>
            </w:tcBorders>
          </w:tcPr>
          <w:p w:rsidR="00000000" w:rsidRDefault="00000000">
            <w:pPr>
              <w:spacing w:before="40" w:after="20" w:line="216" w:lineRule="auto"/>
              <w:jc w:val="center"/>
              <w:rPr>
                <w:sz w:val="20"/>
              </w:rPr>
            </w:pPr>
            <w:r>
              <w:rPr>
                <w:sz w:val="20"/>
              </w:rPr>
              <w:t>4,6</w:t>
            </w:r>
          </w:p>
        </w:tc>
      </w:tr>
      <w:tr w:rsidR="00000000">
        <w:tblPrEx>
          <w:tblCellMar>
            <w:top w:w="0" w:type="dxa"/>
            <w:bottom w:w="0" w:type="dxa"/>
          </w:tblCellMar>
        </w:tblPrEx>
        <w:tc>
          <w:tcPr>
            <w:tcW w:w="1644" w:type="pct"/>
            <w:tcBorders>
              <w:top w:val="nil"/>
              <w:bottom w:val="nil"/>
            </w:tcBorders>
          </w:tcPr>
          <w:p w:rsidR="00000000" w:rsidRDefault="00000000">
            <w:pPr>
              <w:spacing w:before="40" w:after="20" w:line="216" w:lineRule="auto"/>
              <w:rPr>
                <w:sz w:val="20"/>
              </w:rPr>
            </w:pPr>
            <w:r>
              <w:rPr>
                <w:sz w:val="20"/>
              </w:rPr>
              <w:t>Профессионально-технические</w:t>
            </w:r>
          </w:p>
        </w:tc>
        <w:tc>
          <w:tcPr>
            <w:tcW w:w="856" w:type="pct"/>
            <w:tcBorders>
              <w:top w:val="nil"/>
              <w:bottom w:val="nil"/>
            </w:tcBorders>
          </w:tcPr>
          <w:p w:rsidR="00000000" w:rsidRDefault="00000000">
            <w:pPr>
              <w:spacing w:before="40" w:after="20" w:line="216" w:lineRule="auto"/>
              <w:jc w:val="center"/>
              <w:rPr>
                <w:sz w:val="20"/>
              </w:rPr>
            </w:pPr>
            <w:r>
              <w:rPr>
                <w:sz w:val="20"/>
              </w:rPr>
              <w:t>73,6</w:t>
            </w:r>
          </w:p>
        </w:tc>
        <w:tc>
          <w:tcPr>
            <w:tcW w:w="992" w:type="pct"/>
            <w:tcBorders>
              <w:top w:val="nil"/>
              <w:bottom w:val="nil"/>
            </w:tcBorders>
          </w:tcPr>
          <w:p w:rsidR="00000000" w:rsidRDefault="00000000">
            <w:pPr>
              <w:spacing w:before="40" w:after="20" w:line="216" w:lineRule="auto"/>
              <w:jc w:val="center"/>
              <w:rPr>
                <w:sz w:val="20"/>
              </w:rPr>
            </w:pPr>
            <w:r>
              <w:rPr>
                <w:sz w:val="20"/>
              </w:rPr>
              <w:t>23,4</w:t>
            </w:r>
          </w:p>
        </w:tc>
        <w:tc>
          <w:tcPr>
            <w:tcW w:w="1508" w:type="pct"/>
            <w:tcBorders>
              <w:top w:val="nil"/>
              <w:bottom w:val="nil"/>
            </w:tcBorders>
          </w:tcPr>
          <w:p w:rsidR="00000000" w:rsidRDefault="00000000">
            <w:pPr>
              <w:spacing w:before="40" w:after="20" w:line="216" w:lineRule="auto"/>
              <w:jc w:val="center"/>
              <w:rPr>
                <w:sz w:val="20"/>
              </w:rPr>
            </w:pPr>
            <w:r>
              <w:rPr>
                <w:sz w:val="20"/>
              </w:rPr>
              <w:t>3,0</w:t>
            </w:r>
          </w:p>
        </w:tc>
      </w:tr>
      <w:tr w:rsidR="00000000">
        <w:tblPrEx>
          <w:tblCellMar>
            <w:top w:w="0" w:type="dxa"/>
            <w:bottom w:w="0" w:type="dxa"/>
          </w:tblCellMar>
        </w:tblPrEx>
        <w:tc>
          <w:tcPr>
            <w:tcW w:w="1644" w:type="pct"/>
            <w:tcBorders>
              <w:top w:val="nil"/>
              <w:bottom w:val="nil"/>
            </w:tcBorders>
          </w:tcPr>
          <w:p w:rsidR="00000000" w:rsidRDefault="00000000">
            <w:pPr>
              <w:spacing w:before="40" w:after="20" w:line="216" w:lineRule="auto"/>
              <w:rPr>
                <w:sz w:val="20"/>
              </w:rPr>
            </w:pPr>
            <w:r>
              <w:rPr>
                <w:sz w:val="20"/>
              </w:rPr>
              <w:t>Специальные начальные</w:t>
            </w:r>
          </w:p>
        </w:tc>
        <w:tc>
          <w:tcPr>
            <w:tcW w:w="856" w:type="pct"/>
            <w:tcBorders>
              <w:top w:val="nil"/>
              <w:bottom w:val="nil"/>
            </w:tcBorders>
          </w:tcPr>
          <w:p w:rsidR="00000000" w:rsidRDefault="00000000">
            <w:pPr>
              <w:spacing w:before="40" w:after="20" w:line="216" w:lineRule="auto"/>
              <w:jc w:val="center"/>
              <w:rPr>
                <w:sz w:val="20"/>
              </w:rPr>
            </w:pPr>
            <w:r>
              <w:rPr>
                <w:sz w:val="20"/>
              </w:rPr>
              <w:t>78,6</w:t>
            </w:r>
          </w:p>
        </w:tc>
        <w:tc>
          <w:tcPr>
            <w:tcW w:w="992" w:type="pct"/>
            <w:tcBorders>
              <w:top w:val="nil"/>
              <w:bottom w:val="nil"/>
            </w:tcBorders>
          </w:tcPr>
          <w:p w:rsidR="00000000" w:rsidRDefault="00000000">
            <w:pPr>
              <w:spacing w:before="40" w:after="20" w:line="216" w:lineRule="auto"/>
              <w:jc w:val="center"/>
              <w:rPr>
                <w:sz w:val="20"/>
              </w:rPr>
            </w:pPr>
            <w:r>
              <w:rPr>
                <w:sz w:val="20"/>
              </w:rPr>
              <w:t>20,7</w:t>
            </w:r>
          </w:p>
        </w:tc>
        <w:tc>
          <w:tcPr>
            <w:tcW w:w="1508" w:type="pct"/>
            <w:tcBorders>
              <w:top w:val="nil"/>
              <w:bottom w:val="nil"/>
            </w:tcBorders>
          </w:tcPr>
          <w:p w:rsidR="00000000" w:rsidRDefault="00000000">
            <w:pPr>
              <w:spacing w:before="40" w:after="20" w:line="216" w:lineRule="auto"/>
              <w:jc w:val="center"/>
              <w:rPr>
                <w:sz w:val="20"/>
              </w:rPr>
            </w:pPr>
            <w:r>
              <w:rPr>
                <w:sz w:val="20"/>
              </w:rPr>
              <w:t>0,7</w:t>
            </w:r>
          </w:p>
        </w:tc>
      </w:tr>
      <w:tr w:rsidR="00000000">
        <w:tblPrEx>
          <w:tblCellMar>
            <w:top w:w="0" w:type="dxa"/>
            <w:bottom w:w="0" w:type="dxa"/>
          </w:tblCellMar>
        </w:tblPrEx>
        <w:tc>
          <w:tcPr>
            <w:tcW w:w="1644" w:type="pct"/>
            <w:tcBorders>
              <w:top w:val="nil"/>
              <w:bottom w:val="nil"/>
            </w:tcBorders>
          </w:tcPr>
          <w:p w:rsidR="00000000" w:rsidRDefault="00000000">
            <w:pPr>
              <w:spacing w:before="40" w:after="20" w:line="216" w:lineRule="auto"/>
              <w:rPr>
                <w:sz w:val="20"/>
              </w:rPr>
            </w:pPr>
            <w:r>
              <w:rPr>
                <w:sz w:val="20"/>
              </w:rPr>
              <w:t>Художественные первого уровня</w:t>
            </w:r>
          </w:p>
        </w:tc>
        <w:tc>
          <w:tcPr>
            <w:tcW w:w="856" w:type="pct"/>
            <w:tcBorders>
              <w:top w:val="nil"/>
              <w:bottom w:val="nil"/>
            </w:tcBorders>
          </w:tcPr>
          <w:p w:rsidR="00000000" w:rsidRDefault="00000000">
            <w:pPr>
              <w:spacing w:before="40" w:after="20" w:line="216" w:lineRule="auto"/>
              <w:jc w:val="center"/>
              <w:rPr>
                <w:sz w:val="20"/>
              </w:rPr>
            </w:pPr>
            <w:r>
              <w:rPr>
                <w:sz w:val="20"/>
              </w:rPr>
              <w:t>82,7</w:t>
            </w:r>
          </w:p>
        </w:tc>
        <w:tc>
          <w:tcPr>
            <w:tcW w:w="992" w:type="pct"/>
            <w:tcBorders>
              <w:top w:val="nil"/>
              <w:bottom w:val="nil"/>
            </w:tcBorders>
          </w:tcPr>
          <w:p w:rsidR="00000000" w:rsidRDefault="00000000">
            <w:pPr>
              <w:spacing w:before="40" w:after="20" w:line="216" w:lineRule="auto"/>
              <w:jc w:val="center"/>
              <w:rPr>
                <w:sz w:val="20"/>
              </w:rPr>
            </w:pPr>
            <w:r>
              <w:rPr>
                <w:sz w:val="20"/>
              </w:rPr>
              <w:t>12,6</w:t>
            </w:r>
          </w:p>
        </w:tc>
        <w:tc>
          <w:tcPr>
            <w:tcW w:w="1508" w:type="pct"/>
            <w:tcBorders>
              <w:top w:val="nil"/>
              <w:bottom w:val="nil"/>
            </w:tcBorders>
          </w:tcPr>
          <w:p w:rsidR="00000000" w:rsidRDefault="00000000">
            <w:pPr>
              <w:spacing w:before="40" w:after="20" w:line="216" w:lineRule="auto"/>
              <w:jc w:val="center"/>
              <w:rPr>
                <w:sz w:val="20"/>
              </w:rPr>
            </w:pPr>
            <w:r>
              <w:rPr>
                <w:sz w:val="20"/>
              </w:rPr>
              <w:t>4,7</w:t>
            </w:r>
          </w:p>
        </w:tc>
      </w:tr>
      <w:tr w:rsidR="00000000">
        <w:tblPrEx>
          <w:tblCellMar>
            <w:top w:w="0" w:type="dxa"/>
            <w:bottom w:w="0" w:type="dxa"/>
          </w:tblCellMar>
        </w:tblPrEx>
        <w:tc>
          <w:tcPr>
            <w:tcW w:w="1644" w:type="pct"/>
            <w:tcBorders>
              <w:top w:val="nil"/>
            </w:tcBorders>
          </w:tcPr>
          <w:p w:rsidR="00000000" w:rsidRDefault="00000000">
            <w:pPr>
              <w:spacing w:before="40" w:after="20" w:line="216" w:lineRule="auto"/>
              <w:rPr>
                <w:sz w:val="20"/>
              </w:rPr>
            </w:pPr>
            <w:r>
              <w:rPr>
                <w:sz w:val="20"/>
              </w:rPr>
              <w:t>Высшие учебные заведения</w:t>
            </w:r>
          </w:p>
        </w:tc>
        <w:tc>
          <w:tcPr>
            <w:tcW w:w="856" w:type="pct"/>
            <w:tcBorders>
              <w:top w:val="nil"/>
            </w:tcBorders>
          </w:tcPr>
          <w:p w:rsidR="00000000" w:rsidRDefault="00000000">
            <w:pPr>
              <w:spacing w:before="40" w:after="20" w:line="216" w:lineRule="auto"/>
              <w:jc w:val="center"/>
              <w:rPr>
                <w:sz w:val="20"/>
              </w:rPr>
            </w:pPr>
            <w:r>
              <w:rPr>
                <w:sz w:val="20"/>
              </w:rPr>
              <w:t>40,6</w:t>
            </w:r>
          </w:p>
        </w:tc>
        <w:tc>
          <w:tcPr>
            <w:tcW w:w="992" w:type="pct"/>
            <w:tcBorders>
              <w:top w:val="nil"/>
            </w:tcBorders>
          </w:tcPr>
          <w:p w:rsidR="00000000" w:rsidRDefault="00000000">
            <w:pPr>
              <w:spacing w:before="40" w:after="20" w:line="216" w:lineRule="auto"/>
              <w:jc w:val="center"/>
              <w:rPr>
                <w:sz w:val="20"/>
              </w:rPr>
            </w:pPr>
            <w:r>
              <w:rPr>
                <w:sz w:val="20"/>
              </w:rPr>
              <w:t>-</w:t>
            </w:r>
          </w:p>
        </w:tc>
        <w:tc>
          <w:tcPr>
            <w:tcW w:w="1508" w:type="pct"/>
            <w:tcBorders>
              <w:top w:val="nil"/>
            </w:tcBorders>
          </w:tcPr>
          <w:p w:rsidR="00000000" w:rsidRDefault="00000000">
            <w:pPr>
              <w:spacing w:before="40" w:after="20" w:line="216" w:lineRule="auto"/>
              <w:jc w:val="center"/>
              <w:rPr>
                <w:sz w:val="20"/>
              </w:rPr>
            </w:pPr>
            <w:r>
              <w:rPr>
                <w:sz w:val="20"/>
              </w:rPr>
              <w:t>59,4</w:t>
            </w:r>
          </w:p>
        </w:tc>
      </w:tr>
    </w:tbl>
    <w:p w:rsidR="00000000" w:rsidRDefault="00000000">
      <w:pPr>
        <w:pStyle w:val="FootnoteText"/>
        <w:spacing w:line="288" w:lineRule="auto"/>
      </w:pPr>
    </w:p>
    <w:p w:rsidR="00000000" w:rsidRDefault="00000000">
      <w:r>
        <w:tab/>
      </w:r>
      <w:r>
        <w:rPr>
          <w:u w:val="single"/>
        </w:rPr>
        <w:t>Источник</w:t>
      </w:r>
      <w:r>
        <w:t>:  данные министерства национального образования.</w:t>
      </w:r>
    </w:p>
    <w:p w:rsidR="00000000" w:rsidRDefault="00000000"/>
    <w:p w:rsidR="00000000" w:rsidRDefault="00000000">
      <w:r>
        <w:t>342.</w:t>
      </w:r>
      <w:r>
        <w:tab/>
        <w:t>В 1991 году были созданы первые негосударственные школы посленачального уровня.  В 1991-1998 годах министр национального образования выдал лицензии 149 негосударственным высшим учебным заведениям и школам системы послесреднего образования, в том числе 10 профессионально-техническим училищам.  Правительство не вмешивалось в деятельность этих школ.  В создании негосударственных школ и управлении ими не было никаких ограничений или проблем.  Законоположения о финансовой помощи школам были также включены в Закон о системе образования.  По словам руководителей негосударственных школ, главные проблемы, с которыми они столкнулись, заключались в отсутствии финансовых средств и нехватке помещений для проведения школьных занятий.  В целом можно сказать, что эти школы продолжают существовать за счет платы за обучение, различных пожертвований и правительственных субсидий, выделяемых в соответствии с Законом о системе образования (до 50% ежедневных расходов на душу населения в сопоставимых государственных школах).</w:t>
      </w:r>
    </w:p>
    <w:p w:rsidR="00000000" w:rsidRDefault="00000000"/>
    <w:p w:rsidR="00000000" w:rsidRDefault="00000000">
      <w:pPr>
        <w:pStyle w:val="10"/>
        <w:rPr>
          <w:bCs/>
        </w:rPr>
      </w:pPr>
      <w:r>
        <w:rPr>
          <w:bCs/>
        </w:rPr>
        <w:t>Н.</w:t>
      </w:r>
      <w:r>
        <w:rPr>
          <w:bCs/>
        </w:rPr>
        <w:tab/>
        <w:t>Потенциально негативные законодательные</w:t>
      </w:r>
    </w:p>
    <w:p w:rsidR="00000000" w:rsidRDefault="00000000">
      <w:pPr>
        <w:pStyle w:val="10"/>
        <w:rPr>
          <w:bCs/>
        </w:rPr>
      </w:pPr>
      <w:r>
        <w:rPr>
          <w:bCs/>
        </w:rPr>
        <w:t>и другие изменения за последние годы</w:t>
      </w:r>
    </w:p>
    <w:p w:rsidR="00000000" w:rsidRDefault="00000000">
      <w:pPr>
        <w:pStyle w:val="10"/>
        <w:rPr>
          <w:bCs/>
        </w:rPr>
      </w:pPr>
    </w:p>
    <w:p w:rsidR="00000000" w:rsidRDefault="00000000">
      <w:r>
        <w:t>343.</w:t>
      </w:r>
      <w:r>
        <w:tab/>
        <w:t>В течение рассматриваемого периода не было отмечено каких-либо законодательных или иных изменений, которые могли бы оказать отрицательное воздействие на права, предусмотренные в статье 13 Пакта.</w:t>
      </w:r>
    </w:p>
    <w:p w:rsidR="00000000" w:rsidRDefault="00000000"/>
    <w:p w:rsidR="00000000" w:rsidRDefault="00000000">
      <w:pPr>
        <w:keepNext/>
        <w:jc w:val="center"/>
        <w:rPr>
          <w:b/>
          <w:bCs/>
        </w:rPr>
      </w:pPr>
      <w:r>
        <w:rPr>
          <w:b/>
          <w:bCs/>
          <w:lang w:val="en-US"/>
        </w:rPr>
        <w:t>I</w:t>
      </w:r>
      <w:r>
        <w:rPr>
          <w:b/>
          <w:bCs/>
        </w:rPr>
        <w:t>.</w:t>
      </w:r>
      <w:r>
        <w:rPr>
          <w:b/>
          <w:bCs/>
        </w:rPr>
        <w:tab/>
        <w:t>Новые законодательные и исполнительные акты в связи со статьей 13</w:t>
      </w:r>
    </w:p>
    <w:p w:rsidR="00000000" w:rsidRDefault="00000000">
      <w:pPr>
        <w:keepNext/>
        <w:jc w:val="center"/>
        <w:rPr>
          <w:b/>
          <w:bCs/>
        </w:rPr>
      </w:pPr>
    </w:p>
    <w:p w:rsidR="00000000" w:rsidRDefault="00000000">
      <w:pPr>
        <w:keepNext/>
      </w:pPr>
      <w:r>
        <w:t>344.</w:t>
      </w:r>
      <w:r>
        <w:tab/>
        <w:t>К ним относятся:</w:t>
      </w:r>
    </w:p>
    <w:p w:rsidR="00000000" w:rsidRDefault="00000000"/>
    <w:p w:rsidR="00000000" w:rsidRDefault="00000000">
      <w:pPr>
        <w:numPr>
          <w:ilvl w:val="0"/>
          <w:numId w:val="6"/>
        </w:numPr>
      </w:pPr>
      <w:r>
        <w:t>статья 70 Конституции от 2 апреля 1997 года (гарантированное право на образование, включая права национальных и этнических меньшинств, предоставляющие им также возможность изучать свой родной язык и обучаться на этом языке);</w:t>
      </w:r>
    </w:p>
    <w:p w:rsidR="00000000" w:rsidRDefault="00000000">
      <w:pPr>
        <w:tabs>
          <w:tab w:val="clear" w:pos="1134"/>
        </w:tabs>
        <w:ind w:left="567"/>
      </w:pPr>
    </w:p>
    <w:p w:rsidR="00000000" w:rsidRDefault="00000000">
      <w:pPr>
        <w:numPr>
          <w:ilvl w:val="0"/>
          <w:numId w:val="6"/>
        </w:numPr>
      </w:pPr>
      <w:r>
        <w:t>проект поправки к Закону от 7 сентября 1991 года о системе образования (1998 год);</w:t>
      </w:r>
    </w:p>
    <w:p w:rsidR="00000000" w:rsidRDefault="00000000">
      <w:pPr>
        <w:tabs>
          <w:tab w:val="clear" w:pos="1134"/>
        </w:tabs>
        <w:ind w:left="567"/>
      </w:pPr>
    </w:p>
    <w:p w:rsidR="00000000" w:rsidRDefault="00000000">
      <w:pPr>
        <w:numPr>
          <w:ilvl w:val="0"/>
          <w:numId w:val="6"/>
        </w:numPr>
      </w:pPr>
      <w:r>
        <w:t>Закон от 26 июня 1997 года о высшем профессиональном образовании (Законодательный вестник за 1997 год, № 96, пункт 590 с последующими поправками);</w:t>
      </w:r>
    </w:p>
    <w:p w:rsidR="00000000" w:rsidRDefault="00000000">
      <w:pPr>
        <w:tabs>
          <w:tab w:val="clear" w:pos="1134"/>
        </w:tabs>
        <w:ind w:left="567"/>
      </w:pPr>
    </w:p>
    <w:p w:rsidR="00000000" w:rsidRDefault="00000000">
      <w:pPr>
        <w:numPr>
          <w:ilvl w:val="0"/>
          <w:numId w:val="6"/>
        </w:numPr>
      </w:pPr>
      <w:r>
        <w:t>распоряжение министра национального образования от 30 января 1997 года о принципах организации мероприятий по реабилитации и обучению детей и подростков, страдающих серьезными умственными недостатками (Законодательный вестник за 1997 год, № 14, пункт 76);</w:t>
      </w:r>
    </w:p>
    <w:p w:rsidR="00000000" w:rsidRDefault="00000000">
      <w:pPr>
        <w:tabs>
          <w:tab w:val="clear" w:pos="1134"/>
        </w:tabs>
        <w:ind w:left="567"/>
      </w:pPr>
    </w:p>
    <w:p w:rsidR="00000000" w:rsidRDefault="00000000">
      <w:pPr>
        <w:numPr>
          <w:ilvl w:val="0"/>
          <w:numId w:val="6"/>
        </w:numPr>
      </w:pPr>
      <w:r>
        <w:t>распоряжение министра национального образования от 21 апреля 1998 года о введении в школьную учебную программу предмета "Основы полового воспитания и содержание этого предмета (Законодательный вестник № 58 от 12 мая 1998 года);</w:t>
      </w:r>
    </w:p>
    <w:p w:rsidR="00000000" w:rsidRDefault="00000000">
      <w:pPr>
        <w:tabs>
          <w:tab w:val="clear" w:pos="1134"/>
        </w:tabs>
        <w:ind w:left="567"/>
      </w:pPr>
    </w:p>
    <w:p w:rsidR="00000000" w:rsidRDefault="00000000">
      <w:pPr>
        <w:numPr>
          <w:ilvl w:val="0"/>
          <w:numId w:val="6"/>
        </w:numPr>
      </w:pPr>
      <w:r>
        <w:t>проект распоряжения министра национального образования от 22 декабря 1998 года об основе учебных программ для шестилетних государственных начальных школ и гимназий (на основании пункта 2 (1) статьи 22 вышеупомянутого Закона о системе образования от 7 сентября 1991 года;  Законодательный вестник за 1996 год, № 67, пункт 329, и № 106, пункт 496;  1997 год, № 28,. пункт 153, и № 141, пункт 943;  1998 год, № 117, пункт 759).</w:t>
      </w:r>
    </w:p>
    <w:p w:rsidR="00000000" w:rsidRDefault="00000000">
      <w:pPr>
        <w:tabs>
          <w:tab w:val="clear" w:pos="1134"/>
        </w:tabs>
        <w:ind w:left="567"/>
      </w:pPr>
    </w:p>
    <w:p w:rsidR="00000000" w:rsidRDefault="00000000">
      <w:pPr>
        <w:jc w:val="center"/>
      </w:pPr>
      <w:r>
        <w:rPr>
          <w:b/>
          <w:bCs/>
          <w:lang w:val="en-US"/>
        </w:rPr>
        <w:t>IX</w:t>
      </w:r>
      <w:r>
        <w:rPr>
          <w:b/>
          <w:bCs/>
        </w:rPr>
        <w:t>.</w:t>
      </w:r>
      <w:r>
        <w:rPr>
          <w:b/>
          <w:bCs/>
        </w:rPr>
        <w:tab/>
        <w:t>ОСУЩЕСТВЛЕНИЕ ПРАВ, ЗАКРЕПЛЕННЫХ В СТАТЬЕ 14</w:t>
      </w:r>
    </w:p>
    <w:p w:rsidR="00000000" w:rsidRDefault="00000000">
      <w:pPr>
        <w:pStyle w:val="16"/>
      </w:pPr>
    </w:p>
    <w:p w:rsidR="00000000" w:rsidRDefault="00000000">
      <w:pPr>
        <w:pStyle w:val="BodyTextIndent"/>
        <w:spacing w:line="288" w:lineRule="auto"/>
        <w:ind w:left="0" w:firstLine="0"/>
        <w:rPr>
          <w:b/>
          <w:bCs/>
        </w:rPr>
      </w:pPr>
      <w:r>
        <w:rPr>
          <w:b/>
          <w:bCs/>
        </w:rPr>
        <w:t>345.</w:t>
      </w:r>
      <w:r>
        <w:rPr>
          <w:b/>
          <w:bCs/>
        </w:rPr>
        <w:tab/>
        <w:t>Благодаря тому, что начальное образование в Польше является обязательным и бесплатным, мы отсылаем вас к нашим ответам на вопросы по статье 13.</w:t>
      </w:r>
    </w:p>
    <w:p w:rsidR="00000000" w:rsidRDefault="00000000">
      <w:pPr>
        <w:pStyle w:val="FootnoteText"/>
        <w:spacing w:line="288" w:lineRule="auto"/>
      </w:pPr>
    </w:p>
    <w:p w:rsidR="00000000" w:rsidRDefault="00000000">
      <w:pPr>
        <w:jc w:val="center"/>
        <w:rPr>
          <w:b/>
          <w:bCs/>
        </w:rPr>
      </w:pPr>
      <w:r>
        <w:rPr>
          <w:b/>
          <w:bCs/>
          <w:lang w:val="en-US"/>
        </w:rPr>
        <w:br w:type="page"/>
        <w:t>X</w:t>
      </w:r>
      <w:r>
        <w:rPr>
          <w:b/>
          <w:bCs/>
        </w:rPr>
        <w:t>.</w:t>
      </w:r>
      <w:r>
        <w:rPr>
          <w:b/>
          <w:bCs/>
        </w:rPr>
        <w:tab/>
        <w:t>ОСУЩЕСТВЛЕНИЕ ПРАВ, ЗАКРЕПЛЕННЫХ В СТАТЬЕ 15</w:t>
      </w:r>
    </w:p>
    <w:p w:rsidR="00000000" w:rsidRDefault="00000000">
      <w:pPr>
        <w:jc w:val="center"/>
        <w:rPr>
          <w:b/>
          <w:bCs/>
        </w:rPr>
      </w:pPr>
    </w:p>
    <w:p w:rsidR="00000000" w:rsidRDefault="00000000">
      <w:pPr>
        <w:pStyle w:val="BodyText"/>
        <w:spacing w:line="288" w:lineRule="auto"/>
        <w:ind w:left="1134" w:hanging="1134"/>
        <w:jc w:val="center"/>
      </w:pPr>
      <w:r>
        <w:t>А.</w:t>
      </w:r>
      <w:r>
        <w:tab/>
        <w:t xml:space="preserve">Законодательные и другие меры по осуществлению права каждого </w:t>
      </w:r>
    </w:p>
    <w:p w:rsidR="00000000" w:rsidRDefault="00000000">
      <w:pPr>
        <w:pStyle w:val="BodyText"/>
        <w:spacing w:line="288" w:lineRule="auto"/>
        <w:ind w:left="1134" w:hanging="1134"/>
        <w:jc w:val="center"/>
      </w:pPr>
      <w:r>
        <w:t>на участие в культурной жизни</w:t>
      </w:r>
    </w:p>
    <w:p w:rsidR="00000000" w:rsidRDefault="00000000">
      <w:pPr>
        <w:pStyle w:val="BodyText"/>
        <w:spacing w:line="288" w:lineRule="auto"/>
        <w:ind w:left="1134" w:hanging="1134"/>
      </w:pPr>
    </w:p>
    <w:p w:rsidR="00000000" w:rsidRDefault="00000000">
      <w:r>
        <w:t>346.</w:t>
      </w:r>
      <w:r>
        <w:tab/>
        <w:t>Право на участие в культурной жизни прежде всего закреплено в Конституции Республики Польши 1997 года, а также в Законе об организации и регулировании культурной деятельности от 25 октября 1991 года (Законодательный вестник за 1997 год, № 110, пункт 721 с последующими поправками), который устанавливает, что "государство берет на себя роль организатора культурной деятельности, поддерживая и поощряя творчество, просвещение в вопросах культуры, культурную деятельность и инициативы, а также принимая меры по сохранению культурного наследия", и далее "министерство культуры и искусства и другие органы государственного управления в рамках государственного содействия могут предоставлять финансовую помощь в осуществлении культурных мероприятий особого значения, будь то у себя в стране или за границей…".  Право каждого на участие в культурной жизни гарантируется также Законом о национальных архивах и архивных записях от 14 июля 1983 года (Законодательный вестник № 38, пункт 172 с последующими поправками).  Поощрение культурной самобытности (см. раздел 3 ниже) является одной из целей министерства культуры и искусства, и этим занимается департамент культуры национальных меньшинств (Закон от 4 мая 1982 года о кабинете министров культуры и искусства, Законодательный вестник № 14, пункт 112, и распоряжение Председателя Совета министров от 18 февраля 1998 года о наделении министерства культуры и искусства особыми полномочиями).</w:t>
      </w:r>
    </w:p>
    <w:p w:rsidR="00000000" w:rsidRDefault="00000000"/>
    <w:p w:rsidR="00000000" w:rsidRDefault="00000000">
      <w:r>
        <w:t>347.</w:t>
      </w:r>
      <w:r>
        <w:tab/>
        <w:t>В 1998 году в целях подготовки административной реформы Польша приняла соответствующее законодательство, которое должно было вступить в силу с 1 января 1999 года.  (В частности, должны были быть внесены изменения в сферу полномочий административных органов в отношении культурных учреждений и на конкретных уровнях управления.)  Эти вопросы регулируются Законом об органах самоуправления в воеводствах от 24 июля 1998 года и поправками к законам, определяющим круг ведения органов государственного управления после проведения реформы политической структуры государства.  Общая концепция реформы в сфере культуры заключалась в том, чтобы передать руководство культурными учреждениями вновь созданным территориальным органам самоуправления.</w:t>
      </w:r>
    </w:p>
    <w:p w:rsidR="00000000" w:rsidRDefault="00000000"/>
    <w:p w:rsidR="00000000" w:rsidRDefault="00000000">
      <w:r>
        <w:br w:type="page"/>
        <w:t>348.</w:t>
      </w:r>
      <w:r>
        <w:tab/>
        <w:t>Для защиты культурных учреждений, работающих в помещениях государственного казначейства или в зданиях, занимаемых органами самоуправления, министр культуры и искусства своим распоряжением определил список зданий, в которых выделяются помещения для культурных учреждений или которые построены с этой целью и не могут быть переданными для иных видов деятельности.</w:t>
      </w:r>
    </w:p>
    <w:p w:rsidR="00000000" w:rsidRDefault="00000000"/>
    <w:p w:rsidR="00000000" w:rsidRDefault="00000000">
      <w:pPr>
        <w:pStyle w:val="10"/>
        <w:jc w:val="left"/>
        <w:rPr>
          <w:bCs/>
        </w:rPr>
      </w:pPr>
      <w:r>
        <w:rPr>
          <w:bCs/>
        </w:rPr>
        <w:tab/>
        <w:t>1.</w:t>
      </w:r>
      <w:r>
        <w:rPr>
          <w:bCs/>
        </w:rPr>
        <w:tab/>
        <w:t xml:space="preserve">Наличие средств для развития культуры и участие населения </w:t>
      </w:r>
    </w:p>
    <w:p w:rsidR="00000000" w:rsidRDefault="00000000">
      <w:pPr>
        <w:pStyle w:val="10"/>
        <w:jc w:val="left"/>
        <w:rPr>
          <w:bCs/>
        </w:rPr>
      </w:pPr>
      <w:r>
        <w:rPr>
          <w:bCs/>
        </w:rPr>
        <w:tab/>
      </w:r>
      <w:r>
        <w:rPr>
          <w:bCs/>
        </w:rPr>
        <w:tab/>
        <w:t>в культурной жизни</w:t>
      </w:r>
    </w:p>
    <w:p w:rsidR="00000000" w:rsidRDefault="00000000">
      <w:pPr>
        <w:pStyle w:val="10"/>
        <w:rPr>
          <w:bCs/>
        </w:rPr>
      </w:pPr>
    </w:p>
    <w:p w:rsidR="00000000" w:rsidRDefault="00000000">
      <w:r>
        <w:t>349.</w:t>
      </w:r>
      <w:r>
        <w:tab/>
        <w:t>По данным ГСУ, на культуру и искусство из центрального бюджета выделяется 0,8%.  В номинальном выражении это составляет 1 148,2 млн. злотых.  В таблице 48 приведены более ранние данные:</w:t>
      </w:r>
    </w:p>
    <w:p w:rsidR="00000000" w:rsidRDefault="00000000"/>
    <w:p w:rsidR="00000000" w:rsidRDefault="00000000">
      <w:pPr>
        <w:pStyle w:val="10"/>
        <w:rPr>
          <w:b w:val="0"/>
        </w:rPr>
      </w:pPr>
      <w:r>
        <w:rPr>
          <w:b w:val="0"/>
          <w:u w:val="single"/>
        </w:rPr>
        <w:t>Таблица 48</w:t>
      </w:r>
      <w:r>
        <w:rPr>
          <w:b w:val="0"/>
        </w:rPr>
        <w:t xml:space="preserve">.  </w:t>
      </w:r>
      <w:r>
        <w:rPr>
          <w:b w:val="0"/>
          <w:u w:val="single"/>
        </w:rPr>
        <w:t>Государственные расходы на культуру, 1995-1997 годы</w:t>
      </w:r>
    </w:p>
    <w:p w:rsidR="00000000" w:rsidRDefault="00000000">
      <w:pPr>
        <w:pStyle w:val="10"/>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8"/>
        <w:gridCol w:w="1034"/>
        <w:gridCol w:w="1034"/>
        <w:gridCol w:w="1284"/>
      </w:tblGrid>
      <w:tr w:rsidR="00000000">
        <w:tblPrEx>
          <w:tblCellMar>
            <w:top w:w="0" w:type="dxa"/>
            <w:bottom w:w="0" w:type="dxa"/>
          </w:tblCellMar>
        </w:tblPrEx>
        <w:tc>
          <w:tcPr>
            <w:tcW w:w="3334" w:type="pct"/>
            <w:tcBorders>
              <w:bottom w:val="single" w:sz="4" w:space="0" w:color="auto"/>
            </w:tcBorders>
          </w:tcPr>
          <w:p w:rsidR="00000000" w:rsidRDefault="00000000">
            <w:pPr>
              <w:spacing w:before="40" w:after="20" w:line="216" w:lineRule="auto"/>
              <w:rPr>
                <w:sz w:val="20"/>
              </w:rPr>
            </w:pPr>
          </w:p>
        </w:tc>
        <w:tc>
          <w:tcPr>
            <w:tcW w:w="586" w:type="pct"/>
            <w:tcBorders>
              <w:bottom w:val="single" w:sz="4" w:space="0" w:color="auto"/>
            </w:tcBorders>
          </w:tcPr>
          <w:p w:rsidR="00000000" w:rsidRDefault="00000000">
            <w:pPr>
              <w:spacing w:before="40" w:after="20" w:line="216" w:lineRule="auto"/>
              <w:jc w:val="center"/>
              <w:rPr>
                <w:sz w:val="20"/>
              </w:rPr>
            </w:pPr>
            <w:r>
              <w:rPr>
                <w:sz w:val="20"/>
              </w:rPr>
              <w:t>1995</w:t>
            </w:r>
          </w:p>
        </w:tc>
        <w:tc>
          <w:tcPr>
            <w:tcW w:w="540" w:type="pct"/>
            <w:tcBorders>
              <w:bottom w:val="single" w:sz="4" w:space="0" w:color="auto"/>
            </w:tcBorders>
          </w:tcPr>
          <w:p w:rsidR="00000000" w:rsidRDefault="00000000">
            <w:pPr>
              <w:spacing w:before="40" w:after="20" w:line="216" w:lineRule="auto"/>
              <w:jc w:val="center"/>
              <w:rPr>
                <w:sz w:val="20"/>
              </w:rPr>
            </w:pPr>
            <w:r>
              <w:rPr>
                <w:sz w:val="20"/>
              </w:rPr>
              <w:t>1996</w:t>
            </w:r>
          </w:p>
        </w:tc>
        <w:tc>
          <w:tcPr>
            <w:tcW w:w="540" w:type="pct"/>
            <w:tcBorders>
              <w:bottom w:val="single" w:sz="4" w:space="0" w:color="auto"/>
            </w:tcBorders>
          </w:tcPr>
          <w:p w:rsidR="00000000" w:rsidRDefault="00000000">
            <w:pPr>
              <w:pStyle w:val="FootnoteText"/>
              <w:spacing w:before="40" w:after="20" w:line="216" w:lineRule="auto"/>
              <w:jc w:val="center"/>
              <w:rPr>
                <w:sz w:val="20"/>
              </w:rPr>
            </w:pPr>
            <w:r>
              <w:rPr>
                <w:sz w:val="20"/>
              </w:rPr>
              <w:t>1997</w:t>
            </w:r>
          </w:p>
        </w:tc>
      </w:tr>
      <w:tr w:rsidR="00000000">
        <w:tblPrEx>
          <w:tblCellMar>
            <w:top w:w="0" w:type="dxa"/>
            <w:bottom w:w="0" w:type="dxa"/>
          </w:tblCellMar>
        </w:tblPrEx>
        <w:tc>
          <w:tcPr>
            <w:tcW w:w="3334" w:type="pct"/>
            <w:tcBorders>
              <w:bottom w:val="nil"/>
            </w:tcBorders>
          </w:tcPr>
          <w:p w:rsidR="00000000" w:rsidRDefault="00000000">
            <w:pPr>
              <w:spacing w:before="40" w:after="20" w:line="216" w:lineRule="auto"/>
              <w:rPr>
                <w:sz w:val="20"/>
              </w:rPr>
            </w:pPr>
            <w:r>
              <w:rPr>
                <w:sz w:val="20"/>
              </w:rPr>
              <w:t>Расходы на культуру из государственного бюджета в качестве доли ВВП, в %</w:t>
            </w:r>
          </w:p>
        </w:tc>
        <w:tc>
          <w:tcPr>
            <w:tcW w:w="586" w:type="pct"/>
            <w:tcBorders>
              <w:bottom w:val="nil"/>
            </w:tcBorders>
          </w:tcPr>
          <w:p w:rsidR="00000000" w:rsidRDefault="00000000">
            <w:pPr>
              <w:pStyle w:val="FootnoteText"/>
              <w:tabs>
                <w:tab w:val="clear" w:pos="1134"/>
                <w:tab w:val="clear" w:pos="1701"/>
                <w:tab w:val="clear" w:pos="2268"/>
                <w:tab w:val="clear" w:pos="6237"/>
                <w:tab w:val="decimal" w:pos="567"/>
              </w:tabs>
              <w:spacing w:before="40" w:after="20" w:line="216" w:lineRule="auto"/>
              <w:rPr>
                <w:sz w:val="20"/>
              </w:rPr>
            </w:pPr>
            <w:r>
              <w:rPr>
                <w:sz w:val="20"/>
              </w:rPr>
              <w:t>0,24</w:t>
            </w:r>
          </w:p>
        </w:tc>
        <w:tc>
          <w:tcPr>
            <w:tcW w:w="540" w:type="pct"/>
            <w:tcBorders>
              <w:bottom w:val="nil"/>
            </w:tcBorders>
          </w:tcPr>
          <w:p w:rsidR="00000000" w:rsidRDefault="00000000">
            <w:pPr>
              <w:tabs>
                <w:tab w:val="clear" w:pos="1134"/>
                <w:tab w:val="clear" w:pos="1701"/>
                <w:tab w:val="clear" w:pos="2268"/>
                <w:tab w:val="clear" w:pos="6237"/>
                <w:tab w:val="decimal" w:pos="567"/>
              </w:tabs>
              <w:spacing w:before="40" w:after="20" w:line="216" w:lineRule="auto"/>
              <w:rPr>
                <w:sz w:val="20"/>
              </w:rPr>
            </w:pPr>
            <w:r>
              <w:rPr>
                <w:sz w:val="20"/>
              </w:rPr>
              <w:t>0,23</w:t>
            </w:r>
          </w:p>
        </w:tc>
        <w:tc>
          <w:tcPr>
            <w:tcW w:w="540" w:type="pct"/>
            <w:tcBorders>
              <w:bottom w:val="nil"/>
            </w:tcBorders>
          </w:tcPr>
          <w:p w:rsidR="00000000" w:rsidRDefault="00000000">
            <w:pPr>
              <w:tabs>
                <w:tab w:val="clear" w:pos="1134"/>
                <w:tab w:val="clear" w:pos="1701"/>
                <w:tab w:val="clear" w:pos="2268"/>
                <w:tab w:val="clear" w:pos="6237"/>
                <w:tab w:val="decimal" w:pos="567"/>
              </w:tabs>
              <w:spacing w:before="40" w:after="20" w:line="216" w:lineRule="auto"/>
              <w:rPr>
                <w:sz w:val="20"/>
              </w:rPr>
            </w:pPr>
            <w:r>
              <w:rPr>
                <w:sz w:val="20"/>
              </w:rPr>
              <w:t>0,23</w:t>
            </w:r>
          </w:p>
        </w:tc>
      </w:tr>
      <w:tr w:rsidR="00000000">
        <w:tblPrEx>
          <w:tblCellMar>
            <w:top w:w="0" w:type="dxa"/>
            <w:bottom w:w="0" w:type="dxa"/>
          </w:tblCellMar>
        </w:tblPrEx>
        <w:tc>
          <w:tcPr>
            <w:tcW w:w="3334" w:type="pct"/>
            <w:tcBorders>
              <w:top w:val="nil"/>
              <w:bottom w:val="nil"/>
            </w:tcBorders>
          </w:tcPr>
          <w:p w:rsidR="00000000" w:rsidRDefault="00000000">
            <w:pPr>
              <w:spacing w:before="40" w:after="20" w:line="216" w:lineRule="auto"/>
              <w:rPr>
                <w:sz w:val="20"/>
              </w:rPr>
            </w:pPr>
            <w:r>
              <w:rPr>
                <w:sz w:val="20"/>
              </w:rPr>
              <w:t>Расходы на культуру в качестве доли государственного бюджета, в %</w:t>
            </w:r>
          </w:p>
        </w:tc>
        <w:tc>
          <w:tcPr>
            <w:tcW w:w="586" w:type="pct"/>
            <w:tcBorders>
              <w:top w:val="nil"/>
              <w:bottom w:val="nil"/>
            </w:tcBorders>
          </w:tcPr>
          <w:p w:rsidR="00000000" w:rsidRDefault="00000000">
            <w:pPr>
              <w:tabs>
                <w:tab w:val="clear" w:pos="1134"/>
                <w:tab w:val="clear" w:pos="1701"/>
                <w:tab w:val="clear" w:pos="2268"/>
                <w:tab w:val="clear" w:pos="6237"/>
                <w:tab w:val="decimal" w:pos="567"/>
              </w:tabs>
              <w:spacing w:before="40" w:after="20" w:line="216" w:lineRule="auto"/>
              <w:rPr>
                <w:sz w:val="20"/>
              </w:rPr>
            </w:pPr>
            <w:r>
              <w:rPr>
                <w:sz w:val="20"/>
              </w:rPr>
              <w:t>0,77</w:t>
            </w:r>
          </w:p>
        </w:tc>
        <w:tc>
          <w:tcPr>
            <w:tcW w:w="540" w:type="pct"/>
            <w:tcBorders>
              <w:top w:val="nil"/>
              <w:bottom w:val="nil"/>
            </w:tcBorders>
          </w:tcPr>
          <w:p w:rsidR="00000000" w:rsidRDefault="00000000">
            <w:pPr>
              <w:tabs>
                <w:tab w:val="clear" w:pos="1134"/>
                <w:tab w:val="clear" w:pos="1701"/>
                <w:tab w:val="clear" w:pos="2268"/>
                <w:tab w:val="clear" w:pos="6237"/>
                <w:tab w:val="decimal" w:pos="567"/>
              </w:tabs>
              <w:spacing w:before="40" w:after="20" w:line="216" w:lineRule="auto"/>
              <w:rPr>
                <w:sz w:val="20"/>
              </w:rPr>
            </w:pPr>
            <w:r>
              <w:rPr>
                <w:sz w:val="20"/>
              </w:rPr>
              <w:t>0,76</w:t>
            </w:r>
          </w:p>
        </w:tc>
        <w:tc>
          <w:tcPr>
            <w:tcW w:w="540" w:type="pct"/>
            <w:tcBorders>
              <w:top w:val="nil"/>
              <w:bottom w:val="nil"/>
            </w:tcBorders>
          </w:tcPr>
          <w:p w:rsidR="00000000" w:rsidRDefault="00000000">
            <w:pPr>
              <w:tabs>
                <w:tab w:val="clear" w:pos="1134"/>
                <w:tab w:val="clear" w:pos="1701"/>
                <w:tab w:val="clear" w:pos="2268"/>
                <w:tab w:val="clear" w:pos="6237"/>
                <w:tab w:val="decimal" w:pos="567"/>
              </w:tabs>
              <w:spacing w:before="40" w:after="20" w:line="216" w:lineRule="auto"/>
              <w:rPr>
                <w:sz w:val="20"/>
              </w:rPr>
            </w:pPr>
            <w:r>
              <w:rPr>
                <w:sz w:val="20"/>
              </w:rPr>
              <w:t>0,82</w:t>
            </w:r>
          </w:p>
        </w:tc>
      </w:tr>
      <w:tr w:rsidR="00000000">
        <w:tblPrEx>
          <w:tblCellMar>
            <w:top w:w="0" w:type="dxa"/>
            <w:bottom w:w="0" w:type="dxa"/>
          </w:tblCellMar>
        </w:tblPrEx>
        <w:tc>
          <w:tcPr>
            <w:tcW w:w="3334" w:type="pct"/>
            <w:tcBorders>
              <w:top w:val="nil"/>
            </w:tcBorders>
          </w:tcPr>
          <w:p w:rsidR="00000000" w:rsidRDefault="00000000">
            <w:pPr>
              <w:spacing w:before="40" w:after="20" w:line="216" w:lineRule="auto"/>
              <w:rPr>
                <w:sz w:val="20"/>
              </w:rPr>
            </w:pPr>
            <w:r>
              <w:rPr>
                <w:sz w:val="20"/>
              </w:rPr>
              <w:t>Номинальные расходы на культуру, в млн. злотых</w:t>
            </w:r>
          </w:p>
        </w:tc>
        <w:tc>
          <w:tcPr>
            <w:tcW w:w="586" w:type="pct"/>
            <w:tcBorders>
              <w:top w:val="nil"/>
              <w:bottom w:val="single" w:sz="4" w:space="0" w:color="auto"/>
            </w:tcBorders>
          </w:tcPr>
          <w:p w:rsidR="00000000" w:rsidRDefault="00000000">
            <w:pPr>
              <w:tabs>
                <w:tab w:val="clear" w:pos="1134"/>
                <w:tab w:val="clear" w:pos="1701"/>
                <w:tab w:val="clear" w:pos="2268"/>
                <w:tab w:val="clear" w:pos="6237"/>
                <w:tab w:val="decimal" w:pos="567"/>
              </w:tabs>
              <w:spacing w:before="40" w:after="20" w:line="216" w:lineRule="auto"/>
              <w:rPr>
                <w:sz w:val="20"/>
              </w:rPr>
            </w:pPr>
            <w:r>
              <w:rPr>
                <w:sz w:val="20"/>
              </w:rPr>
              <w:t>703,6</w:t>
            </w:r>
          </w:p>
        </w:tc>
        <w:tc>
          <w:tcPr>
            <w:tcW w:w="540" w:type="pct"/>
            <w:tcBorders>
              <w:top w:val="nil"/>
              <w:bottom w:val="single" w:sz="4" w:space="0" w:color="auto"/>
            </w:tcBorders>
          </w:tcPr>
          <w:p w:rsidR="00000000" w:rsidRDefault="00000000">
            <w:pPr>
              <w:tabs>
                <w:tab w:val="clear" w:pos="1134"/>
                <w:tab w:val="clear" w:pos="1701"/>
                <w:tab w:val="clear" w:pos="2268"/>
                <w:tab w:val="clear" w:pos="6237"/>
                <w:tab w:val="decimal" w:pos="567"/>
              </w:tabs>
              <w:spacing w:before="40" w:after="20" w:line="216" w:lineRule="auto"/>
              <w:rPr>
                <w:sz w:val="20"/>
              </w:rPr>
            </w:pPr>
            <w:r>
              <w:rPr>
                <w:sz w:val="20"/>
              </w:rPr>
              <w:t>829,0</w:t>
            </w:r>
          </w:p>
        </w:tc>
        <w:tc>
          <w:tcPr>
            <w:tcW w:w="540" w:type="pct"/>
            <w:tcBorders>
              <w:top w:val="nil"/>
              <w:bottom w:val="single" w:sz="4" w:space="0" w:color="auto"/>
            </w:tcBorders>
          </w:tcPr>
          <w:p w:rsidR="00000000" w:rsidRDefault="00000000">
            <w:pPr>
              <w:tabs>
                <w:tab w:val="clear" w:pos="1134"/>
                <w:tab w:val="clear" w:pos="1701"/>
                <w:tab w:val="clear" w:pos="2268"/>
                <w:tab w:val="clear" w:pos="6237"/>
                <w:tab w:val="decimal" w:pos="567"/>
              </w:tabs>
              <w:spacing w:before="40" w:after="20" w:line="216" w:lineRule="auto"/>
              <w:rPr>
                <w:sz w:val="20"/>
              </w:rPr>
            </w:pPr>
            <w:r>
              <w:rPr>
                <w:sz w:val="20"/>
              </w:rPr>
              <w:t>1 036,7</w:t>
            </w:r>
          </w:p>
        </w:tc>
      </w:tr>
    </w:tbl>
    <w:p w:rsidR="00000000" w:rsidRDefault="00000000">
      <w:pPr>
        <w:pStyle w:val="FootnoteText"/>
        <w:tabs>
          <w:tab w:val="left" w:pos="8976"/>
        </w:tabs>
      </w:pPr>
    </w:p>
    <w:p w:rsidR="00000000" w:rsidRDefault="00000000">
      <w:r>
        <w:tab/>
      </w:r>
      <w:r>
        <w:rPr>
          <w:u w:val="single"/>
        </w:rPr>
        <w:t>Источник</w:t>
      </w:r>
      <w:r>
        <w:t>:  данные министерства культуры и искусства (МКИ).</w:t>
      </w:r>
    </w:p>
    <w:p w:rsidR="00000000" w:rsidRDefault="00000000"/>
    <w:p w:rsidR="00000000" w:rsidRDefault="00000000">
      <w:r>
        <w:t>350.</w:t>
      </w:r>
      <w:r>
        <w:tab/>
        <w:t>Кроме того, расходы на культуру и искусство покрываются гминами за счет их бюджетов.  Согласно статистическим данным ГСУ, в 1995 году на эти цели из бюджетов гминов было выделено 3,3%, в 1997 году - 2,7%, а в 1998 году - 2,8%.  В номинальном выражении гмины выделили на культуру и искусство 1 323,5 млн. злотых.</w:t>
      </w:r>
    </w:p>
    <w:p w:rsidR="00000000" w:rsidRDefault="00000000"/>
    <w:p w:rsidR="00000000" w:rsidRDefault="00000000">
      <w:pPr>
        <w:pStyle w:val="10"/>
        <w:rPr>
          <w:b w:val="0"/>
          <w:u w:val="single"/>
        </w:rPr>
      </w:pPr>
      <w:r>
        <w:rPr>
          <w:b w:val="0"/>
          <w:u w:val="single"/>
        </w:rPr>
        <w:t>Таблица 49</w:t>
      </w:r>
      <w:r>
        <w:rPr>
          <w:b w:val="0"/>
        </w:rPr>
        <w:t xml:space="preserve">.  </w:t>
      </w:r>
      <w:r>
        <w:rPr>
          <w:b w:val="0"/>
          <w:u w:val="single"/>
        </w:rPr>
        <w:t>Структура расходов министерства культуры и искусства, 1995-1998 годы</w:t>
      </w:r>
    </w:p>
    <w:p w:rsidR="00000000" w:rsidRDefault="00000000">
      <w:pPr>
        <w:pStyle w:val="10"/>
        <w:rPr>
          <w:b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2"/>
        <w:gridCol w:w="1112"/>
        <w:gridCol w:w="1112"/>
        <w:gridCol w:w="1112"/>
        <w:gridCol w:w="1112"/>
      </w:tblGrid>
      <w:tr w:rsidR="00000000">
        <w:tblPrEx>
          <w:tblCellMar>
            <w:top w:w="0" w:type="dxa"/>
            <w:bottom w:w="0" w:type="dxa"/>
          </w:tblCellMar>
        </w:tblPrEx>
        <w:tc>
          <w:tcPr>
            <w:tcW w:w="2676" w:type="pct"/>
            <w:tcBorders>
              <w:bottom w:val="single" w:sz="4" w:space="0" w:color="auto"/>
            </w:tcBorders>
          </w:tcPr>
          <w:p w:rsidR="00000000" w:rsidRDefault="00000000">
            <w:pPr>
              <w:spacing w:before="40" w:after="20" w:line="216" w:lineRule="auto"/>
              <w:rPr>
                <w:sz w:val="20"/>
              </w:rPr>
            </w:pPr>
          </w:p>
        </w:tc>
        <w:tc>
          <w:tcPr>
            <w:tcW w:w="581" w:type="pct"/>
            <w:tcBorders>
              <w:bottom w:val="single" w:sz="4" w:space="0" w:color="auto"/>
            </w:tcBorders>
          </w:tcPr>
          <w:p w:rsidR="00000000" w:rsidRDefault="00000000">
            <w:pPr>
              <w:spacing w:before="40" w:after="20" w:line="216" w:lineRule="auto"/>
              <w:jc w:val="center"/>
              <w:rPr>
                <w:sz w:val="20"/>
              </w:rPr>
            </w:pPr>
            <w:r>
              <w:rPr>
                <w:sz w:val="20"/>
              </w:rPr>
              <w:t>1995</w:t>
            </w:r>
          </w:p>
        </w:tc>
        <w:tc>
          <w:tcPr>
            <w:tcW w:w="581" w:type="pct"/>
            <w:tcBorders>
              <w:bottom w:val="single" w:sz="4" w:space="0" w:color="auto"/>
            </w:tcBorders>
          </w:tcPr>
          <w:p w:rsidR="00000000" w:rsidRDefault="00000000">
            <w:pPr>
              <w:spacing w:before="40" w:after="20" w:line="216" w:lineRule="auto"/>
              <w:jc w:val="center"/>
              <w:rPr>
                <w:sz w:val="20"/>
              </w:rPr>
            </w:pPr>
            <w:r>
              <w:rPr>
                <w:sz w:val="20"/>
              </w:rPr>
              <w:t>1996</w:t>
            </w:r>
          </w:p>
        </w:tc>
        <w:tc>
          <w:tcPr>
            <w:tcW w:w="581" w:type="pct"/>
            <w:tcBorders>
              <w:bottom w:val="single" w:sz="4" w:space="0" w:color="auto"/>
            </w:tcBorders>
          </w:tcPr>
          <w:p w:rsidR="00000000" w:rsidRDefault="00000000">
            <w:pPr>
              <w:spacing w:before="40" w:after="20" w:line="216" w:lineRule="auto"/>
              <w:jc w:val="center"/>
              <w:rPr>
                <w:sz w:val="20"/>
              </w:rPr>
            </w:pPr>
            <w:r>
              <w:rPr>
                <w:sz w:val="20"/>
              </w:rPr>
              <w:t>1997</w:t>
            </w:r>
          </w:p>
        </w:tc>
        <w:tc>
          <w:tcPr>
            <w:tcW w:w="581" w:type="pct"/>
            <w:tcBorders>
              <w:bottom w:val="single" w:sz="4" w:space="0" w:color="auto"/>
            </w:tcBorders>
          </w:tcPr>
          <w:p w:rsidR="00000000" w:rsidRDefault="00000000">
            <w:pPr>
              <w:spacing w:before="40" w:after="20" w:line="216" w:lineRule="auto"/>
              <w:jc w:val="center"/>
              <w:rPr>
                <w:sz w:val="20"/>
              </w:rPr>
            </w:pPr>
            <w:r>
              <w:rPr>
                <w:sz w:val="20"/>
              </w:rPr>
              <w:t>1998</w:t>
            </w:r>
          </w:p>
        </w:tc>
      </w:tr>
      <w:tr w:rsidR="00000000">
        <w:tblPrEx>
          <w:tblCellMar>
            <w:top w:w="0" w:type="dxa"/>
            <w:bottom w:w="0" w:type="dxa"/>
          </w:tblCellMar>
        </w:tblPrEx>
        <w:tc>
          <w:tcPr>
            <w:tcW w:w="2676" w:type="pct"/>
            <w:tcBorders>
              <w:bottom w:val="nil"/>
            </w:tcBorders>
          </w:tcPr>
          <w:p w:rsidR="00000000" w:rsidRDefault="00000000">
            <w:pPr>
              <w:spacing w:before="40" w:after="20" w:line="216" w:lineRule="auto"/>
              <w:rPr>
                <w:sz w:val="20"/>
              </w:rPr>
            </w:pPr>
            <w:r>
              <w:rPr>
                <w:sz w:val="20"/>
              </w:rPr>
              <w:t>Расходы в %, из них:</w:t>
            </w:r>
          </w:p>
        </w:tc>
        <w:tc>
          <w:tcPr>
            <w:tcW w:w="581" w:type="pct"/>
            <w:tcBorders>
              <w:bottom w:val="nil"/>
            </w:tcBorders>
          </w:tcPr>
          <w:p w:rsidR="00000000" w:rsidRDefault="00000000">
            <w:pPr>
              <w:pStyle w:val="FootnoteText"/>
              <w:tabs>
                <w:tab w:val="clear" w:pos="567"/>
              </w:tabs>
              <w:spacing w:before="40" w:after="20" w:line="216" w:lineRule="auto"/>
              <w:ind w:right="222"/>
              <w:jc w:val="right"/>
              <w:rPr>
                <w:sz w:val="20"/>
              </w:rPr>
            </w:pPr>
            <w:r>
              <w:rPr>
                <w:sz w:val="20"/>
              </w:rPr>
              <w:t>100,0</w:t>
            </w:r>
          </w:p>
        </w:tc>
        <w:tc>
          <w:tcPr>
            <w:tcW w:w="581" w:type="pct"/>
            <w:tcBorders>
              <w:bottom w:val="nil"/>
            </w:tcBorders>
          </w:tcPr>
          <w:p w:rsidR="00000000" w:rsidRDefault="00000000">
            <w:pPr>
              <w:tabs>
                <w:tab w:val="clear" w:pos="567"/>
              </w:tabs>
              <w:spacing w:before="40" w:after="20" w:line="216" w:lineRule="auto"/>
              <w:ind w:right="222"/>
              <w:jc w:val="right"/>
              <w:rPr>
                <w:sz w:val="20"/>
              </w:rPr>
            </w:pPr>
            <w:r>
              <w:rPr>
                <w:sz w:val="20"/>
              </w:rPr>
              <w:t>100,0</w:t>
            </w:r>
          </w:p>
        </w:tc>
        <w:tc>
          <w:tcPr>
            <w:tcW w:w="581" w:type="pct"/>
            <w:tcBorders>
              <w:bottom w:val="nil"/>
            </w:tcBorders>
          </w:tcPr>
          <w:p w:rsidR="00000000" w:rsidRDefault="00000000">
            <w:pPr>
              <w:tabs>
                <w:tab w:val="clear" w:pos="567"/>
              </w:tabs>
              <w:spacing w:before="40" w:after="20" w:line="216" w:lineRule="auto"/>
              <w:ind w:right="222"/>
              <w:jc w:val="right"/>
              <w:rPr>
                <w:sz w:val="20"/>
              </w:rPr>
            </w:pPr>
            <w:r>
              <w:rPr>
                <w:sz w:val="20"/>
              </w:rPr>
              <w:t>100,0</w:t>
            </w:r>
          </w:p>
        </w:tc>
        <w:tc>
          <w:tcPr>
            <w:tcW w:w="581" w:type="pct"/>
            <w:tcBorders>
              <w:bottom w:val="nil"/>
            </w:tcBorders>
          </w:tcPr>
          <w:p w:rsidR="00000000" w:rsidRDefault="00000000">
            <w:pPr>
              <w:tabs>
                <w:tab w:val="clear" w:pos="567"/>
                <w:tab w:val="clear" w:pos="1134"/>
              </w:tabs>
              <w:spacing w:before="40" w:after="20" w:line="216" w:lineRule="auto"/>
              <w:ind w:right="222"/>
              <w:jc w:val="right"/>
              <w:rPr>
                <w:sz w:val="20"/>
              </w:rPr>
            </w:pPr>
            <w:r>
              <w:rPr>
                <w:sz w:val="20"/>
              </w:rPr>
              <w:t>100,0</w:t>
            </w:r>
          </w:p>
        </w:tc>
      </w:tr>
      <w:tr w:rsidR="00000000">
        <w:tblPrEx>
          <w:tblCellMar>
            <w:top w:w="0" w:type="dxa"/>
            <w:bottom w:w="0" w:type="dxa"/>
          </w:tblCellMar>
        </w:tblPrEx>
        <w:tc>
          <w:tcPr>
            <w:tcW w:w="2676" w:type="pct"/>
            <w:tcBorders>
              <w:top w:val="nil"/>
              <w:bottom w:val="nil"/>
            </w:tcBorders>
          </w:tcPr>
          <w:p w:rsidR="00000000" w:rsidRDefault="00000000">
            <w:pPr>
              <w:spacing w:before="40" w:after="20" w:line="216" w:lineRule="auto"/>
              <w:rPr>
                <w:sz w:val="20"/>
              </w:rPr>
            </w:pPr>
            <w:r>
              <w:rPr>
                <w:sz w:val="20"/>
              </w:rPr>
              <w:t>Различные материальные услуги (киноучреждения)</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3,0</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2,8</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2,8</w:t>
            </w:r>
          </w:p>
        </w:tc>
        <w:tc>
          <w:tcPr>
            <w:tcW w:w="581" w:type="pct"/>
            <w:tcBorders>
              <w:top w:val="nil"/>
              <w:bottom w:val="nil"/>
            </w:tcBorders>
          </w:tcPr>
          <w:p w:rsidR="00000000" w:rsidRDefault="00000000">
            <w:pPr>
              <w:tabs>
                <w:tab w:val="clear" w:pos="567"/>
                <w:tab w:val="clear" w:pos="1134"/>
              </w:tabs>
              <w:spacing w:before="40" w:after="20" w:line="216" w:lineRule="auto"/>
              <w:ind w:right="222"/>
              <w:jc w:val="right"/>
              <w:rPr>
                <w:sz w:val="20"/>
                <w:lang w:val="en-US"/>
              </w:rPr>
            </w:pPr>
            <w:r>
              <w:rPr>
                <w:sz w:val="20"/>
                <w:lang w:val="en-US"/>
              </w:rPr>
              <w:t>2,7</w:t>
            </w:r>
          </w:p>
        </w:tc>
      </w:tr>
      <w:tr w:rsidR="00000000">
        <w:tblPrEx>
          <w:tblCellMar>
            <w:top w:w="0" w:type="dxa"/>
            <w:bottom w:w="0" w:type="dxa"/>
          </w:tblCellMar>
        </w:tblPrEx>
        <w:tc>
          <w:tcPr>
            <w:tcW w:w="2676" w:type="pct"/>
            <w:tcBorders>
              <w:top w:val="nil"/>
              <w:bottom w:val="nil"/>
            </w:tcBorders>
          </w:tcPr>
          <w:p w:rsidR="00000000" w:rsidRDefault="00000000">
            <w:pPr>
              <w:spacing w:before="40" w:after="20" w:line="216" w:lineRule="auto"/>
              <w:rPr>
                <w:sz w:val="20"/>
              </w:rPr>
            </w:pPr>
            <w:r>
              <w:rPr>
                <w:sz w:val="20"/>
              </w:rPr>
              <w:t>Образование</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27,8</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27,5</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31,1</w:t>
            </w:r>
          </w:p>
        </w:tc>
        <w:tc>
          <w:tcPr>
            <w:tcW w:w="581" w:type="pct"/>
            <w:tcBorders>
              <w:top w:val="nil"/>
              <w:bottom w:val="nil"/>
            </w:tcBorders>
          </w:tcPr>
          <w:p w:rsidR="00000000" w:rsidRDefault="00000000">
            <w:pPr>
              <w:tabs>
                <w:tab w:val="clear" w:pos="567"/>
                <w:tab w:val="clear" w:pos="1134"/>
              </w:tabs>
              <w:spacing w:before="40" w:after="20" w:line="216" w:lineRule="auto"/>
              <w:ind w:right="222"/>
              <w:jc w:val="right"/>
              <w:rPr>
                <w:sz w:val="20"/>
                <w:lang w:val="en-US"/>
              </w:rPr>
            </w:pPr>
            <w:r>
              <w:rPr>
                <w:sz w:val="20"/>
                <w:lang w:val="en-US"/>
              </w:rPr>
              <w:t>30,5</w:t>
            </w:r>
          </w:p>
        </w:tc>
      </w:tr>
      <w:tr w:rsidR="00000000">
        <w:tblPrEx>
          <w:tblCellMar>
            <w:top w:w="0" w:type="dxa"/>
            <w:bottom w:w="0" w:type="dxa"/>
          </w:tblCellMar>
        </w:tblPrEx>
        <w:tc>
          <w:tcPr>
            <w:tcW w:w="2676" w:type="pct"/>
            <w:tcBorders>
              <w:top w:val="nil"/>
              <w:bottom w:val="nil"/>
            </w:tcBorders>
          </w:tcPr>
          <w:p w:rsidR="00000000" w:rsidRDefault="00000000">
            <w:pPr>
              <w:spacing w:before="40" w:after="20" w:line="216" w:lineRule="auto"/>
              <w:rPr>
                <w:sz w:val="20"/>
              </w:rPr>
            </w:pPr>
            <w:r>
              <w:rPr>
                <w:sz w:val="20"/>
              </w:rPr>
              <w:t>Высшее образование</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13,8</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15,6</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16,4</w:t>
            </w:r>
          </w:p>
        </w:tc>
        <w:tc>
          <w:tcPr>
            <w:tcW w:w="581" w:type="pct"/>
            <w:tcBorders>
              <w:top w:val="nil"/>
              <w:bottom w:val="nil"/>
            </w:tcBorders>
          </w:tcPr>
          <w:p w:rsidR="00000000" w:rsidRDefault="00000000">
            <w:pPr>
              <w:tabs>
                <w:tab w:val="clear" w:pos="567"/>
                <w:tab w:val="clear" w:pos="1134"/>
              </w:tabs>
              <w:spacing w:before="40" w:after="20" w:line="216" w:lineRule="auto"/>
              <w:ind w:right="222"/>
              <w:jc w:val="right"/>
              <w:rPr>
                <w:sz w:val="20"/>
              </w:rPr>
            </w:pPr>
            <w:r>
              <w:rPr>
                <w:sz w:val="20"/>
                <w:lang w:val="en-US"/>
              </w:rPr>
              <w:t>16,4</w:t>
            </w:r>
          </w:p>
        </w:tc>
      </w:tr>
      <w:tr w:rsidR="00000000">
        <w:tblPrEx>
          <w:tblCellMar>
            <w:top w:w="0" w:type="dxa"/>
            <w:bottom w:w="0" w:type="dxa"/>
          </w:tblCellMar>
        </w:tblPrEx>
        <w:tc>
          <w:tcPr>
            <w:tcW w:w="2676" w:type="pct"/>
            <w:tcBorders>
              <w:top w:val="nil"/>
              <w:bottom w:val="nil"/>
            </w:tcBorders>
          </w:tcPr>
          <w:p w:rsidR="00000000" w:rsidRDefault="00000000">
            <w:pPr>
              <w:spacing w:before="40" w:after="20" w:line="216" w:lineRule="auto"/>
              <w:rPr>
                <w:sz w:val="20"/>
              </w:rPr>
            </w:pPr>
            <w:r>
              <w:rPr>
                <w:sz w:val="20"/>
              </w:rPr>
              <w:t>Культура и искусство</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51,2</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50,0</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47,3</w:t>
            </w:r>
          </w:p>
        </w:tc>
        <w:tc>
          <w:tcPr>
            <w:tcW w:w="581" w:type="pct"/>
            <w:tcBorders>
              <w:top w:val="nil"/>
              <w:bottom w:val="nil"/>
            </w:tcBorders>
          </w:tcPr>
          <w:p w:rsidR="00000000" w:rsidRDefault="00000000">
            <w:pPr>
              <w:tabs>
                <w:tab w:val="clear" w:pos="567"/>
                <w:tab w:val="clear" w:pos="1134"/>
              </w:tabs>
              <w:spacing w:before="40" w:after="20" w:line="216" w:lineRule="auto"/>
              <w:ind w:right="222"/>
              <w:jc w:val="right"/>
              <w:rPr>
                <w:sz w:val="20"/>
                <w:lang w:val="en-US"/>
              </w:rPr>
            </w:pPr>
            <w:r>
              <w:rPr>
                <w:sz w:val="20"/>
                <w:lang w:val="en-US"/>
              </w:rPr>
              <w:t>48,0</w:t>
            </w:r>
          </w:p>
        </w:tc>
      </w:tr>
      <w:tr w:rsidR="00000000">
        <w:tblPrEx>
          <w:tblCellMar>
            <w:top w:w="0" w:type="dxa"/>
            <w:bottom w:w="0" w:type="dxa"/>
          </w:tblCellMar>
        </w:tblPrEx>
        <w:tc>
          <w:tcPr>
            <w:tcW w:w="2676" w:type="pct"/>
            <w:tcBorders>
              <w:top w:val="nil"/>
              <w:bottom w:val="nil"/>
            </w:tcBorders>
          </w:tcPr>
          <w:p w:rsidR="00000000" w:rsidRDefault="00000000">
            <w:pPr>
              <w:spacing w:before="40" w:after="20" w:line="216" w:lineRule="auto"/>
              <w:rPr>
                <w:sz w:val="20"/>
              </w:rPr>
            </w:pPr>
            <w:r>
              <w:rPr>
                <w:sz w:val="20"/>
              </w:rPr>
              <w:t>Прочие виды деятельности</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0,3</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0,4</w:t>
            </w:r>
          </w:p>
        </w:tc>
        <w:tc>
          <w:tcPr>
            <w:tcW w:w="581" w:type="pct"/>
            <w:tcBorders>
              <w:top w:val="nil"/>
              <w:bottom w:val="nil"/>
            </w:tcBorders>
          </w:tcPr>
          <w:p w:rsidR="00000000" w:rsidRDefault="00000000">
            <w:pPr>
              <w:tabs>
                <w:tab w:val="clear" w:pos="567"/>
              </w:tabs>
              <w:spacing w:before="40" w:after="20" w:line="216" w:lineRule="auto"/>
              <w:ind w:right="222"/>
              <w:jc w:val="right"/>
              <w:rPr>
                <w:sz w:val="20"/>
                <w:lang w:val="en-US"/>
              </w:rPr>
            </w:pPr>
            <w:r>
              <w:rPr>
                <w:sz w:val="20"/>
                <w:lang w:val="en-US"/>
              </w:rPr>
              <w:t>0,4</w:t>
            </w:r>
          </w:p>
        </w:tc>
        <w:tc>
          <w:tcPr>
            <w:tcW w:w="581" w:type="pct"/>
            <w:tcBorders>
              <w:top w:val="nil"/>
              <w:bottom w:val="nil"/>
            </w:tcBorders>
          </w:tcPr>
          <w:p w:rsidR="00000000" w:rsidRDefault="00000000">
            <w:pPr>
              <w:tabs>
                <w:tab w:val="clear" w:pos="567"/>
                <w:tab w:val="clear" w:pos="1134"/>
              </w:tabs>
              <w:spacing w:before="40" w:after="20" w:line="216" w:lineRule="auto"/>
              <w:ind w:right="222"/>
              <w:jc w:val="right"/>
              <w:rPr>
                <w:sz w:val="20"/>
                <w:lang w:val="en-US"/>
              </w:rPr>
            </w:pPr>
            <w:r>
              <w:rPr>
                <w:sz w:val="20"/>
                <w:lang w:val="en-US"/>
              </w:rPr>
              <w:t>0,4</w:t>
            </w:r>
          </w:p>
        </w:tc>
      </w:tr>
      <w:tr w:rsidR="00000000">
        <w:tblPrEx>
          <w:tblCellMar>
            <w:top w:w="0" w:type="dxa"/>
            <w:bottom w:w="0" w:type="dxa"/>
          </w:tblCellMar>
        </w:tblPrEx>
        <w:tc>
          <w:tcPr>
            <w:tcW w:w="2676" w:type="pct"/>
            <w:tcBorders>
              <w:top w:val="nil"/>
            </w:tcBorders>
          </w:tcPr>
          <w:p w:rsidR="00000000" w:rsidRDefault="00000000">
            <w:pPr>
              <w:spacing w:before="40" w:after="20" w:line="216" w:lineRule="auto"/>
              <w:rPr>
                <w:sz w:val="20"/>
              </w:rPr>
            </w:pPr>
            <w:r>
              <w:rPr>
                <w:sz w:val="20"/>
              </w:rPr>
              <w:t>Государственное управление</w:t>
            </w:r>
          </w:p>
        </w:tc>
        <w:tc>
          <w:tcPr>
            <w:tcW w:w="581" w:type="pct"/>
            <w:tcBorders>
              <w:top w:val="nil"/>
            </w:tcBorders>
          </w:tcPr>
          <w:p w:rsidR="00000000" w:rsidRDefault="00000000">
            <w:pPr>
              <w:tabs>
                <w:tab w:val="clear" w:pos="567"/>
              </w:tabs>
              <w:spacing w:before="40" w:after="20" w:line="216" w:lineRule="auto"/>
              <w:ind w:right="222"/>
              <w:jc w:val="right"/>
              <w:rPr>
                <w:sz w:val="20"/>
                <w:lang w:val="en-US"/>
              </w:rPr>
            </w:pPr>
            <w:r>
              <w:rPr>
                <w:sz w:val="20"/>
                <w:lang w:val="en-US"/>
              </w:rPr>
              <w:t>3,9</w:t>
            </w:r>
          </w:p>
        </w:tc>
        <w:tc>
          <w:tcPr>
            <w:tcW w:w="581" w:type="pct"/>
            <w:tcBorders>
              <w:top w:val="nil"/>
            </w:tcBorders>
          </w:tcPr>
          <w:p w:rsidR="00000000" w:rsidRDefault="00000000">
            <w:pPr>
              <w:tabs>
                <w:tab w:val="clear" w:pos="567"/>
              </w:tabs>
              <w:spacing w:before="40" w:after="20" w:line="216" w:lineRule="auto"/>
              <w:ind w:right="222"/>
              <w:jc w:val="right"/>
              <w:rPr>
                <w:sz w:val="20"/>
                <w:lang w:val="en-US"/>
              </w:rPr>
            </w:pPr>
            <w:r>
              <w:rPr>
                <w:sz w:val="20"/>
                <w:lang w:val="en-US"/>
              </w:rPr>
              <w:t>3,7</w:t>
            </w:r>
          </w:p>
        </w:tc>
        <w:tc>
          <w:tcPr>
            <w:tcW w:w="581" w:type="pct"/>
            <w:tcBorders>
              <w:top w:val="nil"/>
            </w:tcBorders>
          </w:tcPr>
          <w:p w:rsidR="00000000" w:rsidRDefault="00000000">
            <w:pPr>
              <w:tabs>
                <w:tab w:val="clear" w:pos="567"/>
              </w:tabs>
              <w:spacing w:before="40" w:after="20" w:line="216" w:lineRule="auto"/>
              <w:ind w:right="222"/>
              <w:jc w:val="right"/>
              <w:rPr>
                <w:sz w:val="20"/>
                <w:lang w:val="en-US"/>
              </w:rPr>
            </w:pPr>
            <w:r>
              <w:rPr>
                <w:sz w:val="20"/>
                <w:lang w:val="en-US"/>
              </w:rPr>
              <w:t>2,0</w:t>
            </w:r>
          </w:p>
        </w:tc>
        <w:tc>
          <w:tcPr>
            <w:tcW w:w="581" w:type="pct"/>
            <w:tcBorders>
              <w:top w:val="nil"/>
            </w:tcBorders>
          </w:tcPr>
          <w:p w:rsidR="00000000" w:rsidRDefault="00000000">
            <w:pPr>
              <w:tabs>
                <w:tab w:val="clear" w:pos="567"/>
                <w:tab w:val="clear" w:pos="1134"/>
              </w:tabs>
              <w:spacing w:before="40" w:after="20" w:line="216" w:lineRule="auto"/>
              <w:ind w:right="222"/>
              <w:jc w:val="right"/>
              <w:rPr>
                <w:sz w:val="20"/>
                <w:lang w:val="en-US"/>
              </w:rPr>
            </w:pPr>
            <w:r>
              <w:rPr>
                <w:sz w:val="20"/>
                <w:lang w:val="en-US"/>
              </w:rPr>
              <w:t>2,0</w:t>
            </w:r>
          </w:p>
        </w:tc>
      </w:tr>
    </w:tbl>
    <w:p w:rsidR="00000000" w:rsidRDefault="00000000"/>
    <w:p w:rsidR="00000000" w:rsidRDefault="00000000">
      <w:r>
        <w:tab/>
      </w:r>
      <w:r>
        <w:rPr>
          <w:u w:val="single"/>
        </w:rPr>
        <w:t>Источник</w:t>
      </w:r>
      <w:r>
        <w:t>:  данные министерства культуры и искусства (МКИ).</w:t>
      </w:r>
    </w:p>
    <w:p w:rsidR="00000000" w:rsidRDefault="00000000">
      <w:pPr>
        <w:pStyle w:val="FootnoteText"/>
        <w:spacing w:line="288" w:lineRule="auto"/>
      </w:pPr>
    </w:p>
    <w:p w:rsidR="00000000" w:rsidRDefault="00000000">
      <w:r>
        <w:t>351.</w:t>
      </w:r>
      <w:r>
        <w:tab/>
        <w:t>Ниже приведены расходы на архивную деятельность в 1995-1998 годах (в тысячах злотых):</w:t>
      </w:r>
    </w:p>
    <w:p w:rsidR="00000000" w:rsidRDefault="00000000"/>
    <w:p w:rsidR="00000000" w:rsidRDefault="00000000">
      <w:pPr>
        <w:pStyle w:val="10"/>
        <w:rPr>
          <w:b w:val="0"/>
        </w:rPr>
      </w:pPr>
      <w:r>
        <w:rPr>
          <w:b w:val="0"/>
          <w:u w:val="single"/>
        </w:rPr>
        <w:t>Таблица 50</w:t>
      </w:r>
      <w:r>
        <w:rPr>
          <w:b w:val="0"/>
        </w:rPr>
        <w:t xml:space="preserve">.  </w:t>
      </w:r>
      <w:r>
        <w:rPr>
          <w:b w:val="0"/>
          <w:u w:val="single"/>
        </w:rPr>
        <w:t>Расходы министерства культуры и искусства на архивную деятельность</w:t>
      </w:r>
    </w:p>
    <w:p w:rsidR="00000000" w:rsidRDefault="00000000">
      <w:pPr>
        <w:pStyle w:val="10"/>
        <w:rPr>
          <w:b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rPr>
          <w:jc w:val="center"/>
        </w:trPr>
        <w:tc>
          <w:tcPr>
            <w:tcW w:w="2392" w:type="dxa"/>
          </w:tcPr>
          <w:p w:rsidR="00000000" w:rsidRDefault="00000000">
            <w:pPr>
              <w:pStyle w:val="FootnoteText"/>
              <w:spacing w:before="40" w:after="20" w:line="216" w:lineRule="auto"/>
              <w:jc w:val="center"/>
              <w:rPr>
                <w:sz w:val="20"/>
              </w:rPr>
            </w:pPr>
            <w:r>
              <w:rPr>
                <w:sz w:val="20"/>
              </w:rPr>
              <w:t>1995</w:t>
            </w:r>
          </w:p>
        </w:tc>
        <w:tc>
          <w:tcPr>
            <w:tcW w:w="2393" w:type="dxa"/>
          </w:tcPr>
          <w:p w:rsidR="00000000" w:rsidRDefault="00000000">
            <w:pPr>
              <w:spacing w:before="40" w:after="20" w:line="216" w:lineRule="auto"/>
              <w:jc w:val="center"/>
              <w:rPr>
                <w:sz w:val="20"/>
              </w:rPr>
            </w:pPr>
            <w:r>
              <w:rPr>
                <w:sz w:val="20"/>
              </w:rPr>
              <w:t>1996</w:t>
            </w:r>
          </w:p>
        </w:tc>
        <w:tc>
          <w:tcPr>
            <w:tcW w:w="2393" w:type="dxa"/>
          </w:tcPr>
          <w:p w:rsidR="00000000" w:rsidRDefault="00000000">
            <w:pPr>
              <w:spacing w:before="40" w:after="20" w:line="216" w:lineRule="auto"/>
              <w:jc w:val="center"/>
              <w:rPr>
                <w:sz w:val="20"/>
              </w:rPr>
            </w:pPr>
            <w:r>
              <w:rPr>
                <w:sz w:val="20"/>
              </w:rPr>
              <w:t>1997</w:t>
            </w:r>
          </w:p>
        </w:tc>
        <w:tc>
          <w:tcPr>
            <w:tcW w:w="2393" w:type="dxa"/>
          </w:tcPr>
          <w:p w:rsidR="00000000" w:rsidRDefault="00000000">
            <w:pPr>
              <w:spacing w:before="40" w:after="20" w:line="216" w:lineRule="auto"/>
              <w:jc w:val="center"/>
              <w:rPr>
                <w:sz w:val="20"/>
              </w:rPr>
            </w:pPr>
            <w:r>
              <w:rPr>
                <w:sz w:val="20"/>
              </w:rPr>
              <w:t>1998</w:t>
            </w:r>
          </w:p>
        </w:tc>
      </w:tr>
      <w:tr w:rsidR="00000000">
        <w:tblPrEx>
          <w:tblCellMar>
            <w:top w:w="0" w:type="dxa"/>
            <w:bottom w:w="0" w:type="dxa"/>
          </w:tblCellMar>
        </w:tblPrEx>
        <w:trPr>
          <w:jc w:val="center"/>
        </w:trPr>
        <w:tc>
          <w:tcPr>
            <w:tcW w:w="2392" w:type="dxa"/>
          </w:tcPr>
          <w:p w:rsidR="00000000" w:rsidRDefault="00000000">
            <w:pPr>
              <w:pStyle w:val="FootnoteText"/>
              <w:spacing w:before="40" w:after="20" w:line="216" w:lineRule="auto"/>
              <w:jc w:val="center"/>
              <w:rPr>
                <w:sz w:val="20"/>
              </w:rPr>
            </w:pPr>
            <w:r>
              <w:rPr>
                <w:sz w:val="20"/>
              </w:rPr>
              <w:t>22 408,5</w:t>
            </w:r>
          </w:p>
        </w:tc>
        <w:tc>
          <w:tcPr>
            <w:tcW w:w="2393" w:type="dxa"/>
          </w:tcPr>
          <w:p w:rsidR="00000000" w:rsidRDefault="00000000">
            <w:pPr>
              <w:spacing w:before="40" w:after="20" w:line="216" w:lineRule="auto"/>
              <w:jc w:val="center"/>
              <w:rPr>
                <w:sz w:val="20"/>
              </w:rPr>
            </w:pPr>
            <w:r>
              <w:rPr>
                <w:sz w:val="20"/>
              </w:rPr>
              <w:t>28 756,6</w:t>
            </w:r>
          </w:p>
        </w:tc>
        <w:tc>
          <w:tcPr>
            <w:tcW w:w="2393" w:type="dxa"/>
          </w:tcPr>
          <w:p w:rsidR="00000000" w:rsidRDefault="00000000">
            <w:pPr>
              <w:spacing w:before="40" w:after="20" w:line="216" w:lineRule="auto"/>
              <w:jc w:val="center"/>
              <w:rPr>
                <w:sz w:val="20"/>
              </w:rPr>
            </w:pPr>
            <w:r>
              <w:rPr>
                <w:sz w:val="20"/>
              </w:rPr>
              <w:t>40 478,9</w:t>
            </w:r>
          </w:p>
        </w:tc>
        <w:tc>
          <w:tcPr>
            <w:tcW w:w="2393" w:type="dxa"/>
          </w:tcPr>
          <w:p w:rsidR="00000000" w:rsidRDefault="00000000">
            <w:pPr>
              <w:spacing w:before="40" w:after="20" w:line="216" w:lineRule="auto"/>
              <w:jc w:val="center"/>
              <w:rPr>
                <w:sz w:val="20"/>
              </w:rPr>
            </w:pPr>
            <w:r>
              <w:rPr>
                <w:sz w:val="20"/>
              </w:rPr>
              <w:t>46 778,5</w:t>
            </w:r>
          </w:p>
        </w:tc>
      </w:tr>
    </w:tbl>
    <w:p w:rsidR="00000000" w:rsidRDefault="00000000">
      <w:pPr>
        <w:pStyle w:val="FootnoteText"/>
        <w:spacing w:line="288" w:lineRule="auto"/>
      </w:pPr>
    </w:p>
    <w:p w:rsidR="00000000" w:rsidRDefault="00000000">
      <w:r>
        <w:tab/>
      </w:r>
      <w:r>
        <w:rPr>
          <w:u w:val="single"/>
        </w:rPr>
        <w:t>Источник</w:t>
      </w:r>
      <w:r>
        <w:t>:  данные Главного департамента государственных архивов.</w:t>
      </w:r>
    </w:p>
    <w:p w:rsidR="00000000" w:rsidRDefault="00000000">
      <w:pPr>
        <w:pStyle w:val="FootnoteText"/>
        <w:spacing w:line="288" w:lineRule="auto"/>
      </w:pPr>
    </w:p>
    <w:p w:rsidR="00000000" w:rsidRDefault="00000000">
      <w:r>
        <w:t>352.</w:t>
      </w:r>
      <w:r>
        <w:tab/>
        <w:t>Вышеуказанные расходы покрывались за счет ресурсов, выделяемых по Закону о бюджете.  Кроме того, архивы оплачивали некоторые из своих приобретений, например аппаратное обеспечение ЭВМ и необходимое специализированное программное обеспечение, из собственных средств (средств, полученных за счет предоставления соответствующих услуг).</w:t>
      </w:r>
    </w:p>
    <w:p w:rsidR="00000000" w:rsidRDefault="00000000"/>
    <w:p w:rsidR="00000000" w:rsidRDefault="00000000">
      <w:r>
        <w:t>353.</w:t>
      </w:r>
      <w:r>
        <w:tab/>
        <w:t>Предполагалось, что в результате процесса децентрализации и изменений в социальной политике круг ведения и масштабы финансирования культуры министром культуры и искусства и воеводствами изменятся.  Круг полномочий и участие гминов в государственных расходах на культуру должны расшириться.  Структура государственных расходов на культуру, расходы административных ведомств и подразделений в департаментах и министерствах показаны на диаграмме, подготовленной министерством культуры и искусства (для более наглядной иллюстрации изменений данные приводятся за период с 1991 года):</w:t>
      </w:r>
    </w:p>
    <w:p w:rsidR="00000000" w:rsidRDefault="00000000">
      <w:pPr>
        <w:spacing w:line="120" w:lineRule="auto"/>
        <w:rPr>
          <w:lang w:val="en-US"/>
        </w:rPr>
      </w:pPr>
      <w:r>
        <w:rPr>
          <w:bCs/>
        </w:rPr>
        <w:object w:dxaOrig="9499" w:dyaOrig="4359">
          <v:shape id="_x0000_i1026" type="#_x0000_t75" style="width:474.75pt;height:218.25pt" o:ole="" fillcolor="window">
            <v:imagedata r:id="rId8" o:title=""/>
          </v:shape>
          <o:OLEObject Type="Embed" ProgID="MSGraph.Chart.8" ShapeID="_x0000_i1026" DrawAspect="Content" ObjectID="_1394896032" r:id="rId9">
            <o:FieldCodes>\s</o:FieldCodes>
          </o:OLEObject>
        </w:object>
      </w:r>
    </w:p>
    <w:p w:rsidR="00000000" w:rsidRDefault="00000000">
      <w:r>
        <w:tab/>
      </w:r>
      <w:r>
        <w:rPr>
          <w:u w:val="single"/>
        </w:rPr>
        <w:t>Источник</w:t>
      </w:r>
      <w:r>
        <w:t>:  данные министерства культуры и искусства (МКИ).</w:t>
      </w:r>
    </w:p>
    <w:p w:rsidR="00000000" w:rsidRDefault="00000000">
      <w:pPr>
        <w:pStyle w:val="BodyTextIndent"/>
        <w:spacing w:line="288" w:lineRule="auto"/>
        <w:rPr>
          <w:b/>
          <w:bCs/>
          <w:u w:val="single"/>
        </w:rPr>
      </w:pPr>
      <w:r>
        <w:br w:type="page"/>
      </w:r>
      <w:r>
        <w:rPr>
          <w:b/>
          <w:bCs/>
          <w:u w:val="single"/>
        </w:rPr>
        <w:t>Таблица 51</w:t>
      </w:r>
      <w:r>
        <w:rPr>
          <w:b/>
          <w:bCs/>
        </w:rPr>
        <w:t>.</w:t>
      </w:r>
      <w:r>
        <w:rPr>
          <w:b/>
          <w:bCs/>
        </w:rPr>
        <w:tab/>
      </w:r>
      <w:r>
        <w:rPr>
          <w:b/>
          <w:bCs/>
          <w:u w:val="single"/>
        </w:rPr>
        <w:t>Показатели и структура расходов министерства культуры и искусства на культуру</w:t>
      </w:r>
    </w:p>
    <w:p w:rsidR="00000000" w:rsidRDefault="00000000">
      <w:pPr>
        <w:pStyle w:val="BodyTextIndent"/>
        <w:spacing w:line="288" w:lineRule="auto"/>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5617"/>
        <w:gridCol w:w="948"/>
        <w:gridCol w:w="949"/>
        <w:gridCol w:w="949"/>
        <w:gridCol w:w="947"/>
      </w:tblGrid>
      <w:tr w:rsidR="00000000">
        <w:trPr>
          <w:trHeight w:val="171"/>
          <w:tblHeader/>
        </w:trPr>
        <w:tc>
          <w:tcPr>
            <w:tcW w:w="2985" w:type="pct"/>
            <w:tcBorders>
              <w:bottom w:val="single" w:sz="4" w:space="0" w:color="auto"/>
            </w:tcBorders>
            <w:vAlign w:val="center"/>
          </w:tcPr>
          <w:p w:rsidR="00000000" w:rsidRDefault="00000000">
            <w:pPr>
              <w:spacing w:line="216" w:lineRule="auto"/>
              <w:jc w:val="center"/>
              <w:rPr>
                <w:sz w:val="20"/>
              </w:rPr>
            </w:pPr>
          </w:p>
        </w:tc>
        <w:tc>
          <w:tcPr>
            <w:tcW w:w="504"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line="216" w:lineRule="auto"/>
              <w:jc w:val="center"/>
              <w:rPr>
                <w:sz w:val="20"/>
              </w:rPr>
            </w:pPr>
            <w:r>
              <w:rPr>
                <w:sz w:val="20"/>
              </w:rPr>
              <w:t>1995</w:t>
            </w:r>
          </w:p>
        </w:tc>
        <w:tc>
          <w:tcPr>
            <w:tcW w:w="504"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line="216" w:lineRule="auto"/>
              <w:jc w:val="center"/>
              <w:rPr>
                <w:sz w:val="20"/>
              </w:rPr>
            </w:pPr>
            <w:r>
              <w:rPr>
                <w:sz w:val="20"/>
              </w:rPr>
              <w:t>1996</w:t>
            </w:r>
          </w:p>
        </w:tc>
        <w:tc>
          <w:tcPr>
            <w:tcW w:w="504"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line="216" w:lineRule="auto"/>
              <w:jc w:val="center"/>
              <w:rPr>
                <w:sz w:val="20"/>
              </w:rPr>
            </w:pPr>
            <w:r>
              <w:rPr>
                <w:sz w:val="20"/>
              </w:rPr>
              <w:t>1997</w:t>
            </w:r>
          </w:p>
        </w:tc>
        <w:tc>
          <w:tcPr>
            <w:tcW w:w="504"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line="216" w:lineRule="auto"/>
              <w:jc w:val="center"/>
              <w:rPr>
                <w:sz w:val="20"/>
              </w:rPr>
            </w:pPr>
            <w:r>
              <w:rPr>
                <w:sz w:val="20"/>
              </w:rPr>
              <w:t>1998</w:t>
            </w:r>
          </w:p>
        </w:tc>
      </w:tr>
      <w:tr w:rsidR="00000000">
        <w:trPr>
          <w:trHeight w:val="194"/>
        </w:trPr>
        <w:tc>
          <w:tcPr>
            <w:tcW w:w="2985" w:type="pct"/>
            <w:tcBorders>
              <w:bottom w:val="nil"/>
            </w:tcBorders>
          </w:tcPr>
          <w:p w:rsidR="00000000" w:rsidRDefault="00000000">
            <w:pPr>
              <w:spacing w:line="216" w:lineRule="auto"/>
              <w:rPr>
                <w:sz w:val="20"/>
              </w:rPr>
            </w:pPr>
            <w:r>
              <w:rPr>
                <w:sz w:val="20"/>
              </w:rPr>
              <w:t>Расходы (тыс. злотых)</w:t>
            </w:r>
          </w:p>
        </w:tc>
        <w:tc>
          <w:tcPr>
            <w:tcW w:w="504" w:type="pct"/>
            <w:tcBorders>
              <w:bottom w:val="nil"/>
            </w:tcBorders>
          </w:tcPr>
          <w:p w:rsidR="00000000" w:rsidRDefault="00000000">
            <w:pPr>
              <w:pStyle w:val="FootnoteText"/>
              <w:tabs>
                <w:tab w:val="clear" w:pos="567"/>
                <w:tab w:val="clear" w:pos="1134"/>
                <w:tab w:val="clear" w:pos="1701"/>
                <w:tab w:val="clear" w:pos="2268"/>
                <w:tab w:val="clear" w:pos="6237"/>
              </w:tabs>
              <w:spacing w:line="216" w:lineRule="auto"/>
              <w:jc w:val="center"/>
              <w:rPr>
                <w:sz w:val="20"/>
              </w:rPr>
            </w:pPr>
            <w:r>
              <w:rPr>
                <w:sz w:val="20"/>
              </w:rPr>
              <w:t>275 194</w:t>
            </w:r>
          </w:p>
        </w:tc>
        <w:tc>
          <w:tcPr>
            <w:tcW w:w="504" w:type="pct"/>
            <w:tcBorders>
              <w:bottom w:val="nil"/>
            </w:tcBorders>
          </w:tcPr>
          <w:p w:rsidR="00000000" w:rsidRDefault="00000000">
            <w:pPr>
              <w:tabs>
                <w:tab w:val="clear" w:pos="567"/>
                <w:tab w:val="clear" w:pos="1134"/>
                <w:tab w:val="clear" w:pos="1701"/>
                <w:tab w:val="clear" w:pos="2268"/>
                <w:tab w:val="clear" w:pos="6237"/>
              </w:tabs>
              <w:spacing w:line="216" w:lineRule="auto"/>
              <w:jc w:val="center"/>
              <w:rPr>
                <w:sz w:val="20"/>
              </w:rPr>
            </w:pPr>
            <w:r>
              <w:rPr>
                <w:sz w:val="20"/>
              </w:rPr>
              <w:t>329 037</w:t>
            </w:r>
          </w:p>
        </w:tc>
        <w:tc>
          <w:tcPr>
            <w:tcW w:w="504" w:type="pct"/>
            <w:tcBorders>
              <w:bottom w:val="nil"/>
            </w:tcBorders>
          </w:tcPr>
          <w:p w:rsidR="00000000" w:rsidRDefault="00000000">
            <w:pPr>
              <w:tabs>
                <w:tab w:val="clear" w:pos="567"/>
                <w:tab w:val="clear" w:pos="1134"/>
                <w:tab w:val="clear" w:pos="1701"/>
                <w:tab w:val="clear" w:pos="2268"/>
                <w:tab w:val="clear" w:pos="6237"/>
              </w:tabs>
              <w:spacing w:line="216" w:lineRule="auto"/>
              <w:jc w:val="center"/>
              <w:rPr>
                <w:sz w:val="20"/>
              </w:rPr>
            </w:pPr>
            <w:r>
              <w:rPr>
                <w:sz w:val="20"/>
              </w:rPr>
              <w:t>370 012</w:t>
            </w:r>
          </w:p>
        </w:tc>
        <w:tc>
          <w:tcPr>
            <w:tcW w:w="504" w:type="pct"/>
            <w:tcBorders>
              <w:bottom w:val="nil"/>
            </w:tcBorders>
          </w:tcPr>
          <w:p w:rsidR="00000000" w:rsidRDefault="00000000">
            <w:pPr>
              <w:tabs>
                <w:tab w:val="clear" w:pos="567"/>
                <w:tab w:val="clear" w:pos="1134"/>
                <w:tab w:val="clear" w:pos="1701"/>
                <w:tab w:val="clear" w:pos="2268"/>
                <w:tab w:val="clear" w:pos="6237"/>
              </w:tabs>
              <w:spacing w:line="216" w:lineRule="auto"/>
              <w:jc w:val="center"/>
              <w:rPr>
                <w:sz w:val="20"/>
              </w:rPr>
            </w:pPr>
            <w:r>
              <w:rPr>
                <w:sz w:val="20"/>
              </w:rPr>
              <w:t>421 580</w:t>
            </w:r>
          </w:p>
        </w:tc>
      </w:tr>
      <w:tr w:rsidR="00000000">
        <w:trPr>
          <w:trHeight w:val="112"/>
        </w:trPr>
        <w:tc>
          <w:tcPr>
            <w:tcW w:w="2985" w:type="pct"/>
            <w:tcBorders>
              <w:top w:val="nil"/>
              <w:bottom w:val="nil"/>
            </w:tcBorders>
          </w:tcPr>
          <w:p w:rsidR="00000000" w:rsidRDefault="00000000">
            <w:pPr>
              <w:spacing w:line="216" w:lineRule="auto"/>
              <w:rPr>
                <w:sz w:val="20"/>
              </w:rPr>
            </w:pPr>
            <w:r>
              <w:rPr>
                <w:sz w:val="20"/>
              </w:rPr>
              <w:t>Реальные показатели расходов в % (предыдущий год = 100)</w:t>
            </w:r>
          </w:p>
        </w:tc>
        <w:tc>
          <w:tcPr>
            <w:tcW w:w="504" w:type="pct"/>
            <w:tcBorders>
              <w:top w:val="nil"/>
              <w:bottom w:val="nil"/>
            </w:tcBorders>
          </w:tcPr>
          <w:p w:rsidR="00000000" w:rsidRDefault="00000000">
            <w:pPr>
              <w:pStyle w:val="FootnoteText"/>
              <w:tabs>
                <w:tab w:val="clear" w:pos="1134"/>
                <w:tab w:val="clear" w:pos="1701"/>
                <w:tab w:val="clear" w:pos="2268"/>
                <w:tab w:val="clear" w:pos="6237"/>
                <w:tab w:val="decimal" w:pos="567"/>
              </w:tabs>
              <w:spacing w:line="216" w:lineRule="auto"/>
              <w:rPr>
                <w:sz w:val="20"/>
              </w:rPr>
            </w:pPr>
            <w:r>
              <w:rPr>
                <w:sz w:val="20"/>
              </w:rPr>
              <w:t>106,56</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99,72</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97,87</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101,91</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Музеи</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23,9</w:t>
            </w:r>
          </w:p>
        </w:tc>
        <w:tc>
          <w:tcPr>
            <w:tcW w:w="504" w:type="pct"/>
            <w:tcBorders>
              <w:top w:val="nil"/>
              <w:bottom w:val="nil"/>
            </w:tcBorders>
          </w:tcPr>
          <w:p w:rsidR="00000000" w:rsidRDefault="00000000">
            <w:pPr>
              <w:pStyle w:val="FootnoteText"/>
              <w:tabs>
                <w:tab w:val="clear" w:pos="1134"/>
                <w:tab w:val="clear" w:pos="1701"/>
                <w:tab w:val="clear" w:pos="2268"/>
                <w:tab w:val="clear" w:pos="6237"/>
                <w:tab w:val="decimal" w:pos="567"/>
              </w:tabs>
              <w:spacing w:line="216" w:lineRule="auto"/>
              <w:rPr>
                <w:sz w:val="20"/>
              </w:rPr>
            </w:pPr>
            <w:r>
              <w:rPr>
                <w:sz w:val="20"/>
              </w:rPr>
              <w:t>26,5</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31,3</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27,8</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Сохранение исторических памятников</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9,0</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11,4</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16,0</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17,2</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Охрана исторических памятников</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2,3</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2,6</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2,7</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2,9</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Захета </w:t>
            </w:r>
            <w:r>
              <w:rPr>
                <w:sz w:val="20"/>
              </w:rPr>
              <w:sym w:font="Symbol" w:char="F02D"/>
            </w:r>
            <w:r>
              <w:rPr>
                <w:sz w:val="20"/>
              </w:rPr>
              <w:t xml:space="preserve"> управление художественных выставок</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1,6</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1,6</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1,7</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1,4</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Национальное хранилище кинофильмов</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0,3</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0,4</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0,4</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0,4</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Художественные центры</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1,5</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1,4</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1,5</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1,5</w:t>
            </w:r>
          </w:p>
        </w:tc>
      </w:tr>
      <w:tr w:rsidR="00000000">
        <w:trPr>
          <w:trHeight w:val="172"/>
        </w:trPr>
        <w:tc>
          <w:tcPr>
            <w:tcW w:w="2985" w:type="pct"/>
            <w:tcBorders>
              <w:top w:val="nil"/>
              <w:bottom w:val="nil"/>
            </w:tcBorders>
          </w:tcPr>
          <w:p w:rsidR="00000000" w:rsidRDefault="00000000">
            <w:pPr>
              <w:spacing w:line="216" w:lineRule="auto"/>
              <w:rPr>
                <w:sz w:val="20"/>
              </w:rPr>
            </w:pPr>
            <w:r>
              <w:rPr>
                <w:sz w:val="20"/>
              </w:rPr>
              <w:t>Национальная библиотека</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9,7</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8,1</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8,6</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7,9</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Общинные центры и клубы</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0,3</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0,4</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0,4</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0,5</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Музыкальные, художественные и культурные объединения</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4,0</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3,6</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4,0</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4,4</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Утрата ценностей в результате наводнения 1997 года</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sym w:font="Symbol" w:char="F02D"/>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sym w:font="Symbol" w:char="F02D"/>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2,4</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4,6</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Драматические театры, театры оперы и оперетты</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9,4</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12,5</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16,1</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15,8</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Национальная филармония</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2,6</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2,4</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3,0</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3,0</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Национальное управление концертов</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0,1</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0,1</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0,2</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0,2</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Песенные и танцевальные ансамбли</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sym w:font="Symbol" w:char="F02D"/>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sym w:font="Symbol" w:char="F02D"/>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0,5</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1,1</w:t>
            </w:r>
          </w:p>
        </w:tc>
      </w:tr>
      <w:tr w:rsidR="00000000">
        <w:trPr>
          <w:trHeight w:val="171"/>
        </w:trPr>
        <w:tc>
          <w:tcPr>
            <w:tcW w:w="2985" w:type="pct"/>
            <w:tcBorders>
              <w:top w:val="nil"/>
              <w:bottom w:val="nil"/>
            </w:tcBorders>
          </w:tcPr>
          <w:p w:rsidR="00000000" w:rsidRDefault="00000000">
            <w:pPr>
              <w:spacing w:line="216" w:lineRule="auto"/>
              <w:rPr>
                <w:sz w:val="20"/>
              </w:rPr>
            </w:pPr>
            <w:r>
              <w:rPr>
                <w:sz w:val="20"/>
              </w:rPr>
              <w:t>Киноучреждения</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1,6</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1,3</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1,2</w:t>
            </w:r>
          </w:p>
        </w:tc>
        <w:tc>
          <w:tcPr>
            <w:tcW w:w="504" w:type="pct"/>
            <w:tcBorders>
              <w:top w:val="nil"/>
              <w:bottom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1,1</w:t>
            </w:r>
          </w:p>
        </w:tc>
      </w:tr>
      <w:tr w:rsidR="00000000">
        <w:trPr>
          <w:trHeight w:val="172"/>
        </w:trPr>
        <w:tc>
          <w:tcPr>
            <w:tcW w:w="2985" w:type="pct"/>
            <w:tcBorders>
              <w:top w:val="nil"/>
            </w:tcBorders>
          </w:tcPr>
          <w:p w:rsidR="00000000" w:rsidRDefault="00000000">
            <w:pPr>
              <w:spacing w:line="216" w:lineRule="auto"/>
              <w:rPr>
                <w:sz w:val="20"/>
              </w:rPr>
            </w:pPr>
            <w:r>
              <w:rPr>
                <w:sz w:val="20"/>
              </w:rPr>
              <w:t>Прочая деятельность</w:t>
            </w:r>
          </w:p>
        </w:tc>
        <w:tc>
          <w:tcPr>
            <w:tcW w:w="504" w:type="pct"/>
            <w:tcBorders>
              <w:top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33,7</w:t>
            </w:r>
          </w:p>
        </w:tc>
        <w:tc>
          <w:tcPr>
            <w:tcW w:w="504" w:type="pct"/>
            <w:tcBorders>
              <w:top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27,5</w:t>
            </w:r>
          </w:p>
        </w:tc>
        <w:tc>
          <w:tcPr>
            <w:tcW w:w="504" w:type="pct"/>
            <w:tcBorders>
              <w:top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9,8</w:t>
            </w:r>
          </w:p>
        </w:tc>
        <w:tc>
          <w:tcPr>
            <w:tcW w:w="504" w:type="pct"/>
            <w:tcBorders>
              <w:top w:val="nil"/>
            </w:tcBorders>
          </w:tcPr>
          <w:p w:rsidR="00000000" w:rsidRDefault="00000000">
            <w:pPr>
              <w:tabs>
                <w:tab w:val="clear" w:pos="1134"/>
                <w:tab w:val="clear" w:pos="1701"/>
                <w:tab w:val="clear" w:pos="2268"/>
                <w:tab w:val="clear" w:pos="6237"/>
                <w:tab w:val="decimal" w:pos="567"/>
              </w:tabs>
              <w:spacing w:line="216" w:lineRule="auto"/>
              <w:rPr>
                <w:sz w:val="20"/>
              </w:rPr>
            </w:pPr>
            <w:r>
              <w:rPr>
                <w:sz w:val="20"/>
              </w:rPr>
              <w:t>9,9</w:t>
            </w:r>
          </w:p>
        </w:tc>
      </w:tr>
    </w:tbl>
    <w:p w:rsidR="00000000" w:rsidRDefault="00000000">
      <w:pPr>
        <w:tabs>
          <w:tab w:val="clear" w:pos="1134"/>
          <w:tab w:val="left" w:pos="1276"/>
        </w:tabs>
      </w:pPr>
    </w:p>
    <w:p w:rsidR="00000000" w:rsidRDefault="00000000">
      <w:pPr>
        <w:tabs>
          <w:tab w:val="clear" w:pos="1134"/>
          <w:tab w:val="left" w:pos="1276"/>
        </w:tabs>
      </w:pPr>
      <w:r>
        <w:tab/>
      </w:r>
      <w:r>
        <w:rPr>
          <w:u w:val="single"/>
        </w:rPr>
        <w:t>Источник</w:t>
      </w:r>
      <w:r>
        <w:t>:  данные министерства культуры и искусства (МКИ).</w:t>
      </w:r>
    </w:p>
    <w:p w:rsidR="00000000" w:rsidRDefault="00000000">
      <w:pPr>
        <w:tabs>
          <w:tab w:val="clear" w:pos="1134"/>
          <w:tab w:val="left" w:pos="1276"/>
        </w:tabs>
      </w:pPr>
    </w:p>
    <w:p w:rsidR="00000000" w:rsidRDefault="00000000">
      <w:r>
        <w:t>354.</w:t>
      </w:r>
      <w:r>
        <w:tab/>
        <w:t>В 90</w:t>
      </w:r>
      <w:r>
        <w:noBreakHyphen/>
        <w:t>х годах государственные средства выделялись главным образом на уровне воеводств.  В 1997 году воеводства выделили на культуру 641 038 000 злотых, что в реальном выражении на 15,6% превысило показатель 1996 года.  Бóльшая часть этих финансовых средств пошла на удовлетворение потребностей музеев, театров и библиотек.  В 1997 году гмины выделили на культуру 1 105 766 000 злотых, или 2,7% своего бюджета.  Хотя в процентном отношении доля расходов на культуру в бюджете гминов сокращалась, в реальном выражении она увеличилась.  Гмины потратили бóльшую часть своих средств на библиотеки (в 1996 году </w:t>
      </w:r>
      <w:r>
        <w:sym w:font="Symbol" w:char="F02D"/>
      </w:r>
      <w:r>
        <w:t xml:space="preserve"> 30,47%), обслуживание и содержание культурных заведений (11,9%) и центров (23,54%), клубов и общинных центров (4,6%).</w:t>
      </w:r>
    </w:p>
    <w:p w:rsidR="00000000" w:rsidRDefault="00000000"/>
    <w:p w:rsidR="00000000" w:rsidRDefault="00000000">
      <w:r>
        <w:t>355.</w:t>
      </w:r>
      <w:r>
        <w:tab/>
        <w:t>Цель изысканий, проведенных в конце 1997 </w:t>
      </w:r>
      <w:r>
        <w:sym w:font="Symbol" w:char="F02D"/>
      </w:r>
      <w:r>
        <w:t xml:space="preserve"> начале 1998 годов, заключалась в том, чтобы оценить изменения, происшедшие с 1989 года в положении государственных культурных учреждений художественного профиля, и выяснить их собственное мнение о своем положении в конце 90</w:t>
      </w:r>
      <w:r>
        <w:noBreakHyphen/>
        <w:t>х годов.  Это обследование охватило 94 учреждения, в том числе 31 музей, 26 драматических театров и 8 театров оперы, оперетты и музыкальных театров.  В 1996 году из государственного бюджета и бюджетов гминов на их нужды было выделено 158 357 654 злотых.  В среднем бюджетные субсидии составили 78,4% их доходов.  В обследуемую группу входили учреждения, которые пользовались помещениями и фондами неправительственных учреждений.  Наихудшее положение было в театрах:  у них отсутствовали средства на ремонт и модернизацию, они сталкивались с многочисленными творческими проблемами, а их высококвалифицированный персонал был низкооплачиваемым.  В аналогичном положении оказались музеи и галереи.  Однако многие учреждения начали изыскивать возможности для привлечения новых источников финансирования.  Различие мнений, высказанных во время обследования, видимо, объясняется тем, что музеи и галереи (бюджетные учреждения) не могли пользоваться такими возможностями до введения в 1989 году соответствующего законодательства.  В случае художественных учреждений, которые до этого срока в течение нескольких лет работали за собственный счет, эти изменения не имели столь большого воздействия.  Более того, они не пользовались преимуществом, которое было у всех бюджетных организаций, где в установленном порядке производилось увеличение заработной платы.</w:t>
      </w:r>
    </w:p>
    <w:p w:rsidR="00000000" w:rsidRDefault="00000000"/>
    <w:p w:rsidR="00000000" w:rsidRDefault="00000000">
      <w:r>
        <w:t>356.</w:t>
      </w:r>
      <w:r>
        <w:tab/>
        <w:t>Данное обследование показывает, что в 1995</w:t>
      </w:r>
      <w:r>
        <w:sym w:font="Symbol" w:char="F02D"/>
      </w:r>
      <w:r>
        <w:t>1998 годах культурные учреждения, хотя и сталкивались с различными проблемами, стали постепенно адаптироваться к условиям свободного рынка.  Новые методы работы, выразившиеся в использовании услуг специально подготовленных менеджеров по вопросам культуры, создании собственных отделов по пропаганде и рекламе и в поиске благотворителей и спонсоров, привели к росту профессионализма.  Нередко складывалась такая ситуация, когда то или иное учреждение получало средства одновременно из всех имеющихся источников, как бюджетных, так и внебюджетных.  Путем изучения рынка театры планировали свой репертуар таким образом, чтобы привлечь максимальное количество зрителей.  Эти методы, хотя и в намного меньшем масштабе, практиковались музеями и галереями, которые во многих случаях прислушивались к общественному мнению.</w:t>
      </w:r>
    </w:p>
    <w:p w:rsidR="00000000" w:rsidRDefault="00000000"/>
    <w:p w:rsidR="00000000" w:rsidRDefault="00000000">
      <w:pPr>
        <w:pStyle w:val="BodyTextIndent2"/>
        <w:keepNext/>
        <w:rPr>
          <w:b w:val="0"/>
          <w:bCs w:val="0"/>
        </w:rPr>
      </w:pPr>
      <w:r>
        <w:rPr>
          <w:b w:val="0"/>
          <w:bCs w:val="0"/>
        </w:rPr>
        <w:tab/>
        <w:t>2.</w:t>
      </w:r>
      <w:r>
        <w:rPr>
          <w:b w:val="0"/>
          <w:bCs w:val="0"/>
        </w:rPr>
        <w:tab/>
        <w:t>Инфраструктура:  архивы, музеи, библиотеки, культурные учреждения, региональные общества, театры, кинотеатры</w:t>
      </w:r>
    </w:p>
    <w:p w:rsidR="00000000" w:rsidRDefault="00000000">
      <w:pPr>
        <w:pStyle w:val="BodyTextIndent2"/>
        <w:keepNext/>
      </w:pPr>
    </w:p>
    <w:p w:rsidR="00000000" w:rsidRDefault="00000000">
      <w:pPr>
        <w:pStyle w:val="Heading2"/>
        <w:rPr>
          <w:b/>
          <w:bCs/>
          <w:u w:val="none"/>
        </w:rPr>
      </w:pPr>
      <w:r>
        <w:rPr>
          <w:b/>
          <w:bCs/>
          <w:u w:val="none"/>
        </w:rPr>
        <w:t>Государственные архивы</w:t>
      </w:r>
    </w:p>
    <w:p w:rsidR="00000000" w:rsidRDefault="00000000">
      <w:pPr>
        <w:pStyle w:val="Heading2"/>
      </w:pPr>
    </w:p>
    <w:p w:rsidR="00000000" w:rsidRDefault="00000000">
      <w:r>
        <w:t>357.</w:t>
      </w:r>
      <w:r>
        <w:tab/>
        <w:t>В Польше каждому гарантируется возможность изучать историческое наследие своего народа и страны.  Комплексная деятельность государственных архивов за отчетный период охватывала организацию культурной жизни, как это установлено Пактом.  Например, все чаще стали проводиться систематические научные исследования в области генеалогии с использованием архивных записей, особенно среди иностранцев, чьи предки жили на польской земле.  Специалисты по генеалогии составляли примерно 12% всех пользователей архивов, а в некоторых архивах они составляли самую большую группу пользователей.  32 государственных архива (и почти 60 загородных филиалов)</w:t>
      </w:r>
    </w:p>
    <w:p w:rsidR="00000000" w:rsidRDefault="00000000">
      <w:r>
        <w:br w:type="page"/>
        <w:t>предоставляли государственные архивные документы отдельным заинтересованным лицам и даже популяризировали свои коллекции, выставляя и публикуя их, организуя экскурсии и теле</w:t>
      </w:r>
      <w:r>
        <w:sym w:font="Symbol" w:char="F02D"/>
      </w:r>
      <w:r>
        <w:t xml:space="preserve"> и радиопередачи.</w:t>
      </w:r>
    </w:p>
    <w:p w:rsidR="00000000" w:rsidRDefault="00000000"/>
    <w:p w:rsidR="00000000" w:rsidRDefault="00000000">
      <w:pPr>
        <w:pStyle w:val="BodyTextIndent"/>
        <w:keepNext/>
        <w:tabs>
          <w:tab w:val="left" w:pos="1496"/>
        </w:tabs>
        <w:spacing w:line="288" w:lineRule="auto"/>
        <w:rPr>
          <w:b/>
          <w:bCs/>
        </w:rPr>
      </w:pPr>
      <w:r>
        <w:rPr>
          <w:b/>
          <w:bCs/>
          <w:u w:val="single"/>
        </w:rPr>
        <w:t>Таблица 52</w:t>
      </w:r>
      <w:r>
        <w:rPr>
          <w:b/>
          <w:bCs/>
        </w:rPr>
        <w:t>.</w:t>
      </w:r>
      <w:r>
        <w:rPr>
          <w:b/>
          <w:bCs/>
        </w:rPr>
        <w:tab/>
      </w:r>
      <w:r>
        <w:rPr>
          <w:b/>
          <w:bCs/>
          <w:u w:val="single"/>
        </w:rPr>
        <w:t>Отдельные данные о государственных архивах в 1995</w:t>
      </w:r>
      <w:r>
        <w:rPr>
          <w:b/>
          <w:bCs/>
          <w:u w:val="single"/>
        </w:rPr>
        <w:sym w:font="Symbol" w:char="F02D"/>
      </w:r>
      <w:r>
        <w:rPr>
          <w:b/>
          <w:bCs/>
          <w:u w:val="single"/>
        </w:rPr>
        <w:t>1998 годах</w:t>
      </w:r>
    </w:p>
    <w:p w:rsidR="00000000" w:rsidRDefault="00000000">
      <w:pPr>
        <w:pStyle w:val="BodyTextIndent"/>
        <w:keepNext/>
        <w:spacing w:line="288" w:lineRule="auto"/>
        <w:rPr>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6114"/>
        <w:gridCol w:w="839"/>
        <w:gridCol w:w="839"/>
        <w:gridCol w:w="839"/>
        <w:gridCol w:w="837"/>
      </w:tblGrid>
      <w:tr w:rsidR="00000000">
        <w:trPr>
          <w:tblHeader/>
        </w:trPr>
        <w:tc>
          <w:tcPr>
            <w:tcW w:w="3229" w:type="pct"/>
            <w:tcBorders>
              <w:bottom w:val="single" w:sz="4" w:space="0" w:color="auto"/>
            </w:tcBorders>
            <w:vAlign w:val="center"/>
          </w:tcPr>
          <w:p w:rsidR="00000000" w:rsidRDefault="00000000">
            <w:pPr>
              <w:spacing w:line="216" w:lineRule="auto"/>
              <w:jc w:val="center"/>
              <w:rPr>
                <w:sz w:val="20"/>
              </w:rPr>
            </w:pPr>
          </w:p>
        </w:tc>
        <w:tc>
          <w:tcPr>
            <w:tcW w:w="443"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line="216" w:lineRule="auto"/>
              <w:jc w:val="center"/>
              <w:rPr>
                <w:sz w:val="20"/>
              </w:rPr>
            </w:pPr>
            <w:r>
              <w:rPr>
                <w:sz w:val="20"/>
              </w:rPr>
              <w:t>1995</w:t>
            </w:r>
          </w:p>
        </w:tc>
        <w:tc>
          <w:tcPr>
            <w:tcW w:w="443"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line="216" w:lineRule="auto"/>
              <w:jc w:val="center"/>
              <w:rPr>
                <w:sz w:val="20"/>
              </w:rPr>
            </w:pPr>
            <w:r>
              <w:rPr>
                <w:sz w:val="20"/>
              </w:rPr>
              <w:t>1996</w:t>
            </w:r>
          </w:p>
        </w:tc>
        <w:tc>
          <w:tcPr>
            <w:tcW w:w="443"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line="216" w:lineRule="auto"/>
              <w:jc w:val="center"/>
              <w:rPr>
                <w:sz w:val="20"/>
              </w:rPr>
            </w:pPr>
            <w:r>
              <w:rPr>
                <w:sz w:val="20"/>
              </w:rPr>
              <w:t>1997</w:t>
            </w:r>
          </w:p>
        </w:tc>
        <w:tc>
          <w:tcPr>
            <w:tcW w:w="443" w:type="pct"/>
            <w:tcBorders>
              <w:bottom w:val="single" w:sz="4" w:space="0" w:color="auto"/>
            </w:tcBorders>
            <w:vAlign w:val="center"/>
          </w:tcPr>
          <w:p w:rsidR="00000000" w:rsidRDefault="00000000">
            <w:pPr>
              <w:tabs>
                <w:tab w:val="clear" w:pos="567"/>
                <w:tab w:val="clear" w:pos="1134"/>
                <w:tab w:val="clear" w:pos="1701"/>
                <w:tab w:val="clear" w:pos="2268"/>
                <w:tab w:val="clear" w:pos="6237"/>
              </w:tabs>
              <w:spacing w:line="216" w:lineRule="auto"/>
              <w:jc w:val="center"/>
              <w:rPr>
                <w:sz w:val="20"/>
              </w:rPr>
            </w:pPr>
            <w:r>
              <w:rPr>
                <w:sz w:val="20"/>
              </w:rPr>
              <w:t>1998</w:t>
            </w:r>
          </w:p>
        </w:tc>
      </w:tr>
      <w:tr w:rsidR="00000000">
        <w:trPr>
          <w:trHeight w:val="57"/>
        </w:trPr>
        <w:tc>
          <w:tcPr>
            <w:tcW w:w="3229" w:type="pct"/>
            <w:tcBorders>
              <w:bottom w:val="nil"/>
            </w:tcBorders>
          </w:tcPr>
          <w:p w:rsidR="00000000" w:rsidRDefault="00000000">
            <w:pPr>
              <w:spacing w:line="216" w:lineRule="auto"/>
              <w:rPr>
                <w:sz w:val="20"/>
              </w:rPr>
            </w:pPr>
            <w:r>
              <w:rPr>
                <w:sz w:val="20"/>
              </w:rPr>
              <w:t>Количество пользователей</w:t>
            </w:r>
          </w:p>
        </w:tc>
        <w:tc>
          <w:tcPr>
            <w:tcW w:w="443" w:type="pct"/>
            <w:tcBorders>
              <w:bottom w:val="nil"/>
            </w:tcBorders>
          </w:tcPr>
          <w:p w:rsidR="00000000" w:rsidRDefault="00000000">
            <w:pPr>
              <w:pStyle w:val="FootnoteText"/>
              <w:tabs>
                <w:tab w:val="clear" w:pos="567"/>
                <w:tab w:val="clear" w:pos="1134"/>
                <w:tab w:val="clear" w:pos="1701"/>
                <w:tab w:val="clear" w:pos="2268"/>
                <w:tab w:val="clear" w:pos="6237"/>
              </w:tabs>
              <w:spacing w:line="216" w:lineRule="auto"/>
              <w:jc w:val="right"/>
              <w:rPr>
                <w:sz w:val="20"/>
              </w:rPr>
            </w:pPr>
            <w:r>
              <w:rPr>
                <w:sz w:val="20"/>
              </w:rPr>
              <w:t>10 260</w:t>
            </w:r>
          </w:p>
        </w:tc>
        <w:tc>
          <w:tcPr>
            <w:tcW w:w="443" w:type="pct"/>
            <w:tcBorders>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11 615</w:t>
            </w:r>
          </w:p>
        </w:tc>
        <w:tc>
          <w:tcPr>
            <w:tcW w:w="443" w:type="pct"/>
            <w:tcBorders>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12 656</w:t>
            </w:r>
          </w:p>
        </w:tc>
        <w:tc>
          <w:tcPr>
            <w:tcW w:w="443" w:type="pct"/>
            <w:tcBorders>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14 944</w:t>
            </w:r>
          </w:p>
        </w:tc>
      </w:tr>
      <w:tr w:rsidR="00000000">
        <w:trPr>
          <w:trHeight w:val="57"/>
        </w:trPr>
        <w:tc>
          <w:tcPr>
            <w:tcW w:w="3229" w:type="pct"/>
            <w:tcBorders>
              <w:top w:val="nil"/>
              <w:bottom w:val="nil"/>
            </w:tcBorders>
          </w:tcPr>
          <w:p w:rsidR="00000000" w:rsidRDefault="00000000">
            <w:pPr>
              <w:spacing w:line="216" w:lineRule="auto"/>
              <w:rPr>
                <w:sz w:val="20"/>
              </w:rPr>
            </w:pPr>
            <w:r>
              <w:rPr>
                <w:sz w:val="20"/>
              </w:rPr>
              <w:t>Количество посещений научных лабораторий</w:t>
            </w:r>
          </w:p>
        </w:tc>
        <w:tc>
          <w:tcPr>
            <w:tcW w:w="443" w:type="pct"/>
            <w:tcBorders>
              <w:top w:val="nil"/>
              <w:bottom w:val="nil"/>
            </w:tcBorders>
          </w:tcPr>
          <w:p w:rsidR="00000000" w:rsidRDefault="00000000">
            <w:pPr>
              <w:pStyle w:val="FootnoteText"/>
              <w:tabs>
                <w:tab w:val="clear" w:pos="567"/>
                <w:tab w:val="clear" w:pos="1134"/>
                <w:tab w:val="clear" w:pos="1701"/>
                <w:tab w:val="clear" w:pos="2268"/>
                <w:tab w:val="clear" w:pos="6237"/>
              </w:tabs>
              <w:spacing w:line="216" w:lineRule="auto"/>
              <w:jc w:val="right"/>
              <w:rPr>
                <w:sz w:val="20"/>
              </w:rPr>
            </w:pPr>
            <w:r>
              <w:rPr>
                <w:sz w:val="20"/>
              </w:rPr>
              <w:t>53 414</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55 570</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59 549</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63 231</w:t>
            </w:r>
          </w:p>
        </w:tc>
      </w:tr>
      <w:tr w:rsidR="00000000">
        <w:trPr>
          <w:trHeight w:val="57"/>
        </w:trPr>
        <w:tc>
          <w:tcPr>
            <w:tcW w:w="3229" w:type="pct"/>
            <w:tcBorders>
              <w:top w:val="nil"/>
              <w:bottom w:val="nil"/>
            </w:tcBorders>
          </w:tcPr>
          <w:p w:rsidR="00000000" w:rsidRDefault="00000000">
            <w:pPr>
              <w:spacing w:line="216" w:lineRule="auto"/>
              <w:rPr>
                <w:sz w:val="20"/>
              </w:rPr>
            </w:pPr>
            <w:r>
              <w:rPr>
                <w:sz w:val="20"/>
              </w:rPr>
              <w:t>Количество просмотренных архивных единиц</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489 914</w:t>
            </w:r>
          </w:p>
        </w:tc>
        <w:tc>
          <w:tcPr>
            <w:tcW w:w="443" w:type="pct"/>
            <w:tcBorders>
              <w:top w:val="nil"/>
              <w:bottom w:val="nil"/>
            </w:tcBorders>
          </w:tcPr>
          <w:p w:rsidR="00000000" w:rsidRDefault="00000000">
            <w:pPr>
              <w:pStyle w:val="FootnoteText"/>
              <w:tabs>
                <w:tab w:val="clear" w:pos="567"/>
                <w:tab w:val="clear" w:pos="1134"/>
                <w:tab w:val="clear" w:pos="1701"/>
                <w:tab w:val="clear" w:pos="2268"/>
                <w:tab w:val="clear" w:pos="6237"/>
              </w:tabs>
              <w:spacing w:line="216" w:lineRule="auto"/>
              <w:jc w:val="right"/>
              <w:rPr>
                <w:sz w:val="20"/>
              </w:rPr>
            </w:pPr>
            <w:r>
              <w:rPr>
                <w:sz w:val="20"/>
              </w:rPr>
              <w:t>337 879</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388 501</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360 958</w:t>
            </w:r>
          </w:p>
        </w:tc>
      </w:tr>
      <w:tr w:rsidR="00000000">
        <w:trPr>
          <w:trHeight w:val="57"/>
        </w:trPr>
        <w:tc>
          <w:tcPr>
            <w:tcW w:w="3229" w:type="pct"/>
            <w:tcBorders>
              <w:top w:val="nil"/>
              <w:bottom w:val="nil"/>
            </w:tcBorders>
          </w:tcPr>
          <w:p w:rsidR="00000000" w:rsidRDefault="00000000">
            <w:pPr>
              <w:spacing w:line="216" w:lineRule="auto"/>
              <w:rPr>
                <w:sz w:val="20"/>
              </w:rPr>
            </w:pPr>
            <w:r>
              <w:rPr>
                <w:sz w:val="20"/>
              </w:rPr>
              <w:t>Количество выставок</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152</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109</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143</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155</w:t>
            </w:r>
          </w:p>
        </w:tc>
      </w:tr>
      <w:tr w:rsidR="00000000">
        <w:trPr>
          <w:trHeight w:val="57"/>
        </w:trPr>
        <w:tc>
          <w:tcPr>
            <w:tcW w:w="3229" w:type="pct"/>
            <w:tcBorders>
              <w:top w:val="nil"/>
              <w:bottom w:val="nil"/>
            </w:tcBorders>
          </w:tcPr>
          <w:p w:rsidR="00000000" w:rsidRDefault="00000000">
            <w:pPr>
              <w:spacing w:line="216" w:lineRule="auto"/>
              <w:rPr>
                <w:sz w:val="20"/>
              </w:rPr>
            </w:pPr>
            <w:r>
              <w:rPr>
                <w:sz w:val="20"/>
              </w:rPr>
              <w:t>Количество организованных экскурсий</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523</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478</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482</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495</w:t>
            </w:r>
          </w:p>
        </w:tc>
      </w:tr>
      <w:tr w:rsidR="00000000">
        <w:trPr>
          <w:trHeight w:val="57"/>
        </w:trPr>
        <w:tc>
          <w:tcPr>
            <w:tcW w:w="3229" w:type="pct"/>
            <w:tcBorders>
              <w:top w:val="nil"/>
              <w:bottom w:val="nil"/>
            </w:tcBorders>
          </w:tcPr>
          <w:p w:rsidR="00000000" w:rsidRDefault="00000000">
            <w:pPr>
              <w:spacing w:line="216" w:lineRule="auto"/>
              <w:rPr>
                <w:sz w:val="20"/>
              </w:rPr>
            </w:pPr>
            <w:r>
              <w:rPr>
                <w:sz w:val="20"/>
              </w:rPr>
              <w:t>Количество печатных статей и пресс</w:t>
            </w:r>
            <w:r>
              <w:rPr>
                <w:sz w:val="20"/>
              </w:rPr>
              <w:noBreakHyphen/>
              <w:t>релизов</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381</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354</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488</w:t>
            </w:r>
          </w:p>
        </w:tc>
        <w:tc>
          <w:tcPr>
            <w:tcW w:w="443" w:type="pct"/>
            <w:tcBorders>
              <w:top w:val="nil"/>
              <w:bottom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368</w:t>
            </w:r>
          </w:p>
        </w:tc>
      </w:tr>
      <w:tr w:rsidR="00000000">
        <w:trPr>
          <w:trHeight w:val="57"/>
        </w:trPr>
        <w:tc>
          <w:tcPr>
            <w:tcW w:w="3229" w:type="pct"/>
            <w:tcBorders>
              <w:top w:val="nil"/>
            </w:tcBorders>
          </w:tcPr>
          <w:p w:rsidR="00000000" w:rsidRDefault="00000000">
            <w:pPr>
              <w:spacing w:line="216" w:lineRule="auto"/>
              <w:rPr>
                <w:sz w:val="20"/>
              </w:rPr>
            </w:pPr>
            <w:r>
              <w:rPr>
                <w:sz w:val="20"/>
              </w:rPr>
              <w:t>Количество теле</w:t>
            </w:r>
            <w:r>
              <w:rPr>
                <w:sz w:val="20"/>
              </w:rPr>
              <w:sym w:font="Symbol" w:char="F02D"/>
            </w:r>
            <w:r>
              <w:rPr>
                <w:sz w:val="20"/>
              </w:rPr>
              <w:t xml:space="preserve"> и радиопрограмм о государственных архивах</w:t>
            </w:r>
          </w:p>
        </w:tc>
        <w:tc>
          <w:tcPr>
            <w:tcW w:w="443" w:type="pct"/>
            <w:tcBorders>
              <w:top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255</w:t>
            </w:r>
          </w:p>
        </w:tc>
        <w:tc>
          <w:tcPr>
            <w:tcW w:w="443" w:type="pct"/>
            <w:tcBorders>
              <w:top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220</w:t>
            </w:r>
          </w:p>
        </w:tc>
        <w:tc>
          <w:tcPr>
            <w:tcW w:w="443" w:type="pct"/>
            <w:tcBorders>
              <w:top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283</w:t>
            </w:r>
          </w:p>
        </w:tc>
        <w:tc>
          <w:tcPr>
            <w:tcW w:w="443" w:type="pct"/>
            <w:tcBorders>
              <w:top w:val="nil"/>
            </w:tcBorders>
          </w:tcPr>
          <w:p w:rsidR="00000000" w:rsidRDefault="00000000">
            <w:pPr>
              <w:tabs>
                <w:tab w:val="clear" w:pos="567"/>
                <w:tab w:val="clear" w:pos="1134"/>
                <w:tab w:val="clear" w:pos="1701"/>
                <w:tab w:val="clear" w:pos="2268"/>
                <w:tab w:val="clear" w:pos="6237"/>
              </w:tabs>
              <w:spacing w:line="216" w:lineRule="auto"/>
              <w:jc w:val="right"/>
              <w:rPr>
                <w:sz w:val="20"/>
              </w:rPr>
            </w:pPr>
            <w:r>
              <w:rPr>
                <w:sz w:val="20"/>
              </w:rPr>
              <w:t>273</w:t>
            </w:r>
          </w:p>
        </w:tc>
      </w:tr>
    </w:tbl>
    <w:p w:rsidR="00000000" w:rsidRDefault="00000000">
      <w:pPr>
        <w:tabs>
          <w:tab w:val="clear" w:pos="1134"/>
          <w:tab w:val="left" w:pos="1276"/>
        </w:tabs>
      </w:pPr>
    </w:p>
    <w:p w:rsidR="00000000" w:rsidRDefault="00000000">
      <w:pPr>
        <w:tabs>
          <w:tab w:val="clear" w:pos="1134"/>
          <w:tab w:val="left" w:pos="1276"/>
        </w:tabs>
      </w:pPr>
      <w:r>
        <w:tab/>
      </w:r>
      <w:r>
        <w:rPr>
          <w:u w:val="single"/>
        </w:rPr>
        <w:t>Источник</w:t>
      </w:r>
      <w:r>
        <w:t>:  данные Главного департамента государственных архивов.</w:t>
      </w:r>
    </w:p>
    <w:p w:rsidR="00000000" w:rsidRDefault="00000000">
      <w:pPr>
        <w:tabs>
          <w:tab w:val="clear" w:pos="1134"/>
          <w:tab w:val="left" w:pos="1276"/>
        </w:tabs>
      </w:pPr>
    </w:p>
    <w:p w:rsidR="00000000" w:rsidRDefault="00000000">
      <w:r>
        <w:t>Государственные архивы также сотрудничали с многочисленными высшими учебными заведениями, музеями, библиотеками и региональными объединениями.</w:t>
      </w:r>
    </w:p>
    <w:p w:rsidR="00000000" w:rsidRDefault="00000000"/>
    <w:p w:rsidR="00000000" w:rsidRDefault="00000000">
      <w:pPr>
        <w:pStyle w:val="Heading2"/>
        <w:rPr>
          <w:b/>
          <w:bCs/>
          <w:u w:val="none"/>
        </w:rPr>
      </w:pPr>
      <w:r>
        <w:rPr>
          <w:b/>
          <w:bCs/>
          <w:u w:val="none"/>
        </w:rPr>
        <w:t>Музеи</w:t>
      </w:r>
    </w:p>
    <w:p w:rsidR="00000000" w:rsidRDefault="00000000">
      <w:pPr>
        <w:pStyle w:val="Heading2"/>
      </w:pPr>
    </w:p>
    <w:p w:rsidR="00000000" w:rsidRDefault="00000000">
      <w:r>
        <w:t>358.</w:t>
      </w:r>
      <w:r>
        <w:tab/>
        <w:t>Эти вопросы регулировались Законом о музеях от 21 ноября 1996 года и Законом об организации и регулировании культурной деятельности от 25 октября 1991 года.  За отчетный период музеи расширили сферу своей деятельности (научную, просветительскую и творческую).  Законопроект 1996 года был рассмотрен совместно со специалистами по музеям.  Он устранил недостатки устаревших законоположений, введя новые (в юридическом смысле) термины, такие, как определение музея, наблюдательный совет, реестр музеев и музейный специалист.  Музейная структура в конце 1998 года была следующей:  министр культуры и искусства курировал в установленном законом порядке 21 музей, 16 музеев курировались другим министром, 117 музеев находились в ведении воеводств, 154 музея были муниципальной собственностью, 86 музеев принадлежали общественным организациям, 15 музеев </w:t>
      </w:r>
      <w:r>
        <w:sym w:font="Symbol" w:char="F02D"/>
      </w:r>
      <w:r>
        <w:t xml:space="preserve"> церквам и религиозным обществам и 10 музеев были частными.  В 1995</w:t>
      </w:r>
      <w:r>
        <w:sym w:font="Symbol" w:char="F02D"/>
      </w:r>
      <w:r>
        <w:t>1998 годах количество музеев в принципе не изменилось, и, по данным министерства культуры и искусства, в конце 1998 года без учета филиалов в стране насчитывалось 419 музеев (632, включая филиалы;  согласно обследованиям, проведенным ГСУ, цифра составила 613).  Самая большая проблема, главным образом связанная с затратами, состояла в расширении, сохранении и защите коллекций. Благодаря интересным предложениям музеев в отношении организации выставок, мы могли наблюдать медленное увеличение количества посетителей музеев- индивидуальных и коллективных - и иностранных туристов.  1996 год можно назвать "годом музеев", когда у их дверей выстраивались длинные очереди желающих увидеть шедевры мирового культурного наследия.  Для повышения привлекательности музеев правительство учредило систему гарантий со стороны государственного казначейства для музейных экспонатов, направляемых для выставок из</w:t>
      </w:r>
      <w:r>
        <w:noBreakHyphen/>
        <w:t>за границы.</w:t>
      </w:r>
    </w:p>
    <w:p w:rsidR="00000000" w:rsidRDefault="00000000">
      <w:pPr>
        <w:pStyle w:val="FootnoteText"/>
        <w:spacing w:line="288" w:lineRule="auto"/>
      </w:pPr>
    </w:p>
    <w:p w:rsidR="00000000" w:rsidRDefault="00000000">
      <w:pPr>
        <w:pStyle w:val="10"/>
        <w:rPr>
          <w:b w:val="0"/>
        </w:rPr>
      </w:pPr>
      <w:r>
        <w:rPr>
          <w:b w:val="0"/>
          <w:u w:val="single"/>
        </w:rPr>
        <w:t>Таблица 53</w:t>
      </w:r>
      <w:r>
        <w:rPr>
          <w:b w:val="0"/>
        </w:rPr>
        <w:t xml:space="preserve">.  </w:t>
      </w:r>
      <w:r>
        <w:rPr>
          <w:b w:val="0"/>
          <w:u w:val="single"/>
        </w:rPr>
        <w:t>Количество выставок и число посетителей в 1995-1998 годах</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0"/>
        <w:gridCol w:w="2057"/>
        <w:gridCol w:w="1870"/>
        <w:gridCol w:w="1983"/>
      </w:tblGrid>
      <w:tr w:rsidR="00000000">
        <w:tblPrEx>
          <w:tblCellMar>
            <w:top w:w="0" w:type="dxa"/>
            <w:bottom w:w="0" w:type="dxa"/>
          </w:tblCellMar>
        </w:tblPrEx>
        <w:tc>
          <w:tcPr>
            <w:tcW w:w="3661" w:type="dxa"/>
            <w:tcBorders>
              <w:bottom w:val="single" w:sz="4" w:space="0" w:color="auto"/>
            </w:tcBorders>
          </w:tcPr>
          <w:p w:rsidR="00000000" w:rsidRDefault="00000000">
            <w:pPr>
              <w:rPr>
                <w:sz w:val="20"/>
              </w:rPr>
            </w:pPr>
          </w:p>
        </w:tc>
        <w:tc>
          <w:tcPr>
            <w:tcW w:w="2057" w:type="dxa"/>
            <w:tcBorders>
              <w:bottom w:val="single" w:sz="4" w:space="0" w:color="auto"/>
            </w:tcBorders>
          </w:tcPr>
          <w:p w:rsidR="00000000" w:rsidRDefault="00000000">
            <w:pPr>
              <w:pStyle w:val="16"/>
              <w:tabs>
                <w:tab w:val="clear" w:pos="1701"/>
              </w:tabs>
              <w:ind w:right="640"/>
              <w:jc w:val="right"/>
              <w:rPr>
                <w:sz w:val="20"/>
              </w:rPr>
            </w:pPr>
            <w:r>
              <w:rPr>
                <w:sz w:val="20"/>
              </w:rPr>
              <w:t>1995</w:t>
            </w:r>
          </w:p>
        </w:tc>
        <w:tc>
          <w:tcPr>
            <w:tcW w:w="1870" w:type="dxa"/>
            <w:tcBorders>
              <w:bottom w:val="single" w:sz="4" w:space="0" w:color="auto"/>
            </w:tcBorders>
          </w:tcPr>
          <w:p w:rsidR="00000000" w:rsidRDefault="00000000">
            <w:pPr>
              <w:tabs>
                <w:tab w:val="clear" w:pos="1701"/>
              </w:tabs>
              <w:ind w:right="640"/>
              <w:jc w:val="right"/>
              <w:rPr>
                <w:sz w:val="20"/>
              </w:rPr>
            </w:pPr>
            <w:r>
              <w:rPr>
                <w:sz w:val="20"/>
              </w:rPr>
              <w:t>1997</w:t>
            </w:r>
          </w:p>
        </w:tc>
        <w:tc>
          <w:tcPr>
            <w:tcW w:w="1983" w:type="dxa"/>
            <w:tcBorders>
              <w:bottom w:val="single" w:sz="4" w:space="0" w:color="auto"/>
            </w:tcBorders>
          </w:tcPr>
          <w:p w:rsidR="00000000" w:rsidRDefault="00000000">
            <w:pPr>
              <w:tabs>
                <w:tab w:val="clear" w:pos="1701"/>
              </w:tabs>
              <w:ind w:right="640"/>
              <w:jc w:val="right"/>
              <w:rPr>
                <w:sz w:val="20"/>
              </w:rPr>
            </w:pPr>
            <w:r>
              <w:rPr>
                <w:sz w:val="20"/>
              </w:rPr>
              <w:t>1998</w:t>
            </w:r>
          </w:p>
        </w:tc>
      </w:tr>
      <w:tr w:rsidR="00000000">
        <w:tblPrEx>
          <w:tblCellMar>
            <w:top w:w="0" w:type="dxa"/>
            <w:bottom w:w="0" w:type="dxa"/>
          </w:tblCellMar>
        </w:tblPrEx>
        <w:tc>
          <w:tcPr>
            <w:tcW w:w="3661" w:type="dxa"/>
            <w:tcBorders>
              <w:bottom w:val="nil"/>
            </w:tcBorders>
          </w:tcPr>
          <w:p w:rsidR="00000000" w:rsidRDefault="00000000">
            <w:pPr>
              <w:rPr>
                <w:sz w:val="20"/>
              </w:rPr>
            </w:pPr>
            <w:r>
              <w:rPr>
                <w:sz w:val="20"/>
              </w:rPr>
              <w:t>Выставки, всего, в том числе:</w:t>
            </w:r>
          </w:p>
        </w:tc>
        <w:tc>
          <w:tcPr>
            <w:tcW w:w="2057" w:type="dxa"/>
            <w:tcBorders>
              <w:bottom w:val="nil"/>
            </w:tcBorders>
          </w:tcPr>
          <w:p w:rsidR="00000000" w:rsidRDefault="00000000">
            <w:pPr>
              <w:tabs>
                <w:tab w:val="clear" w:pos="1701"/>
              </w:tabs>
              <w:ind w:right="640"/>
              <w:jc w:val="right"/>
              <w:rPr>
                <w:sz w:val="20"/>
              </w:rPr>
            </w:pPr>
            <w:r>
              <w:rPr>
                <w:sz w:val="20"/>
              </w:rPr>
              <w:t>3 211</w:t>
            </w:r>
          </w:p>
        </w:tc>
        <w:tc>
          <w:tcPr>
            <w:tcW w:w="1870" w:type="dxa"/>
            <w:tcBorders>
              <w:bottom w:val="nil"/>
            </w:tcBorders>
          </w:tcPr>
          <w:p w:rsidR="00000000" w:rsidRDefault="00000000">
            <w:pPr>
              <w:tabs>
                <w:tab w:val="clear" w:pos="1701"/>
              </w:tabs>
              <w:ind w:right="640"/>
              <w:jc w:val="right"/>
              <w:rPr>
                <w:sz w:val="20"/>
              </w:rPr>
            </w:pPr>
            <w:r>
              <w:rPr>
                <w:sz w:val="20"/>
              </w:rPr>
              <w:t>3 203</w:t>
            </w:r>
          </w:p>
        </w:tc>
        <w:tc>
          <w:tcPr>
            <w:tcW w:w="1983" w:type="dxa"/>
            <w:tcBorders>
              <w:bottom w:val="nil"/>
            </w:tcBorders>
          </w:tcPr>
          <w:p w:rsidR="00000000" w:rsidRDefault="00000000">
            <w:pPr>
              <w:tabs>
                <w:tab w:val="clear" w:pos="1701"/>
              </w:tabs>
              <w:ind w:right="640"/>
              <w:jc w:val="right"/>
              <w:rPr>
                <w:sz w:val="20"/>
              </w:rPr>
            </w:pPr>
            <w:r>
              <w:rPr>
                <w:sz w:val="20"/>
              </w:rPr>
              <w:t>3 147</w:t>
            </w:r>
          </w:p>
        </w:tc>
      </w:tr>
      <w:tr w:rsidR="00000000">
        <w:tblPrEx>
          <w:tblCellMar>
            <w:top w:w="0" w:type="dxa"/>
            <w:bottom w:w="0" w:type="dxa"/>
          </w:tblCellMar>
        </w:tblPrEx>
        <w:tc>
          <w:tcPr>
            <w:tcW w:w="3661" w:type="dxa"/>
            <w:tcBorders>
              <w:top w:val="nil"/>
              <w:bottom w:val="nil"/>
            </w:tcBorders>
          </w:tcPr>
          <w:p w:rsidR="00000000" w:rsidRDefault="00000000">
            <w:pPr>
              <w:rPr>
                <w:sz w:val="20"/>
              </w:rPr>
            </w:pPr>
            <w:r>
              <w:rPr>
                <w:sz w:val="20"/>
              </w:rPr>
              <w:t xml:space="preserve">  -   из-за границы</w:t>
            </w:r>
          </w:p>
        </w:tc>
        <w:tc>
          <w:tcPr>
            <w:tcW w:w="2057" w:type="dxa"/>
            <w:tcBorders>
              <w:top w:val="nil"/>
              <w:bottom w:val="nil"/>
            </w:tcBorders>
          </w:tcPr>
          <w:p w:rsidR="00000000" w:rsidRDefault="00000000">
            <w:pPr>
              <w:tabs>
                <w:tab w:val="clear" w:pos="1701"/>
              </w:tabs>
              <w:ind w:right="640"/>
              <w:jc w:val="right"/>
              <w:rPr>
                <w:sz w:val="20"/>
              </w:rPr>
            </w:pPr>
            <w:r>
              <w:rPr>
                <w:sz w:val="20"/>
              </w:rPr>
              <w:t>153</w:t>
            </w:r>
          </w:p>
        </w:tc>
        <w:tc>
          <w:tcPr>
            <w:tcW w:w="1870" w:type="dxa"/>
            <w:tcBorders>
              <w:top w:val="nil"/>
              <w:bottom w:val="nil"/>
            </w:tcBorders>
          </w:tcPr>
          <w:p w:rsidR="00000000" w:rsidRDefault="00000000">
            <w:pPr>
              <w:tabs>
                <w:tab w:val="clear" w:pos="1701"/>
              </w:tabs>
              <w:ind w:right="640"/>
              <w:jc w:val="right"/>
              <w:rPr>
                <w:sz w:val="20"/>
              </w:rPr>
            </w:pPr>
            <w:r>
              <w:rPr>
                <w:sz w:val="20"/>
              </w:rPr>
              <w:t>189</w:t>
            </w:r>
          </w:p>
        </w:tc>
        <w:tc>
          <w:tcPr>
            <w:tcW w:w="1983" w:type="dxa"/>
            <w:tcBorders>
              <w:top w:val="nil"/>
              <w:bottom w:val="nil"/>
            </w:tcBorders>
          </w:tcPr>
          <w:p w:rsidR="00000000" w:rsidRDefault="00000000">
            <w:pPr>
              <w:tabs>
                <w:tab w:val="clear" w:pos="1701"/>
              </w:tabs>
              <w:ind w:right="640"/>
              <w:jc w:val="right"/>
              <w:rPr>
                <w:sz w:val="20"/>
              </w:rPr>
            </w:pPr>
            <w:r>
              <w:rPr>
                <w:sz w:val="20"/>
                <w:lang w:val="en-US"/>
              </w:rPr>
              <w:t>n</w:t>
            </w:r>
            <w:r>
              <w:rPr>
                <w:sz w:val="20"/>
              </w:rPr>
              <w:t>.</w:t>
            </w:r>
            <w:r>
              <w:rPr>
                <w:sz w:val="20"/>
                <w:lang w:val="en-US"/>
              </w:rPr>
              <w:t>a</w:t>
            </w:r>
            <w:r>
              <w:rPr>
                <w:sz w:val="20"/>
              </w:rPr>
              <w:t>.</w:t>
            </w:r>
          </w:p>
        </w:tc>
      </w:tr>
      <w:tr w:rsidR="00000000">
        <w:tblPrEx>
          <w:tblCellMar>
            <w:top w:w="0" w:type="dxa"/>
            <w:bottom w:w="0" w:type="dxa"/>
          </w:tblCellMar>
        </w:tblPrEx>
        <w:tc>
          <w:tcPr>
            <w:tcW w:w="3661" w:type="dxa"/>
            <w:tcBorders>
              <w:top w:val="nil"/>
              <w:bottom w:val="nil"/>
            </w:tcBorders>
          </w:tcPr>
          <w:p w:rsidR="00000000" w:rsidRDefault="00000000">
            <w:pPr>
              <w:rPr>
                <w:sz w:val="20"/>
              </w:rPr>
            </w:pPr>
            <w:r>
              <w:rPr>
                <w:sz w:val="20"/>
              </w:rPr>
              <w:t xml:space="preserve">  -   передвижные</w:t>
            </w:r>
          </w:p>
        </w:tc>
        <w:tc>
          <w:tcPr>
            <w:tcW w:w="2057" w:type="dxa"/>
            <w:tcBorders>
              <w:top w:val="nil"/>
              <w:bottom w:val="nil"/>
            </w:tcBorders>
          </w:tcPr>
          <w:p w:rsidR="00000000" w:rsidRDefault="00000000">
            <w:pPr>
              <w:tabs>
                <w:tab w:val="clear" w:pos="1701"/>
              </w:tabs>
              <w:ind w:right="640"/>
              <w:jc w:val="right"/>
              <w:rPr>
                <w:sz w:val="20"/>
              </w:rPr>
            </w:pPr>
            <w:r>
              <w:rPr>
                <w:sz w:val="20"/>
              </w:rPr>
              <w:t>884</w:t>
            </w:r>
          </w:p>
        </w:tc>
        <w:tc>
          <w:tcPr>
            <w:tcW w:w="1870" w:type="dxa"/>
            <w:tcBorders>
              <w:top w:val="nil"/>
              <w:bottom w:val="nil"/>
            </w:tcBorders>
          </w:tcPr>
          <w:p w:rsidR="00000000" w:rsidRDefault="00000000">
            <w:pPr>
              <w:tabs>
                <w:tab w:val="clear" w:pos="1701"/>
              </w:tabs>
              <w:ind w:right="640"/>
              <w:jc w:val="right"/>
              <w:rPr>
                <w:sz w:val="20"/>
              </w:rPr>
            </w:pPr>
            <w:r>
              <w:rPr>
                <w:sz w:val="20"/>
              </w:rPr>
              <w:t>819</w:t>
            </w:r>
          </w:p>
        </w:tc>
        <w:tc>
          <w:tcPr>
            <w:tcW w:w="1983" w:type="dxa"/>
            <w:tcBorders>
              <w:top w:val="nil"/>
              <w:bottom w:val="nil"/>
            </w:tcBorders>
          </w:tcPr>
          <w:p w:rsidR="00000000" w:rsidRDefault="00000000">
            <w:pPr>
              <w:tabs>
                <w:tab w:val="clear" w:pos="1701"/>
              </w:tabs>
              <w:ind w:right="640"/>
              <w:jc w:val="right"/>
              <w:rPr>
                <w:sz w:val="20"/>
              </w:rPr>
            </w:pPr>
            <w:r>
              <w:rPr>
                <w:sz w:val="20"/>
              </w:rPr>
              <w:t>619</w:t>
            </w:r>
          </w:p>
        </w:tc>
      </w:tr>
      <w:tr w:rsidR="00000000">
        <w:tblPrEx>
          <w:tblCellMar>
            <w:top w:w="0" w:type="dxa"/>
            <w:bottom w:w="0" w:type="dxa"/>
          </w:tblCellMar>
        </w:tblPrEx>
        <w:tc>
          <w:tcPr>
            <w:tcW w:w="3661" w:type="dxa"/>
            <w:tcBorders>
              <w:top w:val="nil"/>
              <w:bottom w:val="nil"/>
            </w:tcBorders>
          </w:tcPr>
          <w:p w:rsidR="00000000" w:rsidRDefault="00000000">
            <w:pPr>
              <w:rPr>
                <w:sz w:val="20"/>
              </w:rPr>
            </w:pPr>
            <w:r>
              <w:rPr>
                <w:sz w:val="20"/>
              </w:rPr>
              <w:t>Всего посетителей (в тыс. чел.)</w:t>
            </w:r>
          </w:p>
        </w:tc>
        <w:tc>
          <w:tcPr>
            <w:tcW w:w="2057" w:type="dxa"/>
            <w:tcBorders>
              <w:top w:val="nil"/>
              <w:bottom w:val="nil"/>
            </w:tcBorders>
          </w:tcPr>
          <w:p w:rsidR="00000000" w:rsidRDefault="00000000">
            <w:pPr>
              <w:tabs>
                <w:tab w:val="clear" w:pos="1701"/>
              </w:tabs>
              <w:ind w:right="640"/>
              <w:jc w:val="right"/>
              <w:rPr>
                <w:sz w:val="20"/>
              </w:rPr>
            </w:pPr>
            <w:r>
              <w:rPr>
                <w:sz w:val="20"/>
              </w:rPr>
              <w:t>17 060</w:t>
            </w:r>
          </w:p>
        </w:tc>
        <w:tc>
          <w:tcPr>
            <w:tcW w:w="1870" w:type="dxa"/>
            <w:tcBorders>
              <w:top w:val="nil"/>
              <w:bottom w:val="nil"/>
            </w:tcBorders>
          </w:tcPr>
          <w:p w:rsidR="00000000" w:rsidRDefault="00000000">
            <w:pPr>
              <w:tabs>
                <w:tab w:val="clear" w:pos="1701"/>
              </w:tabs>
              <w:ind w:right="640"/>
              <w:jc w:val="right"/>
              <w:rPr>
                <w:sz w:val="20"/>
              </w:rPr>
            </w:pPr>
            <w:r>
              <w:rPr>
                <w:sz w:val="20"/>
              </w:rPr>
              <w:t>17 686</w:t>
            </w:r>
          </w:p>
        </w:tc>
        <w:tc>
          <w:tcPr>
            <w:tcW w:w="1983" w:type="dxa"/>
            <w:tcBorders>
              <w:top w:val="nil"/>
              <w:bottom w:val="nil"/>
            </w:tcBorders>
          </w:tcPr>
          <w:p w:rsidR="00000000" w:rsidRDefault="00000000">
            <w:pPr>
              <w:tabs>
                <w:tab w:val="clear" w:pos="1701"/>
              </w:tabs>
              <w:ind w:right="640"/>
              <w:jc w:val="right"/>
              <w:rPr>
                <w:sz w:val="20"/>
              </w:rPr>
            </w:pPr>
            <w:r>
              <w:rPr>
                <w:sz w:val="20"/>
              </w:rPr>
              <w:t>18 586</w:t>
            </w:r>
          </w:p>
        </w:tc>
      </w:tr>
      <w:tr w:rsidR="00000000">
        <w:tblPrEx>
          <w:tblCellMar>
            <w:top w:w="0" w:type="dxa"/>
            <w:bottom w:w="0" w:type="dxa"/>
          </w:tblCellMar>
        </w:tblPrEx>
        <w:tc>
          <w:tcPr>
            <w:tcW w:w="3661" w:type="dxa"/>
            <w:tcBorders>
              <w:top w:val="nil"/>
            </w:tcBorders>
          </w:tcPr>
          <w:p w:rsidR="00000000" w:rsidRDefault="00000000">
            <w:pPr>
              <w:rPr>
                <w:sz w:val="20"/>
              </w:rPr>
            </w:pPr>
            <w:r>
              <w:rPr>
                <w:sz w:val="20"/>
              </w:rPr>
              <w:t xml:space="preserve">  -   в том числе школьников</w:t>
            </w:r>
          </w:p>
        </w:tc>
        <w:tc>
          <w:tcPr>
            <w:tcW w:w="2057" w:type="dxa"/>
            <w:tcBorders>
              <w:top w:val="nil"/>
            </w:tcBorders>
          </w:tcPr>
          <w:p w:rsidR="00000000" w:rsidRDefault="00000000">
            <w:pPr>
              <w:tabs>
                <w:tab w:val="clear" w:pos="1701"/>
              </w:tabs>
              <w:ind w:right="640"/>
              <w:jc w:val="right"/>
              <w:rPr>
                <w:sz w:val="20"/>
              </w:rPr>
            </w:pPr>
            <w:r>
              <w:rPr>
                <w:sz w:val="20"/>
              </w:rPr>
              <w:t>6 547</w:t>
            </w:r>
          </w:p>
        </w:tc>
        <w:tc>
          <w:tcPr>
            <w:tcW w:w="1870" w:type="dxa"/>
            <w:tcBorders>
              <w:top w:val="nil"/>
            </w:tcBorders>
          </w:tcPr>
          <w:p w:rsidR="00000000" w:rsidRDefault="00000000">
            <w:pPr>
              <w:tabs>
                <w:tab w:val="clear" w:pos="1701"/>
              </w:tabs>
              <w:ind w:right="640"/>
              <w:jc w:val="right"/>
              <w:rPr>
                <w:sz w:val="20"/>
              </w:rPr>
            </w:pPr>
            <w:r>
              <w:rPr>
                <w:sz w:val="20"/>
              </w:rPr>
              <w:t>6 868</w:t>
            </w:r>
          </w:p>
        </w:tc>
        <w:tc>
          <w:tcPr>
            <w:tcW w:w="1983" w:type="dxa"/>
            <w:tcBorders>
              <w:top w:val="nil"/>
            </w:tcBorders>
          </w:tcPr>
          <w:p w:rsidR="00000000" w:rsidRDefault="00000000">
            <w:pPr>
              <w:tabs>
                <w:tab w:val="clear" w:pos="1701"/>
              </w:tabs>
              <w:ind w:right="640"/>
              <w:jc w:val="right"/>
              <w:rPr>
                <w:sz w:val="20"/>
              </w:rPr>
            </w:pPr>
            <w:r>
              <w:rPr>
                <w:sz w:val="20"/>
              </w:rPr>
              <w:t>6 878</w:t>
            </w:r>
          </w:p>
        </w:tc>
      </w:tr>
    </w:tbl>
    <w:p w:rsidR="00000000" w:rsidRDefault="00000000"/>
    <w:p w:rsidR="00000000" w:rsidRDefault="00000000">
      <w:r>
        <w:tab/>
      </w:r>
      <w:r>
        <w:rPr>
          <w:u w:val="single"/>
        </w:rPr>
        <w:t>Источник</w:t>
      </w:r>
      <w:r>
        <w:t>:  данные министерства культуры и искусства и Главного статистического управления.</w:t>
      </w:r>
    </w:p>
    <w:p w:rsidR="00000000" w:rsidRDefault="00000000"/>
    <w:p w:rsidR="00000000" w:rsidRDefault="00000000">
      <w:pPr>
        <w:pStyle w:val="10"/>
        <w:rPr>
          <w:b w:val="0"/>
        </w:rPr>
      </w:pPr>
      <w:r>
        <w:rPr>
          <w:b w:val="0"/>
          <w:u w:val="single"/>
        </w:rPr>
        <w:t>Таблица 54</w:t>
      </w:r>
      <w:r>
        <w:rPr>
          <w:b w:val="0"/>
        </w:rPr>
        <w:t xml:space="preserve">.  </w:t>
      </w:r>
      <w:r>
        <w:rPr>
          <w:b w:val="0"/>
          <w:u w:val="single"/>
        </w:rPr>
        <w:t>Просветительская деятельность музеев в 1995-1998 годах</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60"/>
        <w:gridCol w:w="2057"/>
        <w:gridCol w:w="1870"/>
        <w:gridCol w:w="1983"/>
      </w:tblGrid>
      <w:tr w:rsidR="00000000">
        <w:tblPrEx>
          <w:tblCellMar>
            <w:top w:w="0" w:type="dxa"/>
            <w:bottom w:w="0" w:type="dxa"/>
          </w:tblCellMar>
        </w:tblPrEx>
        <w:tc>
          <w:tcPr>
            <w:tcW w:w="3661" w:type="dxa"/>
            <w:tcBorders>
              <w:bottom w:val="single" w:sz="4" w:space="0" w:color="auto"/>
            </w:tcBorders>
          </w:tcPr>
          <w:p w:rsidR="00000000" w:rsidRDefault="00000000">
            <w:pPr>
              <w:spacing w:before="40" w:after="20" w:line="216" w:lineRule="auto"/>
              <w:rPr>
                <w:sz w:val="20"/>
              </w:rPr>
            </w:pPr>
          </w:p>
        </w:tc>
        <w:tc>
          <w:tcPr>
            <w:tcW w:w="2057" w:type="dxa"/>
            <w:tcBorders>
              <w:bottom w:val="single" w:sz="4" w:space="0" w:color="auto"/>
            </w:tcBorders>
          </w:tcPr>
          <w:p w:rsidR="00000000" w:rsidRDefault="00000000">
            <w:pPr>
              <w:pStyle w:val="16"/>
              <w:tabs>
                <w:tab w:val="clear" w:pos="1701"/>
              </w:tabs>
              <w:spacing w:before="40" w:after="20" w:line="216" w:lineRule="auto"/>
              <w:ind w:right="453"/>
              <w:jc w:val="right"/>
              <w:rPr>
                <w:sz w:val="20"/>
              </w:rPr>
            </w:pPr>
            <w:r>
              <w:rPr>
                <w:sz w:val="20"/>
              </w:rPr>
              <w:t>1995</w:t>
            </w:r>
          </w:p>
        </w:tc>
        <w:tc>
          <w:tcPr>
            <w:tcW w:w="1870" w:type="dxa"/>
            <w:tcBorders>
              <w:bottom w:val="single" w:sz="4" w:space="0" w:color="auto"/>
            </w:tcBorders>
          </w:tcPr>
          <w:p w:rsidR="00000000" w:rsidRDefault="00000000">
            <w:pPr>
              <w:tabs>
                <w:tab w:val="clear" w:pos="1701"/>
              </w:tabs>
              <w:spacing w:before="40" w:after="20" w:line="216" w:lineRule="auto"/>
              <w:ind w:right="453"/>
              <w:jc w:val="right"/>
              <w:rPr>
                <w:sz w:val="20"/>
              </w:rPr>
            </w:pPr>
            <w:r>
              <w:rPr>
                <w:sz w:val="20"/>
              </w:rPr>
              <w:t>1996</w:t>
            </w:r>
          </w:p>
        </w:tc>
        <w:tc>
          <w:tcPr>
            <w:tcW w:w="1983" w:type="dxa"/>
            <w:tcBorders>
              <w:bottom w:val="single" w:sz="4" w:space="0" w:color="auto"/>
            </w:tcBorders>
          </w:tcPr>
          <w:p w:rsidR="00000000" w:rsidRDefault="00000000">
            <w:pPr>
              <w:tabs>
                <w:tab w:val="clear" w:pos="1701"/>
              </w:tabs>
              <w:spacing w:before="40" w:after="20" w:line="216" w:lineRule="auto"/>
              <w:ind w:right="453"/>
              <w:jc w:val="right"/>
              <w:rPr>
                <w:sz w:val="20"/>
              </w:rPr>
            </w:pPr>
            <w:r>
              <w:rPr>
                <w:sz w:val="20"/>
              </w:rPr>
              <w:t>1997</w:t>
            </w:r>
          </w:p>
        </w:tc>
      </w:tr>
      <w:tr w:rsidR="00000000">
        <w:tblPrEx>
          <w:tblCellMar>
            <w:top w:w="0" w:type="dxa"/>
            <w:bottom w:w="0" w:type="dxa"/>
          </w:tblCellMar>
        </w:tblPrEx>
        <w:tc>
          <w:tcPr>
            <w:tcW w:w="3661" w:type="dxa"/>
            <w:tcBorders>
              <w:bottom w:val="nil"/>
            </w:tcBorders>
          </w:tcPr>
          <w:p w:rsidR="00000000" w:rsidRDefault="00000000">
            <w:pPr>
              <w:spacing w:before="40" w:after="20" w:line="216" w:lineRule="auto"/>
              <w:rPr>
                <w:sz w:val="20"/>
              </w:rPr>
            </w:pPr>
            <w:r>
              <w:rPr>
                <w:sz w:val="20"/>
              </w:rPr>
              <w:t>Лекции в музеях</w:t>
            </w:r>
          </w:p>
        </w:tc>
        <w:tc>
          <w:tcPr>
            <w:tcW w:w="2057" w:type="dxa"/>
            <w:tcBorders>
              <w:bottom w:val="nil"/>
            </w:tcBorders>
          </w:tcPr>
          <w:p w:rsidR="00000000" w:rsidRDefault="00000000">
            <w:pPr>
              <w:tabs>
                <w:tab w:val="clear" w:pos="1701"/>
              </w:tabs>
              <w:spacing w:before="40" w:after="20" w:line="216" w:lineRule="auto"/>
              <w:ind w:right="453"/>
              <w:jc w:val="right"/>
              <w:rPr>
                <w:sz w:val="20"/>
              </w:rPr>
            </w:pPr>
            <w:r>
              <w:rPr>
                <w:sz w:val="20"/>
              </w:rPr>
              <w:t>6 172</w:t>
            </w:r>
          </w:p>
        </w:tc>
        <w:tc>
          <w:tcPr>
            <w:tcW w:w="1870" w:type="dxa"/>
            <w:tcBorders>
              <w:bottom w:val="nil"/>
            </w:tcBorders>
          </w:tcPr>
          <w:p w:rsidR="00000000" w:rsidRDefault="00000000">
            <w:pPr>
              <w:tabs>
                <w:tab w:val="clear" w:pos="1701"/>
              </w:tabs>
              <w:spacing w:before="40" w:after="20" w:line="216" w:lineRule="auto"/>
              <w:ind w:right="453"/>
              <w:jc w:val="right"/>
              <w:rPr>
                <w:sz w:val="20"/>
              </w:rPr>
            </w:pPr>
            <w:r>
              <w:rPr>
                <w:sz w:val="20"/>
              </w:rPr>
              <w:t>6 244</w:t>
            </w:r>
          </w:p>
        </w:tc>
        <w:tc>
          <w:tcPr>
            <w:tcW w:w="1983" w:type="dxa"/>
            <w:tcBorders>
              <w:bottom w:val="nil"/>
            </w:tcBorders>
          </w:tcPr>
          <w:p w:rsidR="00000000" w:rsidRDefault="00000000">
            <w:pPr>
              <w:tabs>
                <w:tab w:val="clear" w:pos="1701"/>
              </w:tabs>
              <w:spacing w:before="40" w:after="20" w:line="216" w:lineRule="auto"/>
              <w:ind w:right="453"/>
              <w:jc w:val="right"/>
              <w:rPr>
                <w:sz w:val="20"/>
              </w:rPr>
            </w:pPr>
            <w:r>
              <w:rPr>
                <w:sz w:val="20"/>
              </w:rPr>
              <w:t>7 009</w:t>
            </w:r>
          </w:p>
        </w:tc>
      </w:tr>
      <w:tr w:rsidR="00000000">
        <w:tblPrEx>
          <w:tblCellMar>
            <w:top w:w="0" w:type="dxa"/>
            <w:bottom w:w="0" w:type="dxa"/>
          </w:tblCellMar>
        </w:tblPrEx>
        <w:tc>
          <w:tcPr>
            <w:tcW w:w="3661" w:type="dxa"/>
            <w:tcBorders>
              <w:top w:val="nil"/>
              <w:bottom w:val="nil"/>
            </w:tcBorders>
          </w:tcPr>
          <w:p w:rsidR="00000000" w:rsidRDefault="00000000">
            <w:pPr>
              <w:spacing w:before="40" w:after="20" w:line="216" w:lineRule="auto"/>
              <w:rPr>
                <w:sz w:val="20"/>
              </w:rPr>
            </w:pPr>
            <w:r>
              <w:rPr>
                <w:sz w:val="20"/>
              </w:rPr>
              <w:t xml:space="preserve">  -   слушатели</w:t>
            </w:r>
          </w:p>
        </w:tc>
        <w:tc>
          <w:tcPr>
            <w:tcW w:w="2057"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268 592</w:t>
            </w:r>
          </w:p>
        </w:tc>
        <w:tc>
          <w:tcPr>
            <w:tcW w:w="1870"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287 379</w:t>
            </w:r>
          </w:p>
        </w:tc>
        <w:tc>
          <w:tcPr>
            <w:tcW w:w="1983"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284 761</w:t>
            </w:r>
          </w:p>
        </w:tc>
      </w:tr>
      <w:tr w:rsidR="00000000">
        <w:tblPrEx>
          <w:tblCellMar>
            <w:top w:w="0" w:type="dxa"/>
            <w:bottom w:w="0" w:type="dxa"/>
          </w:tblCellMar>
        </w:tblPrEx>
        <w:tc>
          <w:tcPr>
            <w:tcW w:w="3661" w:type="dxa"/>
            <w:tcBorders>
              <w:top w:val="nil"/>
              <w:bottom w:val="nil"/>
            </w:tcBorders>
          </w:tcPr>
          <w:p w:rsidR="00000000" w:rsidRDefault="00000000">
            <w:pPr>
              <w:spacing w:before="40" w:after="20" w:line="216" w:lineRule="auto"/>
              <w:rPr>
                <w:sz w:val="20"/>
              </w:rPr>
            </w:pPr>
            <w:r>
              <w:rPr>
                <w:sz w:val="20"/>
              </w:rPr>
              <w:t>Показ фильмов</w:t>
            </w:r>
          </w:p>
        </w:tc>
        <w:tc>
          <w:tcPr>
            <w:tcW w:w="2057"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21 599</w:t>
            </w:r>
          </w:p>
        </w:tc>
        <w:tc>
          <w:tcPr>
            <w:tcW w:w="1870"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20 152</w:t>
            </w:r>
          </w:p>
        </w:tc>
        <w:tc>
          <w:tcPr>
            <w:tcW w:w="1983"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16 263</w:t>
            </w:r>
          </w:p>
        </w:tc>
      </w:tr>
      <w:tr w:rsidR="00000000">
        <w:tblPrEx>
          <w:tblCellMar>
            <w:top w:w="0" w:type="dxa"/>
            <w:bottom w:w="0" w:type="dxa"/>
          </w:tblCellMar>
        </w:tblPrEx>
        <w:tc>
          <w:tcPr>
            <w:tcW w:w="3661" w:type="dxa"/>
            <w:tcBorders>
              <w:top w:val="nil"/>
              <w:bottom w:val="nil"/>
            </w:tcBorders>
          </w:tcPr>
          <w:p w:rsidR="00000000" w:rsidRDefault="00000000">
            <w:pPr>
              <w:spacing w:before="40" w:after="20" w:line="216" w:lineRule="auto"/>
              <w:rPr>
                <w:sz w:val="20"/>
              </w:rPr>
            </w:pPr>
            <w:r>
              <w:rPr>
                <w:sz w:val="20"/>
              </w:rPr>
              <w:t xml:space="preserve">  -   зрители</w:t>
            </w:r>
          </w:p>
        </w:tc>
        <w:tc>
          <w:tcPr>
            <w:tcW w:w="2057"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994 333</w:t>
            </w:r>
          </w:p>
        </w:tc>
        <w:tc>
          <w:tcPr>
            <w:tcW w:w="1870"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929 278</w:t>
            </w:r>
          </w:p>
        </w:tc>
        <w:tc>
          <w:tcPr>
            <w:tcW w:w="1983"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668 774</w:t>
            </w:r>
          </w:p>
        </w:tc>
      </w:tr>
      <w:tr w:rsidR="00000000">
        <w:tblPrEx>
          <w:tblCellMar>
            <w:top w:w="0" w:type="dxa"/>
            <w:bottom w:w="0" w:type="dxa"/>
          </w:tblCellMar>
        </w:tblPrEx>
        <w:tc>
          <w:tcPr>
            <w:tcW w:w="3661" w:type="dxa"/>
            <w:tcBorders>
              <w:top w:val="nil"/>
              <w:bottom w:val="nil"/>
            </w:tcBorders>
          </w:tcPr>
          <w:p w:rsidR="00000000" w:rsidRDefault="00000000">
            <w:pPr>
              <w:spacing w:before="40" w:after="20" w:line="216" w:lineRule="auto"/>
              <w:rPr>
                <w:sz w:val="20"/>
              </w:rPr>
            </w:pPr>
            <w:r>
              <w:rPr>
                <w:sz w:val="20"/>
              </w:rPr>
              <w:t>Концерты</w:t>
            </w:r>
          </w:p>
        </w:tc>
        <w:tc>
          <w:tcPr>
            <w:tcW w:w="2057"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3 153</w:t>
            </w:r>
          </w:p>
        </w:tc>
        <w:tc>
          <w:tcPr>
            <w:tcW w:w="1870"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2 918</w:t>
            </w:r>
          </w:p>
        </w:tc>
        <w:tc>
          <w:tcPr>
            <w:tcW w:w="1983"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3 170</w:t>
            </w:r>
          </w:p>
        </w:tc>
      </w:tr>
      <w:tr w:rsidR="00000000">
        <w:tblPrEx>
          <w:tblCellMar>
            <w:top w:w="0" w:type="dxa"/>
            <w:bottom w:w="0" w:type="dxa"/>
          </w:tblCellMar>
        </w:tblPrEx>
        <w:tc>
          <w:tcPr>
            <w:tcW w:w="3661" w:type="dxa"/>
            <w:tcBorders>
              <w:top w:val="nil"/>
              <w:bottom w:val="nil"/>
            </w:tcBorders>
          </w:tcPr>
          <w:p w:rsidR="00000000" w:rsidRDefault="00000000">
            <w:pPr>
              <w:spacing w:before="40" w:after="20" w:line="216" w:lineRule="auto"/>
              <w:rPr>
                <w:sz w:val="20"/>
              </w:rPr>
            </w:pPr>
            <w:r>
              <w:rPr>
                <w:sz w:val="20"/>
              </w:rPr>
              <w:t xml:space="preserve">  -   зрители</w:t>
            </w:r>
          </w:p>
        </w:tc>
        <w:tc>
          <w:tcPr>
            <w:tcW w:w="2057"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445 917</w:t>
            </w:r>
          </w:p>
        </w:tc>
        <w:tc>
          <w:tcPr>
            <w:tcW w:w="1870"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423 869</w:t>
            </w:r>
          </w:p>
        </w:tc>
        <w:tc>
          <w:tcPr>
            <w:tcW w:w="1983"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455 884</w:t>
            </w:r>
          </w:p>
        </w:tc>
      </w:tr>
      <w:tr w:rsidR="00000000">
        <w:tblPrEx>
          <w:tblCellMar>
            <w:top w:w="0" w:type="dxa"/>
            <w:bottom w:w="0" w:type="dxa"/>
          </w:tblCellMar>
        </w:tblPrEx>
        <w:tc>
          <w:tcPr>
            <w:tcW w:w="3661" w:type="dxa"/>
            <w:tcBorders>
              <w:top w:val="nil"/>
              <w:bottom w:val="nil"/>
            </w:tcBorders>
          </w:tcPr>
          <w:p w:rsidR="00000000" w:rsidRDefault="00000000">
            <w:pPr>
              <w:spacing w:before="40" w:after="20" w:line="216" w:lineRule="auto"/>
              <w:rPr>
                <w:sz w:val="20"/>
              </w:rPr>
            </w:pPr>
            <w:r>
              <w:rPr>
                <w:sz w:val="20"/>
              </w:rPr>
              <w:t>Занятия в музеях</w:t>
            </w:r>
          </w:p>
        </w:tc>
        <w:tc>
          <w:tcPr>
            <w:tcW w:w="2057"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38 930</w:t>
            </w:r>
          </w:p>
        </w:tc>
        <w:tc>
          <w:tcPr>
            <w:tcW w:w="1870"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39 680</w:t>
            </w:r>
          </w:p>
        </w:tc>
        <w:tc>
          <w:tcPr>
            <w:tcW w:w="1983" w:type="dxa"/>
            <w:tcBorders>
              <w:top w:val="nil"/>
              <w:bottom w:val="nil"/>
            </w:tcBorders>
          </w:tcPr>
          <w:p w:rsidR="00000000" w:rsidRDefault="00000000">
            <w:pPr>
              <w:tabs>
                <w:tab w:val="clear" w:pos="1701"/>
              </w:tabs>
              <w:spacing w:before="40" w:after="20" w:line="216" w:lineRule="auto"/>
              <w:ind w:right="453"/>
              <w:jc w:val="right"/>
              <w:rPr>
                <w:sz w:val="20"/>
              </w:rPr>
            </w:pPr>
            <w:r>
              <w:rPr>
                <w:sz w:val="20"/>
              </w:rPr>
              <w:t>46 763</w:t>
            </w:r>
          </w:p>
        </w:tc>
      </w:tr>
      <w:tr w:rsidR="00000000">
        <w:tblPrEx>
          <w:tblCellMar>
            <w:top w:w="0" w:type="dxa"/>
            <w:bottom w:w="0" w:type="dxa"/>
          </w:tblCellMar>
        </w:tblPrEx>
        <w:tc>
          <w:tcPr>
            <w:tcW w:w="3661" w:type="dxa"/>
            <w:tcBorders>
              <w:top w:val="nil"/>
            </w:tcBorders>
          </w:tcPr>
          <w:p w:rsidR="00000000" w:rsidRDefault="00000000">
            <w:pPr>
              <w:spacing w:before="40" w:after="20" w:line="216" w:lineRule="auto"/>
              <w:rPr>
                <w:sz w:val="20"/>
              </w:rPr>
            </w:pPr>
            <w:r>
              <w:rPr>
                <w:sz w:val="20"/>
              </w:rPr>
              <w:t xml:space="preserve">  -   участники</w:t>
            </w:r>
          </w:p>
        </w:tc>
        <w:tc>
          <w:tcPr>
            <w:tcW w:w="2057" w:type="dxa"/>
            <w:tcBorders>
              <w:top w:val="nil"/>
            </w:tcBorders>
          </w:tcPr>
          <w:p w:rsidR="00000000" w:rsidRDefault="00000000">
            <w:pPr>
              <w:tabs>
                <w:tab w:val="clear" w:pos="1701"/>
              </w:tabs>
              <w:spacing w:before="40" w:after="20" w:line="216" w:lineRule="auto"/>
              <w:ind w:right="453"/>
              <w:jc w:val="right"/>
              <w:rPr>
                <w:sz w:val="20"/>
              </w:rPr>
            </w:pPr>
            <w:r>
              <w:rPr>
                <w:sz w:val="20"/>
              </w:rPr>
              <w:t>1 033 345</w:t>
            </w:r>
          </w:p>
        </w:tc>
        <w:tc>
          <w:tcPr>
            <w:tcW w:w="1870" w:type="dxa"/>
            <w:tcBorders>
              <w:top w:val="nil"/>
            </w:tcBorders>
          </w:tcPr>
          <w:p w:rsidR="00000000" w:rsidRDefault="00000000">
            <w:pPr>
              <w:tabs>
                <w:tab w:val="clear" w:pos="1701"/>
              </w:tabs>
              <w:spacing w:before="40" w:after="20" w:line="216" w:lineRule="auto"/>
              <w:ind w:right="453"/>
              <w:jc w:val="right"/>
              <w:rPr>
                <w:sz w:val="20"/>
              </w:rPr>
            </w:pPr>
            <w:r>
              <w:rPr>
                <w:sz w:val="20"/>
              </w:rPr>
              <w:t>1 105 555</w:t>
            </w:r>
          </w:p>
        </w:tc>
        <w:tc>
          <w:tcPr>
            <w:tcW w:w="1983" w:type="dxa"/>
            <w:tcBorders>
              <w:top w:val="nil"/>
            </w:tcBorders>
          </w:tcPr>
          <w:p w:rsidR="00000000" w:rsidRDefault="00000000">
            <w:pPr>
              <w:tabs>
                <w:tab w:val="clear" w:pos="1701"/>
              </w:tabs>
              <w:spacing w:before="40" w:after="20" w:line="216" w:lineRule="auto"/>
              <w:ind w:right="453"/>
              <w:jc w:val="right"/>
              <w:rPr>
                <w:sz w:val="20"/>
              </w:rPr>
            </w:pPr>
            <w:r>
              <w:rPr>
                <w:sz w:val="20"/>
              </w:rPr>
              <w:t>1 209 935</w:t>
            </w:r>
          </w:p>
        </w:tc>
      </w:tr>
    </w:tbl>
    <w:p w:rsidR="00000000" w:rsidRDefault="00000000">
      <w:pPr>
        <w:pStyle w:val="FootnoteText"/>
        <w:spacing w:line="288" w:lineRule="auto"/>
      </w:pPr>
    </w:p>
    <w:p w:rsidR="00000000" w:rsidRDefault="00000000">
      <w:r>
        <w:tab/>
      </w:r>
      <w:r>
        <w:rPr>
          <w:u w:val="single"/>
        </w:rPr>
        <w:t>Источник</w:t>
      </w:r>
      <w:r>
        <w:t>:  данные министерства культуры и искусства.</w:t>
      </w:r>
    </w:p>
    <w:p w:rsidR="00000000" w:rsidRDefault="00000000"/>
    <w:p w:rsidR="00000000" w:rsidRDefault="00000000">
      <w:pPr>
        <w:pStyle w:val="Heading2"/>
        <w:rPr>
          <w:b/>
          <w:bCs/>
          <w:u w:val="none"/>
        </w:rPr>
      </w:pPr>
      <w:r>
        <w:rPr>
          <w:b/>
          <w:bCs/>
          <w:u w:val="none"/>
        </w:rPr>
        <w:t>Публичные библиотеки</w:t>
      </w:r>
    </w:p>
    <w:p w:rsidR="00000000" w:rsidRDefault="00000000">
      <w:pPr>
        <w:pStyle w:val="Heading2"/>
      </w:pPr>
    </w:p>
    <w:p w:rsidR="00000000" w:rsidRDefault="00000000">
      <w:r>
        <w:t>359.</w:t>
      </w:r>
      <w:r>
        <w:tab/>
        <w:t>Сеть библиотек функционирует на основании закона о библиотеках от 27 июля 1997 года.  В 1998 году эта сеть объединяла 9 167 библиотек и их филиалов.  В 1995</w:t>
      </w:r>
      <w:r>
        <w:noBreakHyphen/>
        <w:t>1998 годах их число уменьшилось на 338 единиц (264 - в сельских районах).  Тенденция к закрытию библиотек была отмечена еще в 1990 году.  С того времени до конца отчетного периода было закрыто свыше 1 000 библиотек (свыше 10% от общего количества).  Существенно снизилось также количество пунктов выдачи книг, где сотрудники работали на безвозмездной основе.  Тенденция к сокращению была приостановлена в 1995 году (количество библиотек снизилось с 17 600 в 1990 году примерно до 4 400 в 1995 году, т.е. в четыре раза, и примерно до 3 500 в 1998 году).  Помимо экономических причин, причиной закрытия библиотек стало падение спроса на такую форму доступа к книгам.  В 1998 году публичные библиотеки насчитывали около 136 млн. томов книг и сброшюрованных журналов, что примерно на 700 000 единиц хранения меньше, чем в 1995 году.  Причиной такого сокращения была нехватка финансовых средств, из-за чего приобретение новых наименований не компенсировало дефицит и физический износ.  В 1997 году публичные библиотеки приобрели 3 794 000 томов книг, из которых 2 616 000 экземпляров составили новые наименования.  В течение многих лет в библиотечной системе действовал формальный подход к пополнению фондов, согласно которому библиотеки должны были закупать 18 томов на 100 жителей страны;  в 1995-1998 годах этот показатель составлял 6,7-6,9 книжных единиц на 100 жителей.  Однако в 1998 году публичные библиотеки, главным образом в городах, зарегистрировали 7 314 093 читателя, т.е. на 290 000 человек больше, чем в 1995 году.  Количество читателей в сельских районах с начала 90-х годов сокращается.  В 1998 году в сельских библиотеках насчитывалось на 70 000 читателей меньше, чем в 1995 году.  В 1998 году в публичных библиотеках было выдано всего 152,1 млн. книг, журналов и специальных публикаций, т.е. примерно на 9,6 млн. меньше, чем в 1995 году.  Впервые сокращение количества выдаваемых книг было отмечено в 1997 году, однако в 1998 году наблюдался резкий спад (около 6 млн. томов - почти две трети от общего сокращения за отчетный период).  Тем не менее в 90-е годы интерес к библиотекам стал постепенно возрастать.  В 1990-1997 годах количество выданных библиотеками книг увеличилось в целом на 286 000 томов (0,2%).  Повышение цен, в том числе на книги, создало определенную угрозу для публичных библиотек, но в то же время, естественно, увеличило число их читателей.  Кроме того, широкая сеть публичных библиотек и их филиалов, беспрепятственный и бесплатный доступ к библиотечным материалам и профессиональная компетентность сотрудников библиотек способствовали повышению их роли во внешкольном образовании детей всех возрастов.  Библиотеки стали вторыми после школ организаторами различных мероприятий, особенно в сельских общинах, что дало основание считать их деятельность направленной на удовлетворение потребностей масс.  В 1997 году библиотеки организовали в общей сложности 216 700 мероприятий в рамках культурно-просветительской программы для детей всех возрастов, в том числе 90 100 групповых мероприятий, включая выставки книг, с целью показать красоту польского языка, организовывали конкурсы, читательские турниры, показ фильмов и аудиовизуальных представлений, концерты, спектакли, кукольные представления, художественные программы, конкурсы чтецов, встречи с художниками и т.д.</w:t>
      </w:r>
    </w:p>
    <w:p w:rsidR="00000000" w:rsidRDefault="00000000"/>
    <w:p w:rsidR="00000000" w:rsidRDefault="00000000">
      <w:pPr>
        <w:pStyle w:val="10"/>
        <w:rPr>
          <w:b w:val="0"/>
        </w:rPr>
      </w:pPr>
      <w:r>
        <w:rPr>
          <w:b w:val="0"/>
        </w:rPr>
        <w:br w:type="page"/>
      </w:r>
      <w:r>
        <w:rPr>
          <w:b w:val="0"/>
          <w:u w:val="single"/>
        </w:rPr>
        <w:t>Таблица 55</w:t>
      </w:r>
      <w:r>
        <w:rPr>
          <w:b w:val="0"/>
        </w:rPr>
        <w:t xml:space="preserve">.  </w:t>
      </w:r>
      <w:r>
        <w:rPr>
          <w:b w:val="0"/>
          <w:u w:val="single"/>
        </w:rPr>
        <w:t>Библиотеки в Польше в 1995-1998 годах</w:t>
      </w:r>
    </w:p>
    <w:p w:rsidR="00000000" w:rsidRDefault="00000000">
      <w:pPr>
        <w:pStyle w:val="10"/>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6"/>
        <w:gridCol w:w="1016"/>
        <w:gridCol w:w="1026"/>
        <w:gridCol w:w="1016"/>
        <w:gridCol w:w="1016"/>
      </w:tblGrid>
      <w:tr w:rsidR="00000000">
        <w:tblPrEx>
          <w:tblCellMar>
            <w:top w:w="0" w:type="dxa"/>
            <w:bottom w:w="0" w:type="dxa"/>
          </w:tblCellMar>
        </w:tblPrEx>
        <w:tc>
          <w:tcPr>
            <w:tcW w:w="2892" w:type="pct"/>
            <w:tcBorders>
              <w:bottom w:val="single" w:sz="4" w:space="0" w:color="auto"/>
            </w:tcBorders>
          </w:tcPr>
          <w:p w:rsidR="00000000" w:rsidRDefault="00000000">
            <w:pPr>
              <w:spacing w:before="40" w:after="20" w:line="216" w:lineRule="auto"/>
              <w:rPr>
                <w:sz w:val="20"/>
              </w:rPr>
            </w:pPr>
          </w:p>
        </w:tc>
        <w:tc>
          <w:tcPr>
            <w:tcW w:w="527" w:type="pct"/>
            <w:tcBorders>
              <w:bottom w:val="single" w:sz="4" w:space="0" w:color="auto"/>
            </w:tcBorders>
          </w:tcPr>
          <w:p w:rsidR="00000000" w:rsidRDefault="00000000">
            <w:pPr>
              <w:pStyle w:val="16"/>
              <w:spacing w:before="40" w:after="20" w:line="216" w:lineRule="auto"/>
              <w:rPr>
                <w:sz w:val="20"/>
              </w:rPr>
            </w:pPr>
            <w:r>
              <w:rPr>
                <w:sz w:val="20"/>
              </w:rPr>
              <w:t>1995</w:t>
            </w:r>
          </w:p>
        </w:tc>
        <w:tc>
          <w:tcPr>
            <w:tcW w:w="527" w:type="pct"/>
            <w:tcBorders>
              <w:bottom w:val="single" w:sz="4" w:space="0" w:color="auto"/>
            </w:tcBorders>
          </w:tcPr>
          <w:p w:rsidR="00000000" w:rsidRDefault="00000000">
            <w:pPr>
              <w:spacing w:before="40" w:after="20" w:line="216" w:lineRule="auto"/>
              <w:jc w:val="center"/>
              <w:rPr>
                <w:sz w:val="20"/>
              </w:rPr>
            </w:pPr>
            <w:r>
              <w:rPr>
                <w:sz w:val="20"/>
              </w:rPr>
              <w:t>1996</w:t>
            </w:r>
          </w:p>
        </w:tc>
        <w:tc>
          <w:tcPr>
            <w:tcW w:w="527" w:type="pct"/>
            <w:tcBorders>
              <w:bottom w:val="single" w:sz="4" w:space="0" w:color="auto"/>
            </w:tcBorders>
          </w:tcPr>
          <w:p w:rsidR="00000000" w:rsidRDefault="00000000">
            <w:pPr>
              <w:spacing w:before="40" w:after="20" w:line="216" w:lineRule="auto"/>
              <w:jc w:val="center"/>
              <w:rPr>
                <w:sz w:val="20"/>
              </w:rPr>
            </w:pPr>
            <w:r>
              <w:rPr>
                <w:sz w:val="20"/>
              </w:rPr>
              <w:t>1997</w:t>
            </w:r>
          </w:p>
        </w:tc>
        <w:tc>
          <w:tcPr>
            <w:tcW w:w="527" w:type="pct"/>
            <w:tcBorders>
              <w:bottom w:val="single" w:sz="4" w:space="0" w:color="auto"/>
            </w:tcBorders>
          </w:tcPr>
          <w:p w:rsidR="00000000" w:rsidRDefault="00000000">
            <w:pPr>
              <w:spacing w:before="40" w:after="20" w:line="216" w:lineRule="auto"/>
              <w:jc w:val="center"/>
              <w:rPr>
                <w:sz w:val="20"/>
              </w:rPr>
            </w:pPr>
            <w:r>
              <w:rPr>
                <w:sz w:val="20"/>
              </w:rPr>
              <w:t>1998</w:t>
            </w:r>
          </w:p>
        </w:tc>
      </w:tr>
      <w:tr w:rsidR="00000000">
        <w:tblPrEx>
          <w:tblCellMar>
            <w:top w:w="0" w:type="dxa"/>
            <w:bottom w:w="0" w:type="dxa"/>
          </w:tblCellMar>
        </w:tblPrEx>
        <w:tc>
          <w:tcPr>
            <w:tcW w:w="2892" w:type="pct"/>
            <w:tcBorders>
              <w:bottom w:val="nil"/>
            </w:tcBorders>
          </w:tcPr>
          <w:p w:rsidR="00000000" w:rsidRDefault="00000000">
            <w:pPr>
              <w:spacing w:before="40" w:after="20" w:line="216" w:lineRule="auto"/>
              <w:rPr>
                <w:sz w:val="20"/>
              </w:rPr>
            </w:pPr>
            <w:r>
              <w:rPr>
                <w:sz w:val="20"/>
              </w:rPr>
              <w:t>Библиотеки</w:t>
            </w:r>
          </w:p>
        </w:tc>
        <w:tc>
          <w:tcPr>
            <w:tcW w:w="527" w:type="pct"/>
            <w:tcBorders>
              <w:bottom w:val="nil"/>
            </w:tcBorders>
          </w:tcPr>
          <w:p w:rsidR="00000000" w:rsidRDefault="00000000">
            <w:pPr>
              <w:spacing w:before="40" w:after="20" w:line="216" w:lineRule="auto"/>
              <w:jc w:val="right"/>
              <w:rPr>
                <w:sz w:val="20"/>
              </w:rPr>
            </w:pPr>
            <w:r>
              <w:rPr>
                <w:sz w:val="20"/>
              </w:rPr>
              <w:t>9 505</w:t>
            </w:r>
          </w:p>
        </w:tc>
        <w:tc>
          <w:tcPr>
            <w:tcW w:w="527" w:type="pct"/>
            <w:tcBorders>
              <w:bottom w:val="nil"/>
            </w:tcBorders>
          </w:tcPr>
          <w:p w:rsidR="00000000" w:rsidRDefault="00000000">
            <w:pPr>
              <w:spacing w:before="40" w:after="20" w:line="216" w:lineRule="auto"/>
              <w:jc w:val="right"/>
              <w:rPr>
                <w:sz w:val="20"/>
              </w:rPr>
            </w:pPr>
            <w:r>
              <w:rPr>
                <w:sz w:val="20"/>
              </w:rPr>
              <w:t>9 342</w:t>
            </w:r>
          </w:p>
        </w:tc>
        <w:tc>
          <w:tcPr>
            <w:tcW w:w="527" w:type="pct"/>
            <w:tcBorders>
              <w:bottom w:val="nil"/>
            </w:tcBorders>
          </w:tcPr>
          <w:p w:rsidR="00000000" w:rsidRDefault="00000000">
            <w:pPr>
              <w:spacing w:before="40" w:after="20" w:line="216" w:lineRule="auto"/>
              <w:jc w:val="right"/>
              <w:rPr>
                <w:sz w:val="20"/>
              </w:rPr>
            </w:pPr>
            <w:r>
              <w:rPr>
                <w:sz w:val="20"/>
              </w:rPr>
              <w:t>9 230</w:t>
            </w:r>
          </w:p>
        </w:tc>
        <w:tc>
          <w:tcPr>
            <w:tcW w:w="527" w:type="pct"/>
            <w:tcBorders>
              <w:bottom w:val="nil"/>
            </w:tcBorders>
          </w:tcPr>
          <w:p w:rsidR="00000000" w:rsidRDefault="00000000">
            <w:pPr>
              <w:spacing w:before="40" w:after="20" w:line="216" w:lineRule="auto"/>
              <w:jc w:val="right"/>
              <w:rPr>
                <w:sz w:val="20"/>
              </w:rPr>
            </w:pPr>
            <w:r>
              <w:rPr>
                <w:sz w:val="20"/>
              </w:rPr>
              <w:t>9 167</w:t>
            </w:r>
          </w:p>
        </w:tc>
      </w:tr>
      <w:tr w:rsidR="00000000">
        <w:tblPrEx>
          <w:tblCellMar>
            <w:top w:w="0" w:type="dxa"/>
            <w:bottom w:w="0" w:type="dxa"/>
          </w:tblCellMar>
        </w:tblPrEx>
        <w:tc>
          <w:tcPr>
            <w:tcW w:w="2892" w:type="pct"/>
            <w:tcBorders>
              <w:top w:val="nil"/>
              <w:bottom w:val="nil"/>
            </w:tcBorders>
          </w:tcPr>
          <w:p w:rsidR="00000000" w:rsidRDefault="00000000">
            <w:pPr>
              <w:spacing w:before="40" w:after="20" w:line="216" w:lineRule="auto"/>
              <w:rPr>
                <w:sz w:val="20"/>
              </w:rPr>
            </w:pPr>
            <w:r>
              <w:rPr>
                <w:sz w:val="20"/>
              </w:rPr>
              <w:t xml:space="preserve">  -    города</w:t>
            </w:r>
          </w:p>
        </w:tc>
        <w:tc>
          <w:tcPr>
            <w:tcW w:w="527" w:type="pct"/>
            <w:tcBorders>
              <w:top w:val="nil"/>
              <w:bottom w:val="nil"/>
            </w:tcBorders>
          </w:tcPr>
          <w:p w:rsidR="00000000" w:rsidRDefault="00000000">
            <w:pPr>
              <w:spacing w:before="40" w:after="20" w:line="216" w:lineRule="auto"/>
              <w:jc w:val="right"/>
              <w:rPr>
                <w:sz w:val="20"/>
              </w:rPr>
            </w:pPr>
            <w:r>
              <w:rPr>
                <w:sz w:val="20"/>
              </w:rPr>
              <w:t>3 105</w:t>
            </w:r>
          </w:p>
        </w:tc>
        <w:tc>
          <w:tcPr>
            <w:tcW w:w="527" w:type="pct"/>
            <w:tcBorders>
              <w:top w:val="nil"/>
              <w:bottom w:val="nil"/>
            </w:tcBorders>
          </w:tcPr>
          <w:p w:rsidR="00000000" w:rsidRDefault="00000000">
            <w:pPr>
              <w:spacing w:before="40" w:after="20" w:line="216" w:lineRule="auto"/>
              <w:jc w:val="right"/>
              <w:rPr>
                <w:sz w:val="20"/>
              </w:rPr>
            </w:pPr>
            <w:r>
              <w:rPr>
                <w:sz w:val="20"/>
              </w:rPr>
              <w:t>3 075</w:t>
            </w:r>
          </w:p>
        </w:tc>
        <w:tc>
          <w:tcPr>
            <w:tcW w:w="527" w:type="pct"/>
            <w:tcBorders>
              <w:top w:val="nil"/>
              <w:bottom w:val="nil"/>
            </w:tcBorders>
          </w:tcPr>
          <w:p w:rsidR="00000000" w:rsidRDefault="00000000">
            <w:pPr>
              <w:spacing w:before="40" w:after="20" w:line="216" w:lineRule="auto"/>
              <w:jc w:val="right"/>
              <w:rPr>
                <w:sz w:val="20"/>
              </w:rPr>
            </w:pPr>
            <w:r>
              <w:rPr>
                <w:sz w:val="20"/>
              </w:rPr>
              <w:t>3 047</w:t>
            </w:r>
          </w:p>
        </w:tc>
        <w:tc>
          <w:tcPr>
            <w:tcW w:w="527" w:type="pct"/>
            <w:tcBorders>
              <w:top w:val="nil"/>
              <w:bottom w:val="nil"/>
            </w:tcBorders>
          </w:tcPr>
          <w:p w:rsidR="00000000" w:rsidRDefault="00000000">
            <w:pPr>
              <w:spacing w:before="40" w:after="20" w:line="216" w:lineRule="auto"/>
              <w:jc w:val="right"/>
              <w:rPr>
                <w:sz w:val="20"/>
              </w:rPr>
            </w:pPr>
            <w:r>
              <w:rPr>
                <w:sz w:val="20"/>
              </w:rPr>
              <w:t>3 031</w:t>
            </w:r>
          </w:p>
        </w:tc>
      </w:tr>
      <w:tr w:rsidR="00000000">
        <w:tblPrEx>
          <w:tblCellMar>
            <w:top w:w="0" w:type="dxa"/>
            <w:bottom w:w="0" w:type="dxa"/>
          </w:tblCellMar>
        </w:tblPrEx>
        <w:tc>
          <w:tcPr>
            <w:tcW w:w="2892" w:type="pct"/>
            <w:tcBorders>
              <w:top w:val="nil"/>
              <w:bottom w:val="nil"/>
            </w:tcBorders>
          </w:tcPr>
          <w:p w:rsidR="00000000" w:rsidRDefault="00000000">
            <w:pPr>
              <w:spacing w:before="40" w:after="20" w:line="216" w:lineRule="auto"/>
              <w:rPr>
                <w:sz w:val="20"/>
              </w:rPr>
            </w:pPr>
            <w:r>
              <w:rPr>
                <w:sz w:val="20"/>
              </w:rPr>
              <w:t xml:space="preserve">  -   сельские районы</w:t>
            </w:r>
          </w:p>
        </w:tc>
        <w:tc>
          <w:tcPr>
            <w:tcW w:w="527" w:type="pct"/>
            <w:tcBorders>
              <w:top w:val="nil"/>
              <w:bottom w:val="nil"/>
            </w:tcBorders>
          </w:tcPr>
          <w:p w:rsidR="00000000" w:rsidRDefault="00000000">
            <w:pPr>
              <w:spacing w:before="40" w:after="20" w:line="216" w:lineRule="auto"/>
              <w:jc w:val="right"/>
              <w:rPr>
                <w:sz w:val="20"/>
              </w:rPr>
            </w:pPr>
            <w:r>
              <w:rPr>
                <w:sz w:val="20"/>
              </w:rPr>
              <w:t>6 400</w:t>
            </w:r>
          </w:p>
        </w:tc>
        <w:tc>
          <w:tcPr>
            <w:tcW w:w="527" w:type="pct"/>
            <w:tcBorders>
              <w:top w:val="nil"/>
              <w:bottom w:val="nil"/>
            </w:tcBorders>
          </w:tcPr>
          <w:p w:rsidR="00000000" w:rsidRDefault="00000000">
            <w:pPr>
              <w:spacing w:before="40" w:after="20" w:line="216" w:lineRule="auto"/>
              <w:jc w:val="right"/>
              <w:rPr>
                <w:sz w:val="20"/>
              </w:rPr>
            </w:pPr>
            <w:r>
              <w:rPr>
                <w:sz w:val="20"/>
              </w:rPr>
              <w:t>6 267</w:t>
            </w:r>
          </w:p>
        </w:tc>
        <w:tc>
          <w:tcPr>
            <w:tcW w:w="527" w:type="pct"/>
            <w:tcBorders>
              <w:top w:val="nil"/>
              <w:bottom w:val="nil"/>
            </w:tcBorders>
          </w:tcPr>
          <w:p w:rsidR="00000000" w:rsidRDefault="00000000">
            <w:pPr>
              <w:spacing w:before="40" w:after="20" w:line="216" w:lineRule="auto"/>
              <w:jc w:val="right"/>
              <w:rPr>
                <w:sz w:val="20"/>
              </w:rPr>
            </w:pPr>
            <w:r>
              <w:rPr>
                <w:sz w:val="20"/>
              </w:rPr>
              <w:t>6 183</w:t>
            </w:r>
          </w:p>
        </w:tc>
        <w:tc>
          <w:tcPr>
            <w:tcW w:w="527" w:type="pct"/>
            <w:tcBorders>
              <w:top w:val="nil"/>
              <w:bottom w:val="nil"/>
            </w:tcBorders>
          </w:tcPr>
          <w:p w:rsidR="00000000" w:rsidRDefault="00000000">
            <w:pPr>
              <w:spacing w:before="40" w:after="20" w:line="216" w:lineRule="auto"/>
              <w:jc w:val="right"/>
              <w:rPr>
                <w:sz w:val="20"/>
              </w:rPr>
            </w:pPr>
            <w:r>
              <w:rPr>
                <w:sz w:val="20"/>
              </w:rPr>
              <w:t>6 136</w:t>
            </w:r>
          </w:p>
        </w:tc>
      </w:tr>
      <w:tr w:rsidR="00000000">
        <w:tblPrEx>
          <w:tblCellMar>
            <w:top w:w="0" w:type="dxa"/>
            <w:bottom w:w="0" w:type="dxa"/>
          </w:tblCellMar>
        </w:tblPrEx>
        <w:tc>
          <w:tcPr>
            <w:tcW w:w="2892" w:type="pct"/>
            <w:tcBorders>
              <w:top w:val="nil"/>
              <w:bottom w:val="nil"/>
            </w:tcBorders>
          </w:tcPr>
          <w:p w:rsidR="00000000" w:rsidRDefault="00000000">
            <w:pPr>
              <w:spacing w:before="40" w:after="20" w:line="216" w:lineRule="auto"/>
              <w:rPr>
                <w:sz w:val="20"/>
              </w:rPr>
            </w:pPr>
            <w:r>
              <w:rPr>
                <w:sz w:val="20"/>
              </w:rPr>
              <w:t xml:space="preserve">Библиотечные пункты </w:t>
            </w:r>
          </w:p>
        </w:tc>
        <w:tc>
          <w:tcPr>
            <w:tcW w:w="527" w:type="pct"/>
            <w:tcBorders>
              <w:top w:val="nil"/>
              <w:bottom w:val="nil"/>
            </w:tcBorders>
          </w:tcPr>
          <w:p w:rsidR="00000000" w:rsidRDefault="00000000">
            <w:pPr>
              <w:spacing w:before="40" w:after="20" w:line="216" w:lineRule="auto"/>
              <w:jc w:val="right"/>
              <w:rPr>
                <w:sz w:val="20"/>
              </w:rPr>
            </w:pPr>
            <w:r>
              <w:rPr>
                <w:sz w:val="20"/>
              </w:rPr>
              <w:t>4 428</w:t>
            </w:r>
          </w:p>
        </w:tc>
        <w:tc>
          <w:tcPr>
            <w:tcW w:w="527" w:type="pct"/>
            <w:tcBorders>
              <w:top w:val="nil"/>
              <w:bottom w:val="nil"/>
            </w:tcBorders>
          </w:tcPr>
          <w:p w:rsidR="00000000" w:rsidRDefault="00000000">
            <w:pPr>
              <w:spacing w:before="40" w:after="20" w:line="216" w:lineRule="auto"/>
              <w:jc w:val="right"/>
              <w:rPr>
                <w:sz w:val="20"/>
              </w:rPr>
            </w:pPr>
            <w:r>
              <w:rPr>
                <w:sz w:val="20"/>
              </w:rPr>
              <w:t>3 938</w:t>
            </w:r>
          </w:p>
        </w:tc>
        <w:tc>
          <w:tcPr>
            <w:tcW w:w="527" w:type="pct"/>
            <w:tcBorders>
              <w:top w:val="nil"/>
              <w:bottom w:val="nil"/>
            </w:tcBorders>
          </w:tcPr>
          <w:p w:rsidR="00000000" w:rsidRDefault="00000000">
            <w:pPr>
              <w:spacing w:before="40" w:after="20" w:line="216" w:lineRule="auto"/>
              <w:jc w:val="right"/>
              <w:rPr>
                <w:sz w:val="20"/>
              </w:rPr>
            </w:pPr>
            <w:r>
              <w:rPr>
                <w:sz w:val="20"/>
              </w:rPr>
              <w:t>3 565</w:t>
            </w:r>
          </w:p>
        </w:tc>
        <w:tc>
          <w:tcPr>
            <w:tcW w:w="527" w:type="pct"/>
            <w:tcBorders>
              <w:top w:val="nil"/>
              <w:bottom w:val="nil"/>
            </w:tcBorders>
          </w:tcPr>
          <w:p w:rsidR="00000000" w:rsidRDefault="00000000">
            <w:pPr>
              <w:spacing w:before="40" w:after="20" w:line="216" w:lineRule="auto"/>
              <w:jc w:val="right"/>
              <w:rPr>
                <w:sz w:val="20"/>
              </w:rPr>
            </w:pPr>
            <w:r>
              <w:rPr>
                <w:sz w:val="20"/>
              </w:rPr>
              <w:t>3 533</w:t>
            </w:r>
          </w:p>
        </w:tc>
      </w:tr>
      <w:tr w:rsidR="00000000">
        <w:tblPrEx>
          <w:tblCellMar>
            <w:top w:w="0" w:type="dxa"/>
            <w:bottom w:w="0" w:type="dxa"/>
          </w:tblCellMar>
        </w:tblPrEx>
        <w:tc>
          <w:tcPr>
            <w:tcW w:w="2892" w:type="pct"/>
            <w:tcBorders>
              <w:top w:val="nil"/>
              <w:bottom w:val="nil"/>
            </w:tcBorders>
          </w:tcPr>
          <w:p w:rsidR="00000000" w:rsidRDefault="00000000">
            <w:pPr>
              <w:spacing w:before="40" w:after="20" w:line="216" w:lineRule="auto"/>
              <w:rPr>
                <w:sz w:val="20"/>
              </w:rPr>
            </w:pPr>
            <w:r>
              <w:rPr>
                <w:sz w:val="20"/>
              </w:rPr>
              <w:t xml:space="preserve">  -   города</w:t>
            </w:r>
          </w:p>
        </w:tc>
        <w:tc>
          <w:tcPr>
            <w:tcW w:w="527" w:type="pct"/>
            <w:tcBorders>
              <w:top w:val="nil"/>
              <w:bottom w:val="nil"/>
            </w:tcBorders>
          </w:tcPr>
          <w:p w:rsidR="00000000" w:rsidRDefault="00000000">
            <w:pPr>
              <w:spacing w:before="40" w:after="20" w:line="216" w:lineRule="auto"/>
              <w:jc w:val="right"/>
              <w:rPr>
                <w:sz w:val="20"/>
              </w:rPr>
            </w:pPr>
            <w:r>
              <w:rPr>
                <w:sz w:val="20"/>
              </w:rPr>
              <w:t>1 007</w:t>
            </w:r>
          </w:p>
        </w:tc>
        <w:tc>
          <w:tcPr>
            <w:tcW w:w="527" w:type="pct"/>
            <w:tcBorders>
              <w:top w:val="nil"/>
              <w:bottom w:val="nil"/>
            </w:tcBorders>
          </w:tcPr>
          <w:p w:rsidR="00000000" w:rsidRDefault="00000000">
            <w:pPr>
              <w:spacing w:before="40" w:after="20" w:line="216" w:lineRule="auto"/>
              <w:jc w:val="right"/>
              <w:rPr>
                <w:sz w:val="20"/>
              </w:rPr>
            </w:pPr>
            <w:r>
              <w:rPr>
                <w:sz w:val="20"/>
              </w:rPr>
              <w:t>945</w:t>
            </w:r>
          </w:p>
        </w:tc>
        <w:tc>
          <w:tcPr>
            <w:tcW w:w="527" w:type="pct"/>
            <w:tcBorders>
              <w:top w:val="nil"/>
              <w:bottom w:val="nil"/>
            </w:tcBorders>
          </w:tcPr>
          <w:p w:rsidR="00000000" w:rsidRDefault="00000000">
            <w:pPr>
              <w:spacing w:before="40" w:after="20" w:line="216" w:lineRule="auto"/>
              <w:jc w:val="right"/>
              <w:rPr>
                <w:sz w:val="20"/>
              </w:rPr>
            </w:pPr>
            <w:r>
              <w:rPr>
                <w:sz w:val="20"/>
              </w:rPr>
              <w:t>921</w:t>
            </w:r>
          </w:p>
        </w:tc>
        <w:tc>
          <w:tcPr>
            <w:tcW w:w="527" w:type="pct"/>
            <w:tcBorders>
              <w:top w:val="nil"/>
              <w:bottom w:val="nil"/>
            </w:tcBorders>
          </w:tcPr>
          <w:p w:rsidR="00000000" w:rsidRDefault="00000000">
            <w:pPr>
              <w:spacing w:before="40" w:after="20" w:line="216" w:lineRule="auto"/>
              <w:jc w:val="right"/>
              <w:rPr>
                <w:sz w:val="20"/>
              </w:rPr>
            </w:pPr>
            <w:r>
              <w:rPr>
                <w:sz w:val="20"/>
              </w:rPr>
              <w:t>944</w:t>
            </w:r>
          </w:p>
        </w:tc>
      </w:tr>
      <w:tr w:rsidR="00000000">
        <w:tblPrEx>
          <w:tblCellMar>
            <w:top w:w="0" w:type="dxa"/>
            <w:bottom w:w="0" w:type="dxa"/>
          </w:tblCellMar>
        </w:tblPrEx>
        <w:tc>
          <w:tcPr>
            <w:tcW w:w="2892" w:type="pct"/>
            <w:tcBorders>
              <w:top w:val="nil"/>
              <w:bottom w:val="nil"/>
            </w:tcBorders>
          </w:tcPr>
          <w:p w:rsidR="00000000" w:rsidRDefault="00000000">
            <w:pPr>
              <w:spacing w:before="40" w:after="20" w:line="216" w:lineRule="auto"/>
              <w:rPr>
                <w:sz w:val="20"/>
              </w:rPr>
            </w:pPr>
            <w:r>
              <w:rPr>
                <w:sz w:val="20"/>
              </w:rPr>
              <w:t xml:space="preserve">  -   сельские районы</w:t>
            </w:r>
          </w:p>
        </w:tc>
        <w:tc>
          <w:tcPr>
            <w:tcW w:w="527" w:type="pct"/>
            <w:tcBorders>
              <w:top w:val="nil"/>
              <w:bottom w:val="nil"/>
            </w:tcBorders>
          </w:tcPr>
          <w:p w:rsidR="00000000" w:rsidRDefault="00000000">
            <w:pPr>
              <w:spacing w:before="40" w:after="20" w:line="216" w:lineRule="auto"/>
              <w:jc w:val="right"/>
              <w:rPr>
                <w:sz w:val="20"/>
              </w:rPr>
            </w:pPr>
            <w:r>
              <w:rPr>
                <w:sz w:val="20"/>
              </w:rPr>
              <w:t>3 421</w:t>
            </w:r>
          </w:p>
        </w:tc>
        <w:tc>
          <w:tcPr>
            <w:tcW w:w="527" w:type="pct"/>
            <w:tcBorders>
              <w:top w:val="nil"/>
              <w:bottom w:val="nil"/>
            </w:tcBorders>
          </w:tcPr>
          <w:p w:rsidR="00000000" w:rsidRDefault="00000000">
            <w:pPr>
              <w:spacing w:before="40" w:after="20" w:line="216" w:lineRule="auto"/>
              <w:jc w:val="right"/>
              <w:rPr>
                <w:sz w:val="20"/>
              </w:rPr>
            </w:pPr>
            <w:r>
              <w:rPr>
                <w:sz w:val="20"/>
              </w:rPr>
              <w:t>2 993</w:t>
            </w:r>
          </w:p>
        </w:tc>
        <w:tc>
          <w:tcPr>
            <w:tcW w:w="527" w:type="pct"/>
            <w:tcBorders>
              <w:top w:val="nil"/>
              <w:bottom w:val="nil"/>
            </w:tcBorders>
          </w:tcPr>
          <w:p w:rsidR="00000000" w:rsidRDefault="00000000">
            <w:pPr>
              <w:spacing w:before="40" w:after="20" w:line="216" w:lineRule="auto"/>
              <w:jc w:val="right"/>
              <w:rPr>
                <w:sz w:val="20"/>
              </w:rPr>
            </w:pPr>
            <w:r>
              <w:rPr>
                <w:sz w:val="20"/>
              </w:rPr>
              <w:t>2 644</w:t>
            </w:r>
          </w:p>
        </w:tc>
        <w:tc>
          <w:tcPr>
            <w:tcW w:w="527" w:type="pct"/>
            <w:tcBorders>
              <w:top w:val="nil"/>
              <w:bottom w:val="nil"/>
            </w:tcBorders>
          </w:tcPr>
          <w:p w:rsidR="00000000" w:rsidRDefault="00000000">
            <w:pPr>
              <w:spacing w:before="40" w:after="20" w:line="216" w:lineRule="auto"/>
              <w:jc w:val="right"/>
              <w:rPr>
                <w:sz w:val="20"/>
              </w:rPr>
            </w:pPr>
            <w:r>
              <w:rPr>
                <w:sz w:val="20"/>
              </w:rPr>
              <w:t>2 389</w:t>
            </w:r>
          </w:p>
        </w:tc>
      </w:tr>
      <w:tr w:rsidR="00000000">
        <w:tblPrEx>
          <w:tblCellMar>
            <w:top w:w="0" w:type="dxa"/>
            <w:bottom w:w="0" w:type="dxa"/>
          </w:tblCellMar>
        </w:tblPrEx>
        <w:tc>
          <w:tcPr>
            <w:tcW w:w="2892" w:type="pct"/>
            <w:tcBorders>
              <w:top w:val="nil"/>
              <w:bottom w:val="nil"/>
            </w:tcBorders>
          </w:tcPr>
          <w:p w:rsidR="00000000" w:rsidRDefault="00000000">
            <w:pPr>
              <w:spacing w:before="40" w:after="20" w:line="216" w:lineRule="auto"/>
              <w:rPr>
                <w:sz w:val="20"/>
              </w:rPr>
            </w:pPr>
            <w:r>
              <w:rPr>
                <w:sz w:val="20"/>
              </w:rPr>
              <w:t>Книжные собрания, в млн. томов</w:t>
            </w:r>
          </w:p>
        </w:tc>
        <w:tc>
          <w:tcPr>
            <w:tcW w:w="527" w:type="pct"/>
            <w:tcBorders>
              <w:top w:val="nil"/>
              <w:bottom w:val="nil"/>
            </w:tcBorders>
          </w:tcPr>
          <w:p w:rsidR="00000000" w:rsidRDefault="00000000">
            <w:pPr>
              <w:spacing w:before="40" w:after="20" w:line="216" w:lineRule="auto"/>
              <w:jc w:val="right"/>
              <w:rPr>
                <w:sz w:val="20"/>
              </w:rPr>
            </w:pPr>
            <w:r>
              <w:rPr>
                <w:sz w:val="20"/>
              </w:rPr>
              <w:t>136,7</w:t>
            </w:r>
          </w:p>
        </w:tc>
        <w:tc>
          <w:tcPr>
            <w:tcW w:w="527" w:type="pct"/>
            <w:tcBorders>
              <w:top w:val="nil"/>
              <w:bottom w:val="nil"/>
            </w:tcBorders>
          </w:tcPr>
          <w:p w:rsidR="00000000" w:rsidRDefault="00000000">
            <w:pPr>
              <w:spacing w:before="40" w:after="20" w:line="216" w:lineRule="auto"/>
              <w:jc w:val="right"/>
              <w:rPr>
                <w:sz w:val="20"/>
              </w:rPr>
            </w:pPr>
            <w:r>
              <w:rPr>
                <w:sz w:val="20"/>
              </w:rPr>
              <w:t>136,7</w:t>
            </w:r>
          </w:p>
        </w:tc>
        <w:tc>
          <w:tcPr>
            <w:tcW w:w="527" w:type="pct"/>
            <w:tcBorders>
              <w:top w:val="nil"/>
              <w:bottom w:val="nil"/>
            </w:tcBorders>
          </w:tcPr>
          <w:p w:rsidR="00000000" w:rsidRDefault="00000000">
            <w:pPr>
              <w:spacing w:before="40" w:after="20" w:line="216" w:lineRule="auto"/>
              <w:jc w:val="right"/>
              <w:rPr>
                <w:sz w:val="20"/>
              </w:rPr>
            </w:pPr>
            <w:r>
              <w:rPr>
                <w:sz w:val="20"/>
              </w:rPr>
              <w:t>135,9</w:t>
            </w:r>
          </w:p>
        </w:tc>
        <w:tc>
          <w:tcPr>
            <w:tcW w:w="527" w:type="pct"/>
            <w:tcBorders>
              <w:top w:val="nil"/>
              <w:bottom w:val="nil"/>
            </w:tcBorders>
          </w:tcPr>
          <w:p w:rsidR="00000000" w:rsidRDefault="00000000">
            <w:pPr>
              <w:spacing w:before="40" w:after="20" w:line="216" w:lineRule="auto"/>
              <w:jc w:val="right"/>
              <w:rPr>
                <w:sz w:val="20"/>
              </w:rPr>
            </w:pPr>
            <w:r>
              <w:rPr>
                <w:sz w:val="20"/>
              </w:rPr>
              <w:t>136</w:t>
            </w:r>
          </w:p>
        </w:tc>
      </w:tr>
      <w:tr w:rsidR="00000000">
        <w:tblPrEx>
          <w:tblCellMar>
            <w:top w:w="0" w:type="dxa"/>
            <w:bottom w:w="0" w:type="dxa"/>
          </w:tblCellMar>
        </w:tblPrEx>
        <w:tc>
          <w:tcPr>
            <w:tcW w:w="2892" w:type="pct"/>
            <w:tcBorders>
              <w:top w:val="nil"/>
              <w:bottom w:val="nil"/>
            </w:tcBorders>
          </w:tcPr>
          <w:p w:rsidR="00000000" w:rsidRDefault="00000000">
            <w:pPr>
              <w:spacing w:before="40" w:after="20" w:line="216" w:lineRule="auto"/>
              <w:rPr>
                <w:sz w:val="20"/>
              </w:rPr>
            </w:pPr>
            <w:r>
              <w:rPr>
                <w:sz w:val="20"/>
              </w:rPr>
              <w:t>Читатели</w:t>
            </w:r>
          </w:p>
        </w:tc>
        <w:tc>
          <w:tcPr>
            <w:tcW w:w="527" w:type="pct"/>
            <w:tcBorders>
              <w:top w:val="nil"/>
              <w:bottom w:val="nil"/>
            </w:tcBorders>
          </w:tcPr>
          <w:p w:rsidR="00000000" w:rsidRDefault="00000000">
            <w:pPr>
              <w:spacing w:before="40" w:after="20" w:line="216" w:lineRule="auto"/>
              <w:jc w:val="right"/>
              <w:rPr>
                <w:sz w:val="20"/>
              </w:rPr>
            </w:pPr>
            <w:r>
              <w:rPr>
                <w:sz w:val="20"/>
              </w:rPr>
              <w:t>7 023 000</w:t>
            </w:r>
          </w:p>
        </w:tc>
        <w:tc>
          <w:tcPr>
            <w:tcW w:w="527" w:type="pct"/>
            <w:tcBorders>
              <w:top w:val="nil"/>
              <w:bottom w:val="nil"/>
            </w:tcBorders>
          </w:tcPr>
          <w:p w:rsidR="00000000" w:rsidRDefault="00000000">
            <w:pPr>
              <w:spacing w:before="40" w:after="20" w:line="216" w:lineRule="auto"/>
              <w:jc w:val="right"/>
              <w:rPr>
                <w:sz w:val="20"/>
              </w:rPr>
            </w:pPr>
            <w:r>
              <w:rPr>
                <w:sz w:val="20"/>
              </w:rPr>
              <w:t>7</w:t>
            </w:r>
            <w:r>
              <w:t> </w:t>
            </w:r>
            <w:r>
              <w:rPr>
                <w:sz w:val="20"/>
              </w:rPr>
              <w:t>176 000</w:t>
            </w:r>
          </w:p>
        </w:tc>
        <w:tc>
          <w:tcPr>
            <w:tcW w:w="527" w:type="pct"/>
            <w:tcBorders>
              <w:top w:val="nil"/>
              <w:bottom w:val="nil"/>
            </w:tcBorders>
          </w:tcPr>
          <w:p w:rsidR="00000000" w:rsidRDefault="00000000">
            <w:pPr>
              <w:spacing w:before="40" w:after="20" w:line="216" w:lineRule="auto"/>
              <w:jc w:val="right"/>
              <w:rPr>
                <w:sz w:val="20"/>
              </w:rPr>
            </w:pPr>
            <w:r>
              <w:rPr>
                <w:sz w:val="20"/>
              </w:rPr>
              <w:t>7 222 000</w:t>
            </w:r>
          </w:p>
        </w:tc>
        <w:tc>
          <w:tcPr>
            <w:tcW w:w="527" w:type="pct"/>
            <w:tcBorders>
              <w:top w:val="nil"/>
              <w:bottom w:val="nil"/>
            </w:tcBorders>
          </w:tcPr>
          <w:p w:rsidR="00000000" w:rsidRDefault="00000000">
            <w:pPr>
              <w:spacing w:before="40" w:after="20" w:line="216" w:lineRule="auto"/>
              <w:jc w:val="right"/>
              <w:rPr>
                <w:sz w:val="20"/>
              </w:rPr>
            </w:pPr>
            <w:r>
              <w:rPr>
                <w:sz w:val="20"/>
              </w:rPr>
              <w:t>7 314 093</w:t>
            </w:r>
          </w:p>
        </w:tc>
      </w:tr>
      <w:tr w:rsidR="00000000">
        <w:tblPrEx>
          <w:tblCellMar>
            <w:top w:w="0" w:type="dxa"/>
            <w:bottom w:w="0" w:type="dxa"/>
          </w:tblCellMar>
        </w:tblPrEx>
        <w:tc>
          <w:tcPr>
            <w:tcW w:w="2892" w:type="pct"/>
            <w:tcBorders>
              <w:top w:val="nil"/>
              <w:bottom w:val="nil"/>
            </w:tcBorders>
          </w:tcPr>
          <w:p w:rsidR="00000000" w:rsidRDefault="00000000">
            <w:pPr>
              <w:spacing w:before="40" w:after="20" w:line="216" w:lineRule="auto"/>
              <w:rPr>
                <w:sz w:val="20"/>
              </w:rPr>
            </w:pPr>
            <w:r>
              <w:rPr>
                <w:sz w:val="20"/>
              </w:rPr>
              <w:t xml:space="preserve"> -   города</w:t>
            </w:r>
          </w:p>
        </w:tc>
        <w:tc>
          <w:tcPr>
            <w:tcW w:w="527" w:type="pct"/>
            <w:tcBorders>
              <w:top w:val="nil"/>
              <w:bottom w:val="nil"/>
            </w:tcBorders>
          </w:tcPr>
          <w:p w:rsidR="00000000" w:rsidRDefault="00000000">
            <w:pPr>
              <w:spacing w:before="40" w:after="20" w:line="216" w:lineRule="auto"/>
              <w:jc w:val="right"/>
              <w:rPr>
                <w:sz w:val="20"/>
              </w:rPr>
            </w:pPr>
            <w:r>
              <w:rPr>
                <w:sz w:val="20"/>
              </w:rPr>
              <w:t>4 969 900</w:t>
            </w:r>
          </w:p>
        </w:tc>
        <w:tc>
          <w:tcPr>
            <w:tcW w:w="527" w:type="pct"/>
            <w:tcBorders>
              <w:top w:val="nil"/>
              <w:bottom w:val="nil"/>
            </w:tcBorders>
          </w:tcPr>
          <w:p w:rsidR="00000000" w:rsidRDefault="00000000">
            <w:pPr>
              <w:spacing w:before="40" w:after="20" w:line="216" w:lineRule="auto"/>
              <w:jc w:val="right"/>
              <w:rPr>
                <w:sz w:val="20"/>
              </w:rPr>
            </w:pPr>
            <w:r>
              <w:rPr>
                <w:sz w:val="20"/>
              </w:rPr>
              <w:t>5 140 300</w:t>
            </w:r>
          </w:p>
        </w:tc>
        <w:tc>
          <w:tcPr>
            <w:tcW w:w="527" w:type="pct"/>
            <w:tcBorders>
              <w:top w:val="nil"/>
              <w:bottom w:val="nil"/>
            </w:tcBorders>
          </w:tcPr>
          <w:p w:rsidR="00000000" w:rsidRDefault="00000000">
            <w:pPr>
              <w:spacing w:before="40" w:after="20" w:line="216" w:lineRule="auto"/>
              <w:jc w:val="right"/>
              <w:rPr>
                <w:sz w:val="20"/>
              </w:rPr>
            </w:pPr>
            <w:r>
              <w:rPr>
                <w:sz w:val="20"/>
              </w:rPr>
              <w:t>5 220 400</w:t>
            </w:r>
          </w:p>
        </w:tc>
        <w:tc>
          <w:tcPr>
            <w:tcW w:w="527" w:type="pct"/>
            <w:tcBorders>
              <w:top w:val="nil"/>
              <w:bottom w:val="nil"/>
            </w:tcBorders>
          </w:tcPr>
          <w:p w:rsidR="00000000" w:rsidRDefault="00000000">
            <w:pPr>
              <w:spacing w:before="40" w:after="20" w:line="216" w:lineRule="auto"/>
              <w:jc w:val="right"/>
              <w:rPr>
                <w:sz w:val="20"/>
              </w:rPr>
            </w:pPr>
            <w:r>
              <w:rPr>
                <w:sz w:val="20"/>
              </w:rPr>
              <w:t>5 331 781</w:t>
            </w:r>
          </w:p>
        </w:tc>
      </w:tr>
      <w:tr w:rsidR="00000000">
        <w:tblPrEx>
          <w:tblCellMar>
            <w:top w:w="0" w:type="dxa"/>
            <w:bottom w:w="0" w:type="dxa"/>
          </w:tblCellMar>
        </w:tblPrEx>
        <w:tc>
          <w:tcPr>
            <w:tcW w:w="2892" w:type="pct"/>
            <w:tcBorders>
              <w:top w:val="nil"/>
              <w:bottom w:val="nil"/>
            </w:tcBorders>
          </w:tcPr>
          <w:p w:rsidR="00000000" w:rsidRDefault="00000000">
            <w:pPr>
              <w:spacing w:before="40" w:after="20" w:line="216" w:lineRule="auto"/>
              <w:rPr>
                <w:sz w:val="20"/>
              </w:rPr>
            </w:pPr>
            <w:r>
              <w:rPr>
                <w:sz w:val="20"/>
              </w:rPr>
              <w:t xml:space="preserve"> -   сельские районы</w:t>
            </w:r>
          </w:p>
        </w:tc>
        <w:tc>
          <w:tcPr>
            <w:tcW w:w="527" w:type="pct"/>
            <w:tcBorders>
              <w:top w:val="nil"/>
              <w:bottom w:val="nil"/>
            </w:tcBorders>
          </w:tcPr>
          <w:p w:rsidR="00000000" w:rsidRDefault="00000000">
            <w:pPr>
              <w:spacing w:before="40" w:after="20" w:line="216" w:lineRule="auto"/>
              <w:jc w:val="right"/>
              <w:rPr>
                <w:sz w:val="20"/>
              </w:rPr>
            </w:pPr>
            <w:r>
              <w:rPr>
                <w:sz w:val="20"/>
              </w:rPr>
              <w:t>2 053 100</w:t>
            </w:r>
          </w:p>
        </w:tc>
        <w:tc>
          <w:tcPr>
            <w:tcW w:w="527" w:type="pct"/>
            <w:tcBorders>
              <w:top w:val="nil"/>
              <w:bottom w:val="nil"/>
            </w:tcBorders>
          </w:tcPr>
          <w:p w:rsidR="00000000" w:rsidRDefault="00000000">
            <w:pPr>
              <w:spacing w:before="40" w:after="20" w:line="216" w:lineRule="auto"/>
              <w:jc w:val="right"/>
              <w:rPr>
                <w:sz w:val="20"/>
              </w:rPr>
            </w:pPr>
            <w:r>
              <w:rPr>
                <w:sz w:val="20"/>
              </w:rPr>
              <w:t>2 035 700</w:t>
            </w:r>
          </w:p>
        </w:tc>
        <w:tc>
          <w:tcPr>
            <w:tcW w:w="527" w:type="pct"/>
            <w:tcBorders>
              <w:top w:val="nil"/>
              <w:bottom w:val="nil"/>
            </w:tcBorders>
          </w:tcPr>
          <w:p w:rsidR="00000000" w:rsidRDefault="00000000">
            <w:pPr>
              <w:spacing w:before="40" w:after="20" w:line="216" w:lineRule="auto"/>
              <w:jc w:val="right"/>
              <w:rPr>
                <w:sz w:val="20"/>
              </w:rPr>
            </w:pPr>
            <w:r>
              <w:rPr>
                <w:sz w:val="20"/>
              </w:rPr>
              <w:t>2 001 600</w:t>
            </w:r>
          </w:p>
        </w:tc>
        <w:tc>
          <w:tcPr>
            <w:tcW w:w="527" w:type="pct"/>
            <w:tcBorders>
              <w:top w:val="nil"/>
              <w:bottom w:val="nil"/>
            </w:tcBorders>
          </w:tcPr>
          <w:p w:rsidR="00000000" w:rsidRDefault="00000000">
            <w:pPr>
              <w:spacing w:before="40" w:after="20" w:line="216" w:lineRule="auto"/>
              <w:jc w:val="right"/>
              <w:rPr>
                <w:sz w:val="20"/>
              </w:rPr>
            </w:pPr>
            <w:r>
              <w:rPr>
                <w:sz w:val="20"/>
              </w:rPr>
              <w:t>1 982 312</w:t>
            </w:r>
          </w:p>
        </w:tc>
      </w:tr>
      <w:tr w:rsidR="00000000">
        <w:tblPrEx>
          <w:tblCellMar>
            <w:top w:w="0" w:type="dxa"/>
            <w:bottom w:w="0" w:type="dxa"/>
          </w:tblCellMar>
        </w:tblPrEx>
        <w:tc>
          <w:tcPr>
            <w:tcW w:w="2892" w:type="pct"/>
            <w:tcBorders>
              <w:top w:val="nil"/>
              <w:bottom w:val="nil"/>
            </w:tcBorders>
          </w:tcPr>
          <w:p w:rsidR="00000000" w:rsidRDefault="00000000">
            <w:pPr>
              <w:spacing w:before="40" w:after="20" w:line="216" w:lineRule="auto"/>
              <w:rPr>
                <w:sz w:val="20"/>
              </w:rPr>
            </w:pPr>
            <w:r>
              <w:rPr>
                <w:sz w:val="20"/>
              </w:rPr>
              <w:t>Выданные книги, в млн. томов</w:t>
            </w:r>
          </w:p>
        </w:tc>
        <w:tc>
          <w:tcPr>
            <w:tcW w:w="527" w:type="pct"/>
            <w:tcBorders>
              <w:top w:val="nil"/>
              <w:bottom w:val="nil"/>
            </w:tcBorders>
          </w:tcPr>
          <w:p w:rsidR="00000000" w:rsidRDefault="00000000">
            <w:pPr>
              <w:spacing w:before="40" w:after="20" w:line="216" w:lineRule="auto"/>
              <w:jc w:val="right"/>
              <w:rPr>
                <w:sz w:val="20"/>
              </w:rPr>
            </w:pPr>
            <w:r>
              <w:rPr>
                <w:sz w:val="20"/>
              </w:rPr>
              <w:t>161,7</w:t>
            </w:r>
          </w:p>
        </w:tc>
        <w:tc>
          <w:tcPr>
            <w:tcW w:w="527" w:type="pct"/>
            <w:tcBorders>
              <w:top w:val="nil"/>
              <w:bottom w:val="nil"/>
            </w:tcBorders>
          </w:tcPr>
          <w:p w:rsidR="00000000" w:rsidRDefault="00000000">
            <w:pPr>
              <w:spacing w:before="40" w:after="20" w:line="216" w:lineRule="auto"/>
              <w:jc w:val="right"/>
              <w:rPr>
                <w:sz w:val="20"/>
              </w:rPr>
            </w:pPr>
            <w:r>
              <w:rPr>
                <w:sz w:val="20"/>
              </w:rPr>
              <w:t>161,8</w:t>
            </w:r>
          </w:p>
        </w:tc>
        <w:tc>
          <w:tcPr>
            <w:tcW w:w="527" w:type="pct"/>
            <w:tcBorders>
              <w:top w:val="nil"/>
              <w:bottom w:val="nil"/>
            </w:tcBorders>
          </w:tcPr>
          <w:p w:rsidR="00000000" w:rsidRDefault="00000000">
            <w:pPr>
              <w:spacing w:before="40" w:after="20" w:line="216" w:lineRule="auto"/>
              <w:jc w:val="right"/>
              <w:rPr>
                <w:sz w:val="20"/>
              </w:rPr>
            </w:pPr>
            <w:r>
              <w:rPr>
                <w:sz w:val="20"/>
              </w:rPr>
              <w:t>158,0</w:t>
            </w:r>
          </w:p>
        </w:tc>
        <w:tc>
          <w:tcPr>
            <w:tcW w:w="527" w:type="pct"/>
            <w:tcBorders>
              <w:top w:val="nil"/>
              <w:bottom w:val="nil"/>
            </w:tcBorders>
          </w:tcPr>
          <w:p w:rsidR="00000000" w:rsidRDefault="00000000">
            <w:pPr>
              <w:spacing w:before="40" w:after="20" w:line="216" w:lineRule="auto"/>
              <w:jc w:val="right"/>
              <w:rPr>
                <w:sz w:val="20"/>
              </w:rPr>
            </w:pPr>
            <w:r>
              <w:rPr>
                <w:sz w:val="20"/>
              </w:rPr>
              <w:t>152,1</w:t>
            </w:r>
          </w:p>
        </w:tc>
      </w:tr>
      <w:tr w:rsidR="00000000">
        <w:tblPrEx>
          <w:tblCellMar>
            <w:top w:w="0" w:type="dxa"/>
            <w:bottom w:w="0" w:type="dxa"/>
          </w:tblCellMar>
        </w:tblPrEx>
        <w:tc>
          <w:tcPr>
            <w:tcW w:w="2892" w:type="pct"/>
            <w:tcBorders>
              <w:top w:val="nil"/>
              <w:bottom w:val="nil"/>
            </w:tcBorders>
          </w:tcPr>
          <w:p w:rsidR="00000000" w:rsidRDefault="00000000">
            <w:pPr>
              <w:spacing w:before="40" w:after="20" w:line="216" w:lineRule="auto"/>
              <w:rPr>
                <w:sz w:val="20"/>
              </w:rPr>
            </w:pPr>
            <w:r>
              <w:rPr>
                <w:sz w:val="20"/>
              </w:rPr>
              <w:t>Поставки книг, в млн. томов</w:t>
            </w:r>
          </w:p>
        </w:tc>
        <w:tc>
          <w:tcPr>
            <w:tcW w:w="527" w:type="pct"/>
            <w:tcBorders>
              <w:top w:val="nil"/>
              <w:bottom w:val="nil"/>
            </w:tcBorders>
          </w:tcPr>
          <w:p w:rsidR="00000000" w:rsidRDefault="00000000">
            <w:pPr>
              <w:spacing w:before="40" w:after="20" w:line="216" w:lineRule="auto"/>
              <w:jc w:val="right"/>
              <w:rPr>
                <w:sz w:val="20"/>
              </w:rPr>
            </w:pPr>
            <w:r>
              <w:rPr>
                <w:sz w:val="20"/>
              </w:rPr>
              <w:t>4 299</w:t>
            </w:r>
          </w:p>
        </w:tc>
        <w:tc>
          <w:tcPr>
            <w:tcW w:w="527" w:type="pct"/>
            <w:tcBorders>
              <w:top w:val="nil"/>
              <w:bottom w:val="nil"/>
            </w:tcBorders>
          </w:tcPr>
          <w:p w:rsidR="00000000" w:rsidRDefault="00000000">
            <w:pPr>
              <w:spacing w:before="40" w:after="20" w:line="216" w:lineRule="auto"/>
              <w:jc w:val="right"/>
              <w:rPr>
                <w:sz w:val="20"/>
              </w:rPr>
            </w:pPr>
            <w:r>
              <w:rPr>
                <w:sz w:val="20"/>
              </w:rPr>
              <w:t>3 983</w:t>
            </w:r>
          </w:p>
        </w:tc>
        <w:tc>
          <w:tcPr>
            <w:tcW w:w="527" w:type="pct"/>
            <w:tcBorders>
              <w:top w:val="nil"/>
              <w:bottom w:val="nil"/>
            </w:tcBorders>
          </w:tcPr>
          <w:p w:rsidR="00000000" w:rsidRDefault="00000000">
            <w:pPr>
              <w:spacing w:before="40" w:after="20" w:line="216" w:lineRule="auto"/>
              <w:jc w:val="right"/>
              <w:rPr>
                <w:sz w:val="20"/>
              </w:rPr>
            </w:pPr>
            <w:r>
              <w:rPr>
                <w:sz w:val="20"/>
              </w:rPr>
              <w:t>3 794</w:t>
            </w:r>
          </w:p>
        </w:tc>
        <w:tc>
          <w:tcPr>
            <w:tcW w:w="527" w:type="pct"/>
            <w:tcBorders>
              <w:top w:val="nil"/>
              <w:bottom w:val="nil"/>
            </w:tcBorders>
          </w:tcPr>
          <w:p w:rsidR="00000000" w:rsidRDefault="00000000">
            <w:pPr>
              <w:spacing w:before="40" w:after="20" w:line="216" w:lineRule="auto"/>
              <w:jc w:val="right"/>
              <w:rPr>
                <w:sz w:val="20"/>
              </w:rPr>
            </w:pPr>
            <w:r>
              <w:rPr>
                <w:sz w:val="20"/>
              </w:rPr>
              <w:t>3 658</w:t>
            </w:r>
          </w:p>
        </w:tc>
      </w:tr>
      <w:tr w:rsidR="00000000">
        <w:tblPrEx>
          <w:tblCellMar>
            <w:top w:w="0" w:type="dxa"/>
            <w:bottom w:w="0" w:type="dxa"/>
          </w:tblCellMar>
        </w:tblPrEx>
        <w:tc>
          <w:tcPr>
            <w:tcW w:w="2892" w:type="pct"/>
            <w:tcBorders>
              <w:top w:val="nil"/>
              <w:bottom w:val="nil"/>
            </w:tcBorders>
          </w:tcPr>
          <w:p w:rsidR="00000000" w:rsidRDefault="00000000">
            <w:pPr>
              <w:spacing w:before="40" w:after="20" w:line="216" w:lineRule="auto"/>
              <w:rPr>
                <w:sz w:val="20"/>
              </w:rPr>
            </w:pPr>
            <w:r>
              <w:rPr>
                <w:sz w:val="20"/>
              </w:rPr>
              <w:t>Поставки аудиовизуальных средств</w:t>
            </w:r>
          </w:p>
        </w:tc>
        <w:tc>
          <w:tcPr>
            <w:tcW w:w="527" w:type="pct"/>
            <w:tcBorders>
              <w:top w:val="nil"/>
              <w:bottom w:val="nil"/>
            </w:tcBorders>
          </w:tcPr>
          <w:p w:rsidR="00000000" w:rsidRDefault="00000000">
            <w:pPr>
              <w:spacing w:before="40" w:after="20" w:line="216" w:lineRule="auto"/>
              <w:jc w:val="right"/>
              <w:rPr>
                <w:sz w:val="20"/>
              </w:rPr>
            </w:pPr>
            <w:r>
              <w:rPr>
                <w:sz w:val="20"/>
              </w:rPr>
              <w:t>98 000</w:t>
            </w:r>
          </w:p>
        </w:tc>
        <w:tc>
          <w:tcPr>
            <w:tcW w:w="527" w:type="pct"/>
            <w:tcBorders>
              <w:top w:val="nil"/>
              <w:bottom w:val="nil"/>
            </w:tcBorders>
          </w:tcPr>
          <w:p w:rsidR="00000000" w:rsidRDefault="00000000">
            <w:pPr>
              <w:spacing w:before="40" w:after="20" w:line="216" w:lineRule="auto"/>
              <w:jc w:val="right"/>
              <w:rPr>
                <w:sz w:val="20"/>
              </w:rPr>
            </w:pPr>
            <w:r>
              <w:rPr>
                <w:sz w:val="20"/>
              </w:rPr>
              <w:t>103 000</w:t>
            </w:r>
          </w:p>
        </w:tc>
        <w:tc>
          <w:tcPr>
            <w:tcW w:w="527" w:type="pct"/>
            <w:tcBorders>
              <w:top w:val="nil"/>
              <w:bottom w:val="nil"/>
            </w:tcBorders>
          </w:tcPr>
          <w:p w:rsidR="00000000" w:rsidRDefault="00000000">
            <w:pPr>
              <w:spacing w:before="40" w:after="20" w:line="216" w:lineRule="auto"/>
              <w:jc w:val="right"/>
              <w:rPr>
                <w:sz w:val="20"/>
              </w:rPr>
            </w:pPr>
            <w:r>
              <w:rPr>
                <w:sz w:val="20"/>
              </w:rPr>
              <w:t>77 000</w:t>
            </w:r>
          </w:p>
        </w:tc>
        <w:tc>
          <w:tcPr>
            <w:tcW w:w="527" w:type="pct"/>
            <w:tcBorders>
              <w:top w:val="nil"/>
              <w:bottom w:val="nil"/>
            </w:tcBorders>
          </w:tcPr>
          <w:p w:rsidR="00000000" w:rsidRDefault="00000000">
            <w:pPr>
              <w:spacing w:before="40" w:after="20" w:line="216" w:lineRule="auto"/>
              <w:jc w:val="right"/>
              <w:rPr>
                <w:sz w:val="20"/>
              </w:rPr>
            </w:pPr>
            <w:r>
              <w:rPr>
                <w:sz w:val="20"/>
              </w:rPr>
              <w:t>168 306</w:t>
            </w:r>
          </w:p>
        </w:tc>
      </w:tr>
      <w:tr w:rsidR="00000000">
        <w:tblPrEx>
          <w:tblCellMar>
            <w:top w:w="0" w:type="dxa"/>
            <w:bottom w:w="0" w:type="dxa"/>
          </w:tblCellMar>
        </w:tblPrEx>
        <w:tc>
          <w:tcPr>
            <w:tcW w:w="2892" w:type="pct"/>
            <w:tcBorders>
              <w:top w:val="nil"/>
            </w:tcBorders>
          </w:tcPr>
          <w:p w:rsidR="00000000" w:rsidRDefault="00000000">
            <w:pPr>
              <w:spacing w:before="40" w:after="20" w:line="216" w:lineRule="auto"/>
              <w:rPr>
                <w:sz w:val="20"/>
              </w:rPr>
            </w:pPr>
            <w:r>
              <w:rPr>
                <w:sz w:val="20"/>
              </w:rPr>
              <w:t>Показатель приобретенных книг, в млн. томов на 100 жителей</w:t>
            </w:r>
          </w:p>
        </w:tc>
        <w:tc>
          <w:tcPr>
            <w:tcW w:w="527" w:type="pct"/>
            <w:tcBorders>
              <w:top w:val="nil"/>
            </w:tcBorders>
          </w:tcPr>
          <w:p w:rsidR="00000000" w:rsidRDefault="00000000">
            <w:pPr>
              <w:spacing w:before="40" w:after="20" w:line="216" w:lineRule="auto"/>
              <w:jc w:val="right"/>
              <w:rPr>
                <w:sz w:val="20"/>
              </w:rPr>
            </w:pPr>
            <w:r>
              <w:rPr>
                <w:sz w:val="20"/>
              </w:rPr>
              <w:t>6,9</w:t>
            </w:r>
          </w:p>
        </w:tc>
        <w:tc>
          <w:tcPr>
            <w:tcW w:w="527" w:type="pct"/>
            <w:tcBorders>
              <w:top w:val="nil"/>
            </w:tcBorders>
          </w:tcPr>
          <w:p w:rsidR="00000000" w:rsidRDefault="00000000">
            <w:pPr>
              <w:spacing w:before="40" w:after="20" w:line="216" w:lineRule="auto"/>
              <w:jc w:val="right"/>
              <w:rPr>
                <w:sz w:val="20"/>
              </w:rPr>
            </w:pPr>
            <w:r>
              <w:rPr>
                <w:sz w:val="20"/>
              </w:rPr>
              <w:t>6,7</w:t>
            </w:r>
          </w:p>
        </w:tc>
        <w:tc>
          <w:tcPr>
            <w:tcW w:w="527" w:type="pct"/>
            <w:tcBorders>
              <w:top w:val="nil"/>
            </w:tcBorders>
          </w:tcPr>
          <w:p w:rsidR="00000000" w:rsidRDefault="00000000">
            <w:pPr>
              <w:spacing w:before="40" w:after="20" w:line="216" w:lineRule="auto"/>
              <w:jc w:val="right"/>
              <w:rPr>
                <w:sz w:val="20"/>
              </w:rPr>
            </w:pPr>
            <w:r>
              <w:rPr>
                <w:sz w:val="20"/>
              </w:rPr>
              <w:t>6,8</w:t>
            </w:r>
          </w:p>
        </w:tc>
        <w:tc>
          <w:tcPr>
            <w:tcW w:w="527" w:type="pct"/>
            <w:tcBorders>
              <w:top w:val="nil"/>
            </w:tcBorders>
          </w:tcPr>
          <w:p w:rsidR="00000000" w:rsidRDefault="00000000">
            <w:pPr>
              <w:spacing w:before="40" w:after="20" w:line="216" w:lineRule="auto"/>
              <w:jc w:val="right"/>
              <w:rPr>
                <w:sz w:val="20"/>
              </w:rPr>
            </w:pPr>
            <w:r>
              <w:rPr>
                <w:sz w:val="20"/>
              </w:rPr>
              <w:t>6,7</w:t>
            </w:r>
          </w:p>
        </w:tc>
      </w:tr>
    </w:tbl>
    <w:p w:rsidR="00000000" w:rsidRDefault="00000000"/>
    <w:p w:rsidR="00000000" w:rsidRDefault="00000000">
      <w:r>
        <w:tab/>
      </w:r>
      <w:r>
        <w:rPr>
          <w:u w:val="single"/>
        </w:rPr>
        <w:t>Источник</w:t>
      </w:r>
      <w:r>
        <w:t>:  данные министерства культуры и искусства.</w:t>
      </w:r>
    </w:p>
    <w:p w:rsidR="00000000" w:rsidRDefault="00000000"/>
    <w:p w:rsidR="00000000" w:rsidRDefault="00000000">
      <w:pPr>
        <w:pStyle w:val="Heading2"/>
        <w:rPr>
          <w:b/>
          <w:bCs/>
          <w:u w:val="none"/>
        </w:rPr>
      </w:pPr>
      <w:r>
        <w:rPr>
          <w:b/>
          <w:bCs/>
          <w:u w:val="none"/>
        </w:rPr>
        <w:t>Культурные учреждения, центры и клубы</w:t>
      </w:r>
    </w:p>
    <w:p w:rsidR="00000000" w:rsidRDefault="00000000">
      <w:pPr>
        <w:pStyle w:val="Heading2"/>
      </w:pPr>
    </w:p>
    <w:p w:rsidR="00000000" w:rsidRDefault="00000000">
      <w:r>
        <w:t>360.</w:t>
      </w:r>
      <w:r>
        <w:tab/>
        <w:t xml:space="preserve">В 1995-1998 годах основанием для их деятельности был Закон об организации и регулировании культурных мероприятий от 25 октября 1991 года (Законодательный вестник за 1991 год, пункт 493) с поправками от 27 июня 1996 года.  В 1995 году было открыто около 3 700 объектов культуры, в том числе порядка 2 200 в сельских районах (зачастую одновременно с библиотекой).  В 1997 году в стране насчитывалось 3 598 культурных центров и заведений, клубов и общинных центров, где прошло 241 800 мероприятий, в которых приняли участие 34,2 млн. человек;  14 200 художественных ансамблей объединяли 213 800 человек, и 199 900 человек занимались в группах и клубах по интересам.  В 1997 году 1 168 из 1 502 учреждений в городах находились в ведении государственного сектора;  из них 977 были созданы территориальными органами самоуправления (344 культурных учреждения, 523 культурных центра и 73 клуба).  Из 2 096 культурных центров и заведений, клубов и общинных центров, действующих в сельских районах, 2 048 находились в ведении органов самоуправления (296 культурных учреждений, 803 культурных центров и 855 общинных центров).  В 1998 году культурные центры и учреждения, клубы и общинные центры получили из государственного бюджета 63,8 млн. злотых, или 5,56% (в 1997 году - 5,34%) государственных расходов на культуру и искусство.  Большинство этих учреждений занимаются хозяйственной деятельностью (печатные услуги, прокат видеокассет, прокат театральных костюмов и т.д.) и используют получаемый доход для финансирования своей легальной деятельности.  Это освобождает их от уплаты подоходного налога.  Доходы культурных учреждений покрывали 10-50% их ежегодных расходов на легальную деятельность.  Как и библиотеки, культурные учреждения, центры, клубы и общинные центры играли главенствующую роль в деле распространения культуры среди местного населения, особенно в культурном просвещении детей всех возрастов.  В 1997 году ими было проведено 137 400 мероприятий.  Наибольшая часть мероприятий, проведенных культурными учреждениями гминов в сфере культурного просвещения, предназначалась для учащихся начальных классов.  Значительная часть мероприятий в рамках культурной программы была проведена культурными учреждениями гминов в сотрудничестве с другими организациями.  Из 137 400 мероприятий свыше 81 000 были организованы совместно.  Их главными партнерами были школы, в сотрудничестве с которыми было проведено свыше 48% всех совместных мероприятий.  </w:t>
      </w:r>
    </w:p>
    <w:p w:rsidR="00000000" w:rsidRDefault="00000000"/>
    <w:p w:rsidR="00000000" w:rsidRDefault="00000000">
      <w:pPr>
        <w:pStyle w:val="Heading2"/>
        <w:rPr>
          <w:b/>
          <w:bCs/>
          <w:u w:val="none"/>
        </w:rPr>
      </w:pPr>
      <w:r>
        <w:rPr>
          <w:b/>
          <w:bCs/>
          <w:u w:val="none"/>
        </w:rPr>
        <w:t>Региональные общества</w:t>
      </w:r>
    </w:p>
    <w:p w:rsidR="00000000" w:rsidRDefault="00000000">
      <w:pPr>
        <w:pStyle w:val="Heading2"/>
      </w:pPr>
    </w:p>
    <w:p w:rsidR="00000000" w:rsidRDefault="00000000">
      <w:r>
        <w:t>361.</w:t>
      </w:r>
      <w:r>
        <w:tab/>
        <w:t>В 1995-1998 годах региональные общества культуры представляли самые крупные с точки зрения состава и самые активные группы в социально-культурном движении страны.  Участники регионального движения в составе примерно 350 000 человек были объединены в 1 300 обществ в 3 250 городах страны.  Их представителем был Национальный совет, организационной базой и координатором которого являлся Национальный центр, объединяющий региональные общества культуры со штаб-квартирой в Чехануве.  Он был создан 30 сентября 1983 года в качестве государственного учреждения, а с 30 сентября 1997 года (когда он получил статус объединенного учреждения министра культуры и искусства и воеводства) он стал возглавляться администрацией воеводства.  Укрепление позиций Центра стало результатом увеличения количества задач и расширения круга мероприятий, проводимых обществами.  Конгресс региональных обществ культуры, который проходил 24-26 сентября 1998 года в Радоме, обобщил достижения этого движения за последние четыре года и установил основные принципы их деятельности в будущем.</w:t>
      </w:r>
    </w:p>
    <w:p w:rsidR="00000000" w:rsidRDefault="00000000"/>
    <w:p w:rsidR="00000000" w:rsidRDefault="00000000">
      <w:pPr>
        <w:pStyle w:val="Heading2"/>
        <w:rPr>
          <w:b/>
          <w:bCs/>
          <w:u w:val="none"/>
        </w:rPr>
      </w:pPr>
      <w:r>
        <w:rPr>
          <w:b/>
          <w:bCs/>
          <w:u w:val="none"/>
        </w:rPr>
        <w:t>Театры и связанные с ними учреждения</w:t>
      </w:r>
    </w:p>
    <w:p w:rsidR="00000000" w:rsidRDefault="00000000"/>
    <w:p w:rsidR="00000000" w:rsidRDefault="00000000">
      <w:r>
        <w:t>362.</w:t>
      </w:r>
      <w:r>
        <w:tab/>
        <w:t>В период с 1 января 1995 года по 31 декабря 1998 года количество драматических театров продолжало систематически увеличиваться с 92 до 96, а количество кукольных театров снизилось с 31 до 29 (данные ГСУ).  По информации министерства культуры и искусства, в 1998 году были открыты только 66 драматических театров и 27 кукольных театров.  Статус некоторых учреждений также изменился в результате осуществления экспериментальной программы по реформе государственного управления (Законодательный вестник за 1993 год, № 65, пункт 309), принятой по распоряжению Совета министров 13 июля 1993 года.  Муниципальные гмины, участвующие в осуществлении этой экспериментальной программы, взяли под свой контроль некоторые более крупные культурные учреждения.  Эта программа охватила 17 драматических театров, 13 кукольных театров, 3 музыкальных театра, 4 симфонических оркестра и 5 оркестров.  До конца 1995 года некоторые учреждения имели одновременно статус государственного учреждения и статус организации, находящейся в ведении местных органов самоуправления.  Таким образом, в конце 1998 года в стране насчитывалось 39 драматических театров с государственным статусом (в том числе два - в ведении министерства культуры и искусства) и 27 - в ведении местных органов самоуправления, а также 10 государственных кукольных театров и 17 кукольных театров, руководимых местными органами самоуправления.  Кроме того, по данным министерства культуры и искусства, в стране было значительное число (которое с 1991 года увеличивалось) неформальных полупрофессиональных театров с нетрадиционным репертуаром, новаторскими идеями и экспериментальными постановками.  Данные, собранные ГСУ, дают более оптимистическую картину по сравнению с данными министерства культуры и искусства, поскольку, судя по всему, они учитывают и некоторые подобные театры.  Это - постоянно изменяющаяся и трудно поддающаяся учету группа (их намного более 100), включающая такие известные и старые театры, как "Сцена Плястычна КУЛ" из Люблина, "Товажиство Вершалин" из Супрасля, театр "Бюро Подружи" из Познани, а также новые театральные коллективы, нередко каждый раз набирающие новую группу для конкретной постановки (одним из последних интересных примеров является театр "Монтовня").  В конце 1998 года среди музыкальных театров и театральных заведений насчитывалось 9 оперных театров, 6 театров оперетты (включая 1 музыкальный театр), 23 симфонических оркестра, 11 камерных оркестров, 1 хор и 2 песенно-танцевальных ансамбля (по данным департамента культуры).  По сведениям ГСУ, в этот период в стране существовало 9 оперных театров, 12 театров оперетты (включая 6 музыкальных театров и 2 танцевальных театра), 22 филармонических оркестра, 2 симфонических оркестра, 11 камерных оркестров, 2 хоровых коллектива и 3 песенно-танцевальных ансамбля.  Другие музыкальные коллективы давали лишь любительские представления.</w:t>
      </w:r>
    </w:p>
    <w:p w:rsidR="00000000" w:rsidRDefault="00000000"/>
    <w:p w:rsidR="00000000" w:rsidRDefault="00000000">
      <w:pPr>
        <w:pStyle w:val="Heading2"/>
        <w:rPr>
          <w:b/>
          <w:bCs/>
          <w:u w:val="none"/>
        </w:rPr>
      </w:pPr>
      <w:r>
        <w:rPr>
          <w:b/>
          <w:bCs/>
          <w:u w:val="none"/>
        </w:rPr>
        <w:t>Кинотеатры и кинопроизводство</w:t>
      </w:r>
    </w:p>
    <w:p w:rsidR="00000000" w:rsidRDefault="00000000">
      <w:pPr>
        <w:pStyle w:val="Heading2"/>
      </w:pPr>
    </w:p>
    <w:p w:rsidR="00000000" w:rsidRDefault="00000000">
      <w:r>
        <w:t>363.</w:t>
      </w:r>
      <w:r>
        <w:tab/>
        <w:t>Приватизация киноиндустрии и широкое распространение видеопродукции стали причинами сокращения количества кинотеатров по сравнению с 80-ми годами (в 1989 году в стране существовало 1 792 кинотеатра).  По данным ГСУ, в 1995 году в Польше функционировал 721 кинотеатр, в 1996 году их было 706, а в 1997 году - 686.  В 1995-1998 годах кинотеатры уже не входили в сеть государственных учреждений.  Некоторые из них находились в ведении государственных учреждений киноискусства (</w:t>
      </w:r>
      <w:r>
        <w:rPr>
          <w:lang w:val="fr-CA"/>
        </w:rPr>
        <w:t>Pan</w:t>
      </w:r>
      <w:r>
        <w:rPr>
          <w:rFonts w:ascii="Tahoma" w:hAnsi="Tahoma" w:cs="Tahoma"/>
          <w:lang w:val="fr-CA"/>
        </w:rPr>
        <w:t></w:t>
      </w:r>
      <w:r>
        <w:rPr>
          <w:lang w:val="fr-CA"/>
        </w:rPr>
        <w:t>stwowe</w:t>
      </w:r>
      <w:r>
        <w:t xml:space="preserve"> </w:t>
      </w:r>
      <w:r>
        <w:rPr>
          <w:lang w:val="fr-CA"/>
        </w:rPr>
        <w:t>Instytuc</w:t>
      </w:r>
      <w:r>
        <w:rPr>
          <w:lang w:val="en-US"/>
        </w:rPr>
        <w:t>j</w:t>
      </w:r>
      <w:r>
        <w:rPr>
          <w:lang w:val="fr-CA"/>
        </w:rPr>
        <w:t>e</w:t>
      </w:r>
      <w:r>
        <w:t xml:space="preserve"> </w:t>
      </w:r>
      <w:r>
        <w:rPr>
          <w:lang w:val="fr-CA"/>
        </w:rPr>
        <w:t>Filmowe</w:t>
      </w:r>
      <w:r>
        <w:t>), а большинство из них были подконтрольны местным органам самоуправления, культурным центрам, вооруженным силам и т.д.  В 1995 году в стране было зарегистрировано 54 частных кинотеатра, в 1996 году - 56 и в 1997 году - 63.  В 1995 году в аренду были сданы 199 кинотеатров, в 1996 году - 197 и в 1997 году - 190.  В 1997 году в городах насчитывалось 632 кинотеатра, а в сельских районах - только 42 и 12 передвижных киноустановок.  В 1997 году общее количество мест в кинотеатрах достигало 200 000, из них 7 100 </w:t>
      </w:r>
      <w:r>
        <w:noBreakHyphen/>
        <w:t xml:space="preserve"> в сельских районах.  В 1997 году было проведено 408 900 показов, в том числе только 5 300  - в сельских районах (включая 1 400 на передвижных киноустановках).  Общее количество зрителей насчитывало 24 329 800 человек (в 1990 - 32 797 700 и в 1996 году - 21 440 100;  после серьезного спада наблюдался небольшой подъем), в сельской местности аудитория насчитывала 187 000 человек.  В 1995 году было выпущено 23 полнометражных художественных фильма, в 1996 году - 17 и в 1997 году - 20 (существенный спад по сравнению с 1990 годом, когда был выпущен 31 художественный фильм, хотя после 1996 года ситуация постепенно улучшалась).  Среднеметражных нехудожественных фильмов, таких, как мультипликационные, учебные и документальные фильмы, было выпущено 27 в 1995 году, 29 - в 1996 году и 26 - в 1997 году.  Некоторые фильмы были выпущены совместно с иностранными партнерами, некоторые были сняты польскими продюсерами с иностранной помощью.  В 1995 году было выпущено 562 короткометражных фильма, в 1996 - 605 и в 1997 - 496 (из которых 309 были учебными, 145 - документальными и 27 </w:t>
      </w:r>
      <w:r>
        <w:noBreakHyphen/>
        <w:t> мультипликационными).  В 1998 году в Польше насчитывалось в общей сложности 813 кинотеатров, что является существенным увеличением (127 новых кинотеатров), сопоставимым с уровнем первой половины 90-х годов.  Из этого числа 727 кинотеатров находились в городских районах и 86 - в сельской местности (более чем в два раза превышая уровень 1997 года).  Они были рассчитаны на 229 154 зрителя (увеличение почти на 30 000 человек в течение года), включая 11 892 человека в сельских районах (увеличение почти на 5 000 зрителей по сравнению с 1997 годом).  В 1998 году кинотеатры посетили в общей сложности 20 317 746 зрителей, что на 4 млн. человек меньше, несмотря на увеличение числа кинотеатров и посадочных мест.  В 1998 году в стране было выпущено 14 художественных кинофильмов (снижение по сравнению с 20 фильмами в 1997 году) и 26 нехудожественных фильмов (так же, как в 1997 году).</w:t>
      </w:r>
    </w:p>
    <w:p w:rsidR="00000000" w:rsidRDefault="00000000"/>
    <w:p w:rsidR="00000000" w:rsidRDefault="00000000">
      <w:pPr>
        <w:pStyle w:val="BodyText"/>
        <w:spacing w:line="288" w:lineRule="auto"/>
        <w:ind w:left="1134" w:hanging="567"/>
      </w:pPr>
      <w:r>
        <w:t>3.</w:t>
      </w:r>
      <w:r>
        <w:tab/>
        <w:t>Поощрение культурной самобытности в качестве фактора взаимопонимания между отдельными лицами, группами и регионами:  сохранение культурного наследия этнических групп, меньшинств и коренного населения</w:t>
      </w:r>
    </w:p>
    <w:p w:rsidR="00000000" w:rsidRDefault="00000000">
      <w:pPr>
        <w:pStyle w:val="BodyText"/>
        <w:spacing w:line="288" w:lineRule="auto"/>
      </w:pPr>
    </w:p>
    <w:p w:rsidR="00000000" w:rsidRDefault="00000000">
      <w:r>
        <w:t>364.</w:t>
      </w:r>
      <w:r>
        <w:tab/>
        <w:t>Численность национальных меньшинств в Польше составляла порядка 850 000</w:t>
      </w:r>
      <w:r>
        <w:noBreakHyphen/>
        <w:t>970 000 человек из почти 38,6 млн. человек, проживающих в стране (по данным министерства внутренних дел и администрации), или 2,2-2,5%.  Самыми крупными меньшинствами были:  немцы (300 000-350 000), белорусы (200 000-230 000) и украинцы (200 000-220 000).  Следующими по величине группами были рутенцы (лемкос </w:t>
      </w:r>
      <w:r>
        <w:noBreakHyphen/>
        <w:t xml:space="preserve"> этническая группа, проживающая главным образом в районе горы Бескид Ниски и часто считающаяся частью украинского меньшинства, 50 000-60 000 человек), рома (цыгане, около 25 000 человек), литовцы и словаки (около 20 000 человек каждая), евреи (около 15 000 человек) и русские (10 000-13 000 человек).  К другим группам меньшинств, насчитывающим менее 10 000 человек, относились:  армяне (около 8 000 человек), греки и македонцы (около 5 000 человек), чехи (около 2 000-3 000 человек), татары (около 2 500 человек) и караимы (порядка 150-200 человек).</w:t>
      </w:r>
    </w:p>
    <w:p w:rsidR="00000000" w:rsidRDefault="00000000"/>
    <w:p w:rsidR="00000000" w:rsidRDefault="00000000">
      <w:r>
        <w:t>365.</w:t>
      </w:r>
      <w:r>
        <w:tab/>
        <w:t>Решения, принятые в 90-х годах, были направлены в целом на то, чтобы избежать двух неблагоприятных явлений:  с одной стороны, ассимиляции меньшинств и их вхождения в культуру польского большинства и, с другой стороны, отторжения больших групп от остальной части общества.  Законодательство по этим вопросам было принято в соответствии с международными нормами, включая нормы Организации Объединенных Наций, Совета Европы и Европейского Союза.  Эти нормы предусматривают интеграцию с сохранением права граждан на собственную самобытность.  Польское законодательство составлено таким образом, чтобы каждый осознавал, что все граждане имеют равные права, но что никто не может заставить всех быть похожими по своей культуре.  Национальным меньшинствам гарантируются все основные культурные права:  право на собственную культуру, образование, язык и фамилию.  Это соответствует духу всех договоров, подписанных Польшей в 90-х годах со своими соседями.  Политика Польши в отношении своих меньшинств вытекает из национального законодательства и международных договоров, где закреплены нормы защиты прав представителей национальных меньшинств:</w:t>
      </w:r>
    </w:p>
    <w:p w:rsidR="00000000" w:rsidRDefault="00000000"/>
    <w:p w:rsidR="00000000" w:rsidRDefault="00000000">
      <w:r>
        <w:tab/>
        <w:t>Международного пакта о гражданских и политических правах;</w:t>
      </w:r>
    </w:p>
    <w:p w:rsidR="00000000" w:rsidRDefault="00000000"/>
    <w:p w:rsidR="00000000" w:rsidRDefault="00000000">
      <w:r>
        <w:tab/>
        <w:t>Международной конвенции о ликвидации всех форм расовой дискриминации;</w:t>
      </w:r>
    </w:p>
    <w:p w:rsidR="00000000" w:rsidRDefault="00000000"/>
    <w:p w:rsidR="00000000" w:rsidRDefault="00000000">
      <w:pPr>
        <w:ind w:left="567" w:hanging="567"/>
      </w:pPr>
      <w:r>
        <w:tab/>
        <w:t>документов Копенгагенской конференции по человеческому измерению Организации по безопасности и сотрудничеству в Европе;</w:t>
      </w:r>
    </w:p>
    <w:p w:rsidR="00000000" w:rsidRDefault="00000000">
      <w:pPr>
        <w:ind w:left="567" w:hanging="567"/>
      </w:pPr>
    </w:p>
    <w:p w:rsidR="00000000" w:rsidRDefault="00000000">
      <w:pPr>
        <w:ind w:left="567" w:hanging="567"/>
      </w:pPr>
      <w:r>
        <w:tab/>
        <w:t>Рамочной конвенции Совета Европы о защите национальных меньшинств.</w:t>
      </w:r>
    </w:p>
    <w:p w:rsidR="00000000" w:rsidRDefault="00000000"/>
    <w:p w:rsidR="00000000" w:rsidRDefault="00000000">
      <w:r>
        <w:t>366.</w:t>
      </w:r>
      <w:r>
        <w:tab/>
        <w:t xml:space="preserve">Статья 35 польской Конституции от 2 апреля 1997 года гласит:  "1.  Республика Польша обеспечивает польским гражданам, принадлежащим к национальным и этническим меньшинствам, свободу сохранения и развития собственного языка, сохранения обычаев и традиций, а также развития собственной культуры.  2.  Национальные и этнические меньшинства имеют право на создание собственных образовательных и культурных учреждений и учреждений, служащих охране религиозной самобытности, а также на участие в решении дел, касающихся их культурной самобытности". </w:t>
      </w:r>
    </w:p>
    <w:p w:rsidR="00000000" w:rsidRDefault="00000000"/>
    <w:p w:rsidR="00000000" w:rsidRDefault="00000000">
      <w:r>
        <w:t>367.</w:t>
      </w:r>
      <w:r>
        <w:tab/>
        <w:t>Представители национальных меньшинств в полной мере пользуются всеми гражданскими правами на ассоциацию в соответствии с Законом об ассоциациях от 7 апреля 1989 года.  После его вступления в силу было образовано 120 этнических ассоциаций.  Положения, касающиеся права на собственную фамилию, основаны на положениях Закона об изменении имени и фамилии от 15 ноября 1956 года, который позволяет использовать фамилии в их иностранном варианте.</w:t>
      </w:r>
    </w:p>
    <w:p w:rsidR="00000000" w:rsidRDefault="00000000"/>
    <w:p w:rsidR="00000000" w:rsidRDefault="00000000">
      <w:r>
        <w:t>368.</w:t>
      </w:r>
      <w:r>
        <w:tab/>
        <w:t xml:space="preserve">В  пункте 4 </w:t>
      </w:r>
      <w:r>
        <w:rPr>
          <w:lang w:val="en-US"/>
        </w:rPr>
        <w:t>d</w:t>
      </w:r>
      <w:r>
        <w:t>) статьи 69</w:t>
      </w:r>
      <w:r>
        <w:rPr>
          <w:lang w:val="en-US"/>
        </w:rPr>
        <w:t> </w:t>
      </w:r>
      <w:r>
        <w:t xml:space="preserve"> Закона о государственном финансировании от 26 ноября 1998 года предусмотрено финансирование культурной деятельности меньшинств, их печатных изданий, публикаций и т.д.  В 1989 году вопросы национальных и этнических меньшинств были переданы из ведения министерства внутренних дел в ведение министерства культуры и искусства.  С 1 апреля 1992 года там действует Управление по вопросам национальных меньшинств, которое 25 февраля 1998 года было преобразовано в Департамент по вопросам культуры национальных меньшинств министерства культуры и искусства.  Этот Департамент обладает следующими полномочиями:</w:t>
      </w:r>
    </w:p>
    <w:p w:rsidR="00000000" w:rsidRDefault="00000000"/>
    <w:p w:rsidR="00000000" w:rsidRDefault="00000000">
      <w:r>
        <w:tab/>
        <w:t>а)</w:t>
      </w:r>
      <w:r>
        <w:tab/>
        <w:t>предоставлять помощь этническим организациям в деле развития традиций и культуры национальных меньшинств;</w:t>
      </w:r>
    </w:p>
    <w:p w:rsidR="00000000" w:rsidRDefault="00000000"/>
    <w:p w:rsidR="00000000" w:rsidRDefault="00000000">
      <w:r>
        <w:tab/>
      </w:r>
      <w:r>
        <w:rPr>
          <w:lang w:val="en-US"/>
        </w:rPr>
        <w:t>b</w:t>
      </w:r>
      <w:r>
        <w:t>)</w:t>
      </w:r>
      <w:r>
        <w:tab/>
        <w:t>оказывать поддержку в организации культурных мероприятий союзами и ассоциациями меньшинств;</w:t>
      </w:r>
    </w:p>
    <w:p w:rsidR="00000000" w:rsidRDefault="00000000"/>
    <w:p w:rsidR="00000000" w:rsidRDefault="00000000">
      <w:r>
        <w:tab/>
        <w:t>с)</w:t>
      </w:r>
      <w:r>
        <w:tab/>
        <w:t>содействовать выпуску этнических публикаций и печатных изданий ограниченным тиражом;</w:t>
      </w:r>
    </w:p>
    <w:p w:rsidR="00000000" w:rsidRDefault="00000000"/>
    <w:p w:rsidR="00000000" w:rsidRDefault="00000000">
      <w:r>
        <w:tab/>
      </w:r>
      <w:r>
        <w:rPr>
          <w:lang w:val="en-US"/>
        </w:rPr>
        <w:t>d</w:t>
      </w:r>
      <w:r>
        <w:t>)</w:t>
      </w:r>
      <w:r>
        <w:tab/>
        <w:t>рассматривать, готовить и собирать материалы, касающиеся международных стандартов в области сохранения культурного наследия национальных меньшинств;</w:t>
      </w:r>
    </w:p>
    <w:p w:rsidR="00000000" w:rsidRDefault="00000000"/>
    <w:p w:rsidR="00000000" w:rsidRDefault="00000000">
      <w:r>
        <w:tab/>
        <w:t>е)</w:t>
      </w:r>
      <w:r>
        <w:tab/>
        <w:t>работать в сотрудничестве с этническими союзами и ассоциациями над вопросами, касающимися культурного образования детей всех возрастов;</w:t>
      </w:r>
    </w:p>
    <w:p w:rsidR="00000000" w:rsidRDefault="00000000"/>
    <w:p w:rsidR="00000000" w:rsidRDefault="00000000">
      <w:r>
        <w:tab/>
      </w:r>
      <w:r>
        <w:rPr>
          <w:lang w:val="en-US"/>
        </w:rPr>
        <w:t>f</w:t>
      </w:r>
      <w:r>
        <w:t>)</w:t>
      </w:r>
      <w:r>
        <w:tab/>
        <w:t>готовить для министерства иностранных дел заключения о законопроектах, конвенциях, договорах и международных стандартах по культурным вопросам, касающимся национальных меньшинств;</w:t>
      </w:r>
    </w:p>
    <w:p w:rsidR="00000000" w:rsidRDefault="00000000">
      <w:r>
        <w:tab/>
      </w:r>
      <w:r>
        <w:rPr>
          <w:lang w:val="en-US"/>
        </w:rPr>
        <w:t>g</w:t>
      </w:r>
      <w:r>
        <w:t>)</w:t>
      </w:r>
      <w:r>
        <w:tab/>
        <w:t>сотрудничать с Комитетом по национальным и этническим меньшинствам сейма Республики Польши в подготовке и осуществлении планов действий в связи с вопросами, имеющими важнейшее значение для сохранения и развития культуры меньшинств;</w:t>
      </w:r>
    </w:p>
    <w:p w:rsidR="00000000" w:rsidRDefault="00000000"/>
    <w:p w:rsidR="00000000" w:rsidRDefault="00000000">
      <w:r>
        <w:tab/>
      </w:r>
      <w:r>
        <w:rPr>
          <w:lang w:val="en-US"/>
        </w:rPr>
        <w:t>h</w:t>
      </w:r>
      <w:r>
        <w:t>)</w:t>
      </w:r>
      <w:r>
        <w:tab/>
        <w:t>поддерживать все меры, направленные на поощрение терпимости и более широкой осведомленности польского общества о вопросах, касающихся национальных и этнических меньшинств.</w:t>
      </w:r>
    </w:p>
    <w:p w:rsidR="00000000" w:rsidRDefault="00000000"/>
    <w:p w:rsidR="00000000" w:rsidRDefault="00000000">
      <w:r>
        <w:t>369.</w:t>
      </w:r>
      <w:r>
        <w:tab/>
        <w:t>При финансовой помощи министерства культуры и искусства (в 1998 году она составила около 1 млн. долл. США) каждая группа меньшинств могла публиковать в 1995</w:t>
      </w:r>
      <w:r>
        <w:noBreakHyphen/>
        <w:t>1998 годах по меньшей мере один журнал на своем родном языке.  Было оказано содействие в выпуске 32 журналов:  шести белорусских, шести немецких, пяти украинских, трех еврейских, двух на языке рома, двух рутенских, двух словацких, двух татарских, одного армянского, одного литовского и двух других.  Статья 21 Закона о телевидении и радио от 1993 года требует "учитывать потребности национальных и этнических меньшинств".  В 1995</w:t>
      </w:r>
      <w:r>
        <w:noBreakHyphen/>
        <w:t>1998 годах ни одна из организаций меньшинств не подавала заявку на получение лицензий для выпуска радио- или телевизионных программ для своих меньшинств.  Однако в 1996 году польское радио в рамках своих четырех общенациональных и 17 региональных программ отвело 758 часов на программы для этих групп (0,5% общегодового эфирного времени).  Эти программы были адресованы немецким, украинским, белорусским и литовским меньшинствам и меньшинству рома.  60% передач велись на родных языках этих меньшинств и 40% </w:t>
      </w:r>
      <w:r>
        <w:noBreakHyphen/>
        <w:t xml:space="preserve"> на польском языке.  В 1997 году в двух общенациональных и 12 местных программах польского телевидения 116,5 часов было выделено для меньшинств;  50% передач велись на их родном языке, т.е. немецком, украинском, белорусском, литовском, русском, языке рома, и 50% </w:t>
      </w:r>
      <w:r>
        <w:noBreakHyphen/>
        <w:t xml:space="preserve"> на польском языке.  Положения этого Закона не содержат подробностей относительно этого вида программ.</w:t>
      </w:r>
    </w:p>
    <w:p w:rsidR="00000000" w:rsidRDefault="00000000"/>
    <w:p w:rsidR="00000000" w:rsidRDefault="00000000">
      <w:r>
        <w:t>370.</w:t>
      </w:r>
      <w:r>
        <w:tab/>
        <w:t>Другие формы культурной деятельности меньшинств, поддержанные министерством культуры и искусства, включали песенные программы, дни национальной культуры, праздники урожая и т.д.  Среди наиболее интересных инициатив можно отметить создание центра "</w:t>
      </w:r>
      <w:r>
        <w:rPr>
          <w:lang w:val="en-US"/>
        </w:rPr>
        <w:t>Pogranicze</w:t>
      </w:r>
      <w:r>
        <w:t xml:space="preserve"> </w:t>
      </w:r>
      <w:r>
        <w:rPr>
          <w:lang w:val="en-US"/>
        </w:rPr>
        <w:t>Sztuk</w:t>
      </w:r>
      <w:r>
        <w:t xml:space="preserve">, </w:t>
      </w:r>
      <w:r>
        <w:rPr>
          <w:lang w:val="en-US"/>
        </w:rPr>
        <w:t>Kultur</w:t>
      </w:r>
      <w:r>
        <w:t xml:space="preserve"> </w:t>
      </w:r>
      <w:r>
        <w:rPr>
          <w:lang w:val="en-US"/>
        </w:rPr>
        <w:t>i</w:t>
      </w:r>
      <w:r>
        <w:t xml:space="preserve"> </w:t>
      </w:r>
      <w:r>
        <w:rPr>
          <w:lang w:val="en-US"/>
        </w:rPr>
        <w:t>Narod</w:t>
      </w:r>
      <w:r>
        <w:t>ó</w:t>
      </w:r>
      <w:r>
        <w:rPr>
          <w:lang w:val="en-US"/>
        </w:rPr>
        <w:t>w</w:t>
      </w:r>
      <w:r>
        <w:t>" ("На границе искусств, культур и народностей") в сейнах на границе с Литвой (мероприятия, культивирующие этнические традиции, религиозное разнообразие и жизнь старой Польши) и Еврейский исторический институт и Еврейский театр (в Варшаве).  Другие праздничные мероприятия включали презентации украинских и рутенских (Лемко) песен, особенно в юго-восточной Польше,</w:t>
      </w:r>
    </w:p>
    <w:p w:rsidR="00000000" w:rsidRDefault="00000000">
      <w:r>
        <w:br w:type="page"/>
        <w:t>хоровой фестиваль православной церкви в районе проживания белорусского меньшинства и немецкие культурные мероприятия, главным образом в Опольшчызне, где осело большинство представителей этого меньшинства.</w:t>
      </w:r>
    </w:p>
    <w:p w:rsidR="00000000" w:rsidRDefault="00000000"/>
    <w:p w:rsidR="00000000" w:rsidRDefault="00000000">
      <w:r>
        <w:t>371.</w:t>
      </w:r>
      <w:r>
        <w:tab/>
        <w:t>Вопросами меньшинств занимаются также и другие министерства и главные управления:</w:t>
      </w:r>
    </w:p>
    <w:p w:rsidR="00000000" w:rsidRDefault="00000000"/>
    <w:p w:rsidR="00000000" w:rsidRDefault="00000000">
      <w:r>
        <w:tab/>
        <w:t>а)</w:t>
      </w:r>
      <w:r>
        <w:tab/>
        <w:t>с 1 января 1997 года министерство внутренних дел и администрации стало главным координатором по вопросам меньшинств (вопросы, касающиеся предусмотренной законом деятельности ассоциаций меньшинств, возложены также на Департамент по гражданским вопросам);</w:t>
      </w:r>
    </w:p>
    <w:p w:rsidR="00000000" w:rsidRDefault="00000000"/>
    <w:p w:rsidR="00000000" w:rsidRDefault="00000000">
      <w:r>
        <w:tab/>
      </w:r>
      <w:r>
        <w:rPr>
          <w:lang w:val="en-US"/>
        </w:rPr>
        <w:t>b</w:t>
      </w:r>
      <w:r>
        <w:t>)</w:t>
      </w:r>
      <w:r>
        <w:tab/>
        <w:t>министерство иностранных дел проводило государственную политику в отношении меньшинств во время своих контактов за границей (включая вопросы договоров с соседними странами);</w:t>
      </w:r>
    </w:p>
    <w:p w:rsidR="00000000" w:rsidRDefault="00000000"/>
    <w:p w:rsidR="00000000" w:rsidRDefault="00000000">
      <w:r>
        <w:tab/>
        <w:t>с)</w:t>
      </w:r>
      <w:r>
        <w:tab/>
        <w:t>министерство национального образования и подчиненные ему департаменты образования проводили политику, касающуюся образования меньшинств.  Законоположения, принятые в польской системе просвещения в отношении изучения языка происхождения и преподавания других предметов на этом языке, включены в Закон о системе образования от 7 сентября 1991 года.  В нем предусмотрено сохранение национальной, этнической и языковой самобытности учащихся из числа национальных меньшинств;</w:t>
      </w:r>
    </w:p>
    <w:p w:rsidR="00000000" w:rsidRDefault="00000000"/>
    <w:p w:rsidR="00000000" w:rsidRDefault="00000000">
      <w:r>
        <w:tab/>
      </w:r>
      <w:r>
        <w:rPr>
          <w:lang w:val="en-US"/>
        </w:rPr>
        <w:t>d</w:t>
      </w:r>
      <w:r>
        <w:t>)</w:t>
      </w:r>
      <w:r>
        <w:tab/>
        <w:t>научные проекты, касающиеся вопросов меньшинств, финансировались Комитетом по научным исследованиям.</w:t>
      </w:r>
    </w:p>
    <w:p w:rsidR="00000000" w:rsidRDefault="00000000"/>
    <w:p w:rsidR="00000000" w:rsidRDefault="00000000">
      <w:r>
        <w:t>372.</w:t>
      </w:r>
      <w:r>
        <w:tab/>
        <w:t>Министерство национального образования через свое Управление по вопросам культуры национальных меньшинств, как и министерство культуры и искусства, предоставляло финансовую помощь меньшинствам.  В 1997 году бюджет Управления распределялся следующим образом:  печать и публикации </w:t>
      </w:r>
      <w:r>
        <w:noBreakHyphen/>
        <w:t xml:space="preserve"> 60%, обзоры, встречи, конкурсы </w:t>
      </w:r>
      <w:r>
        <w:noBreakHyphen/>
        <w:t xml:space="preserve"> 27%, фестивали </w:t>
      </w:r>
      <w:r>
        <w:noBreakHyphen/>
        <w:t xml:space="preserve"> 11%, семинары, практические занятия по литературе, конференции </w:t>
      </w:r>
      <w:r>
        <w:noBreakHyphen/>
        <w:t xml:space="preserve"> 2%.  Доля меньшинств в бюджете Управления в 1997 году была следующей:  украинцы </w:t>
      </w:r>
      <w:r>
        <w:noBreakHyphen/>
        <w:t xml:space="preserve"> 27%, белорусы </w:t>
      </w:r>
      <w:r>
        <w:noBreakHyphen/>
        <w:t xml:space="preserve"> 24%, литовцы </w:t>
      </w:r>
      <w:r>
        <w:noBreakHyphen/>
        <w:t xml:space="preserve"> 10%, немцы </w:t>
      </w:r>
      <w:r>
        <w:noBreakHyphen/>
        <w:t xml:space="preserve"> 10%, словаки </w:t>
      </w:r>
      <w:r>
        <w:noBreakHyphen/>
        <w:t xml:space="preserve"> 8%, евреи </w:t>
      </w:r>
      <w:r>
        <w:noBreakHyphen/>
        <w:t xml:space="preserve"> 8%, рома </w:t>
      </w:r>
      <w:r>
        <w:noBreakHyphen/>
        <w:t xml:space="preserve"> 7%, татары </w:t>
      </w:r>
      <w:r>
        <w:noBreakHyphen/>
        <w:t xml:space="preserve"> 2%, прочие </w:t>
      </w:r>
      <w:r>
        <w:noBreakHyphen/>
        <w:t xml:space="preserve"> 4%.  В 1993 году бюджет составил 1,4 млн. злотых, в 1994 году </w:t>
      </w:r>
      <w:r>
        <w:noBreakHyphen/>
        <w:t xml:space="preserve"> 1,4 млн. злотых, в 1995 году 1,75 млн. злотых, в 1996 году </w:t>
      </w:r>
      <w:r>
        <w:noBreakHyphen/>
        <w:t xml:space="preserve"> 2,8 млн. злотых, в 1997 году </w:t>
      </w:r>
      <w:r>
        <w:noBreakHyphen/>
        <w:t xml:space="preserve"> 3,3 млн. злотых и в 1998 году </w:t>
      </w:r>
      <w:r>
        <w:noBreakHyphen/>
        <w:t xml:space="preserve"> 3,7 млн. злотых.  В 1998 году </w:t>
      </w:r>
    </w:p>
    <w:p w:rsidR="00000000" w:rsidRDefault="00000000">
      <w:r>
        <w:br w:type="page"/>
        <w:t>меньшинствам было выделено на поддержку своих культур около 7,2 млн. злотых из бюджета департаментов образования и культуры.  В то время это было равнозначно сумме свыше 2 млн. долл. США.</w:t>
      </w:r>
    </w:p>
    <w:p w:rsidR="00000000" w:rsidRDefault="00000000"/>
    <w:p w:rsidR="00000000" w:rsidRDefault="00000000">
      <w:r>
        <w:t>373.</w:t>
      </w:r>
      <w:r>
        <w:tab/>
        <w:t xml:space="preserve">Вопросы национальных меньшинств рассматривались и в сейме, где с 1989 года работает Комитет по национальным и этническим меньшинствам.  В состав этого Комитета входили представители меньшинств.  По польскому избирательному законодательству организации меньшинств, выдвигающие своих кандидатов в парламент, освобождались от 5% порогового требования для других кандидатов. </w:t>
      </w:r>
    </w:p>
    <w:p w:rsidR="00000000" w:rsidRDefault="00000000"/>
    <w:p w:rsidR="00000000" w:rsidRDefault="00000000">
      <w:r>
        <w:t>374.</w:t>
      </w:r>
      <w:r>
        <w:tab/>
        <w:t>В результате административной реформы многие полномочия были делегированы органам самоуправления на различных уровнях.  Законом о самоуправлении воеводств от 18 июля 1998 года (Законодательный вестник, пункт 91, статьи 75-77) органам самоуправления на этом уровне предоставлены полномочия устанавливать приоритеты для международного сотрудничества на уровне воеводств, включая этнические проблемы в пограничных районах.  К концу 1998 года ожидается принятие парламентского законопроекта о национальных меньшинствах, который будет подготовлен в форме кодекса прав национальных меньшинств в Польше, включая подробные положения о культурной и издательской деятельности польских граждан, имеющих иную национальность.  Сейм планировал (после 1 января 1999 года) провести обсуждение по вопросу о ратификации Рамочной конвенции Совета Европы о защите национальных меньшинств, подписанной Польшей 1 февраля 1995 года.</w:t>
      </w:r>
    </w:p>
    <w:p w:rsidR="00000000" w:rsidRDefault="00000000"/>
    <w:p w:rsidR="00000000" w:rsidRDefault="00000000">
      <w:pPr>
        <w:pStyle w:val="10"/>
        <w:ind w:left="1134" w:hanging="1134"/>
        <w:jc w:val="left"/>
        <w:rPr>
          <w:bCs/>
        </w:rPr>
      </w:pPr>
      <w:r>
        <w:rPr>
          <w:bCs/>
        </w:rPr>
        <w:tab/>
        <w:t>4.</w:t>
      </w:r>
      <w:r>
        <w:rPr>
          <w:bCs/>
        </w:rPr>
        <w:tab/>
        <w:t>Роль средств массовой информации в содействии участию в культурной жизни</w:t>
      </w:r>
    </w:p>
    <w:p w:rsidR="00000000" w:rsidRDefault="00000000">
      <w:pPr>
        <w:pStyle w:val="10"/>
        <w:rPr>
          <w:bCs/>
        </w:rPr>
      </w:pPr>
    </w:p>
    <w:p w:rsidR="00000000" w:rsidRDefault="00000000">
      <w:r>
        <w:t>375.</w:t>
      </w:r>
      <w:r>
        <w:tab/>
        <w:t xml:space="preserve">Основой для работы электронных средств массовой информации является Закон о радио- и телевидении (Законодательный вестник за 1993 год, № 7, пункт 34).  В нем изложены права и обязанности радио- и телевещательных компаний, в том числе в области развития культуры (статья 1.1 - обеспечение доступа к культурным и художественным ценностям, достижениям в области образования и науки, популяризация гражданского образования, организация развлекательных мероприятий и т.д.), а также сфера полномочий Национального совета по радио- и телевещанию, который, в частности, отвечает за уровень вещания (подробнее см. наш ответ на дополнительный вопрос № 54 от 1998 года).  В 1995-1998 годах четыре общенациональных государственных программы польского радио и две польских телевизионных программы (ТВ Польша), а также 16 региональных программ польского радио и 12 местных программ польского телевидения образовали общенациональную единую сеть.  Одна частая общенациональная телевизионная станция и несколько частных местных телевизионных программ, иностранные спутниковые телевизионные станции и кабельное телевидение, а также многочисленные местные и общенациональные частные радиопрограммы образовали дополнительную частично закодированную (телевидение) сеть вещания.  Эта сеть, являясь конкурентом польского радио и телевидения, также доступна слушателям на большей части территории страны.  В 1995-1998 годах большинство органов печати полностью или частично находились в частных руках (за исключением отдельных изданий, которые финансировались государством, например </w:t>
      </w:r>
      <w:r>
        <w:rPr>
          <w:lang w:val="en-US"/>
        </w:rPr>
        <w:t>Dziennik</w:t>
      </w:r>
      <w:r>
        <w:t xml:space="preserve"> </w:t>
      </w:r>
      <w:r>
        <w:rPr>
          <w:lang w:val="en-US"/>
        </w:rPr>
        <w:t>Ustaw</w:t>
      </w:r>
      <w:r>
        <w:t xml:space="preserve"> (Законодательный вестник) или </w:t>
      </w:r>
      <w:r>
        <w:rPr>
          <w:lang w:val="en-US"/>
        </w:rPr>
        <w:t>Monitor</w:t>
      </w:r>
      <w:r>
        <w:t xml:space="preserve"> </w:t>
      </w:r>
      <w:r>
        <w:rPr>
          <w:lang w:val="en-US"/>
        </w:rPr>
        <w:t>Polski</w:t>
      </w:r>
      <w:r>
        <w:t xml:space="preserve"> ("Польский монитор"), публикующие все исполнительные акты) и были доступны всем гражданам без каких-либо ограничений и цензуры.  На государственные каналы польского радио и телевидения транслируют больше культурных программ, чем на частные каналы.  В их основных еженедельных программах есть как регулярные, так и нерегулярные рубрики, например радиопостановки, телевизионные спектакли, концерты классической музыки (в целом преобладает популярная музыка), интервью с артистами, репортажи о художественных выставках, фестивалях или различные культурные программы с регулярным обзором последних событий в культурной жизни.  На негосударственном радио- и телевидении передается, как правило, много развлекательных программ в соответствии с общемировыми тенденциями, хотя даже там есть отдельные программы для более требовательной аудитории.</w:t>
      </w:r>
    </w:p>
    <w:p w:rsidR="00000000" w:rsidRDefault="00000000"/>
    <w:p w:rsidR="00000000" w:rsidRDefault="00000000">
      <w:r>
        <w:t>376.</w:t>
      </w:r>
      <w:r>
        <w:tab/>
        <w:t xml:space="preserve">После 1989 года печать, освещающая вопросы культуры, переживала трудные времена.  Многие публикации исчезли с рынка, проигрывая своим конкурентам - малосодержательным, но весьма популярным красочным журналам.  Из прежних сохранилось лишь несколько журналов с ограниченным тиражом, субсидируемых, в частности, министерством культуры и искусства, однако спрос на такой вид печатной продукции (вопросы литературы и литературная критика, популярная наука, театр, искусство и т.д.) после 1989 года сократился.  Органы печати, посвященные кино, оказались чуть в лучшем положении, поскольку они представляли собой более популярный жанр, выступая с политическими, экономическими и социальными комментариями (в результате повышения интереса к событиям, происходящим дома и за рубежом после 1989 года).  Научные журналы составляли отдельную категорию.  Количество их наименований и общий тираж сократились, но они всегда привлекали хотя и ограниченную, но преданную группу читателей.  </w:t>
      </w:r>
    </w:p>
    <w:p w:rsidR="00000000" w:rsidRDefault="00000000"/>
    <w:p w:rsidR="00000000" w:rsidRDefault="00000000">
      <w:pPr>
        <w:pStyle w:val="10"/>
        <w:jc w:val="left"/>
        <w:rPr>
          <w:bCs/>
        </w:rPr>
      </w:pPr>
      <w:r>
        <w:rPr>
          <w:bCs/>
        </w:rPr>
        <w:tab/>
        <w:t>5.</w:t>
      </w:r>
      <w:r>
        <w:rPr>
          <w:bCs/>
        </w:rPr>
        <w:tab/>
        <w:t>Сохранение и показ культурного наследия человечества</w:t>
      </w:r>
    </w:p>
    <w:p w:rsidR="00000000" w:rsidRDefault="00000000">
      <w:pPr>
        <w:pStyle w:val="10"/>
        <w:rPr>
          <w:bCs/>
        </w:rPr>
      </w:pPr>
    </w:p>
    <w:p w:rsidR="00000000" w:rsidRDefault="00000000">
      <w:r>
        <w:t>377.</w:t>
      </w:r>
      <w:r>
        <w:tab/>
        <w:t>Вопросы, касающиеся сохранения культурных ценностей, регулировались Законом о сохранении культурных ценностей и музеях от 15 февраля 1962 года с существенными поправками, внесенными в 1990 году, когда была создана Государственная служба охраны исторических памятников.  В 1996-1998 годах этот Закон претерпел множество изменений, главным образом связанных с системой организации культурных ценностей.  Что касается музейных собраний и самих музеев, то 21 ноября 1996 года был принят отдельный Закон о музеях.  С 1 октября 1996 года Государственная служба охраны исторических памятников утратила свой особый административный статус, и ее 49 отделений в воеводствах были объединены с государственными административными учреждениями отдельных воеводств (Закон от 8 августа 1996 года о вынесении изменений в отдельные акты, упорядочивающие функционирование экономики и управленческого аппарата).  Главный хранитель исторических памятников воеводств утратил свой статус местного государственного административного органа.  Бюджетные средства, необходимые для сохранения и консервации памятников, были после этого в централизованном порядке сведены в бюджет министра культуры и искусства.  Планировалось, что после 1 января 1999 года в результате политической реформы Главный хранитель исторических памятников получит статус центрального органа государственного управления, а 49 отделений государственной службы охраны исторических памятников в воеводствах будут преобразованы в 16 отделений службы охраны исторических памятников в воеводствах в соответствии с новым количеством воеводств.</w:t>
      </w:r>
    </w:p>
    <w:p w:rsidR="00000000" w:rsidRDefault="00000000"/>
    <w:p w:rsidR="00000000" w:rsidRDefault="00000000">
      <w:r>
        <w:t>378.</w:t>
      </w:r>
      <w:r>
        <w:tab/>
        <w:t>В конце 1998 года в добавление к музейным, библиотечным и архивным собраниям в стране было зарегистрировано около 50 000 зданий и порядка 130 000 произведений искусства в качестве исторических и охраняемых законом, а также около 6 500 археологических памятников.  В охранные реестры было занесено свыше 950 000 ценных объектов.</w:t>
      </w:r>
    </w:p>
    <w:p w:rsidR="00000000" w:rsidRDefault="00000000"/>
    <w:p w:rsidR="00000000" w:rsidRDefault="00000000">
      <w:r>
        <w:t>379.</w:t>
      </w:r>
      <w:r>
        <w:tab/>
        <w:t>В 1995-1998 годах в стране осуществлялось девять национальных программ сохранения культурных ценностей, включающих сохранение исторических городов и деревянных построек, выявление археологических памятников страны, сохранение исторических интерьеров, экспонатов старой техники и регистрацию культурных ландшафтов и старых сельских домов и их исторического окружения.</w:t>
      </w:r>
    </w:p>
    <w:p w:rsidR="00000000" w:rsidRDefault="00000000"/>
    <w:p w:rsidR="00000000" w:rsidRDefault="00000000">
      <w:r>
        <w:t>380.</w:t>
      </w:r>
      <w:r>
        <w:tab/>
        <w:t>В 1997 году Комитет по всемирному наследию Организации Объединенных Наций по вопросам образования, науки и культуры официально присвоил статус объектов всемирного наследия древнему городу Торуне и замку Мальборк.  В 1996 году древние соляные копи Вилижка, занесенные в список находящихся в опасности объектов всемирного наследия, получили от Фонда всемирного наследия ЮНЕСКО субсидию в размере 100 000 долл. США на закупку оборудования для кондиционирования воздуха.</w:t>
      </w:r>
    </w:p>
    <w:p w:rsidR="00000000" w:rsidRDefault="00000000">
      <w:r>
        <w:br w:type="page"/>
        <w:t>Служба охраны исторических памятников укрепляла сотрудничество с пограничниками, таможенными службами и полицией для предотвращения похищения произведений искусства и их международной контрабанды через территорию Польши.</w:t>
      </w:r>
    </w:p>
    <w:p w:rsidR="00000000" w:rsidRDefault="00000000"/>
    <w:p w:rsidR="00000000" w:rsidRDefault="00000000">
      <w:r>
        <w:t>381.</w:t>
      </w:r>
      <w:r>
        <w:tab/>
        <w:t>Катастрофические наводнения на юге и западе Польши в 1997-1998 годах разрушили многие исторические памятники, уничтожили музейные экспонаты и библиотечные и архивные коллекции.  Ликвидацию последствий наводнения предполагается завершить в 2001 году.  Анализ системы использования и организации различных служб, которые могли бы помочь в деле спасения культурных ценностей, был темой международного семинара "Сохранение культурной собственности во время стихийных бедствий, особенно наводнений", который проходил в 1998 году в рамках программы НАТО "Партнерство во имя мира".  Предыдущая конференция НАТО, состоявшаяся в Кракове в 1996 году, была посвящена сохранению культурного наследия в военное и мирное время.  В то время Польша выступила с идеей создания международного учебного центра для подготовки гражданского и военного персонала, занимающегося охраной культурных ценностей в чрезвычайных ситуациях для стран Центральной и Восточной Европы.</w:t>
      </w:r>
    </w:p>
    <w:p w:rsidR="00000000" w:rsidRDefault="00000000"/>
    <w:p w:rsidR="00000000" w:rsidRDefault="00000000">
      <w:r>
        <w:t>382.</w:t>
      </w:r>
      <w:r>
        <w:tab/>
        <w:t>Польские специалисты, занимающиеся сохранением исторических памятников, принимали активное участие в международных конференциях, семинарах, практикумах и ярмарках.  Каждый сентябрь начиная с 1993 года во многих городах Польши по инициативе Совета Европы и под эгидой Европейского союза проводятся Дни европейского наследия с целью расширения информированности населения о существовании и необходимости охраны исторических памятников и наличии культурного сообщества, раздвигающего национальные границы.  Управление главного хранителя исторических памятников координировало и финансировало работу над наиболее интересными проектами, отобранными на конкурсной основе.  Три международных польских проекта получили награду Фонда Короля Бодуэна в Брюсселе, выступающего в роли координатора Дней европейского наследия от имени Совета Европы:</w:t>
      </w:r>
    </w:p>
    <w:p w:rsidR="00000000" w:rsidRDefault="00000000"/>
    <w:p w:rsidR="00000000" w:rsidRDefault="00000000">
      <w:pPr>
        <w:ind w:left="1134" w:hanging="1134"/>
      </w:pPr>
      <w:r>
        <w:tab/>
        <w:t>-</w:t>
      </w:r>
      <w:r>
        <w:tab/>
        <w:t>1995 год - Региональный центр исследования и сохранения культурной среды в Щецине - "Духовное и материальное наследие цистерцианцев";</w:t>
      </w:r>
    </w:p>
    <w:p w:rsidR="00000000" w:rsidRDefault="00000000"/>
    <w:p w:rsidR="00000000" w:rsidRDefault="00000000">
      <w:pPr>
        <w:ind w:left="1134" w:hanging="1134"/>
      </w:pPr>
      <w:r>
        <w:tab/>
        <w:t>-</w:t>
      </w:r>
      <w:r>
        <w:tab/>
        <w:t>1996 год - Региональный центр исследования и сохранения культурного наследия в Люблине, для польско-украинского проекта "Общие корни, общее будущее";</w:t>
      </w:r>
    </w:p>
    <w:p w:rsidR="00000000" w:rsidRDefault="00000000"/>
    <w:p w:rsidR="00000000" w:rsidRDefault="00000000">
      <w:pPr>
        <w:ind w:left="1134" w:hanging="1134"/>
      </w:pPr>
      <w:r>
        <w:tab/>
        <w:t>-</w:t>
      </w:r>
      <w:r>
        <w:tab/>
        <w:t>1997 год - Польско-саксонское общество, для польско-немецкого проекта "Под одной короной.  Культурное наследие периода саксонской династии".</w:t>
      </w:r>
    </w:p>
    <w:p w:rsidR="00000000" w:rsidRDefault="00000000">
      <w:r>
        <w:t>383.</w:t>
      </w:r>
      <w:r>
        <w:tab/>
        <w:t>В 1995 году Европейский союз предоставил финансовую помощь в размере почти 200 000 ЭКЮ для работ по сохранению синагоги Постерова в Кракове, церкви мира в Явожно, часовни Святой Троицы в Люблинском замке, мавзолея Пястув Шленских во Вроцлаве и монастырского комплекса отцов бернандинцев в Лежайске.  В феврале 1995 года "Европа ностра" наградила медалью приходскую церковь в Секове и греко-католическую церковь в Овчару.  Словацкий театр в Кракове и замок Сулковских в Рыдзыне были награждены почетными свидетельствами.  В 1996 году за работы по сохранению дворца фон Плессес в Пшчыне - музея исторических интерьеров - было выдано почетное свидетельство, и в 1997 году была выдана медаль за работы в музее семьи Замойских в Козлувке.</w:t>
      </w:r>
    </w:p>
    <w:p w:rsidR="00000000" w:rsidRDefault="00000000"/>
    <w:p w:rsidR="00000000" w:rsidRDefault="00000000">
      <w:r>
        <w:t>384.</w:t>
      </w:r>
      <w:r>
        <w:tab/>
        <w:t>Практически во всех подписанных Польшей международных соглашениях о культурном и научном сотрудничестве есть положение об архивном сотрудничестве.  Исходя из этого, Генеральный директор государственных архивов подписал ряд широкомасштабных двусторонних соглашений.  Благодаря средствам, полученным от ЕС и Совета Европы, с 1997 года он занимается осуществлением программы "Восстановление памяти Польши", которая потребовала регистрации архивных материалов, относящихся к истории Польши и хранящихся в различных архивах в Европе, с тем чтобы, независимо от официально принимаемых юридических мер, получить копии документов, хранящихся за границей.  Под эгидой Генерального директора регулярно проводилась ежегодная конференция работников архивов из стран Центральной и Восточной Европы.  В 1995 и 1996 годах велись дискуссии о роли архивов в период правовых и политических преобразований в регионе.  В 1997 году предметом обсуждения был вопрос "Общеархивное наследие государств и народов Центральной и Восточной Европы", а в 1998 году - "Частные архивы и архивные документы в странах Центральной и Восточной Европы".  В результате проведенных конференций началась работа по составлению и осуществлению программы "Общее архивное наследие Центральной и Восточной Европы".  Предполагалось занести в каталог ту часть наших архивных материалов, которые касаются истории других участников программы:  Австрии, Беларуси, Болгарии, Латвии, Литвы, России, Румынии, Словакии, Словении, Украины, Финляндии, Хорватии, Швеции и Югославии.</w:t>
      </w:r>
    </w:p>
    <w:p w:rsidR="00000000" w:rsidRDefault="00000000"/>
    <w:p w:rsidR="00000000" w:rsidRDefault="00000000">
      <w:r>
        <w:t>385.</w:t>
      </w:r>
      <w:r>
        <w:tab/>
        <w:t>Другой формой сохранения культурного наследия было предоставление государственными архивами профессиональной помощи архивам польской диаспоры за рубежом, включая материалы, составляющие часть государственных архивных записей, в том числе записей главных и центральных органов второй Польской Республики.  В сотрудничестве с постоянной конференцией музеев, архивов и библиотек было решено приступить к созданию системы информации об архивных документах, находящихся в руках польской общины за рубежом, а также к разработке программы перевода их на микрофильмы для безопасного хранения и использования.  Польские архивисты принимали участие в работе по составлению списков всемирного наследия в рамках программы ЮНЕСКО "Память мира".  В 1997 году в рамках мероприятий по сохранению архивного наследия приступила к работе польско-немецкая группа экспертов по правовым искам, куда входил и представитель архивов.  Ее работа координировалась Полномочным правительством для польского культурного наследия за рубежом.</w:t>
      </w:r>
    </w:p>
    <w:p w:rsidR="00000000" w:rsidRDefault="00000000"/>
    <w:p w:rsidR="00000000" w:rsidRDefault="00000000">
      <w:pPr>
        <w:pStyle w:val="BodyText"/>
        <w:spacing w:line="288" w:lineRule="auto"/>
        <w:ind w:left="1134" w:hanging="1134"/>
      </w:pPr>
      <w:r>
        <w:tab/>
        <w:t>6.</w:t>
      </w:r>
      <w:r>
        <w:tab/>
        <w:t>Законодательство, защищающее свободу художественного творчества, распространение его результатов и существующие в этой области ограничения</w:t>
      </w:r>
    </w:p>
    <w:p w:rsidR="00000000" w:rsidRDefault="00000000">
      <w:pPr>
        <w:pStyle w:val="BodyText"/>
        <w:spacing w:line="288" w:lineRule="auto"/>
      </w:pPr>
    </w:p>
    <w:p w:rsidR="00000000" w:rsidRDefault="00000000">
      <w:r>
        <w:t>386.</w:t>
      </w:r>
      <w:r>
        <w:tab/>
        <w:t>Конституция от 2 апреля 1997 года обеспечивает каждому человеку свободу художественного творчества, научных исследований, а также опубликования их результатов, свободу преподавания, а также свободу пользования благами культуры (статья 73).  Средства охраны этой свободы, а также других свобод и прав предусматриваются статьями 77-86 Конституции.  Особо следует отметить статью 79, которая регулирует вопросы обращения с конституционными жалобами.  Каждый человек, чьи конституционные свободы или права нарушены, имеет право подать конституционную жалобу для принятия решения о соответствии Конституции закона или иного нормативного акта, на основании которого суд или орган публичной администрации вынесли окончательное решение о его свободах, правах или обязанностях, определенных в Конституции.  Существует еще одна правовая основа, а именно Закон от 4 февраля 1994 года об авторских и смежных правах (Законодательный вестник за 1994 год, № 24, пункт 83 с последующими поправками), о которой сообщается в предыдущем докладе.</w:t>
      </w:r>
    </w:p>
    <w:p w:rsidR="00000000" w:rsidRDefault="00000000"/>
    <w:p w:rsidR="00000000" w:rsidRDefault="00000000">
      <w:pPr>
        <w:ind w:left="1134" w:hanging="1134"/>
      </w:pPr>
      <w:r>
        <w:tab/>
      </w:r>
      <w:r>
        <w:rPr>
          <w:b/>
          <w:bCs/>
        </w:rPr>
        <w:t>7.</w:t>
      </w:r>
      <w:r>
        <w:rPr>
          <w:b/>
          <w:bCs/>
        </w:rPr>
        <w:tab/>
        <w:t>Профессиональная подготовка и повышение квалификации в области культуры, искусства и культурного образования</w:t>
      </w:r>
    </w:p>
    <w:p w:rsidR="00000000" w:rsidRDefault="00000000"/>
    <w:p w:rsidR="00000000" w:rsidRDefault="00000000">
      <w:r>
        <w:t>387.</w:t>
      </w:r>
      <w:r>
        <w:tab/>
        <w:t>Правительство утвердило "Межминистерскую программу культурного образования" и план ее осуществления.  Процесс был разделен на два этапа:  1996-2000 годы и 2000</w:t>
      </w:r>
      <w:r>
        <w:noBreakHyphen/>
        <w:t>2010 годы.  Эта программа не предусматривает централизованного культурного образования.  В ней даны лишь стратегические направления (подготовка персонала, поощрение ценных программных инициатив, распространение знаний, оценка ситуаций, предоставление средств для самостоятельного обучения и самостоятельного образования).  За отчетный период в Польше насчитывалось 17 академий искусств:  восемь музыкальных академий, шесть академий изобразительных искусств и три театральных академии, включая академию по подготовке специалистов в области киноискусства и телевидения (данные министерства культуры и искусства).  В стране существовали также начальные и средние художественные школы, где преподавалась музыка, изобразительные искусства и балет.  Всего в Польше насчитывалось 268 таких учебных заведений, в том числе 219 музыкальных школ, 28  школ изобразительного искусства, четыре балетные школы, пять государственных колледжей послесреднего образования, которые готовили специалистов по проведению культурных мероприятий и библиотекарей, четыре профессиональных колледжа послесреднего образования и восемь общежитий для учащихся художественных учебных заведений.</w:t>
      </w:r>
    </w:p>
    <w:p w:rsidR="00000000" w:rsidRDefault="00000000"/>
    <w:p w:rsidR="00000000" w:rsidRDefault="00000000">
      <w:r>
        <w:t>388.</w:t>
      </w:r>
      <w:r>
        <w:tab/>
        <w:t>Важную роль играл Центр содействия развитию культуры, цель которого заключается в поощрении творческих форм участия в культурных мероприятиях и поддержке специалистов по организации деятельности в области культуры в их усилиях по расширению заинтересованности и активному вовлечению всех слоев общества в культурную жизнь, а также в обеспечении возможностей специалистов по организации культурных мероприятий и администраторов совершенствовать свою профессиональную квалификацию.  В функции этого Центра входило:</w:t>
      </w:r>
    </w:p>
    <w:p w:rsidR="00000000" w:rsidRDefault="00000000"/>
    <w:p w:rsidR="00000000" w:rsidRDefault="00000000">
      <w:pPr>
        <w:ind w:left="1134" w:hanging="1134"/>
      </w:pPr>
      <w:r>
        <w:tab/>
        <w:t>-</w:t>
      </w:r>
      <w:r>
        <w:tab/>
        <w:t>организация профессионального образования для специалистов и администраторов культурных мероприятий;</w:t>
      </w:r>
    </w:p>
    <w:p w:rsidR="00000000" w:rsidRDefault="00000000"/>
    <w:p w:rsidR="00000000" w:rsidRDefault="00000000">
      <w:pPr>
        <w:ind w:left="1134" w:hanging="1134"/>
      </w:pPr>
      <w:r>
        <w:tab/>
        <w:t>-</w:t>
      </w:r>
      <w:r>
        <w:tab/>
        <w:t>осуществление или содействие осуществлению программ в области профессионального образования и повышения квалификации;</w:t>
      </w:r>
    </w:p>
    <w:p w:rsidR="00000000" w:rsidRDefault="00000000"/>
    <w:p w:rsidR="00000000" w:rsidRDefault="00000000">
      <w:pPr>
        <w:ind w:left="1134" w:hanging="1134"/>
      </w:pPr>
      <w:r>
        <w:tab/>
        <w:t>-</w:t>
      </w:r>
      <w:r>
        <w:tab/>
        <w:t>предоставление консультативных услуг и распространение информации в целях популяризации и развития культуры и культурного образования;</w:t>
      </w:r>
    </w:p>
    <w:p w:rsidR="00000000" w:rsidRDefault="00000000"/>
    <w:p w:rsidR="00000000" w:rsidRDefault="00000000">
      <w:pPr>
        <w:ind w:left="1134" w:hanging="1134"/>
      </w:pPr>
      <w:r>
        <w:tab/>
        <w:t>-</w:t>
      </w:r>
      <w:r>
        <w:tab/>
        <w:t>поощрение интересных новаторских явлений в области культуры, культурной деятельности и образования.</w:t>
      </w:r>
    </w:p>
    <w:p w:rsidR="00000000" w:rsidRDefault="00000000"/>
    <w:p w:rsidR="00000000" w:rsidRDefault="00000000">
      <w:r>
        <w:t>389.</w:t>
      </w:r>
      <w:r>
        <w:tab/>
        <w:t>Особый интерес Центра вызывали две основные группы работников культуры:</w:t>
      </w:r>
    </w:p>
    <w:p w:rsidR="00000000" w:rsidRDefault="00000000"/>
    <w:p w:rsidR="00000000" w:rsidRDefault="00000000">
      <w:r>
        <w:tab/>
        <w:t>а)</w:t>
      </w:r>
      <w:r>
        <w:tab/>
        <w:t>специалисты по организации культурных мероприятий:</w:t>
      </w:r>
    </w:p>
    <w:p w:rsidR="00000000" w:rsidRDefault="00000000"/>
    <w:p w:rsidR="00000000" w:rsidRDefault="00000000">
      <w:pPr>
        <w:pStyle w:val="BodyTextIndent"/>
        <w:tabs>
          <w:tab w:val="clear" w:pos="1701"/>
          <w:tab w:val="left" w:pos="1683"/>
        </w:tabs>
        <w:spacing w:line="288" w:lineRule="auto"/>
        <w:rPr>
          <w:b/>
          <w:bCs/>
        </w:rPr>
      </w:pPr>
      <w:r>
        <w:rPr>
          <w:b/>
          <w:bCs/>
        </w:rPr>
        <w:tab/>
      </w:r>
      <w:r>
        <w:rPr>
          <w:b/>
          <w:bCs/>
        </w:rPr>
        <w:tab/>
        <w:t>i)</w:t>
      </w:r>
      <w:r>
        <w:rPr>
          <w:b/>
          <w:bCs/>
        </w:rPr>
        <w:tab/>
        <w:t>преподаватели непрофессиональных художественных коллективов (музыкальных, танцевальных, театральных, изобразительных искусств, кинематографических, по искусству фотографии, ремеслам и т.д.), в деятельности которых участвовали дети всех возрастов и взрослые, интересующиеся искусством;</w:t>
      </w:r>
    </w:p>
    <w:p w:rsidR="00000000" w:rsidRDefault="00000000">
      <w:pPr>
        <w:pStyle w:val="BodyTextIndent"/>
        <w:spacing w:line="288" w:lineRule="auto"/>
      </w:pPr>
    </w:p>
    <w:p w:rsidR="00000000" w:rsidRDefault="00000000">
      <w:pPr>
        <w:tabs>
          <w:tab w:val="clear" w:pos="1134"/>
          <w:tab w:val="right" w:pos="1309"/>
        </w:tabs>
        <w:ind w:left="1309" w:hanging="1309"/>
      </w:pPr>
      <w:r>
        <w:tab/>
      </w:r>
      <w:r>
        <w:tab/>
      </w:r>
      <w:r>
        <w:tab/>
        <w:t>-</w:t>
      </w:r>
      <w:r>
        <w:tab/>
        <w:t xml:space="preserve">организаторы культурных мероприятий; </w:t>
      </w:r>
    </w:p>
    <w:p w:rsidR="00000000" w:rsidRDefault="00000000">
      <w:pPr>
        <w:tabs>
          <w:tab w:val="clear" w:pos="1134"/>
          <w:tab w:val="right" w:pos="1309"/>
        </w:tabs>
        <w:ind w:left="1309" w:hanging="1309"/>
      </w:pPr>
    </w:p>
    <w:p w:rsidR="00000000" w:rsidRDefault="00000000">
      <w:pPr>
        <w:tabs>
          <w:tab w:val="clear" w:pos="1134"/>
          <w:tab w:val="right" w:pos="1309"/>
        </w:tabs>
        <w:ind w:left="2268" w:hanging="2268"/>
      </w:pPr>
      <w:r>
        <w:tab/>
      </w:r>
      <w:r>
        <w:tab/>
      </w:r>
      <w:r>
        <w:tab/>
        <w:t>-</w:t>
      </w:r>
      <w:r>
        <w:tab/>
        <w:t>преподаватели, работающие с инвалидами (глухими, слепыми и лицами с частичной потерей зрения, умственно и физически неполноценными), по учебным программам, связанным с лечением с помощью музыки, изобразительного искусства, театра, ремесел;</w:t>
      </w:r>
    </w:p>
    <w:p w:rsidR="00000000" w:rsidRDefault="00000000">
      <w:pPr>
        <w:tabs>
          <w:tab w:val="clear" w:pos="1134"/>
          <w:tab w:val="right" w:pos="1309"/>
        </w:tabs>
        <w:ind w:left="1701" w:hanging="1701"/>
      </w:pPr>
    </w:p>
    <w:p w:rsidR="00000000" w:rsidRDefault="00000000">
      <w:pPr>
        <w:tabs>
          <w:tab w:val="clear" w:pos="1134"/>
          <w:tab w:val="right" w:pos="1309"/>
          <w:tab w:val="left" w:pos="2805"/>
        </w:tabs>
        <w:ind w:left="2268" w:hanging="2268"/>
      </w:pPr>
      <w:r>
        <w:tab/>
      </w:r>
      <w:r>
        <w:tab/>
      </w:r>
      <w:r>
        <w:tab/>
        <w:t>-</w:t>
      </w:r>
      <w:r>
        <w:tab/>
        <w:t>преподаватели, которые в свое свободное время и в своих классах используют педагогические методы и игры, включающие различные формы искусства, которые учат творческому подходу к театру, музыке, изобразительному искусству и т.д.;</w:t>
      </w:r>
    </w:p>
    <w:p w:rsidR="00000000" w:rsidRDefault="00000000">
      <w:pPr>
        <w:tabs>
          <w:tab w:val="clear" w:pos="1134"/>
          <w:tab w:val="right" w:pos="1122"/>
        </w:tabs>
        <w:ind w:left="1122" w:hanging="1134"/>
      </w:pPr>
    </w:p>
    <w:p w:rsidR="00000000" w:rsidRDefault="00000000">
      <w:pPr>
        <w:tabs>
          <w:tab w:val="clear" w:pos="1134"/>
          <w:tab w:val="clear" w:pos="1701"/>
          <w:tab w:val="left" w:pos="1122"/>
          <w:tab w:val="right" w:pos="3553"/>
        </w:tabs>
        <w:ind w:left="1122" w:hanging="1134"/>
      </w:pPr>
      <w:r>
        <w:tab/>
        <w:t>b)</w:t>
      </w:r>
      <w:r>
        <w:tab/>
        <w:t>администраторы по вопросам культуры (те, кто занимаются организацией культурных мероприятий в местных центрах):</w:t>
      </w:r>
    </w:p>
    <w:p w:rsidR="00000000" w:rsidRDefault="00000000">
      <w:pPr>
        <w:tabs>
          <w:tab w:val="clear" w:pos="1134"/>
          <w:tab w:val="clear" w:pos="1701"/>
          <w:tab w:val="left" w:pos="1122"/>
          <w:tab w:val="right" w:pos="3553"/>
        </w:tabs>
        <w:ind w:left="1122" w:hanging="1134"/>
      </w:pPr>
    </w:p>
    <w:p w:rsidR="00000000" w:rsidRDefault="00000000">
      <w:pPr>
        <w:tabs>
          <w:tab w:val="clear" w:pos="1134"/>
          <w:tab w:val="clear" w:pos="1701"/>
          <w:tab w:val="right" w:pos="1309"/>
          <w:tab w:val="left" w:pos="1683"/>
        </w:tabs>
        <w:ind w:left="1309" w:hanging="1309"/>
      </w:pPr>
      <w:r>
        <w:tab/>
      </w:r>
      <w:r>
        <w:tab/>
        <w:t>i)</w:t>
      </w:r>
      <w:r>
        <w:tab/>
        <w:t>руководители отделов культуры административных органов;</w:t>
      </w:r>
    </w:p>
    <w:p w:rsidR="00000000" w:rsidRDefault="00000000">
      <w:pPr>
        <w:tabs>
          <w:tab w:val="clear" w:pos="1134"/>
          <w:tab w:val="clear" w:pos="1701"/>
          <w:tab w:val="right" w:pos="1309"/>
          <w:tab w:val="left" w:pos="1683"/>
        </w:tabs>
        <w:ind w:left="1309" w:hanging="1309"/>
      </w:pPr>
    </w:p>
    <w:p w:rsidR="00000000" w:rsidRDefault="00000000">
      <w:pPr>
        <w:tabs>
          <w:tab w:val="clear" w:pos="1134"/>
          <w:tab w:val="clear" w:pos="1701"/>
          <w:tab w:val="right" w:pos="1309"/>
          <w:tab w:val="left" w:pos="1683"/>
        </w:tabs>
        <w:ind w:left="1309" w:hanging="1309"/>
      </w:pPr>
      <w:r>
        <w:tab/>
      </w:r>
      <w:r>
        <w:tab/>
        <w:t>ii)</w:t>
      </w:r>
      <w:r>
        <w:tab/>
        <w:t>бухгалтеры;</w:t>
      </w:r>
    </w:p>
    <w:p w:rsidR="00000000" w:rsidRDefault="00000000">
      <w:pPr>
        <w:tabs>
          <w:tab w:val="clear" w:pos="1134"/>
          <w:tab w:val="clear" w:pos="1701"/>
          <w:tab w:val="right" w:pos="1309"/>
          <w:tab w:val="left" w:pos="1683"/>
        </w:tabs>
        <w:ind w:left="1309" w:hanging="1309"/>
      </w:pPr>
    </w:p>
    <w:p w:rsidR="00000000" w:rsidRDefault="00000000">
      <w:pPr>
        <w:tabs>
          <w:tab w:val="clear" w:pos="1134"/>
          <w:tab w:val="clear" w:pos="1701"/>
          <w:tab w:val="right" w:pos="1309"/>
          <w:tab w:val="left" w:pos="1683"/>
        </w:tabs>
        <w:ind w:left="1309" w:hanging="1309"/>
      </w:pPr>
      <w:r>
        <w:tab/>
      </w:r>
      <w:r>
        <w:tab/>
        <w:t>iii)</w:t>
      </w:r>
      <w:r>
        <w:tab/>
        <w:t>работники органов местного самоуправления.</w:t>
      </w:r>
    </w:p>
    <w:p w:rsidR="00000000" w:rsidRDefault="00000000">
      <w:pPr>
        <w:tabs>
          <w:tab w:val="clear" w:pos="1134"/>
          <w:tab w:val="clear" w:pos="1701"/>
          <w:tab w:val="right" w:pos="1122"/>
          <w:tab w:val="left" w:pos="1683"/>
        </w:tabs>
        <w:ind w:left="1122" w:hanging="1134"/>
      </w:pPr>
    </w:p>
    <w:p w:rsidR="00000000" w:rsidRDefault="00000000">
      <w:pPr>
        <w:tabs>
          <w:tab w:val="clear" w:pos="1134"/>
          <w:tab w:val="right" w:pos="1122"/>
        </w:tabs>
      </w:pPr>
      <w:r>
        <w:t>390.</w:t>
      </w:r>
      <w:r>
        <w:tab/>
        <w:t>Курсы, семинары и практикумы (например, по проблемам театра, кино, изобразительного искусства, фотографии и т.д.) для специалистов по организации культурных мероприятий давали участникам общие знания, возможность развивать национальные традиции и, самое главное, углублять профессиональную подготовку.  Администраторы по вопросам культуры занимались на курсах, где они знакомились с новым законодательством и поправками к нему и где их обучили новым методам, например маркетингу.  На этих курсах говорилось о роли государства как защитника культуры и о влиянии цивилизации и образования на культуру.  Курсы продолжительностью 2–2,5 года являются одной из форм дополнительного образования для профессионалов в области организации культурных мероприятий.  Там готовят инструкторов/преподавателей для работы в различных областях художественного творчества, включая танцы, театр, кукольный театр, киноискусство, фотография, ремесла, распространение культуры через фильмы и т.д.  За отчетный период было организовано свыше 300 курсов, которые окончили 6 656 человек.  Самую большую группу (2 938 человек) составляли выпускники танцевальных курсов (народные танцы, современные танцы и танцевальные вечера);  театральные курсы окончили 957 человек;  курсы по вопросам организации культурной жизни </w:t>
      </w:r>
      <w:r>
        <w:noBreakHyphen/>
        <w:t xml:space="preserve"> 1 457 человек.  О необходимости таких курсов свидетельствует факт появления новых программ, например в области драматического искусства (в основном для преподавателей школ), в области ритмично-музыкальной терапии для медперсонала или изобразительного искусства для обладающих художественными талантами инвалидов, которые затем могут стать профессиональными инструкторами/преподавателями для других лиц с физическими или умственными недостатками, лучше зная их потребности, возможности и проблемы.</w:t>
      </w:r>
    </w:p>
    <w:p w:rsidR="00000000" w:rsidRDefault="00000000">
      <w:pPr>
        <w:pStyle w:val="FootnoteText"/>
        <w:spacing w:line="288" w:lineRule="auto"/>
      </w:pPr>
    </w:p>
    <w:p w:rsidR="00000000" w:rsidRDefault="00000000">
      <w:pPr>
        <w:pStyle w:val="16"/>
        <w:tabs>
          <w:tab w:val="clear" w:pos="1701"/>
          <w:tab w:val="left" w:pos="1418"/>
        </w:tabs>
        <w:ind w:left="1134" w:hanging="1134"/>
      </w:pPr>
      <w:r>
        <w:rPr>
          <w:u w:val="single"/>
        </w:rPr>
        <w:t>Таблица 56</w:t>
      </w:r>
      <w:r>
        <w:t>.</w:t>
      </w:r>
      <w:r>
        <w:tab/>
      </w:r>
      <w:r>
        <w:rPr>
          <w:u w:val="single"/>
        </w:rPr>
        <w:t>Профессиональное образование и повышение квалификации</w:t>
      </w:r>
      <w:r>
        <w:t xml:space="preserve"> </w:t>
      </w:r>
      <w:r>
        <w:rPr>
          <w:u w:val="single"/>
        </w:rPr>
        <w:t>в области культуры в 1995-1998 годах</w:t>
      </w:r>
    </w:p>
    <w:p w:rsidR="00000000" w:rsidRDefault="00000000">
      <w:pPr>
        <w:pStyle w:val="16"/>
        <w:tabs>
          <w:tab w:val="clear" w:pos="1701"/>
          <w:tab w:val="left" w:pos="1418"/>
        </w:tabs>
        <w:spacing w:line="240" w:lineRule="auto"/>
        <w:ind w:left="567" w:hanging="567"/>
        <w:jc w:val="right"/>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000" w:firstRow="0" w:lastRow="0" w:firstColumn="0" w:lastColumn="0" w:noHBand="0" w:noVBand="0"/>
      </w:tblPr>
      <w:tblGrid>
        <w:gridCol w:w="3179"/>
        <w:gridCol w:w="3740"/>
        <w:gridCol w:w="2493"/>
      </w:tblGrid>
      <w:tr w:rsidR="00000000">
        <w:tc>
          <w:tcPr>
            <w:tcW w:w="3179" w:type="dxa"/>
            <w:tcBorders>
              <w:bottom w:val="single" w:sz="4" w:space="0" w:color="auto"/>
            </w:tcBorders>
          </w:tcPr>
          <w:p w:rsidR="00000000" w:rsidRDefault="00000000">
            <w:pPr>
              <w:spacing w:before="40" w:after="20" w:line="216" w:lineRule="auto"/>
              <w:rPr>
                <w:sz w:val="20"/>
              </w:rPr>
            </w:pPr>
          </w:p>
        </w:tc>
        <w:tc>
          <w:tcPr>
            <w:tcW w:w="3740" w:type="dxa"/>
            <w:tcBorders>
              <w:bottom w:val="single" w:sz="4" w:space="0" w:color="auto"/>
            </w:tcBorders>
          </w:tcPr>
          <w:p w:rsidR="00000000" w:rsidRDefault="00000000">
            <w:pPr>
              <w:spacing w:before="40" w:after="20" w:line="216" w:lineRule="auto"/>
              <w:jc w:val="center"/>
              <w:rPr>
                <w:sz w:val="20"/>
              </w:rPr>
            </w:pPr>
            <w:r>
              <w:rPr>
                <w:sz w:val="20"/>
              </w:rPr>
              <w:t>Количество учебных заведений</w:t>
            </w:r>
          </w:p>
        </w:tc>
        <w:tc>
          <w:tcPr>
            <w:tcW w:w="2493" w:type="dxa"/>
            <w:tcBorders>
              <w:bottom w:val="single" w:sz="4" w:space="0" w:color="auto"/>
            </w:tcBorders>
          </w:tcPr>
          <w:p w:rsidR="00000000" w:rsidRDefault="00000000">
            <w:pPr>
              <w:spacing w:before="40" w:after="20" w:line="216" w:lineRule="auto"/>
              <w:jc w:val="center"/>
              <w:rPr>
                <w:sz w:val="20"/>
              </w:rPr>
            </w:pPr>
            <w:r>
              <w:rPr>
                <w:sz w:val="20"/>
              </w:rPr>
              <w:t>Всего участников</w:t>
            </w:r>
          </w:p>
        </w:tc>
      </w:tr>
      <w:tr w:rsidR="00000000">
        <w:tc>
          <w:tcPr>
            <w:tcW w:w="3179" w:type="dxa"/>
            <w:tcBorders>
              <w:bottom w:val="nil"/>
            </w:tcBorders>
          </w:tcPr>
          <w:p w:rsidR="00000000" w:rsidRDefault="00000000">
            <w:pPr>
              <w:pStyle w:val="FootnoteText"/>
              <w:spacing w:before="40" w:after="20" w:line="216" w:lineRule="auto"/>
              <w:rPr>
                <w:sz w:val="20"/>
              </w:rPr>
            </w:pPr>
            <w:r>
              <w:rPr>
                <w:sz w:val="20"/>
              </w:rPr>
              <w:t>Образование</w:t>
            </w:r>
          </w:p>
        </w:tc>
        <w:tc>
          <w:tcPr>
            <w:tcW w:w="3740" w:type="dxa"/>
            <w:tcBorders>
              <w:bottom w:val="nil"/>
            </w:tcBorders>
          </w:tcPr>
          <w:p w:rsidR="00000000" w:rsidRDefault="00000000">
            <w:pPr>
              <w:tabs>
                <w:tab w:val="clear" w:pos="1701"/>
                <w:tab w:val="clear" w:pos="2268"/>
                <w:tab w:val="left" w:pos="1757"/>
              </w:tabs>
              <w:spacing w:before="40" w:after="20" w:line="216" w:lineRule="auto"/>
              <w:ind w:right="1570"/>
              <w:jc w:val="right"/>
              <w:rPr>
                <w:sz w:val="20"/>
              </w:rPr>
            </w:pPr>
            <w:r>
              <w:rPr>
                <w:sz w:val="20"/>
              </w:rPr>
              <w:t>20</w:t>
            </w:r>
          </w:p>
        </w:tc>
        <w:tc>
          <w:tcPr>
            <w:tcW w:w="2493" w:type="dxa"/>
            <w:tcBorders>
              <w:bottom w:val="nil"/>
            </w:tcBorders>
          </w:tcPr>
          <w:p w:rsidR="00000000" w:rsidRDefault="00000000">
            <w:pPr>
              <w:tabs>
                <w:tab w:val="clear" w:pos="567"/>
                <w:tab w:val="clear" w:pos="1701"/>
                <w:tab w:val="clear" w:pos="2268"/>
                <w:tab w:val="left" w:pos="1383"/>
                <w:tab w:val="left" w:pos="1757"/>
              </w:tabs>
              <w:spacing w:before="40" w:after="20" w:line="216" w:lineRule="auto"/>
              <w:ind w:right="884"/>
              <w:jc w:val="right"/>
              <w:rPr>
                <w:sz w:val="20"/>
              </w:rPr>
            </w:pPr>
            <w:r>
              <w:rPr>
                <w:sz w:val="20"/>
              </w:rPr>
              <w:t>1 202</w:t>
            </w:r>
          </w:p>
        </w:tc>
      </w:tr>
      <w:tr w:rsidR="00000000">
        <w:tc>
          <w:tcPr>
            <w:tcW w:w="3179" w:type="dxa"/>
            <w:tcBorders>
              <w:top w:val="nil"/>
              <w:bottom w:val="nil"/>
            </w:tcBorders>
          </w:tcPr>
          <w:p w:rsidR="00000000" w:rsidRDefault="00000000">
            <w:pPr>
              <w:spacing w:before="40" w:after="20" w:line="216" w:lineRule="auto"/>
              <w:rPr>
                <w:sz w:val="20"/>
              </w:rPr>
            </w:pPr>
            <w:r>
              <w:rPr>
                <w:sz w:val="20"/>
              </w:rPr>
              <w:t>Дополнительное</w:t>
            </w:r>
          </w:p>
        </w:tc>
        <w:tc>
          <w:tcPr>
            <w:tcW w:w="3740" w:type="dxa"/>
            <w:tcBorders>
              <w:top w:val="nil"/>
              <w:bottom w:val="nil"/>
            </w:tcBorders>
          </w:tcPr>
          <w:p w:rsidR="00000000" w:rsidRDefault="00000000">
            <w:pPr>
              <w:pStyle w:val="FootnoteText"/>
              <w:tabs>
                <w:tab w:val="clear" w:pos="1701"/>
                <w:tab w:val="clear" w:pos="2268"/>
                <w:tab w:val="left" w:pos="1757"/>
              </w:tabs>
              <w:spacing w:before="40" w:after="20" w:line="216" w:lineRule="auto"/>
              <w:ind w:right="1570"/>
              <w:jc w:val="right"/>
              <w:rPr>
                <w:sz w:val="20"/>
              </w:rPr>
            </w:pPr>
            <w:r>
              <w:rPr>
                <w:sz w:val="20"/>
              </w:rPr>
              <w:t>62</w:t>
            </w:r>
          </w:p>
        </w:tc>
        <w:tc>
          <w:tcPr>
            <w:tcW w:w="2493" w:type="dxa"/>
            <w:tcBorders>
              <w:top w:val="nil"/>
              <w:bottom w:val="nil"/>
            </w:tcBorders>
          </w:tcPr>
          <w:p w:rsidR="00000000" w:rsidRDefault="00000000">
            <w:pPr>
              <w:tabs>
                <w:tab w:val="clear" w:pos="567"/>
                <w:tab w:val="clear" w:pos="1701"/>
                <w:tab w:val="clear" w:pos="2268"/>
                <w:tab w:val="left" w:pos="1383"/>
                <w:tab w:val="left" w:pos="1757"/>
              </w:tabs>
              <w:spacing w:before="40" w:after="20" w:line="216" w:lineRule="auto"/>
              <w:ind w:right="884"/>
              <w:jc w:val="right"/>
              <w:rPr>
                <w:sz w:val="20"/>
              </w:rPr>
            </w:pPr>
            <w:r>
              <w:rPr>
                <w:sz w:val="20"/>
              </w:rPr>
              <w:t>1 151</w:t>
            </w:r>
          </w:p>
        </w:tc>
      </w:tr>
      <w:tr w:rsidR="00000000">
        <w:tc>
          <w:tcPr>
            <w:tcW w:w="3179" w:type="dxa"/>
            <w:tcBorders>
              <w:top w:val="nil"/>
            </w:tcBorders>
          </w:tcPr>
          <w:p w:rsidR="00000000" w:rsidRDefault="00000000">
            <w:pPr>
              <w:spacing w:before="40" w:after="20" w:line="216" w:lineRule="auto"/>
              <w:rPr>
                <w:sz w:val="20"/>
              </w:rPr>
            </w:pPr>
            <w:r>
              <w:rPr>
                <w:sz w:val="20"/>
              </w:rPr>
              <w:t>Повышение квалификации</w:t>
            </w:r>
          </w:p>
        </w:tc>
        <w:tc>
          <w:tcPr>
            <w:tcW w:w="3740" w:type="dxa"/>
            <w:tcBorders>
              <w:top w:val="nil"/>
            </w:tcBorders>
          </w:tcPr>
          <w:p w:rsidR="00000000" w:rsidRDefault="00000000">
            <w:pPr>
              <w:tabs>
                <w:tab w:val="clear" w:pos="1701"/>
                <w:tab w:val="clear" w:pos="2268"/>
                <w:tab w:val="left" w:pos="1757"/>
              </w:tabs>
              <w:spacing w:before="40" w:after="20" w:line="216" w:lineRule="auto"/>
              <w:ind w:right="1570"/>
              <w:jc w:val="right"/>
              <w:rPr>
                <w:sz w:val="20"/>
              </w:rPr>
            </w:pPr>
            <w:r>
              <w:rPr>
                <w:sz w:val="20"/>
              </w:rPr>
              <w:t>370</w:t>
            </w:r>
          </w:p>
        </w:tc>
        <w:tc>
          <w:tcPr>
            <w:tcW w:w="2493" w:type="dxa"/>
            <w:tcBorders>
              <w:top w:val="nil"/>
            </w:tcBorders>
          </w:tcPr>
          <w:p w:rsidR="00000000" w:rsidRDefault="00000000">
            <w:pPr>
              <w:tabs>
                <w:tab w:val="clear" w:pos="567"/>
                <w:tab w:val="clear" w:pos="1701"/>
                <w:tab w:val="clear" w:pos="2268"/>
                <w:tab w:val="left" w:pos="1383"/>
                <w:tab w:val="left" w:pos="1757"/>
              </w:tabs>
              <w:spacing w:before="40" w:after="20" w:line="216" w:lineRule="auto"/>
              <w:ind w:right="884"/>
              <w:jc w:val="right"/>
              <w:rPr>
                <w:sz w:val="20"/>
              </w:rPr>
            </w:pPr>
            <w:r>
              <w:rPr>
                <w:sz w:val="20"/>
              </w:rPr>
              <w:t>11 645</w:t>
            </w:r>
          </w:p>
        </w:tc>
      </w:tr>
    </w:tbl>
    <w:p w:rsidR="00000000" w:rsidRDefault="00000000">
      <w:pPr>
        <w:spacing w:line="240" w:lineRule="auto"/>
      </w:pPr>
    </w:p>
    <w:p w:rsidR="00000000" w:rsidRDefault="00000000">
      <w:pPr>
        <w:spacing w:line="240" w:lineRule="auto"/>
      </w:pPr>
      <w:r>
        <w:tab/>
      </w:r>
      <w:r>
        <w:rPr>
          <w:u w:val="single"/>
        </w:rPr>
        <w:t>Источник</w:t>
      </w:r>
      <w:r>
        <w:t>:  данные министерства культуры и искусства.</w:t>
      </w:r>
    </w:p>
    <w:p w:rsidR="00000000" w:rsidRDefault="00000000">
      <w:pPr>
        <w:spacing w:line="240" w:lineRule="auto"/>
      </w:pPr>
    </w:p>
    <w:p w:rsidR="00000000" w:rsidRDefault="00000000">
      <w:r>
        <w:t>391.</w:t>
      </w:r>
      <w:r>
        <w:tab/>
        <w:t>Профессиональные учебные курсы и курсы повышения квалификации были также организованы для работников государственных архивов.  В 1995 году 164 специалиста продолжали или завершили обучение в высшей школе или на курсах усовершенствования, написали свои диссертации и сдали экзамены на присвоение докторской степени или других ученых степеней, прошли архивные, языковые или компьютерные курсы.  В 1996 году таких специалистов было 165, в 1997 году </w:t>
      </w:r>
      <w:r>
        <w:noBreakHyphen/>
        <w:t xml:space="preserve"> 156, а в 1998 году </w:t>
      </w:r>
      <w:r>
        <w:noBreakHyphen/>
        <w:t xml:space="preserve"> 197.</w:t>
      </w:r>
    </w:p>
    <w:p w:rsidR="00000000" w:rsidRDefault="00000000"/>
    <w:p w:rsidR="00000000" w:rsidRDefault="00000000">
      <w:pPr>
        <w:pStyle w:val="10"/>
        <w:keepNext/>
        <w:ind w:left="1134" w:hanging="567"/>
        <w:jc w:val="left"/>
        <w:rPr>
          <w:b w:val="0"/>
        </w:rPr>
      </w:pPr>
      <w:r>
        <w:rPr>
          <w:bCs/>
        </w:rPr>
        <w:t>8.</w:t>
      </w:r>
      <w:r>
        <w:rPr>
          <w:bCs/>
        </w:rPr>
        <w:tab/>
        <w:t xml:space="preserve">Другие меры, принимаемые для сохранения, развития и </w:t>
      </w:r>
      <w:r>
        <w:t>распространения </w:t>
      </w:r>
      <w:r>
        <w:rPr>
          <w:bCs/>
        </w:rPr>
        <w:t>культуры</w:t>
      </w:r>
    </w:p>
    <w:p w:rsidR="00000000" w:rsidRDefault="00000000">
      <w:pPr>
        <w:pStyle w:val="10"/>
        <w:keepNext/>
        <w:jc w:val="left"/>
        <w:rPr>
          <w:b w:val="0"/>
        </w:rPr>
      </w:pPr>
    </w:p>
    <w:p w:rsidR="00000000" w:rsidRDefault="00000000">
      <w:r>
        <w:t>392.</w:t>
      </w:r>
      <w:r>
        <w:tab/>
        <w:t>В 1995</w:t>
      </w:r>
      <w:r>
        <w:noBreakHyphen/>
        <w:t>1998 годах удалось добиться, хотя и не без труда, прогресса в объединении государственных архивных ресурсов, рассредоточенных за границей.  Некоторые документы были возвращены в Польшу, например документы польской дипломатической миссии в Мексике, наследство польского консула в Мексике Генрика Стебельского и документы, касающиеся польской армии на востоке периода второй мировой войны.  Часть архивных материалов хранилась в форме копий.  Среди наиболее интересных приобретений были записи радиопередач и сценариев программ радиостанций польского радио "Свободная Европа".  Велась подготовка к приобретению микрофильмов с документами министерства иностранных дел.</w:t>
      </w:r>
    </w:p>
    <w:p w:rsidR="00000000" w:rsidRDefault="00000000"/>
    <w:p w:rsidR="00000000" w:rsidRDefault="00000000">
      <w:r>
        <w:t>393.</w:t>
      </w:r>
      <w:r>
        <w:tab/>
        <w:t xml:space="preserve">Министерство культуры и искусства также продолжало осуществление программы "Исчезающие профессии" (с 1994 года), которая направлена на сохранение и популяризацию уникального и ценного народного искусства и ремесел, которые еще </w:t>
      </w:r>
    </w:p>
    <w:p w:rsidR="00000000" w:rsidRDefault="00000000">
      <w:r>
        <w:br w:type="page"/>
        <w:t>существуют в сельских районах, и всех документов, касающихся региональных традиций и работы народных художников.  В осуществлении программы участвовали различные учреждения культуры.  В отдельных случаях министерство выступало вдохновителем идей и оказывало финансовую помощь.  В рамках программы выполнялись следующие задачи:</w:t>
      </w:r>
    </w:p>
    <w:p w:rsidR="00000000" w:rsidRDefault="00000000"/>
    <w:p w:rsidR="00000000" w:rsidRDefault="00000000">
      <w:r>
        <w:tab/>
        <w:t>а)</w:t>
      </w:r>
      <w:r>
        <w:tab/>
        <w:t>научные исследования и документирование для выявления сохранившихся форм народного творчества (например, работа центра этнографической документации и информации в Лодзи, который проводил научные исследования, направлял запросы и собирал необходимую информацию);</w:t>
      </w:r>
    </w:p>
    <w:p w:rsidR="00000000" w:rsidRDefault="00000000"/>
    <w:p w:rsidR="00000000" w:rsidRDefault="00000000">
      <w:r>
        <w:tab/>
        <w:t>b)</w:t>
      </w:r>
      <w:r>
        <w:tab/>
        <w:t>распространение знаний в данной области, организация конкурсов, выставок и ярмарок народного искусства, развивавших местные традиции;</w:t>
      </w:r>
    </w:p>
    <w:p w:rsidR="00000000" w:rsidRDefault="00000000"/>
    <w:p w:rsidR="00000000" w:rsidRDefault="00000000">
      <w:r>
        <w:tab/>
        <w:t>с)</w:t>
      </w:r>
      <w:r>
        <w:tab/>
        <w:t>образование, организация семинаров и курсов, на которых мастера народного искусства передавали свои знания и навыки заинтересованным лицам, особенно молодежи.</w:t>
      </w:r>
    </w:p>
    <w:p w:rsidR="00000000" w:rsidRDefault="00000000"/>
    <w:p w:rsidR="00000000" w:rsidRDefault="00000000">
      <w:pPr>
        <w:pStyle w:val="10"/>
        <w:keepNext/>
        <w:ind w:left="567" w:hanging="567"/>
      </w:pPr>
      <w:r>
        <w:t>В.</w:t>
      </w:r>
      <w:r>
        <w:tab/>
        <w:t>Меры, направленные на сохранение наследия человечества</w:t>
      </w:r>
    </w:p>
    <w:p w:rsidR="00000000" w:rsidRDefault="00000000">
      <w:pPr>
        <w:pStyle w:val="10"/>
        <w:keepNext/>
        <w:ind w:left="567" w:hanging="567"/>
        <w:rPr>
          <w:b w:val="0"/>
          <w:bCs/>
        </w:rPr>
      </w:pPr>
      <w:r>
        <w:t>и создание здоровой окружающей среды</w:t>
      </w:r>
    </w:p>
    <w:p w:rsidR="00000000" w:rsidRDefault="00000000">
      <w:pPr>
        <w:pStyle w:val="10"/>
        <w:keepNext/>
        <w:jc w:val="left"/>
        <w:rPr>
          <w:b w:val="0"/>
          <w:bCs/>
        </w:rPr>
      </w:pPr>
    </w:p>
    <w:p w:rsidR="00000000" w:rsidRDefault="00000000">
      <w:r>
        <w:t>394.</w:t>
      </w:r>
      <w:r>
        <w:tab/>
        <w:t>В 1995-1998 годах на просвещение по вопросам окружающей среды из бюджета было выделено 8 968 800 злотых.  Эти вопросы должны были затрагивать всех, особенно учащихся начальных и средних школ, студентов высших учебных заведений, преподавателей экологической проблематики, местных органов самоуправления, журналистов, медицинских работников, фермеров, специалистов в области охраны природы и таможенников.  По инициативе министерств окружающей среды и образования была разработана национальная стратегия экологического образования.  Министерство охраны окружающей среды, природных ресурсов и лесного хозяйства поместило информацию в Интернет, выделило финансовые средства на издание календаря мероприятий в области окружающей среды и газетных приложений по вопросам окружающей среды, подготовило и напечатало различные материалы и занималось организацией профессиональной подготовки, курсов, конференций и практических семинаров, производством фильмов и телевизионных учебных программ, организацией первого Международного форума по экологическому образованию и Международного дня охраны окружающей среды и Дня Земли.  В 1998 году началась работа по созданию Главного центра информации об экологическом образовании.</w:t>
      </w:r>
    </w:p>
    <w:p w:rsidR="00000000" w:rsidRDefault="00000000"/>
    <w:p w:rsidR="00000000" w:rsidRDefault="00000000">
      <w:r>
        <w:t>395.</w:t>
      </w:r>
      <w:r>
        <w:tab/>
        <w:t>В 1996 году были разбиты два национальных парка (Нарвяньский национальный парк и национальный парк Бори Тушольски).  Национальные парки </w:t>
      </w:r>
      <w:r>
        <w:noBreakHyphen/>
        <w:t xml:space="preserve"> это наивысшая форма охраны природы, где организуются учебные программы по охране окружающей среды, которые доступны в том числе и инвалидам.  В конце 1998 года в стране насчитывалось 22 парка, занимающих 1% всей территории страны.  Были подготовлены планы по созданию Мазурскийского и Турницкого национальных парков, а также план расширения в шесть раз Бяловиского национального парка, чтобы охватить всю площадь девственных лесов.  Информацию о парках можно найти в Интернете по адресу:  http://www.mos.gov.pl/kzpn.  В 1995</w:t>
      </w:r>
      <w:r>
        <w:noBreakHyphen/>
        <w:t>1998 годах было создано 22 ландшафтных парка (в дополнение к 133 уже существующим).  Эти парки занимают площадь в 2 217 618 га, или 7,11% общей территории страны.  Министерство охраны окружающей среды, природных ресурсов и лесного хозяйства координировало деятельность ландшафтных парков, в задачу которых входило сохранение ценных природных, исторических и культурных объектов и их рациональное использование.</w:t>
      </w:r>
    </w:p>
    <w:p w:rsidR="00000000" w:rsidRDefault="00000000"/>
    <w:p w:rsidR="00000000" w:rsidRDefault="00000000">
      <w:pPr>
        <w:pStyle w:val="10"/>
        <w:keepNext/>
      </w:pPr>
      <w:r>
        <w:t>С.</w:t>
      </w:r>
      <w:r>
        <w:tab/>
        <w:t>Законодательные и другие меры по охране авторских прав</w:t>
      </w:r>
    </w:p>
    <w:p w:rsidR="00000000" w:rsidRDefault="00000000">
      <w:pPr>
        <w:pStyle w:val="FootnoteText"/>
        <w:keepNext/>
        <w:spacing w:line="288" w:lineRule="auto"/>
      </w:pPr>
    </w:p>
    <w:p w:rsidR="00000000" w:rsidRDefault="00000000">
      <w:r>
        <w:t>396.</w:t>
      </w:r>
      <w:r>
        <w:tab/>
        <w:t>Право на охрану материальных и моральных выгод, получаемых в результате научной, литературной или художественной деятельности, регулировалось Законом от 4 февраля 1994 года об авторских и смежных правах (Законодательный вестник за 1994 год, № 24, пункт 83 с последующими поправками).  Уровень защиты, гарантированный этим Законом, отвечает современным тенденциям по обеспечению комплексной защиты интеллектуальной собственности.  Он соответствует требованиям статьи 15 Пакта и другим международным обязательствам в этом отношении.  К концу 1998 года Польша была участником следующих международных конвенций об интеллектуальной собственности:</w:t>
      </w:r>
    </w:p>
    <w:p w:rsidR="00000000" w:rsidRDefault="00000000"/>
    <w:p w:rsidR="00000000" w:rsidRDefault="00000000">
      <w:pPr>
        <w:pStyle w:val="BodyTextIndent"/>
        <w:spacing w:line="288" w:lineRule="auto"/>
        <w:rPr>
          <w:b/>
          <w:bCs/>
        </w:rPr>
      </w:pPr>
      <w:r>
        <w:rPr>
          <w:b/>
          <w:bCs/>
        </w:rPr>
        <w:tab/>
        <w:t>Конвенции о защите литературных и художественных произведений (Бернская конвенция, Парижский акт, 1971 год);</w:t>
      </w:r>
    </w:p>
    <w:p w:rsidR="00000000" w:rsidRDefault="00000000">
      <w:pPr>
        <w:ind w:left="567" w:hanging="567"/>
      </w:pPr>
    </w:p>
    <w:p w:rsidR="00000000" w:rsidRDefault="00000000">
      <w:pPr>
        <w:ind w:left="567" w:hanging="567"/>
      </w:pPr>
      <w:r>
        <w:rPr>
          <w:lang w:val="en-US"/>
        </w:rPr>
        <w:tab/>
      </w:r>
      <w:r>
        <w:t>Международной конвенции по охране прав артистов-исполнителей, производителей фонограмм и органов радиовещания (Римская конвенция).  Польша присоединилась к этой Конвенции в 1996 году;</w:t>
      </w:r>
    </w:p>
    <w:p w:rsidR="00000000" w:rsidRDefault="00000000"/>
    <w:p w:rsidR="00000000" w:rsidRDefault="00000000">
      <w:r>
        <w:tab/>
        <w:t>Всеобщей конвенции об авторском праве;</w:t>
      </w:r>
    </w:p>
    <w:p w:rsidR="00000000" w:rsidRDefault="00000000"/>
    <w:p w:rsidR="00000000" w:rsidRDefault="00000000">
      <w:pPr>
        <w:ind w:left="567" w:hanging="567"/>
      </w:pPr>
      <w:r>
        <w:br w:type="page"/>
      </w:r>
      <w:r>
        <w:tab/>
        <w:t>Соглашения по торговым аспектам прав интеллектуальной собственности - ТАПИС (одновременно со вступлением Польши 1 июля 1995 года во Всемирную торговую организацию).  В силу того, что применение некоторых положений ТАПИС может быть отложено, и с учетом соответствующего уведомления от 28 декабря 1995 года во исполнение пункта 3 статьи 65 применение положений ТАПИС должно начаться в Польше не позднее 1 января 2000 года.</w:t>
      </w:r>
    </w:p>
    <w:p w:rsidR="00000000" w:rsidRDefault="00000000"/>
    <w:p w:rsidR="00000000" w:rsidRDefault="00000000">
      <w:r>
        <w:t>397.</w:t>
      </w:r>
      <w:r>
        <w:tab/>
        <w:t>С учетом переговоров Польши о вступлении в члены ЕС в вышеупомянутый Акт должны быть внесены поправки, с тем чтобы он полностью соответствовал требованиям ЕС.  Закон гарантирует защиту собственности и персональных прав.  Защита предусмотрена для любого вида творческой деятельности индивидуального характера, независимо от ее ценности, судьбы и способа выражения.  Закон регулирует вопросы передачи авторских прав и содержит положение об ответственности за их нарушение.  Он отражает государственные интересы с точки зрения широкой доступности культурных ценностей и технических достижений и интересы самих авторов.  Публичным библиотекам, институтам, занимающимся научными исследованиями и опытно-конструкторскими разработками, и центрам научно-технической информации были выданы лицензии, с тем чтобы опубликованные работы были доступны для дидактических и учебных целей и в целом для расширения доступности культурных ценностей.  Эти ограничения на авторские права не следует толковать как чрезмерные.  Они предусмотрены статьями 27, 28 и 30, но не могут нарушать права автора (статья 35).  Научные и учебные учреждения в дидактических и научно-исследовательских целях могут пользоваться опубликованными работами в подлиннике или в переведенном виде и снимать копии выдержек из опубликованных произведений.  Библиотеки, архивы и школы могли предоставлять на безвозмездной основе в рамках установленных законом задач экземпляры опубликованных произведений, а также делать копии или поручать делать копии единственных экземпляров опубликованных работ, отсутствующих на рынке, с тем чтобы пополнять свои коллекции, защищать их и предоставлять бесплатно.  Информационные центры и центры научно-технической документации могли проводить собственные документальные исследования и распространять результаты этих исследований и единственные экземпляры выдержек из опубликованных работ объемом не более одного учетно-издательского листа.  Предоставление копий выдержек из работы должно полностью оплачиваться их владельцами.</w:t>
      </w:r>
    </w:p>
    <w:p w:rsidR="00000000" w:rsidRDefault="00000000"/>
    <w:p w:rsidR="00000000" w:rsidRDefault="00000000">
      <w:pPr>
        <w:pStyle w:val="16"/>
        <w:rPr>
          <w:b/>
          <w:bCs/>
        </w:rPr>
      </w:pPr>
      <w:r>
        <w:rPr>
          <w:b/>
          <w:bCs/>
        </w:rPr>
        <w:br w:type="page"/>
        <w:t>D.</w:t>
      </w:r>
      <w:r>
        <w:rPr>
          <w:b/>
          <w:bCs/>
        </w:rPr>
        <w:tab/>
        <w:t>Сохранение, развитие и распространение науки и культуры</w:t>
      </w:r>
    </w:p>
    <w:p w:rsidR="00000000" w:rsidRDefault="00000000">
      <w:pPr>
        <w:pStyle w:val="16"/>
      </w:pPr>
    </w:p>
    <w:p w:rsidR="00000000" w:rsidRDefault="00000000">
      <w:pPr>
        <w:ind w:left="1134" w:hanging="1134"/>
      </w:pPr>
      <w:r>
        <w:tab/>
      </w:r>
      <w:r>
        <w:rPr>
          <w:b/>
          <w:bCs/>
        </w:rPr>
        <w:t>1.</w:t>
      </w:r>
      <w:r>
        <w:tab/>
      </w:r>
      <w:r>
        <w:rPr>
          <w:b/>
          <w:bCs/>
        </w:rPr>
        <w:t>Правительственные меры на конституционном уровне в рамках национальной системы образования и с помощью средств связи</w:t>
      </w:r>
    </w:p>
    <w:p w:rsidR="00000000" w:rsidRDefault="00000000"/>
    <w:p w:rsidR="00000000" w:rsidRDefault="00000000">
      <w:r>
        <w:t>398.</w:t>
      </w:r>
      <w:r>
        <w:tab/>
        <w:t>В отчетный период министерство культуры и искусства предпринимало шаги к подписанию на 1999 год соглашения с телевидением Польши о совместном финансировании комментаторских программ по вопросам культуры.  Такое соглашение уже достигнуто между министерством национального образования и телевидением Польши и касается финансирования учебных телевизионных программ.  Кроме того, в этой области действовали следующие законоположения:</w:t>
      </w:r>
    </w:p>
    <w:p w:rsidR="00000000" w:rsidRDefault="00000000"/>
    <w:p w:rsidR="00000000" w:rsidRDefault="00000000">
      <w:r>
        <w:tab/>
        <w:t>а)</w:t>
      </w:r>
      <w:r>
        <w:tab/>
        <w:t>Закон от 15 февраля 1962 года о защите культурных ценностей (Законодательный вестник № 10, пункт 48 с поправками);</w:t>
      </w:r>
    </w:p>
    <w:p w:rsidR="00000000" w:rsidRDefault="00000000"/>
    <w:p w:rsidR="00000000" w:rsidRDefault="00000000">
      <w:r>
        <w:tab/>
        <w:t>b)</w:t>
      </w:r>
      <w:r>
        <w:tab/>
        <w:t>распоряжение министра культуры и искусства от 24 ноября 1998 года о списке библиотек, чьи собрания составляют часть национальных библиотечных ресурсов, с разъяснениями о том, как следует использовать эти ресурсы, и с определением условий и охвата такой защиты (Законодательный вестник за 1998 год, № 146, пункт 955).</w:t>
      </w:r>
    </w:p>
    <w:p w:rsidR="00000000" w:rsidRDefault="00000000"/>
    <w:p w:rsidR="00000000" w:rsidRDefault="00000000">
      <w:pPr>
        <w:ind w:left="1134" w:hanging="1134"/>
      </w:pPr>
      <w:r>
        <w:tab/>
      </w:r>
      <w:r>
        <w:rPr>
          <w:b/>
          <w:bCs/>
        </w:rPr>
        <w:t>2.</w:t>
      </w:r>
      <w:r>
        <w:rPr>
          <w:b/>
          <w:bCs/>
        </w:rPr>
        <w:tab/>
        <w:t>Другие меры, принимаемые правительством для сохранения, развития и распространения науки и культуры</w:t>
      </w:r>
    </w:p>
    <w:p w:rsidR="00000000" w:rsidRDefault="00000000"/>
    <w:p w:rsidR="00000000" w:rsidRDefault="00000000">
      <w:r>
        <w:t>399.</w:t>
      </w:r>
      <w:r>
        <w:tab/>
        <w:t>При посредничестве Комитета по кинематографии государство оказывало помощь в проведении фестивалей, просмотров, мероприятий и выставок по вопросам киноискусства (в том числе международных), например, в проведении просмотров, недель и дней, организованных государственными и частными учреждениями в рамках международных положений и соглашений, а также программ культурного сотрудничества.  Финансовая помощь предоставлялась для проведения международных фестивалей, например международного фестиваля короткометражных фильмов в Кракове, международного фестиваля камерного искусства "Камеримидж" в Торуне, Варшавского кинофестиваля, а также для распространения достижений кинематографии.  В 1995 году финансовая помощь в размере 1 457 263 злотых была выделена для организации 28 мероприятий, в 1996 году эта помощь для 44 мероприятий составила 1 967 990, в 1997 году -1 949 263 злотых (для 44 мероприятий) и в 1994 году - 1 845 200 злотых (для 45 мероприятий).  Значительное увеличение количества мероприятий в 1996 году, сохранившееся в 1997 году (оценки за 1998 год аналогичны), было связано со столетней годовщиной фильма о польской земле.  Благодаря бюджетным ассигнованиям польские художественные и нехудожественные фильмы были представлены за границей:  в 1995 году на 66 международных кинофестивалях и 56 просмотрах, в 1996 году </w:t>
      </w:r>
      <w:r>
        <w:noBreakHyphen/>
        <w:t xml:space="preserve"> на 74 фестивалях и 80 просмотрах, в 1997 году - на 60 фестивалях и 70 просмотрах и в 1998 году </w:t>
      </w:r>
      <w:r>
        <w:noBreakHyphen/>
        <w:t xml:space="preserve"> на 52 фестивалях и 90 просмотрах.  Государственные и частные кинопродюсеры, а также учреждения, способствующие распространению польской культуры за границей, могли обращаться за финансовыми средствами, необходимыми в целях рекламы.</w:t>
      </w:r>
    </w:p>
    <w:p w:rsidR="00000000" w:rsidRDefault="00000000"/>
    <w:p w:rsidR="00000000" w:rsidRDefault="00000000">
      <w:r>
        <w:t>400.</w:t>
      </w:r>
      <w:r>
        <w:tab/>
        <w:t>Национальное фильмохранилище по</w:t>
      </w:r>
      <w:r>
        <w:noBreakHyphen/>
        <w:t>прежнему являлось главным хранилищем кинофильмов и основным центром популяризации мировых и польских кинодостижений.  В его задачу входит сбор, сохранение и показ имеющихся киноматериалов (основная коллекция состоит примерно из 15 000 наименований фильмов всего мира).  В соответствии с Законом от 7 ноября 1996 года об обязательных библиотечных экземплярах (Законодательный вестник за 1996 год, № 152, пункт 722) один экземпляр каждого фильма и телефильма сдается их производителями в хранилище.  То же самое касается и кинофильмов, произведенных в стране для иностранного заказчика.  В фильмохранилище хранятся и старые кинофильмы, выдаваемые для проката в кинотеатре "Иллюзион", на телевидение, в дискуссионных киноклубах, университетах, культурных центрах, посольствах, культурных центрах за границей и т.д.  Хранилище собирает и историческую документацию и документы о кино (около 25 000 книг, журналов, сценариев, афиш и фотографий).  Эти материалы можно было получить в читальном зале хранилища.</w:t>
      </w:r>
    </w:p>
    <w:p w:rsidR="00000000" w:rsidRDefault="00000000"/>
    <w:p w:rsidR="00000000" w:rsidRDefault="00000000">
      <w:r>
        <w:t>401.</w:t>
      </w:r>
      <w:r>
        <w:tab/>
        <w:t>Для сохранения и дальнейшего развития польского кино Комитет по кинематографии разработал законоположения, отвечающие нынешнему социально-экономическому положению в стране.  Он также предоставлял субсидии государственным и частным продюсерам.  Через Агентство по распространению кинопродукции из государственного бюджета предоставлялась финансовая помощь для распространения польских и выдающихся европейских кинофильмов.  Фильмы демонстрировались, например, в студийных кинотеатрах (Агентство частично покрывало расходы на билеты в эти кинотеатры).  В Польше существует множество дискуссионных киноклубов, которые, в частности, занимаются просветительской деятельностью в области кинематографии (в отчетный период в Польше насчитывалось около 200 таких клубов).</w:t>
      </w:r>
    </w:p>
    <w:p w:rsidR="00000000" w:rsidRDefault="00000000"/>
    <w:p w:rsidR="00000000" w:rsidRDefault="00000000">
      <w:pPr>
        <w:pStyle w:val="16"/>
        <w:rPr>
          <w:b/>
          <w:bCs/>
        </w:rPr>
      </w:pPr>
      <w:r>
        <w:rPr>
          <w:b/>
          <w:bCs/>
        </w:rPr>
        <w:br w:type="page"/>
        <w:t>Е.</w:t>
      </w:r>
      <w:r>
        <w:rPr>
          <w:b/>
          <w:bCs/>
        </w:rPr>
        <w:tab/>
        <w:t>Защита свободы научных исследований и творческой деятельности</w:t>
      </w:r>
    </w:p>
    <w:p w:rsidR="00000000" w:rsidRDefault="00000000">
      <w:pPr>
        <w:pStyle w:val="16"/>
        <w:rPr>
          <w:b/>
          <w:bCs/>
        </w:rPr>
      </w:pPr>
    </w:p>
    <w:p w:rsidR="00000000" w:rsidRDefault="00000000">
      <w:pPr>
        <w:pStyle w:val="BodyText"/>
        <w:spacing w:line="288" w:lineRule="auto"/>
        <w:ind w:left="1134" w:hanging="1134"/>
      </w:pPr>
      <w:r>
        <w:tab/>
        <w:t>1.</w:t>
      </w:r>
      <w:r>
        <w:tab/>
        <w:t>Правовые, административные и судебные средства поощрения свободы научной и творческой деятельности</w:t>
      </w:r>
    </w:p>
    <w:p w:rsidR="00000000" w:rsidRDefault="00000000">
      <w:pPr>
        <w:pStyle w:val="BodyText"/>
        <w:spacing w:line="288" w:lineRule="auto"/>
      </w:pPr>
    </w:p>
    <w:p w:rsidR="00000000" w:rsidRDefault="00000000">
      <w:r>
        <w:t>402.</w:t>
      </w:r>
      <w:r>
        <w:tab/>
        <w:t>Основным правовым документом в этом отношении был Закон об авторских и смежных правах (Законодательский вестник за 1994 год, № 24, пункт 83).  Для увеличения бюджетных ресурсов для культурных учреждений и лиц государственного и частного сектора, занимающихся культурной деятельностью, министерство культуры и искусства разработало в конце 1998 года новую систему выделения финансовых средств на культурные цели.  Эта система предназначалась для:</w:t>
      </w:r>
    </w:p>
    <w:p w:rsidR="00000000" w:rsidRDefault="00000000"/>
    <w:p w:rsidR="00000000" w:rsidRDefault="00000000">
      <w:r>
        <w:tab/>
        <w:t>-</w:t>
      </w:r>
      <w:r>
        <w:tab/>
        <w:t>активной реализации государственной политики в области культуры;</w:t>
      </w:r>
    </w:p>
    <w:p w:rsidR="00000000" w:rsidRDefault="00000000"/>
    <w:p w:rsidR="00000000" w:rsidRDefault="00000000">
      <w:r>
        <w:tab/>
        <w:t>-</w:t>
      </w:r>
      <w:r>
        <w:tab/>
        <w:t>применения принципов свободной конкуренции;</w:t>
      </w:r>
    </w:p>
    <w:p w:rsidR="00000000" w:rsidRDefault="00000000"/>
    <w:p w:rsidR="00000000" w:rsidRDefault="00000000">
      <w:pPr>
        <w:ind w:left="1134" w:hanging="1134"/>
      </w:pPr>
      <w:r>
        <w:tab/>
        <w:t>-</w:t>
      </w:r>
      <w:r>
        <w:tab/>
        <w:t>расширения участия общества в процессе принятия решений о выделении субсидий;</w:t>
      </w:r>
    </w:p>
    <w:p w:rsidR="00000000" w:rsidRDefault="00000000"/>
    <w:p w:rsidR="00000000" w:rsidRDefault="00000000">
      <w:r>
        <w:tab/>
        <w:t>-</w:t>
      </w:r>
      <w:r>
        <w:tab/>
        <w:t>уделения большего внимания содержательной части при принятии решений;</w:t>
      </w:r>
    </w:p>
    <w:p w:rsidR="00000000" w:rsidRDefault="00000000"/>
    <w:p w:rsidR="00000000" w:rsidRDefault="00000000">
      <w:pPr>
        <w:ind w:left="1134" w:hanging="1134"/>
      </w:pPr>
      <w:r>
        <w:tab/>
        <w:t>-</w:t>
      </w:r>
      <w:r>
        <w:tab/>
        <w:t>обеспечения более открытого характера и транспарентности процесса принятия решений.</w:t>
      </w:r>
    </w:p>
    <w:p w:rsidR="00000000" w:rsidRDefault="00000000"/>
    <w:p w:rsidR="00000000" w:rsidRDefault="00000000">
      <w:r>
        <w:t>403.</w:t>
      </w:r>
      <w:r>
        <w:tab/>
        <w:t>27 июня 1996 года в Закон от 25 октября 1991 года об организации и регулировании культурной деятельности были внесены поправки.  Новый Закон включает в себя положение о финансировании важных культурных мероприятий и о поощрении деятелей искусства (система премий и грантов).  В соответствии с этим Законом контроль за деятельностью важных с точки зрения культуры учреждений, а также за отбором кандидатов на должности руководителей муниципальных культурных учреждений возложен на министерство культуры и искусства.</w:t>
      </w:r>
    </w:p>
    <w:p w:rsidR="00000000" w:rsidRDefault="00000000"/>
    <w:p w:rsidR="00000000" w:rsidRDefault="00000000">
      <w:pPr>
        <w:pStyle w:val="10"/>
        <w:ind w:left="1134" w:hanging="1134"/>
        <w:jc w:val="left"/>
        <w:rPr>
          <w:bCs/>
        </w:rPr>
      </w:pPr>
      <w:r>
        <w:rPr>
          <w:bCs/>
        </w:rPr>
        <w:tab/>
        <w:t>2.</w:t>
      </w:r>
      <w:r>
        <w:rPr>
          <w:bCs/>
        </w:rPr>
        <w:tab/>
        <w:t>Меры, обеспечивающие свободу обмена научной, технической и культурной информацией между отдельными лицами и учреждениями и для поддержки научных обществ и академий наук</w:t>
      </w:r>
    </w:p>
    <w:p w:rsidR="00000000" w:rsidRDefault="00000000">
      <w:pPr>
        <w:pStyle w:val="10"/>
        <w:jc w:val="left"/>
        <w:rPr>
          <w:bCs/>
        </w:rPr>
      </w:pPr>
    </w:p>
    <w:p w:rsidR="00000000" w:rsidRDefault="00000000">
      <w:pPr>
        <w:pStyle w:val="FootnoteText"/>
        <w:spacing w:line="288" w:lineRule="auto"/>
      </w:pPr>
      <w:r>
        <w:t>404.</w:t>
      </w:r>
      <w:r>
        <w:tab/>
        <w:t>Важную роль в этом отношении играли художественные школы, действующие на основании двух Законов более общего характера:  Закона о высшем образовании (Законодательный вестник № 65 от 27 сентября 1990 года) и Закон о ученых званиях и научных степенях (Законодательный вестник № 65, пункт 386, от 12 сентября 1990 года).  Будучи элитарными по своему характеру, эти школы играют активную роль в развитии культуры, организуя конкурсы, концерты, фестивали и выставки.  Правительство поддерживает учебную и научную деятельность художественных школ, предоставляя финансовые средства на проведение наиболее интересных мероприятий.  Одаренные учащиеся художественных школ первой и второй степени получали стипендии от министра культуры и искусства.  Сотрудничество с иностранными академиями включало в себя обмен учащимися и преподавателями, проведение практикумов, семинаров, конференций, совместных концертов, выставок, представлений и т.д.  Польские школы на различных уровнях посещали иностранные учащиеся и стажеры, в том числе получившие правительственные гранты (в рамках соглашений о сотрудничестве в области культуры и науки), а также лица, оплачивающие свое обучение в иностранной валюте.  Занятия в этих школах также посещали учащиеся польского происхождения из разных стран Центральной и Восточной Европы и Казахстана, получившие правительственные гранты.  Польские школы и академии изобразительных искусств весьма популярны, и иностранцы должны сдавать в них вступительные экзамены наравне с поляками.  Международное сотрудничество между этими академиями предусматривало участие в конкурсах и фестивалях, курсах мастерства, в осуществлении таких международных программ, как ТЕМПУС, СОКРАТЕС (музыкальная академия во Вроцлаве, академия изобразительных искусств в Кракове и Познани) и СЕЕПУС (академия изобразительных искусств в Кракове).</w:t>
      </w:r>
    </w:p>
    <w:p w:rsidR="00000000" w:rsidRDefault="00000000"/>
    <w:p w:rsidR="00000000" w:rsidRDefault="00000000">
      <w:r>
        <w:t>405.</w:t>
      </w:r>
      <w:r>
        <w:tab/>
        <w:t>Свобода обмена информацией, мнениями и опытом между деятелями искусств, художниками и другими творческими личностями и их соответствующими учреждениями была также возможной благодаря правительственным грантам и стипендиям.  Министр культуры и искусства на основании Закона от 25 октября 1991 года с поправками 1996 года об организации и регулировании культурной деятельности имеет право выделять стипендии и премии "лицам, занимающимся художественным творчеством, распространением и сохранением культурных ценностей".  В соответствии с распоряжением министра культуры и искусства от 9 декабря 1996 года в Польше существует два вида стипендий:  полугодовая и годовая.  В стране также действовал Фонд для развития художественного творчества, созданный во исполнение Закона от 4 февраля 1994 года об авторских и смежных правах (Законодательный вестник № 24, пункт 83).  В соответствии с распоряжением министра культуры и искусства от 22 декабря 1994 года были разработаны и соответствующие исполнительные положения (Законодательный вестник № 138, пункт 735).  Стипендии назначаются на 6 или 12 месяцев и выплачиваются ежемесячно.  Комиссия по министерским грантам и стипендиям состоит из представителей различных творческих кругов.</w:t>
      </w:r>
    </w:p>
    <w:p w:rsidR="00000000" w:rsidRDefault="00000000"/>
    <w:p w:rsidR="00000000" w:rsidRDefault="00000000">
      <w:r>
        <w:t>406.</w:t>
      </w:r>
      <w:r>
        <w:tab/>
        <w:t>Министерство культуры и искусства явилось основателем следующих институтов по научным исследованиям и опытно-конструкторским разработкам:  Йевишского исторического института и института культуры, которые получают финансовую помощь от Комитета по научным исследованиям.  В отчетный период министерство частично финансировало научные публикации и работы, посвященные сохранению архивов Йевишского исторического института.  В то же время министр просил институт культуры подготовить доклад по теме "Польская культура в период 1989-1996 годов" и другие научные материалы, посвященные образованию и политике в области культуры, художественным постановкам, а также документацию о культурной жизни.</w:t>
      </w:r>
    </w:p>
    <w:p w:rsidR="00000000" w:rsidRDefault="00000000"/>
    <w:p w:rsidR="00000000" w:rsidRDefault="00000000">
      <w:pPr>
        <w:jc w:val="center"/>
        <w:rPr>
          <w:b/>
          <w:bCs/>
        </w:rPr>
      </w:pPr>
      <w:r>
        <w:rPr>
          <w:b/>
          <w:bCs/>
          <w:lang w:val="en-US"/>
        </w:rPr>
        <w:t>F</w:t>
      </w:r>
      <w:r>
        <w:rPr>
          <w:b/>
          <w:bCs/>
        </w:rPr>
        <w:t>.</w:t>
      </w:r>
      <w:r>
        <w:rPr>
          <w:b/>
          <w:bCs/>
        </w:rPr>
        <w:tab/>
        <w:t>Меры по поощрению международного сотрудничества в научной</w:t>
      </w:r>
    </w:p>
    <w:p w:rsidR="00000000" w:rsidRDefault="00000000">
      <w:pPr>
        <w:jc w:val="center"/>
      </w:pPr>
      <w:r>
        <w:rPr>
          <w:b/>
          <w:bCs/>
        </w:rPr>
        <w:t>и культурной областях;  законодательство</w:t>
      </w:r>
    </w:p>
    <w:p w:rsidR="00000000" w:rsidRDefault="00000000">
      <w:pPr>
        <w:jc w:val="center"/>
      </w:pPr>
    </w:p>
    <w:p w:rsidR="00000000" w:rsidRDefault="00000000">
      <w:r>
        <w:t>407.</w:t>
      </w:r>
      <w:r>
        <w:tab/>
        <w:t>В 1995-1998 годах сотрудничество в этой области регулировалось международными конвенциями и 108 двусторонними соглашениями о культурном и научном сотрудничестве (включая соглашения на уровне департаментов и министерств о культурных обменах).  Министерство культуры и искусства сотрудничало с министерством иностранных дел в деле подготовки и заключения таких соглашений, а также в разработке планов сотрудничества с международными организациями.  На основе вышеупомянутых документов министерство по собственной инициативе разработало руководящие принципы и заключило и подписало соглашения с другими департаментами/министерствами.  Оно также отвечало за непосредственное осуществление положений этих двух категорий документов, за исключением вопросов образования и обучения, которые находились в ведении министерства национального образования, Польской академии наук и Комитета по научным исследованиям.  Министерство культуры и искусства должно было также финансировать это сотрудничество.  В отчетный период роль международных культурных соглашений в поддержании тесных культурных контактов с другими странами, хотя и сократилась, но по</w:t>
      </w:r>
      <w:r>
        <w:noBreakHyphen/>
        <w:t>прежнему сохраняла свое значение, поскольку именно государство имеет возможность предоставлять субсидии (из государственного бюджета) и обеспечивать надлежащее качество основной части культурных обменов.  Эти соглашения предусматривали демонстрацию достижений польской культуры за рубежом, организацию обмена учащимися, выделение грантов и стипендий польским и иностранным гражданам, содействие участию польских художников и артистов в международных музыкальных, художественных и иных конкурсах, организацию конкурсов, симпозиумов, конференций, семинаров, мероприятий на открытом воздухе, курсов и посещений студий известных художников;  и поддержку контактов между учреждениями, ассоциациями, обществами и отдельными художниками.  В соответствии с другими распоряжениями (распоряжение</w:t>
      </w:r>
    </w:p>
    <w:p w:rsidR="00000000" w:rsidRDefault="00000000">
      <w:r>
        <w:br w:type="page"/>
        <w:t>министра культуры 1990 года, Законодательный вестник за 1990 год, № 65, пункт 315) предусматривалась возможность найма иностранцев на территории Польши для оказания широкого ряда творческих услуг.</w:t>
      </w:r>
    </w:p>
    <w:p w:rsidR="00000000" w:rsidRDefault="00000000"/>
    <w:p w:rsidR="00000000" w:rsidRDefault="00000000">
      <w:r>
        <w:t>408.</w:t>
      </w:r>
      <w:r>
        <w:tab/>
        <w:t>Международное сотрудничество между архивами в 1995-1998 годах регулировалось 12 двусторонними соглашениями (с Австрией, Китаем, Хорватией, Казахстаном, Литвой, Россией, Словакией, Словенией, Турцией, Украиной, Венгрией и Италией).  Так, собрание документов о массовых казнях в Катыни было опубликовано в сотрудничестве с российской стороной.  Продолжались контакты с польскими центрами за рубежом (например, с институтами Иозефа Пилсудского в Нью-Йорке и Лондоне, Польским институтом и музеем Владислава Сикорского), а также с иностранными архивами, например с немецким государственным архивом и Управлением по вопросам государственной документации.  Сотрудники польских архивов работают, в частности, в ватиканских архивах, бывших секретных прусских архивах в Берлин-Дахлеме, в институте Пилсудского в Нью-Йорке и в институте Гувера.  Часть этой деятельности финансировалась за счет Государственного управления по вопросам польского культурного наследия за рубежом.</w:t>
      </w:r>
    </w:p>
    <w:p w:rsidR="00000000" w:rsidRDefault="00000000"/>
    <w:p w:rsidR="00000000" w:rsidRDefault="00000000">
      <w:r>
        <w:t>409.</w:t>
      </w:r>
      <w:r>
        <w:tab/>
        <w:t>Польша принимала также участие в многосторонних программах и проектах европейских и всемирных организаций.  Благодаря подписанию Соглашения об ассоциации с Европейскими сообществами в 1991 году и своему вступлению в Совет Европы, а также присоединению на раннем этапе к Европейской культурной конвенции в 1989 году, Польша включилась в процесс интеграции в широком смысле этого слова и под эгидой Совета Европы обеспечила свое участие в крупных культурных мероприятиях и многосторонних региональных инициативах,  таких, как "Артс Балтика" и Центральноевропейская инициатива, а также в мероприятиях Европейских сообществ (общинные программы "Калейдоскоп", "Ариана" и "Рафаэль").  До 1996 года Польша принимала участие в общинных культурных программах в качестве так называемой "третьей страны".  В 1992-1996 годах министр культуры и искусства принимал участие во встречах министров культуры государств Европейского союза (Бордо - 1995 год, дважды в Люксембурге - 1995-1996 годы и в Линце - 1998 год), где он высказал свои соображения по вопросам участия Польши в европейских инициативах в области культуры.  В 1992</w:t>
      </w:r>
      <w:r>
        <w:noBreakHyphen/>
        <w:t xml:space="preserve">1996 годах сотрудничество продолжалось в двух областях:  в деле организации культурных мероприятий в европейском масштабе в рамках программы "Калейдоскоп" и в восстановлении и сохранении памятников (программа "Рафаэль").  В 1996 году в положениях Европейского союза, регулирующих культурные программы, произошли изменения.  В соответствии с Дополнительным протоколом к Европейскому соглашению об ассоциации Польши с европейскими сообществами начались переговоры с ассоциированными странами в отношении их полноправного участия в мероприятиях ЕС, в том числе в решении вопроса о взносах, размер которых определяется Комиссией и которые вносятся в общий бюджет (до 1996 года проекты Польши в качестве проектов третьей страны не влекли за собой никаких расходов).  Начиная с 1996 года проекты могут представляться только после уплаты взноса, определенного Комиссией.  Условия участия Польши предусматривали предоставление финансовой помощи в осуществлении проектов, но только в пределах суммы взноса (принцип </w:t>
      </w:r>
      <w:r>
        <w:rPr>
          <w:lang w:val="en-US"/>
        </w:rPr>
        <w:t>juste</w:t>
      </w:r>
      <w:r>
        <w:t xml:space="preserve"> </w:t>
      </w:r>
      <w:r>
        <w:rPr>
          <w:lang w:val="en-US"/>
        </w:rPr>
        <w:t>retour</w:t>
      </w:r>
      <w:r>
        <w:t xml:space="preserve">) и без участия польского представителя в работе совета, принимающего решение о распределении ресурсов.  Благодаря соглашению с Европейской комиссией появилась возможность задействовать финансовые ресурсы из программы помощи </w:t>
      </w:r>
      <w:r>
        <w:rPr>
          <w:lang w:val="en-US"/>
        </w:rPr>
        <w:t>PHARE</w:t>
      </w:r>
      <w:r>
        <w:t xml:space="preserve"> для покрытия польского взноса.  Согласно договоренностям с ЕС, в первый год участия Польши в общинных программах министерство культуры и искусства выплатило 10% причитающейся с Польши суммы;  остальные расходы были покрыты за счет программы </w:t>
      </w:r>
      <w:r>
        <w:rPr>
          <w:lang w:val="en-US"/>
        </w:rPr>
        <w:t>PHARE</w:t>
      </w:r>
      <w:r>
        <w:t>.</w:t>
      </w:r>
    </w:p>
    <w:p w:rsidR="00000000" w:rsidRDefault="00000000"/>
    <w:p w:rsidR="00000000" w:rsidRDefault="00000000">
      <w:pPr>
        <w:pStyle w:val="10"/>
        <w:tabs>
          <w:tab w:val="clear" w:pos="1701"/>
          <w:tab w:val="left" w:pos="1496"/>
        </w:tabs>
        <w:rPr>
          <w:b w:val="0"/>
        </w:rPr>
      </w:pPr>
      <w:r>
        <w:rPr>
          <w:b w:val="0"/>
          <w:u w:val="single"/>
        </w:rPr>
        <w:t>Таблица 57</w:t>
      </w:r>
      <w:r>
        <w:rPr>
          <w:b w:val="0"/>
        </w:rPr>
        <w:t>.</w:t>
      </w:r>
      <w:r>
        <w:rPr>
          <w:b w:val="0"/>
        </w:rPr>
        <w:tab/>
      </w:r>
      <w:r>
        <w:rPr>
          <w:b w:val="0"/>
          <w:u w:val="single"/>
        </w:rPr>
        <w:t>Взносы Польши на культурные программы ЕС</w:t>
      </w:r>
    </w:p>
    <w:p w:rsidR="00000000" w:rsidRDefault="00000000">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0"/>
        <w:gridCol w:w="4530"/>
      </w:tblGrid>
      <w:tr w:rsidR="00000000">
        <w:tblPrEx>
          <w:tblCellMar>
            <w:top w:w="0" w:type="dxa"/>
            <w:bottom w:w="0" w:type="dxa"/>
          </w:tblCellMar>
        </w:tblPrEx>
        <w:tc>
          <w:tcPr>
            <w:tcW w:w="2633" w:type="pct"/>
            <w:tcBorders>
              <w:bottom w:val="single" w:sz="4" w:space="0" w:color="auto"/>
            </w:tcBorders>
          </w:tcPr>
          <w:p w:rsidR="00000000" w:rsidRDefault="00000000">
            <w:pPr>
              <w:pStyle w:val="FootnoteText"/>
              <w:spacing w:before="40" w:after="20" w:line="216" w:lineRule="auto"/>
              <w:jc w:val="center"/>
              <w:rPr>
                <w:sz w:val="20"/>
              </w:rPr>
            </w:pPr>
            <w:r>
              <w:rPr>
                <w:sz w:val="20"/>
              </w:rPr>
              <w:t>Программа</w:t>
            </w:r>
          </w:p>
        </w:tc>
        <w:tc>
          <w:tcPr>
            <w:tcW w:w="2367" w:type="pct"/>
            <w:tcBorders>
              <w:bottom w:val="single" w:sz="4" w:space="0" w:color="auto"/>
            </w:tcBorders>
          </w:tcPr>
          <w:p w:rsidR="00000000" w:rsidRDefault="00000000">
            <w:pPr>
              <w:spacing w:before="40" w:after="20" w:line="216" w:lineRule="auto"/>
              <w:jc w:val="center"/>
              <w:rPr>
                <w:sz w:val="20"/>
              </w:rPr>
            </w:pPr>
            <w:r>
              <w:rPr>
                <w:sz w:val="20"/>
              </w:rPr>
              <w:t>Взнос в евро</w:t>
            </w:r>
          </w:p>
        </w:tc>
      </w:tr>
      <w:tr w:rsidR="00000000">
        <w:tblPrEx>
          <w:tblCellMar>
            <w:top w:w="0" w:type="dxa"/>
            <w:bottom w:w="0" w:type="dxa"/>
          </w:tblCellMar>
        </w:tblPrEx>
        <w:tc>
          <w:tcPr>
            <w:tcW w:w="2633" w:type="pct"/>
            <w:tcBorders>
              <w:bottom w:val="nil"/>
            </w:tcBorders>
          </w:tcPr>
          <w:p w:rsidR="00000000" w:rsidRDefault="00000000">
            <w:pPr>
              <w:spacing w:before="40" w:after="20" w:line="216" w:lineRule="auto"/>
              <w:rPr>
                <w:sz w:val="20"/>
              </w:rPr>
            </w:pPr>
            <w:r>
              <w:rPr>
                <w:sz w:val="20"/>
              </w:rPr>
              <w:t>"Калейдоскоп"</w:t>
            </w:r>
          </w:p>
        </w:tc>
        <w:tc>
          <w:tcPr>
            <w:tcW w:w="2367" w:type="pct"/>
            <w:tcBorders>
              <w:bottom w:val="nil"/>
            </w:tcBorders>
          </w:tcPr>
          <w:p w:rsidR="00000000" w:rsidRDefault="00000000">
            <w:pPr>
              <w:spacing w:before="40" w:after="20" w:line="216" w:lineRule="auto"/>
              <w:ind w:right="1875"/>
              <w:jc w:val="right"/>
              <w:rPr>
                <w:sz w:val="20"/>
              </w:rPr>
            </w:pPr>
            <w:r>
              <w:rPr>
                <w:sz w:val="20"/>
              </w:rPr>
              <w:t>266 284</w:t>
            </w:r>
          </w:p>
        </w:tc>
      </w:tr>
      <w:tr w:rsidR="00000000">
        <w:tblPrEx>
          <w:tblCellMar>
            <w:top w:w="0" w:type="dxa"/>
            <w:bottom w:w="0" w:type="dxa"/>
          </w:tblCellMar>
        </w:tblPrEx>
        <w:tc>
          <w:tcPr>
            <w:tcW w:w="2633" w:type="pct"/>
            <w:tcBorders>
              <w:top w:val="nil"/>
              <w:bottom w:val="nil"/>
            </w:tcBorders>
          </w:tcPr>
          <w:p w:rsidR="00000000" w:rsidRDefault="00000000">
            <w:pPr>
              <w:spacing w:before="40" w:after="20" w:line="216" w:lineRule="auto"/>
              <w:rPr>
                <w:sz w:val="20"/>
              </w:rPr>
            </w:pPr>
            <w:r>
              <w:rPr>
                <w:sz w:val="20"/>
              </w:rPr>
              <w:t>"Рафаэль"</w:t>
            </w:r>
          </w:p>
        </w:tc>
        <w:tc>
          <w:tcPr>
            <w:tcW w:w="2367" w:type="pct"/>
            <w:tcBorders>
              <w:top w:val="nil"/>
              <w:bottom w:val="nil"/>
            </w:tcBorders>
          </w:tcPr>
          <w:p w:rsidR="00000000" w:rsidRDefault="00000000">
            <w:pPr>
              <w:spacing w:before="40" w:after="20" w:line="216" w:lineRule="auto"/>
              <w:ind w:right="1875"/>
              <w:jc w:val="right"/>
              <w:rPr>
                <w:sz w:val="20"/>
              </w:rPr>
            </w:pPr>
            <w:r>
              <w:rPr>
                <w:sz w:val="20"/>
              </w:rPr>
              <w:t>326 804</w:t>
            </w:r>
          </w:p>
        </w:tc>
      </w:tr>
      <w:tr w:rsidR="00000000">
        <w:tblPrEx>
          <w:tblCellMar>
            <w:top w:w="0" w:type="dxa"/>
            <w:bottom w:w="0" w:type="dxa"/>
          </w:tblCellMar>
        </w:tblPrEx>
        <w:tc>
          <w:tcPr>
            <w:tcW w:w="2633" w:type="pct"/>
            <w:tcBorders>
              <w:top w:val="nil"/>
            </w:tcBorders>
          </w:tcPr>
          <w:p w:rsidR="00000000" w:rsidRDefault="00000000">
            <w:pPr>
              <w:spacing w:before="40" w:after="20" w:line="216" w:lineRule="auto"/>
              <w:rPr>
                <w:sz w:val="20"/>
              </w:rPr>
            </w:pPr>
            <w:r>
              <w:rPr>
                <w:sz w:val="20"/>
              </w:rPr>
              <w:t>"Ариана"</w:t>
            </w:r>
          </w:p>
        </w:tc>
        <w:tc>
          <w:tcPr>
            <w:tcW w:w="2367" w:type="pct"/>
            <w:tcBorders>
              <w:top w:val="nil"/>
            </w:tcBorders>
          </w:tcPr>
          <w:p w:rsidR="00000000" w:rsidRDefault="00000000">
            <w:pPr>
              <w:spacing w:before="40" w:after="20" w:line="216" w:lineRule="auto"/>
              <w:ind w:right="1875"/>
              <w:jc w:val="right"/>
              <w:rPr>
                <w:sz w:val="20"/>
              </w:rPr>
            </w:pPr>
            <w:r>
              <w:rPr>
                <w:sz w:val="20"/>
              </w:rPr>
              <w:t>75 649</w:t>
            </w:r>
          </w:p>
        </w:tc>
      </w:tr>
    </w:tbl>
    <w:p w:rsidR="00000000" w:rsidRDefault="00000000"/>
    <w:p w:rsidR="00000000" w:rsidRDefault="00000000">
      <w:r>
        <w:tab/>
      </w:r>
      <w:r>
        <w:rPr>
          <w:u w:val="single"/>
        </w:rPr>
        <w:t>Источник</w:t>
      </w:r>
      <w:r>
        <w:t>:  данные министерства культуры и искусства.</w:t>
      </w:r>
    </w:p>
    <w:p w:rsidR="00000000" w:rsidRDefault="00000000"/>
    <w:p w:rsidR="00000000" w:rsidRDefault="00000000">
      <w:r>
        <w:t>410.</w:t>
      </w:r>
      <w:r>
        <w:tab/>
        <w:t>По решению Европейской комиссии 1997 год был объявлен годом без взносов.  Благодаря этому два польских проекта получили финансовую поддержку на прежних условиях:  это </w:t>
      </w:r>
      <w:r>
        <w:noBreakHyphen/>
        <w:t xml:space="preserve"> международный фестиваль современной музыки "Варшавская осень" и подготовка специалистов по проведению культурных мероприятий, организуемая Европейской сетью культурных центров.  С самого начала особый интерес вызвала программа "Калейдоскоп";  ежегодно в рамках этой программы несколько польских проектов получали финансовые субсидии.  В 1996 году субсидии были выделены:</w:t>
      </w:r>
    </w:p>
    <w:p w:rsidR="00000000" w:rsidRDefault="00000000"/>
    <w:p w:rsidR="00000000" w:rsidRDefault="00000000">
      <w:r>
        <w:tab/>
        <w:t>а)</w:t>
      </w:r>
      <w:r>
        <w:tab/>
        <w:t>проекту по созданию сети культурных центров в Польше, Чешской Республике и Германии под названием "Спираль", представленному Фондом современного искусства из Швирадов Сдруй;</w:t>
      </w:r>
    </w:p>
    <w:p w:rsidR="00000000" w:rsidRDefault="00000000"/>
    <w:p w:rsidR="00000000" w:rsidRDefault="00000000">
      <w:r>
        <w:tab/>
      </w:r>
      <w:r>
        <w:rPr>
          <w:lang w:val="en-US"/>
        </w:rPr>
        <w:t>b</w:t>
      </w:r>
      <w:r>
        <w:t>)</w:t>
      </w:r>
      <w:r>
        <w:tab/>
        <w:t>театру Вильяма Хожицы из Торуни за организацию международного театрального фестиваля "Контакт";</w:t>
      </w:r>
    </w:p>
    <w:p w:rsidR="00000000" w:rsidRDefault="00000000"/>
    <w:p w:rsidR="00000000" w:rsidRDefault="00000000">
      <w:r>
        <w:tab/>
        <w:t>с)</w:t>
      </w:r>
      <w:r>
        <w:tab/>
        <w:t>Фонду Вежбака из Познани за организацию художественных семинаров "Кво Вадис Еуроп" для европейской молодежи (часть 2);</w:t>
      </w:r>
    </w:p>
    <w:p w:rsidR="00000000" w:rsidRDefault="00000000">
      <w:r>
        <w:tab/>
      </w:r>
      <w:r>
        <w:rPr>
          <w:lang w:val="en-US"/>
        </w:rPr>
        <w:t>d</w:t>
      </w:r>
      <w:r>
        <w:t>)</w:t>
      </w:r>
      <w:r>
        <w:tab/>
        <w:t xml:space="preserve">музею архитектуры во Вроцлаве за организацию выставки "Церковная архитектура Польши в </w:t>
      </w:r>
      <w:r>
        <w:rPr>
          <w:lang w:val="en-US"/>
        </w:rPr>
        <w:t>XX</w:t>
      </w:r>
      <w:r>
        <w:t xml:space="preserve"> веке";</w:t>
      </w:r>
    </w:p>
    <w:p w:rsidR="00000000" w:rsidRDefault="00000000"/>
    <w:p w:rsidR="00000000" w:rsidRDefault="00000000">
      <w:r>
        <w:tab/>
        <w:t>е)</w:t>
      </w:r>
      <w:r>
        <w:tab/>
        <w:t>Центру театрального образования в Гданьске за проект "Балтийский танцевальный университет".</w:t>
      </w:r>
    </w:p>
    <w:p w:rsidR="00000000" w:rsidRDefault="00000000"/>
    <w:p w:rsidR="00000000" w:rsidRDefault="00000000">
      <w:r>
        <w:t>411.</w:t>
      </w:r>
      <w:r>
        <w:tab/>
        <w:t xml:space="preserve">Согласно информации, полученной от Польского представительства при Европейском союзе, по программе "Калейдоскоп" 1998 года следующие восемь польских проектов получили субсидии в размере 249 884 </w:t>
      </w:r>
      <w:r>
        <w:rPr>
          <w:caps/>
        </w:rPr>
        <w:t>экю</w:t>
      </w:r>
      <w:r>
        <w:t>:</w:t>
      </w:r>
    </w:p>
    <w:p w:rsidR="00000000" w:rsidRDefault="00000000"/>
    <w:p w:rsidR="00000000" w:rsidRDefault="00000000">
      <w:r>
        <w:tab/>
        <w:t>-</w:t>
      </w:r>
      <w:r>
        <w:tab/>
        <w:t xml:space="preserve">"Песня души" - 14 006,5 </w:t>
      </w:r>
      <w:r>
        <w:rPr>
          <w:caps/>
        </w:rPr>
        <w:t>экю</w:t>
      </w:r>
      <w:r>
        <w:t> </w:t>
      </w:r>
      <w:r>
        <w:noBreakHyphen/>
        <w:t xml:space="preserve"> Вроцлавская театральная ассоциация;</w:t>
      </w:r>
    </w:p>
    <w:p w:rsidR="00000000" w:rsidRDefault="00000000"/>
    <w:p w:rsidR="00000000" w:rsidRDefault="00000000">
      <w:pPr>
        <w:ind w:left="1134" w:hanging="1134"/>
      </w:pPr>
      <w:r>
        <w:tab/>
        <w:t>-</w:t>
      </w:r>
      <w:r>
        <w:tab/>
        <w:t>ХХХIII международный фестиваль "Вратиславия кантанс" </w:t>
      </w:r>
      <w:r>
        <w:noBreakHyphen/>
        <w:t xml:space="preserve"> 47 600 </w:t>
      </w:r>
      <w:r>
        <w:rPr>
          <w:caps/>
        </w:rPr>
        <w:t>экю</w:t>
      </w:r>
      <w:r>
        <w:t xml:space="preserve"> (Государственный институт культуры "Вратиславия кантанс");</w:t>
      </w:r>
    </w:p>
    <w:p w:rsidR="00000000" w:rsidRDefault="00000000"/>
    <w:p w:rsidR="00000000" w:rsidRDefault="00000000">
      <w:pPr>
        <w:ind w:left="1134" w:hanging="1134"/>
      </w:pPr>
      <w:r>
        <w:tab/>
        <w:t>-</w:t>
      </w:r>
      <w:r>
        <w:tab/>
        <w:t>"Балтийская летняя академия камерной музыки" </w:t>
      </w:r>
      <w:r>
        <w:noBreakHyphen/>
        <w:t xml:space="preserve"> 15 789,47 </w:t>
      </w:r>
      <w:r>
        <w:rPr>
          <w:caps/>
        </w:rPr>
        <w:t>экю</w:t>
      </w:r>
      <w:r>
        <w:t xml:space="preserve"> (Балтийский культурный центр);</w:t>
      </w:r>
    </w:p>
    <w:p w:rsidR="00000000" w:rsidRDefault="00000000"/>
    <w:p w:rsidR="00000000" w:rsidRDefault="00000000">
      <w:pPr>
        <w:ind w:left="1134" w:hanging="1134"/>
      </w:pPr>
      <w:r>
        <w:tab/>
        <w:t>-</w:t>
      </w:r>
      <w:r>
        <w:tab/>
        <w:t>Двадцать второй фольклорный фестиваль северных народов </w:t>
      </w:r>
      <w:r>
        <w:noBreakHyphen/>
        <w:t xml:space="preserve"> 25 387,03 </w:t>
      </w:r>
      <w:r>
        <w:rPr>
          <w:caps/>
        </w:rPr>
        <w:t>экю (</w:t>
      </w:r>
      <w:r>
        <w:t>Балтийский культурный центр);</w:t>
      </w:r>
    </w:p>
    <w:p w:rsidR="00000000" w:rsidRDefault="00000000"/>
    <w:p w:rsidR="00000000" w:rsidRDefault="00000000">
      <w:pPr>
        <w:ind w:left="1134" w:hanging="1134"/>
      </w:pPr>
      <w:r>
        <w:tab/>
        <w:t>-</w:t>
      </w:r>
      <w:r>
        <w:tab/>
        <w:t>вторая Европейская конференция кларнетного и саксофонного общества </w:t>
      </w:r>
      <w:r>
        <w:noBreakHyphen/>
        <w:t xml:space="preserve"> 45 000 ЭКЮ (корпорация "Про мусика лимитед");</w:t>
      </w:r>
    </w:p>
    <w:p w:rsidR="00000000" w:rsidRDefault="00000000"/>
    <w:p w:rsidR="00000000" w:rsidRDefault="00000000">
      <w:r>
        <w:tab/>
        <w:t>-</w:t>
      </w:r>
      <w:r>
        <w:tab/>
        <w:t>Шекспировский фестиваль </w:t>
      </w:r>
      <w:r>
        <w:noBreakHyphen/>
        <w:t xml:space="preserve"> 45 000 ЭКЮ (Фонд "Театрум Жеданенсе");</w:t>
      </w:r>
    </w:p>
    <w:p w:rsidR="00000000" w:rsidRDefault="00000000"/>
    <w:p w:rsidR="00000000" w:rsidRDefault="00000000">
      <w:pPr>
        <w:ind w:left="1134" w:hanging="1134"/>
      </w:pPr>
      <w:r>
        <w:tab/>
        <w:t>-</w:t>
      </w:r>
      <w:r>
        <w:tab/>
        <w:t>Объединенный семинар изобразительных искусств - Лак ’98 </w:t>
      </w:r>
      <w:r>
        <w:noBreakHyphen/>
        <w:t xml:space="preserve"> 11 101 ЭКЮ (Ассоциация туристических муниципалитетов в районе Гостынинского озера);</w:t>
      </w:r>
    </w:p>
    <w:p w:rsidR="00000000" w:rsidRDefault="00000000"/>
    <w:p w:rsidR="00000000" w:rsidRDefault="00000000">
      <w:pPr>
        <w:ind w:left="1134" w:hanging="1134"/>
      </w:pPr>
      <w:r>
        <w:tab/>
        <w:t>-</w:t>
      </w:r>
      <w:r>
        <w:tab/>
        <w:t>второй международный фестиваль "Андерграунд мирового искусства </w:t>
      </w:r>
      <w:r>
        <w:noBreakHyphen/>
        <w:t xml:space="preserve"> Величка ’98" </w:t>
      </w:r>
      <w:r>
        <w:noBreakHyphen/>
        <w:t xml:space="preserve"> 45 000 ЭКЮ (Андерграунд мирового искусства).</w:t>
      </w:r>
    </w:p>
    <w:p w:rsidR="00000000" w:rsidRDefault="00000000"/>
    <w:p w:rsidR="00000000" w:rsidRDefault="00000000">
      <w:r>
        <w:t>412.</w:t>
      </w:r>
      <w:r>
        <w:tab/>
        <w:t>В 1995 году в рамках программы сохранения архитектурного наследия была выделена финансовая помощь синагоге Постепова в Кракове, часовне Святой Троицы в Люблинском замке, мавзолею Пястова Шласкиша во Вроцлаве, монастырскому комплексу отцов Бернандинцев в Лежайске и в 1996 году </w:t>
      </w:r>
      <w:r>
        <w:noBreakHyphen/>
        <w:t xml:space="preserve"> Археологическому фестивалю ’96.  По решению Совета министров культуры ЕС от 20 ноября 1995 года Кракову - одному из девяти европейских городов - был присвоен титул европейского города культуры за 2000 год.  Краковский фестиваль 2000 года </w:t>
      </w:r>
      <w:r>
        <w:noBreakHyphen/>
        <w:t xml:space="preserve"> цикл культурных мероприятий, направленный на объединение народов Европы с уделением особого внимания культурным достопримечательностям города и с подчеркиванием общности и разнообразия европейской культуры </w:t>
      </w:r>
      <w:r>
        <w:noBreakHyphen/>
        <w:t xml:space="preserve"> открылся в 1996 году при существенной поддержке министерства культуры и искусства.</w:t>
      </w:r>
    </w:p>
    <w:p w:rsidR="00000000" w:rsidRDefault="00000000"/>
    <w:p w:rsidR="00000000" w:rsidRDefault="00000000">
      <w:r>
        <w:t>413.</w:t>
      </w:r>
      <w:r>
        <w:tab/>
        <w:t>В 1998 году в рамках своего сотрудничества с Советом Европы Польша приступила к осуществлению программы по сбору архивных материалов о Польше под названием "Восстановление памяти Польши" (материалы об истории Польши в собраниях европейских государств) и стала одной из сторон научных исследований, проводимых Советом Европы в рамках программы "Приватизация и обезгосударствление:  преобразование крупных культурных учреждений в результате этого процесса".</w:t>
      </w:r>
    </w:p>
    <w:p w:rsidR="00000000" w:rsidRDefault="00000000"/>
    <w:p w:rsidR="00000000" w:rsidRDefault="00000000">
      <w:r>
        <w:t>414.</w:t>
      </w:r>
      <w:r>
        <w:tab/>
        <w:t>Министерство культуры и искусства проводит и другие мероприятия европейского масштаба в рамках Балтийского регионального сотрудничества, в частности форума "Арс Балтика".  Они направлены на сближение государств Балтии через культуру, преследуя фактически политические цели, сформулированные Советом государств Балтийского бассейна и Конференцией министров культуры государств Балтийского бассейна.  Форум "Арс Балтика" накопил сейчас большой опыт, особенно в области взаимного обмена художественными выставками, организации концертов, совместных семинаров, творческих симпозиумов и других мероприятий.</w:t>
      </w:r>
    </w:p>
    <w:p w:rsidR="00000000" w:rsidRDefault="00000000"/>
    <w:p w:rsidR="00000000" w:rsidRDefault="00000000">
      <w:r>
        <w:t>415.</w:t>
      </w:r>
      <w:r>
        <w:tab/>
        <w:t>Киноиндустрия пользовалась всеми преимуществами международных структур, в которых она участвует.  С 1992 года она принимала участие в Фильмофонде Совета Европы "Еуримаджес", который финансировал совместное производство, субсидировал распространение выдающихся европейских кинофильмов и составление кинорепертуара.  Комитет по кинематографии, выплачивая членские взносы за участие в этой организации и покрывая расходы польского представителя в "Еуримаджес", дал возможность продюсерам, дистрибьютерам и владельцам кинотеатров получать финансовую помощь из этого Фонда.  В 1995 году данный Фонд субсидировал производство трех кинофильмов и по четыре кинофильма в 1996 и в 1997 годах - (20% внутреннего производства).  В 1995 году Фонд предоставил финансовую помощь на распространение четырех европейских кинофильмов в Польше, в 1996 году - на распространение 17 кинофильмов и в 1997 году - восьми кинофильмов.  Кинотеатр "Муранув" в Варшаве и кинотеатр "Ванда" в Кракове использовали средства "Еуримаджес" для составления кинорепертуара.  Фильмопроизводители сотрудничали с "Еурека аудиовизуэль", организацией, действующей при ЕС.  Велись переговоры о присоединении Польши к программе "Медиа</w:t>
      </w:r>
      <w:r>
        <w:noBreakHyphen/>
      </w:r>
      <w:r>
        <w:rPr>
          <w:lang w:val="en-US"/>
        </w:rPr>
        <w:t>II</w:t>
      </w:r>
      <w:r>
        <w:t>" в рамках ЕС.  В рамках этой программы поддерживалось производство и распространение европейских аудиовизуальных работ.  Вел эти переговоры Национальный совет по телевидению и радиовещанию, который по</w:t>
      </w:r>
      <w:r>
        <w:noBreakHyphen/>
        <w:t>прежнему поддерживает тесные контакты с Комитетом по кинематографии.  Он же субсидировал из государственного бюджета расходы на участие польских кинематографистов, критиков и экспертов в международных фестивалях, конференциях и семинарах.  В 1995</w:t>
      </w:r>
      <w:r>
        <w:noBreakHyphen/>
        <w:t>1997 годах было оказано содействие профессиональной подготовке киносценаристов путем предоставления субсидий молодым польским киносценаристам, которые принимали участие в рабочих совещаниях сценаристов из Центральной Европы, проходивших в Будапеште.  Одним из их организаторов был институт Сандэнс из Соединенных Штатов Америки, возглавляемый Робертом Редфордом.  Одним из существенных элементов, ограничивающих помощь Комитета по кинематографии были ограниченные бюджетные ресурсы.</w:t>
      </w:r>
    </w:p>
    <w:p w:rsidR="00000000" w:rsidRDefault="00000000"/>
    <w:p w:rsidR="00000000" w:rsidRDefault="00000000">
      <w:pPr>
        <w:jc w:val="center"/>
      </w:pPr>
      <w:r>
        <w:rPr>
          <w:b/>
          <w:bCs/>
          <w:lang w:val="en-US"/>
        </w:rPr>
        <w:t>G</w:t>
      </w:r>
      <w:r>
        <w:rPr>
          <w:b/>
          <w:bCs/>
        </w:rPr>
        <w:t>.</w:t>
      </w:r>
      <w:r>
        <w:tab/>
      </w:r>
      <w:r>
        <w:rPr>
          <w:b/>
          <w:bCs/>
        </w:rPr>
        <w:t>Новое законодательство и исполнительные акты в связи со статьей 15</w:t>
      </w:r>
    </w:p>
    <w:p w:rsidR="00000000" w:rsidRDefault="00000000">
      <w:pPr>
        <w:pStyle w:val="FootnoteText"/>
        <w:spacing w:line="288" w:lineRule="auto"/>
      </w:pPr>
    </w:p>
    <w:p w:rsidR="00000000" w:rsidRDefault="00000000">
      <w:r>
        <w:t>416.</w:t>
      </w:r>
      <w:r>
        <w:tab/>
        <w:t>К их числу относились:</w:t>
      </w:r>
    </w:p>
    <w:p w:rsidR="00000000" w:rsidRDefault="00000000"/>
    <w:p w:rsidR="00000000" w:rsidRDefault="00000000">
      <w:pPr>
        <w:ind w:left="1134" w:hanging="1134"/>
      </w:pPr>
      <w:r>
        <w:tab/>
        <w:t>-</w:t>
      </w:r>
      <w:r>
        <w:tab/>
        <w:t>статья 6 польской Конституции от 2 апреля 1997 года (финансовая помощь государства);</w:t>
      </w:r>
    </w:p>
    <w:p w:rsidR="00000000" w:rsidRDefault="00000000">
      <w:pPr>
        <w:ind w:left="1134" w:hanging="1134"/>
      </w:pPr>
    </w:p>
    <w:p w:rsidR="00000000" w:rsidRDefault="00000000">
      <w:pPr>
        <w:ind w:left="1134" w:hanging="1134"/>
      </w:pPr>
      <w:r>
        <w:tab/>
        <w:t>-</w:t>
      </w:r>
      <w:r>
        <w:tab/>
        <w:t>статья 35 Конституции (национальные меньшинства);</w:t>
      </w:r>
    </w:p>
    <w:p w:rsidR="00000000" w:rsidRDefault="00000000">
      <w:pPr>
        <w:ind w:left="1134" w:hanging="1134"/>
      </w:pPr>
    </w:p>
    <w:p w:rsidR="00000000" w:rsidRDefault="00000000">
      <w:pPr>
        <w:ind w:left="1134" w:hanging="1134"/>
      </w:pPr>
      <w:r>
        <w:tab/>
        <w:t>-</w:t>
      </w:r>
      <w:r>
        <w:tab/>
        <w:t>статья 73 Конституции (свобода художественного и научного творчества);</w:t>
      </w:r>
    </w:p>
    <w:p w:rsidR="00000000" w:rsidRDefault="00000000">
      <w:pPr>
        <w:ind w:left="1134" w:hanging="1134"/>
      </w:pPr>
    </w:p>
    <w:p w:rsidR="00000000" w:rsidRDefault="00000000">
      <w:pPr>
        <w:ind w:left="1134" w:hanging="1134"/>
      </w:pPr>
      <w:r>
        <w:tab/>
        <w:t>-</w:t>
      </w:r>
      <w:r>
        <w:tab/>
        <w:t>статьи 77-86 Конституции (средства защиты всех свобод и прав);</w:t>
      </w:r>
    </w:p>
    <w:p w:rsidR="00000000" w:rsidRDefault="00000000">
      <w:pPr>
        <w:ind w:left="1134" w:hanging="1134"/>
      </w:pPr>
    </w:p>
    <w:p w:rsidR="00000000" w:rsidRDefault="00000000">
      <w:pPr>
        <w:ind w:left="1134" w:hanging="1134"/>
      </w:pPr>
      <w:r>
        <w:tab/>
        <w:t>-</w:t>
      </w:r>
      <w:r>
        <w:tab/>
        <w:t>статья 79 Конституции (подача жалоб в Конституционный суд);</w:t>
      </w:r>
    </w:p>
    <w:p w:rsidR="00000000" w:rsidRDefault="00000000">
      <w:pPr>
        <w:ind w:left="1134" w:hanging="1134"/>
      </w:pPr>
    </w:p>
    <w:p w:rsidR="00000000" w:rsidRDefault="00000000">
      <w:pPr>
        <w:ind w:left="1134" w:hanging="1134"/>
      </w:pPr>
      <w:r>
        <w:tab/>
        <w:t>-</w:t>
      </w:r>
      <w:r>
        <w:tab/>
        <w:t>Закон от 25 октября 1991 года об организации и регулировании культурной деятельности с поправками от 27 июня 1996 года (Законодательный вестник за 1997 год, № 110, пункт 721 с последующими поправками);</w:t>
      </w:r>
    </w:p>
    <w:p w:rsidR="00000000" w:rsidRDefault="00000000">
      <w:pPr>
        <w:ind w:left="1134" w:hanging="1134"/>
      </w:pPr>
    </w:p>
    <w:p w:rsidR="00000000" w:rsidRDefault="00000000">
      <w:pPr>
        <w:ind w:left="1134" w:hanging="1134"/>
      </w:pPr>
      <w:r>
        <w:tab/>
        <w:t>-</w:t>
      </w:r>
      <w:r>
        <w:tab/>
        <w:t>Закон от 4 июля 1996 года об изменении названий отдельных академий изобразительных искусств (Законодательный вестник за 1996 год, № 100, пункт 462);</w:t>
      </w:r>
    </w:p>
    <w:p w:rsidR="00000000" w:rsidRDefault="00000000">
      <w:pPr>
        <w:ind w:left="1134" w:hanging="1134"/>
      </w:pPr>
    </w:p>
    <w:p w:rsidR="00000000" w:rsidRDefault="00000000">
      <w:pPr>
        <w:ind w:left="1134" w:hanging="1134"/>
      </w:pPr>
      <w:r>
        <w:tab/>
        <w:t>-</w:t>
      </w:r>
      <w:r>
        <w:tab/>
        <w:t>Закон от 8 августа 1996 года о внесении поправок в отдельные акты, регулирующие функционирование экономики и администрации;</w:t>
      </w:r>
    </w:p>
    <w:p w:rsidR="00000000" w:rsidRDefault="00000000">
      <w:pPr>
        <w:ind w:left="1134" w:hanging="1134"/>
      </w:pPr>
    </w:p>
    <w:p w:rsidR="00000000" w:rsidRDefault="00000000">
      <w:pPr>
        <w:ind w:left="1134" w:hanging="1134"/>
      </w:pPr>
      <w:r>
        <w:tab/>
        <w:t>-</w:t>
      </w:r>
      <w:r>
        <w:tab/>
        <w:t>Закон от 7 ноября 1996 года об обязательных библиотечных экземплярах (Законодательный вестник за 1996 год, № 152, пункт 722);</w:t>
      </w:r>
    </w:p>
    <w:p w:rsidR="00000000" w:rsidRDefault="00000000">
      <w:pPr>
        <w:ind w:left="1134" w:hanging="1134"/>
      </w:pPr>
      <w:r>
        <w:tab/>
        <w:t>-</w:t>
      </w:r>
      <w:r>
        <w:tab/>
        <w:t>Закон от 27 июня 1997 года о библиотеках (Законодательный вестник за 1997 год, № 85, пункт 539);</w:t>
      </w:r>
    </w:p>
    <w:p w:rsidR="00000000" w:rsidRDefault="00000000">
      <w:pPr>
        <w:ind w:left="1134" w:hanging="1134"/>
      </w:pPr>
    </w:p>
    <w:p w:rsidR="00000000" w:rsidRDefault="00000000">
      <w:pPr>
        <w:ind w:left="1134" w:hanging="1134"/>
      </w:pPr>
      <w:r>
        <w:tab/>
        <w:t>-</w:t>
      </w:r>
      <w:r>
        <w:tab/>
        <w:t>Закон от 21 ноября 1996 года о музеях (Законодательный вестник за 1997 год, № 5, пункт 24 с последующими поправками, и Законодательный вестник за 1998 год, № 106, пункт 668);</w:t>
      </w:r>
    </w:p>
    <w:p w:rsidR="00000000" w:rsidRDefault="00000000">
      <w:pPr>
        <w:ind w:left="1134" w:hanging="1134"/>
      </w:pPr>
    </w:p>
    <w:p w:rsidR="00000000" w:rsidRDefault="00000000">
      <w:pPr>
        <w:ind w:left="1134" w:hanging="1134"/>
      </w:pPr>
      <w:r>
        <w:tab/>
        <w:t>-</w:t>
      </w:r>
      <w:r>
        <w:tab/>
        <w:t>Закон от 18 июля 1998 года о органах самоуправления воеводств (Законодательный вестник за 1998 год, № 91, пункт 91, статьи 75-77);</w:t>
      </w:r>
    </w:p>
    <w:p w:rsidR="00000000" w:rsidRDefault="00000000">
      <w:pPr>
        <w:ind w:left="1134" w:hanging="1134"/>
      </w:pPr>
    </w:p>
    <w:p w:rsidR="00000000" w:rsidRDefault="00000000">
      <w:pPr>
        <w:ind w:left="1134" w:hanging="1134"/>
      </w:pPr>
      <w:r>
        <w:tab/>
        <w:t>-</w:t>
      </w:r>
      <w:r>
        <w:tab/>
        <w:t>Закон от 24 июля 1998 года о внесении изменений в отдельные акты, устанавливающие сферу полномочий органов государственной администрации в связи с политической реформой страны (Законодательный вестник за 1998 год, № 106, пункт 668);</w:t>
      </w:r>
    </w:p>
    <w:p w:rsidR="00000000" w:rsidRDefault="00000000">
      <w:pPr>
        <w:ind w:left="1134" w:hanging="1134"/>
      </w:pPr>
    </w:p>
    <w:p w:rsidR="00000000" w:rsidRDefault="00000000">
      <w:pPr>
        <w:ind w:left="1134" w:hanging="1134"/>
      </w:pPr>
      <w:r>
        <w:tab/>
        <w:t>-</w:t>
      </w:r>
      <w:r>
        <w:tab/>
        <w:t>распоряжение министра культуры и искусства от 10 ноября 1994 года об условиях приема в художественные школы и академии лиц, не являющихся польскими гражданами, и об условиях оплаты их обучения;  должен быть изменен в 1999 году (Законодательный вестник за 1994 год, № 125, пункт 612);</w:t>
      </w:r>
    </w:p>
    <w:p w:rsidR="00000000" w:rsidRDefault="00000000">
      <w:pPr>
        <w:ind w:left="1134" w:hanging="1134"/>
      </w:pPr>
    </w:p>
    <w:p w:rsidR="00000000" w:rsidRDefault="00000000">
      <w:pPr>
        <w:ind w:left="1134" w:hanging="1134"/>
      </w:pPr>
      <w:r>
        <w:tab/>
        <w:t>-</w:t>
      </w:r>
      <w:r>
        <w:tab/>
        <w:t>распоряжение министра культуры и искусства от 18 апреля 1995 года, вносящее изменения в положение о предоставлении особого статуса министерству культуры и искусства (Законодательный вестник за 1995 год, № 48, пункт 250);</w:t>
      </w:r>
    </w:p>
    <w:p w:rsidR="00000000" w:rsidRDefault="00000000">
      <w:pPr>
        <w:ind w:left="1134" w:hanging="1134"/>
      </w:pPr>
    </w:p>
    <w:p w:rsidR="00000000" w:rsidRDefault="00000000">
      <w:pPr>
        <w:ind w:left="1134" w:hanging="1134"/>
      </w:pPr>
      <w:r>
        <w:tab/>
        <w:t>-</w:t>
      </w:r>
      <w:r>
        <w:tab/>
        <w:t>распоряжение Совета министров от 18 апреля 1995 года об Управлении по вопросам культуры национальных меньшинств при министерстве культуры и искусства;</w:t>
      </w:r>
    </w:p>
    <w:p w:rsidR="00000000" w:rsidRDefault="00000000">
      <w:pPr>
        <w:ind w:left="1701" w:hanging="1134"/>
      </w:pPr>
    </w:p>
    <w:p w:rsidR="00000000" w:rsidRDefault="00000000">
      <w:pPr>
        <w:numPr>
          <w:ilvl w:val="0"/>
          <w:numId w:val="7"/>
        </w:numPr>
        <w:tabs>
          <w:tab w:val="clear" w:pos="1134"/>
          <w:tab w:val="left" w:pos="1122"/>
        </w:tabs>
        <w:ind w:left="1137"/>
      </w:pPr>
      <w:r>
        <w:t>распоряжение министра культуры и искусства от 15 мая 1996 года об условиях занятости иностранцев и привлечении их к оплачиваемой работе в широкой сфере творческих услуг (Законодательный вестник за 1996 год, № 65, пункт 319);</w:t>
      </w:r>
    </w:p>
    <w:p w:rsidR="00000000" w:rsidRDefault="00000000">
      <w:pPr>
        <w:tabs>
          <w:tab w:val="clear" w:pos="567"/>
          <w:tab w:val="clear" w:pos="1134"/>
          <w:tab w:val="left" w:pos="1122"/>
        </w:tabs>
        <w:ind w:left="567"/>
      </w:pPr>
    </w:p>
    <w:p w:rsidR="00000000" w:rsidRDefault="00000000">
      <w:pPr>
        <w:numPr>
          <w:ilvl w:val="0"/>
          <w:numId w:val="7"/>
        </w:numPr>
        <w:tabs>
          <w:tab w:val="clear" w:pos="1134"/>
          <w:tab w:val="left" w:pos="1122"/>
        </w:tabs>
        <w:ind w:left="1137"/>
      </w:pPr>
      <w:r>
        <w:t>распоряжение министра культуры и искусства от 9 декабря 1996 года о стипендиях для лиц, занятых творческим трудом, и о распространении культурных ценностей;</w:t>
      </w:r>
    </w:p>
    <w:p w:rsidR="00000000" w:rsidRDefault="00000000">
      <w:pPr>
        <w:tabs>
          <w:tab w:val="clear" w:pos="567"/>
          <w:tab w:val="clear" w:pos="1134"/>
          <w:tab w:val="left" w:pos="1122"/>
        </w:tabs>
        <w:ind w:left="567"/>
      </w:pPr>
    </w:p>
    <w:p w:rsidR="00000000" w:rsidRDefault="00000000">
      <w:pPr>
        <w:numPr>
          <w:ilvl w:val="0"/>
          <w:numId w:val="7"/>
        </w:numPr>
        <w:tabs>
          <w:tab w:val="clear" w:pos="1134"/>
          <w:tab w:val="left" w:pos="1122"/>
        </w:tabs>
        <w:ind w:left="1137"/>
      </w:pPr>
      <w:r>
        <w:t>распоряжение Совета министров от 29 июля 1997 года о делегировании государственных задач негосударственным подразделениям и перечень этих задач (Законодательный вестник за 1997 год, № 94, пункт 573);</w:t>
      </w:r>
    </w:p>
    <w:p w:rsidR="00000000" w:rsidRDefault="00000000">
      <w:pPr>
        <w:tabs>
          <w:tab w:val="clear" w:pos="567"/>
          <w:tab w:val="clear" w:pos="1134"/>
          <w:tab w:val="left" w:pos="1122"/>
        </w:tabs>
        <w:ind w:left="567"/>
      </w:pPr>
    </w:p>
    <w:p w:rsidR="00000000" w:rsidRDefault="00000000">
      <w:pPr>
        <w:numPr>
          <w:ilvl w:val="0"/>
          <w:numId w:val="7"/>
        </w:numPr>
        <w:tabs>
          <w:tab w:val="clear" w:pos="1134"/>
          <w:tab w:val="left" w:pos="1122"/>
        </w:tabs>
        <w:ind w:left="1137"/>
      </w:pPr>
      <w:r>
        <w:t>распоряжение Председателя Совета министров от 18 февраля 1998 года о наделении особым статусом министерства культуры и искусства (Законодательный вестник за 1998 год, № 24, пункт 128);</w:t>
      </w:r>
    </w:p>
    <w:p w:rsidR="00000000" w:rsidRDefault="00000000">
      <w:pPr>
        <w:tabs>
          <w:tab w:val="clear" w:pos="567"/>
          <w:tab w:val="clear" w:pos="1134"/>
          <w:tab w:val="left" w:pos="1122"/>
        </w:tabs>
        <w:ind w:left="567"/>
      </w:pPr>
    </w:p>
    <w:p w:rsidR="00000000" w:rsidRDefault="00000000">
      <w:pPr>
        <w:numPr>
          <w:ilvl w:val="0"/>
          <w:numId w:val="7"/>
        </w:numPr>
        <w:tabs>
          <w:tab w:val="clear" w:pos="1134"/>
          <w:tab w:val="left" w:pos="1122"/>
        </w:tabs>
        <w:ind w:left="1137"/>
      </w:pPr>
      <w:r>
        <w:t>распоряжение министра культуры и искусства от 24 ноября 1998 года о списке библиотек, чьи собрания составляют часть национальных библиотечных ресурсов, с определением того, как эти ресурсы должны распределяться, условий и охвата такой защиты (Законодательный вестник за 1998 год, № 146, пункт 955);</w:t>
      </w:r>
    </w:p>
    <w:p w:rsidR="00000000" w:rsidRDefault="00000000">
      <w:pPr>
        <w:tabs>
          <w:tab w:val="clear" w:pos="567"/>
          <w:tab w:val="clear" w:pos="1134"/>
          <w:tab w:val="left" w:pos="1122"/>
        </w:tabs>
        <w:ind w:left="567"/>
      </w:pPr>
    </w:p>
    <w:p w:rsidR="00000000" w:rsidRDefault="00000000">
      <w:pPr>
        <w:numPr>
          <w:ilvl w:val="0"/>
          <w:numId w:val="7"/>
        </w:numPr>
        <w:tabs>
          <w:tab w:val="clear" w:pos="1134"/>
          <w:tab w:val="left" w:pos="1122"/>
        </w:tabs>
        <w:ind w:left="1137"/>
      </w:pPr>
      <w:r>
        <w:t>распоряжение Председателя Совета министров от 8 декабря 1998 года о списке культурных учреждений, внесенных в реестры, которые ведутся министрами и руководителями центральных управлений и не подлежат передаче в местные органы самоуправления в силу общенационального характера задач, которые они выполняют (Законодательный вестник за 1998 год, № 148, пункт 970);</w:t>
      </w:r>
    </w:p>
    <w:p w:rsidR="00000000" w:rsidRDefault="00000000">
      <w:pPr>
        <w:tabs>
          <w:tab w:val="clear" w:pos="567"/>
          <w:tab w:val="clear" w:pos="1134"/>
          <w:tab w:val="left" w:pos="1122"/>
        </w:tabs>
        <w:ind w:left="567"/>
      </w:pPr>
    </w:p>
    <w:p w:rsidR="00000000" w:rsidRDefault="00000000">
      <w:pPr>
        <w:numPr>
          <w:ilvl w:val="0"/>
          <w:numId w:val="7"/>
        </w:numPr>
        <w:tabs>
          <w:tab w:val="clear" w:pos="1134"/>
          <w:tab w:val="left" w:pos="1122"/>
        </w:tabs>
        <w:ind w:left="1137"/>
      </w:pPr>
      <w:r>
        <w:t>распоряжение Председателя Совета министров от 8 декабря 1998 года о списке культурных учреждений регионального характера, внесенных в реестры, которые ведутся воеводствами и подлежат передаче в воеводские органы самоуправления для руководства ими в рамках собственных задач (Законодательный вестник за 1998 год, № 148, пункт 971);</w:t>
      </w:r>
    </w:p>
    <w:p w:rsidR="00000000" w:rsidRDefault="00000000">
      <w:pPr>
        <w:tabs>
          <w:tab w:val="clear" w:pos="567"/>
          <w:tab w:val="clear" w:pos="1134"/>
          <w:tab w:val="left" w:pos="1122"/>
        </w:tabs>
        <w:ind w:left="567"/>
      </w:pPr>
    </w:p>
    <w:p w:rsidR="00000000" w:rsidRDefault="00000000">
      <w:pPr>
        <w:numPr>
          <w:ilvl w:val="0"/>
          <w:numId w:val="7"/>
        </w:numPr>
        <w:tabs>
          <w:tab w:val="clear" w:pos="1134"/>
          <w:tab w:val="left" w:pos="1122"/>
        </w:tabs>
        <w:ind w:left="1137"/>
      </w:pPr>
      <w:r>
        <w:t>распоряжение министра культуры и искусства от 29 декабря 1998 года о составлении списка культурных учреждений, находящихся в ведении местных органов самоуправления, где назначение или снятие директора требует заключения соответствующего министра культуры (Законодательный вестник за 1998 год, № 166, пункт 1218).</w:t>
      </w:r>
    </w:p>
    <w:p w:rsidR="00000000" w:rsidRDefault="00000000"/>
    <w:p w:rsidR="00000000" w:rsidRDefault="00000000"/>
    <w:p w:rsidR="00000000" w:rsidRDefault="00000000">
      <w:pPr>
        <w:jc w:val="center"/>
      </w:pPr>
      <w:r>
        <w:t>-----</w:t>
      </w:r>
    </w:p>
    <w:p w:rsidR="00000000" w:rsidRDefault="00000000">
      <w:pPr>
        <w:ind w:left="1134" w:hanging="1134"/>
      </w:pPr>
    </w:p>
    <w:sectPr w:rsidR="00000000">
      <w:headerReference w:type="even" r:id="rId10"/>
      <w:headerReference w:type="default"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E/C.12/4/Add.9</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240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371"/>
        <w:tab w:val="right" w:pos="9072"/>
      </w:tabs>
      <w:spacing w:line="240" w:lineRule="auto"/>
      <w:rPr>
        <w:lang w:val="en-US"/>
      </w:rPr>
    </w:pPr>
    <w:r>
      <w:rPr>
        <w:lang w:val="en-US"/>
      </w:rPr>
      <w:tab/>
    </w:r>
    <w:r>
      <w:rPr>
        <w:lang w:val="en-US"/>
      </w:rPr>
      <w:tab/>
      <w:t>E/C.12/4/Add.9</w:t>
    </w:r>
  </w:p>
  <w:p w:rsidR="00000000" w:rsidRDefault="00000000">
    <w:pPr>
      <w:pStyle w:val="Header"/>
      <w:tabs>
        <w:tab w:val="clear" w:pos="8306"/>
        <w:tab w:val="left" w:pos="7371"/>
        <w:tab w:val="right" w:pos="9072"/>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241</w:t>
    </w:r>
    <w:r>
      <w:rPr>
        <w:rStyle w:val="PageNumber"/>
      </w:rPr>
      <w:fldChar w:fldCharType="end"/>
    </w:r>
  </w:p>
  <w:p w:rsidR="00000000" w:rsidRDefault="00000000">
    <w:pPr>
      <w:pStyle w:val="Header"/>
      <w:tabs>
        <w:tab w:val="clear" w:pos="8306"/>
        <w:tab w:val="left" w:pos="7371"/>
        <w:tab w:val="right" w:pos="9072"/>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2B2FAFC"/>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3">
    <w:nsid w:val="3F5C7B93"/>
    <w:multiLevelType w:val="hybridMultilevel"/>
    <w:tmpl w:val="5BAC6172"/>
    <w:lvl w:ilvl="0" w:tplc="AAC6F2F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F81174E"/>
    <w:multiLevelType w:val="hybridMultilevel"/>
    <w:tmpl w:val="67B62B12"/>
    <w:lvl w:ilvl="0" w:tplc="09F097E6">
      <w:start w:val="1"/>
      <w:numFmt w:val="bullet"/>
      <w:lvlText w:val="–"/>
      <w:lvlJc w:val="left"/>
      <w:pPr>
        <w:tabs>
          <w:tab w:val="num" w:pos="1134"/>
        </w:tabs>
        <w:ind w:left="1134" w:hanging="567"/>
      </w:pPr>
      <w:rPr>
        <w:rFonts w:asci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6CD6E16"/>
    <w:multiLevelType w:val="hybridMultilevel"/>
    <w:tmpl w:val="3142152E"/>
    <w:lvl w:ilvl="0" w:tplc="3E00F460">
      <w:numFmt w:val="bullet"/>
      <w:lvlText w:val="-"/>
      <w:lvlJc w:val="left"/>
      <w:pPr>
        <w:tabs>
          <w:tab w:val="num" w:pos="570"/>
        </w:tabs>
        <w:ind w:left="570" w:hanging="570"/>
      </w:pPr>
      <w:rPr>
        <w:rFonts w:ascii="Times New Roman" w:eastAsia="Times New Roman" w:hAnsi="Times New Roman" w:cs="Times New Roman"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2"/>
  </w:num>
  <w:num w:numId="3">
    <w:abstractNumId w:val="0"/>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ind w:left="1134" w:hanging="1134"/>
      <w:outlineLvl w:val="6"/>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BodyText">
    <w:name w:val="Body Text"/>
    <w:basedOn w:val="Normal"/>
    <w:semiHidden/>
    <w:pPr>
      <w:tabs>
        <w:tab w:val="left" w:pos="567"/>
        <w:tab w:val="left" w:pos="1134"/>
        <w:tab w:val="left" w:pos="1701"/>
        <w:tab w:val="left" w:pos="2268"/>
        <w:tab w:val="left" w:pos="6237"/>
      </w:tabs>
      <w:spacing w:line="720" w:lineRule="auto"/>
    </w:pPr>
    <w:rPr>
      <w:b/>
      <w:bCs/>
    </w:rPr>
  </w:style>
  <w:style w:type="paragraph" w:styleId="BodyText2">
    <w:name w:val="Body Text 2"/>
    <w:basedOn w:val="Normal"/>
    <w:semiHidden/>
    <w:pPr>
      <w:tabs>
        <w:tab w:val="left" w:pos="567"/>
        <w:tab w:val="left" w:pos="1134"/>
        <w:tab w:val="left" w:pos="1701"/>
        <w:tab w:val="left" w:pos="2268"/>
        <w:tab w:val="left" w:pos="6237"/>
      </w:tabs>
      <w:spacing w:line="360" w:lineRule="auto"/>
    </w:pPr>
    <w:rPr>
      <w:sz w:val="22"/>
    </w:rPr>
  </w:style>
  <w:style w:type="paragraph" w:styleId="BodyTextIndent">
    <w:name w:val="Body Text Indent"/>
    <w:basedOn w:val="Normal"/>
    <w:semiHidden/>
    <w:pPr>
      <w:tabs>
        <w:tab w:val="clear" w:pos="1134"/>
        <w:tab w:val="left" w:pos="567"/>
        <w:tab w:val="right" w:pos="1309"/>
        <w:tab w:val="left" w:pos="1701"/>
        <w:tab w:val="left" w:pos="2268"/>
        <w:tab w:val="left" w:pos="6237"/>
      </w:tabs>
      <w:spacing w:line="720" w:lineRule="auto"/>
      <w:ind w:left="1701" w:hanging="1701"/>
    </w:pPr>
  </w:style>
  <w:style w:type="paragraph" w:styleId="BodyTextIndent2">
    <w:name w:val="Body Text Indent 2"/>
    <w:basedOn w:val="Normal"/>
    <w:semiHidden/>
    <w:pPr>
      <w:ind w:left="1134" w:hanging="1134"/>
    </w:pPr>
    <w:rPr>
      <w:b/>
      <w:bCs/>
    </w:rPr>
  </w:style>
  <w:style w:type="paragraph" w:styleId="BodyTextIndent3">
    <w:name w:val="Body Text Indent 3"/>
    <w:basedOn w:val="Normal"/>
    <w:semiHidden/>
    <w:pPr>
      <w:ind w:left="1134" w:hanging="567"/>
    </w:pPr>
    <w:rPr>
      <w:b/>
      <w:bCs/>
    </w:rPr>
  </w:style>
  <w:style w:type="paragraph" w:customStyle="1" w:styleId="1">
    <w:name w:val="текст 1"/>
    <w:basedOn w:val="Normal"/>
  </w:style>
  <w:style w:type="paragraph" w:customStyle="1" w:styleId="2">
    <w:name w:val="текст 2"/>
    <w:basedOn w:val="Normal"/>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74065</Words>
  <Characters>422172</Characters>
  <Application>Microsoft Office Word</Application>
  <DocSecurity>4</DocSecurity>
  <Lines>3518</Lines>
  <Paragraphs>844</Paragraphs>
  <ScaleCrop>false</ScaleCrop>
  <HeadingPairs>
    <vt:vector size="2" baseType="variant">
      <vt:variant>
        <vt:lpstr>Title</vt:lpstr>
      </vt:variant>
      <vt:variant>
        <vt:i4>1</vt:i4>
      </vt:variant>
    </vt:vector>
  </HeadingPairs>
  <TitlesOfParts>
    <vt:vector size="1" baseType="lpstr">
      <vt:lpstr>43416.doc</vt:lpstr>
    </vt:vector>
  </TitlesOfParts>
  <Company> </Company>
  <LinksUpToDate>false</LinksUpToDate>
  <CharactersWithSpaces>518456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43416.doc</dc:title>
  <dc:subject>МУРАВЬЕВ</dc:subject>
  <dc:creator>Tamara Dudnikova/.........</dc:creator>
  <cp:keywords/>
  <dc:description/>
  <cp:lastModifiedBy>auboin</cp:lastModifiedBy>
  <cp:revision>3</cp:revision>
  <cp:lastPrinted>2001-12-21T08:26:00Z</cp:lastPrinted>
  <dcterms:created xsi:type="dcterms:W3CDTF">2001-12-21T08:28:00Z</dcterms:created>
  <dcterms:modified xsi:type="dcterms:W3CDTF">2001-12-31T06:22:00Z</dcterms:modified>
</cp:coreProperties>
</file>