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C23" w:rsidRDefault="00BF1C23" w:rsidP="00BF1C23">
      <w:pPr>
        <w:spacing w:line="60" w:lineRule="exact"/>
        <w:rPr>
          <w:rStyle w:val="a4"/>
          <w:color w:val="auto"/>
          <w:w w:val="100"/>
          <w:sz w:val="6"/>
          <w:vertAlign w:val="baseline"/>
        </w:rPr>
        <w:sectPr w:rsidR="00BF1C23" w:rsidSect="00BF1C23">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7652B4" w:rsidRPr="007652B4" w:rsidRDefault="007652B4" w:rsidP="007652B4">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ascii="黑体" w:eastAsia="黑体"/>
          <w:sz w:val="24"/>
        </w:rPr>
      </w:pPr>
      <w:r w:rsidRPr="007652B4">
        <w:rPr>
          <w:rFonts w:ascii="黑体" w:eastAsia="黑体" w:hint="eastAsia"/>
          <w:sz w:val="24"/>
        </w:rPr>
        <w:lastRenderedPageBreak/>
        <w:t>消除对妇女歧视委员会</w:t>
      </w:r>
    </w:p>
    <w:p w:rsidR="007652B4" w:rsidRPr="007652B4" w:rsidRDefault="007652B4" w:rsidP="007652B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p w:rsidR="007652B4" w:rsidRPr="00D361B5" w:rsidRDefault="007652B4" w:rsidP="007652B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p w:rsidR="007652B4" w:rsidRPr="007652B4" w:rsidRDefault="007652B4" w:rsidP="007652B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p w:rsidR="007652B4" w:rsidRPr="007652B4" w:rsidRDefault="007652B4" w:rsidP="007652B4">
      <w:pPr>
        <w:keepNext/>
        <w:keepLines/>
        <w:tabs>
          <w:tab w:val="right" w:pos="1020"/>
          <w:tab w:val="left" w:pos="113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Lines="100" w:after="240" w:line="400" w:lineRule="exact"/>
        <w:ind w:left="1264" w:right="1259" w:hanging="1264"/>
        <w:outlineLvl w:val="0"/>
        <w:rPr>
          <w:rFonts w:ascii="黑体" w:eastAsia="黑体"/>
          <w:sz w:val="28"/>
        </w:rPr>
      </w:pPr>
      <w:r w:rsidRPr="007652B4">
        <w:rPr>
          <w:rFonts w:ascii="黑体" w:eastAsia="黑体"/>
          <w:sz w:val="28"/>
        </w:rPr>
        <w:tab/>
      </w:r>
      <w:r w:rsidRPr="007652B4">
        <w:rPr>
          <w:rFonts w:ascii="黑体" w:eastAsia="黑体"/>
          <w:sz w:val="28"/>
        </w:rPr>
        <w:tab/>
      </w:r>
      <w:r w:rsidRPr="007652B4">
        <w:rPr>
          <w:rFonts w:ascii="黑体" w:eastAsia="黑体" w:hint="eastAsia"/>
          <w:sz w:val="28"/>
        </w:rPr>
        <w:t>关于</w:t>
      </w:r>
      <w:r w:rsidRPr="007652B4">
        <w:rPr>
          <w:rFonts w:ascii="黑体" w:eastAsia="黑体"/>
          <w:sz w:val="28"/>
        </w:rPr>
        <w:t>马拉维第七次定期报告的结论性意见</w:t>
      </w:r>
      <w:r w:rsidRPr="007652B4">
        <w:rPr>
          <w:rFonts w:ascii="黑体" w:eastAsia="黑体"/>
          <w:sz w:val="28"/>
          <w:vertAlign w:val="superscript"/>
        </w:rPr>
        <w:footnoteReference w:customMarkFollows="1" w:id="1"/>
        <w:t>*</w:t>
      </w:r>
      <w:r w:rsidRPr="007652B4">
        <w:rPr>
          <w:rFonts w:ascii="黑体" w:eastAsia="黑体"/>
          <w:sz w:val="28"/>
        </w:rPr>
        <w:t xml:space="preserve"> </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1.</w:t>
      </w:r>
      <w:r w:rsidRPr="007652B4">
        <w:rPr>
          <w:kern w:val="0"/>
          <w:szCs w:val="21"/>
          <w:lang w:val="en-GB"/>
        </w:rPr>
        <w:tab/>
      </w:r>
      <w:r w:rsidRPr="007652B4">
        <w:rPr>
          <w:rFonts w:hint="eastAsia"/>
          <w:kern w:val="0"/>
          <w:szCs w:val="21"/>
          <w:lang w:val="en-GB"/>
        </w:rPr>
        <w:t>委员会在</w:t>
      </w:r>
      <w:r w:rsidRPr="007652B4">
        <w:rPr>
          <w:rFonts w:hint="eastAsia"/>
          <w:kern w:val="0"/>
          <w:szCs w:val="21"/>
          <w:lang w:val="en-GB"/>
        </w:rPr>
        <w:t>2015</w:t>
      </w:r>
      <w:r w:rsidRPr="007652B4">
        <w:rPr>
          <w:rFonts w:hint="eastAsia"/>
          <w:kern w:val="0"/>
          <w:szCs w:val="21"/>
          <w:lang w:val="en-GB"/>
        </w:rPr>
        <w:t>年</w:t>
      </w:r>
      <w:r w:rsidRPr="007652B4">
        <w:rPr>
          <w:rFonts w:hint="eastAsia"/>
          <w:kern w:val="0"/>
          <w:szCs w:val="21"/>
          <w:lang w:val="en-GB"/>
        </w:rPr>
        <w:t>11</w:t>
      </w:r>
      <w:r w:rsidRPr="007652B4">
        <w:rPr>
          <w:rFonts w:hint="eastAsia"/>
          <w:kern w:val="0"/>
          <w:szCs w:val="21"/>
          <w:lang w:val="en-GB"/>
        </w:rPr>
        <w:t>月</w:t>
      </w:r>
      <w:r w:rsidRPr="007652B4">
        <w:rPr>
          <w:rFonts w:hint="eastAsia"/>
          <w:kern w:val="0"/>
          <w:szCs w:val="21"/>
          <w:lang w:val="en-GB"/>
        </w:rPr>
        <w:t>6</w:t>
      </w:r>
      <w:r w:rsidRPr="007652B4">
        <w:rPr>
          <w:rFonts w:hint="eastAsia"/>
          <w:kern w:val="0"/>
          <w:szCs w:val="21"/>
          <w:lang w:val="en-GB"/>
        </w:rPr>
        <w:t>日第</w:t>
      </w:r>
      <w:r w:rsidRPr="007652B4">
        <w:rPr>
          <w:rFonts w:hint="eastAsia"/>
          <w:kern w:val="0"/>
          <w:szCs w:val="21"/>
          <w:lang w:val="en-GB"/>
        </w:rPr>
        <w:t>1351</w:t>
      </w:r>
      <w:r w:rsidRPr="007652B4">
        <w:rPr>
          <w:rFonts w:hint="eastAsia"/>
          <w:kern w:val="0"/>
          <w:szCs w:val="21"/>
          <w:lang w:val="en-GB"/>
        </w:rPr>
        <w:t>次和第</w:t>
      </w:r>
      <w:r w:rsidRPr="007652B4">
        <w:rPr>
          <w:rFonts w:hint="eastAsia"/>
          <w:kern w:val="0"/>
          <w:szCs w:val="21"/>
          <w:lang w:val="en-GB"/>
        </w:rPr>
        <w:t>1352</w:t>
      </w:r>
      <w:r w:rsidRPr="007652B4">
        <w:rPr>
          <w:rFonts w:hint="eastAsia"/>
          <w:kern w:val="0"/>
          <w:szCs w:val="21"/>
          <w:lang w:val="en-GB"/>
        </w:rPr>
        <w:t>次会议上</w:t>
      </w:r>
      <w:r>
        <w:rPr>
          <w:rFonts w:hint="eastAsia"/>
          <w:kern w:val="0"/>
          <w:szCs w:val="21"/>
          <w:lang w:val="en-GB"/>
        </w:rPr>
        <w:t>(</w:t>
      </w:r>
      <w:r w:rsidRPr="007652B4">
        <w:rPr>
          <w:rFonts w:hint="eastAsia"/>
          <w:kern w:val="0"/>
          <w:szCs w:val="21"/>
          <w:lang w:val="en-GB"/>
        </w:rPr>
        <w:t>见</w:t>
      </w:r>
      <w:r w:rsidRPr="007652B4">
        <w:rPr>
          <w:kern w:val="0"/>
          <w:szCs w:val="21"/>
          <w:lang w:val="en-GB"/>
        </w:rPr>
        <w:t>CEDAW/C/SR.1351</w:t>
      </w:r>
      <w:r w:rsidRPr="007652B4">
        <w:rPr>
          <w:rFonts w:hint="eastAsia"/>
          <w:kern w:val="0"/>
          <w:szCs w:val="21"/>
          <w:lang w:val="en-GB"/>
        </w:rPr>
        <w:t>和</w:t>
      </w:r>
      <w:r w:rsidRPr="007652B4">
        <w:rPr>
          <w:kern w:val="0"/>
          <w:szCs w:val="21"/>
          <w:lang w:val="en-GB"/>
        </w:rPr>
        <w:t>1352</w:t>
      </w:r>
      <w:r>
        <w:rPr>
          <w:rFonts w:hint="eastAsia"/>
          <w:kern w:val="0"/>
          <w:szCs w:val="21"/>
          <w:lang w:val="en-GB"/>
        </w:rPr>
        <w:t>)</w:t>
      </w:r>
      <w:r w:rsidRPr="007652B4">
        <w:rPr>
          <w:rFonts w:hint="eastAsia"/>
          <w:kern w:val="0"/>
          <w:szCs w:val="21"/>
          <w:lang w:val="en-GB"/>
        </w:rPr>
        <w:t>审议了马拉维第七次定期报告</w:t>
      </w:r>
      <w:r>
        <w:rPr>
          <w:rFonts w:hint="eastAsia"/>
          <w:kern w:val="0"/>
          <w:szCs w:val="21"/>
          <w:lang w:val="en-GB"/>
        </w:rPr>
        <w:t>(</w:t>
      </w:r>
      <w:r w:rsidRPr="007652B4">
        <w:rPr>
          <w:kern w:val="0"/>
          <w:szCs w:val="21"/>
          <w:lang w:val="en-GB"/>
        </w:rPr>
        <w:t>CEDAW/C/MWI/7</w:t>
      </w:r>
      <w:r>
        <w:rPr>
          <w:rFonts w:hint="eastAsia"/>
          <w:kern w:val="0"/>
          <w:szCs w:val="21"/>
          <w:lang w:val="en-GB"/>
        </w:rPr>
        <w:t>)</w:t>
      </w:r>
      <w:r w:rsidRPr="007652B4">
        <w:rPr>
          <w:rFonts w:hint="eastAsia"/>
          <w:kern w:val="0"/>
          <w:szCs w:val="21"/>
          <w:lang w:val="en-GB"/>
        </w:rPr>
        <w:t>。委员会的议题和问题清单载于</w:t>
      </w:r>
      <w:r w:rsidRPr="007652B4">
        <w:rPr>
          <w:kern w:val="0"/>
          <w:szCs w:val="21"/>
          <w:lang w:val="en-GB"/>
        </w:rPr>
        <w:t>CEDAW/C/MWI/Q/7</w:t>
      </w:r>
      <w:r w:rsidRPr="007652B4">
        <w:rPr>
          <w:rFonts w:hint="eastAsia"/>
          <w:kern w:val="0"/>
          <w:szCs w:val="21"/>
          <w:lang w:val="en-GB"/>
        </w:rPr>
        <w:t>，马拉维的答复载于</w:t>
      </w:r>
      <w:r w:rsidRPr="007652B4">
        <w:rPr>
          <w:kern w:val="0"/>
          <w:szCs w:val="21"/>
          <w:lang w:val="en-GB"/>
        </w:rPr>
        <w:t>CEDAW/C/MWI/Q/7/Add.1</w:t>
      </w:r>
      <w:r w:rsidRPr="007652B4">
        <w:rPr>
          <w:rFonts w:hint="eastAsia"/>
          <w:kern w:val="0"/>
          <w:szCs w:val="21"/>
          <w:lang w:val="en-GB"/>
        </w:rPr>
        <w:t>。</w:t>
      </w:r>
    </w:p>
    <w:p w:rsidR="007652B4" w:rsidRPr="007652B4" w:rsidRDefault="007652B4" w:rsidP="007652B4">
      <w:pPr>
        <w:keepNext/>
        <w:keepLines/>
        <w:tabs>
          <w:tab w:val="right" w:pos="851"/>
        </w:tabs>
        <w:overflowPunct w:val="0"/>
        <w:adjustRightInd w:val="0"/>
        <w:snapToGrid w:val="0"/>
        <w:spacing w:before="240" w:after="240" w:line="400" w:lineRule="exact"/>
        <w:ind w:left="1134" w:right="1134" w:hanging="1134"/>
        <w:outlineLvl w:val="1"/>
        <w:rPr>
          <w:rFonts w:eastAsia="黑体"/>
          <w:snapToGrid w:val="0"/>
          <w:kern w:val="0"/>
          <w:sz w:val="24"/>
        </w:rPr>
      </w:pPr>
      <w:r w:rsidRPr="007652B4">
        <w:rPr>
          <w:rFonts w:eastAsia="黑体"/>
          <w:snapToGrid w:val="0"/>
          <w:kern w:val="0"/>
          <w:sz w:val="24"/>
        </w:rPr>
        <w:tab/>
        <w:t>A.</w:t>
      </w:r>
      <w:r w:rsidRPr="007652B4">
        <w:rPr>
          <w:rFonts w:eastAsia="黑体"/>
          <w:snapToGrid w:val="0"/>
          <w:kern w:val="0"/>
          <w:sz w:val="24"/>
        </w:rPr>
        <w:tab/>
      </w:r>
      <w:r w:rsidRPr="007652B4">
        <w:rPr>
          <w:rFonts w:eastAsia="黑体" w:hint="eastAsia"/>
          <w:snapToGrid w:val="0"/>
          <w:kern w:val="0"/>
          <w:sz w:val="24"/>
        </w:rPr>
        <w:t>导言</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2.</w:t>
      </w:r>
      <w:r w:rsidRPr="007652B4">
        <w:rPr>
          <w:kern w:val="0"/>
          <w:szCs w:val="21"/>
          <w:lang w:val="en-GB"/>
        </w:rPr>
        <w:tab/>
      </w:r>
      <w:r w:rsidRPr="007652B4">
        <w:rPr>
          <w:rFonts w:hint="eastAsia"/>
          <w:kern w:val="0"/>
          <w:szCs w:val="21"/>
          <w:lang w:val="en-GB"/>
        </w:rPr>
        <w:t>委员会赞赏缔约国提交其第七次定期报告。委员会还赞赏缔约国对会前工作组提出的议题和问题清单作出书面答复，并欢迎代表团在对话期间就委员会口头提出的问题作口头介绍并给予进一步说明。</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3.</w:t>
      </w:r>
      <w:r w:rsidRPr="007652B4">
        <w:rPr>
          <w:kern w:val="0"/>
          <w:szCs w:val="21"/>
          <w:lang w:val="en-GB"/>
        </w:rPr>
        <w:tab/>
      </w:r>
      <w:r w:rsidRPr="007652B4">
        <w:rPr>
          <w:rFonts w:hint="eastAsia"/>
          <w:kern w:val="0"/>
          <w:szCs w:val="21"/>
          <w:lang w:val="en-GB"/>
        </w:rPr>
        <w:t>委员会对缔约国的代表团表示称赞，该代表团由性别、儿童、残疾与社会福利部部长帕特丽夏卡里阿提率领，成员包括来自性别、儿童、残疾与社会福利部、司法与宪法事务部、马拉维人权委员会、法律委员会、马拉维警署及议会的代表。</w:t>
      </w:r>
    </w:p>
    <w:p w:rsidR="007652B4" w:rsidRPr="007652B4" w:rsidRDefault="007652B4" w:rsidP="007652B4">
      <w:pPr>
        <w:keepNext/>
        <w:keepLines/>
        <w:tabs>
          <w:tab w:val="right" w:pos="851"/>
        </w:tabs>
        <w:overflowPunct w:val="0"/>
        <w:adjustRightInd w:val="0"/>
        <w:snapToGrid w:val="0"/>
        <w:spacing w:before="240" w:after="240" w:line="400" w:lineRule="exact"/>
        <w:ind w:left="1134" w:right="1134" w:hanging="1134"/>
        <w:outlineLvl w:val="1"/>
        <w:rPr>
          <w:rFonts w:eastAsia="黑体"/>
          <w:snapToGrid w:val="0"/>
          <w:kern w:val="0"/>
          <w:sz w:val="24"/>
        </w:rPr>
      </w:pPr>
      <w:r w:rsidRPr="007652B4">
        <w:rPr>
          <w:rFonts w:eastAsia="黑体"/>
          <w:snapToGrid w:val="0"/>
          <w:kern w:val="0"/>
          <w:sz w:val="24"/>
        </w:rPr>
        <w:tab/>
        <w:t>B.</w:t>
      </w:r>
      <w:r w:rsidRPr="007652B4">
        <w:rPr>
          <w:rFonts w:eastAsia="黑体"/>
          <w:snapToGrid w:val="0"/>
          <w:kern w:val="0"/>
          <w:sz w:val="24"/>
        </w:rPr>
        <w:tab/>
      </w:r>
      <w:r w:rsidRPr="007652B4">
        <w:rPr>
          <w:rFonts w:eastAsia="黑体" w:hint="eastAsia"/>
          <w:snapToGrid w:val="0"/>
          <w:kern w:val="0"/>
          <w:sz w:val="24"/>
        </w:rPr>
        <w:t>积极方面</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4.</w:t>
      </w:r>
      <w:r w:rsidRPr="007652B4">
        <w:rPr>
          <w:kern w:val="0"/>
          <w:szCs w:val="21"/>
          <w:lang w:val="en-GB"/>
        </w:rPr>
        <w:tab/>
      </w:r>
      <w:r w:rsidRPr="007652B4">
        <w:rPr>
          <w:rFonts w:hint="eastAsia"/>
          <w:kern w:val="0"/>
          <w:szCs w:val="21"/>
          <w:lang w:val="en-GB"/>
        </w:rPr>
        <w:t>委员会欢迎自</w:t>
      </w:r>
      <w:r w:rsidRPr="007652B4">
        <w:rPr>
          <w:rFonts w:hint="eastAsia"/>
          <w:kern w:val="0"/>
          <w:szCs w:val="21"/>
          <w:lang w:val="en-GB"/>
        </w:rPr>
        <w:t>2010</w:t>
      </w:r>
      <w:r w:rsidRPr="007652B4">
        <w:rPr>
          <w:rFonts w:hint="eastAsia"/>
          <w:kern w:val="0"/>
          <w:szCs w:val="21"/>
          <w:lang w:val="en-GB"/>
        </w:rPr>
        <w:t>年审议缔约国第六次定期报告</w:t>
      </w:r>
      <w:r>
        <w:rPr>
          <w:rFonts w:hint="eastAsia"/>
          <w:kern w:val="0"/>
          <w:szCs w:val="21"/>
          <w:lang w:val="en-GB"/>
        </w:rPr>
        <w:t>(</w:t>
      </w:r>
      <w:r w:rsidRPr="007652B4">
        <w:rPr>
          <w:kern w:val="0"/>
          <w:szCs w:val="21"/>
          <w:lang w:val="en-GB"/>
        </w:rPr>
        <w:t>CEDAW/C/MWI/6</w:t>
      </w:r>
      <w:r>
        <w:rPr>
          <w:rFonts w:hint="eastAsia"/>
          <w:kern w:val="0"/>
          <w:szCs w:val="21"/>
          <w:lang w:val="en-GB"/>
        </w:rPr>
        <w:t>)</w:t>
      </w:r>
      <w:r w:rsidRPr="007652B4">
        <w:rPr>
          <w:rFonts w:hint="eastAsia"/>
          <w:kern w:val="0"/>
          <w:szCs w:val="21"/>
          <w:lang w:val="en-GB"/>
        </w:rPr>
        <w:t>以来缔约国在实施立法改革上取得的进展，并注意到多项新法律的颁布，包括：</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567"/>
        <w:rPr>
          <w:kern w:val="0"/>
          <w:szCs w:val="21"/>
          <w:lang w:val="en-GB"/>
        </w:rPr>
      </w:pPr>
      <w:r>
        <w:rPr>
          <w:kern w:val="0"/>
          <w:szCs w:val="21"/>
          <w:lang w:val="en-GB"/>
        </w:rPr>
        <w:t>(</w:t>
      </w:r>
      <w:r w:rsidRPr="007652B4">
        <w:rPr>
          <w:kern w:val="0"/>
          <w:szCs w:val="21"/>
          <w:lang w:val="en-GB"/>
        </w:rPr>
        <w:t>a</w:t>
      </w:r>
      <w:r>
        <w:rPr>
          <w:kern w:val="0"/>
          <w:szCs w:val="21"/>
          <w:lang w:val="en-GB"/>
        </w:rPr>
        <w:t>)</w:t>
      </w:r>
      <w:r w:rsidRPr="007652B4">
        <w:rPr>
          <w:kern w:val="0"/>
          <w:szCs w:val="21"/>
          <w:lang w:val="en-GB"/>
        </w:rPr>
        <w:tab/>
      </w:r>
      <w:r w:rsidRPr="007652B4">
        <w:rPr>
          <w:rFonts w:hint="eastAsia"/>
          <w:kern w:val="0"/>
          <w:szCs w:val="21"/>
          <w:lang w:val="en-GB"/>
        </w:rPr>
        <w:t>2015</w:t>
      </w:r>
      <w:r w:rsidRPr="007652B4">
        <w:rPr>
          <w:rFonts w:hint="eastAsia"/>
          <w:kern w:val="0"/>
          <w:szCs w:val="21"/>
          <w:lang w:val="en-GB"/>
        </w:rPr>
        <w:t>年颁布的《结婚、离婚与家庭关系法》；</w:t>
      </w:r>
    </w:p>
    <w:p w:rsidR="007652B4" w:rsidRPr="007652B4" w:rsidRDefault="007652B4" w:rsidP="007652B4">
      <w:pPr>
        <w:tabs>
          <w:tab w:val="left" w:pos="1560"/>
        </w:tabs>
        <w:suppressAutoHyphens/>
        <w:overflowPunct w:val="0"/>
        <w:autoSpaceDE w:val="0"/>
        <w:autoSpaceDN w:val="0"/>
        <w:spacing w:after="120"/>
        <w:ind w:left="1134" w:right="1134" w:firstLine="567"/>
        <w:rPr>
          <w:kern w:val="0"/>
          <w:szCs w:val="21"/>
          <w:lang w:val="en-GB"/>
        </w:rPr>
      </w:pPr>
      <w:r>
        <w:rPr>
          <w:kern w:val="0"/>
          <w:szCs w:val="21"/>
          <w:lang w:val="en-GB"/>
        </w:rPr>
        <w:t>(</w:t>
      </w:r>
      <w:r w:rsidRPr="007652B4">
        <w:rPr>
          <w:kern w:val="0"/>
          <w:szCs w:val="21"/>
          <w:lang w:val="en-GB"/>
        </w:rPr>
        <w:t>b</w:t>
      </w:r>
      <w:r>
        <w:rPr>
          <w:kern w:val="0"/>
          <w:szCs w:val="21"/>
          <w:lang w:val="en-GB"/>
        </w:rPr>
        <w:t>)</w:t>
      </w:r>
      <w:r w:rsidRPr="007652B4">
        <w:rPr>
          <w:kern w:val="0"/>
          <w:szCs w:val="21"/>
          <w:lang w:val="en-GB"/>
        </w:rPr>
        <w:tab/>
      </w:r>
      <w:r w:rsidRPr="007652B4">
        <w:rPr>
          <w:rFonts w:hint="eastAsia"/>
          <w:kern w:val="0"/>
          <w:szCs w:val="21"/>
          <w:lang w:val="en-GB"/>
        </w:rPr>
        <w:t>2015</w:t>
      </w:r>
      <w:r w:rsidRPr="007652B4">
        <w:rPr>
          <w:rFonts w:hint="eastAsia"/>
          <w:kern w:val="0"/>
          <w:szCs w:val="21"/>
          <w:lang w:val="en-GB"/>
        </w:rPr>
        <w:t>年颁布的《贩卖人口法》；</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567"/>
        <w:rPr>
          <w:kern w:val="0"/>
          <w:szCs w:val="21"/>
          <w:lang w:val="en-GB"/>
        </w:rPr>
      </w:pPr>
      <w:r>
        <w:rPr>
          <w:kern w:val="0"/>
          <w:szCs w:val="21"/>
          <w:lang w:val="en-GB"/>
        </w:rPr>
        <w:t>(</w:t>
      </w:r>
      <w:r w:rsidRPr="007652B4">
        <w:rPr>
          <w:kern w:val="0"/>
          <w:szCs w:val="21"/>
          <w:lang w:val="en-GB"/>
        </w:rPr>
        <w:t>c</w:t>
      </w:r>
      <w:r>
        <w:rPr>
          <w:kern w:val="0"/>
          <w:szCs w:val="21"/>
          <w:lang w:val="en-GB"/>
        </w:rPr>
        <w:t>)</w:t>
      </w:r>
      <w:r w:rsidRPr="007652B4">
        <w:rPr>
          <w:kern w:val="0"/>
          <w:szCs w:val="21"/>
          <w:lang w:val="en-GB"/>
        </w:rPr>
        <w:tab/>
      </w:r>
      <w:r w:rsidRPr="007652B4">
        <w:rPr>
          <w:rFonts w:hint="eastAsia"/>
          <w:kern w:val="0"/>
          <w:szCs w:val="21"/>
          <w:lang w:val="en-GB"/>
        </w:rPr>
        <w:t>2013</w:t>
      </w:r>
      <w:r w:rsidRPr="007652B4">
        <w:rPr>
          <w:rFonts w:hint="eastAsia"/>
          <w:kern w:val="0"/>
          <w:szCs w:val="21"/>
          <w:lang w:val="en-GB"/>
        </w:rPr>
        <w:t>年颁布的《性别平等法》。</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5.</w:t>
      </w:r>
      <w:r w:rsidRPr="007652B4">
        <w:rPr>
          <w:kern w:val="0"/>
          <w:szCs w:val="21"/>
          <w:lang w:val="en-GB"/>
        </w:rPr>
        <w:tab/>
      </w:r>
      <w:r w:rsidRPr="007652B4">
        <w:rPr>
          <w:rFonts w:hint="eastAsia"/>
          <w:kern w:val="0"/>
          <w:szCs w:val="21"/>
          <w:lang w:val="en-GB"/>
        </w:rPr>
        <w:t>委员会欢迎缔约国采取努力完善其制度及政策框架，目的是加快消除对妇女歧视及促进性别平等，如通过或批准以下方面：</w:t>
      </w:r>
    </w:p>
    <w:p w:rsidR="007652B4" w:rsidRPr="007652B4" w:rsidRDefault="007652B4" w:rsidP="007652B4">
      <w:pPr>
        <w:tabs>
          <w:tab w:val="left" w:pos="1560"/>
          <w:tab w:val="left" w:pos="1701"/>
        </w:tabs>
        <w:suppressAutoHyphens/>
        <w:overflowPunct w:val="0"/>
        <w:autoSpaceDE w:val="0"/>
        <w:autoSpaceDN w:val="0"/>
        <w:spacing w:after="120"/>
        <w:ind w:left="1701" w:right="1134"/>
        <w:rPr>
          <w:kern w:val="0"/>
          <w:szCs w:val="21"/>
          <w:lang w:val="en-GB"/>
        </w:rPr>
      </w:pPr>
      <w:r>
        <w:rPr>
          <w:kern w:val="0"/>
          <w:szCs w:val="21"/>
          <w:lang w:val="en-GB"/>
        </w:rPr>
        <w:lastRenderedPageBreak/>
        <w:t>(</w:t>
      </w:r>
      <w:r w:rsidRPr="007652B4">
        <w:rPr>
          <w:kern w:val="0"/>
          <w:szCs w:val="21"/>
          <w:lang w:val="en-GB"/>
        </w:rPr>
        <w:t>a</w:t>
      </w:r>
      <w:r>
        <w:rPr>
          <w:kern w:val="0"/>
          <w:szCs w:val="21"/>
          <w:lang w:val="en-GB"/>
        </w:rPr>
        <w:t>)</w:t>
      </w:r>
      <w:r w:rsidRPr="007652B4">
        <w:rPr>
          <w:kern w:val="0"/>
          <w:szCs w:val="21"/>
          <w:lang w:val="en-GB"/>
        </w:rPr>
        <w:tab/>
      </w:r>
      <w:r w:rsidRPr="007652B4">
        <w:rPr>
          <w:rFonts w:hint="eastAsia"/>
          <w:kern w:val="0"/>
          <w:szCs w:val="21"/>
          <w:lang w:val="en-GB"/>
        </w:rPr>
        <w:t>2015</w:t>
      </w:r>
      <w:r w:rsidRPr="007652B4">
        <w:rPr>
          <w:rFonts w:hint="eastAsia"/>
          <w:kern w:val="0"/>
          <w:szCs w:val="21"/>
          <w:lang w:val="en-GB"/>
        </w:rPr>
        <w:t>年《国家性别平等政策》；</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567"/>
        <w:rPr>
          <w:kern w:val="0"/>
          <w:szCs w:val="21"/>
          <w:lang w:val="en-GB"/>
        </w:rPr>
      </w:pPr>
      <w:r>
        <w:rPr>
          <w:kern w:val="0"/>
          <w:szCs w:val="21"/>
          <w:lang w:val="en-GB"/>
        </w:rPr>
        <w:t>(</w:t>
      </w:r>
      <w:r w:rsidRPr="007652B4">
        <w:rPr>
          <w:kern w:val="0"/>
          <w:szCs w:val="21"/>
          <w:lang w:val="en-GB"/>
        </w:rPr>
        <w:t>b</w:t>
      </w:r>
      <w:r>
        <w:rPr>
          <w:kern w:val="0"/>
          <w:szCs w:val="21"/>
          <w:lang w:val="en-GB"/>
        </w:rPr>
        <w:t>)</w:t>
      </w:r>
      <w:r w:rsidRPr="007652B4">
        <w:rPr>
          <w:kern w:val="0"/>
          <w:szCs w:val="21"/>
          <w:lang w:val="en-GB"/>
        </w:rPr>
        <w:tab/>
      </w:r>
      <w:r w:rsidRPr="007652B4">
        <w:rPr>
          <w:rFonts w:hint="eastAsia"/>
          <w:kern w:val="0"/>
          <w:szCs w:val="21"/>
          <w:lang w:val="en-GB"/>
        </w:rPr>
        <w:t>《国家女童教育战略》</w:t>
      </w:r>
      <w:r>
        <w:rPr>
          <w:kern w:val="0"/>
          <w:szCs w:val="21"/>
          <w:lang w:val="en-GB"/>
        </w:rPr>
        <w:t>(</w:t>
      </w:r>
      <w:r w:rsidRPr="007652B4">
        <w:rPr>
          <w:kern w:val="0"/>
          <w:szCs w:val="21"/>
          <w:lang w:val="en-GB"/>
        </w:rPr>
        <w:t>2014-2018</w:t>
      </w:r>
      <w:r w:rsidRPr="007652B4">
        <w:rPr>
          <w:rFonts w:hint="eastAsia"/>
          <w:kern w:val="0"/>
          <w:szCs w:val="21"/>
          <w:lang w:val="en-GB"/>
        </w:rPr>
        <w:t>年</w:t>
      </w:r>
      <w:r>
        <w:rPr>
          <w:kern w:val="0"/>
          <w:szCs w:val="21"/>
          <w:lang w:val="en-GB"/>
        </w:rPr>
        <w:t>)</w:t>
      </w:r>
      <w:r w:rsidRPr="007652B4">
        <w:rPr>
          <w:rFonts w:hint="eastAsia"/>
          <w:kern w:val="0"/>
          <w:szCs w:val="21"/>
          <w:lang w:val="en-GB"/>
        </w:rPr>
        <w:t>。</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6.</w:t>
      </w:r>
      <w:r w:rsidRPr="007652B4">
        <w:rPr>
          <w:kern w:val="0"/>
          <w:szCs w:val="21"/>
          <w:lang w:val="en-GB"/>
        </w:rPr>
        <w:tab/>
      </w:r>
      <w:r w:rsidRPr="007652B4">
        <w:rPr>
          <w:rFonts w:hint="eastAsia"/>
          <w:kern w:val="0"/>
          <w:szCs w:val="21"/>
          <w:lang w:val="en-GB"/>
        </w:rPr>
        <w:t>自审议上次报告以来，缔约国已批准或加入以下国际和区域文书，委员会对此表示欢迎：</w:t>
      </w:r>
    </w:p>
    <w:p w:rsidR="007652B4" w:rsidRPr="007652B4" w:rsidRDefault="007652B4" w:rsidP="007652B4">
      <w:pPr>
        <w:tabs>
          <w:tab w:val="left" w:pos="1560"/>
        </w:tabs>
        <w:suppressAutoHyphens/>
        <w:overflowPunct w:val="0"/>
        <w:autoSpaceDE w:val="0"/>
        <w:autoSpaceDN w:val="0"/>
        <w:spacing w:after="120"/>
        <w:ind w:left="1134" w:right="1134" w:firstLine="567"/>
        <w:rPr>
          <w:kern w:val="0"/>
          <w:szCs w:val="21"/>
          <w:lang w:val="en-GB"/>
        </w:rPr>
      </w:pPr>
      <w:r>
        <w:rPr>
          <w:kern w:val="0"/>
          <w:szCs w:val="21"/>
          <w:lang w:val="en-GB"/>
        </w:rPr>
        <w:t>(</w:t>
      </w:r>
      <w:r w:rsidRPr="007652B4">
        <w:rPr>
          <w:kern w:val="0"/>
          <w:szCs w:val="21"/>
          <w:lang w:val="en-GB"/>
        </w:rPr>
        <w:t>a</w:t>
      </w:r>
      <w:r>
        <w:rPr>
          <w:kern w:val="0"/>
          <w:szCs w:val="21"/>
          <w:lang w:val="en-GB"/>
        </w:rPr>
        <w:t>)</w:t>
      </w:r>
      <w:r w:rsidRPr="007652B4">
        <w:rPr>
          <w:kern w:val="0"/>
          <w:szCs w:val="21"/>
          <w:lang w:val="en-GB"/>
        </w:rPr>
        <w:tab/>
      </w:r>
      <w:r w:rsidRPr="007652B4">
        <w:rPr>
          <w:rFonts w:hint="eastAsia"/>
          <w:kern w:val="0"/>
          <w:szCs w:val="21"/>
          <w:lang w:val="en-GB"/>
        </w:rPr>
        <w:t>2010</w:t>
      </w:r>
      <w:r w:rsidRPr="007652B4">
        <w:rPr>
          <w:rFonts w:hint="eastAsia"/>
          <w:kern w:val="0"/>
          <w:szCs w:val="21"/>
          <w:lang w:val="en-GB"/>
        </w:rPr>
        <w:t>年批准《儿童权利公约关于儿童卷入武装冲突问题的任择议定书》；</w:t>
      </w:r>
    </w:p>
    <w:p w:rsidR="007652B4" w:rsidRPr="007652B4" w:rsidRDefault="007652B4" w:rsidP="007652B4">
      <w:pPr>
        <w:tabs>
          <w:tab w:val="left" w:pos="1560"/>
        </w:tabs>
        <w:suppressAutoHyphens/>
        <w:overflowPunct w:val="0"/>
        <w:autoSpaceDE w:val="0"/>
        <w:autoSpaceDN w:val="0"/>
        <w:spacing w:after="120"/>
        <w:ind w:left="1134" w:right="1134" w:firstLine="567"/>
        <w:rPr>
          <w:kern w:val="0"/>
          <w:szCs w:val="21"/>
          <w:lang w:val="en-GB"/>
        </w:rPr>
      </w:pPr>
      <w:r>
        <w:rPr>
          <w:kern w:val="0"/>
          <w:szCs w:val="21"/>
          <w:lang w:val="en-GB"/>
        </w:rPr>
        <w:t>(</w:t>
      </w:r>
      <w:r w:rsidRPr="007652B4">
        <w:rPr>
          <w:kern w:val="0"/>
          <w:szCs w:val="21"/>
          <w:lang w:val="en-GB"/>
        </w:rPr>
        <w:t>b</w:t>
      </w:r>
      <w:r>
        <w:rPr>
          <w:kern w:val="0"/>
          <w:szCs w:val="21"/>
          <w:lang w:val="en-GB"/>
        </w:rPr>
        <w:t>)</w:t>
      </w:r>
      <w:r w:rsidRPr="007652B4">
        <w:rPr>
          <w:kern w:val="0"/>
          <w:szCs w:val="21"/>
          <w:lang w:val="en-GB"/>
        </w:rPr>
        <w:tab/>
      </w:r>
      <w:r w:rsidRPr="007652B4">
        <w:rPr>
          <w:rFonts w:hint="eastAsia"/>
          <w:kern w:val="0"/>
          <w:szCs w:val="21"/>
          <w:lang w:val="en-GB"/>
        </w:rPr>
        <w:t>2013</w:t>
      </w:r>
      <w:r w:rsidRPr="007652B4">
        <w:rPr>
          <w:rFonts w:hint="eastAsia"/>
          <w:kern w:val="0"/>
          <w:szCs w:val="21"/>
          <w:lang w:val="en-GB"/>
        </w:rPr>
        <w:t>年批准《南部非洲发展共同体性别平等与发展议定书》。</w:t>
      </w:r>
    </w:p>
    <w:p w:rsidR="007652B4" w:rsidRPr="007652B4" w:rsidRDefault="007652B4" w:rsidP="007652B4">
      <w:pPr>
        <w:keepNext/>
        <w:keepLines/>
        <w:tabs>
          <w:tab w:val="right" w:pos="851"/>
        </w:tabs>
        <w:overflowPunct w:val="0"/>
        <w:adjustRightInd w:val="0"/>
        <w:snapToGrid w:val="0"/>
        <w:spacing w:before="240" w:after="240" w:line="400" w:lineRule="exact"/>
        <w:ind w:left="1134" w:right="1134" w:hanging="1134"/>
        <w:outlineLvl w:val="1"/>
        <w:rPr>
          <w:rFonts w:eastAsia="黑体"/>
          <w:snapToGrid w:val="0"/>
          <w:kern w:val="0"/>
          <w:sz w:val="24"/>
        </w:rPr>
      </w:pPr>
      <w:r w:rsidRPr="007652B4">
        <w:rPr>
          <w:rFonts w:eastAsia="黑体"/>
          <w:snapToGrid w:val="0"/>
          <w:kern w:val="0"/>
          <w:sz w:val="24"/>
        </w:rPr>
        <w:tab/>
        <w:t>C.</w:t>
      </w:r>
      <w:r w:rsidRPr="007652B4">
        <w:rPr>
          <w:rFonts w:eastAsia="黑体"/>
          <w:snapToGrid w:val="0"/>
          <w:kern w:val="0"/>
          <w:sz w:val="24"/>
        </w:rPr>
        <w:tab/>
      </w:r>
      <w:r w:rsidRPr="007652B4">
        <w:rPr>
          <w:rFonts w:eastAsia="黑体" w:hint="eastAsia"/>
          <w:snapToGrid w:val="0"/>
          <w:kern w:val="0"/>
          <w:sz w:val="24"/>
        </w:rPr>
        <w:t>主要关切领域和建议</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议会</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rPr>
      </w:pPr>
      <w:r w:rsidRPr="007652B4">
        <w:rPr>
          <w:kern w:val="0"/>
          <w:szCs w:val="21"/>
        </w:rPr>
        <w:t>7.</w:t>
      </w:r>
      <w:r w:rsidRPr="007652B4">
        <w:rPr>
          <w:kern w:val="0"/>
          <w:szCs w:val="21"/>
        </w:rPr>
        <w:tab/>
      </w:r>
      <w:r w:rsidRPr="007652B4">
        <w:rPr>
          <w:rFonts w:eastAsia="黑体" w:hint="eastAsia"/>
          <w:kern w:val="0"/>
          <w:szCs w:val="21"/>
        </w:rPr>
        <w:t>委员会强调立法机构在确保《公约》得到充分实施方面的关键作用</w:t>
      </w:r>
      <w:r>
        <w:rPr>
          <w:rFonts w:eastAsia="黑体" w:hint="eastAsia"/>
          <w:kern w:val="0"/>
          <w:szCs w:val="21"/>
        </w:rPr>
        <w:t>(</w:t>
      </w:r>
      <w:r w:rsidRPr="007652B4">
        <w:rPr>
          <w:rFonts w:eastAsia="黑体" w:hint="eastAsia"/>
          <w:kern w:val="0"/>
          <w:szCs w:val="21"/>
        </w:rPr>
        <w:t>见</w:t>
      </w:r>
      <w:r w:rsidRPr="007652B4">
        <w:rPr>
          <w:rFonts w:eastAsia="黑体"/>
          <w:kern w:val="0"/>
          <w:szCs w:val="21"/>
        </w:rPr>
        <w:t>2010</w:t>
      </w:r>
      <w:r w:rsidRPr="007652B4">
        <w:rPr>
          <w:rFonts w:eastAsia="黑体" w:hint="eastAsia"/>
          <w:kern w:val="0"/>
          <w:szCs w:val="21"/>
        </w:rPr>
        <w:t>年委员会第四十五届会议上通过的关于委员会与议员之间关系的声明</w:t>
      </w:r>
      <w:r>
        <w:rPr>
          <w:rFonts w:eastAsia="黑体" w:hint="eastAsia"/>
          <w:kern w:val="0"/>
          <w:szCs w:val="21"/>
        </w:rPr>
        <w:t>)</w:t>
      </w:r>
      <w:r w:rsidRPr="007652B4">
        <w:rPr>
          <w:rFonts w:eastAsia="黑体" w:hint="eastAsia"/>
          <w:kern w:val="0"/>
          <w:szCs w:val="21"/>
        </w:rPr>
        <w:t>。委员会请议会从现在到根据《公约》提交下一次定期报告期间，采取必要步骤落实本结论性意见。</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数据收集与分析</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8.</w:t>
      </w:r>
      <w:r w:rsidRPr="007652B4">
        <w:rPr>
          <w:kern w:val="0"/>
          <w:szCs w:val="21"/>
          <w:lang w:val="en-GB"/>
        </w:rPr>
        <w:tab/>
      </w:r>
      <w:r w:rsidRPr="007652B4">
        <w:rPr>
          <w:rFonts w:hint="eastAsia"/>
          <w:kern w:val="0"/>
          <w:szCs w:val="21"/>
          <w:lang w:val="en-GB"/>
        </w:rPr>
        <w:t>委员会对缔约国国家统计局目前生成性别分类数据作为标准做法表示赞赏，但对该类数据的有限性表示遗憾。这些数据对于评估政策在《公约》所有领域的影响和有效性很有必要，特别是有关有害做法、性别陈规定型观念、暴力侵害妇女行为、教育、就业、经济赋权以及保健。</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9.</w:t>
      </w:r>
      <w:r w:rsidRPr="007652B4">
        <w:rPr>
          <w:kern w:val="0"/>
          <w:szCs w:val="21"/>
          <w:lang w:val="en-GB"/>
        </w:rPr>
        <w:tab/>
      </w:r>
      <w:r w:rsidRPr="007652B4">
        <w:rPr>
          <w:rFonts w:hint="eastAsia"/>
          <w:kern w:val="0"/>
          <w:szCs w:val="21"/>
          <w:lang w:val="en-GB"/>
        </w:rPr>
        <w:t>委员会</w:t>
      </w:r>
      <w:r w:rsidRPr="007652B4">
        <w:rPr>
          <w:rFonts w:eastAsia="黑体" w:hint="eastAsia"/>
          <w:kern w:val="0"/>
          <w:szCs w:val="21"/>
          <w:lang w:val="en-GB"/>
        </w:rPr>
        <w:t>重申了其之前的建议</w:t>
      </w:r>
      <w:r>
        <w:rPr>
          <w:rFonts w:eastAsia="黑体" w:hint="eastAsia"/>
          <w:kern w:val="0"/>
          <w:szCs w:val="21"/>
          <w:lang w:val="en-GB"/>
        </w:rPr>
        <w:t>(</w:t>
      </w:r>
      <w:r w:rsidRPr="007652B4">
        <w:rPr>
          <w:rFonts w:eastAsia="黑体" w:hint="eastAsia"/>
          <w:kern w:val="0"/>
          <w:szCs w:val="21"/>
          <w:lang w:val="en-GB"/>
        </w:rPr>
        <w:t>见</w:t>
      </w:r>
      <w:r w:rsidRPr="007652B4">
        <w:rPr>
          <w:rFonts w:eastAsia="黑体"/>
          <w:kern w:val="0"/>
          <w:szCs w:val="21"/>
          <w:lang w:val="en-GB"/>
        </w:rPr>
        <w:t>CEDAW/C/MWI/CO/6</w:t>
      </w:r>
      <w:r w:rsidRPr="007652B4">
        <w:rPr>
          <w:rFonts w:eastAsia="黑体" w:hint="eastAsia"/>
          <w:kern w:val="0"/>
          <w:szCs w:val="21"/>
          <w:lang w:val="en-GB"/>
        </w:rPr>
        <w:t>，第</w:t>
      </w:r>
      <w:r w:rsidRPr="007652B4">
        <w:rPr>
          <w:rFonts w:eastAsia="黑体" w:hint="eastAsia"/>
          <w:kern w:val="0"/>
          <w:szCs w:val="21"/>
          <w:lang w:val="en-GB"/>
        </w:rPr>
        <w:t>45</w:t>
      </w:r>
      <w:r w:rsidRPr="007652B4">
        <w:rPr>
          <w:rFonts w:eastAsia="黑体" w:hint="eastAsia"/>
          <w:kern w:val="0"/>
          <w:szCs w:val="21"/>
          <w:lang w:val="en-GB"/>
        </w:rPr>
        <w:t>段时，委员会建议缔约国加快建立综合制度，收集《公约》所涵盖所有领域的数据，按照年龄、性别、地理区域、社会经济背景等标准分类并进行系统性分析。缔约国应利用这些数据作为制定实施《公约》的各项政策和评估在推进这项目标方面所取得的进展的依据。</w:t>
      </w:r>
      <w:r w:rsidRPr="007652B4">
        <w:rPr>
          <w:rFonts w:eastAsia="黑体"/>
          <w:bCs/>
          <w:kern w:val="0"/>
          <w:szCs w:val="21"/>
          <w:lang w:val="en-GB"/>
        </w:rPr>
        <w:t xml:space="preserve"> </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歧视的定义和法律框架</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10.</w:t>
      </w:r>
      <w:r w:rsidRPr="007652B4">
        <w:rPr>
          <w:kern w:val="0"/>
          <w:szCs w:val="21"/>
          <w:lang w:val="en-GB"/>
        </w:rPr>
        <w:tab/>
      </w:r>
      <w:r w:rsidRPr="007652B4">
        <w:rPr>
          <w:rFonts w:hint="eastAsia"/>
          <w:kern w:val="0"/>
          <w:szCs w:val="21"/>
          <w:lang w:val="en-GB"/>
        </w:rPr>
        <w:t>委员会欢迎通过禁止性别歧视的《性别平等法》，不过，委员会关切的是：</w:t>
      </w:r>
    </w:p>
    <w:p w:rsidR="007652B4" w:rsidRPr="007652B4" w:rsidRDefault="007652B4" w:rsidP="007652B4">
      <w:pPr>
        <w:tabs>
          <w:tab w:val="left" w:pos="1560"/>
        </w:tabs>
        <w:suppressAutoHyphens/>
        <w:overflowPunct w:val="0"/>
        <w:autoSpaceDE w:val="0"/>
        <w:autoSpaceDN w:val="0"/>
        <w:spacing w:after="120"/>
        <w:ind w:left="1134" w:right="1134" w:firstLine="426"/>
        <w:rPr>
          <w:kern w:val="0"/>
          <w:szCs w:val="21"/>
          <w:lang w:val="en-GB"/>
        </w:rPr>
      </w:pPr>
      <w:r>
        <w:rPr>
          <w:kern w:val="0"/>
          <w:szCs w:val="21"/>
          <w:lang w:val="en-GB"/>
        </w:rPr>
        <w:t>(</w:t>
      </w:r>
      <w:r w:rsidRPr="007652B4">
        <w:rPr>
          <w:kern w:val="0"/>
          <w:szCs w:val="21"/>
          <w:lang w:val="en-GB"/>
        </w:rPr>
        <w:t>a</w:t>
      </w:r>
      <w:r>
        <w:rPr>
          <w:kern w:val="0"/>
          <w:szCs w:val="21"/>
          <w:lang w:val="en-GB"/>
        </w:rPr>
        <w:t>)</w:t>
      </w:r>
      <w:r w:rsidRPr="007652B4">
        <w:rPr>
          <w:kern w:val="0"/>
          <w:szCs w:val="21"/>
          <w:lang w:val="en-GB"/>
        </w:rPr>
        <w:tab/>
      </w:r>
      <w:r w:rsidRPr="007652B4">
        <w:rPr>
          <w:kern w:val="0"/>
          <w:szCs w:val="21"/>
          <w:lang w:val="en-GB"/>
        </w:rPr>
        <w:t>一些成文法和习惯法和条例仍然载有</w:t>
      </w:r>
      <w:r w:rsidRPr="007652B4">
        <w:rPr>
          <w:rFonts w:hint="eastAsia"/>
          <w:kern w:val="0"/>
          <w:szCs w:val="21"/>
          <w:lang w:val="en-GB"/>
        </w:rPr>
        <w:t>不符合《公约》的歧视性条款，如《巫术法》、《公民法》、《刑法》及《第</w:t>
      </w:r>
      <w:r w:rsidRPr="007652B4">
        <w:rPr>
          <w:rFonts w:hint="eastAsia"/>
          <w:kern w:val="0"/>
          <w:szCs w:val="21"/>
          <w:lang w:val="en-GB"/>
        </w:rPr>
        <w:t>31</w:t>
      </w:r>
      <w:r w:rsidRPr="007652B4">
        <w:rPr>
          <w:rFonts w:hint="eastAsia"/>
          <w:kern w:val="0"/>
          <w:szCs w:val="21"/>
          <w:lang w:val="en-GB"/>
        </w:rPr>
        <w:t>号警务条例》；</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426"/>
        <w:rPr>
          <w:kern w:val="0"/>
          <w:szCs w:val="21"/>
          <w:lang w:val="en-GB"/>
        </w:rPr>
      </w:pPr>
      <w:r>
        <w:rPr>
          <w:kern w:val="0"/>
          <w:szCs w:val="21"/>
          <w:lang w:val="en-GB"/>
        </w:rPr>
        <w:t>(</w:t>
      </w:r>
      <w:r w:rsidRPr="007652B4">
        <w:rPr>
          <w:kern w:val="0"/>
          <w:szCs w:val="21"/>
          <w:lang w:val="en-GB"/>
        </w:rPr>
        <w:t>b</w:t>
      </w:r>
      <w:r>
        <w:rPr>
          <w:kern w:val="0"/>
          <w:szCs w:val="21"/>
          <w:lang w:val="en-GB"/>
        </w:rPr>
        <w:t>)</w:t>
      </w:r>
      <w:r w:rsidRPr="007652B4">
        <w:rPr>
          <w:kern w:val="0"/>
          <w:szCs w:val="21"/>
          <w:lang w:val="en-GB"/>
        </w:rPr>
        <w:tab/>
      </w:r>
      <w:r w:rsidRPr="007652B4">
        <w:rPr>
          <w:rFonts w:hint="eastAsia"/>
          <w:kern w:val="0"/>
          <w:szCs w:val="21"/>
          <w:lang w:val="en-GB"/>
        </w:rPr>
        <w:t>《公约》条款尚未充分纳入缔约国的国内法律体系，因此，不能直接</w:t>
      </w:r>
      <w:r w:rsidRPr="007652B4">
        <w:rPr>
          <w:kern w:val="0"/>
          <w:szCs w:val="21"/>
          <w:lang w:val="en-GB"/>
        </w:rPr>
        <w:t>适用于国内法庭</w:t>
      </w:r>
      <w:r w:rsidRPr="007652B4">
        <w:rPr>
          <w:rFonts w:hint="eastAsia"/>
          <w:kern w:val="0"/>
          <w:szCs w:val="21"/>
          <w:lang w:val="en-GB"/>
        </w:rPr>
        <w:t>；</w:t>
      </w:r>
    </w:p>
    <w:p w:rsidR="007652B4" w:rsidRPr="007652B4" w:rsidRDefault="007652B4" w:rsidP="007652B4">
      <w:pPr>
        <w:tabs>
          <w:tab w:val="left" w:pos="1560"/>
        </w:tabs>
        <w:suppressAutoHyphens/>
        <w:overflowPunct w:val="0"/>
        <w:autoSpaceDE w:val="0"/>
        <w:autoSpaceDN w:val="0"/>
        <w:spacing w:after="120"/>
        <w:ind w:left="1134" w:right="1134" w:firstLine="426"/>
        <w:rPr>
          <w:kern w:val="0"/>
          <w:szCs w:val="21"/>
          <w:lang w:val="en-GB"/>
        </w:rPr>
      </w:pPr>
      <w:r>
        <w:rPr>
          <w:kern w:val="0"/>
          <w:szCs w:val="21"/>
          <w:lang w:val="en-GB"/>
        </w:rPr>
        <w:t>(</w:t>
      </w:r>
      <w:r w:rsidRPr="007652B4">
        <w:rPr>
          <w:kern w:val="0"/>
          <w:szCs w:val="21"/>
          <w:lang w:val="en-GB"/>
        </w:rPr>
        <w:t>c</w:t>
      </w:r>
      <w:r>
        <w:rPr>
          <w:kern w:val="0"/>
          <w:szCs w:val="21"/>
          <w:lang w:val="en-GB"/>
        </w:rPr>
        <w:t>)</w:t>
      </w:r>
      <w:r w:rsidRPr="007652B4">
        <w:rPr>
          <w:kern w:val="0"/>
          <w:szCs w:val="21"/>
          <w:lang w:val="en-GB"/>
        </w:rPr>
        <w:tab/>
      </w:r>
      <w:r w:rsidRPr="007652B4">
        <w:rPr>
          <w:rFonts w:hint="eastAsia"/>
          <w:kern w:val="0"/>
          <w:szCs w:val="21"/>
          <w:lang w:val="en-GB"/>
        </w:rPr>
        <w:t>2011</w:t>
      </w:r>
      <w:r w:rsidRPr="007652B4">
        <w:rPr>
          <w:rFonts w:hint="eastAsia"/>
          <w:kern w:val="0"/>
          <w:szCs w:val="21"/>
          <w:lang w:val="en-GB"/>
        </w:rPr>
        <w:t>年《刑法修正案》</w:t>
      </w:r>
      <w:r w:rsidRPr="007652B4">
        <w:rPr>
          <w:kern w:val="0"/>
          <w:szCs w:val="21"/>
          <w:lang w:val="en-GB"/>
        </w:rPr>
        <w:t>将女性之间的同性关系定为犯罪</w:t>
      </w:r>
      <w:r w:rsidRPr="007652B4">
        <w:rPr>
          <w:rFonts w:hint="eastAsia"/>
          <w:kern w:val="0"/>
          <w:szCs w:val="21"/>
          <w:lang w:val="en-GB"/>
        </w:rPr>
        <w:t>；</w:t>
      </w:r>
    </w:p>
    <w:p w:rsidR="007652B4" w:rsidRPr="007652B4" w:rsidRDefault="007652B4" w:rsidP="007652B4">
      <w:pPr>
        <w:tabs>
          <w:tab w:val="left" w:pos="1560"/>
        </w:tabs>
        <w:suppressAutoHyphens/>
        <w:overflowPunct w:val="0"/>
        <w:autoSpaceDE w:val="0"/>
        <w:autoSpaceDN w:val="0"/>
        <w:spacing w:after="120"/>
        <w:ind w:left="1134" w:right="1134" w:firstLine="426"/>
        <w:rPr>
          <w:kern w:val="0"/>
          <w:szCs w:val="21"/>
          <w:lang w:val="en-GB"/>
        </w:rPr>
      </w:pPr>
      <w:r>
        <w:rPr>
          <w:kern w:val="0"/>
          <w:szCs w:val="21"/>
          <w:lang w:val="en-GB"/>
        </w:rPr>
        <w:t>(</w:t>
      </w:r>
      <w:r w:rsidRPr="007652B4">
        <w:rPr>
          <w:kern w:val="0"/>
          <w:szCs w:val="21"/>
          <w:lang w:val="en-GB"/>
        </w:rPr>
        <w:t>d</w:t>
      </w:r>
      <w:r>
        <w:rPr>
          <w:kern w:val="0"/>
          <w:szCs w:val="21"/>
          <w:lang w:val="en-GB"/>
        </w:rPr>
        <w:t>)</w:t>
      </w:r>
      <w:r w:rsidRPr="007652B4">
        <w:rPr>
          <w:kern w:val="0"/>
          <w:szCs w:val="21"/>
          <w:lang w:val="en-GB"/>
        </w:rPr>
        <w:tab/>
      </w:r>
      <w:r w:rsidRPr="007652B4">
        <w:rPr>
          <w:kern w:val="0"/>
          <w:szCs w:val="21"/>
          <w:lang w:val="en-GB"/>
        </w:rPr>
        <w:t>公众对《公约》所载</w:t>
      </w:r>
      <w:r w:rsidRPr="007652B4">
        <w:rPr>
          <w:rFonts w:hint="eastAsia"/>
          <w:kern w:val="0"/>
          <w:szCs w:val="21"/>
          <w:lang w:val="en-GB"/>
        </w:rPr>
        <w:t>性别</w:t>
      </w:r>
      <w:r w:rsidRPr="007652B4">
        <w:rPr>
          <w:kern w:val="0"/>
          <w:szCs w:val="21"/>
          <w:lang w:val="en-GB"/>
        </w:rPr>
        <w:t>平等和妇女权利的了解</w:t>
      </w:r>
      <w:r w:rsidRPr="007652B4">
        <w:rPr>
          <w:rFonts w:hint="eastAsia"/>
          <w:kern w:val="0"/>
          <w:szCs w:val="21"/>
          <w:lang w:val="en-GB"/>
        </w:rPr>
        <w:t>普遍</w:t>
      </w:r>
      <w:r w:rsidRPr="007652B4">
        <w:rPr>
          <w:kern w:val="0"/>
          <w:szCs w:val="21"/>
          <w:lang w:val="en-GB"/>
        </w:rPr>
        <w:t>有限</w:t>
      </w:r>
      <w:r w:rsidRPr="007652B4">
        <w:rPr>
          <w:rFonts w:hint="eastAsia"/>
          <w:kern w:val="0"/>
          <w:szCs w:val="21"/>
          <w:lang w:val="en-GB"/>
        </w:rPr>
        <w:t>。</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11.</w:t>
      </w:r>
      <w:r w:rsidRPr="007652B4">
        <w:rPr>
          <w:kern w:val="0"/>
          <w:szCs w:val="21"/>
          <w:lang w:val="en-GB"/>
        </w:rPr>
        <w:tab/>
      </w:r>
      <w:r w:rsidRPr="007652B4">
        <w:rPr>
          <w:rFonts w:eastAsia="黑体" w:hint="eastAsia"/>
          <w:kern w:val="0"/>
          <w:szCs w:val="21"/>
          <w:lang w:val="en-GB"/>
        </w:rPr>
        <w:t>委员会建议缔约国：</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lastRenderedPageBreak/>
        <w:t>(</w:t>
      </w:r>
      <w:r w:rsidRPr="007652B4">
        <w:rPr>
          <w:rFonts w:eastAsia="黑体"/>
          <w:kern w:val="0"/>
          <w:szCs w:val="21"/>
          <w:lang w:val="en-GB"/>
        </w:rPr>
        <w:t>a</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对其立法进行性别影响分析，修订仍然歧视妇女的所有法律和条例，尤其是《巫术法》、《公民法》、《刑法》和《第</w:t>
      </w:r>
      <w:r w:rsidRPr="007652B4">
        <w:rPr>
          <w:rFonts w:eastAsia="黑体"/>
          <w:kern w:val="0"/>
          <w:szCs w:val="21"/>
          <w:lang w:val="en-GB"/>
        </w:rPr>
        <w:t>31</w:t>
      </w:r>
      <w:r w:rsidRPr="007652B4">
        <w:rPr>
          <w:rFonts w:eastAsia="黑体" w:hint="eastAsia"/>
          <w:kern w:val="0"/>
          <w:szCs w:val="21"/>
          <w:lang w:val="en-GB"/>
        </w:rPr>
        <w:t>号警务条例》；</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b</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确保将《公约》条款充分纳入国内法律体系，并直接适用于国内法庭；</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c</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明确禁止在《公约》涵盖领域对妇女的一切形式歧视；</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d</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考虑将成年妇女之间的性关系非罪化；</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e</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加强努力，通过针对法律专业、执法机构和公众的提高意识运动，促进对男女实质性平等概念的理解。</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司法救助和法律援助</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12.</w:t>
      </w:r>
      <w:r w:rsidRPr="007652B4">
        <w:rPr>
          <w:kern w:val="0"/>
          <w:szCs w:val="21"/>
          <w:lang w:val="en-GB"/>
        </w:rPr>
        <w:tab/>
      </w:r>
      <w:r w:rsidRPr="007652B4">
        <w:rPr>
          <w:rFonts w:hint="eastAsia"/>
          <w:kern w:val="0"/>
          <w:szCs w:val="21"/>
          <w:lang w:val="en-GB"/>
        </w:rPr>
        <w:t>委员会注意到</w:t>
      </w:r>
      <w:r w:rsidRPr="007652B4">
        <w:rPr>
          <w:kern w:val="0"/>
          <w:szCs w:val="21"/>
          <w:lang w:val="en-GB"/>
        </w:rPr>
        <w:t>2010</w:t>
      </w:r>
      <w:r w:rsidRPr="007652B4">
        <w:rPr>
          <w:rFonts w:hint="eastAsia"/>
          <w:kern w:val="0"/>
          <w:szCs w:val="21"/>
          <w:lang w:val="en-GB"/>
        </w:rPr>
        <w:t>年通过的《法律援助法》。然而，委员会关切的是，妇女在获得司法救助方面继续面临多重障碍，包括未设</w:t>
      </w:r>
      <w:r w:rsidRPr="007652B4">
        <w:rPr>
          <w:kern w:val="0"/>
          <w:szCs w:val="21"/>
          <w:lang w:val="en-GB"/>
        </w:rPr>
        <w:t>法庭</w:t>
      </w:r>
      <w:r w:rsidRPr="007652B4">
        <w:rPr>
          <w:rFonts w:hint="eastAsia"/>
          <w:kern w:val="0"/>
          <w:szCs w:val="21"/>
          <w:lang w:val="en-GB"/>
        </w:rPr>
        <w:t>、诉讼费用、妇女缺乏法律知识，特别是在农村地区。它尤其关切的是，妇女不得不诉诸的习惯法司法机制对性别问题不敏感，并继续适用歧视性规定。委员会关切地注意到，法律援助局的人力、</w:t>
      </w:r>
      <w:r w:rsidRPr="007652B4">
        <w:rPr>
          <w:kern w:val="0"/>
          <w:szCs w:val="21"/>
          <w:lang w:val="en-GB"/>
        </w:rPr>
        <w:t xml:space="preserve"> </w:t>
      </w:r>
      <w:r w:rsidRPr="007652B4">
        <w:rPr>
          <w:rFonts w:hint="eastAsia"/>
          <w:kern w:val="0"/>
          <w:szCs w:val="21"/>
          <w:lang w:val="en-GB"/>
        </w:rPr>
        <w:t>技术和财政资源不足，其服务不能覆盖缔约国的所有区域。</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13.</w:t>
      </w:r>
      <w:r w:rsidRPr="007652B4">
        <w:rPr>
          <w:kern w:val="0"/>
          <w:szCs w:val="21"/>
          <w:lang w:val="en-GB"/>
        </w:rPr>
        <w:tab/>
      </w:r>
      <w:r w:rsidRPr="007652B4">
        <w:rPr>
          <w:rFonts w:eastAsia="黑体" w:hint="eastAsia"/>
          <w:kern w:val="0"/>
          <w:szCs w:val="21"/>
          <w:lang w:val="en-GB"/>
        </w:rPr>
        <w:t>忆及其关于妇女诉诸司法问题的第</w:t>
      </w:r>
      <w:r w:rsidRPr="007652B4">
        <w:rPr>
          <w:rFonts w:eastAsia="黑体" w:hint="eastAsia"/>
          <w:kern w:val="0"/>
          <w:szCs w:val="21"/>
          <w:lang w:val="en-GB"/>
        </w:rPr>
        <w:t>33</w:t>
      </w:r>
      <w:r>
        <w:rPr>
          <w:rFonts w:eastAsia="黑体"/>
          <w:kern w:val="0"/>
          <w:szCs w:val="21"/>
          <w:lang w:val="en-GB"/>
        </w:rPr>
        <w:t>(</w:t>
      </w:r>
      <w:r w:rsidRPr="007652B4">
        <w:rPr>
          <w:rFonts w:eastAsia="黑体"/>
          <w:kern w:val="0"/>
          <w:szCs w:val="21"/>
          <w:lang w:val="en-GB"/>
        </w:rPr>
        <w:t>2015</w:t>
      </w:r>
      <w:r>
        <w:rPr>
          <w:rFonts w:eastAsia="黑体"/>
          <w:kern w:val="0"/>
          <w:szCs w:val="21"/>
          <w:lang w:val="en-GB"/>
        </w:rPr>
        <w:t>)</w:t>
      </w:r>
      <w:r w:rsidRPr="007652B4">
        <w:rPr>
          <w:rFonts w:eastAsia="黑体" w:hint="eastAsia"/>
          <w:kern w:val="0"/>
          <w:szCs w:val="21"/>
          <w:lang w:val="en-GB"/>
        </w:rPr>
        <w:t>号一般建议，委员会建议缔约国：</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a</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确保妇女在缔约国全境可有效诉诸司法，办法是设立法庭，包括流动法庭，加强妇女的法律知识，增强妇女对其权利的意识，提供法律援助，以及确保减少低收入妇女的诉讼费用并免除生活贫困妇女的诉讼费用；</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bCs/>
          <w:kern w:val="0"/>
          <w:szCs w:val="21"/>
          <w:lang w:val="en-GB"/>
        </w:rPr>
      </w:pPr>
      <w:r>
        <w:rPr>
          <w:rFonts w:eastAsia="黑体"/>
          <w:bCs/>
          <w:kern w:val="0"/>
          <w:szCs w:val="21"/>
          <w:lang w:val="en-GB"/>
        </w:rPr>
        <w:t>(</w:t>
      </w:r>
      <w:r w:rsidRPr="007652B4">
        <w:rPr>
          <w:rFonts w:eastAsia="黑体"/>
          <w:bCs/>
          <w:kern w:val="0"/>
          <w:szCs w:val="21"/>
          <w:lang w:val="en-GB"/>
        </w:rPr>
        <w:t>b</w:t>
      </w:r>
      <w:r>
        <w:rPr>
          <w:rFonts w:eastAsia="黑体"/>
          <w:bCs/>
          <w:kern w:val="0"/>
          <w:szCs w:val="21"/>
          <w:lang w:val="en-GB"/>
        </w:rPr>
        <w:t>)</w:t>
      </w:r>
      <w:r w:rsidRPr="007652B4">
        <w:rPr>
          <w:rFonts w:eastAsia="黑体"/>
          <w:bCs/>
          <w:kern w:val="0"/>
          <w:szCs w:val="21"/>
          <w:lang w:val="en-GB"/>
        </w:rPr>
        <w:tab/>
      </w:r>
      <w:r w:rsidRPr="007652B4">
        <w:rPr>
          <w:rFonts w:eastAsia="黑体" w:hint="eastAsia"/>
          <w:bCs/>
          <w:kern w:val="0"/>
          <w:szCs w:val="21"/>
          <w:lang w:val="en-GB"/>
        </w:rPr>
        <w:t>颁布法律，调整正式司法机制与习惯司法机制之间的关系，加强各项措施，确保习惯司法机制遵从《公约》，包括对习惯司法机构进行性别敏感培训和能力建设；</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c</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向法律援助局提供充分的人力、技术和财政资源，确保其有效运作且便利所有妇女利用这一途径，尤其应关注偏远地区；</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d</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监测和评估改进诉诸司法的努力，包括对性别敏感的习惯司法机制的影响。</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提升妇女地位的国家体制和性别问题主流化</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14.</w:t>
      </w:r>
      <w:r w:rsidRPr="007652B4">
        <w:rPr>
          <w:kern w:val="0"/>
          <w:szCs w:val="21"/>
          <w:lang w:val="en-GB"/>
        </w:rPr>
        <w:tab/>
      </w:r>
      <w:r w:rsidRPr="007652B4">
        <w:rPr>
          <w:rFonts w:hint="eastAsia"/>
          <w:kern w:val="0"/>
          <w:szCs w:val="21"/>
          <w:lang w:val="en-GB"/>
        </w:rPr>
        <w:t>委员会欢迎内阁在</w:t>
      </w:r>
      <w:r w:rsidRPr="007652B4">
        <w:rPr>
          <w:kern w:val="0"/>
          <w:szCs w:val="21"/>
          <w:lang w:val="en-GB"/>
        </w:rPr>
        <w:t>2015</w:t>
      </w:r>
      <w:r w:rsidRPr="007652B4">
        <w:rPr>
          <w:rFonts w:hint="eastAsia"/>
          <w:kern w:val="0"/>
          <w:szCs w:val="21"/>
          <w:lang w:val="en-GB"/>
        </w:rPr>
        <w:t>年</w:t>
      </w:r>
      <w:r w:rsidRPr="007652B4">
        <w:rPr>
          <w:kern w:val="0"/>
          <w:szCs w:val="21"/>
          <w:lang w:val="en-GB"/>
        </w:rPr>
        <w:t>9</w:t>
      </w:r>
      <w:r w:rsidRPr="007652B4">
        <w:rPr>
          <w:rFonts w:hint="eastAsia"/>
          <w:kern w:val="0"/>
          <w:szCs w:val="21"/>
          <w:lang w:val="en-GB"/>
        </w:rPr>
        <w:t>月批准经修订的国家性别问题政策。然而，它感到关切的是，性别、儿童、残疾和社会福利部仍然缺乏足够的人力、技术和财政资源</w:t>
      </w:r>
      <w:r w:rsidRPr="007652B4">
        <w:rPr>
          <w:kern w:val="0"/>
          <w:szCs w:val="21"/>
          <w:lang w:val="en-GB"/>
        </w:rPr>
        <w:t>，以在所有领域和各个层面有效协调性别问题主流化工作，其作为职能</w:t>
      </w:r>
      <w:r w:rsidRPr="007652B4">
        <w:rPr>
          <w:rFonts w:hint="eastAsia"/>
          <w:kern w:val="0"/>
          <w:szCs w:val="21"/>
          <w:lang w:val="en-GB"/>
        </w:rPr>
        <w:t>部委的地位或许不能使之具有影响内阁决定的必要权威。委员会还关切的是，《性别平等法》没有切实地得到有效执行，这方面的原因包括拖延完成其执行和监测计划，以及未能在主要利益攸关方，例如法官和警察中进行适当传播。</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bCs/>
          <w:kern w:val="0"/>
          <w:szCs w:val="21"/>
          <w:lang w:val="en-GB"/>
        </w:rPr>
        <w:t>15.</w:t>
      </w:r>
      <w:r w:rsidRPr="007652B4">
        <w:rPr>
          <w:bCs/>
          <w:kern w:val="0"/>
          <w:szCs w:val="21"/>
          <w:lang w:val="en-GB"/>
        </w:rPr>
        <w:tab/>
      </w:r>
      <w:r w:rsidRPr="007652B4">
        <w:rPr>
          <w:rFonts w:eastAsia="黑体" w:hint="eastAsia"/>
          <w:kern w:val="0"/>
          <w:szCs w:val="21"/>
          <w:lang w:val="en-GB"/>
        </w:rPr>
        <w:t>忆及其以往建议</w:t>
      </w:r>
      <w:r>
        <w:rPr>
          <w:rFonts w:eastAsia="黑体"/>
          <w:kern w:val="0"/>
          <w:szCs w:val="21"/>
          <w:lang w:val="en-GB"/>
        </w:rPr>
        <w:t>(</w:t>
      </w:r>
      <w:r w:rsidRPr="007652B4">
        <w:rPr>
          <w:rFonts w:eastAsia="黑体" w:hint="eastAsia"/>
          <w:kern w:val="0"/>
          <w:szCs w:val="21"/>
          <w:lang w:val="en-GB"/>
        </w:rPr>
        <w:t>见</w:t>
      </w:r>
      <w:r w:rsidRPr="007652B4">
        <w:rPr>
          <w:rFonts w:eastAsia="黑体"/>
          <w:kern w:val="0"/>
          <w:szCs w:val="21"/>
          <w:lang w:val="en-GB"/>
        </w:rPr>
        <w:t xml:space="preserve">CEDAW/C/MWI/CO/6, </w:t>
      </w:r>
      <w:r w:rsidRPr="007652B4">
        <w:rPr>
          <w:rFonts w:eastAsia="黑体" w:hint="eastAsia"/>
          <w:kern w:val="0"/>
          <w:szCs w:val="21"/>
          <w:lang w:val="en-GB"/>
        </w:rPr>
        <w:t>第</w:t>
      </w:r>
      <w:r w:rsidRPr="007652B4">
        <w:rPr>
          <w:rFonts w:eastAsia="黑体"/>
          <w:kern w:val="0"/>
          <w:szCs w:val="21"/>
          <w:lang w:val="en-GB"/>
        </w:rPr>
        <w:t>19</w:t>
      </w:r>
      <w:r w:rsidRPr="007652B4">
        <w:rPr>
          <w:rFonts w:eastAsia="黑体" w:hint="eastAsia"/>
          <w:kern w:val="0"/>
          <w:szCs w:val="21"/>
          <w:lang w:val="en-GB"/>
        </w:rPr>
        <w:t>段</w:t>
      </w:r>
      <w:r>
        <w:rPr>
          <w:rFonts w:eastAsia="黑体"/>
          <w:kern w:val="0"/>
          <w:szCs w:val="21"/>
          <w:lang w:val="en-GB"/>
        </w:rPr>
        <w:t>)</w:t>
      </w:r>
      <w:r w:rsidRPr="007652B4">
        <w:rPr>
          <w:rFonts w:eastAsia="黑体" w:hint="eastAsia"/>
          <w:kern w:val="0"/>
          <w:szCs w:val="21"/>
          <w:lang w:val="en-GB"/>
        </w:rPr>
        <w:t>，委员会吁请缔约国：</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a</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确保加速通过和有效执行经修订的国家性别问题政策</w:t>
      </w:r>
      <w:r w:rsidRPr="007652B4">
        <w:rPr>
          <w:rFonts w:eastAsia="黑体" w:hint="eastAsia"/>
          <w:kern w:val="0"/>
          <w:szCs w:val="21"/>
          <w:lang w:val="en-GB"/>
        </w:rPr>
        <w:t>；</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b</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进一步加强其提高妇女地位的国家机制，为此应赋予其内阁级地位，明确其各个组成部分的任务和职责，加强其相互之间以及与民间社会的合作和协调，确保提供充分的人力和财政资源，以在各个层面有效促进妇女权利；</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c</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确保提高妇女地位的国家机制在地方一级，尤其是偏远地区有其代表；</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d</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确保在缔约国全境有效执行《性别平等法》，包括实施其执行和监测计划，广泛传播该法以及加强行政和司法机构的能力建设。</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国家人权机构</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16.</w:t>
      </w:r>
      <w:r w:rsidRPr="007652B4">
        <w:rPr>
          <w:kern w:val="0"/>
          <w:szCs w:val="21"/>
          <w:lang w:val="en-GB"/>
        </w:rPr>
        <w:tab/>
      </w:r>
      <w:r w:rsidRPr="007652B4">
        <w:rPr>
          <w:rFonts w:hint="eastAsia"/>
          <w:kern w:val="0"/>
          <w:szCs w:val="21"/>
          <w:lang w:val="en-GB"/>
        </w:rPr>
        <w:t>委员会关切的是，负责执行《性别平等法》的马拉维人权委员会不能充分地独立运作，并且缺乏足够的财政、技术和人力资源。它还感到关切的是，在该委员会</w:t>
      </w:r>
      <w:r w:rsidRPr="007652B4">
        <w:rPr>
          <w:kern w:val="0"/>
          <w:szCs w:val="21"/>
          <w:lang w:val="en-GB"/>
        </w:rPr>
        <w:t>2015</w:t>
      </w:r>
      <w:r w:rsidRPr="007652B4">
        <w:rPr>
          <w:rFonts w:hint="eastAsia"/>
          <w:kern w:val="0"/>
          <w:szCs w:val="21"/>
          <w:lang w:val="en-GB"/>
        </w:rPr>
        <w:t>年</w:t>
      </w:r>
      <w:r w:rsidRPr="007652B4">
        <w:rPr>
          <w:kern w:val="0"/>
          <w:szCs w:val="21"/>
          <w:lang w:val="en-GB"/>
        </w:rPr>
        <w:t>8</w:t>
      </w:r>
      <w:r w:rsidRPr="007652B4">
        <w:rPr>
          <w:rFonts w:hint="eastAsia"/>
          <w:kern w:val="0"/>
          <w:szCs w:val="21"/>
          <w:lang w:val="en-GB"/>
        </w:rPr>
        <w:t>月的七项任命中，只有一人为女性，同时，不存在适当的机制以便切实审议该委员会的建议。</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kern w:val="0"/>
          <w:szCs w:val="21"/>
        </w:rPr>
        <w:t>17.</w:t>
      </w:r>
      <w:r w:rsidRPr="007652B4">
        <w:rPr>
          <w:kern w:val="0"/>
          <w:szCs w:val="21"/>
        </w:rPr>
        <w:tab/>
      </w:r>
      <w:r w:rsidRPr="007652B4">
        <w:rPr>
          <w:rFonts w:eastAsia="黑体" w:hint="eastAsia"/>
          <w:bCs/>
          <w:kern w:val="0"/>
          <w:szCs w:val="21"/>
          <w:lang w:val="en-GB"/>
        </w:rPr>
        <w:t>委员会吁请缔约国按照《关于促进和保护人权的国家机构的地位的原则》</w:t>
      </w:r>
      <w:r>
        <w:rPr>
          <w:rFonts w:eastAsia="黑体" w:hint="eastAsia"/>
          <w:bCs/>
          <w:kern w:val="0"/>
          <w:szCs w:val="21"/>
          <w:lang w:val="en-GB"/>
        </w:rPr>
        <w:t>(</w:t>
      </w:r>
      <w:r w:rsidRPr="007652B4">
        <w:rPr>
          <w:rFonts w:eastAsia="黑体" w:hint="eastAsia"/>
          <w:bCs/>
          <w:kern w:val="0"/>
          <w:szCs w:val="21"/>
          <w:lang w:val="en-GB"/>
        </w:rPr>
        <w:t>《巴黎原则》</w:t>
      </w:r>
      <w:r>
        <w:rPr>
          <w:rFonts w:eastAsia="黑体" w:hint="eastAsia"/>
          <w:bCs/>
          <w:kern w:val="0"/>
          <w:szCs w:val="21"/>
          <w:lang w:val="en-GB"/>
        </w:rPr>
        <w:t>)</w:t>
      </w:r>
      <w:r w:rsidRPr="007652B4">
        <w:rPr>
          <w:rFonts w:eastAsia="黑体" w:hint="eastAsia"/>
          <w:bCs/>
          <w:kern w:val="0"/>
          <w:szCs w:val="21"/>
          <w:lang w:val="en-GB"/>
        </w:rPr>
        <w:t>，确保马拉维人权委员会享有充分的独立性，并提供足够的财政和人力资源以便其有效执行其任务。缔约国还应确保该委员会与教育部性别、儿童、残疾和社会福利部进行有效合作，并根据《性别平等法》，采取必要步骤，增加妇女委员的人数。委员会还建议缔约国建立一个有效机制，审议和落实该委员会的建议。</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暂行特别措施</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18.</w:t>
      </w:r>
      <w:r w:rsidRPr="007652B4">
        <w:rPr>
          <w:kern w:val="0"/>
          <w:szCs w:val="21"/>
          <w:lang w:val="en-GB"/>
        </w:rPr>
        <w:tab/>
      </w:r>
      <w:r w:rsidRPr="007652B4">
        <w:rPr>
          <w:rFonts w:hint="eastAsia"/>
          <w:kern w:val="0"/>
          <w:szCs w:val="21"/>
          <w:lang w:val="en-GB"/>
        </w:rPr>
        <w:t>该委员会注意到《性别平等法》在一些部门，包括公共服务和教育部门设立了不分性别的配额制度。然而，它感到关切的是，该法设想的暂行特别措施没有将《公约》的所有领域都包括在内，且没有得到一致的采用，如在人权委员会委员的聘任和法律援助局的情况中。</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19.</w:t>
      </w:r>
      <w:r w:rsidRPr="007652B4">
        <w:rPr>
          <w:kern w:val="0"/>
          <w:szCs w:val="21"/>
          <w:lang w:val="en-GB"/>
        </w:rPr>
        <w:tab/>
      </w:r>
      <w:r w:rsidRPr="007652B4">
        <w:rPr>
          <w:rFonts w:eastAsia="黑体" w:hint="eastAsia"/>
          <w:kern w:val="0"/>
          <w:szCs w:val="21"/>
          <w:lang w:val="en-GB"/>
        </w:rPr>
        <w:t>委员会建议缔约国确保有效执行《性别平等法》中载入的配额制度。缔约国还应在妇女代表性不足或处于不利地位的《公约》涵盖的所有领域中，大大增加对暂行特别措施包括配额的使用。这些措施应根据《公约》第</w:t>
      </w:r>
      <w:r w:rsidRPr="007652B4">
        <w:rPr>
          <w:rFonts w:eastAsia="黑体" w:hint="eastAsia"/>
          <w:kern w:val="0"/>
          <w:szCs w:val="21"/>
          <w:lang w:val="en-GB"/>
        </w:rPr>
        <w:t>4</w:t>
      </w:r>
      <w:r w:rsidRPr="007652B4">
        <w:rPr>
          <w:rFonts w:eastAsia="黑体" w:hint="eastAsia"/>
          <w:kern w:val="0"/>
          <w:szCs w:val="21"/>
          <w:lang w:val="en-GB"/>
        </w:rPr>
        <w:t>条第</w:t>
      </w:r>
      <w:r w:rsidRPr="007652B4">
        <w:rPr>
          <w:rFonts w:eastAsia="黑体" w:hint="eastAsia"/>
          <w:kern w:val="0"/>
          <w:szCs w:val="21"/>
          <w:lang w:val="en-GB"/>
        </w:rPr>
        <w:t>1</w:t>
      </w:r>
      <w:r w:rsidRPr="007652B4">
        <w:rPr>
          <w:rFonts w:eastAsia="黑体" w:hint="eastAsia"/>
          <w:kern w:val="0"/>
          <w:szCs w:val="21"/>
          <w:lang w:val="en-GB"/>
        </w:rPr>
        <w:t>款和委员会关于暂行特别措施的第</w:t>
      </w:r>
      <w:r w:rsidRPr="007652B4">
        <w:rPr>
          <w:rFonts w:eastAsia="黑体"/>
          <w:kern w:val="0"/>
          <w:szCs w:val="21"/>
          <w:lang w:val="en-GB"/>
        </w:rPr>
        <w:t>25</w:t>
      </w:r>
      <w:r>
        <w:rPr>
          <w:rFonts w:eastAsia="黑体"/>
          <w:kern w:val="0"/>
          <w:szCs w:val="21"/>
          <w:lang w:val="en-GB"/>
        </w:rPr>
        <w:t>(</w:t>
      </w:r>
      <w:r w:rsidRPr="007652B4">
        <w:rPr>
          <w:rFonts w:eastAsia="黑体"/>
          <w:kern w:val="0"/>
          <w:szCs w:val="21"/>
          <w:lang w:val="en-GB"/>
        </w:rPr>
        <w:t>2004</w:t>
      </w:r>
      <w:r>
        <w:rPr>
          <w:rFonts w:eastAsia="黑体"/>
          <w:kern w:val="0"/>
          <w:szCs w:val="21"/>
          <w:lang w:val="en-GB"/>
        </w:rPr>
        <w:t>)</w:t>
      </w:r>
      <w:r w:rsidRPr="007652B4">
        <w:rPr>
          <w:rFonts w:eastAsia="黑体" w:hint="eastAsia"/>
          <w:kern w:val="0"/>
          <w:szCs w:val="21"/>
          <w:lang w:val="en-GB"/>
        </w:rPr>
        <w:t>号一般性建议，包括设定具体目标和时间表，以确保实现实质性男女平等。</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陈规定型观念和有害做法</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20.</w:t>
      </w:r>
      <w:r w:rsidRPr="007652B4">
        <w:rPr>
          <w:kern w:val="0"/>
          <w:szCs w:val="21"/>
          <w:lang w:val="en-GB"/>
        </w:rPr>
        <w:tab/>
      </w:r>
      <w:r w:rsidRPr="007652B4">
        <w:rPr>
          <w:rFonts w:hint="eastAsia"/>
          <w:kern w:val="0"/>
          <w:szCs w:val="21"/>
          <w:lang w:val="en-GB"/>
        </w:rPr>
        <w:t>委员会对《性别平等法》和《儿童保育、保护和司法法》禁止有害习俗表示欢迎。不过，它深表关切的是，在男女在家庭和社会中的角色和责任问题上，存在长期以来的歧视性陈旧观念和根深蒂固的重男轻女的态度。它还继续严重关切在一些社区中屡见不鲜的有害习俗，如童婚和</w:t>
      </w:r>
      <w:r>
        <w:rPr>
          <w:rFonts w:hint="eastAsia"/>
          <w:kern w:val="0"/>
          <w:szCs w:val="21"/>
          <w:lang w:val="en-GB"/>
        </w:rPr>
        <w:t>(</w:t>
      </w:r>
      <w:r w:rsidRPr="007652B4">
        <w:rPr>
          <w:rFonts w:hint="eastAsia"/>
          <w:kern w:val="0"/>
          <w:szCs w:val="21"/>
          <w:lang w:val="en-GB"/>
        </w:rPr>
        <w:t>或</w:t>
      </w:r>
      <w:r>
        <w:rPr>
          <w:rFonts w:hint="eastAsia"/>
          <w:kern w:val="0"/>
          <w:szCs w:val="21"/>
          <w:lang w:val="en-GB"/>
        </w:rPr>
        <w:t>)</w:t>
      </w:r>
      <w:r w:rsidRPr="007652B4">
        <w:rPr>
          <w:rFonts w:hint="eastAsia"/>
          <w:kern w:val="0"/>
          <w:szCs w:val="21"/>
          <w:lang w:val="en-GB"/>
        </w:rPr>
        <w:t>强迫婚姻、残割女性生殖器官、一夫多妻制、“寡妇净化”、成人礼、导致虐待的女童仪式，以及指定与患有白化病的妇女和女童性交以祛除艾滋病毒。</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21.</w:t>
      </w:r>
      <w:r w:rsidRPr="007652B4">
        <w:rPr>
          <w:kern w:val="0"/>
          <w:szCs w:val="21"/>
          <w:lang w:val="en-GB"/>
        </w:rPr>
        <w:tab/>
      </w:r>
      <w:r w:rsidRPr="007652B4">
        <w:rPr>
          <w:rFonts w:eastAsia="黑体" w:hint="eastAsia"/>
          <w:kern w:val="0"/>
          <w:szCs w:val="21"/>
          <w:lang w:val="en-GB"/>
        </w:rPr>
        <w:t>委员会敦促缔约国切实执行现有的法律规定，禁止有害做法，确保涵盖、调查和适当处罚所有有害做法，包括第</w:t>
      </w:r>
      <w:r w:rsidRPr="007652B4">
        <w:rPr>
          <w:rFonts w:eastAsia="黑体"/>
          <w:kern w:val="0"/>
          <w:szCs w:val="21"/>
          <w:lang w:val="en-GB"/>
        </w:rPr>
        <w:t>20</w:t>
      </w:r>
      <w:r w:rsidRPr="007652B4">
        <w:rPr>
          <w:rFonts w:eastAsia="黑体" w:hint="eastAsia"/>
          <w:kern w:val="0"/>
          <w:szCs w:val="21"/>
          <w:lang w:val="en-GB"/>
        </w:rPr>
        <w:t>段载明的做法，使有害做法的受害者能够获得有效的补救措施和适当的保护机制。忆及其以往的建议</w:t>
      </w:r>
      <w:r>
        <w:rPr>
          <w:rFonts w:eastAsia="黑体"/>
          <w:kern w:val="0"/>
          <w:szCs w:val="21"/>
          <w:lang w:val="en-GB"/>
        </w:rPr>
        <w:t>(</w:t>
      </w:r>
      <w:r w:rsidRPr="007652B4">
        <w:rPr>
          <w:rFonts w:eastAsia="黑体" w:hint="eastAsia"/>
          <w:kern w:val="0"/>
          <w:szCs w:val="21"/>
          <w:lang w:val="en-GB"/>
        </w:rPr>
        <w:t>见</w:t>
      </w:r>
      <w:r w:rsidRPr="007652B4">
        <w:rPr>
          <w:rFonts w:eastAsia="黑体"/>
          <w:kern w:val="0"/>
          <w:szCs w:val="21"/>
          <w:lang w:val="en-GB"/>
        </w:rPr>
        <w:t xml:space="preserve">CEDAW/C/MWI/CO/6, </w:t>
      </w:r>
      <w:r w:rsidRPr="007652B4">
        <w:rPr>
          <w:rFonts w:eastAsia="黑体" w:hint="eastAsia"/>
          <w:kern w:val="0"/>
          <w:szCs w:val="21"/>
          <w:lang w:val="en-GB"/>
        </w:rPr>
        <w:t>第</w:t>
      </w:r>
      <w:r w:rsidRPr="007652B4">
        <w:rPr>
          <w:rFonts w:eastAsia="黑体"/>
          <w:kern w:val="0"/>
          <w:szCs w:val="21"/>
          <w:lang w:val="en-GB"/>
        </w:rPr>
        <w:t>21</w:t>
      </w:r>
      <w:r w:rsidRPr="007652B4">
        <w:rPr>
          <w:rFonts w:eastAsia="黑体" w:hint="eastAsia"/>
          <w:kern w:val="0"/>
          <w:szCs w:val="21"/>
          <w:lang w:val="en-GB"/>
        </w:rPr>
        <w:t>段</w:t>
      </w:r>
      <w:r>
        <w:rPr>
          <w:rFonts w:eastAsia="黑体"/>
          <w:kern w:val="0"/>
          <w:szCs w:val="21"/>
          <w:lang w:val="en-GB"/>
        </w:rPr>
        <w:t>)</w:t>
      </w:r>
      <w:r w:rsidRPr="007652B4">
        <w:rPr>
          <w:rFonts w:eastAsia="黑体" w:hint="eastAsia"/>
          <w:kern w:val="0"/>
          <w:szCs w:val="21"/>
          <w:lang w:val="en-GB"/>
        </w:rPr>
        <w:t>，并按照《公约》第</w:t>
      </w:r>
      <w:r w:rsidRPr="007652B4">
        <w:rPr>
          <w:rFonts w:eastAsia="黑体" w:hint="eastAsia"/>
          <w:kern w:val="0"/>
          <w:szCs w:val="21"/>
          <w:lang w:val="en-GB"/>
        </w:rPr>
        <w:t>5</w:t>
      </w:r>
      <w:r>
        <w:rPr>
          <w:rFonts w:eastAsia="黑体"/>
          <w:kern w:val="0"/>
          <w:szCs w:val="21"/>
          <w:lang w:val="en-GB"/>
        </w:rPr>
        <w:t>(</w:t>
      </w:r>
      <w:r w:rsidRPr="007652B4">
        <w:rPr>
          <w:rFonts w:eastAsia="黑体"/>
          <w:kern w:val="0"/>
          <w:szCs w:val="21"/>
          <w:lang w:val="en-GB"/>
        </w:rPr>
        <w:t>b</w:t>
      </w:r>
      <w:r>
        <w:rPr>
          <w:rFonts w:eastAsia="黑体"/>
          <w:kern w:val="0"/>
          <w:szCs w:val="21"/>
          <w:lang w:val="en-GB"/>
        </w:rPr>
        <w:t>)</w:t>
      </w:r>
      <w:r w:rsidRPr="007652B4">
        <w:rPr>
          <w:rFonts w:eastAsia="黑体" w:hint="eastAsia"/>
          <w:kern w:val="0"/>
          <w:szCs w:val="21"/>
          <w:lang w:val="en-GB"/>
        </w:rPr>
        <w:t>条的规定，缔约国应尽快采取全面的战略，消除对于男女在社会和家庭中角色和责任上的歧视性陈规定型观念以及歧视妇女的有害做法，创造一个有助于妇女行使人权的扶持性环境。该战略还应包括针对社会各阶层男女，并特别注重传统领导人的全面教育和宣传方案。缔约国还应监测和定期评估其各项措施的影响。</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暴力侵害妇女行为</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22.</w:t>
      </w:r>
      <w:r w:rsidRPr="007652B4">
        <w:rPr>
          <w:kern w:val="0"/>
          <w:szCs w:val="21"/>
          <w:lang w:val="en-GB"/>
        </w:rPr>
        <w:tab/>
      </w:r>
      <w:r w:rsidRPr="007652B4">
        <w:rPr>
          <w:rFonts w:hint="eastAsia"/>
          <w:kern w:val="0"/>
          <w:szCs w:val="21"/>
          <w:lang w:val="en-GB"/>
        </w:rPr>
        <w:t>委员会深表关切的是，暴力侵害妇女行为，包括家庭暴力，在缔约国仍然很普遍。它特别关切的是，未将婚内强奸性定为犯罪；法庭实施“强化证据规则”，即在性犯罪案件中，需要有证人的证词才能定罪，以及对暴力受害妇女缺乏保护、支持和康复服务。</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23.</w:t>
      </w:r>
      <w:r w:rsidRPr="007652B4">
        <w:rPr>
          <w:kern w:val="0"/>
          <w:szCs w:val="21"/>
          <w:lang w:val="en-GB"/>
        </w:rPr>
        <w:tab/>
      </w:r>
      <w:r w:rsidRPr="007652B4">
        <w:rPr>
          <w:rFonts w:eastAsia="黑体" w:hint="eastAsia"/>
          <w:kern w:val="0"/>
          <w:szCs w:val="21"/>
          <w:lang w:val="en-GB"/>
        </w:rPr>
        <w:t>忆及其关于暴力侵害妇女问题的第</w:t>
      </w:r>
      <w:r w:rsidRPr="007652B4">
        <w:rPr>
          <w:rFonts w:eastAsia="黑体"/>
          <w:kern w:val="0"/>
          <w:szCs w:val="21"/>
          <w:lang w:val="en-GB"/>
        </w:rPr>
        <w:t>19</w:t>
      </w:r>
      <w:r>
        <w:rPr>
          <w:rFonts w:eastAsia="黑体"/>
          <w:kern w:val="0"/>
          <w:szCs w:val="21"/>
          <w:lang w:val="en-GB"/>
        </w:rPr>
        <w:t>(</w:t>
      </w:r>
      <w:r w:rsidRPr="007652B4">
        <w:rPr>
          <w:rFonts w:eastAsia="黑体"/>
          <w:kern w:val="0"/>
          <w:szCs w:val="21"/>
          <w:lang w:val="en-GB"/>
        </w:rPr>
        <w:t>1992</w:t>
      </w:r>
      <w:r>
        <w:rPr>
          <w:rFonts w:eastAsia="黑体"/>
          <w:kern w:val="0"/>
          <w:szCs w:val="21"/>
          <w:lang w:val="en-GB"/>
        </w:rPr>
        <w:t>)</w:t>
      </w:r>
      <w:r w:rsidRPr="007652B4">
        <w:rPr>
          <w:rFonts w:eastAsia="黑体" w:hint="eastAsia"/>
          <w:kern w:val="0"/>
          <w:szCs w:val="21"/>
          <w:lang w:val="en-GB"/>
        </w:rPr>
        <w:t>号一般性建议，委员会敦促缔约国：</w:t>
      </w:r>
    </w:p>
    <w:p w:rsidR="007652B4" w:rsidRPr="007652B4" w:rsidRDefault="007652B4" w:rsidP="007652B4">
      <w:pPr>
        <w:tabs>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Pr>
          <w:rFonts w:eastAsia="黑体"/>
          <w:kern w:val="0"/>
          <w:szCs w:val="21"/>
        </w:rPr>
        <w:t>(</w:t>
      </w:r>
      <w:r w:rsidRPr="007652B4">
        <w:rPr>
          <w:rFonts w:eastAsia="黑体"/>
          <w:kern w:val="0"/>
          <w:szCs w:val="21"/>
        </w:rPr>
        <w:t>a</w:t>
      </w:r>
      <w:r>
        <w:rPr>
          <w:rFonts w:eastAsia="黑体"/>
          <w:kern w:val="0"/>
          <w:szCs w:val="21"/>
        </w:rPr>
        <w:t>)</w:t>
      </w:r>
      <w:r w:rsidRPr="007652B4">
        <w:rPr>
          <w:rFonts w:eastAsia="黑体"/>
          <w:kern w:val="0"/>
          <w:szCs w:val="21"/>
        </w:rPr>
        <w:tab/>
      </w:r>
      <w:r w:rsidRPr="007652B4">
        <w:rPr>
          <w:rFonts w:eastAsia="黑体" w:hint="eastAsia"/>
          <w:kern w:val="0"/>
          <w:szCs w:val="21"/>
        </w:rPr>
        <w:t>加快修订打击性别暴力国家行动计划</w:t>
      </w:r>
      <w:r>
        <w:rPr>
          <w:rFonts w:eastAsia="黑体" w:hint="eastAsia"/>
          <w:kern w:val="0"/>
          <w:szCs w:val="21"/>
        </w:rPr>
        <w:t>(</w:t>
      </w:r>
      <w:r w:rsidRPr="007652B4">
        <w:rPr>
          <w:rFonts w:eastAsia="黑体"/>
          <w:kern w:val="0"/>
          <w:szCs w:val="21"/>
        </w:rPr>
        <w:t>2014-2018</w:t>
      </w:r>
      <w:r w:rsidRPr="007652B4">
        <w:rPr>
          <w:rFonts w:eastAsia="黑体" w:hint="eastAsia"/>
          <w:kern w:val="0"/>
          <w:szCs w:val="21"/>
        </w:rPr>
        <w:t>年</w:t>
      </w:r>
      <w:r>
        <w:rPr>
          <w:rFonts w:eastAsia="黑体" w:hint="eastAsia"/>
          <w:kern w:val="0"/>
          <w:szCs w:val="21"/>
        </w:rPr>
        <w:t>)</w:t>
      </w:r>
      <w:r w:rsidRPr="007652B4">
        <w:rPr>
          <w:rFonts w:eastAsia="黑体" w:hint="eastAsia"/>
          <w:kern w:val="0"/>
          <w:szCs w:val="21"/>
        </w:rPr>
        <w:t>，确保系统和切实执行该计划，包括建立部际协调机制和实施与暴力侵害妇女行为有关的所有法律，以及监测和评估这些机制和法律的影响；</w:t>
      </w:r>
    </w:p>
    <w:p w:rsidR="007652B4" w:rsidRPr="007652B4" w:rsidRDefault="007652B4" w:rsidP="007652B4">
      <w:pPr>
        <w:tabs>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Pr>
          <w:rFonts w:eastAsia="黑体"/>
          <w:kern w:val="0"/>
          <w:szCs w:val="21"/>
        </w:rPr>
        <w:t>(</w:t>
      </w:r>
      <w:r w:rsidRPr="007652B4">
        <w:rPr>
          <w:rFonts w:eastAsia="黑体"/>
          <w:kern w:val="0"/>
          <w:szCs w:val="21"/>
        </w:rPr>
        <w:t>b</w:t>
      </w:r>
      <w:r>
        <w:rPr>
          <w:rFonts w:eastAsia="黑体"/>
          <w:kern w:val="0"/>
          <w:szCs w:val="21"/>
        </w:rPr>
        <w:t>)</w:t>
      </w:r>
      <w:r w:rsidRPr="007652B4">
        <w:rPr>
          <w:rFonts w:eastAsia="黑体"/>
          <w:kern w:val="0"/>
          <w:szCs w:val="21"/>
        </w:rPr>
        <w:tab/>
      </w:r>
      <w:r w:rsidRPr="007652B4">
        <w:rPr>
          <w:rFonts w:eastAsia="黑体" w:hint="eastAsia"/>
          <w:kern w:val="0"/>
          <w:szCs w:val="21"/>
        </w:rPr>
        <w:t>特别将婚内强奸定为犯罪，确保在法律和实践中，与性犯罪有关的刑事案件的证据要求不会导致犯罪者有罪不罚；</w:t>
      </w:r>
    </w:p>
    <w:p w:rsidR="007652B4" w:rsidRPr="007652B4" w:rsidRDefault="007652B4" w:rsidP="007652B4">
      <w:pPr>
        <w:tabs>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Pr>
          <w:rFonts w:eastAsia="黑体"/>
          <w:kern w:val="0"/>
          <w:szCs w:val="21"/>
        </w:rPr>
        <w:t>(</w:t>
      </w:r>
      <w:r w:rsidRPr="007652B4">
        <w:rPr>
          <w:rFonts w:eastAsia="黑体"/>
          <w:kern w:val="0"/>
          <w:szCs w:val="21"/>
        </w:rPr>
        <w:t>c</w:t>
      </w:r>
      <w:r>
        <w:rPr>
          <w:rFonts w:eastAsia="黑体"/>
          <w:kern w:val="0"/>
          <w:szCs w:val="21"/>
        </w:rPr>
        <w:t>)</w:t>
      </w:r>
      <w:r w:rsidRPr="007652B4">
        <w:rPr>
          <w:rFonts w:eastAsia="黑体"/>
          <w:kern w:val="0"/>
          <w:szCs w:val="21"/>
        </w:rPr>
        <w:tab/>
      </w:r>
      <w:r w:rsidRPr="007652B4">
        <w:rPr>
          <w:rFonts w:eastAsia="黑体" w:hint="eastAsia"/>
          <w:kern w:val="0"/>
          <w:szCs w:val="21"/>
        </w:rPr>
        <w:t>鼓励妇女向政府机构举报暴力事件，包括家庭暴力事件，为此，应消除对受害者的污名化，针对法官、检察官、警官和其他执法官员推行能力建设方案，促使他们严格执行关于暴力侵害妇女的刑法条款，并提高公众对此类行为的犯罪性质的认识；</w:t>
      </w:r>
    </w:p>
    <w:p w:rsidR="007652B4" w:rsidRPr="007652B4" w:rsidRDefault="007652B4" w:rsidP="007652B4">
      <w:pPr>
        <w:tabs>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Pr>
          <w:rFonts w:eastAsia="黑体"/>
          <w:kern w:val="0"/>
          <w:szCs w:val="21"/>
        </w:rPr>
        <w:t>(</w:t>
      </w:r>
      <w:r w:rsidRPr="007652B4">
        <w:rPr>
          <w:rFonts w:eastAsia="黑体"/>
          <w:kern w:val="0"/>
          <w:szCs w:val="21"/>
        </w:rPr>
        <w:t>d</w:t>
      </w:r>
      <w:r>
        <w:rPr>
          <w:rFonts w:eastAsia="黑体"/>
          <w:kern w:val="0"/>
          <w:szCs w:val="21"/>
        </w:rPr>
        <w:t>)</w:t>
      </w:r>
      <w:r w:rsidRPr="007652B4">
        <w:rPr>
          <w:rFonts w:eastAsia="黑体"/>
          <w:kern w:val="0"/>
          <w:szCs w:val="21"/>
        </w:rPr>
        <w:tab/>
      </w:r>
      <w:r w:rsidRPr="007652B4">
        <w:rPr>
          <w:rFonts w:eastAsia="黑体" w:hint="eastAsia"/>
          <w:kern w:val="0"/>
          <w:szCs w:val="21"/>
        </w:rPr>
        <w:t>确保彻底和切实调查所有暴力侵害妇女案件，包括在此过程中加强对现代法医方法和技术的使用，同时，依职权起诉犯罪者并予以相应惩罚；</w:t>
      </w:r>
    </w:p>
    <w:p w:rsidR="007652B4" w:rsidRPr="007652B4" w:rsidRDefault="007652B4" w:rsidP="007652B4">
      <w:pPr>
        <w:tabs>
          <w:tab w:val="left" w:pos="1695"/>
        </w:tabs>
        <w:suppressAutoHyphens/>
        <w:overflowPunct w:val="0"/>
        <w:autoSpaceDE w:val="0"/>
        <w:autoSpaceDN w:val="0"/>
        <w:spacing w:after="120"/>
        <w:ind w:left="1134" w:right="1134" w:firstLineChars="202" w:firstLine="424"/>
        <w:rPr>
          <w:kern w:val="0"/>
          <w:szCs w:val="21"/>
          <w:lang w:val="en-GB"/>
        </w:rPr>
      </w:pPr>
      <w:r>
        <w:rPr>
          <w:rFonts w:eastAsia="黑体"/>
          <w:kern w:val="0"/>
          <w:szCs w:val="21"/>
          <w:lang w:val="en-GB"/>
        </w:rPr>
        <w:t>(</w:t>
      </w:r>
      <w:r w:rsidRPr="007652B4">
        <w:rPr>
          <w:rFonts w:eastAsia="黑体"/>
          <w:kern w:val="0"/>
          <w:szCs w:val="21"/>
          <w:lang w:val="en-GB"/>
        </w:rPr>
        <w:t>e</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加强对暴力受害妇女的服务，包括在缔约国全境设立庇护所，确保制定心理康复和重新融入社会方案。</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贩运人口和利用妇女卖淫营利</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24.</w:t>
      </w:r>
      <w:r w:rsidRPr="007652B4">
        <w:rPr>
          <w:kern w:val="0"/>
          <w:szCs w:val="21"/>
          <w:lang w:val="en-GB"/>
        </w:rPr>
        <w:tab/>
      </w:r>
      <w:r w:rsidRPr="007652B4">
        <w:rPr>
          <w:rFonts w:hint="eastAsia"/>
          <w:kern w:val="0"/>
          <w:szCs w:val="21"/>
          <w:lang w:val="en-GB"/>
        </w:rPr>
        <w:t>委员会欢迎通过《打击贩运人口法》，它感到关切的是，贩运妇女和女童的案件数量很多，不断增加，对新法缺乏了解，以及对受害者的保护和援助有限。委员会还关切的是，卖淫妇女面对各种形式的歧视和刑事</w:t>
      </w:r>
      <w:r w:rsidRPr="007652B4">
        <w:rPr>
          <w:kern w:val="0"/>
          <w:szCs w:val="21"/>
          <w:lang w:val="en-GB"/>
        </w:rPr>
        <w:t>制裁，</w:t>
      </w:r>
      <w:r w:rsidRPr="007652B4">
        <w:rPr>
          <w:rFonts w:hint="eastAsia"/>
          <w:kern w:val="0"/>
          <w:szCs w:val="21"/>
          <w:lang w:val="en-GB"/>
        </w:rPr>
        <w:t>针对</w:t>
      </w:r>
      <w:r w:rsidRPr="007652B4">
        <w:rPr>
          <w:kern w:val="0"/>
          <w:szCs w:val="21"/>
          <w:lang w:val="en-GB"/>
        </w:rPr>
        <w:t>希望脱离卖淫业的妇女</w:t>
      </w:r>
      <w:r w:rsidRPr="007652B4">
        <w:rPr>
          <w:rFonts w:hint="eastAsia"/>
          <w:kern w:val="0"/>
          <w:szCs w:val="21"/>
          <w:lang w:val="en-GB"/>
        </w:rPr>
        <w:t>没有充分的方案。</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25.</w:t>
      </w:r>
      <w:r w:rsidRPr="007652B4">
        <w:rPr>
          <w:kern w:val="0"/>
          <w:szCs w:val="21"/>
          <w:lang w:val="en-GB"/>
        </w:rPr>
        <w:tab/>
      </w:r>
      <w:r w:rsidRPr="007652B4">
        <w:rPr>
          <w:rFonts w:eastAsia="黑体" w:hint="eastAsia"/>
          <w:kern w:val="0"/>
          <w:szCs w:val="21"/>
          <w:lang w:val="en-GB"/>
        </w:rPr>
        <w:t>委员会建议缔约国：</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a</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切实执行《打击贩运人口法》，包括规定执行时限，确保该法的广泛传播，开展各种宣传活动，向有关专业团体提供能力建设；</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b</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建立适当机制，旨在早期识别、转送和支持贩运人口活动的受害者，包括向他们提供进入庇护所的机会和适当的法律、医疗和社会心理援助；</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c</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加强努力，开展双边、区域和国际合作，包括交流信息，以防止人口贩运，并便利起诉人贩子；</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d</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探讨贩运妇女和女童以及利用卖淫营利的根本原因，并加以解决；</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e</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确保起诉和相应惩罚人贩子和其他卷入利用妇女卖淫营利活动的行为者；</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f</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撤销歧视性法律规定，例如《刑法》第</w:t>
      </w:r>
      <w:r w:rsidRPr="007652B4">
        <w:rPr>
          <w:rFonts w:eastAsia="黑体"/>
          <w:kern w:val="0"/>
          <w:szCs w:val="21"/>
          <w:lang w:val="en-GB"/>
        </w:rPr>
        <w:t>180</w:t>
      </w:r>
      <w:r w:rsidRPr="007652B4">
        <w:rPr>
          <w:rFonts w:eastAsia="黑体" w:hint="eastAsia"/>
          <w:kern w:val="0"/>
          <w:szCs w:val="21"/>
          <w:lang w:val="en-GB"/>
        </w:rPr>
        <w:t>和</w:t>
      </w:r>
      <w:r w:rsidRPr="007652B4">
        <w:rPr>
          <w:rFonts w:eastAsia="黑体"/>
          <w:kern w:val="0"/>
          <w:szCs w:val="21"/>
          <w:lang w:val="en-GB"/>
        </w:rPr>
        <w:t>184</w:t>
      </w:r>
      <w:r w:rsidRPr="007652B4">
        <w:rPr>
          <w:rFonts w:eastAsia="黑体" w:hint="eastAsia"/>
          <w:kern w:val="0"/>
          <w:szCs w:val="21"/>
          <w:lang w:val="en-GB"/>
        </w:rPr>
        <w:t>条，消除卖淫妇女面对的歧视性做法，包括在她们接受卫生保健服务时的此类做法；</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g</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采取措施，减少对卖淫的需求，制定卖淫妇女的退出方案，包括提供替代性创收机会；</w:t>
      </w:r>
    </w:p>
    <w:p w:rsidR="007652B4" w:rsidRPr="007652B4" w:rsidRDefault="007652B4" w:rsidP="007652B4">
      <w:pPr>
        <w:tabs>
          <w:tab w:val="left" w:pos="1560"/>
        </w:tabs>
        <w:suppressAutoHyphens/>
        <w:overflowPunct w:val="0"/>
        <w:autoSpaceDE w:val="0"/>
        <w:autoSpaceDN w:val="0"/>
        <w:spacing w:after="120"/>
        <w:ind w:left="1134" w:right="1134" w:firstLine="426"/>
        <w:rPr>
          <w:rFonts w:eastAsia="黑体"/>
          <w:kern w:val="0"/>
          <w:szCs w:val="21"/>
          <w:lang w:val="en-GB"/>
        </w:rPr>
      </w:pPr>
      <w:r>
        <w:rPr>
          <w:rFonts w:eastAsia="黑体"/>
          <w:kern w:val="0"/>
          <w:szCs w:val="21"/>
          <w:lang w:val="en-GB"/>
        </w:rPr>
        <w:t>(</w:t>
      </w:r>
      <w:r w:rsidRPr="007652B4">
        <w:rPr>
          <w:rFonts w:eastAsia="黑体"/>
          <w:kern w:val="0"/>
          <w:szCs w:val="21"/>
          <w:lang w:val="en-GB"/>
        </w:rPr>
        <w:t>h</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确保系统监测，包括加强其数据库，并评估所采取各项措施的影响。</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参与政治和公共生活</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26.</w:t>
      </w:r>
      <w:r w:rsidRPr="007652B4">
        <w:rPr>
          <w:kern w:val="0"/>
          <w:szCs w:val="21"/>
          <w:lang w:val="en-GB"/>
        </w:rPr>
        <w:tab/>
      </w:r>
      <w:r w:rsidRPr="007652B4">
        <w:rPr>
          <w:rFonts w:hint="eastAsia"/>
          <w:kern w:val="0"/>
          <w:szCs w:val="21"/>
          <w:lang w:val="en-GB"/>
        </w:rPr>
        <w:t>委员会注意到缔约国已采取措施，促进妇女参与政治和公共生活，例如</w:t>
      </w:r>
      <w:r w:rsidRPr="007652B4">
        <w:rPr>
          <w:kern w:val="0"/>
          <w:szCs w:val="21"/>
          <w:lang w:val="en-GB"/>
        </w:rPr>
        <w:t>50</w:t>
      </w:r>
      <w:r w:rsidRPr="007652B4">
        <w:rPr>
          <w:rFonts w:hint="eastAsia"/>
          <w:kern w:val="0"/>
          <w:szCs w:val="21"/>
          <w:lang w:val="en-GB"/>
        </w:rPr>
        <w:t>：</w:t>
      </w:r>
      <w:r w:rsidRPr="007652B4">
        <w:rPr>
          <w:kern w:val="0"/>
          <w:szCs w:val="21"/>
          <w:lang w:val="en-GB"/>
        </w:rPr>
        <w:t>50</w:t>
      </w:r>
      <w:r w:rsidRPr="007652B4">
        <w:rPr>
          <w:rFonts w:hint="eastAsia"/>
          <w:kern w:val="0"/>
          <w:szCs w:val="21"/>
          <w:lang w:val="en-GB"/>
        </w:rPr>
        <w:t>运动。然而，它感到关切的是，在各级决策机构，包括国民大会、行政机构、政党、外交和公共服务中以及地方一级，妇女的代表性仍然明显不足。</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27.</w:t>
      </w:r>
      <w:r w:rsidRPr="007652B4">
        <w:rPr>
          <w:kern w:val="0"/>
          <w:szCs w:val="21"/>
          <w:lang w:val="en-GB"/>
        </w:rPr>
        <w:tab/>
      </w:r>
      <w:r w:rsidRPr="007652B4">
        <w:rPr>
          <w:rFonts w:eastAsia="黑体" w:hint="eastAsia"/>
          <w:kern w:val="0"/>
          <w:szCs w:val="21"/>
          <w:lang w:val="en-GB"/>
        </w:rPr>
        <w:t>忆及其以往的建议</w:t>
      </w:r>
      <w:r>
        <w:rPr>
          <w:rFonts w:eastAsia="黑体"/>
          <w:kern w:val="0"/>
          <w:szCs w:val="21"/>
          <w:lang w:val="en-GB"/>
        </w:rPr>
        <w:t>(</w:t>
      </w:r>
      <w:r w:rsidRPr="007652B4">
        <w:rPr>
          <w:rFonts w:eastAsia="黑体" w:hint="eastAsia"/>
          <w:kern w:val="0"/>
          <w:szCs w:val="21"/>
          <w:lang w:val="en-GB"/>
        </w:rPr>
        <w:t>见</w:t>
      </w:r>
      <w:r w:rsidRPr="007652B4">
        <w:rPr>
          <w:rFonts w:eastAsia="黑体"/>
          <w:kern w:val="0"/>
          <w:szCs w:val="21"/>
          <w:lang w:val="en-GB"/>
        </w:rPr>
        <w:t xml:space="preserve">CEDAW/C/MWI/CO/6, </w:t>
      </w:r>
      <w:r w:rsidRPr="007652B4">
        <w:rPr>
          <w:rFonts w:eastAsia="黑体" w:hint="eastAsia"/>
          <w:kern w:val="0"/>
          <w:szCs w:val="21"/>
          <w:lang w:val="en-GB"/>
        </w:rPr>
        <w:t>第</w:t>
      </w:r>
      <w:r w:rsidRPr="007652B4">
        <w:rPr>
          <w:rFonts w:eastAsia="黑体"/>
          <w:kern w:val="0"/>
          <w:szCs w:val="21"/>
          <w:lang w:val="en-GB"/>
        </w:rPr>
        <w:t>27</w:t>
      </w:r>
      <w:r w:rsidRPr="007652B4">
        <w:rPr>
          <w:rFonts w:eastAsia="黑体" w:hint="eastAsia"/>
          <w:kern w:val="0"/>
          <w:szCs w:val="21"/>
          <w:lang w:val="en-GB"/>
        </w:rPr>
        <w:t>段</w:t>
      </w:r>
      <w:r>
        <w:rPr>
          <w:rFonts w:eastAsia="黑体"/>
          <w:kern w:val="0"/>
          <w:szCs w:val="21"/>
          <w:lang w:val="en-GB"/>
        </w:rPr>
        <w:t>)</w:t>
      </w:r>
      <w:r w:rsidRPr="007652B4">
        <w:rPr>
          <w:rFonts w:eastAsia="黑体" w:hint="eastAsia"/>
          <w:kern w:val="0"/>
          <w:szCs w:val="21"/>
          <w:lang w:val="en-GB"/>
        </w:rPr>
        <w:t>，委员会吁请缔约国加强努力，提高妇女在政治和公共生活中的代表性。尤其是，它建议缔约国：</w:t>
      </w:r>
    </w:p>
    <w:p w:rsidR="007652B4" w:rsidRPr="007652B4" w:rsidRDefault="007652B4" w:rsidP="007652B4">
      <w:pPr>
        <w:tabs>
          <w:tab w:val="left" w:pos="1560"/>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Pr>
          <w:rFonts w:eastAsia="黑体"/>
          <w:kern w:val="0"/>
          <w:szCs w:val="21"/>
        </w:rPr>
        <w:t>(</w:t>
      </w:r>
      <w:r w:rsidRPr="007652B4">
        <w:rPr>
          <w:rFonts w:eastAsia="黑体"/>
          <w:kern w:val="0"/>
          <w:szCs w:val="21"/>
        </w:rPr>
        <w:t>a</w:t>
      </w:r>
      <w:r>
        <w:rPr>
          <w:rFonts w:eastAsia="黑体"/>
          <w:kern w:val="0"/>
          <w:szCs w:val="21"/>
        </w:rPr>
        <w:t>)</w:t>
      </w:r>
      <w:r w:rsidRPr="007652B4">
        <w:rPr>
          <w:rFonts w:eastAsia="黑体"/>
          <w:kern w:val="0"/>
          <w:szCs w:val="21"/>
        </w:rPr>
        <w:tab/>
      </w:r>
      <w:r w:rsidRPr="007652B4">
        <w:rPr>
          <w:rFonts w:eastAsia="黑体" w:hint="eastAsia"/>
          <w:kern w:val="0"/>
          <w:szCs w:val="21"/>
        </w:rPr>
        <w:t>加速修订相关选举法的进程，规定在政党选举名单和政党执行机构的组成中执行妇女候选人最低限度配额，包括对不遵守此类配额的处罚；</w:t>
      </w:r>
    </w:p>
    <w:p w:rsidR="007652B4" w:rsidRPr="007652B4" w:rsidRDefault="007652B4" w:rsidP="007652B4">
      <w:pPr>
        <w:tabs>
          <w:tab w:val="left" w:pos="1560"/>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sidRPr="007652B4">
        <w:rPr>
          <w:rFonts w:eastAsia="黑体"/>
          <w:kern w:val="0"/>
          <w:szCs w:val="21"/>
        </w:rPr>
        <w:tab/>
      </w:r>
      <w:r>
        <w:rPr>
          <w:rFonts w:eastAsia="黑体"/>
          <w:kern w:val="0"/>
          <w:szCs w:val="21"/>
        </w:rPr>
        <w:t>(</w:t>
      </w:r>
      <w:r w:rsidRPr="007652B4">
        <w:rPr>
          <w:rFonts w:eastAsia="黑体"/>
          <w:kern w:val="0"/>
          <w:szCs w:val="21"/>
        </w:rPr>
        <w:t>b</w:t>
      </w:r>
      <w:r>
        <w:rPr>
          <w:rFonts w:eastAsia="黑体"/>
          <w:kern w:val="0"/>
          <w:szCs w:val="21"/>
        </w:rPr>
        <w:t>)</w:t>
      </w:r>
      <w:r w:rsidRPr="007652B4">
        <w:rPr>
          <w:rFonts w:eastAsia="黑体"/>
          <w:kern w:val="0"/>
          <w:szCs w:val="21"/>
        </w:rPr>
        <w:tab/>
      </w:r>
      <w:r w:rsidRPr="007652B4">
        <w:rPr>
          <w:rFonts w:eastAsia="黑体" w:hint="eastAsia"/>
          <w:kern w:val="0"/>
          <w:szCs w:val="21"/>
        </w:rPr>
        <w:t>确保切实执行《性别平等法》所载的各项措施；</w:t>
      </w:r>
    </w:p>
    <w:p w:rsidR="007652B4" w:rsidRPr="007652B4" w:rsidRDefault="007652B4" w:rsidP="007652B4">
      <w:pPr>
        <w:tabs>
          <w:tab w:val="left" w:pos="1560"/>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sidRPr="007652B4">
        <w:rPr>
          <w:rFonts w:eastAsia="黑体"/>
          <w:kern w:val="0"/>
          <w:szCs w:val="21"/>
        </w:rPr>
        <w:tab/>
      </w:r>
      <w:r>
        <w:rPr>
          <w:rFonts w:eastAsia="黑体"/>
          <w:kern w:val="0"/>
          <w:szCs w:val="21"/>
        </w:rPr>
        <w:t>(</w:t>
      </w:r>
      <w:r w:rsidRPr="007652B4">
        <w:rPr>
          <w:rFonts w:eastAsia="黑体"/>
          <w:kern w:val="0"/>
          <w:szCs w:val="21"/>
        </w:rPr>
        <w:t>c</w:t>
      </w:r>
      <w:r>
        <w:rPr>
          <w:rFonts w:eastAsia="黑体"/>
          <w:kern w:val="0"/>
          <w:szCs w:val="21"/>
        </w:rPr>
        <w:t>)</w:t>
      </w:r>
      <w:r w:rsidRPr="007652B4">
        <w:rPr>
          <w:rFonts w:eastAsia="黑体"/>
          <w:kern w:val="0"/>
          <w:szCs w:val="21"/>
        </w:rPr>
        <w:tab/>
      </w:r>
      <w:r w:rsidRPr="007652B4">
        <w:rPr>
          <w:rFonts w:eastAsia="黑体" w:hint="eastAsia"/>
          <w:kern w:val="0"/>
          <w:szCs w:val="21"/>
        </w:rPr>
        <w:t>消除妇女有限参与政治和公共生活的根源，例如对妇女的负面和歧视性态度；</w:t>
      </w:r>
    </w:p>
    <w:p w:rsidR="007652B4" w:rsidRPr="007652B4" w:rsidRDefault="007652B4" w:rsidP="007652B4">
      <w:pPr>
        <w:tabs>
          <w:tab w:val="left" w:pos="1560"/>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sidRPr="007652B4">
        <w:rPr>
          <w:rFonts w:eastAsia="黑体"/>
          <w:kern w:val="0"/>
          <w:szCs w:val="21"/>
        </w:rPr>
        <w:tab/>
      </w:r>
      <w:r>
        <w:rPr>
          <w:rFonts w:eastAsia="黑体"/>
          <w:kern w:val="0"/>
          <w:szCs w:val="21"/>
        </w:rPr>
        <w:t>(</w:t>
      </w:r>
      <w:r w:rsidRPr="007652B4">
        <w:rPr>
          <w:rFonts w:eastAsia="黑体"/>
          <w:kern w:val="0"/>
          <w:szCs w:val="21"/>
        </w:rPr>
        <w:t>d</w:t>
      </w:r>
      <w:r>
        <w:rPr>
          <w:rFonts w:eastAsia="黑体"/>
          <w:kern w:val="0"/>
          <w:szCs w:val="21"/>
        </w:rPr>
        <w:t>)</w:t>
      </w:r>
      <w:r w:rsidRPr="007652B4">
        <w:rPr>
          <w:rFonts w:eastAsia="黑体"/>
          <w:kern w:val="0"/>
          <w:szCs w:val="21"/>
        </w:rPr>
        <w:tab/>
      </w:r>
      <w:r w:rsidRPr="007652B4">
        <w:rPr>
          <w:rFonts w:eastAsia="黑体" w:hint="eastAsia"/>
          <w:kern w:val="0"/>
          <w:szCs w:val="21"/>
        </w:rPr>
        <w:t>针对可能的女性候选人的领导才能提供财政支持和能力建设方案；</w:t>
      </w:r>
    </w:p>
    <w:p w:rsidR="007652B4" w:rsidRPr="007652B4" w:rsidRDefault="007652B4" w:rsidP="007652B4">
      <w:pPr>
        <w:tabs>
          <w:tab w:val="left" w:pos="1560"/>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pacing w:after="120"/>
        <w:ind w:leftChars="540" w:left="1134" w:right="1264" w:firstLineChars="202" w:firstLine="424"/>
        <w:rPr>
          <w:rFonts w:eastAsia="黑体"/>
          <w:kern w:val="0"/>
          <w:szCs w:val="21"/>
        </w:rPr>
      </w:pPr>
      <w:r w:rsidRPr="007652B4">
        <w:rPr>
          <w:rFonts w:eastAsia="黑体"/>
          <w:kern w:val="0"/>
          <w:szCs w:val="21"/>
        </w:rPr>
        <w:tab/>
      </w:r>
      <w:r>
        <w:rPr>
          <w:rFonts w:eastAsia="黑体"/>
          <w:kern w:val="0"/>
          <w:szCs w:val="21"/>
        </w:rPr>
        <w:t>(</w:t>
      </w:r>
      <w:r w:rsidRPr="007652B4">
        <w:rPr>
          <w:rFonts w:eastAsia="黑体"/>
          <w:kern w:val="0"/>
          <w:szCs w:val="21"/>
        </w:rPr>
        <w:t>e</w:t>
      </w:r>
      <w:r>
        <w:rPr>
          <w:rFonts w:eastAsia="黑体"/>
          <w:kern w:val="0"/>
          <w:szCs w:val="21"/>
        </w:rPr>
        <w:t>)</w:t>
      </w:r>
      <w:r w:rsidRPr="007652B4">
        <w:rPr>
          <w:rFonts w:eastAsia="黑体"/>
          <w:kern w:val="0"/>
          <w:szCs w:val="21"/>
        </w:rPr>
        <w:tab/>
      </w:r>
      <w:r w:rsidRPr="007652B4">
        <w:rPr>
          <w:rFonts w:eastAsia="黑体" w:hint="eastAsia"/>
          <w:kern w:val="0"/>
          <w:szCs w:val="21"/>
        </w:rPr>
        <w:t>有效监测和评估这些措施的影响。</w:t>
      </w:r>
    </w:p>
    <w:p w:rsidR="007652B4" w:rsidRPr="007652B4" w:rsidRDefault="007652B4" w:rsidP="007652B4">
      <w:pPr>
        <w:tabs>
          <w:tab w:val="left" w:pos="1560"/>
        </w:tabs>
        <w:suppressAutoHyphens/>
        <w:overflowPunct w:val="0"/>
        <w:autoSpaceDE w:val="0"/>
        <w:autoSpaceDN w:val="0"/>
        <w:spacing w:after="120"/>
        <w:ind w:left="1134" w:right="1134" w:firstLine="567"/>
        <w:rPr>
          <w:rFonts w:eastAsia="黑体"/>
          <w:kern w:val="0"/>
          <w:szCs w:val="21"/>
          <w:lang w:val="en-GB"/>
        </w:rPr>
      </w:pP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国籍</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28.</w:t>
      </w:r>
      <w:r w:rsidRPr="007652B4">
        <w:rPr>
          <w:kern w:val="0"/>
          <w:szCs w:val="21"/>
          <w:lang w:val="en-GB"/>
        </w:rPr>
        <w:tab/>
      </w:r>
      <w:r w:rsidRPr="007652B4">
        <w:rPr>
          <w:rFonts w:hint="eastAsia"/>
          <w:kern w:val="0"/>
          <w:szCs w:val="21"/>
          <w:lang w:val="en-GB"/>
        </w:rPr>
        <w:t>尽管按照行政惯例，不会取消与外国男子结婚的妇女的公民资格，但委员会仍然关切《公民身份法》中的歧视性条款，包括马拉维妇女能否将其国籍传给其外国配偶。委员会还关切的是，《公民身份法》中没有包含足够的保障措施，确保因无保障措施成为无国籍人的子女获得马拉维国籍，尤其是移民到津巴布韦的马拉维人所生的子女和生活在缔约国的莫桑比克人所生的子女。委员会关切地注意到，非非洲裔父母在马拉维所生子女显然不能享有依出生获得公民资格的权利。</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bCs/>
          <w:kern w:val="0"/>
          <w:szCs w:val="21"/>
          <w:lang w:val="en-GB"/>
        </w:rPr>
        <w:t>29.</w:t>
      </w:r>
      <w:r w:rsidRPr="007652B4">
        <w:rPr>
          <w:bCs/>
          <w:kern w:val="0"/>
          <w:szCs w:val="21"/>
          <w:lang w:val="en-GB"/>
        </w:rPr>
        <w:tab/>
      </w:r>
      <w:r w:rsidRPr="007652B4">
        <w:rPr>
          <w:rFonts w:eastAsia="黑体"/>
          <w:kern w:val="0"/>
          <w:szCs w:val="21"/>
          <w:lang w:val="en-GB"/>
        </w:rPr>
        <w:t>委员会敦促缔约国加速修订《公民</w:t>
      </w:r>
      <w:r w:rsidRPr="007652B4">
        <w:rPr>
          <w:rFonts w:eastAsia="黑体" w:hint="eastAsia"/>
          <w:kern w:val="0"/>
          <w:szCs w:val="21"/>
          <w:lang w:val="en-GB"/>
        </w:rPr>
        <w:t>身份</w:t>
      </w:r>
      <w:r w:rsidRPr="007652B4">
        <w:rPr>
          <w:rFonts w:eastAsia="黑体"/>
          <w:kern w:val="0"/>
          <w:szCs w:val="21"/>
          <w:lang w:val="en-GB"/>
        </w:rPr>
        <w:t>法》，</w:t>
      </w:r>
      <w:r w:rsidRPr="007652B4">
        <w:rPr>
          <w:rFonts w:eastAsia="黑体" w:hint="eastAsia"/>
          <w:kern w:val="0"/>
          <w:szCs w:val="21"/>
          <w:lang w:val="en-GB"/>
        </w:rPr>
        <w:t>确保妇女与男子享有获得、改变、传承和保有国籍的平等权利，并引入保障措施，向否则将成为无国籍人的在其领土上出生的儿童赋予马拉维国籍。缔约国还应考虑加入《</w:t>
      </w:r>
      <w:r w:rsidRPr="007652B4">
        <w:rPr>
          <w:rFonts w:eastAsia="黑体"/>
          <w:kern w:val="0"/>
          <w:szCs w:val="21"/>
          <w:lang w:val="en-GB"/>
        </w:rPr>
        <w:t>1961</w:t>
      </w:r>
      <w:r w:rsidRPr="007652B4">
        <w:rPr>
          <w:rFonts w:eastAsia="黑体"/>
          <w:kern w:val="0"/>
          <w:szCs w:val="21"/>
          <w:lang w:val="en-GB"/>
        </w:rPr>
        <w:t>年</w:t>
      </w:r>
      <w:r w:rsidRPr="007652B4">
        <w:rPr>
          <w:rFonts w:eastAsia="黑体" w:hint="eastAsia"/>
          <w:kern w:val="0"/>
          <w:szCs w:val="21"/>
          <w:lang w:val="en-GB"/>
        </w:rPr>
        <w:t>减少无国籍状态公约》。</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教育</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30.</w:t>
      </w:r>
      <w:r w:rsidRPr="007652B4">
        <w:rPr>
          <w:kern w:val="0"/>
          <w:szCs w:val="21"/>
          <w:lang w:val="en-GB"/>
        </w:rPr>
        <w:tab/>
      </w:r>
      <w:r w:rsidRPr="007652B4">
        <w:rPr>
          <w:kern w:val="0"/>
          <w:szCs w:val="21"/>
          <w:lang w:val="en-GB"/>
        </w:rPr>
        <w:t>委员会</w:t>
      </w:r>
      <w:r w:rsidRPr="007652B4">
        <w:rPr>
          <w:rFonts w:hint="eastAsia"/>
          <w:kern w:val="0"/>
          <w:szCs w:val="21"/>
          <w:lang w:val="en-GB"/>
        </w:rPr>
        <w:t>对</w:t>
      </w:r>
      <w:r w:rsidRPr="007652B4">
        <w:rPr>
          <w:kern w:val="0"/>
          <w:szCs w:val="21"/>
          <w:lang w:val="en-GB"/>
        </w:rPr>
        <w:t>《教育法》和国家女童教育战略</w:t>
      </w:r>
      <w:r w:rsidRPr="007652B4">
        <w:rPr>
          <w:rFonts w:hint="eastAsia"/>
          <w:kern w:val="0"/>
          <w:szCs w:val="21"/>
          <w:lang w:val="en-GB"/>
        </w:rPr>
        <w:t>的通过表示欢迎</w:t>
      </w:r>
      <w:r w:rsidRPr="007652B4">
        <w:rPr>
          <w:kern w:val="0"/>
          <w:szCs w:val="21"/>
          <w:lang w:val="en-GB"/>
        </w:rPr>
        <w:t>，</w:t>
      </w:r>
      <w:r w:rsidRPr="007652B4">
        <w:rPr>
          <w:rFonts w:hint="eastAsia"/>
          <w:kern w:val="0"/>
          <w:szCs w:val="21"/>
          <w:lang w:val="en-GB"/>
        </w:rPr>
        <w:t>对</w:t>
      </w:r>
      <w:r w:rsidRPr="007652B4">
        <w:rPr>
          <w:kern w:val="0"/>
          <w:szCs w:val="21"/>
          <w:lang w:val="en-GB"/>
        </w:rPr>
        <w:t>缔约国</w:t>
      </w:r>
      <w:r w:rsidRPr="007652B4">
        <w:rPr>
          <w:rFonts w:hint="eastAsia"/>
          <w:kern w:val="0"/>
          <w:szCs w:val="21"/>
          <w:lang w:val="en-GB"/>
        </w:rPr>
        <w:t>基本</w:t>
      </w:r>
      <w:r w:rsidRPr="007652B4">
        <w:rPr>
          <w:kern w:val="0"/>
          <w:szCs w:val="21"/>
          <w:lang w:val="en-GB"/>
        </w:rPr>
        <w:t>实现</w:t>
      </w:r>
      <w:r w:rsidRPr="007652B4">
        <w:rPr>
          <w:rFonts w:hint="eastAsia"/>
          <w:kern w:val="0"/>
          <w:szCs w:val="21"/>
          <w:lang w:val="en-GB"/>
        </w:rPr>
        <w:t>全民</w:t>
      </w:r>
      <w:r w:rsidRPr="007652B4">
        <w:rPr>
          <w:kern w:val="0"/>
          <w:szCs w:val="21"/>
          <w:lang w:val="en-GB"/>
        </w:rPr>
        <w:t>初级教育</w:t>
      </w:r>
      <w:r w:rsidRPr="007652B4">
        <w:rPr>
          <w:rFonts w:hint="eastAsia"/>
          <w:kern w:val="0"/>
          <w:szCs w:val="21"/>
          <w:lang w:val="en-GB"/>
        </w:rPr>
        <w:t>表示赞赏</w:t>
      </w:r>
      <w:r w:rsidRPr="007652B4">
        <w:rPr>
          <w:kern w:val="0"/>
          <w:szCs w:val="21"/>
          <w:lang w:val="en-GB"/>
        </w:rPr>
        <w:t>。然而，委员会关切的是：</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ab/>
      </w:r>
      <w:r>
        <w:rPr>
          <w:kern w:val="0"/>
          <w:szCs w:val="21"/>
          <w:lang w:val="en-GB"/>
        </w:rPr>
        <w:t>(</w:t>
      </w:r>
      <w:r w:rsidRPr="007652B4">
        <w:rPr>
          <w:kern w:val="0"/>
          <w:szCs w:val="21"/>
          <w:lang w:val="en-GB"/>
        </w:rPr>
        <w:t>a</w:t>
      </w:r>
      <w:r>
        <w:rPr>
          <w:kern w:val="0"/>
          <w:szCs w:val="21"/>
          <w:lang w:val="en-GB"/>
        </w:rPr>
        <w:t>)</w:t>
      </w:r>
      <w:r w:rsidRPr="007652B4">
        <w:rPr>
          <w:kern w:val="0"/>
          <w:szCs w:val="21"/>
          <w:lang w:val="en-GB"/>
        </w:rPr>
        <w:tab/>
      </w:r>
      <w:r w:rsidRPr="007652B4">
        <w:rPr>
          <w:kern w:val="0"/>
          <w:szCs w:val="21"/>
          <w:lang w:val="en-GB"/>
        </w:rPr>
        <w:t>女童接受优质教育面临持续的结构性</w:t>
      </w:r>
      <w:r w:rsidRPr="007652B4">
        <w:rPr>
          <w:rFonts w:hint="eastAsia"/>
          <w:kern w:val="0"/>
          <w:szCs w:val="21"/>
          <w:lang w:val="en-GB"/>
        </w:rPr>
        <w:t>障碍</w:t>
      </w:r>
      <w:r w:rsidRPr="007652B4">
        <w:rPr>
          <w:kern w:val="0"/>
          <w:szCs w:val="21"/>
          <w:lang w:val="en-GB"/>
        </w:rPr>
        <w:t>和其他障碍，尤其是</w:t>
      </w:r>
      <w:r w:rsidRPr="007652B4">
        <w:rPr>
          <w:rFonts w:hint="eastAsia"/>
          <w:kern w:val="0"/>
          <w:szCs w:val="21"/>
          <w:lang w:val="en-GB"/>
        </w:rPr>
        <w:t>在</w:t>
      </w:r>
      <w:r w:rsidRPr="007652B4">
        <w:rPr>
          <w:kern w:val="0"/>
          <w:szCs w:val="21"/>
          <w:lang w:val="en-GB"/>
        </w:rPr>
        <w:t>中学</w:t>
      </w:r>
      <w:r w:rsidRPr="007652B4">
        <w:rPr>
          <w:rFonts w:hint="eastAsia"/>
          <w:kern w:val="0"/>
          <w:szCs w:val="21"/>
          <w:lang w:val="en-GB"/>
        </w:rPr>
        <w:t>一级</w:t>
      </w:r>
      <w:r w:rsidRPr="007652B4">
        <w:rPr>
          <w:kern w:val="0"/>
          <w:szCs w:val="21"/>
          <w:lang w:val="en-GB"/>
        </w:rPr>
        <w:t>，这主要是由于缺乏学校基础设施，包括</w:t>
      </w:r>
      <w:r w:rsidRPr="007652B4">
        <w:rPr>
          <w:rFonts w:hint="eastAsia"/>
          <w:kern w:val="0"/>
          <w:szCs w:val="21"/>
          <w:lang w:val="en-GB"/>
        </w:rPr>
        <w:t>适当</w:t>
      </w:r>
      <w:r w:rsidRPr="007652B4">
        <w:rPr>
          <w:kern w:val="0"/>
          <w:szCs w:val="21"/>
          <w:lang w:val="en-GB"/>
        </w:rPr>
        <w:t>的卫生设施；</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ab/>
      </w:r>
      <w:r>
        <w:rPr>
          <w:kern w:val="0"/>
          <w:szCs w:val="21"/>
          <w:lang w:val="en-GB"/>
        </w:rPr>
        <w:t>(</w:t>
      </w:r>
      <w:r w:rsidRPr="007652B4">
        <w:rPr>
          <w:kern w:val="0"/>
          <w:szCs w:val="21"/>
          <w:lang w:val="en-GB"/>
        </w:rPr>
        <w:t>b</w:t>
      </w:r>
      <w:r>
        <w:rPr>
          <w:kern w:val="0"/>
          <w:szCs w:val="21"/>
          <w:lang w:val="en-GB"/>
        </w:rPr>
        <w:t>)</w:t>
      </w:r>
      <w:r w:rsidRPr="007652B4">
        <w:rPr>
          <w:kern w:val="0"/>
          <w:szCs w:val="21"/>
          <w:lang w:val="en-GB"/>
        </w:rPr>
        <w:tab/>
      </w:r>
      <w:r w:rsidRPr="007652B4">
        <w:rPr>
          <w:kern w:val="0"/>
          <w:szCs w:val="21"/>
          <w:lang w:val="en-GB"/>
        </w:rPr>
        <w:t>国家预算的教育拨款偏低，</w:t>
      </w:r>
      <w:r w:rsidRPr="007652B4">
        <w:rPr>
          <w:rFonts w:hint="eastAsia"/>
          <w:kern w:val="0"/>
          <w:szCs w:val="21"/>
          <w:lang w:val="en-GB"/>
        </w:rPr>
        <w:t>并且</w:t>
      </w:r>
      <w:r w:rsidRPr="007652B4">
        <w:rPr>
          <w:kern w:val="0"/>
          <w:szCs w:val="21"/>
          <w:lang w:val="en-GB"/>
        </w:rPr>
        <w:t>没有明确计划增加拨款</w:t>
      </w:r>
      <w:r w:rsidRPr="007652B4">
        <w:rPr>
          <w:rFonts w:hint="eastAsia"/>
          <w:kern w:val="0"/>
          <w:szCs w:val="21"/>
          <w:lang w:val="en-GB"/>
        </w:rPr>
        <w:t>以</w:t>
      </w:r>
      <w:r w:rsidRPr="007652B4">
        <w:rPr>
          <w:kern w:val="0"/>
          <w:szCs w:val="21"/>
          <w:lang w:val="en-GB"/>
        </w:rPr>
        <w:t>提高</w:t>
      </w:r>
      <w:r w:rsidRPr="007652B4">
        <w:rPr>
          <w:rFonts w:hint="eastAsia"/>
          <w:kern w:val="0"/>
          <w:szCs w:val="21"/>
          <w:lang w:val="en-GB"/>
        </w:rPr>
        <w:t>教育覆盖程度</w:t>
      </w:r>
      <w:r w:rsidRPr="007652B4">
        <w:rPr>
          <w:kern w:val="0"/>
          <w:szCs w:val="21"/>
          <w:lang w:val="en-GB"/>
        </w:rPr>
        <w:t>，</w:t>
      </w:r>
      <w:r w:rsidRPr="007652B4">
        <w:rPr>
          <w:rFonts w:hint="eastAsia"/>
          <w:kern w:val="0"/>
          <w:szCs w:val="21"/>
          <w:lang w:val="en-GB"/>
        </w:rPr>
        <w:t>尤其是针对</w:t>
      </w:r>
      <w:r w:rsidRPr="007652B4">
        <w:rPr>
          <w:kern w:val="0"/>
          <w:szCs w:val="21"/>
          <w:lang w:val="en-GB"/>
        </w:rPr>
        <w:t>女童，特别是农村地区的女童</w:t>
      </w:r>
      <w:r w:rsidRPr="007652B4">
        <w:rPr>
          <w:rFonts w:hint="eastAsia"/>
          <w:kern w:val="0"/>
          <w:szCs w:val="21"/>
          <w:lang w:val="en-GB"/>
        </w:rPr>
        <w:t>；</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ab/>
      </w:r>
      <w:r>
        <w:rPr>
          <w:kern w:val="0"/>
          <w:szCs w:val="21"/>
          <w:lang w:val="en-GB"/>
        </w:rPr>
        <w:t>(</w:t>
      </w:r>
      <w:r w:rsidRPr="007652B4">
        <w:rPr>
          <w:kern w:val="0"/>
          <w:szCs w:val="21"/>
          <w:lang w:val="en-GB"/>
        </w:rPr>
        <w:t>c</w:t>
      </w:r>
      <w:r>
        <w:rPr>
          <w:kern w:val="0"/>
          <w:szCs w:val="21"/>
          <w:lang w:val="en-GB"/>
        </w:rPr>
        <w:t>)</w:t>
      </w:r>
      <w:r w:rsidRPr="007652B4">
        <w:rPr>
          <w:kern w:val="0"/>
          <w:szCs w:val="21"/>
          <w:lang w:val="en-GB"/>
        </w:rPr>
        <w:tab/>
      </w:r>
      <w:r w:rsidRPr="007652B4">
        <w:rPr>
          <w:kern w:val="0"/>
          <w:szCs w:val="21"/>
          <w:lang w:val="en-GB"/>
        </w:rPr>
        <w:t>在小学和中学的女学生中，辍学率极高，保留率和毕业率很低，原因在于童婚</w:t>
      </w:r>
      <w:r w:rsidRPr="007652B4">
        <w:rPr>
          <w:rFonts w:hint="eastAsia"/>
          <w:kern w:val="0"/>
          <w:szCs w:val="21"/>
          <w:lang w:val="en-GB"/>
        </w:rPr>
        <w:t>和</w:t>
      </w:r>
      <w:r>
        <w:rPr>
          <w:rFonts w:hint="eastAsia"/>
          <w:kern w:val="0"/>
          <w:szCs w:val="21"/>
          <w:lang w:val="en-GB"/>
        </w:rPr>
        <w:t>(</w:t>
      </w:r>
      <w:r w:rsidRPr="007652B4">
        <w:rPr>
          <w:rFonts w:hint="eastAsia"/>
          <w:kern w:val="0"/>
          <w:szCs w:val="21"/>
          <w:lang w:val="en-GB"/>
        </w:rPr>
        <w:t>或</w:t>
      </w:r>
      <w:r>
        <w:rPr>
          <w:rFonts w:hint="eastAsia"/>
          <w:kern w:val="0"/>
          <w:szCs w:val="21"/>
          <w:lang w:val="en-GB"/>
        </w:rPr>
        <w:t>)</w:t>
      </w:r>
      <w:r w:rsidRPr="007652B4">
        <w:rPr>
          <w:kern w:val="0"/>
          <w:szCs w:val="21"/>
          <w:lang w:val="en-GB"/>
        </w:rPr>
        <w:t>强迫婚姻、早孕和传统观念，尽管通过了再入学政策；</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ab/>
      </w:r>
      <w:r>
        <w:rPr>
          <w:kern w:val="0"/>
          <w:szCs w:val="21"/>
          <w:lang w:val="en-GB"/>
        </w:rPr>
        <w:t>(</w:t>
      </w:r>
      <w:r w:rsidRPr="007652B4">
        <w:rPr>
          <w:kern w:val="0"/>
          <w:szCs w:val="21"/>
          <w:lang w:val="en-GB"/>
        </w:rPr>
        <w:t>d</w:t>
      </w:r>
      <w:r>
        <w:rPr>
          <w:kern w:val="0"/>
          <w:szCs w:val="21"/>
          <w:lang w:val="en-GB"/>
        </w:rPr>
        <w:t>)</w:t>
      </w:r>
      <w:r w:rsidRPr="007652B4">
        <w:rPr>
          <w:kern w:val="0"/>
          <w:szCs w:val="21"/>
          <w:lang w:val="en-GB"/>
        </w:rPr>
        <w:tab/>
      </w:r>
      <w:r w:rsidRPr="007652B4">
        <w:rPr>
          <w:kern w:val="0"/>
          <w:szCs w:val="21"/>
          <w:lang w:val="en-GB"/>
        </w:rPr>
        <w:t>女童在学校</w:t>
      </w:r>
      <w:r w:rsidRPr="007652B4">
        <w:rPr>
          <w:rFonts w:hint="eastAsia"/>
          <w:kern w:val="0"/>
          <w:szCs w:val="21"/>
          <w:lang w:val="en-GB"/>
        </w:rPr>
        <w:t>、</w:t>
      </w:r>
      <w:r w:rsidRPr="007652B4">
        <w:rPr>
          <w:kern w:val="0"/>
          <w:szCs w:val="21"/>
          <w:lang w:val="en-GB"/>
        </w:rPr>
        <w:t>上学</w:t>
      </w:r>
      <w:r w:rsidRPr="007652B4">
        <w:rPr>
          <w:rFonts w:hint="eastAsia"/>
          <w:kern w:val="0"/>
          <w:szCs w:val="21"/>
          <w:lang w:val="en-GB"/>
        </w:rPr>
        <w:t>及放学</w:t>
      </w:r>
      <w:r w:rsidRPr="007652B4">
        <w:rPr>
          <w:kern w:val="0"/>
          <w:szCs w:val="21"/>
          <w:lang w:val="en-GB"/>
        </w:rPr>
        <w:t>途中长期面对同学和教师的性虐待和性骚扰，</w:t>
      </w:r>
      <w:r w:rsidRPr="007652B4">
        <w:rPr>
          <w:rFonts w:hint="eastAsia"/>
          <w:kern w:val="0"/>
          <w:szCs w:val="21"/>
          <w:lang w:val="en-GB"/>
        </w:rPr>
        <w:t>并且</w:t>
      </w:r>
      <w:r w:rsidRPr="007652B4">
        <w:rPr>
          <w:kern w:val="0"/>
          <w:szCs w:val="21"/>
          <w:lang w:val="en-GB"/>
        </w:rPr>
        <w:t>《教师行为守则》中缺少</w:t>
      </w:r>
      <w:r w:rsidRPr="007652B4">
        <w:rPr>
          <w:rFonts w:hint="eastAsia"/>
          <w:kern w:val="0"/>
          <w:szCs w:val="21"/>
          <w:lang w:val="en-GB"/>
        </w:rPr>
        <w:t>明确</w:t>
      </w:r>
      <w:r w:rsidRPr="007652B4">
        <w:rPr>
          <w:kern w:val="0"/>
          <w:szCs w:val="21"/>
          <w:lang w:val="en-GB"/>
        </w:rPr>
        <w:t>程序</w:t>
      </w:r>
      <w:r w:rsidRPr="007652B4">
        <w:rPr>
          <w:rFonts w:hint="eastAsia"/>
          <w:kern w:val="0"/>
          <w:szCs w:val="21"/>
          <w:lang w:val="en-GB"/>
        </w:rPr>
        <w:t>以</w:t>
      </w:r>
      <w:r w:rsidRPr="007652B4">
        <w:rPr>
          <w:kern w:val="0"/>
          <w:szCs w:val="21"/>
          <w:lang w:val="en-GB"/>
        </w:rPr>
        <w:t>确保起诉</w:t>
      </w:r>
      <w:r w:rsidRPr="007652B4">
        <w:rPr>
          <w:rFonts w:hint="eastAsia"/>
          <w:kern w:val="0"/>
          <w:szCs w:val="21"/>
          <w:lang w:val="en-GB"/>
        </w:rPr>
        <w:t>刑事案件</w:t>
      </w:r>
      <w:r w:rsidRPr="007652B4">
        <w:rPr>
          <w:kern w:val="0"/>
          <w:szCs w:val="21"/>
          <w:lang w:val="en-GB"/>
        </w:rPr>
        <w:t>，导致对</w:t>
      </w:r>
      <w:r w:rsidRPr="007652B4">
        <w:rPr>
          <w:rFonts w:hint="eastAsia"/>
          <w:kern w:val="0"/>
          <w:szCs w:val="21"/>
          <w:lang w:val="en-GB"/>
        </w:rPr>
        <w:t>犯罪</w:t>
      </w:r>
      <w:r w:rsidRPr="007652B4">
        <w:rPr>
          <w:kern w:val="0"/>
          <w:szCs w:val="21"/>
          <w:lang w:val="en-GB"/>
        </w:rPr>
        <w:t>者从轻发落，乃至有罪不罚。</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31.</w:t>
      </w:r>
      <w:r w:rsidRPr="007652B4">
        <w:rPr>
          <w:kern w:val="0"/>
          <w:szCs w:val="21"/>
          <w:lang w:val="en-GB"/>
        </w:rPr>
        <w:tab/>
      </w:r>
      <w:r w:rsidRPr="007652B4">
        <w:rPr>
          <w:rFonts w:eastAsia="黑体"/>
          <w:kern w:val="0"/>
          <w:szCs w:val="21"/>
          <w:lang w:val="en-GB"/>
        </w:rPr>
        <w:t>委员会建议缔约国：</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a</w:t>
      </w:r>
      <w:r>
        <w:rPr>
          <w:rFonts w:eastAsia="黑体"/>
          <w:kern w:val="0"/>
          <w:szCs w:val="21"/>
          <w:lang w:val="en-GB"/>
        </w:rPr>
        <w:t>)</w:t>
      </w:r>
      <w:r w:rsidRPr="007652B4">
        <w:rPr>
          <w:rFonts w:eastAsia="黑体"/>
          <w:kern w:val="0"/>
          <w:szCs w:val="21"/>
          <w:lang w:val="en-GB"/>
        </w:rPr>
        <w:tab/>
      </w:r>
      <w:r w:rsidRPr="007652B4">
        <w:rPr>
          <w:rFonts w:eastAsia="黑体" w:hint="eastAsia"/>
          <w:kern w:val="0"/>
          <w:szCs w:val="21"/>
          <w:lang w:val="en-GB"/>
        </w:rPr>
        <w:t>加大努力</w:t>
      </w:r>
      <w:r w:rsidRPr="007652B4">
        <w:rPr>
          <w:rFonts w:eastAsia="黑体"/>
          <w:kern w:val="0"/>
          <w:szCs w:val="21"/>
          <w:lang w:val="en-GB"/>
        </w:rPr>
        <w:t>提高教育质量，尤其是在农村地区，包括提供</w:t>
      </w:r>
      <w:r w:rsidRPr="007652B4">
        <w:rPr>
          <w:rFonts w:eastAsia="黑体" w:hint="eastAsia"/>
          <w:kern w:val="0"/>
          <w:szCs w:val="21"/>
          <w:lang w:val="en-GB"/>
        </w:rPr>
        <w:t>适当</w:t>
      </w:r>
      <w:r w:rsidRPr="007652B4">
        <w:rPr>
          <w:rFonts w:eastAsia="黑体"/>
          <w:kern w:val="0"/>
          <w:szCs w:val="21"/>
          <w:lang w:val="en-GB"/>
        </w:rPr>
        <w:t>的学校基础设施，例如</w:t>
      </w:r>
      <w:r w:rsidRPr="007652B4">
        <w:rPr>
          <w:rFonts w:eastAsia="黑体" w:hint="eastAsia"/>
          <w:kern w:val="0"/>
          <w:szCs w:val="21"/>
          <w:lang w:val="en-GB"/>
        </w:rPr>
        <w:t>适当</w:t>
      </w:r>
      <w:r w:rsidRPr="007652B4">
        <w:rPr>
          <w:rFonts w:eastAsia="黑体"/>
          <w:kern w:val="0"/>
          <w:szCs w:val="21"/>
          <w:lang w:val="en-GB"/>
        </w:rPr>
        <w:t>的卫生设施，并增加合格教师的数量，特别</w:t>
      </w:r>
      <w:r w:rsidRPr="007652B4">
        <w:rPr>
          <w:rFonts w:eastAsia="黑体" w:hint="eastAsia"/>
          <w:kern w:val="0"/>
          <w:szCs w:val="21"/>
          <w:lang w:val="en-GB"/>
        </w:rPr>
        <w:t>须关注</w:t>
      </w:r>
      <w:r w:rsidRPr="007652B4">
        <w:rPr>
          <w:rFonts w:eastAsia="黑体"/>
          <w:kern w:val="0"/>
          <w:szCs w:val="21"/>
          <w:lang w:val="en-GB"/>
        </w:rPr>
        <w:t>合格的女性教师；</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b</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增加教育预算，用以建设更多学校，尤其是在农村地区；</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c</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进一步提高学校中的女童保留率，包括为此加强关于怀孕女童和年轻母亲的再入学政策，尤其是在农村地区，</w:t>
      </w:r>
      <w:r w:rsidRPr="007652B4">
        <w:rPr>
          <w:rFonts w:eastAsia="黑体" w:hint="eastAsia"/>
          <w:kern w:val="0"/>
          <w:szCs w:val="21"/>
          <w:lang w:val="en-GB"/>
        </w:rPr>
        <w:t>以及</w:t>
      </w:r>
      <w:r w:rsidRPr="007652B4">
        <w:rPr>
          <w:rFonts w:eastAsia="黑体"/>
          <w:kern w:val="0"/>
          <w:szCs w:val="21"/>
          <w:lang w:val="en-GB"/>
        </w:rPr>
        <w:t>解决这些女童重返学校后的污名化问题；</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d</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有效解决在学校和上学</w:t>
      </w:r>
      <w:r w:rsidRPr="007652B4">
        <w:rPr>
          <w:rFonts w:eastAsia="黑体" w:hint="eastAsia"/>
          <w:kern w:val="0"/>
          <w:szCs w:val="21"/>
          <w:lang w:val="en-GB"/>
        </w:rPr>
        <w:t>、放学</w:t>
      </w:r>
      <w:r w:rsidRPr="007652B4">
        <w:rPr>
          <w:rFonts w:eastAsia="黑体"/>
          <w:kern w:val="0"/>
          <w:szCs w:val="21"/>
          <w:lang w:val="en-GB"/>
        </w:rPr>
        <w:t>途中的性虐待和性骚扰问题，包括</w:t>
      </w:r>
      <w:r w:rsidRPr="007652B4">
        <w:rPr>
          <w:rFonts w:eastAsia="黑体" w:hint="eastAsia"/>
          <w:kern w:val="0"/>
          <w:szCs w:val="21"/>
          <w:lang w:val="en-GB"/>
        </w:rPr>
        <w:t>实行</w:t>
      </w:r>
      <w:r w:rsidRPr="007652B4">
        <w:rPr>
          <w:rFonts w:eastAsia="黑体"/>
          <w:kern w:val="0"/>
          <w:szCs w:val="21"/>
          <w:lang w:val="en-GB"/>
        </w:rPr>
        <w:t>委员会以往建议</w:t>
      </w:r>
      <w:r>
        <w:rPr>
          <w:rFonts w:eastAsia="黑体"/>
          <w:kern w:val="0"/>
          <w:szCs w:val="21"/>
          <w:lang w:val="en-GB"/>
        </w:rPr>
        <w:t>(</w:t>
      </w:r>
      <w:r w:rsidRPr="007652B4">
        <w:rPr>
          <w:rFonts w:eastAsia="黑体" w:hint="eastAsia"/>
          <w:kern w:val="0"/>
          <w:szCs w:val="21"/>
          <w:lang w:val="en-GB"/>
        </w:rPr>
        <w:t>见</w:t>
      </w:r>
      <w:r w:rsidRPr="007652B4">
        <w:rPr>
          <w:rFonts w:eastAsia="黑体"/>
          <w:kern w:val="0"/>
          <w:szCs w:val="21"/>
          <w:lang w:val="en-GB"/>
        </w:rPr>
        <w:t>CEDAW/C/MWI/CO/6</w:t>
      </w:r>
      <w:r w:rsidRPr="007652B4">
        <w:rPr>
          <w:rFonts w:eastAsia="黑体" w:hint="eastAsia"/>
          <w:kern w:val="0"/>
          <w:szCs w:val="21"/>
          <w:lang w:val="en-GB"/>
        </w:rPr>
        <w:t>，</w:t>
      </w:r>
      <w:r w:rsidRPr="007652B4">
        <w:rPr>
          <w:rFonts w:eastAsia="黑体"/>
          <w:kern w:val="0"/>
          <w:szCs w:val="21"/>
          <w:lang w:val="en-GB"/>
        </w:rPr>
        <w:t>第</w:t>
      </w:r>
      <w:r w:rsidRPr="007652B4">
        <w:rPr>
          <w:rFonts w:eastAsia="黑体"/>
          <w:kern w:val="0"/>
          <w:szCs w:val="21"/>
          <w:lang w:val="en-GB"/>
        </w:rPr>
        <w:t>31</w:t>
      </w:r>
      <w:r w:rsidRPr="007652B4">
        <w:rPr>
          <w:rFonts w:eastAsia="黑体"/>
          <w:kern w:val="0"/>
          <w:szCs w:val="21"/>
          <w:lang w:val="en-GB"/>
        </w:rPr>
        <w:t>段</w:t>
      </w:r>
      <w:r>
        <w:rPr>
          <w:rFonts w:eastAsia="黑体"/>
          <w:kern w:val="0"/>
          <w:szCs w:val="21"/>
          <w:lang w:val="en-GB"/>
        </w:rPr>
        <w:t>)</w:t>
      </w:r>
      <w:r w:rsidRPr="007652B4">
        <w:rPr>
          <w:rFonts w:eastAsia="黑体"/>
          <w:kern w:val="0"/>
          <w:szCs w:val="21"/>
          <w:lang w:val="en-GB"/>
        </w:rPr>
        <w:t>中的零容忍政策，确保该政策包含预防、保护和社会教育措施，例如咨询、提高意识以及妇女和女童举报此类行为的有效机制；</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e</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审查《教师行为准则》，确保对侵犯行为视情节轻重，处以相应程度的惩罚，教师的犯罪行为不得</w:t>
      </w:r>
      <w:r w:rsidRPr="007652B4">
        <w:rPr>
          <w:rFonts w:eastAsia="黑体" w:hint="eastAsia"/>
          <w:kern w:val="0"/>
          <w:szCs w:val="21"/>
          <w:lang w:val="en-GB"/>
        </w:rPr>
        <w:t>姑息</w:t>
      </w:r>
      <w:r w:rsidRPr="007652B4">
        <w:rPr>
          <w:rFonts w:eastAsia="黑体"/>
          <w:kern w:val="0"/>
          <w:szCs w:val="21"/>
          <w:lang w:val="en-GB"/>
        </w:rPr>
        <w:t>。</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就业</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32.</w:t>
      </w:r>
      <w:r w:rsidRPr="007652B4">
        <w:rPr>
          <w:kern w:val="0"/>
          <w:szCs w:val="21"/>
          <w:lang w:val="en-GB"/>
        </w:rPr>
        <w:tab/>
      </w:r>
      <w:r w:rsidRPr="007652B4">
        <w:rPr>
          <w:rFonts w:hint="eastAsia"/>
          <w:kern w:val="0"/>
          <w:szCs w:val="21"/>
          <w:lang w:val="en-GB"/>
        </w:rPr>
        <w:t>委员会仍然关切的是劳动力市场持续歧视妇女。它尤其关切横向和纵向的职业隔离继续存在，妇女在低报酬岗位上比例过高，同值工作同等报酬的原则执行不力，以及长期以来的两性工资差异和孕产妇保护不充分。它还感到遗憾的是，缺乏有关妇女工作条件的劳动视察情况信息。</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bCs/>
          <w:kern w:val="0"/>
          <w:szCs w:val="21"/>
          <w:lang w:val="en-GB"/>
        </w:rPr>
        <w:t>33.</w:t>
      </w:r>
      <w:r w:rsidRPr="007652B4">
        <w:rPr>
          <w:bCs/>
          <w:kern w:val="0"/>
          <w:szCs w:val="21"/>
          <w:lang w:val="en-GB"/>
        </w:rPr>
        <w:tab/>
      </w:r>
      <w:r w:rsidRPr="007652B4">
        <w:rPr>
          <w:rFonts w:eastAsia="黑体"/>
          <w:bCs/>
          <w:kern w:val="0"/>
          <w:szCs w:val="21"/>
          <w:lang w:val="en-GB"/>
        </w:rPr>
        <w:t>委员会建议缔约国：</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rFonts w:eastAsia="黑体"/>
          <w:bCs/>
          <w:kern w:val="0"/>
          <w:szCs w:val="21"/>
          <w:lang w:val="en-GB"/>
        </w:rPr>
        <w:tab/>
      </w:r>
      <w:r>
        <w:rPr>
          <w:rFonts w:eastAsia="黑体"/>
          <w:bCs/>
          <w:kern w:val="0"/>
          <w:szCs w:val="21"/>
          <w:lang w:val="en-GB"/>
        </w:rPr>
        <w:t>(</w:t>
      </w:r>
      <w:r w:rsidRPr="007652B4">
        <w:rPr>
          <w:rFonts w:eastAsia="黑体"/>
          <w:bCs/>
          <w:kern w:val="0"/>
          <w:szCs w:val="21"/>
          <w:lang w:val="en-GB"/>
        </w:rPr>
        <w:t>a</w:t>
      </w:r>
      <w:r>
        <w:rPr>
          <w:rFonts w:eastAsia="黑体"/>
          <w:bCs/>
          <w:kern w:val="0"/>
          <w:szCs w:val="21"/>
          <w:lang w:val="en-GB"/>
        </w:rPr>
        <w:t>)</w:t>
      </w:r>
      <w:r w:rsidRPr="007652B4">
        <w:rPr>
          <w:rFonts w:eastAsia="黑体"/>
          <w:bCs/>
          <w:kern w:val="0"/>
          <w:szCs w:val="21"/>
          <w:lang w:val="en-GB"/>
        </w:rPr>
        <w:tab/>
      </w:r>
      <w:r w:rsidRPr="007652B4">
        <w:rPr>
          <w:rFonts w:eastAsia="黑体"/>
          <w:bCs/>
          <w:kern w:val="0"/>
          <w:szCs w:val="21"/>
          <w:lang w:val="en-GB"/>
        </w:rPr>
        <w:t>采取有效措施，包括技能培训、推动妇女在非传统领域工作的激励措施和</w:t>
      </w:r>
      <w:r w:rsidRPr="007652B4">
        <w:rPr>
          <w:rFonts w:eastAsia="黑体" w:hint="eastAsia"/>
          <w:bCs/>
          <w:kern w:val="0"/>
          <w:szCs w:val="21"/>
          <w:lang w:val="en-GB"/>
        </w:rPr>
        <w:t>暂行</w:t>
      </w:r>
      <w:r w:rsidRPr="007652B4">
        <w:rPr>
          <w:rFonts w:eastAsia="黑体"/>
          <w:bCs/>
          <w:kern w:val="0"/>
          <w:szCs w:val="21"/>
          <w:lang w:val="en-GB"/>
        </w:rPr>
        <w:t>特别措施，实现男女在</w:t>
      </w:r>
      <w:r w:rsidRPr="007652B4">
        <w:rPr>
          <w:rFonts w:eastAsia="黑体" w:hint="eastAsia"/>
          <w:bCs/>
          <w:kern w:val="0"/>
          <w:szCs w:val="21"/>
          <w:lang w:val="en-GB"/>
        </w:rPr>
        <w:t>劳动力</w:t>
      </w:r>
      <w:r w:rsidRPr="007652B4">
        <w:rPr>
          <w:rFonts w:eastAsia="黑体"/>
          <w:bCs/>
          <w:kern w:val="0"/>
          <w:szCs w:val="21"/>
          <w:lang w:val="en-GB"/>
        </w:rPr>
        <w:t>市场</w:t>
      </w:r>
      <w:r w:rsidRPr="007652B4">
        <w:rPr>
          <w:rFonts w:eastAsia="黑体" w:hint="eastAsia"/>
          <w:bCs/>
          <w:kern w:val="0"/>
          <w:szCs w:val="21"/>
          <w:lang w:val="en-GB"/>
        </w:rPr>
        <w:t>上</w:t>
      </w:r>
      <w:r w:rsidRPr="007652B4">
        <w:rPr>
          <w:rFonts w:eastAsia="黑体"/>
          <w:bCs/>
          <w:kern w:val="0"/>
          <w:szCs w:val="21"/>
          <w:lang w:val="en-GB"/>
        </w:rPr>
        <w:t>事实上的机遇平等，</w:t>
      </w:r>
      <w:r w:rsidRPr="007652B4">
        <w:rPr>
          <w:rFonts w:eastAsia="黑体" w:hint="eastAsia"/>
          <w:bCs/>
          <w:kern w:val="0"/>
          <w:szCs w:val="21"/>
          <w:lang w:val="en-GB"/>
        </w:rPr>
        <w:t>以及</w:t>
      </w:r>
      <w:r w:rsidRPr="007652B4">
        <w:rPr>
          <w:rFonts w:eastAsia="黑体"/>
          <w:bCs/>
          <w:kern w:val="0"/>
          <w:szCs w:val="21"/>
          <w:lang w:val="en-GB"/>
        </w:rPr>
        <w:t>在公共和私营部门消除横向和纵向职业隔离；</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rFonts w:eastAsia="黑体"/>
          <w:bCs/>
          <w:kern w:val="0"/>
          <w:szCs w:val="21"/>
          <w:lang w:val="en-GB"/>
        </w:rPr>
        <w:tab/>
      </w:r>
      <w:r>
        <w:rPr>
          <w:rFonts w:eastAsia="黑体"/>
          <w:bCs/>
          <w:kern w:val="0"/>
          <w:szCs w:val="21"/>
          <w:lang w:val="en-GB"/>
        </w:rPr>
        <w:t>(</w:t>
      </w:r>
      <w:r w:rsidRPr="007652B4">
        <w:rPr>
          <w:rFonts w:eastAsia="黑体"/>
          <w:bCs/>
          <w:kern w:val="0"/>
          <w:szCs w:val="21"/>
          <w:lang w:val="en-GB"/>
        </w:rPr>
        <w:t>b</w:t>
      </w:r>
      <w:r>
        <w:rPr>
          <w:rFonts w:eastAsia="黑体"/>
          <w:bCs/>
          <w:kern w:val="0"/>
          <w:szCs w:val="21"/>
          <w:lang w:val="en-GB"/>
        </w:rPr>
        <w:t>)</w:t>
      </w:r>
      <w:r w:rsidRPr="007652B4">
        <w:rPr>
          <w:rFonts w:eastAsia="黑体"/>
          <w:bCs/>
          <w:kern w:val="0"/>
          <w:szCs w:val="21"/>
          <w:lang w:val="en-GB"/>
        </w:rPr>
        <w:tab/>
      </w:r>
      <w:r w:rsidRPr="007652B4">
        <w:rPr>
          <w:rFonts w:eastAsia="黑体"/>
          <w:bCs/>
          <w:kern w:val="0"/>
          <w:szCs w:val="21"/>
          <w:lang w:val="en-GB"/>
        </w:rPr>
        <w:t>采取措施</w:t>
      </w:r>
      <w:r w:rsidRPr="007652B4">
        <w:rPr>
          <w:rFonts w:eastAsia="黑体" w:hint="eastAsia"/>
          <w:bCs/>
          <w:kern w:val="0"/>
          <w:szCs w:val="21"/>
          <w:lang w:val="en-GB"/>
        </w:rPr>
        <w:t>，</w:t>
      </w:r>
      <w:r w:rsidRPr="007652B4">
        <w:rPr>
          <w:rFonts w:eastAsia="黑体"/>
          <w:bCs/>
          <w:kern w:val="0"/>
          <w:szCs w:val="21"/>
          <w:lang w:val="en-GB"/>
        </w:rPr>
        <w:t>切实执行同值工作同等报酬原则，缩小和弥合两性工资差异，包括为此采用性别中立的分析性职业分类和评估方法，以及定期的薪酬调查；</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rFonts w:eastAsia="黑体"/>
          <w:bCs/>
          <w:kern w:val="0"/>
          <w:szCs w:val="21"/>
          <w:lang w:val="en-GB"/>
        </w:rPr>
        <w:tab/>
      </w:r>
      <w:r>
        <w:rPr>
          <w:rFonts w:eastAsia="黑体"/>
          <w:bCs/>
          <w:kern w:val="0"/>
          <w:szCs w:val="21"/>
          <w:lang w:val="en-GB"/>
        </w:rPr>
        <w:t>(</w:t>
      </w:r>
      <w:r w:rsidRPr="007652B4">
        <w:rPr>
          <w:rFonts w:eastAsia="黑体"/>
          <w:bCs/>
          <w:kern w:val="0"/>
          <w:szCs w:val="21"/>
          <w:lang w:val="en-GB"/>
        </w:rPr>
        <w:t>c</w:t>
      </w:r>
      <w:r>
        <w:rPr>
          <w:rFonts w:eastAsia="黑体"/>
          <w:bCs/>
          <w:kern w:val="0"/>
          <w:szCs w:val="21"/>
          <w:lang w:val="en-GB"/>
        </w:rPr>
        <w:t>)</w:t>
      </w:r>
      <w:r w:rsidRPr="007652B4">
        <w:rPr>
          <w:rFonts w:eastAsia="黑体"/>
          <w:bCs/>
          <w:kern w:val="0"/>
          <w:szCs w:val="21"/>
          <w:lang w:val="en-GB"/>
        </w:rPr>
        <w:tab/>
      </w:r>
      <w:r w:rsidRPr="007652B4">
        <w:rPr>
          <w:rFonts w:eastAsia="黑体"/>
          <w:bCs/>
          <w:kern w:val="0"/>
          <w:szCs w:val="21"/>
          <w:lang w:val="en-GB"/>
        </w:rPr>
        <w:t>为劳动监察员确定和提供</w:t>
      </w:r>
      <w:r w:rsidRPr="007652B4">
        <w:rPr>
          <w:rFonts w:eastAsia="黑体" w:hint="eastAsia"/>
          <w:bCs/>
          <w:kern w:val="0"/>
          <w:szCs w:val="21"/>
          <w:lang w:val="en-GB"/>
        </w:rPr>
        <w:t>充分</w:t>
      </w:r>
      <w:r w:rsidRPr="007652B4">
        <w:rPr>
          <w:rFonts w:eastAsia="黑体"/>
          <w:bCs/>
          <w:kern w:val="0"/>
          <w:szCs w:val="21"/>
          <w:lang w:val="en-GB"/>
        </w:rPr>
        <w:t>的人力和财政资源，以监测和处罚就业领域，包括私营和非</w:t>
      </w:r>
      <w:r w:rsidRPr="007652B4">
        <w:rPr>
          <w:rFonts w:eastAsia="黑体" w:hint="eastAsia"/>
          <w:bCs/>
          <w:kern w:val="0"/>
          <w:szCs w:val="21"/>
          <w:lang w:val="en-GB"/>
        </w:rPr>
        <w:t>正规经济</w:t>
      </w:r>
      <w:r w:rsidRPr="007652B4">
        <w:rPr>
          <w:rFonts w:eastAsia="黑体"/>
          <w:bCs/>
          <w:kern w:val="0"/>
          <w:szCs w:val="21"/>
          <w:lang w:val="en-GB"/>
        </w:rPr>
        <w:t>部门中对妇女的歧视做法；</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rFonts w:eastAsia="黑体"/>
          <w:bCs/>
          <w:kern w:val="0"/>
          <w:szCs w:val="21"/>
          <w:lang w:val="en-GB"/>
        </w:rPr>
        <w:tab/>
      </w:r>
      <w:r>
        <w:rPr>
          <w:rFonts w:eastAsia="黑体"/>
          <w:bCs/>
          <w:kern w:val="0"/>
          <w:szCs w:val="21"/>
          <w:lang w:val="en-GB"/>
        </w:rPr>
        <w:t>(</w:t>
      </w:r>
      <w:r w:rsidRPr="007652B4">
        <w:rPr>
          <w:rFonts w:eastAsia="黑体"/>
          <w:bCs/>
          <w:kern w:val="0"/>
          <w:szCs w:val="21"/>
          <w:lang w:val="en-GB"/>
        </w:rPr>
        <w:t>d</w:t>
      </w:r>
      <w:r>
        <w:rPr>
          <w:rFonts w:eastAsia="黑体"/>
          <w:bCs/>
          <w:kern w:val="0"/>
          <w:szCs w:val="21"/>
          <w:lang w:val="en-GB"/>
        </w:rPr>
        <w:t>)</w:t>
      </w:r>
      <w:r w:rsidRPr="007652B4">
        <w:rPr>
          <w:rFonts w:eastAsia="黑体"/>
          <w:bCs/>
          <w:kern w:val="0"/>
          <w:szCs w:val="21"/>
          <w:lang w:val="en-GB"/>
        </w:rPr>
        <w:tab/>
      </w:r>
      <w:r w:rsidRPr="007652B4">
        <w:rPr>
          <w:rFonts w:eastAsia="黑体"/>
          <w:bCs/>
          <w:kern w:val="0"/>
          <w:szCs w:val="21"/>
          <w:lang w:val="en-GB"/>
        </w:rPr>
        <w:t>系统监测和评估这些措施的执行情况；</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rFonts w:eastAsia="黑体"/>
          <w:bCs/>
          <w:kern w:val="0"/>
          <w:szCs w:val="21"/>
          <w:lang w:val="en-GB"/>
        </w:rPr>
        <w:tab/>
      </w:r>
      <w:r>
        <w:rPr>
          <w:rFonts w:eastAsia="黑体"/>
          <w:bCs/>
          <w:kern w:val="0"/>
          <w:szCs w:val="21"/>
          <w:lang w:val="en-GB"/>
        </w:rPr>
        <w:t>(</w:t>
      </w:r>
      <w:r w:rsidRPr="007652B4">
        <w:rPr>
          <w:rFonts w:eastAsia="黑体"/>
          <w:bCs/>
          <w:kern w:val="0"/>
          <w:szCs w:val="21"/>
          <w:lang w:val="en-GB"/>
        </w:rPr>
        <w:t>e</w:t>
      </w:r>
      <w:r>
        <w:rPr>
          <w:rFonts w:eastAsia="黑体"/>
          <w:bCs/>
          <w:kern w:val="0"/>
          <w:szCs w:val="21"/>
          <w:lang w:val="en-GB"/>
        </w:rPr>
        <w:t>)</w:t>
      </w:r>
      <w:r w:rsidRPr="007652B4">
        <w:rPr>
          <w:rFonts w:eastAsia="黑体"/>
          <w:bCs/>
          <w:kern w:val="0"/>
          <w:szCs w:val="21"/>
          <w:lang w:val="en-GB"/>
        </w:rPr>
        <w:tab/>
      </w:r>
      <w:r w:rsidRPr="007652B4">
        <w:rPr>
          <w:rFonts w:eastAsia="黑体"/>
          <w:bCs/>
          <w:kern w:val="0"/>
          <w:szCs w:val="21"/>
          <w:lang w:val="en-GB"/>
        </w:rPr>
        <w:t>考虑在这一方面寻求国际劳工组织的技术援助。</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卫生</w:t>
      </w:r>
    </w:p>
    <w:p w:rsidR="007652B4" w:rsidRPr="007652B4" w:rsidRDefault="007652B4" w:rsidP="007652B4">
      <w:pPr>
        <w:tabs>
          <w:tab w:val="left" w:pos="1560"/>
        </w:tabs>
        <w:suppressAutoHyphens/>
        <w:overflowPunct w:val="0"/>
        <w:autoSpaceDE w:val="0"/>
        <w:autoSpaceDN w:val="0"/>
        <w:spacing w:after="120"/>
        <w:ind w:left="1134" w:right="1134"/>
        <w:rPr>
          <w:iCs/>
          <w:kern w:val="0"/>
          <w:szCs w:val="21"/>
          <w:lang w:val="en-GB"/>
        </w:rPr>
      </w:pPr>
      <w:r w:rsidRPr="007652B4">
        <w:rPr>
          <w:iCs/>
          <w:kern w:val="0"/>
          <w:szCs w:val="21"/>
          <w:lang w:val="en-GB"/>
        </w:rPr>
        <w:t>34.</w:t>
      </w:r>
      <w:r w:rsidRPr="007652B4">
        <w:rPr>
          <w:iCs/>
          <w:kern w:val="0"/>
          <w:szCs w:val="21"/>
          <w:lang w:val="en-GB"/>
        </w:rPr>
        <w:tab/>
      </w:r>
      <w:r w:rsidRPr="007652B4">
        <w:rPr>
          <w:iCs/>
          <w:kern w:val="0"/>
          <w:szCs w:val="21"/>
          <w:lang w:val="en-GB"/>
        </w:rPr>
        <w:t>委员会表示关切的是：</w:t>
      </w:r>
    </w:p>
    <w:p w:rsidR="007652B4" w:rsidRPr="007652B4" w:rsidRDefault="007652B4" w:rsidP="007652B4">
      <w:pPr>
        <w:tabs>
          <w:tab w:val="left" w:pos="1560"/>
        </w:tabs>
        <w:suppressAutoHyphens/>
        <w:overflowPunct w:val="0"/>
        <w:autoSpaceDE w:val="0"/>
        <w:autoSpaceDN w:val="0"/>
        <w:spacing w:after="120"/>
        <w:ind w:left="1134" w:right="1134"/>
        <w:rPr>
          <w:iCs/>
          <w:kern w:val="0"/>
          <w:szCs w:val="21"/>
          <w:lang w:val="en-GB"/>
        </w:rPr>
      </w:pPr>
      <w:r w:rsidRPr="007652B4">
        <w:rPr>
          <w:iCs/>
          <w:kern w:val="0"/>
          <w:szCs w:val="21"/>
          <w:lang w:val="en-GB"/>
        </w:rPr>
        <w:tab/>
      </w:r>
      <w:r>
        <w:rPr>
          <w:iCs/>
          <w:kern w:val="0"/>
          <w:szCs w:val="21"/>
          <w:lang w:val="en-GB"/>
        </w:rPr>
        <w:t>(</w:t>
      </w:r>
      <w:r w:rsidRPr="007652B4">
        <w:rPr>
          <w:iCs/>
          <w:kern w:val="0"/>
          <w:szCs w:val="21"/>
          <w:lang w:val="en-GB"/>
        </w:rPr>
        <w:t>a</w:t>
      </w:r>
      <w:r>
        <w:rPr>
          <w:iCs/>
          <w:kern w:val="0"/>
          <w:szCs w:val="21"/>
          <w:lang w:val="en-GB"/>
        </w:rPr>
        <w:t>)</w:t>
      </w:r>
      <w:r w:rsidRPr="007652B4">
        <w:rPr>
          <w:iCs/>
          <w:kern w:val="0"/>
          <w:szCs w:val="21"/>
          <w:lang w:val="en-GB"/>
        </w:rPr>
        <w:tab/>
      </w:r>
      <w:r w:rsidRPr="007652B4">
        <w:rPr>
          <w:iCs/>
          <w:kern w:val="0"/>
          <w:szCs w:val="21"/>
          <w:lang w:val="en-GB"/>
        </w:rPr>
        <w:t>孕产妇死亡率较高，尤其是</w:t>
      </w:r>
      <w:r w:rsidRPr="007652B4">
        <w:rPr>
          <w:rFonts w:hint="eastAsia"/>
          <w:iCs/>
          <w:kern w:val="0"/>
          <w:szCs w:val="21"/>
          <w:lang w:val="en-GB"/>
        </w:rPr>
        <w:t>在</w:t>
      </w:r>
      <w:r w:rsidRPr="007652B4">
        <w:rPr>
          <w:iCs/>
          <w:kern w:val="0"/>
          <w:szCs w:val="21"/>
          <w:lang w:val="en-GB"/>
        </w:rPr>
        <w:t>农村妇女和青少年</w:t>
      </w:r>
      <w:r w:rsidRPr="007652B4">
        <w:rPr>
          <w:rFonts w:hint="eastAsia"/>
          <w:iCs/>
          <w:kern w:val="0"/>
          <w:szCs w:val="21"/>
          <w:lang w:val="en-GB"/>
        </w:rPr>
        <w:t>当中</w:t>
      </w:r>
      <w:r w:rsidRPr="007652B4">
        <w:rPr>
          <w:iCs/>
          <w:kern w:val="0"/>
          <w:szCs w:val="21"/>
          <w:lang w:val="en-GB"/>
        </w:rPr>
        <w:t>，尽管</w:t>
      </w:r>
      <w:r w:rsidRPr="007652B4">
        <w:rPr>
          <w:rFonts w:hint="eastAsia"/>
          <w:iCs/>
          <w:kern w:val="0"/>
          <w:szCs w:val="21"/>
          <w:lang w:val="en-GB"/>
        </w:rPr>
        <w:t>该比例已从</w:t>
      </w:r>
      <w:r w:rsidRPr="007652B4">
        <w:rPr>
          <w:iCs/>
          <w:kern w:val="0"/>
          <w:szCs w:val="21"/>
          <w:lang w:val="en-GB"/>
        </w:rPr>
        <w:t>2013</w:t>
      </w:r>
      <w:r w:rsidRPr="007652B4">
        <w:rPr>
          <w:rFonts w:hint="eastAsia"/>
          <w:iCs/>
          <w:kern w:val="0"/>
          <w:szCs w:val="21"/>
          <w:lang w:val="en-GB"/>
        </w:rPr>
        <w:t>年之前的每</w:t>
      </w:r>
      <w:r w:rsidRPr="007652B4">
        <w:rPr>
          <w:iCs/>
          <w:kern w:val="0"/>
          <w:szCs w:val="21"/>
          <w:lang w:val="en-GB"/>
        </w:rPr>
        <w:t>10</w:t>
      </w:r>
      <w:r w:rsidRPr="007652B4">
        <w:rPr>
          <w:rFonts w:hint="eastAsia"/>
          <w:iCs/>
          <w:kern w:val="0"/>
          <w:szCs w:val="21"/>
          <w:lang w:val="en-GB"/>
        </w:rPr>
        <w:t>万活产</w:t>
      </w:r>
      <w:r w:rsidRPr="007652B4">
        <w:rPr>
          <w:iCs/>
          <w:kern w:val="0"/>
          <w:szCs w:val="21"/>
          <w:lang w:val="en-GB"/>
        </w:rPr>
        <w:t>675</w:t>
      </w:r>
      <w:r w:rsidRPr="007652B4">
        <w:rPr>
          <w:rFonts w:hint="eastAsia"/>
          <w:iCs/>
          <w:kern w:val="0"/>
          <w:szCs w:val="21"/>
          <w:lang w:val="en-GB"/>
        </w:rPr>
        <w:t>例死亡降低到每</w:t>
      </w:r>
      <w:r w:rsidRPr="007652B4">
        <w:rPr>
          <w:iCs/>
          <w:kern w:val="0"/>
          <w:szCs w:val="21"/>
          <w:lang w:val="en-GB"/>
        </w:rPr>
        <w:t>10</w:t>
      </w:r>
      <w:r w:rsidRPr="007652B4">
        <w:rPr>
          <w:rFonts w:hint="eastAsia"/>
          <w:iCs/>
          <w:kern w:val="0"/>
          <w:szCs w:val="21"/>
          <w:lang w:val="en-GB"/>
        </w:rPr>
        <w:t>万活产</w:t>
      </w:r>
      <w:r w:rsidRPr="007652B4">
        <w:rPr>
          <w:iCs/>
          <w:kern w:val="0"/>
          <w:szCs w:val="21"/>
          <w:lang w:val="en-GB"/>
        </w:rPr>
        <w:t>460</w:t>
      </w:r>
      <w:r w:rsidRPr="007652B4">
        <w:rPr>
          <w:rFonts w:hint="eastAsia"/>
          <w:iCs/>
          <w:kern w:val="0"/>
          <w:szCs w:val="21"/>
          <w:lang w:val="en-GB"/>
        </w:rPr>
        <w:t>例死亡；</w:t>
      </w:r>
    </w:p>
    <w:p w:rsidR="007652B4" w:rsidRPr="007652B4" w:rsidRDefault="007652B4" w:rsidP="007652B4">
      <w:pPr>
        <w:tabs>
          <w:tab w:val="left" w:pos="1560"/>
        </w:tabs>
        <w:suppressAutoHyphens/>
        <w:overflowPunct w:val="0"/>
        <w:autoSpaceDE w:val="0"/>
        <w:autoSpaceDN w:val="0"/>
        <w:spacing w:after="120"/>
        <w:ind w:left="1134" w:right="1134"/>
        <w:rPr>
          <w:iCs/>
          <w:kern w:val="0"/>
          <w:szCs w:val="21"/>
          <w:lang w:val="en-GB"/>
        </w:rPr>
      </w:pPr>
      <w:r w:rsidRPr="007652B4">
        <w:rPr>
          <w:iCs/>
          <w:kern w:val="0"/>
          <w:szCs w:val="21"/>
          <w:lang w:val="en-GB"/>
        </w:rPr>
        <w:tab/>
      </w:r>
      <w:r>
        <w:rPr>
          <w:iCs/>
          <w:kern w:val="0"/>
          <w:szCs w:val="21"/>
          <w:lang w:val="en-GB"/>
        </w:rPr>
        <w:t>(</w:t>
      </w:r>
      <w:r w:rsidRPr="007652B4">
        <w:rPr>
          <w:iCs/>
          <w:kern w:val="0"/>
          <w:szCs w:val="21"/>
          <w:lang w:val="en-GB"/>
        </w:rPr>
        <w:t>b</w:t>
      </w:r>
      <w:r>
        <w:rPr>
          <w:iCs/>
          <w:kern w:val="0"/>
          <w:szCs w:val="21"/>
          <w:lang w:val="en-GB"/>
        </w:rPr>
        <w:t>)</w:t>
      </w:r>
      <w:r w:rsidRPr="007652B4">
        <w:rPr>
          <w:iCs/>
          <w:kern w:val="0"/>
          <w:szCs w:val="21"/>
          <w:lang w:val="en-GB"/>
        </w:rPr>
        <w:tab/>
      </w:r>
      <w:r w:rsidRPr="007652B4">
        <w:rPr>
          <w:iCs/>
          <w:kern w:val="0"/>
          <w:szCs w:val="21"/>
          <w:lang w:val="en-GB"/>
        </w:rPr>
        <w:t>除非孕妇的生命受到威胁，否则堕胎被定为犯罪，而此种</w:t>
      </w:r>
      <w:r w:rsidRPr="007652B4">
        <w:rPr>
          <w:rFonts w:hint="eastAsia"/>
          <w:iCs/>
          <w:kern w:val="0"/>
          <w:szCs w:val="21"/>
          <w:lang w:val="en-GB"/>
        </w:rPr>
        <w:t>定</w:t>
      </w:r>
      <w:r w:rsidRPr="007652B4">
        <w:rPr>
          <w:iCs/>
          <w:kern w:val="0"/>
          <w:szCs w:val="21"/>
          <w:lang w:val="en-GB"/>
        </w:rPr>
        <w:t>罪化影响到</w:t>
      </w:r>
      <w:r w:rsidRPr="007652B4">
        <w:rPr>
          <w:rFonts w:hint="eastAsia"/>
          <w:iCs/>
          <w:kern w:val="0"/>
          <w:szCs w:val="21"/>
          <w:lang w:val="en-GB"/>
        </w:rPr>
        <w:t>孕产妇</w:t>
      </w:r>
      <w:r w:rsidRPr="007652B4">
        <w:rPr>
          <w:iCs/>
          <w:kern w:val="0"/>
          <w:szCs w:val="21"/>
          <w:lang w:val="en-GB"/>
        </w:rPr>
        <w:t>死亡率，同时，妇女，尤其是</w:t>
      </w:r>
      <w:r w:rsidRPr="007652B4">
        <w:rPr>
          <w:iCs/>
          <w:kern w:val="0"/>
          <w:szCs w:val="21"/>
          <w:lang w:val="en-GB"/>
        </w:rPr>
        <w:t>25</w:t>
      </w:r>
      <w:r w:rsidRPr="007652B4">
        <w:rPr>
          <w:iCs/>
          <w:kern w:val="0"/>
          <w:szCs w:val="21"/>
          <w:lang w:val="en-GB"/>
        </w:rPr>
        <w:t>岁以下妇女</w:t>
      </w:r>
      <w:r w:rsidRPr="007652B4">
        <w:rPr>
          <w:rFonts w:hint="eastAsia"/>
          <w:iCs/>
          <w:kern w:val="0"/>
          <w:szCs w:val="21"/>
          <w:lang w:val="en-GB"/>
        </w:rPr>
        <w:t>及女孩</w:t>
      </w:r>
      <w:r w:rsidRPr="007652B4">
        <w:rPr>
          <w:iCs/>
          <w:kern w:val="0"/>
          <w:szCs w:val="21"/>
          <w:lang w:val="en-GB"/>
        </w:rPr>
        <w:t>被迫</w:t>
      </w:r>
      <w:r w:rsidRPr="007652B4">
        <w:rPr>
          <w:rFonts w:hint="eastAsia"/>
          <w:iCs/>
          <w:kern w:val="0"/>
          <w:szCs w:val="21"/>
          <w:lang w:val="en-GB"/>
        </w:rPr>
        <w:t>采用</w:t>
      </w:r>
      <w:r w:rsidRPr="007652B4">
        <w:rPr>
          <w:iCs/>
          <w:kern w:val="0"/>
          <w:szCs w:val="21"/>
          <w:lang w:val="en-GB"/>
        </w:rPr>
        <w:t>不安全的堕胎；</w:t>
      </w:r>
    </w:p>
    <w:p w:rsidR="007652B4" w:rsidRPr="007652B4" w:rsidRDefault="007652B4" w:rsidP="007652B4">
      <w:pPr>
        <w:tabs>
          <w:tab w:val="left" w:pos="1560"/>
        </w:tabs>
        <w:suppressAutoHyphens/>
        <w:overflowPunct w:val="0"/>
        <w:autoSpaceDE w:val="0"/>
        <w:autoSpaceDN w:val="0"/>
        <w:spacing w:after="120"/>
        <w:ind w:left="1134" w:right="1134"/>
        <w:rPr>
          <w:iCs/>
          <w:kern w:val="0"/>
          <w:szCs w:val="21"/>
          <w:lang w:val="en-GB"/>
        </w:rPr>
      </w:pPr>
      <w:r w:rsidRPr="007652B4">
        <w:rPr>
          <w:iCs/>
          <w:kern w:val="0"/>
          <w:szCs w:val="21"/>
          <w:lang w:val="en-GB"/>
        </w:rPr>
        <w:tab/>
      </w:r>
      <w:r>
        <w:rPr>
          <w:iCs/>
          <w:kern w:val="0"/>
          <w:szCs w:val="21"/>
          <w:lang w:val="en-GB"/>
        </w:rPr>
        <w:t>(</w:t>
      </w:r>
      <w:r w:rsidRPr="007652B4">
        <w:rPr>
          <w:iCs/>
          <w:kern w:val="0"/>
          <w:szCs w:val="21"/>
          <w:lang w:val="en-GB"/>
        </w:rPr>
        <w:t>c</w:t>
      </w:r>
      <w:r>
        <w:rPr>
          <w:iCs/>
          <w:kern w:val="0"/>
          <w:szCs w:val="21"/>
          <w:lang w:val="en-GB"/>
        </w:rPr>
        <w:t>)</w:t>
      </w:r>
      <w:r w:rsidRPr="007652B4">
        <w:rPr>
          <w:iCs/>
          <w:kern w:val="0"/>
          <w:szCs w:val="21"/>
          <w:lang w:val="en-GB"/>
        </w:rPr>
        <w:tab/>
      </w:r>
      <w:r w:rsidRPr="007652B4">
        <w:rPr>
          <w:iCs/>
          <w:kern w:val="0"/>
          <w:szCs w:val="21"/>
          <w:lang w:val="en-GB"/>
        </w:rPr>
        <w:t>少女早孕人数众多；</w:t>
      </w:r>
    </w:p>
    <w:p w:rsidR="007652B4" w:rsidRPr="007652B4" w:rsidRDefault="007652B4" w:rsidP="007652B4">
      <w:pPr>
        <w:tabs>
          <w:tab w:val="left" w:pos="1560"/>
        </w:tabs>
        <w:suppressAutoHyphens/>
        <w:overflowPunct w:val="0"/>
        <w:autoSpaceDE w:val="0"/>
        <w:autoSpaceDN w:val="0"/>
        <w:spacing w:after="120"/>
        <w:ind w:left="1134" w:right="1134"/>
        <w:rPr>
          <w:iCs/>
          <w:kern w:val="0"/>
          <w:szCs w:val="21"/>
          <w:lang w:val="en-GB"/>
        </w:rPr>
      </w:pPr>
      <w:r w:rsidRPr="007652B4">
        <w:rPr>
          <w:iCs/>
          <w:kern w:val="0"/>
          <w:szCs w:val="21"/>
          <w:lang w:val="en-GB"/>
        </w:rPr>
        <w:tab/>
      </w:r>
      <w:r>
        <w:rPr>
          <w:iCs/>
          <w:kern w:val="0"/>
          <w:szCs w:val="21"/>
          <w:lang w:val="en-GB"/>
        </w:rPr>
        <w:t>(</w:t>
      </w:r>
      <w:r w:rsidRPr="007652B4">
        <w:rPr>
          <w:iCs/>
          <w:kern w:val="0"/>
          <w:szCs w:val="21"/>
          <w:lang w:val="en-GB"/>
        </w:rPr>
        <w:t>d</w:t>
      </w:r>
      <w:r>
        <w:rPr>
          <w:iCs/>
          <w:kern w:val="0"/>
          <w:szCs w:val="21"/>
          <w:lang w:val="en-GB"/>
        </w:rPr>
        <w:t>)</w:t>
      </w:r>
      <w:r w:rsidRPr="007652B4">
        <w:rPr>
          <w:iCs/>
          <w:kern w:val="0"/>
          <w:szCs w:val="21"/>
          <w:lang w:val="en-GB"/>
        </w:rPr>
        <w:tab/>
      </w:r>
      <w:r w:rsidRPr="007652B4">
        <w:rPr>
          <w:iCs/>
          <w:kern w:val="0"/>
          <w:szCs w:val="21"/>
          <w:lang w:val="en-GB"/>
        </w:rPr>
        <w:t>缺乏关于性和生殖健康</w:t>
      </w:r>
      <w:r w:rsidRPr="007652B4">
        <w:rPr>
          <w:rFonts w:hint="eastAsia"/>
          <w:iCs/>
          <w:kern w:val="0"/>
          <w:szCs w:val="21"/>
          <w:lang w:val="en-GB"/>
        </w:rPr>
        <w:t>与</w:t>
      </w:r>
      <w:r w:rsidRPr="007652B4">
        <w:rPr>
          <w:iCs/>
          <w:kern w:val="0"/>
          <w:szCs w:val="21"/>
          <w:lang w:val="en-GB"/>
        </w:rPr>
        <w:t>权利的全面教育以及计划生育服务，</w:t>
      </w:r>
      <w:r w:rsidRPr="007652B4">
        <w:rPr>
          <w:rFonts w:hint="eastAsia"/>
          <w:iCs/>
          <w:kern w:val="0"/>
          <w:szCs w:val="21"/>
          <w:lang w:val="en-GB"/>
        </w:rPr>
        <w:t>以及</w:t>
      </w:r>
      <w:r w:rsidRPr="007652B4">
        <w:rPr>
          <w:iCs/>
          <w:kern w:val="0"/>
          <w:szCs w:val="21"/>
          <w:lang w:val="en-GB"/>
        </w:rPr>
        <w:t>在缔约国获得现代避孕药具的途径有限。</w:t>
      </w:r>
      <w:r w:rsidRPr="007652B4">
        <w:rPr>
          <w:iCs/>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35.</w:t>
      </w:r>
      <w:r w:rsidRPr="007652B4">
        <w:rPr>
          <w:kern w:val="0"/>
          <w:szCs w:val="21"/>
          <w:lang w:val="en-GB"/>
        </w:rPr>
        <w:tab/>
      </w:r>
      <w:r w:rsidRPr="007652B4">
        <w:rPr>
          <w:rFonts w:eastAsia="黑体"/>
          <w:kern w:val="0"/>
          <w:szCs w:val="21"/>
          <w:lang w:val="en-GB"/>
        </w:rPr>
        <w:t>委员会建议缔约国：</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a</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降低孕产妇死亡率，为此应确保提供</w:t>
      </w:r>
      <w:r w:rsidRPr="007652B4">
        <w:rPr>
          <w:rFonts w:eastAsia="黑体" w:hint="eastAsia"/>
          <w:kern w:val="0"/>
          <w:szCs w:val="21"/>
          <w:lang w:val="en-GB"/>
        </w:rPr>
        <w:t>适当</w:t>
      </w:r>
      <w:r w:rsidRPr="007652B4">
        <w:rPr>
          <w:rFonts w:eastAsia="黑体"/>
          <w:kern w:val="0"/>
          <w:szCs w:val="21"/>
          <w:lang w:val="en-GB"/>
        </w:rPr>
        <w:t>的性与生殖健康服务，尤其是产前、</w:t>
      </w:r>
      <w:r w:rsidRPr="007652B4">
        <w:rPr>
          <w:rFonts w:eastAsia="黑体" w:hint="eastAsia"/>
          <w:kern w:val="0"/>
          <w:szCs w:val="21"/>
          <w:lang w:val="en-GB"/>
        </w:rPr>
        <w:t>生产</w:t>
      </w:r>
      <w:r w:rsidRPr="007652B4">
        <w:rPr>
          <w:rFonts w:eastAsia="黑体"/>
          <w:kern w:val="0"/>
          <w:szCs w:val="21"/>
          <w:lang w:val="en-GB"/>
        </w:rPr>
        <w:t>、产后服务，包括在农村地区；</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b</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在这一方面，</w:t>
      </w:r>
      <w:r w:rsidRPr="007652B4">
        <w:rPr>
          <w:rFonts w:eastAsia="黑体" w:hint="eastAsia"/>
          <w:kern w:val="0"/>
          <w:szCs w:val="21"/>
          <w:lang w:val="en-GB"/>
        </w:rPr>
        <w:t>审议</w:t>
      </w:r>
      <w:r w:rsidRPr="007652B4">
        <w:rPr>
          <w:rFonts w:eastAsia="黑体"/>
          <w:kern w:val="0"/>
          <w:szCs w:val="21"/>
          <w:lang w:val="en-GB"/>
        </w:rPr>
        <w:t>联合国人权事务高级专员办事处编写的《关于采取基于人权的方式执行降低可预防的孕产妇死亡率和发病率的政策和方案的技术指南》</w:t>
      </w:r>
      <w:r>
        <w:rPr>
          <w:rFonts w:eastAsia="黑体"/>
          <w:kern w:val="0"/>
          <w:szCs w:val="21"/>
          <w:lang w:val="en-GB"/>
        </w:rPr>
        <w:t>(</w:t>
      </w:r>
      <w:r w:rsidRPr="007652B4">
        <w:rPr>
          <w:rFonts w:eastAsia="黑体"/>
          <w:kern w:val="0"/>
          <w:szCs w:val="21"/>
          <w:lang w:val="en-GB"/>
        </w:rPr>
        <w:t>A/HRC/21/22</w:t>
      </w:r>
      <w:r w:rsidRPr="007652B4">
        <w:rPr>
          <w:rFonts w:eastAsia="黑体"/>
          <w:kern w:val="0"/>
          <w:szCs w:val="21"/>
          <w:lang w:val="en-GB"/>
        </w:rPr>
        <w:t>和</w:t>
      </w:r>
      <w:r w:rsidRPr="007652B4">
        <w:rPr>
          <w:rFonts w:eastAsia="黑体"/>
          <w:kern w:val="0"/>
          <w:szCs w:val="21"/>
          <w:lang w:val="en-GB"/>
        </w:rPr>
        <w:t>Corr.1</w:t>
      </w:r>
      <w:r w:rsidRPr="007652B4">
        <w:rPr>
          <w:rFonts w:eastAsia="黑体"/>
          <w:kern w:val="0"/>
          <w:szCs w:val="21"/>
          <w:lang w:val="en-GB"/>
        </w:rPr>
        <w:t>和</w:t>
      </w:r>
      <w:r w:rsidRPr="007652B4">
        <w:rPr>
          <w:rFonts w:eastAsia="黑体"/>
          <w:kern w:val="0"/>
          <w:szCs w:val="21"/>
          <w:lang w:val="en-GB"/>
        </w:rPr>
        <w:t>2</w:t>
      </w:r>
      <w:r>
        <w:rPr>
          <w:rFonts w:eastAsia="黑体"/>
          <w:kern w:val="0"/>
          <w:szCs w:val="21"/>
          <w:lang w:val="en-GB"/>
        </w:rPr>
        <w:t>)</w:t>
      </w:r>
      <w:r w:rsidRPr="007652B4">
        <w:rPr>
          <w:rFonts w:eastAsia="黑体"/>
          <w:kern w:val="0"/>
          <w:szCs w:val="21"/>
          <w:lang w:val="en-GB"/>
        </w:rPr>
        <w:t>；</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c</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修订</w:t>
      </w:r>
      <w:r w:rsidRPr="007652B4">
        <w:rPr>
          <w:rFonts w:eastAsia="黑体" w:hint="eastAsia"/>
          <w:kern w:val="0"/>
          <w:szCs w:val="21"/>
          <w:lang w:val="en-GB"/>
        </w:rPr>
        <w:t>有关</w:t>
      </w:r>
      <w:r w:rsidRPr="007652B4">
        <w:rPr>
          <w:rFonts w:eastAsia="黑体"/>
          <w:kern w:val="0"/>
          <w:szCs w:val="21"/>
          <w:lang w:val="en-GB"/>
        </w:rPr>
        <w:t>堕胎的法律条款，使堕胎非罪化，确保在法律和实际上可以堕胎，</w:t>
      </w:r>
      <w:r w:rsidRPr="007652B4">
        <w:rPr>
          <w:rFonts w:eastAsia="黑体" w:hint="eastAsia"/>
          <w:kern w:val="0"/>
          <w:szCs w:val="21"/>
          <w:lang w:val="en-GB"/>
        </w:rPr>
        <w:t>不作限制性的报告要求</w:t>
      </w:r>
      <w:r w:rsidRPr="007652B4">
        <w:rPr>
          <w:rFonts w:eastAsia="黑体"/>
          <w:kern w:val="0"/>
          <w:szCs w:val="21"/>
          <w:lang w:val="en-GB"/>
        </w:rPr>
        <w:t>，至少在孕妇的生命或健康受到威胁、强奸、乱伦和胎儿有严重缺陷的情况下是如此；</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d</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解决少女怀孕人数众多的问题，为此确保向女童和男童，包括失学儿童提供与年龄相符的性与生殖健康和权利教育；</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rFonts w:eastAsia="黑体"/>
          <w:kern w:val="0"/>
          <w:szCs w:val="21"/>
          <w:lang w:val="en-GB"/>
        </w:rPr>
        <w:tab/>
      </w:r>
      <w:r>
        <w:rPr>
          <w:rFonts w:eastAsia="黑体"/>
          <w:kern w:val="0"/>
          <w:szCs w:val="21"/>
          <w:lang w:val="en-GB"/>
        </w:rPr>
        <w:t>(</w:t>
      </w:r>
      <w:r w:rsidRPr="007652B4">
        <w:rPr>
          <w:rFonts w:eastAsia="黑体"/>
          <w:kern w:val="0"/>
          <w:szCs w:val="21"/>
          <w:lang w:val="en-GB"/>
        </w:rPr>
        <w:t>e</w:t>
      </w:r>
      <w:r>
        <w:rPr>
          <w:rFonts w:eastAsia="黑体"/>
          <w:kern w:val="0"/>
          <w:szCs w:val="21"/>
          <w:lang w:val="en-GB"/>
        </w:rPr>
        <w:t>)</w:t>
      </w:r>
      <w:r w:rsidRPr="007652B4">
        <w:rPr>
          <w:rFonts w:eastAsia="黑体"/>
          <w:kern w:val="0"/>
          <w:szCs w:val="21"/>
          <w:lang w:val="en-GB"/>
        </w:rPr>
        <w:tab/>
      </w:r>
      <w:r w:rsidRPr="007652B4">
        <w:rPr>
          <w:rFonts w:eastAsia="黑体"/>
          <w:kern w:val="0"/>
          <w:szCs w:val="21"/>
          <w:lang w:val="en-GB"/>
        </w:rPr>
        <w:t>确保</w:t>
      </w:r>
      <w:r w:rsidRPr="007652B4">
        <w:rPr>
          <w:rFonts w:eastAsia="黑体" w:hint="eastAsia"/>
          <w:kern w:val="0"/>
          <w:szCs w:val="21"/>
          <w:lang w:val="en-GB"/>
        </w:rPr>
        <w:t>向</w:t>
      </w:r>
      <w:r w:rsidRPr="007652B4">
        <w:rPr>
          <w:rFonts w:eastAsia="黑体"/>
          <w:kern w:val="0"/>
          <w:szCs w:val="21"/>
          <w:lang w:val="en-GB"/>
        </w:rPr>
        <w:t>缔约国全体妇女</w:t>
      </w:r>
      <w:r w:rsidRPr="007652B4">
        <w:rPr>
          <w:rFonts w:eastAsia="黑体" w:hint="eastAsia"/>
          <w:kern w:val="0"/>
          <w:szCs w:val="21"/>
          <w:lang w:val="en-GB"/>
        </w:rPr>
        <w:t>提供</w:t>
      </w:r>
      <w:r w:rsidRPr="007652B4">
        <w:rPr>
          <w:rFonts w:eastAsia="黑体"/>
          <w:kern w:val="0"/>
          <w:szCs w:val="21"/>
          <w:lang w:val="en-GB"/>
        </w:rPr>
        <w:t>现代形式的避孕和生殖服务。</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艾滋病毒</w:t>
      </w:r>
      <w:r w:rsidRPr="007652B4">
        <w:rPr>
          <w:rFonts w:eastAsia="黑体" w:hint="eastAsia"/>
          <w:kern w:val="0"/>
          <w:szCs w:val="21"/>
          <w:lang w:val="en-GB"/>
        </w:rPr>
        <w:t>/</w:t>
      </w:r>
      <w:r w:rsidRPr="007652B4">
        <w:rPr>
          <w:rFonts w:eastAsia="黑体" w:hint="eastAsia"/>
          <w:kern w:val="0"/>
          <w:szCs w:val="21"/>
          <w:lang w:val="en-GB"/>
        </w:rPr>
        <w:t>艾滋病</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36.</w:t>
      </w:r>
      <w:r w:rsidRPr="007652B4">
        <w:rPr>
          <w:kern w:val="0"/>
          <w:szCs w:val="21"/>
          <w:lang w:val="en-GB"/>
        </w:rPr>
        <w:tab/>
      </w:r>
      <w:r w:rsidRPr="007652B4">
        <w:rPr>
          <w:rFonts w:hint="eastAsia"/>
          <w:kern w:val="0"/>
          <w:szCs w:val="21"/>
          <w:lang w:val="en-GB"/>
        </w:rPr>
        <w:t>委员会依然关切的是缔约国妇女和女孩艾滋病患病率高。同时关切的是艾滋病毒和艾滋病</w:t>
      </w:r>
      <w:r>
        <w:rPr>
          <w:rFonts w:hint="eastAsia"/>
          <w:kern w:val="0"/>
          <w:szCs w:val="21"/>
          <w:lang w:val="en-GB"/>
        </w:rPr>
        <w:t>(</w:t>
      </w:r>
      <w:r w:rsidRPr="007652B4">
        <w:rPr>
          <w:rFonts w:hint="eastAsia"/>
          <w:kern w:val="0"/>
          <w:szCs w:val="21"/>
          <w:lang w:val="en-GB"/>
        </w:rPr>
        <w:t>预防与管理</w:t>
      </w:r>
      <w:r>
        <w:rPr>
          <w:rFonts w:hint="eastAsia"/>
          <w:kern w:val="0"/>
          <w:szCs w:val="21"/>
          <w:lang w:val="en-GB"/>
        </w:rPr>
        <w:t>)</w:t>
      </w:r>
      <w:r w:rsidRPr="007652B4">
        <w:rPr>
          <w:rFonts w:hint="eastAsia"/>
          <w:kern w:val="0"/>
          <w:szCs w:val="21"/>
          <w:lang w:val="en-GB"/>
        </w:rPr>
        <w:t>法案草案中具有争议的条款，包括艾滋病毒</w:t>
      </w:r>
      <w:r w:rsidRPr="007652B4">
        <w:rPr>
          <w:rFonts w:hint="eastAsia"/>
          <w:kern w:val="0"/>
          <w:szCs w:val="21"/>
          <w:lang w:val="en-GB"/>
        </w:rPr>
        <w:t>/</w:t>
      </w:r>
      <w:r w:rsidRPr="007652B4">
        <w:rPr>
          <w:rFonts w:hint="eastAsia"/>
          <w:kern w:val="0"/>
          <w:szCs w:val="21"/>
          <w:lang w:val="en-GB"/>
        </w:rPr>
        <w:t>艾滋病管理与预防事宜分离；医疗从业人员未经允许在特定情况下披露个人的艾滋病毒状况；对孕妇、卖淫妇女及一夫多妻制中的妇女进行强制性艾滋病毒检查；公务人员及家政工作人员上岗前的强制性检查；不包含与年轻妇女、女孩及残疾人相关的条款。</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37.</w:t>
      </w:r>
      <w:r w:rsidRPr="007652B4">
        <w:rPr>
          <w:kern w:val="0"/>
          <w:szCs w:val="21"/>
          <w:lang w:val="en-GB"/>
        </w:rPr>
        <w:tab/>
      </w:r>
      <w:r w:rsidRPr="007652B4">
        <w:rPr>
          <w:rFonts w:eastAsia="黑体" w:hint="eastAsia"/>
          <w:kern w:val="0"/>
          <w:szCs w:val="21"/>
          <w:lang w:val="en-GB"/>
        </w:rPr>
        <w:t>委员会建议缔约国加快修订艾滋病毒和艾滋病</w:t>
      </w:r>
      <w:r>
        <w:rPr>
          <w:rFonts w:eastAsia="黑体" w:hint="eastAsia"/>
          <w:kern w:val="0"/>
          <w:szCs w:val="21"/>
          <w:lang w:val="en-GB"/>
        </w:rPr>
        <w:t>(</w:t>
      </w:r>
      <w:r w:rsidRPr="007652B4">
        <w:rPr>
          <w:rFonts w:eastAsia="黑体" w:hint="eastAsia"/>
          <w:kern w:val="0"/>
          <w:szCs w:val="21"/>
          <w:lang w:val="en-GB"/>
        </w:rPr>
        <w:t>预防与管理</w:t>
      </w:r>
      <w:r>
        <w:rPr>
          <w:rFonts w:eastAsia="黑体" w:hint="eastAsia"/>
          <w:kern w:val="0"/>
          <w:szCs w:val="21"/>
          <w:lang w:val="en-GB"/>
        </w:rPr>
        <w:t>)</w:t>
      </w:r>
      <w:r w:rsidRPr="007652B4">
        <w:rPr>
          <w:rFonts w:eastAsia="黑体" w:hint="eastAsia"/>
          <w:kern w:val="0"/>
          <w:szCs w:val="21"/>
          <w:lang w:val="en-GB"/>
        </w:rPr>
        <w:t>法案，以确保全面涵盖艾滋病毒</w:t>
      </w:r>
      <w:r w:rsidRPr="007652B4">
        <w:rPr>
          <w:rFonts w:eastAsia="黑体" w:hint="eastAsia"/>
          <w:kern w:val="0"/>
          <w:szCs w:val="21"/>
          <w:lang w:val="en-GB"/>
        </w:rPr>
        <w:t>/</w:t>
      </w:r>
      <w:r w:rsidRPr="007652B4">
        <w:rPr>
          <w:rFonts w:eastAsia="黑体" w:hint="eastAsia"/>
          <w:kern w:val="0"/>
          <w:szCs w:val="21"/>
          <w:lang w:val="en-GB"/>
        </w:rPr>
        <w:t>艾滋病预防、治疗、护理、支持及管理以及完全符合《公约》及其他相关国际标准。</w:t>
      </w:r>
      <w:r w:rsidRPr="007652B4">
        <w:rPr>
          <w:rFonts w:eastAsia="黑体"/>
          <w:kern w:val="0"/>
          <w:szCs w:val="21"/>
          <w:lang w:val="en-GB"/>
        </w:rPr>
        <w:t xml:space="preserve"> </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增强妇女的经济权能</w:t>
      </w:r>
    </w:p>
    <w:p w:rsidR="007652B4" w:rsidRPr="007652B4" w:rsidRDefault="007652B4" w:rsidP="007652B4">
      <w:pPr>
        <w:tabs>
          <w:tab w:val="left" w:pos="1560"/>
        </w:tabs>
        <w:suppressAutoHyphens/>
        <w:overflowPunct w:val="0"/>
        <w:autoSpaceDE w:val="0"/>
        <w:autoSpaceDN w:val="0"/>
        <w:spacing w:after="120"/>
        <w:ind w:left="1134" w:right="1134"/>
        <w:rPr>
          <w:kern w:val="0"/>
          <w:szCs w:val="21"/>
        </w:rPr>
      </w:pPr>
      <w:r w:rsidRPr="007652B4">
        <w:rPr>
          <w:kern w:val="0"/>
          <w:szCs w:val="21"/>
        </w:rPr>
        <w:t>38.</w:t>
      </w:r>
      <w:r w:rsidRPr="007652B4">
        <w:rPr>
          <w:kern w:val="0"/>
          <w:szCs w:val="21"/>
        </w:rPr>
        <w:tab/>
      </w:r>
      <w:r w:rsidRPr="007652B4">
        <w:rPr>
          <w:rFonts w:hint="eastAsia"/>
          <w:kern w:val="0"/>
          <w:szCs w:val="21"/>
        </w:rPr>
        <w:t>委员会注意到缔约国为减少贫困及确保社会保护所采取的措施，包括社会现金转移计划和通过全国社会福利政策。但委员会关切的是，这些措施并不适合妇女的特殊需求，以及妇女可用的财务援助和信贷有限。委员会还对妇女的创业活动</w:t>
      </w:r>
      <w:r>
        <w:rPr>
          <w:rFonts w:hint="eastAsia"/>
          <w:kern w:val="0"/>
          <w:szCs w:val="21"/>
        </w:rPr>
        <w:t>(</w:t>
      </w:r>
      <w:r w:rsidRPr="007652B4">
        <w:rPr>
          <w:rFonts w:hint="eastAsia"/>
          <w:kern w:val="0"/>
          <w:szCs w:val="21"/>
        </w:rPr>
        <w:t>如采矿业领域妇女所有的企业</w:t>
      </w:r>
      <w:r>
        <w:rPr>
          <w:rFonts w:hint="eastAsia"/>
          <w:kern w:val="0"/>
          <w:szCs w:val="21"/>
        </w:rPr>
        <w:t>)</w:t>
      </w:r>
      <w:r w:rsidRPr="007652B4">
        <w:rPr>
          <w:rFonts w:hint="eastAsia"/>
          <w:kern w:val="0"/>
          <w:szCs w:val="21"/>
        </w:rPr>
        <w:t>缺乏支持表示关切。</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bCs/>
          <w:kern w:val="0"/>
          <w:szCs w:val="21"/>
          <w:lang w:val="en-GB"/>
        </w:rPr>
        <w:t>39.</w:t>
      </w:r>
      <w:r w:rsidRPr="007652B4">
        <w:rPr>
          <w:bCs/>
          <w:kern w:val="0"/>
          <w:szCs w:val="21"/>
          <w:lang w:val="en-GB"/>
        </w:rPr>
        <w:tab/>
      </w:r>
      <w:r w:rsidRPr="007652B4">
        <w:rPr>
          <w:rFonts w:eastAsia="黑体" w:hint="eastAsia"/>
          <w:bCs/>
          <w:kern w:val="0"/>
          <w:szCs w:val="21"/>
          <w:lang w:val="en-GB"/>
        </w:rPr>
        <w:t>委员会建议缔约国确保其减贫和社会保护方案取得可持续成果、增强妇女权能并且不会增加依赖性，尤其关注农村地区的妇女。缔约国还应加大努力改善妇女获得信贷、金融服务及技术援助的渠道，并通过提供能力建设方案</w:t>
      </w:r>
      <w:r>
        <w:rPr>
          <w:rFonts w:eastAsia="黑体" w:hint="eastAsia"/>
          <w:bCs/>
          <w:kern w:val="0"/>
          <w:szCs w:val="21"/>
          <w:lang w:val="en-GB"/>
        </w:rPr>
        <w:t>(</w:t>
      </w:r>
      <w:r w:rsidRPr="007652B4">
        <w:rPr>
          <w:rFonts w:eastAsia="黑体" w:hint="eastAsia"/>
          <w:bCs/>
          <w:kern w:val="0"/>
          <w:szCs w:val="21"/>
          <w:lang w:val="en-GB"/>
        </w:rPr>
        <w:t>包括在采矿业</w:t>
      </w:r>
      <w:r>
        <w:rPr>
          <w:rFonts w:eastAsia="黑体" w:hint="eastAsia"/>
          <w:bCs/>
          <w:kern w:val="0"/>
          <w:szCs w:val="21"/>
          <w:lang w:val="en-GB"/>
        </w:rPr>
        <w:t>)</w:t>
      </w:r>
      <w:r w:rsidRPr="007652B4">
        <w:rPr>
          <w:rFonts w:eastAsia="黑体" w:hint="eastAsia"/>
          <w:bCs/>
          <w:kern w:val="0"/>
          <w:szCs w:val="21"/>
          <w:lang w:val="en-GB"/>
        </w:rPr>
        <w:t>，鼓励和支持妇女创业。</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自然灾害对妇女的影响</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40.</w:t>
      </w:r>
      <w:r w:rsidRPr="007652B4">
        <w:rPr>
          <w:kern w:val="0"/>
          <w:szCs w:val="21"/>
          <w:lang w:val="en-GB"/>
        </w:rPr>
        <w:tab/>
      </w:r>
      <w:r w:rsidRPr="007652B4">
        <w:rPr>
          <w:rFonts w:hint="eastAsia"/>
          <w:kern w:val="0"/>
          <w:szCs w:val="21"/>
          <w:lang w:val="en-GB"/>
        </w:rPr>
        <w:t>委员会注意到缔约国为确保对灾难管理做出性别敏感的反应所采取的措施，但关切的是，在</w:t>
      </w:r>
      <w:r w:rsidRPr="007652B4">
        <w:rPr>
          <w:rFonts w:hint="eastAsia"/>
          <w:kern w:val="0"/>
          <w:szCs w:val="21"/>
          <w:lang w:val="en-GB"/>
        </w:rPr>
        <w:t>2015</w:t>
      </w:r>
      <w:r w:rsidRPr="007652B4">
        <w:rPr>
          <w:rFonts w:hint="eastAsia"/>
          <w:kern w:val="0"/>
          <w:szCs w:val="21"/>
          <w:lang w:val="en-GB"/>
        </w:rPr>
        <w:t>年特大洪灾之后，妇女和女孩受暴力和粮食安全无保障愈加的的影响尤为严重。</w:t>
      </w:r>
      <w:r w:rsidRPr="007652B4">
        <w:rPr>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41.</w:t>
      </w:r>
      <w:r w:rsidRPr="007652B4">
        <w:rPr>
          <w:kern w:val="0"/>
          <w:szCs w:val="21"/>
          <w:lang w:val="en-GB"/>
        </w:rPr>
        <w:tab/>
      </w:r>
      <w:r w:rsidRPr="007652B4">
        <w:rPr>
          <w:rFonts w:eastAsia="黑体" w:hint="eastAsia"/>
          <w:bCs/>
          <w:kern w:val="0"/>
          <w:szCs w:val="21"/>
          <w:lang w:val="en-GB"/>
        </w:rPr>
        <w:t>委员会呼吁缔约国确保在制定和实施有关备灾和灾害应对及其他紧急事件的政策和方案时将性别观点纳入考虑以保证妇女，特别是农村妇女，根据需要从这些措施中充分受益。缔约国还应确保妇女，特别是农村妇女，参与有关灾害管理和降低灾害风险的决策。</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农村妇女</w:t>
      </w:r>
    </w:p>
    <w:p w:rsidR="007652B4" w:rsidRPr="007652B4" w:rsidRDefault="007652B4" w:rsidP="007652B4">
      <w:pPr>
        <w:tabs>
          <w:tab w:val="left" w:pos="1560"/>
        </w:tabs>
        <w:suppressAutoHyphens/>
        <w:overflowPunct w:val="0"/>
        <w:autoSpaceDE w:val="0"/>
        <w:autoSpaceDN w:val="0"/>
        <w:spacing w:after="120"/>
        <w:ind w:left="1134" w:right="1134"/>
        <w:rPr>
          <w:kern w:val="0"/>
          <w:szCs w:val="21"/>
        </w:rPr>
      </w:pPr>
      <w:r w:rsidRPr="007652B4">
        <w:rPr>
          <w:kern w:val="0"/>
          <w:szCs w:val="21"/>
        </w:rPr>
        <w:t>42.</w:t>
      </w:r>
      <w:r w:rsidRPr="007652B4">
        <w:rPr>
          <w:kern w:val="0"/>
          <w:szCs w:val="21"/>
        </w:rPr>
        <w:tab/>
      </w:r>
      <w:r w:rsidRPr="007652B4">
        <w:rPr>
          <w:rFonts w:hint="eastAsia"/>
          <w:kern w:val="0"/>
          <w:szCs w:val="21"/>
        </w:rPr>
        <w:t>委员会关切的是，传统土地法案的延期通过危害农村妇女将土地用于种植农作物及创收机遇的权利。同时关切的是，农村妇女受到营养不良和粮食安全无保障的影响尤为严重。</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43.</w:t>
      </w:r>
      <w:r w:rsidRPr="007652B4">
        <w:rPr>
          <w:kern w:val="0"/>
          <w:szCs w:val="21"/>
          <w:lang w:val="en-GB"/>
        </w:rPr>
        <w:tab/>
      </w:r>
      <w:r w:rsidRPr="007652B4">
        <w:rPr>
          <w:rFonts w:eastAsia="黑体" w:hint="eastAsia"/>
          <w:kern w:val="0"/>
          <w:szCs w:val="21"/>
        </w:rPr>
        <w:t>委员会建议缔约国加快通过传统土地法案以确保保护妇女的传统土地权利、获取土地，包括将土地用于种植农作物和创收机遇、控制生产资源以及促进妇女参与有关土地分配的决策。委员会还建议缔约国加快通过经修订的营养政策，有效实施特别报告员在其报告</w:t>
      </w:r>
      <w:r>
        <w:rPr>
          <w:rFonts w:eastAsia="黑体" w:hint="eastAsia"/>
          <w:kern w:val="0"/>
          <w:szCs w:val="21"/>
        </w:rPr>
        <w:t>(</w:t>
      </w:r>
      <w:r w:rsidRPr="007652B4">
        <w:rPr>
          <w:rFonts w:eastAsia="黑体"/>
          <w:kern w:val="0"/>
          <w:szCs w:val="21"/>
        </w:rPr>
        <w:t>A/HRC/25/57/Add.1</w:t>
      </w:r>
      <w:r>
        <w:rPr>
          <w:rFonts w:eastAsia="黑体" w:hint="eastAsia"/>
          <w:kern w:val="0"/>
          <w:szCs w:val="21"/>
        </w:rPr>
        <w:t>)</w:t>
      </w:r>
      <w:r w:rsidRPr="007652B4">
        <w:rPr>
          <w:rFonts w:eastAsia="黑体" w:hint="eastAsia"/>
          <w:kern w:val="0"/>
          <w:szCs w:val="21"/>
        </w:rPr>
        <w:t>中提出的有关食物权的各项建议，尤其推动将性别观点纳入食品与营养安全战略和方案中。</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患有白化病的妇女</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44.</w:t>
      </w:r>
      <w:r w:rsidRPr="007652B4">
        <w:rPr>
          <w:kern w:val="0"/>
          <w:szCs w:val="21"/>
          <w:lang w:val="en-GB"/>
        </w:rPr>
        <w:tab/>
      </w:r>
      <w:r w:rsidRPr="007652B4">
        <w:rPr>
          <w:rFonts w:hint="eastAsia"/>
          <w:kern w:val="0"/>
          <w:szCs w:val="21"/>
          <w:lang w:val="en-GB"/>
        </w:rPr>
        <w:t>委员会深表关切的是，对白化病患者</w:t>
      </w:r>
      <w:r>
        <w:rPr>
          <w:rFonts w:hint="eastAsia"/>
          <w:kern w:val="0"/>
          <w:szCs w:val="21"/>
          <w:lang w:val="en-GB"/>
        </w:rPr>
        <w:t>(</w:t>
      </w:r>
      <w:r w:rsidRPr="007652B4">
        <w:rPr>
          <w:rFonts w:hint="eastAsia"/>
          <w:kern w:val="0"/>
          <w:szCs w:val="21"/>
          <w:lang w:val="en-GB"/>
        </w:rPr>
        <w:t>包括妇女和女孩</w:t>
      </w:r>
      <w:r>
        <w:rPr>
          <w:rFonts w:hint="eastAsia"/>
          <w:kern w:val="0"/>
          <w:szCs w:val="21"/>
          <w:lang w:val="en-GB"/>
        </w:rPr>
        <w:t>)</w:t>
      </w:r>
      <w:r w:rsidRPr="007652B4">
        <w:rPr>
          <w:rFonts w:hint="eastAsia"/>
          <w:kern w:val="0"/>
          <w:szCs w:val="21"/>
          <w:lang w:val="en-GB"/>
        </w:rPr>
        <w:t>的污名化以及对她们身体的严重威胁和攻击，如仪式杀害、绑架和肢残。</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45.</w:t>
      </w:r>
      <w:r w:rsidRPr="007652B4">
        <w:rPr>
          <w:kern w:val="0"/>
          <w:szCs w:val="21"/>
          <w:lang w:val="en-GB"/>
        </w:rPr>
        <w:tab/>
      </w:r>
      <w:r w:rsidRPr="007652B4">
        <w:rPr>
          <w:rFonts w:eastAsia="黑体" w:hint="eastAsia"/>
          <w:kern w:val="0"/>
          <w:szCs w:val="21"/>
          <w:lang w:val="en-GB"/>
        </w:rPr>
        <w:t>委员会敦促缔约国加强措施，保护患有白化病的妇女和女孩免受一切形式的暴力并解决她们所面临的歧视、污名化和社会排斥问题。委员会特别促请缔约国对这些犯罪的责任人进行有效调查、起诉和惩罚，扩大其增强认识努力，以消除危害患有白化病的妇女和女孩身心健康的这些迷信观点，并确保这些妇女和女孩可以在不受歧视或没有恐惧的情况下获得教育、就业、医疗及其他基本服务。</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老年妇女</w:t>
      </w:r>
    </w:p>
    <w:p w:rsidR="007652B4" w:rsidRPr="007652B4" w:rsidRDefault="007652B4" w:rsidP="007652B4">
      <w:pPr>
        <w:tabs>
          <w:tab w:val="left" w:pos="1560"/>
        </w:tabs>
        <w:suppressAutoHyphens/>
        <w:overflowPunct w:val="0"/>
        <w:autoSpaceDE w:val="0"/>
        <w:autoSpaceDN w:val="0"/>
        <w:spacing w:after="120"/>
        <w:ind w:left="1134" w:right="1134"/>
        <w:rPr>
          <w:kern w:val="0"/>
          <w:szCs w:val="21"/>
        </w:rPr>
      </w:pPr>
      <w:r w:rsidRPr="007652B4">
        <w:rPr>
          <w:kern w:val="0"/>
          <w:szCs w:val="21"/>
        </w:rPr>
        <w:t>46.</w:t>
      </w:r>
      <w:r w:rsidRPr="007652B4">
        <w:rPr>
          <w:kern w:val="0"/>
          <w:szCs w:val="21"/>
        </w:rPr>
        <w:tab/>
      </w:r>
      <w:r w:rsidRPr="007652B4">
        <w:rPr>
          <w:rFonts w:hint="eastAsia"/>
          <w:kern w:val="0"/>
          <w:szCs w:val="21"/>
        </w:rPr>
        <w:t>委员会严重关切的是，有报告称老年妇女因涉嫌从事巫术并传授给子女而遭受暴力。</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47.</w:t>
      </w:r>
      <w:r w:rsidRPr="007652B4">
        <w:rPr>
          <w:kern w:val="0"/>
          <w:szCs w:val="21"/>
          <w:lang w:val="en-GB"/>
        </w:rPr>
        <w:tab/>
      </w:r>
      <w:r w:rsidRPr="007652B4">
        <w:rPr>
          <w:rFonts w:eastAsia="黑体" w:hint="eastAsia"/>
          <w:bCs/>
          <w:kern w:val="0"/>
          <w:szCs w:val="21"/>
          <w:lang w:val="en-GB"/>
        </w:rPr>
        <w:t>委员会敦促缔约国修订其《巫术法》以使其符合国际人权标准，加强其各项措施以保护被指控从事巫术的妇女免受暴力，就此类攻击的犯罪性质开展增强认识运动，特别在农村地区，以及有效惩罚犯罪者。</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难民妇女</w:t>
      </w:r>
    </w:p>
    <w:p w:rsidR="007652B4" w:rsidRPr="007652B4" w:rsidRDefault="007652B4" w:rsidP="007652B4">
      <w:pPr>
        <w:tabs>
          <w:tab w:val="left" w:pos="1560"/>
        </w:tabs>
        <w:suppressAutoHyphens/>
        <w:overflowPunct w:val="0"/>
        <w:autoSpaceDE w:val="0"/>
        <w:autoSpaceDN w:val="0"/>
        <w:spacing w:after="120"/>
        <w:ind w:left="1134" w:right="1134"/>
        <w:rPr>
          <w:kern w:val="0"/>
          <w:szCs w:val="21"/>
        </w:rPr>
      </w:pPr>
      <w:r w:rsidRPr="007652B4">
        <w:rPr>
          <w:kern w:val="0"/>
          <w:szCs w:val="21"/>
        </w:rPr>
        <w:t>48.</w:t>
      </w:r>
      <w:r w:rsidRPr="007652B4">
        <w:rPr>
          <w:kern w:val="0"/>
          <w:szCs w:val="21"/>
        </w:rPr>
        <w:tab/>
      </w:r>
      <w:r w:rsidRPr="007652B4">
        <w:rPr>
          <w:rFonts w:hint="eastAsia"/>
          <w:kern w:val="0"/>
          <w:szCs w:val="21"/>
        </w:rPr>
        <w:t>委员会关切的是，颁布修订后的《难民法》延迟及政策框架的缺乏，导致难民妇女和女孩受到歧视待遇，包括在获取基本服务方面。</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rPr>
      </w:pPr>
      <w:r w:rsidRPr="007652B4">
        <w:rPr>
          <w:kern w:val="0"/>
          <w:szCs w:val="21"/>
        </w:rPr>
        <w:t>49.</w:t>
      </w:r>
      <w:r w:rsidRPr="007652B4">
        <w:rPr>
          <w:kern w:val="0"/>
          <w:szCs w:val="21"/>
        </w:rPr>
        <w:tab/>
      </w:r>
      <w:r w:rsidRPr="007652B4">
        <w:rPr>
          <w:rFonts w:eastAsia="黑体" w:hint="eastAsia"/>
          <w:kern w:val="0"/>
          <w:szCs w:val="21"/>
        </w:rPr>
        <w:t>委员会建议缔约国加快颁布修订后的</w:t>
      </w:r>
      <w:r w:rsidRPr="007652B4">
        <w:rPr>
          <w:rFonts w:eastAsia="黑体"/>
          <w:kern w:val="0"/>
          <w:szCs w:val="21"/>
        </w:rPr>
        <w:t xml:space="preserve"> </w:t>
      </w:r>
      <w:r w:rsidRPr="007652B4">
        <w:rPr>
          <w:rFonts w:eastAsia="黑体" w:hint="eastAsia"/>
          <w:kern w:val="0"/>
          <w:szCs w:val="21"/>
        </w:rPr>
        <w:t>《难民法》并确保其各项规定符合《公约》及有关妇女的难民身份、避难、国籍及无国籍的性别相关方面的第</w:t>
      </w:r>
      <w:r w:rsidRPr="007652B4">
        <w:rPr>
          <w:rFonts w:eastAsia="黑体" w:hint="eastAsia"/>
          <w:kern w:val="0"/>
          <w:szCs w:val="21"/>
        </w:rPr>
        <w:t>32</w:t>
      </w:r>
      <w:r>
        <w:rPr>
          <w:rFonts w:eastAsia="黑体" w:hint="eastAsia"/>
          <w:kern w:val="0"/>
          <w:szCs w:val="21"/>
        </w:rPr>
        <w:t>(</w:t>
      </w:r>
      <w:r w:rsidRPr="007652B4">
        <w:rPr>
          <w:rFonts w:eastAsia="黑体" w:hint="eastAsia"/>
          <w:kern w:val="0"/>
          <w:szCs w:val="21"/>
        </w:rPr>
        <w:t>2014</w:t>
      </w:r>
      <w:r>
        <w:rPr>
          <w:rFonts w:eastAsia="黑体" w:hint="eastAsia"/>
          <w:kern w:val="0"/>
          <w:szCs w:val="21"/>
        </w:rPr>
        <w:t>)</w:t>
      </w:r>
      <w:r w:rsidRPr="007652B4">
        <w:rPr>
          <w:rFonts w:eastAsia="黑体" w:hint="eastAsia"/>
          <w:kern w:val="0"/>
          <w:szCs w:val="21"/>
        </w:rPr>
        <w:t>号一般性建议。缔约国应采取一切必要措施消除难民妇女和女孩获取基本服务的障碍，包括撤销对《</w:t>
      </w:r>
      <w:r w:rsidRPr="007652B4">
        <w:rPr>
          <w:rFonts w:eastAsia="黑体" w:hint="eastAsia"/>
          <w:kern w:val="0"/>
          <w:szCs w:val="21"/>
        </w:rPr>
        <w:t>1951</w:t>
      </w:r>
      <w:r w:rsidRPr="007652B4">
        <w:rPr>
          <w:rFonts w:eastAsia="黑体" w:hint="eastAsia"/>
          <w:kern w:val="0"/>
          <w:szCs w:val="21"/>
        </w:rPr>
        <w:t>年关于难民地位的公约》的保留。</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婚姻与家庭关系平等</w:t>
      </w:r>
    </w:p>
    <w:p w:rsidR="007652B4" w:rsidRPr="007652B4" w:rsidRDefault="007652B4" w:rsidP="007652B4">
      <w:pPr>
        <w:tabs>
          <w:tab w:val="left" w:pos="1560"/>
        </w:tabs>
        <w:suppressAutoHyphens/>
        <w:overflowPunct w:val="0"/>
        <w:autoSpaceDE w:val="0"/>
        <w:autoSpaceDN w:val="0"/>
        <w:spacing w:after="120"/>
        <w:ind w:left="1134" w:right="1134"/>
        <w:rPr>
          <w:kern w:val="0"/>
          <w:szCs w:val="21"/>
        </w:rPr>
      </w:pPr>
      <w:r w:rsidRPr="007652B4">
        <w:rPr>
          <w:kern w:val="0"/>
          <w:szCs w:val="21"/>
        </w:rPr>
        <w:t>50.</w:t>
      </w:r>
      <w:r w:rsidRPr="007652B4">
        <w:rPr>
          <w:kern w:val="0"/>
          <w:szCs w:val="21"/>
        </w:rPr>
        <w:tab/>
      </w:r>
      <w:r w:rsidRPr="007652B4">
        <w:rPr>
          <w:rFonts w:hint="eastAsia"/>
          <w:kern w:val="0"/>
          <w:szCs w:val="21"/>
        </w:rPr>
        <w:t>委员会对《结婚、离婚与家庭关系法》将男女的最低结婚年龄定为</w:t>
      </w:r>
      <w:r w:rsidRPr="007652B4">
        <w:rPr>
          <w:rFonts w:hint="eastAsia"/>
          <w:kern w:val="0"/>
          <w:szCs w:val="21"/>
        </w:rPr>
        <w:t>18</w:t>
      </w:r>
      <w:r w:rsidRPr="007652B4">
        <w:rPr>
          <w:rFonts w:hint="eastAsia"/>
          <w:kern w:val="0"/>
          <w:szCs w:val="21"/>
        </w:rPr>
        <w:t>岁表示欢迎。</w:t>
      </w:r>
      <w:r w:rsidRPr="007652B4">
        <w:rPr>
          <w:rFonts w:hint="eastAsia"/>
          <w:kern w:val="0"/>
          <w:szCs w:val="21"/>
          <w:lang w:val="en-GB"/>
        </w:rPr>
        <w:t>但对该法中的条款与不符合《公约》第</w:t>
      </w:r>
      <w:r w:rsidRPr="007652B4">
        <w:rPr>
          <w:rFonts w:hint="eastAsia"/>
          <w:kern w:val="0"/>
          <w:szCs w:val="21"/>
          <w:lang w:val="en-GB"/>
        </w:rPr>
        <w:t>16</w:t>
      </w:r>
      <w:r w:rsidRPr="007652B4">
        <w:rPr>
          <w:rFonts w:hint="eastAsia"/>
          <w:kern w:val="0"/>
          <w:szCs w:val="21"/>
          <w:lang w:val="en-GB"/>
        </w:rPr>
        <w:t>条第</w:t>
      </w:r>
      <w:r w:rsidRPr="007652B4">
        <w:rPr>
          <w:kern w:val="0"/>
          <w:szCs w:val="21"/>
          <w:lang w:val="en-GB"/>
        </w:rPr>
        <w:t>2</w:t>
      </w:r>
      <w:r w:rsidRPr="007652B4">
        <w:rPr>
          <w:rFonts w:hint="eastAsia"/>
          <w:kern w:val="0"/>
          <w:szCs w:val="21"/>
          <w:lang w:val="en-GB"/>
        </w:rPr>
        <w:t>款的宪法条款之间的不一致之处表示关切。委员会还对缺乏有关一夫多妻制的立法表示关切。</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51.</w:t>
      </w:r>
      <w:r w:rsidRPr="007652B4">
        <w:rPr>
          <w:kern w:val="0"/>
          <w:szCs w:val="21"/>
          <w:lang w:val="en-GB"/>
        </w:rPr>
        <w:tab/>
      </w:r>
      <w:r w:rsidRPr="007652B4">
        <w:rPr>
          <w:rFonts w:eastAsia="黑体" w:hint="eastAsia"/>
          <w:kern w:val="0"/>
          <w:szCs w:val="21"/>
        </w:rPr>
        <w:t>委员会建议缔约国采取一切必要措施，包括修订其《宪法》，以便协调统一《结婚、离婚与家庭关系法》中规定并符合《公约》的男女</w:t>
      </w:r>
      <w:r w:rsidRPr="007652B4">
        <w:rPr>
          <w:rFonts w:eastAsia="黑体" w:hint="eastAsia"/>
          <w:kern w:val="0"/>
          <w:szCs w:val="21"/>
        </w:rPr>
        <w:t>18</w:t>
      </w:r>
      <w:r w:rsidRPr="007652B4">
        <w:rPr>
          <w:rFonts w:eastAsia="黑体" w:hint="eastAsia"/>
          <w:kern w:val="0"/>
          <w:szCs w:val="21"/>
        </w:rPr>
        <w:t>岁的法定最低结婚年龄。缔约国还应采取措施抑制并禁止一夫多妻制，并确保按照委员会有关婚姻与家庭关系平等的第</w:t>
      </w:r>
      <w:r w:rsidRPr="007652B4">
        <w:rPr>
          <w:rFonts w:eastAsia="黑体" w:hint="eastAsia"/>
          <w:kern w:val="0"/>
          <w:szCs w:val="21"/>
        </w:rPr>
        <w:t>21</w:t>
      </w:r>
      <w:r>
        <w:rPr>
          <w:rFonts w:eastAsia="黑体" w:hint="eastAsia"/>
          <w:kern w:val="0"/>
          <w:szCs w:val="21"/>
        </w:rPr>
        <w:t>(</w:t>
      </w:r>
      <w:r w:rsidRPr="007652B4">
        <w:rPr>
          <w:rFonts w:eastAsia="黑体" w:hint="eastAsia"/>
          <w:kern w:val="0"/>
          <w:szCs w:val="21"/>
        </w:rPr>
        <w:t>1994</w:t>
      </w:r>
      <w:r>
        <w:rPr>
          <w:rFonts w:eastAsia="黑体" w:hint="eastAsia"/>
          <w:kern w:val="0"/>
          <w:szCs w:val="21"/>
        </w:rPr>
        <w:t>)</w:t>
      </w:r>
      <w:r w:rsidRPr="007652B4">
        <w:rPr>
          <w:rFonts w:eastAsia="黑体" w:hint="eastAsia"/>
          <w:kern w:val="0"/>
          <w:szCs w:val="21"/>
        </w:rPr>
        <w:t>号一般性建议及有关《公约》第</w:t>
      </w:r>
      <w:r w:rsidRPr="007652B4">
        <w:rPr>
          <w:rFonts w:eastAsia="黑体" w:hint="eastAsia"/>
          <w:kern w:val="0"/>
          <w:szCs w:val="21"/>
        </w:rPr>
        <w:t>16</w:t>
      </w:r>
      <w:r w:rsidRPr="007652B4">
        <w:rPr>
          <w:rFonts w:eastAsia="黑体" w:hint="eastAsia"/>
          <w:kern w:val="0"/>
          <w:szCs w:val="21"/>
        </w:rPr>
        <w:t>条</w:t>
      </w:r>
      <w:r>
        <w:rPr>
          <w:rFonts w:eastAsia="黑体" w:hint="eastAsia"/>
          <w:kern w:val="0"/>
          <w:szCs w:val="21"/>
        </w:rPr>
        <w:t>(</w:t>
      </w:r>
      <w:r w:rsidRPr="007652B4">
        <w:rPr>
          <w:rFonts w:eastAsia="黑体" w:hint="eastAsia"/>
          <w:kern w:val="0"/>
          <w:szCs w:val="21"/>
        </w:rPr>
        <w:t>婚姻、家庭关系及其解除的经济后果</w:t>
      </w:r>
      <w:r>
        <w:rPr>
          <w:rFonts w:eastAsia="黑体" w:hint="eastAsia"/>
          <w:kern w:val="0"/>
          <w:szCs w:val="21"/>
        </w:rPr>
        <w:t>)</w:t>
      </w:r>
      <w:r w:rsidRPr="007652B4">
        <w:rPr>
          <w:rFonts w:eastAsia="黑体" w:hint="eastAsia"/>
          <w:kern w:val="0"/>
          <w:szCs w:val="21"/>
        </w:rPr>
        <w:t>的第</w:t>
      </w:r>
      <w:r w:rsidRPr="007652B4">
        <w:rPr>
          <w:rFonts w:eastAsia="黑体" w:hint="eastAsia"/>
          <w:kern w:val="0"/>
          <w:szCs w:val="21"/>
        </w:rPr>
        <w:t>9</w:t>
      </w:r>
      <w:r>
        <w:rPr>
          <w:rFonts w:eastAsia="黑体" w:hint="eastAsia"/>
          <w:kern w:val="0"/>
          <w:szCs w:val="21"/>
        </w:rPr>
        <w:t>(</w:t>
      </w:r>
      <w:r w:rsidRPr="007652B4">
        <w:rPr>
          <w:rFonts w:eastAsia="黑体" w:hint="eastAsia"/>
          <w:kern w:val="0"/>
          <w:szCs w:val="21"/>
        </w:rPr>
        <w:t>2013</w:t>
      </w:r>
      <w:r>
        <w:rPr>
          <w:rFonts w:eastAsia="黑体" w:hint="eastAsia"/>
          <w:kern w:val="0"/>
          <w:szCs w:val="21"/>
        </w:rPr>
        <w:t>)</w:t>
      </w:r>
      <w:r w:rsidRPr="007652B4">
        <w:rPr>
          <w:rFonts w:eastAsia="黑体" w:hint="eastAsia"/>
          <w:kern w:val="0"/>
          <w:szCs w:val="21"/>
        </w:rPr>
        <w:t>号一般性建议，保护现有一夫多妻制中妇女的各项权利。</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任择议定书和对《公约》第</w:t>
      </w:r>
      <w:r w:rsidRPr="007652B4">
        <w:rPr>
          <w:rFonts w:eastAsia="黑体" w:hint="eastAsia"/>
          <w:kern w:val="0"/>
          <w:szCs w:val="21"/>
          <w:lang w:val="en-GB"/>
        </w:rPr>
        <w:t>20</w:t>
      </w:r>
      <w:r w:rsidRPr="007652B4">
        <w:rPr>
          <w:rFonts w:eastAsia="黑体" w:hint="eastAsia"/>
          <w:kern w:val="0"/>
          <w:szCs w:val="21"/>
          <w:lang w:val="en-GB"/>
        </w:rPr>
        <w:t>条第</w:t>
      </w:r>
      <w:r w:rsidRPr="007652B4">
        <w:rPr>
          <w:rFonts w:eastAsia="黑体"/>
          <w:kern w:val="0"/>
          <w:szCs w:val="21"/>
          <w:lang w:val="en-GB"/>
        </w:rPr>
        <w:t>1</w:t>
      </w:r>
      <w:r w:rsidRPr="007652B4">
        <w:rPr>
          <w:rFonts w:eastAsia="黑体" w:hint="eastAsia"/>
          <w:kern w:val="0"/>
          <w:szCs w:val="21"/>
          <w:lang w:val="en-GB"/>
        </w:rPr>
        <w:t>款的修正案</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rPr>
      </w:pPr>
      <w:r w:rsidRPr="007652B4">
        <w:rPr>
          <w:kern w:val="0"/>
          <w:szCs w:val="21"/>
        </w:rPr>
        <w:t>52.</w:t>
      </w:r>
      <w:r w:rsidRPr="007652B4">
        <w:rPr>
          <w:kern w:val="0"/>
          <w:szCs w:val="21"/>
        </w:rPr>
        <w:tab/>
      </w:r>
      <w:r w:rsidRPr="007652B4">
        <w:rPr>
          <w:rFonts w:eastAsia="黑体" w:hint="eastAsia"/>
          <w:kern w:val="0"/>
          <w:szCs w:val="21"/>
        </w:rPr>
        <w:t>委员会鼓励缔约国</w:t>
      </w:r>
      <w:r w:rsidRPr="007652B4">
        <w:rPr>
          <w:rFonts w:eastAsia="黑体" w:hint="eastAsia"/>
          <w:kern w:val="0"/>
          <w:szCs w:val="21"/>
          <w:lang w:val="en-GB"/>
        </w:rPr>
        <w:t>批准《公约任择议定书》并尽快接受关于委员会会议时间的《公约》第</w:t>
      </w:r>
      <w:r w:rsidRPr="007652B4">
        <w:rPr>
          <w:rFonts w:eastAsia="黑体" w:hint="eastAsia"/>
          <w:kern w:val="0"/>
          <w:szCs w:val="21"/>
          <w:lang w:val="en-GB"/>
        </w:rPr>
        <w:t>20</w:t>
      </w:r>
      <w:r w:rsidRPr="007652B4">
        <w:rPr>
          <w:rFonts w:eastAsia="黑体" w:hint="eastAsia"/>
          <w:kern w:val="0"/>
          <w:szCs w:val="21"/>
          <w:lang w:val="en-GB"/>
        </w:rPr>
        <w:t>条第</w:t>
      </w:r>
      <w:r w:rsidRPr="007652B4">
        <w:rPr>
          <w:rFonts w:eastAsia="黑体"/>
          <w:kern w:val="0"/>
          <w:szCs w:val="21"/>
          <w:lang w:val="en-GB"/>
        </w:rPr>
        <w:t>1</w:t>
      </w:r>
      <w:r w:rsidRPr="007652B4">
        <w:rPr>
          <w:rFonts w:eastAsia="黑体" w:hint="eastAsia"/>
          <w:kern w:val="0"/>
          <w:szCs w:val="21"/>
          <w:lang w:val="en-GB"/>
        </w:rPr>
        <w:t>款的修正案。</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《北京宣言》和《行动纲要》</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bCs/>
          <w:kern w:val="0"/>
          <w:szCs w:val="21"/>
          <w:lang w:val="en-GB"/>
        </w:rPr>
      </w:pPr>
      <w:r w:rsidRPr="007652B4">
        <w:rPr>
          <w:bCs/>
          <w:kern w:val="0"/>
          <w:szCs w:val="21"/>
          <w:lang w:val="en-GB"/>
        </w:rPr>
        <w:t>53.</w:t>
      </w:r>
      <w:r w:rsidRPr="007652B4">
        <w:rPr>
          <w:bCs/>
          <w:kern w:val="0"/>
          <w:szCs w:val="21"/>
          <w:lang w:val="en-GB"/>
        </w:rPr>
        <w:tab/>
      </w:r>
      <w:r w:rsidRPr="007652B4">
        <w:rPr>
          <w:rFonts w:eastAsia="黑体" w:hint="eastAsia"/>
          <w:kern w:val="0"/>
          <w:szCs w:val="21"/>
          <w:lang w:val="en-GB"/>
        </w:rPr>
        <w:t>委员会呼吁缔约国在执行《公约》各项规定时运用《北京宣言》和《行动纲要》。</w:t>
      </w:r>
      <w:r w:rsidRPr="007652B4">
        <w:rPr>
          <w:rFonts w:eastAsia="黑体"/>
          <w:kern w:val="0"/>
          <w:szCs w:val="21"/>
          <w:lang w:val="en-GB"/>
        </w:rPr>
        <w:t xml:space="preserve"> </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t>2030</w:t>
      </w:r>
      <w:r w:rsidRPr="007652B4">
        <w:rPr>
          <w:rFonts w:eastAsia="黑体" w:hint="eastAsia"/>
          <w:kern w:val="0"/>
          <w:szCs w:val="21"/>
          <w:lang w:val="en-GB"/>
        </w:rPr>
        <w:t>年可持续发展议程</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54.</w:t>
      </w:r>
      <w:r w:rsidRPr="007652B4">
        <w:rPr>
          <w:kern w:val="0"/>
          <w:szCs w:val="21"/>
          <w:lang w:val="en-GB"/>
        </w:rPr>
        <w:tab/>
      </w:r>
      <w:r w:rsidRPr="007652B4">
        <w:rPr>
          <w:rFonts w:eastAsia="黑体" w:hint="eastAsia"/>
          <w:kern w:val="0"/>
          <w:szCs w:val="21"/>
          <w:lang w:val="en-GB"/>
        </w:rPr>
        <w:t>委员会呼吁在执行</w:t>
      </w:r>
      <w:r w:rsidRPr="007652B4">
        <w:rPr>
          <w:rFonts w:eastAsia="黑体"/>
          <w:kern w:val="0"/>
          <w:szCs w:val="21"/>
          <w:lang w:val="en-GB"/>
        </w:rPr>
        <w:t>2030</w:t>
      </w:r>
      <w:r w:rsidRPr="007652B4">
        <w:rPr>
          <w:rFonts w:eastAsia="黑体" w:hint="eastAsia"/>
          <w:kern w:val="0"/>
          <w:szCs w:val="21"/>
          <w:lang w:val="en-GB"/>
        </w:rPr>
        <w:t>可持续发展议程的整个过程中根据《公约》规定实现实质性的性别平等。</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传播</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55.</w:t>
      </w:r>
      <w:r w:rsidRPr="007652B4">
        <w:rPr>
          <w:kern w:val="0"/>
          <w:szCs w:val="21"/>
          <w:lang w:val="en-GB"/>
        </w:rPr>
        <w:tab/>
      </w:r>
      <w:r w:rsidRPr="007652B4">
        <w:rPr>
          <w:rFonts w:eastAsia="黑体" w:hint="eastAsia"/>
          <w:kern w:val="0"/>
          <w:szCs w:val="21"/>
          <w:lang w:val="en-GB"/>
        </w:rPr>
        <w:t>委员会忆及，缔约国有义务系统和持续地执行《公约》规定。它敦促缔约国在提交下一次定期报告前优先注意执行本结论性意见和建议。因此，委员会请缔约国及时使用其官方语文向相关各级</w:t>
      </w:r>
      <w:r>
        <w:rPr>
          <w:rFonts w:eastAsia="黑体" w:hint="eastAsia"/>
          <w:kern w:val="0"/>
          <w:szCs w:val="21"/>
          <w:lang w:val="en-GB"/>
        </w:rPr>
        <w:t>(</w:t>
      </w:r>
      <w:r w:rsidRPr="007652B4">
        <w:rPr>
          <w:rFonts w:eastAsia="黑体" w:hint="eastAsia"/>
          <w:kern w:val="0"/>
          <w:szCs w:val="21"/>
          <w:lang w:val="en-GB"/>
        </w:rPr>
        <w:t>国家、区域和地方</w:t>
      </w:r>
      <w:r>
        <w:rPr>
          <w:rFonts w:eastAsia="黑体" w:hint="eastAsia"/>
          <w:kern w:val="0"/>
          <w:szCs w:val="21"/>
          <w:lang w:val="en-GB"/>
        </w:rPr>
        <w:t>)</w:t>
      </w:r>
      <w:r w:rsidRPr="007652B4">
        <w:rPr>
          <w:rFonts w:eastAsia="黑体" w:hint="eastAsia"/>
          <w:kern w:val="0"/>
          <w:szCs w:val="21"/>
          <w:lang w:val="en-GB"/>
        </w:rPr>
        <w:t>国家机构传播本结论性意见，尤其是政府、各部、议会和司法部门，以使结论性意见得到充分落实。委员会鼓励缔约国与所有相关利益攸关方，如雇主协会、工会、人权和妇女组织、大学、研究机构以及媒体等合作。委员会建议在地方社区一级以适当形式传播本结论性意见，以使其得到执行。此外，委员会请缔约国继续向所有利益攸关方传播《公约》、其《任择议定书》、相关判例以及委员会的一般性建议。</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技术援助</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rPr>
      </w:pPr>
      <w:r w:rsidRPr="007652B4">
        <w:rPr>
          <w:kern w:val="0"/>
          <w:szCs w:val="21"/>
        </w:rPr>
        <w:t>56.</w:t>
      </w:r>
      <w:r w:rsidRPr="007652B4">
        <w:rPr>
          <w:kern w:val="0"/>
          <w:szCs w:val="21"/>
        </w:rPr>
        <w:tab/>
      </w:r>
      <w:r w:rsidRPr="007652B4">
        <w:rPr>
          <w:rFonts w:eastAsia="黑体" w:hint="eastAsia"/>
          <w:kern w:val="0"/>
          <w:szCs w:val="21"/>
        </w:rPr>
        <w:t>委员会建议缔约国将《公约》的实施与其发展努力相联系并在这方面利用区域或国际技术援助。</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rPr>
        <w:tab/>
      </w:r>
      <w:r w:rsidRPr="007652B4">
        <w:rPr>
          <w:rFonts w:eastAsia="黑体"/>
          <w:kern w:val="0"/>
          <w:szCs w:val="21"/>
        </w:rPr>
        <w:tab/>
      </w:r>
      <w:r w:rsidRPr="007652B4">
        <w:rPr>
          <w:rFonts w:eastAsia="黑体" w:hint="eastAsia"/>
          <w:kern w:val="0"/>
          <w:szCs w:val="21"/>
          <w:lang w:val="en-GB"/>
        </w:rPr>
        <w:t>批准其他条约</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57.</w:t>
      </w:r>
      <w:r w:rsidRPr="007652B4">
        <w:rPr>
          <w:kern w:val="0"/>
          <w:szCs w:val="21"/>
          <w:lang w:val="en-GB"/>
        </w:rPr>
        <w:tab/>
      </w:r>
      <w:r w:rsidRPr="007652B4">
        <w:rPr>
          <w:rFonts w:eastAsia="黑体" w:hint="eastAsia"/>
          <w:kern w:val="0"/>
          <w:szCs w:val="21"/>
          <w:lang w:val="en-GB"/>
        </w:rPr>
        <w:t>委员会注意到，缔约国遵守</w:t>
      </w:r>
      <w:r w:rsidRPr="007652B4">
        <w:rPr>
          <w:rFonts w:eastAsia="黑体" w:hint="eastAsia"/>
          <w:kern w:val="0"/>
          <w:szCs w:val="21"/>
          <w:lang w:val="en-GB"/>
        </w:rPr>
        <w:t>9</w:t>
      </w:r>
      <w:r w:rsidRPr="007652B4">
        <w:rPr>
          <w:rFonts w:eastAsia="黑体" w:hint="eastAsia"/>
          <w:kern w:val="0"/>
          <w:szCs w:val="21"/>
          <w:lang w:val="en-GB"/>
        </w:rPr>
        <w:t>大国际人权协定，这将使得妇女可以在生活的各个方面享有人权和基本自由。委员会因此鼓励缔约国考虑批准其尚未加入的《保护所有移民工人及其家人权利国际公约》及《保护所有人免遭强迫失踪国际公约》。委员会指出，缔约国通过遵守所有九项主要国际人权文书，</w:t>
      </w:r>
      <w:r w:rsidRPr="007652B4">
        <w:rPr>
          <w:rFonts w:eastAsia="黑体"/>
          <w:kern w:val="0"/>
          <w:szCs w:val="21"/>
          <w:vertAlign w:val="superscript"/>
          <w:lang w:val="en-GB" w:eastAsia="en-US"/>
        </w:rPr>
        <w:footnoteReference w:id="2"/>
      </w:r>
      <w:r w:rsidRPr="007652B4">
        <w:rPr>
          <w:rFonts w:eastAsia="黑体" w:hint="eastAsia"/>
          <w:kern w:val="0"/>
          <w:szCs w:val="21"/>
          <w:lang w:val="en-GB"/>
        </w:rPr>
        <w:t>将促进妇女在生活各方面享有其人权和基本自由。因此，委员会鼓励缔约国考虑批准其尚未成为缔约国的下述条约：《保护所有移徙工人及其家庭成员权利国际公约》和《保护所有人免遭强迫失踪国际公约》。</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结论性意见的后续行动</w:t>
      </w:r>
      <w:r w:rsidRPr="007652B4">
        <w:rPr>
          <w:rFonts w:eastAsia="黑体"/>
          <w:kern w:val="0"/>
          <w:szCs w:val="21"/>
          <w:lang w:val="en-GB"/>
        </w:rPr>
        <w:t xml:space="preserve"> </w:t>
      </w:r>
    </w:p>
    <w:p w:rsidR="007652B4" w:rsidRPr="007652B4" w:rsidRDefault="007652B4" w:rsidP="007652B4">
      <w:pPr>
        <w:tabs>
          <w:tab w:val="left" w:pos="1560"/>
        </w:tabs>
        <w:suppressAutoHyphens/>
        <w:overflowPunct w:val="0"/>
        <w:autoSpaceDE w:val="0"/>
        <w:autoSpaceDN w:val="0"/>
        <w:spacing w:after="120"/>
        <w:ind w:left="1134" w:right="1134"/>
        <w:rPr>
          <w:rFonts w:eastAsia="黑体"/>
          <w:kern w:val="0"/>
          <w:szCs w:val="21"/>
          <w:lang w:val="en-GB"/>
        </w:rPr>
      </w:pPr>
      <w:r w:rsidRPr="007652B4">
        <w:rPr>
          <w:kern w:val="0"/>
          <w:szCs w:val="21"/>
          <w:lang w:val="en-GB"/>
        </w:rPr>
        <w:t>58.</w:t>
      </w:r>
      <w:r w:rsidRPr="007652B4">
        <w:rPr>
          <w:kern w:val="0"/>
          <w:szCs w:val="21"/>
          <w:lang w:val="en-GB"/>
        </w:rPr>
        <w:tab/>
      </w:r>
      <w:r w:rsidRPr="007652B4">
        <w:rPr>
          <w:rFonts w:eastAsia="黑体" w:hint="eastAsia"/>
          <w:kern w:val="0"/>
          <w:szCs w:val="21"/>
          <w:lang w:val="en-GB"/>
        </w:rPr>
        <w:t>委员会请该缔约国在两年内提供书面资料，说明为落实上文第</w:t>
      </w:r>
      <w:r w:rsidRPr="007652B4">
        <w:rPr>
          <w:rFonts w:eastAsia="黑体"/>
          <w:kern w:val="0"/>
          <w:szCs w:val="21"/>
          <w:lang w:val="en-GB"/>
        </w:rPr>
        <w:t>1</w:t>
      </w:r>
      <w:r w:rsidRPr="007652B4">
        <w:rPr>
          <w:rFonts w:eastAsia="黑体" w:hint="eastAsia"/>
          <w:kern w:val="0"/>
          <w:szCs w:val="21"/>
          <w:lang w:val="en-GB"/>
        </w:rPr>
        <w:t>9</w:t>
      </w:r>
      <w:r w:rsidRPr="007652B4">
        <w:rPr>
          <w:rFonts w:eastAsia="黑体" w:hint="eastAsia"/>
          <w:kern w:val="0"/>
          <w:szCs w:val="21"/>
          <w:lang w:val="en-GB"/>
        </w:rPr>
        <w:t>、</w:t>
      </w:r>
      <w:r w:rsidRPr="007652B4">
        <w:rPr>
          <w:rFonts w:eastAsia="黑体" w:hint="eastAsia"/>
          <w:kern w:val="0"/>
          <w:szCs w:val="21"/>
          <w:lang w:val="en-GB"/>
        </w:rPr>
        <w:t>35</w:t>
      </w:r>
      <w:r>
        <w:rPr>
          <w:rFonts w:eastAsia="黑体" w:hint="eastAsia"/>
          <w:kern w:val="0"/>
          <w:szCs w:val="21"/>
          <w:lang w:val="en-GB"/>
        </w:rPr>
        <w:t>(</w:t>
      </w:r>
      <w:r w:rsidRPr="007652B4">
        <w:rPr>
          <w:rFonts w:eastAsia="黑体" w:hint="eastAsia"/>
          <w:kern w:val="0"/>
          <w:szCs w:val="21"/>
          <w:lang w:val="en-GB"/>
        </w:rPr>
        <w:t>a</w:t>
      </w:r>
      <w:r>
        <w:rPr>
          <w:rFonts w:eastAsia="黑体" w:hint="eastAsia"/>
          <w:kern w:val="0"/>
          <w:szCs w:val="21"/>
          <w:lang w:val="en-GB"/>
        </w:rPr>
        <w:t>)</w:t>
      </w:r>
      <w:r w:rsidRPr="007652B4">
        <w:rPr>
          <w:rFonts w:eastAsia="黑体" w:hint="eastAsia"/>
          <w:kern w:val="0"/>
          <w:szCs w:val="21"/>
          <w:lang w:val="en-GB"/>
        </w:rPr>
        <w:t>和</w:t>
      </w:r>
      <w:r>
        <w:rPr>
          <w:rFonts w:eastAsia="黑体" w:hint="eastAsia"/>
          <w:kern w:val="0"/>
          <w:szCs w:val="21"/>
          <w:lang w:val="en-GB"/>
        </w:rPr>
        <w:t>(</w:t>
      </w:r>
      <w:r w:rsidRPr="007652B4">
        <w:rPr>
          <w:rFonts w:eastAsia="黑体" w:hint="eastAsia"/>
          <w:kern w:val="0"/>
          <w:szCs w:val="21"/>
          <w:lang w:val="en-GB"/>
        </w:rPr>
        <w:t>c</w:t>
      </w:r>
      <w:r>
        <w:rPr>
          <w:rFonts w:eastAsia="黑体" w:hint="eastAsia"/>
          <w:kern w:val="0"/>
          <w:szCs w:val="21"/>
          <w:lang w:val="en-GB"/>
        </w:rPr>
        <w:t>)</w:t>
      </w:r>
      <w:r w:rsidRPr="007652B4">
        <w:rPr>
          <w:rFonts w:eastAsia="黑体" w:hint="eastAsia"/>
          <w:kern w:val="0"/>
          <w:szCs w:val="21"/>
          <w:lang w:val="en-GB"/>
        </w:rPr>
        <w:t>段所载建议而采取的步骤。</w:t>
      </w:r>
    </w:p>
    <w:p w:rsidR="007652B4" w:rsidRPr="007652B4" w:rsidRDefault="007652B4" w:rsidP="007652B4">
      <w:pPr>
        <w:keepNext/>
        <w:keepLines/>
        <w:tabs>
          <w:tab w:val="right" w:pos="851"/>
          <w:tab w:val="left" w:pos="1560"/>
        </w:tabs>
        <w:suppressAutoHyphens/>
        <w:overflowPunct w:val="0"/>
        <w:autoSpaceDE w:val="0"/>
        <w:autoSpaceDN w:val="0"/>
        <w:spacing w:after="120"/>
        <w:ind w:left="1134" w:right="1134" w:hanging="1134"/>
        <w:jc w:val="left"/>
        <w:rPr>
          <w:rFonts w:eastAsia="黑体"/>
          <w:kern w:val="0"/>
          <w:szCs w:val="21"/>
          <w:lang w:val="en-GB"/>
        </w:rPr>
      </w:pPr>
      <w:r w:rsidRPr="007652B4">
        <w:rPr>
          <w:rFonts w:eastAsia="黑体"/>
          <w:kern w:val="0"/>
          <w:szCs w:val="21"/>
          <w:lang w:val="en-GB"/>
        </w:rPr>
        <w:tab/>
      </w:r>
      <w:r w:rsidRPr="007652B4">
        <w:rPr>
          <w:rFonts w:eastAsia="黑体"/>
          <w:kern w:val="0"/>
          <w:szCs w:val="21"/>
          <w:lang w:val="en-GB"/>
        </w:rPr>
        <w:tab/>
      </w:r>
      <w:r w:rsidRPr="007652B4">
        <w:rPr>
          <w:rFonts w:eastAsia="黑体" w:hint="eastAsia"/>
          <w:kern w:val="0"/>
          <w:szCs w:val="21"/>
          <w:lang w:val="en-GB"/>
        </w:rPr>
        <w:t>下次报告的编写</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59.</w:t>
      </w:r>
      <w:r w:rsidRPr="007652B4">
        <w:rPr>
          <w:kern w:val="0"/>
          <w:szCs w:val="21"/>
          <w:lang w:val="en-GB"/>
        </w:rPr>
        <w:tab/>
      </w:r>
      <w:r w:rsidRPr="007652B4">
        <w:rPr>
          <w:rFonts w:eastAsia="黑体" w:hint="eastAsia"/>
          <w:kern w:val="0"/>
          <w:szCs w:val="21"/>
          <w:lang w:val="en-GB"/>
        </w:rPr>
        <w:t>委员会请缔约国于</w:t>
      </w:r>
      <w:r w:rsidRPr="007652B4">
        <w:rPr>
          <w:rFonts w:eastAsia="黑体" w:hint="eastAsia"/>
          <w:kern w:val="0"/>
          <w:szCs w:val="21"/>
          <w:lang w:val="en-GB"/>
        </w:rPr>
        <w:t>2019</w:t>
      </w:r>
      <w:r w:rsidRPr="007652B4">
        <w:rPr>
          <w:rFonts w:eastAsia="黑体" w:hint="eastAsia"/>
          <w:kern w:val="0"/>
          <w:szCs w:val="21"/>
          <w:lang w:val="en-GB"/>
        </w:rPr>
        <w:t>年</w:t>
      </w:r>
      <w:r w:rsidRPr="007652B4">
        <w:rPr>
          <w:rFonts w:eastAsia="黑体" w:hint="eastAsia"/>
          <w:kern w:val="0"/>
          <w:szCs w:val="21"/>
          <w:lang w:val="en-GB"/>
        </w:rPr>
        <w:t>11</w:t>
      </w:r>
      <w:r w:rsidRPr="007652B4">
        <w:rPr>
          <w:rFonts w:eastAsia="黑体" w:hint="eastAsia"/>
          <w:kern w:val="0"/>
          <w:szCs w:val="21"/>
          <w:lang w:val="en-GB"/>
        </w:rPr>
        <w:t>月提交其第</w:t>
      </w:r>
      <w:r w:rsidRPr="007652B4">
        <w:rPr>
          <w:rFonts w:eastAsia="黑体" w:hint="eastAsia"/>
          <w:kern w:val="0"/>
          <w:szCs w:val="21"/>
          <w:lang w:val="en-GB"/>
        </w:rPr>
        <w:t>8</w:t>
      </w:r>
      <w:r w:rsidRPr="007652B4">
        <w:rPr>
          <w:rFonts w:eastAsia="黑体" w:hint="eastAsia"/>
          <w:kern w:val="0"/>
          <w:szCs w:val="21"/>
          <w:lang w:val="en-GB"/>
        </w:rPr>
        <w:t>次定期报告。</w:t>
      </w:r>
    </w:p>
    <w:p w:rsidR="007652B4" w:rsidRPr="007652B4" w:rsidRDefault="007652B4" w:rsidP="007652B4">
      <w:pPr>
        <w:tabs>
          <w:tab w:val="left" w:pos="1560"/>
        </w:tabs>
        <w:suppressAutoHyphens/>
        <w:overflowPunct w:val="0"/>
        <w:autoSpaceDE w:val="0"/>
        <w:autoSpaceDN w:val="0"/>
        <w:spacing w:after="120"/>
        <w:ind w:left="1134" w:right="1134"/>
        <w:rPr>
          <w:kern w:val="0"/>
          <w:szCs w:val="21"/>
          <w:lang w:val="en-GB"/>
        </w:rPr>
      </w:pPr>
      <w:r w:rsidRPr="007652B4">
        <w:rPr>
          <w:kern w:val="0"/>
          <w:szCs w:val="21"/>
          <w:lang w:val="en-GB"/>
        </w:rPr>
        <w:t>60.</w:t>
      </w:r>
      <w:r w:rsidRPr="007652B4">
        <w:rPr>
          <w:kern w:val="0"/>
          <w:szCs w:val="21"/>
          <w:lang w:val="en-GB"/>
        </w:rPr>
        <w:tab/>
      </w:r>
      <w:r w:rsidRPr="007652B4">
        <w:rPr>
          <w:rFonts w:eastAsia="黑体" w:hint="eastAsia"/>
          <w:kern w:val="0"/>
          <w:szCs w:val="21"/>
          <w:lang w:val="en-GB"/>
        </w:rPr>
        <w:t>委员会请缔约国遵循“包括共同核心文件和条约专要文件准则在内的根据国际人权条约提交报告的协调准则”</w:t>
      </w:r>
      <w:r>
        <w:rPr>
          <w:rFonts w:eastAsia="黑体" w:hint="eastAsia"/>
          <w:kern w:val="0"/>
          <w:szCs w:val="21"/>
          <w:lang w:val="en-GB"/>
        </w:rPr>
        <w:t>(</w:t>
      </w:r>
      <w:r w:rsidRPr="007652B4">
        <w:rPr>
          <w:rFonts w:eastAsia="黑体"/>
          <w:kern w:val="0"/>
          <w:szCs w:val="21"/>
          <w:lang w:val="en-GB"/>
        </w:rPr>
        <w:t>HRI/GEN/2/Rev.6</w:t>
      </w:r>
      <w:r w:rsidRPr="007652B4">
        <w:rPr>
          <w:rFonts w:eastAsia="黑体" w:hint="eastAsia"/>
          <w:kern w:val="0"/>
          <w:szCs w:val="21"/>
          <w:lang w:val="en-GB"/>
        </w:rPr>
        <w:t>，第</w:t>
      </w:r>
      <w:r w:rsidRPr="007652B4">
        <w:rPr>
          <w:rFonts w:eastAsia="黑体" w:hint="eastAsia"/>
          <w:kern w:val="0"/>
          <w:szCs w:val="21"/>
          <w:lang w:val="en-GB"/>
        </w:rPr>
        <w:t>1</w:t>
      </w:r>
      <w:r w:rsidRPr="007652B4">
        <w:rPr>
          <w:rFonts w:eastAsia="黑体" w:hint="eastAsia"/>
          <w:kern w:val="0"/>
          <w:szCs w:val="21"/>
          <w:lang w:val="en-GB"/>
        </w:rPr>
        <w:t>章</w:t>
      </w:r>
      <w:r>
        <w:rPr>
          <w:rFonts w:eastAsia="黑体" w:hint="eastAsia"/>
          <w:kern w:val="0"/>
          <w:szCs w:val="21"/>
          <w:lang w:val="en-GB"/>
        </w:rPr>
        <w:t>)</w:t>
      </w:r>
      <w:r w:rsidRPr="007652B4">
        <w:rPr>
          <w:rFonts w:eastAsia="黑体" w:hint="eastAsia"/>
          <w:kern w:val="0"/>
          <w:szCs w:val="21"/>
          <w:lang w:val="en-GB"/>
        </w:rPr>
        <w:t>。</w:t>
      </w:r>
    </w:p>
    <w:p w:rsidR="007652B4" w:rsidRPr="007652B4" w:rsidRDefault="007652B4" w:rsidP="007652B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lang w:val="en-GB"/>
        </w:rPr>
      </w:pPr>
      <w:r w:rsidRPr="007652B4">
        <w:rPr>
          <w:noProof/>
        </w:rPr>
        <mc:AlternateContent>
          <mc:Choice Requires="wps">
            <w:drawing>
              <wp:anchor distT="0" distB="0" distL="114300" distR="114300" simplePos="0" relativeHeight="251659264" behindDoc="0" locked="0" layoutInCell="1" allowOverlap="1" wp14:anchorId="349247C5" wp14:editId="6AD81F50">
                <wp:simplePos x="0" y="0"/>
                <wp:positionH relativeFrom="column">
                  <wp:posOffset>2554605</wp:posOffset>
                </wp:positionH>
                <wp:positionV relativeFrom="paragraph">
                  <wp:posOffset>557530</wp:posOffset>
                </wp:positionV>
                <wp:extent cx="1059815" cy="0"/>
                <wp:effectExtent l="11430" t="5080" r="5080" b="1397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left:0;text-align:left;margin-left:201.15pt;margin-top:43.9pt;width:83.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95JHQ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"/>
            </w:pict>
          </mc:Fallback>
        </mc:AlternateContent>
      </w:r>
    </w:p>
    <w:p w:rsidR="00B31E9D" w:rsidRPr="007652B4" w:rsidRDefault="00B31E9D" w:rsidP="00BF1C23">
      <w:pPr>
        <w:pStyle w:val="SingleTxt"/>
        <w:rPr>
          <w:rStyle w:val="a4"/>
          <w:color w:val="auto"/>
          <w:w w:val="100"/>
          <w:vertAlign w:val="baseline"/>
          <w:lang w:val="en-GB"/>
        </w:rPr>
      </w:pPr>
    </w:p>
    <w:sectPr w:rsidR="00B31E9D" w:rsidRPr="007652B4" w:rsidSect="00C05B9A">
      <w:headerReference w:type="even" r:id="rId16"/>
      <w:headerReference w:type="default" r:id="rId17"/>
      <w:footerReference w:type="even" r:id="rId18"/>
      <w:footerReference w:type="default" r:id="rId19"/>
      <w:headerReference w:type="first" r:id="rId20"/>
      <w:footerReference w:type="first" r:id="rId21"/>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4T15:45:00Z" w:initials="Start">
    <w:p w:rsidR="00BF1C23" w:rsidRDefault="00BF1C2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D361B5">
        <w:rPr>
          <w:rFonts w:hint="eastAsia"/>
          <w:noProof/>
        </w:rPr>
        <w:t>页</w:t>
      </w:r>
      <w:r w:rsidR="00D361B5">
        <w:rPr>
          <w:rFonts w:hint="eastAsia"/>
          <w:noProof/>
        </w:rPr>
        <w:t xml:space="preserve">: </w:t>
      </w:r>
      <w:r w:rsidR="00D361B5">
        <w:rPr>
          <w:noProof/>
        </w:rPr>
        <w:t>1</w:t>
      </w:r>
      <w:r w:rsidR="00D361B5">
        <w:rPr>
          <w:rFonts w:hint="eastAsia"/>
          <w:noProof/>
        </w:rPr>
        <w:br/>
      </w:r>
      <w:r>
        <w:fldChar w:fldCharType="end"/>
      </w:r>
      <w:r>
        <w:rPr>
          <w:rStyle w:val="a9"/>
        </w:rPr>
        <w:annotationRef/>
      </w:r>
      <w:r>
        <w:t>&lt;&lt;ODS JOB NO&gt;&gt;N1538809C&lt;&lt;ODS JOB NO&gt;&gt;</w:t>
      </w:r>
    </w:p>
    <w:p w:rsidR="00BF1C23" w:rsidRDefault="00BF1C23">
      <w:pPr>
        <w:pStyle w:val="a7"/>
      </w:pPr>
      <w:r>
        <w:t>&lt;&lt;ODS DOC SYMBOL1&gt;&gt;CEDAW/C/MWI/CO/7&lt;&lt;ODS DOC SYMBOL1&gt;&gt;</w:t>
      </w:r>
    </w:p>
    <w:p w:rsidR="00BF1C23" w:rsidRDefault="00BF1C2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E44" w:rsidRDefault="00A30E44">
      <w:r>
        <w:separator/>
      </w:r>
    </w:p>
  </w:endnote>
  <w:endnote w:type="continuationSeparator" w:id="0">
    <w:p w:rsidR="00A30E44" w:rsidRDefault="00A30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F1C23" w:rsidTr="00BF1C23">
      <w:tc>
        <w:tcPr>
          <w:tcW w:w="5028" w:type="dxa"/>
          <w:shd w:val="clear" w:color="auto" w:fill="auto"/>
        </w:tcPr>
        <w:p w:rsidR="00BF1C23" w:rsidRPr="00BF1C23" w:rsidRDefault="00BF1C23" w:rsidP="00BF1C2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61B5">
            <w:rPr>
              <w:b w:val="0"/>
              <w:w w:val="103"/>
              <w:sz w:val="14"/>
            </w:rPr>
            <w:t>15-20719 (C)</w:t>
          </w:r>
          <w:r>
            <w:rPr>
              <w:b w:val="0"/>
              <w:w w:val="103"/>
              <w:sz w:val="14"/>
            </w:rPr>
            <w:fldChar w:fldCharType="end"/>
          </w:r>
        </w:p>
      </w:tc>
      <w:tc>
        <w:tcPr>
          <w:tcW w:w="5028" w:type="dxa"/>
          <w:shd w:val="clear" w:color="auto" w:fill="auto"/>
        </w:tcPr>
        <w:p w:rsidR="00BF1C23" w:rsidRPr="00BF1C23" w:rsidRDefault="00BF1C23" w:rsidP="00BF1C23">
          <w:pPr>
            <w:pStyle w:val="ac"/>
            <w:jc w:val="left"/>
            <w:rPr>
              <w:w w:val="103"/>
            </w:rPr>
          </w:pPr>
          <w:r>
            <w:rPr>
              <w:w w:val="103"/>
            </w:rPr>
            <w:fldChar w:fldCharType="begin"/>
          </w:r>
          <w:r>
            <w:rPr>
              <w:w w:val="103"/>
            </w:rPr>
            <w:instrText xml:space="preserve"> PAGE  \* Arabic  \* MERGEFORMAT </w:instrText>
          </w:r>
          <w:r>
            <w:rPr>
              <w:w w:val="103"/>
            </w:rPr>
            <w:fldChar w:fldCharType="separate"/>
          </w:r>
          <w:r w:rsidR="00D361B5">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361B5">
            <w:rPr>
              <w:w w:val="103"/>
            </w:rPr>
            <w:t>12</w:t>
          </w:r>
          <w:r>
            <w:rPr>
              <w:w w:val="103"/>
            </w:rPr>
            <w:fldChar w:fldCharType="end"/>
          </w:r>
        </w:p>
      </w:tc>
    </w:tr>
  </w:tbl>
  <w:p w:rsidR="00BF1C23" w:rsidRPr="00BF1C23" w:rsidRDefault="00BF1C23" w:rsidP="00BF1C2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F1C23" w:rsidTr="00BF1C23">
      <w:tc>
        <w:tcPr>
          <w:tcW w:w="5028" w:type="dxa"/>
          <w:shd w:val="clear" w:color="auto" w:fill="auto"/>
        </w:tcPr>
        <w:p w:rsidR="00BF1C23" w:rsidRPr="00BF1C23" w:rsidRDefault="00BF1C23" w:rsidP="00BF1C23">
          <w:pPr>
            <w:pStyle w:val="ac"/>
            <w:jc w:val="right"/>
          </w:pPr>
          <w:r>
            <w:fldChar w:fldCharType="begin"/>
          </w:r>
          <w:r>
            <w:instrText xml:space="preserve"> PAGE  \* Arabic  \* MERGEFORMAT </w:instrText>
          </w:r>
          <w:r>
            <w:fldChar w:fldCharType="separate"/>
          </w:r>
          <w:r w:rsidR="00D361B5">
            <w:t>12</w:t>
          </w:r>
          <w:r>
            <w:fldChar w:fldCharType="end"/>
          </w:r>
          <w:r>
            <w:t>/</w:t>
          </w:r>
          <w:fldSimple w:instr=" NUMPAGES  \* Arabic  \* MERGEFORMAT ">
            <w:r w:rsidR="00D361B5">
              <w:t>12</w:t>
            </w:r>
          </w:fldSimple>
        </w:p>
      </w:tc>
      <w:tc>
        <w:tcPr>
          <w:tcW w:w="5028" w:type="dxa"/>
          <w:shd w:val="clear" w:color="auto" w:fill="auto"/>
        </w:tcPr>
        <w:p w:rsidR="00BF1C23" w:rsidRPr="00BF1C23" w:rsidRDefault="00BF1C23" w:rsidP="00BF1C2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61B5">
            <w:rPr>
              <w:b w:val="0"/>
              <w:w w:val="103"/>
              <w:sz w:val="14"/>
            </w:rPr>
            <w:t>15-20719 (C)</w:t>
          </w:r>
          <w:r>
            <w:rPr>
              <w:b w:val="0"/>
              <w:w w:val="103"/>
              <w:sz w:val="14"/>
            </w:rPr>
            <w:fldChar w:fldCharType="end"/>
          </w:r>
        </w:p>
      </w:tc>
    </w:tr>
  </w:tbl>
  <w:p w:rsidR="00BF1C23" w:rsidRPr="00BF1C23" w:rsidRDefault="00BF1C23" w:rsidP="00BF1C2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BF1C23" w:rsidTr="00BF1C23">
      <w:tc>
        <w:tcPr>
          <w:tcW w:w="3744" w:type="dxa"/>
        </w:tcPr>
        <w:p w:rsidR="00BF1C23" w:rsidRDefault="00BF1C23" w:rsidP="00BF1C23">
          <w:pPr>
            <w:pStyle w:val="Release"/>
          </w:pPr>
          <w:r>
            <w:rPr>
              <w:noProof/>
            </w:rPr>
            <w:drawing>
              <wp:anchor distT="0" distB="0" distL="114300" distR="114300" simplePos="0" relativeHeight="251658240" behindDoc="0" locked="0" layoutInCell="1" allowOverlap="1" wp14:anchorId="35E6AE86" wp14:editId="6DC218F1">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MWI/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WI/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87731" w:rsidRPr="00C87731">
            <w:t>15-20719 X (C)</w:t>
          </w:r>
          <w:r>
            <w:t xml:space="preserve">    040116    040116</w:t>
          </w:r>
        </w:p>
        <w:p w:rsidR="00BF1C23" w:rsidRPr="00BF1C23" w:rsidRDefault="00BF1C23" w:rsidP="00BF1C23">
          <w:pPr>
            <w:spacing w:before="80" w:line="210" w:lineRule="exact"/>
            <w:rPr>
              <w:rFonts w:ascii="Barcode 3 of 9 by request" w:hAnsi="Barcode 3 of 9 by request"/>
              <w:sz w:val="24"/>
            </w:rPr>
          </w:pPr>
          <w:r>
            <w:rPr>
              <w:rFonts w:ascii="Barcode 3 of 9 by request" w:hAnsi="Barcode 3 of 9 by request"/>
              <w:sz w:val="24"/>
            </w:rPr>
            <w:t>*1520719*</w:t>
          </w:r>
        </w:p>
      </w:tc>
      <w:tc>
        <w:tcPr>
          <w:tcW w:w="5028" w:type="dxa"/>
        </w:tcPr>
        <w:p w:rsidR="00BF1C23" w:rsidRDefault="00BF1C23" w:rsidP="00BF1C23">
          <w:pPr>
            <w:pStyle w:val="ac"/>
            <w:jc w:val="right"/>
            <w:rPr>
              <w:b w:val="0"/>
              <w:sz w:val="21"/>
            </w:rPr>
          </w:pPr>
          <w:r>
            <w:rPr>
              <w:b w:val="0"/>
              <w:sz w:val="21"/>
            </w:rPr>
            <w:drawing>
              <wp:inline distT="0" distB="0" distL="0" distR="0" wp14:anchorId="72BDB2B1" wp14:editId="727D24A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BF1C23" w:rsidRPr="00BF1C23" w:rsidRDefault="00BF1C23" w:rsidP="00BF1C23">
    <w:pPr>
      <w:pStyle w:val="ac"/>
      <w:spacing w:line="56" w:lineRule="auto"/>
      <w:jc w:val="left"/>
      <w:rPr>
        <w:b w:val="0"/>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52B4" w:rsidTr="00C05B9A">
      <w:tc>
        <w:tcPr>
          <w:tcW w:w="5028" w:type="dxa"/>
          <w:shd w:val="clear" w:color="auto" w:fill="auto"/>
        </w:tcPr>
        <w:p w:rsidR="007652B4" w:rsidRPr="00C05B9A" w:rsidRDefault="007652B4" w:rsidP="00C05B9A">
          <w:pPr>
            <w:pStyle w:val="ac"/>
            <w:jc w:val="right"/>
            <w:rPr>
              <w:b w:val="0"/>
              <w:w w:val="103"/>
              <w:sz w:val="14"/>
            </w:rPr>
          </w:pPr>
          <w:r w:rsidRPr="00242897">
            <w:rPr>
              <w:b w:val="0"/>
              <w:w w:val="103"/>
              <w:sz w:val="14"/>
            </w:rPr>
            <w:t>15-20719</w:t>
          </w:r>
          <w:r>
            <w:rPr>
              <w:b w:val="0"/>
              <w:w w:val="103"/>
              <w:sz w:val="14"/>
            </w:rPr>
            <w:t>(</w:t>
          </w:r>
          <w:r w:rsidRPr="00242897">
            <w:rPr>
              <w:b w:val="0"/>
              <w:w w:val="103"/>
              <w:sz w:val="14"/>
            </w:rPr>
            <w:t>C</w:t>
          </w:r>
          <w:r>
            <w:rPr>
              <w:b w:val="0"/>
              <w:w w:val="103"/>
              <w:sz w:val="14"/>
            </w:rPr>
            <w:t>)</w:t>
          </w:r>
        </w:p>
      </w:tc>
      <w:tc>
        <w:tcPr>
          <w:tcW w:w="5028" w:type="dxa"/>
          <w:shd w:val="clear" w:color="auto" w:fill="auto"/>
        </w:tcPr>
        <w:p w:rsidR="007652B4" w:rsidRPr="00C05B9A" w:rsidRDefault="007652B4" w:rsidP="00242897">
          <w:pPr>
            <w:pStyle w:val="ac"/>
            <w:jc w:val="left"/>
            <w:rPr>
              <w:w w:val="103"/>
            </w:rPr>
          </w:pPr>
          <w:r>
            <w:rPr>
              <w:w w:val="103"/>
            </w:rPr>
            <w:fldChar w:fldCharType="begin"/>
          </w:r>
          <w:r>
            <w:rPr>
              <w:w w:val="103"/>
            </w:rPr>
            <w:instrText xml:space="preserve"> PAGE  \* Arabic  \* MERGEFORMAT </w:instrText>
          </w:r>
          <w:r>
            <w:rPr>
              <w:w w:val="103"/>
            </w:rPr>
            <w:fldChar w:fldCharType="separate"/>
          </w:r>
          <w:r w:rsidR="00442EB6">
            <w:rPr>
              <w:w w:val="103"/>
            </w:rPr>
            <w:t>2</w:t>
          </w:r>
          <w:r>
            <w:rPr>
              <w:w w:val="103"/>
            </w:rPr>
            <w:fldChar w:fldCharType="end"/>
          </w:r>
        </w:p>
      </w:tc>
    </w:tr>
  </w:tbl>
  <w:p w:rsidR="007652B4" w:rsidRPr="00C05B9A" w:rsidRDefault="007652B4" w:rsidP="00C05B9A">
    <w:pPr>
      <w:pStyle w:val="ac"/>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52B4" w:rsidTr="00C05B9A">
      <w:tc>
        <w:tcPr>
          <w:tcW w:w="5028" w:type="dxa"/>
          <w:shd w:val="clear" w:color="auto" w:fill="auto"/>
        </w:tcPr>
        <w:p w:rsidR="007652B4" w:rsidRPr="00C05B9A" w:rsidRDefault="007652B4" w:rsidP="00242897">
          <w:pPr>
            <w:pStyle w:val="ac"/>
            <w:jc w:val="right"/>
          </w:pPr>
          <w:r>
            <w:fldChar w:fldCharType="begin"/>
          </w:r>
          <w:r>
            <w:instrText xml:space="preserve"> PAGE  \* Arabic  \* MERGEFORMAT </w:instrText>
          </w:r>
          <w:r>
            <w:fldChar w:fldCharType="separate"/>
          </w:r>
          <w:r w:rsidR="00D361B5">
            <w:t>12</w:t>
          </w:r>
          <w:r>
            <w:fldChar w:fldCharType="end"/>
          </w:r>
        </w:p>
      </w:tc>
      <w:tc>
        <w:tcPr>
          <w:tcW w:w="5028" w:type="dxa"/>
          <w:shd w:val="clear" w:color="auto" w:fill="auto"/>
        </w:tcPr>
        <w:p w:rsidR="007652B4" w:rsidRPr="00C05B9A" w:rsidRDefault="007652B4" w:rsidP="00C05B9A">
          <w:pPr>
            <w:pStyle w:val="ac"/>
            <w:jc w:val="left"/>
            <w:rPr>
              <w:b w:val="0"/>
              <w:w w:val="103"/>
              <w:sz w:val="14"/>
            </w:rPr>
          </w:pPr>
          <w:r w:rsidRPr="00242897">
            <w:rPr>
              <w:b w:val="0"/>
              <w:w w:val="103"/>
              <w:sz w:val="14"/>
            </w:rPr>
            <w:t>15-20719</w:t>
          </w:r>
          <w:r>
            <w:rPr>
              <w:b w:val="0"/>
              <w:w w:val="103"/>
              <w:sz w:val="14"/>
            </w:rPr>
            <w:t>(</w:t>
          </w:r>
          <w:r w:rsidRPr="00242897">
            <w:rPr>
              <w:b w:val="0"/>
              <w:w w:val="103"/>
              <w:sz w:val="14"/>
            </w:rPr>
            <w:t>C</w:t>
          </w:r>
          <w:r>
            <w:rPr>
              <w:b w:val="0"/>
              <w:w w:val="103"/>
              <w:sz w:val="14"/>
            </w:rPr>
            <w:t>)</w:t>
          </w:r>
        </w:p>
      </w:tc>
    </w:tr>
  </w:tbl>
  <w:p w:rsidR="007652B4" w:rsidRPr="00C05B9A" w:rsidRDefault="007652B4" w:rsidP="00C05B9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4249"/>
      <w:gridCol w:w="5796"/>
    </w:tblGrid>
    <w:tr w:rsidR="007652B4" w:rsidTr="00242897">
      <w:trPr>
        <w:trHeight w:val="524"/>
      </w:trPr>
      <w:tc>
        <w:tcPr>
          <w:tcW w:w="4249" w:type="dxa"/>
        </w:tcPr>
        <w:p w:rsidR="007652B4" w:rsidRDefault="007652B4" w:rsidP="00C05B9A">
          <w:pPr>
            <w:pStyle w:val="Release"/>
          </w:pPr>
          <w:r w:rsidRPr="005811D6">
            <w:t>1</w:t>
          </w:r>
          <w:r>
            <w:rPr>
              <w:rFonts w:hint="eastAsia"/>
            </w:rPr>
            <w:t>5-20719</w:t>
          </w:r>
          <w:r>
            <w:t>(</w:t>
          </w:r>
          <w:r w:rsidRPr="005811D6">
            <w:t>C</w:t>
          </w:r>
          <w:r>
            <w:t>)</w:t>
          </w:r>
        </w:p>
        <w:p w:rsidR="007652B4" w:rsidRPr="00242897" w:rsidRDefault="007652B4" w:rsidP="00C05B9A">
          <w:pPr>
            <w:spacing w:before="80" w:line="210" w:lineRule="exact"/>
            <w:rPr>
              <w:b/>
              <w:sz w:val="24"/>
            </w:rPr>
          </w:pPr>
          <w:r w:rsidRPr="00242897">
            <w:rPr>
              <w:b/>
              <w:sz w:val="24"/>
            </w:rPr>
            <w:t>*1520719*</w:t>
          </w:r>
        </w:p>
      </w:tc>
      <w:tc>
        <w:tcPr>
          <w:tcW w:w="5796" w:type="dxa"/>
        </w:tcPr>
        <w:p w:rsidR="007652B4" w:rsidRDefault="007652B4" w:rsidP="00C05B9A">
          <w:pPr>
            <w:pStyle w:val="ac"/>
            <w:jc w:val="right"/>
            <w:rPr>
              <w:b w:val="0"/>
              <w:sz w:val="21"/>
            </w:rPr>
          </w:pPr>
          <w:r>
            <w:rPr>
              <w:b w:val="0"/>
              <w:sz w:val="21"/>
            </w:rPr>
            <w:drawing>
              <wp:inline distT="0" distB="0" distL="0" distR="0" wp14:anchorId="09813B3C" wp14:editId="3DCA3122">
                <wp:extent cx="620395" cy="230505"/>
                <wp:effectExtent l="19050" t="0" r="8255" b="0"/>
                <wp:docPr id="6" name="图片 6"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Chinese"/>
                        <pic:cNvPicPr>
                          <a:picLocks noChangeAspect="1" noChangeArrowheads="1"/>
                        </pic:cNvPicPr>
                      </pic:nvPicPr>
                      <pic:blipFill>
                        <a:blip r:embed="rId1"/>
                        <a:srcRect/>
                        <a:stretch>
                          <a:fillRect/>
                        </a:stretch>
                      </pic:blipFill>
                      <pic:spPr bwMode="auto">
                        <a:xfrm>
                          <a:off x="0" y="0"/>
                          <a:ext cx="620395" cy="230505"/>
                        </a:xfrm>
                        <a:prstGeom prst="rect">
                          <a:avLst/>
                        </a:prstGeom>
                        <a:noFill/>
                        <a:ln w="9525">
                          <a:noFill/>
                          <a:miter lim="800000"/>
                          <a:headEnd/>
                          <a:tailEnd/>
                        </a:ln>
                      </pic:spPr>
                    </pic:pic>
                  </a:graphicData>
                </a:graphic>
              </wp:inline>
            </w:drawing>
          </w:r>
        </w:p>
      </w:tc>
    </w:tr>
  </w:tbl>
  <w:p w:rsidR="007652B4" w:rsidRPr="00C05B9A" w:rsidRDefault="007652B4" w:rsidP="00C05B9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E44" w:rsidRDefault="00A30E44">
      <w:r>
        <w:separator/>
      </w:r>
    </w:p>
  </w:footnote>
  <w:footnote w:type="continuationSeparator" w:id="0">
    <w:p w:rsidR="00A30E44" w:rsidRDefault="00A30E44">
      <w:r>
        <w:continuationSeparator/>
      </w:r>
    </w:p>
  </w:footnote>
  <w:footnote w:id="1">
    <w:p w:rsidR="007652B4" w:rsidRPr="00201B5F" w:rsidRDefault="007652B4" w:rsidP="007652B4">
      <w:pPr>
        <w:pStyle w:val="a5"/>
        <w:tabs>
          <w:tab w:val="clear" w:pos="418"/>
          <w:tab w:val="right" w:pos="1134"/>
          <w:tab w:val="left" w:pos="1276"/>
        </w:tabs>
        <w:ind w:left="1276" w:hanging="425"/>
        <w:rPr>
          <w:szCs w:val="18"/>
          <w:highlight w:val="yellow"/>
        </w:rPr>
      </w:pPr>
      <w:r w:rsidRPr="00242897">
        <w:rPr>
          <w:rStyle w:val="a3"/>
          <w:szCs w:val="18"/>
        </w:rPr>
        <w:tab/>
      </w:r>
      <w:r w:rsidRPr="00620AE7">
        <w:rPr>
          <w:rStyle w:val="a3"/>
          <w:szCs w:val="18"/>
        </w:rPr>
        <w:t>*</w:t>
      </w:r>
      <w:r w:rsidRPr="00620AE7">
        <w:rPr>
          <w:rStyle w:val="a3"/>
          <w:szCs w:val="18"/>
        </w:rPr>
        <w:tab/>
      </w:r>
      <w:r w:rsidRPr="00620AE7">
        <w:rPr>
          <w:rFonts w:hint="eastAsia"/>
          <w:szCs w:val="18"/>
        </w:rPr>
        <w:t>委员会第六十二届会议</w:t>
      </w:r>
      <w:r>
        <w:rPr>
          <w:rFonts w:hint="eastAsia"/>
          <w:szCs w:val="18"/>
        </w:rPr>
        <w:t>(</w:t>
      </w:r>
      <w:r w:rsidRPr="00620AE7">
        <w:rPr>
          <w:rFonts w:hint="eastAsia"/>
          <w:szCs w:val="18"/>
        </w:rPr>
        <w:t>2015</w:t>
      </w:r>
      <w:r w:rsidRPr="00620AE7">
        <w:rPr>
          <w:rFonts w:hint="eastAsia"/>
          <w:szCs w:val="18"/>
        </w:rPr>
        <w:t>年</w:t>
      </w:r>
      <w:r w:rsidRPr="00620AE7">
        <w:rPr>
          <w:rFonts w:hint="eastAsia"/>
          <w:szCs w:val="18"/>
        </w:rPr>
        <w:t>10</w:t>
      </w:r>
      <w:r w:rsidRPr="00620AE7">
        <w:rPr>
          <w:rFonts w:hint="eastAsia"/>
          <w:szCs w:val="18"/>
        </w:rPr>
        <w:t>月</w:t>
      </w:r>
      <w:r w:rsidRPr="00620AE7">
        <w:rPr>
          <w:rFonts w:hint="eastAsia"/>
          <w:szCs w:val="18"/>
        </w:rPr>
        <w:t>26</w:t>
      </w:r>
      <w:r w:rsidRPr="00620AE7">
        <w:rPr>
          <w:rFonts w:hint="eastAsia"/>
          <w:szCs w:val="18"/>
        </w:rPr>
        <w:t>日至</w:t>
      </w:r>
      <w:r w:rsidRPr="00620AE7">
        <w:rPr>
          <w:rFonts w:hint="eastAsia"/>
          <w:szCs w:val="18"/>
        </w:rPr>
        <w:t>11</w:t>
      </w:r>
      <w:r w:rsidRPr="00620AE7">
        <w:rPr>
          <w:rFonts w:hint="eastAsia"/>
          <w:szCs w:val="18"/>
        </w:rPr>
        <w:t>月</w:t>
      </w:r>
      <w:r w:rsidRPr="00620AE7">
        <w:rPr>
          <w:rFonts w:hint="eastAsia"/>
          <w:szCs w:val="18"/>
        </w:rPr>
        <w:t>20</w:t>
      </w:r>
      <w:r w:rsidRPr="00620AE7">
        <w:rPr>
          <w:rFonts w:hint="eastAsia"/>
          <w:szCs w:val="18"/>
        </w:rPr>
        <w:t>日</w:t>
      </w:r>
      <w:r>
        <w:rPr>
          <w:rFonts w:hint="eastAsia"/>
          <w:szCs w:val="18"/>
        </w:rPr>
        <w:t>)</w:t>
      </w:r>
      <w:r w:rsidRPr="00620AE7">
        <w:rPr>
          <w:rFonts w:hint="eastAsia"/>
          <w:szCs w:val="18"/>
        </w:rPr>
        <w:t>通过。</w:t>
      </w:r>
    </w:p>
  </w:footnote>
  <w:footnote w:id="2">
    <w:p w:rsidR="007652B4" w:rsidRPr="00242897" w:rsidRDefault="007652B4" w:rsidP="007652B4">
      <w:pPr>
        <w:pStyle w:val="a5"/>
        <w:widowControl w:val="0"/>
        <w:tabs>
          <w:tab w:val="right" w:pos="1134"/>
          <w:tab w:val="left" w:pos="1276"/>
        </w:tabs>
        <w:ind w:left="1276" w:rightChars="532" w:right="1117" w:hanging="425"/>
      </w:pPr>
      <w:r w:rsidRPr="00201B5F">
        <w:tab/>
      </w:r>
      <w:r w:rsidRPr="00201B5F">
        <w:rPr>
          <w:rStyle w:val="a3"/>
          <w:w w:val="100"/>
        </w:rPr>
        <w:footnoteRef/>
      </w:r>
      <w:r w:rsidRPr="00201B5F">
        <w:tab/>
      </w:r>
      <w:r w:rsidRPr="00201B5F">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F1C23" w:rsidTr="00BF1C23">
      <w:trPr>
        <w:trHeight w:hRule="exact" w:val="864"/>
      </w:trPr>
      <w:tc>
        <w:tcPr>
          <w:tcW w:w="4838" w:type="dxa"/>
          <w:shd w:val="clear" w:color="auto" w:fill="auto"/>
          <w:vAlign w:val="bottom"/>
        </w:tcPr>
        <w:p w:rsidR="00BF1C23" w:rsidRPr="00BF1C23" w:rsidRDefault="00BF1C23" w:rsidP="00BF1C2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361B5">
            <w:rPr>
              <w:b/>
              <w:sz w:val="17"/>
            </w:rPr>
            <w:t>CEDAW/C/MWI/CO/7</w:t>
          </w:r>
          <w:r>
            <w:rPr>
              <w:b/>
              <w:sz w:val="17"/>
            </w:rPr>
            <w:fldChar w:fldCharType="end"/>
          </w:r>
        </w:p>
      </w:tc>
      <w:tc>
        <w:tcPr>
          <w:tcW w:w="5028" w:type="dxa"/>
          <w:shd w:val="clear" w:color="auto" w:fill="auto"/>
          <w:vAlign w:val="bottom"/>
        </w:tcPr>
        <w:p w:rsidR="00BF1C23" w:rsidRDefault="00BF1C23" w:rsidP="00BF1C23">
          <w:pPr>
            <w:pStyle w:val="ab"/>
          </w:pPr>
        </w:p>
      </w:tc>
    </w:tr>
  </w:tbl>
  <w:p w:rsidR="00BF1C23" w:rsidRPr="00BF1C23" w:rsidRDefault="00BF1C23" w:rsidP="00BF1C2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F1C23" w:rsidTr="00BF1C23">
      <w:trPr>
        <w:trHeight w:hRule="exact" w:val="864"/>
      </w:trPr>
      <w:tc>
        <w:tcPr>
          <w:tcW w:w="4838" w:type="dxa"/>
          <w:shd w:val="clear" w:color="auto" w:fill="auto"/>
          <w:vAlign w:val="bottom"/>
        </w:tcPr>
        <w:p w:rsidR="00BF1C23" w:rsidRDefault="00BF1C23" w:rsidP="00BF1C23">
          <w:pPr>
            <w:pStyle w:val="ab"/>
          </w:pPr>
        </w:p>
      </w:tc>
      <w:tc>
        <w:tcPr>
          <w:tcW w:w="5028" w:type="dxa"/>
          <w:shd w:val="clear" w:color="auto" w:fill="auto"/>
          <w:vAlign w:val="bottom"/>
        </w:tcPr>
        <w:p w:rsidR="00BF1C23" w:rsidRPr="00BF1C23" w:rsidRDefault="00BF1C23" w:rsidP="00BF1C2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361B5">
            <w:rPr>
              <w:b/>
              <w:sz w:val="17"/>
            </w:rPr>
            <w:t>CEDAW/C/MWI/CO/7</w:t>
          </w:r>
          <w:r>
            <w:rPr>
              <w:b/>
              <w:sz w:val="17"/>
            </w:rPr>
            <w:fldChar w:fldCharType="end"/>
          </w:r>
        </w:p>
      </w:tc>
    </w:tr>
  </w:tbl>
  <w:p w:rsidR="00BF1C23" w:rsidRPr="00BF1C23" w:rsidRDefault="00BF1C23" w:rsidP="00BF1C2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F1C23" w:rsidTr="00BF1C23">
      <w:trPr>
        <w:gridAfter w:val="1"/>
        <w:wAfter w:w="12" w:type="dxa"/>
        <w:trHeight w:hRule="exact" w:val="864"/>
      </w:trPr>
      <w:tc>
        <w:tcPr>
          <w:tcW w:w="1267" w:type="dxa"/>
          <w:tcBorders>
            <w:bottom w:val="single" w:sz="4" w:space="0" w:color="auto"/>
          </w:tcBorders>
          <w:shd w:val="clear" w:color="auto" w:fill="auto"/>
          <w:vAlign w:val="bottom"/>
        </w:tcPr>
        <w:p w:rsidR="00BF1C23" w:rsidRDefault="00BF1C23" w:rsidP="00BF1C23">
          <w:pPr>
            <w:pStyle w:val="ab"/>
            <w:spacing w:after="120"/>
          </w:pPr>
        </w:p>
      </w:tc>
      <w:tc>
        <w:tcPr>
          <w:tcW w:w="1872" w:type="dxa"/>
          <w:tcBorders>
            <w:bottom w:val="single" w:sz="4" w:space="0" w:color="auto"/>
          </w:tcBorders>
          <w:shd w:val="clear" w:color="auto" w:fill="auto"/>
          <w:vAlign w:val="bottom"/>
        </w:tcPr>
        <w:p w:rsidR="00BF1C23" w:rsidRPr="00BF1C23" w:rsidRDefault="00BF1C23" w:rsidP="00BF1C2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BF1C23" w:rsidRDefault="00BF1C23" w:rsidP="00BF1C23">
          <w:pPr>
            <w:pStyle w:val="ab"/>
            <w:spacing w:after="120"/>
          </w:pPr>
        </w:p>
      </w:tc>
      <w:tc>
        <w:tcPr>
          <w:tcW w:w="6523" w:type="dxa"/>
          <w:gridSpan w:val="3"/>
          <w:tcBorders>
            <w:bottom w:val="single" w:sz="4" w:space="0" w:color="auto"/>
          </w:tcBorders>
          <w:shd w:val="clear" w:color="auto" w:fill="auto"/>
          <w:vAlign w:val="bottom"/>
        </w:tcPr>
        <w:p w:rsidR="00BF1C23" w:rsidRPr="00BF1C23" w:rsidRDefault="00BF1C23" w:rsidP="00BF1C23">
          <w:pPr>
            <w:spacing w:after="80" w:line="240" w:lineRule="auto"/>
            <w:jc w:val="right"/>
            <w:rPr>
              <w:position w:val="-4"/>
            </w:rPr>
          </w:pPr>
          <w:r>
            <w:rPr>
              <w:position w:val="-4"/>
              <w:sz w:val="40"/>
            </w:rPr>
            <w:t>CEDAW</w:t>
          </w:r>
          <w:r>
            <w:rPr>
              <w:position w:val="-4"/>
            </w:rPr>
            <w:t>/C/MWI/CO/7</w:t>
          </w:r>
        </w:p>
      </w:tc>
    </w:tr>
    <w:tr w:rsidR="00BF1C23" w:rsidRPr="00BF1C23" w:rsidTr="00BF1C23">
      <w:trPr>
        <w:trHeight w:hRule="exact" w:val="2880"/>
      </w:trPr>
      <w:tc>
        <w:tcPr>
          <w:tcW w:w="1267" w:type="dxa"/>
          <w:tcBorders>
            <w:top w:val="single" w:sz="4" w:space="0" w:color="auto"/>
            <w:bottom w:val="single" w:sz="12" w:space="0" w:color="auto"/>
          </w:tcBorders>
          <w:shd w:val="clear" w:color="auto" w:fill="auto"/>
        </w:tcPr>
        <w:p w:rsidR="00BF1C23" w:rsidRPr="00BF1C23" w:rsidRDefault="00BF1C23" w:rsidP="00BF1C23">
          <w:pPr>
            <w:pStyle w:val="ab"/>
            <w:spacing w:before="109"/>
            <w:ind w:left="-72"/>
          </w:pPr>
          <w:r>
            <w:t xml:space="preserve"> </w:t>
          </w:r>
          <w:r>
            <w:drawing>
              <wp:inline distT="0" distB="0" distL="0" distR="0" wp14:anchorId="3E56EB9E" wp14:editId="2799CF2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F1C23" w:rsidRPr="00BF1C23" w:rsidRDefault="00BF1C23" w:rsidP="00BF1C2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F1C23" w:rsidRPr="00BF1C23" w:rsidRDefault="00BF1C23" w:rsidP="00BF1C23">
          <w:pPr>
            <w:pStyle w:val="ab"/>
            <w:spacing w:before="109"/>
          </w:pPr>
        </w:p>
      </w:tc>
      <w:tc>
        <w:tcPr>
          <w:tcW w:w="3180" w:type="dxa"/>
          <w:gridSpan w:val="2"/>
          <w:tcBorders>
            <w:top w:val="single" w:sz="4" w:space="0" w:color="auto"/>
            <w:bottom w:val="single" w:sz="12" w:space="0" w:color="auto"/>
          </w:tcBorders>
          <w:shd w:val="clear" w:color="auto" w:fill="auto"/>
        </w:tcPr>
        <w:p w:rsidR="00BF1C23" w:rsidRDefault="00BF1C23" w:rsidP="00BF1C23">
          <w:pPr>
            <w:pStyle w:val="Distr"/>
          </w:pPr>
          <w:r>
            <w:t>Distr.: General</w:t>
          </w:r>
        </w:p>
        <w:p w:rsidR="00BF1C23" w:rsidRDefault="00BF1C23" w:rsidP="00BF1C23">
          <w:pPr>
            <w:pStyle w:val="Publication"/>
          </w:pPr>
          <w:r>
            <w:t>24 November 2015</w:t>
          </w:r>
        </w:p>
        <w:p w:rsidR="00BF1C23" w:rsidRDefault="00BF1C23" w:rsidP="00BF1C23">
          <w:pPr>
            <w:spacing w:line="240" w:lineRule="exact"/>
          </w:pPr>
          <w:r>
            <w:t>Chinese</w:t>
          </w:r>
        </w:p>
        <w:p w:rsidR="00BF1C23" w:rsidRDefault="00BF1C23" w:rsidP="00BF1C23">
          <w:pPr>
            <w:pStyle w:val="Original"/>
          </w:pPr>
          <w:r>
            <w:t>Original: English</w:t>
          </w:r>
        </w:p>
        <w:p w:rsidR="00BF1C23" w:rsidRPr="00BF1C23" w:rsidRDefault="00BF1C23" w:rsidP="00BF1C23"/>
      </w:tc>
    </w:tr>
  </w:tbl>
  <w:p w:rsidR="00BF1C23" w:rsidRPr="00BF1C23" w:rsidRDefault="00BF1C23" w:rsidP="00BF1C23">
    <w:pPr>
      <w:pStyle w:val="ab"/>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652B4" w:rsidTr="00C05B9A">
      <w:trPr>
        <w:trHeight w:hRule="exact" w:val="864"/>
      </w:trPr>
      <w:tc>
        <w:tcPr>
          <w:tcW w:w="4838" w:type="dxa"/>
          <w:shd w:val="clear" w:color="auto" w:fill="auto"/>
          <w:vAlign w:val="bottom"/>
        </w:tcPr>
        <w:p w:rsidR="007652B4" w:rsidRPr="00C05B9A" w:rsidRDefault="007652B4" w:rsidP="00C05B9A">
          <w:pPr>
            <w:pStyle w:val="ab"/>
            <w:spacing w:after="80"/>
            <w:jc w:val="left"/>
            <w:rPr>
              <w:b/>
              <w:sz w:val="17"/>
            </w:rPr>
          </w:pPr>
          <w:r w:rsidRPr="00242897">
            <w:rPr>
              <w:b/>
              <w:sz w:val="17"/>
            </w:rPr>
            <w:t>CEDAW/C/MWI/CO/7</w:t>
          </w:r>
        </w:p>
      </w:tc>
      <w:tc>
        <w:tcPr>
          <w:tcW w:w="5028" w:type="dxa"/>
          <w:shd w:val="clear" w:color="auto" w:fill="auto"/>
          <w:vAlign w:val="bottom"/>
        </w:tcPr>
        <w:p w:rsidR="007652B4" w:rsidRDefault="007652B4" w:rsidP="00C05B9A">
          <w:pPr>
            <w:pStyle w:val="ab"/>
          </w:pPr>
        </w:p>
      </w:tc>
    </w:tr>
  </w:tbl>
  <w:p w:rsidR="007652B4" w:rsidRPr="00C05B9A" w:rsidRDefault="007652B4" w:rsidP="00C05B9A">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652B4" w:rsidTr="00C05B9A">
      <w:trPr>
        <w:trHeight w:hRule="exact" w:val="864"/>
      </w:trPr>
      <w:tc>
        <w:tcPr>
          <w:tcW w:w="4838" w:type="dxa"/>
          <w:shd w:val="clear" w:color="auto" w:fill="auto"/>
          <w:vAlign w:val="bottom"/>
        </w:tcPr>
        <w:p w:rsidR="007652B4" w:rsidRDefault="007652B4" w:rsidP="00C05B9A">
          <w:pPr>
            <w:pStyle w:val="ab"/>
          </w:pPr>
        </w:p>
      </w:tc>
      <w:tc>
        <w:tcPr>
          <w:tcW w:w="5028" w:type="dxa"/>
          <w:shd w:val="clear" w:color="auto" w:fill="auto"/>
          <w:vAlign w:val="bottom"/>
        </w:tcPr>
        <w:p w:rsidR="007652B4" w:rsidRPr="00C05B9A" w:rsidRDefault="007652B4" w:rsidP="00C05B9A">
          <w:pPr>
            <w:pStyle w:val="ab"/>
            <w:spacing w:after="80"/>
            <w:jc w:val="right"/>
            <w:rPr>
              <w:b/>
              <w:sz w:val="17"/>
            </w:rPr>
          </w:pPr>
          <w:r w:rsidRPr="00242897">
            <w:rPr>
              <w:b/>
              <w:sz w:val="17"/>
            </w:rPr>
            <w:t>CEDAW/C/MWI/CO/7</w:t>
          </w:r>
        </w:p>
      </w:tc>
    </w:tr>
  </w:tbl>
  <w:p w:rsidR="007652B4" w:rsidRPr="00C05B9A" w:rsidRDefault="007652B4" w:rsidP="00C05B9A">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652B4" w:rsidTr="00C05B9A">
      <w:trPr>
        <w:gridAfter w:val="1"/>
        <w:wAfter w:w="12" w:type="dxa"/>
        <w:trHeight w:hRule="exact" w:val="864"/>
      </w:trPr>
      <w:tc>
        <w:tcPr>
          <w:tcW w:w="1267" w:type="dxa"/>
          <w:tcBorders>
            <w:bottom w:val="single" w:sz="4" w:space="0" w:color="auto"/>
          </w:tcBorders>
          <w:shd w:val="clear" w:color="auto" w:fill="auto"/>
          <w:vAlign w:val="bottom"/>
        </w:tcPr>
        <w:p w:rsidR="007652B4" w:rsidRDefault="007652B4" w:rsidP="00C05B9A">
          <w:pPr>
            <w:pStyle w:val="ab"/>
            <w:spacing w:after="120"/>
          </w:pPr>
        </w:p>
      </w:tc>
      <w:tc>
        <w:tcPr>
          <w:tcW w:w="1872" w:type="dxa"/>
          <w:tcBorders>
            <w:bottom w:val="single" w:sz="4" w:space="0" w:color="auto"/>
          </w:tcBorders>
          <w:shd w:val="clear" w:color="auto" w:fill="auto"/>
          <w:vAlign w:val="bottom"/>
        </w:tcPr>
        <w:p w:rsidR="007652B4" w:rsidRPr="00C05B9A" w:rsidRDefault="007652B4" w:rsidP="00C05B9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7652B4" w:rsidRDefault="007652B4" w:rsidP="00C05B9A">
          <w:pPr>
            <w:pStyle w:val="ab"/>
            <w:spacing w:after="120"/>
          </w:pPr>
        </w:p>
      </w:tc>
      <w:tc>
        <w:tcPr>
          <w:tcW w:w="6523" w:type="dxa"/>
          <w:gridSpan w:val="3"/>
          <w:tcBorders>
            <w:bottom w:val="single" w:sz="4" w:space="0" w:color="auto"/>
          </w:tcBorders>
          <w:shd w:val="clear" w:color="auto" w:fill="auto"/>
          <w:vAlign w:val="bottom"/>
        </w:tcPr>
        <w:p w:rsidR="007652B4" w:rsidRPr="00C05B9A" w:rsidRDefault="007652B4" w:rsidP="00C05B9A">
          <w:pPr>
            <w:spacing w:after="80" w:line="240" w:lineRule="auto"/>
            <w:jc w:val="right"/>
            <w:rPr>
              <w:position w:val="-4"/>
            </w:rPr>
          </w:pPr>
          <w:r>
            <w:rPr>
              <w:position w:val="-4"/>
              <w:sz w:val="40"/>
            </w:rPr>
            <w:t>CEDAW</w:t>
          </w:r>
          <w:r>
            <w:rPr>
              <w:position w:val="-4"/>
            </w:rPr>
            <w:t>/</w:t>
          </w:r>
          <w:r w:rsidRPr="00242897">
            <w:rPr>
              <w:position w:val="-4"/>
            </w:rPr>
            <w:t>C/MWI/CO/7</w:t>
          </w:r>
        </w:p>
      </w:tc>
    </w:tr>
    <w:tr w:rsidR="007652B4" w:rsidRPr="00C05B9A" w:rsidTr="00C05B9A">
      <w:trPr>
        <w:trHeight w:hRule="exact" w:val="2880"/>
      </w:trPr>
      <w:tc>
        <w:tcPr>
          <w:tcW w:w="1267" w:type="dxa"/>
          <w:tcBorders>
            <w:top w:val="single" w:sz="4" w:space="0" w:color="auto"/>
            <w:bottom w:val="single" w:sz="12" w:space="0" w:color="auto"/>
          </w:tcBorders>
          <w:shd w:val="clear" w:color="auto" w:fill="auto"/>
        </w:tcPr>
        <w:p w:rsidR="007652B4" w:rsidRDefault="007652B4" w:rsidP="00C05B9A">
          <w:pPr>
            <w:pStyle w:val="ab"/>
            <w:spacing w:before="109"/>
            <w:ind w:left="-72"/>
          </w:pPr>
          <w:r>
            <w:t xml:space="preserve"> </w:t>
          </w:r>
          <w:r>
            <w:drawing>
              <wp:inline distT="0" distB="0" distL="0" distR="0" wp14:anchorId="435E4885" wp14:editId="1310E080">
                <wp:extent cx="707390" cy="596265"/>
                <wp:effectExtent l="19050" t="0" r="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srcRect/>
                        <a:stretch>
                          <a:fillRect/>
                        </a:stretch>
                      </pic:blipFill>
                      <pic:spPr bwMode="auto">
                        <a:xfrm>
                          <a:off x="0" y="0"/>
                          <a:ext cx="707390" cy="596265"/>
                        </a:xfrm>
                        <a:prstGeom prst="rect">
                          <a:avLst/>
                        </a:prstGeom>
                        <a:noFill/>
                        <a:ln w="9525">
                          <a:noFill/>
                          <a:miter lim="800000"/>
                          <a:headEnd/>
                          <a:tailEnd/>
                        </a:ln>
                      </pic:spPr>
                    </pic:pic>
                  </a:graphicData>
                </a:graphic>
              </wp:inline>
            </w:drawing>
          </w:r>
        </w:p>
        <w:p w:rsidR="007652B4" w:rsidRPr="00C05B9A" w:rsidRDefault="007652B4" w:rsidP="00C05B9A">
          <w:pPr>
            <w:pStyle w:val="ab"/>
            <w:spacing w:before="109"/>
            <w:ind w:left="-72"/>
          </w:pPr>
        </w:p>
      </w:tc>
      <w:tc>
        <w:tcPr>
          <w:tcW w:w="5227" w:type="dxa"/>
          <w:gridSpan w:val="3"/>
          <w:tcBorders>
            <w:top w:val="single" w:sz="4" w:space="0" w:color="auto"/>
            <w:bottom w:val="single" w:sz="12" w:space="0" w:color="auto"/>
          </w:tcBorders>
          <w:shd w:val="clear" w:color="auto" w:fill="auto"/>
        </w:tcPr>
        <w:p w:rsidR="007652B4" w:rsidRPr="00C05B9A" w:rsidRDefault="007652B4" w:rsidP="00C05B9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652B4" w:rsidRPr="00C05B9A" w:rsidRDefault="007652B4" w:rsidP="00C05B9A">
          <w:pPr>
            <w:pStyle w:val="ab"/>
            <w:spacing w:before="109"/>
          </w:pPr>
        </w:p>
      </w:tc>
      <w:tc>
        <w:tcPr>
          <w:tcW w:w="3180" w:type="dxa"/>
          <w:gridSpan w:val="2"/>
          <w:tcBorders>
            <w:top w:val="single" w:sz="4" w:space="0" w:color="auto"/>
            <w:bottom w:val="single" w:sz="12" w:space="0" w:color="auto"/>
          </w:tcBorders>
          <w:shd w:val="clear" w:color="auto" w:fill="auto"/>
        </w:tcPr>
        <w:p w:rsidR="007652B4" w:rsidRDefault="007652B4" w:rsidP="00C05B9A">
          <w:pPr>
            <w:pStyle w:val="Distr"/>
          </w:pPr>
          <w:r>
            <w:t>Distr.: General</w:t>
          </w:r>
        </w:p>
        <w:p w:rsidR="007652B4" w:rsidRDefault="007652B4" w:rsidP="00C05B9A">
          <w:pPr>
            <w:pStyle w:val="Publication"/>
          </w:pPr>
          <w:r w:rsidRPr="00242897">
            <w:t>24 November 2015</w:t>
          </w:r>
        </w:p>
        <w:p w:rsidR="007652B4" w:rsidRDefault="007652B4" w:rsidP="00C05B9A">
          <w:pPr>
            <w:spacing w:line="240" w:lineRule="exact"/>
          </w:pPr>
          <w:r>
            <w:t>Chinese</w:t>
          </w:r>
        </w:p>
        <w:p w:rsidR="007652B4" w:rsidRDefault="007652B4" w:rsidP="00C05B9A">
          <w:pPr>
            <w:pStyle w:val="Original"/>
          </w:pPr>
          <w:r>
            <w:t>Original: English</w:t>
          </w:r>
        </w:p>
        <w:p w:rsidR="007652B4" w:rsidRPr="00C05B9A" w:rsidRDefault="007652B4" w:rsidP="00C05B9A"/>
      </w:tc>
    </w:tr>
  </w:tbl>
  <w:p w:rsidR="007652B4" w:rsidRPr="00C05B9A" w:rsidRDefault="007652B4" w:rsidP="00C05B9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19*"/>
    <w:docVar w:name="CreationDt" w:val="04/01/2016 15:27:54"/>
    <w:docVar w:name="DocCategory" w:val="Doc"/>
    <w:docVar w:name="DocType" w:val="Final"/>
    <w:docVar w:name="DutyStation" w:val="New York"/>
    <w:docVar w:name="FooterJN" w:val="15-20719 (C)"/>
    <w:docVar w:name="jobn" w:val="15-20719 (C)"/>
    <w:docVar w:name="jobnDT" w:val="15-20719 (C)   040116"/>
    <w:docVar w:name="jobnDTDT" w:val="15-20719 (C)   040116   040116"/>
    <w:docVar w:name="JobNo" w:val="1520719C"/>
    <w:docVar w:name="LocalDrive" w:val="0"/>
    <w:docVar w:name="OandT" w:val="zx"/>
    <w:docVar w:name="PaperSize" w:val="Letter"/>
    <w:docVar w:name="sss1" w:val="CEDAW/C/MWI/CO/7"/>
    <w:docVar w:name="sss2" w:val="-"/>
    <w:docVar w:name="Symbol1" w:val="CEDAW/C/MWI/CO/7"/>
    <w:docVar w:name="Symbol2" w:val="-"/>
  </w:docVars>
  <w:rsids>
    <w:rsidRoot w:val="00A30E44"/>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555B1"/>
    <w:rsid w:val="00363610"/>
    <w:rsid w:val="003649EE"/>
    <w:rsid w:val="00371BC6"/>
    <w:rsid w:val="00373A15"/>
    <w:rsid w:val="00376C04"/>
    <w:rsid w:val="00383ACA"/>
    <w:rsid w:val="00384CB1"/>
    <w:rsid w:val="003869FA"/>
    <w:rsid w:val="00394A02"/>
    <w:rsid w:val="003966E8"/>
    <w:rsid w:val="003A1C26"/>
    <w:rsid w:val="003A3561"/>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2EB6"/>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37D61"/>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1A15"/>
    <w:rsid w:val="007652B4"/>
    <w:rsid w:val="00766FD7"/>
    <w:rsid w:val="00770BE9"/>
    <w:rsid w:val="00774DE5"/>
    <w:rsid w:val="00776537"/>
    <w:rsid w:val="00780C90"/>
    <w:rsid w:val="00782137"/>
    <w:rsid w:val="00783A25"/>
    <w:rsid w:val="007843DB"/>
    <w:rsid w:val="007877F4"/>
    <w:rsid w:val="00790950"/>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2F4"/>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22E0"/>
    <w:rsid w:val="00913351"/>
    <w:rsid w:val="00923D95"/>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0E44"/>
    <w:rsid w:val="00A33D4D"/>
    <w:rsid w:val="00A33D6D"/>
    <w:rsid w:val="00A36AEC"/>
    <w:rsid w:val="00A37345"/>
    <w:rsid w:val="00A40AAE"/>
    <w:rsid w:val="00A40EA9"/>
    <w:rsid w:val="00A44653"/>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BF1C23"/>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87731"/>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361B5"/>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16 Point,Superscript 6 Point, Char Char, Carattere Char1, Carattere Char Char Carattere Carattere Char Char,ftref, BVI fnr Car Char Char Char Char Char Char Char Char Char Char,Ref,de nota al pie,Carattere Char1,BVI fnr,Header Cha"/>
    <w:basedOn w:val="a0"/>
    <w:qFormat/>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Char,Footnote Text Blue,EUMC_Lábjegyzetszöveg + 13 pt,Félkövér,Dolt,Középre zárt Char,Középre zárt Char Char,Középre zárt,Märk,Footnote Text Char1,Footnote Text Char2 Char Char,Footnote Text Char1 Char Char Ch,f,single space,FA Fu"/>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Char Char,Footnote Text Blue Char,EUMC_Lábjegyzetszöveg + 13 pt Char,Félkövér Char,Dolt Char,Középre zárt Char Char1,Középre zárt Char Char Char,Középre zárt Char1,Märk Char,Footnote Text Char1 Char,Footnote Text Char2 Char Char Char"/>
    <w:link w:val="a5"/>
    <w:rsid w:val="007652B4"/>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16 Point,Superscript 6 Point, Char Char, Carattere Char1, Carattere Char Char Carattere Carattere Char Char,ftref, BVI fnr Car Char Char Char Char Char Char Char Char Char Char,Ref,de nota al pie,Carattere Char1,BVI fnr,Header Cha"/>
    <w:basedOn w:val="a0"/>
    <w:qFormat/>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Char,Footnote Text Blue,EUMC_Lábjegyzetszöveg + 13 pt,Félkövér,Dolt,Középre zárt Char,Középre zárt Char Char,Középre zárt,Märk,Footnote Text Char1,Footnote Text Char2 Char Char,Footnote Text Char1 Char Char Ch,f,single space,FA Fu"/>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Char Char,Footnote Text Blue Char,EUMC_Lábjegyzetszöveg + 13 pt Char,Félkövér Char,Dolt Char,Középre zárt Char Char1,Középre zárt Char Char Char,Középre zárt Char1,Märk Char,Footnote Text Char1 Char,Footnote Text Char2 Char Char Char"/>
    <w:link w:val="a5"/>
    <w:rsid w:val="007652B4"/>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4E665-AD4B-4146-85A0-1F70AD1FD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1521</Words>
  <Characters>8674</Characters>
  <Application>Microsoft Office Word</Application>
  <DocSecurity>0</DocSecurity>
  <Lines>72</Lines>
  <Paragraphs>20</Paragraphs>
  <ScaleCrop>false</ScaleCrop>
  <Company>United Nations</Company>
  <LinksUpToDate>false</LinksUpToDate>
  <CharactersWithSpaces>10175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 Zhai</dc:creator>
  <cp:keywords/>
  <dc:description/>
  <cp:lastModifiedBy>Ctpu1</cp:lastModifiedBy>
  <cp:revision>7</cp:revision>
  <cp:lastPrinted>2016-01-04T20:45:00Z</cp:lastPrinted>
  <dcterms:created xsi:type="dcterms:W3CDTF">2016-01-04T19:23:00Z</dcterms:created>
  <dcterms:modified xsi:type="dcterms:W3CDTF">2016-01-08T15:53:00Z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1520719</vt:lpwstr>
  </property>
  <property fmtid="{D5CDD505-2E9C-101B-9397-08002B2CF9AE}" pid="3" name="ODSRefJobNo">
    <vt:lpwstr>1538809C</vt:lpwstr>
  </property>
  <property fmtid="{D5CDD505-2E9C-101B-9397-08002B2CF9AE}" pid="4" name="Symbol1">
    <vt:lpwstr>CEDAW/C/MWI/CO/7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2015</vt:lpwstr>
  </property>
  <property fmtid="{D5CDD505-2E9C-101B-9397-08002B2CF9AE}" pid="9" name="Original">
    <vt:lpwstr>English</vt:lpwstr>
  </property>
  <property fmtid="{D5CDD505-2E9C-101B-9397-08002B2CF9AE}" pid="10" name="Release Date">
    <vt:lpwstr>040116</vt:lpwstr>
  </property>
  <property fmtid="{D5CDD505-2E9C-101B-9397-08002B2CF9AE}" pid="11" name="Comment">
    <vt:lpwstr/>
  </property>
  <property fmtid="{D5CDD505-2E9C-101B-9397-08002B2CF9AE}" pid="12" name="DraftPages">
    <vt:lpwstr> </vt:lpwstr>
  </property>
  <property fmtid="{D5CDD505-2E9C-101B-9397-08002B2CF9AE}" pid="13" name="Operator">
    <vt:lpwstr>zx</vt:lpwstr>
  </property>
</Properties>
</file>