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A7183" w:rsidRPr="00A62A7F" w14:paraId="1177C5CA" w14:textId="77777777" w:rsidTr="00A864AC">
        <w:trPr>
          <w:cantSplit/>
          <w:trHeight w:hRule="exact" w:val="851"/>
        </w:trPr>
        <w:tc>
          <w:tcPr>
            <w:tcW w:w="1276" w:type="dxa"/>
            <w:tcBorders>
              <w:bottom w:val="single" w:sz="4" w:space="0" w:color="auto"/>
            </w:tcBorders>
            <w:vAlign w:val="bottom"/>
          </w:tcPr>
          <w:p w14:paraId="1E75550B" w14:textId="77777777" w:rsidR="00B56E9C" w:rsidRPr="003A7183" w:rsidRDefault="00B56E9C" w:rsidP="00A864AC">
            <w:pPr>
              <w:spacing w:after="80"/>
            </w:pPr>
          </w:p>
        </w:tc>
        <w:tc>
          <w:tcPr>
            <w:tcW w:w="2268" w:type="dxa"/>
            <w:tcBorders>
              <w:bottom w:val="single" w:sz="4" w:space="0" w:color="auto"/>
            </w:tcBorders>
            <w:vAlign w:val="bottom"/>
          </w:tcPr>
          <w:p w14:paraId="164C5141" w14:textId="77777777" w:rsidR="00B56E9C" w:rsidRPr="003A7183" w:rsidRDefault="00B56E9C" w:rsidP="00A864AC">
            <w:pPr>
              <w:spacing w:after="80" w:line="300" w:lineRule="exact"/>
              <w:rPr>
                <w:b/>
                <w:sz w:val="24"/>
                <w:szCs w:val="24"/>
              </w:rPr>
            </w:pPr>
            <w:r w:rsidRPr="003A7183">
              <w:rPr>
                <w:sz w:val="28"/>
                <w:szCs w:val="28"/>
              </w:rPr>
              <w:t>United Nations</w:t>
            </w:r>
          </w:p>
        </w:tc>
        <w:tc>
          <w:tcPr>
            <w:tcW w:w="6095" w:type="dxa"/>
            <w:gridSpan w:val="2"/>
            <w:tcBorders>
              <w:bottom w:val="single" w:sz="4" w:space="0" w:color="auto"/>
            </w:tcBorders>
            <w:vAlign w:val="bottom"/>
          </w:tcPr>
          <w:p w14:paraId="08D5E9D2" w14:textId="0251EF78" w:rsidR="00B56E9C" w:rsidRPr="00A62A7F" w:rsidRDefault="009E7932" w:rsidP="00DC6A07">
            <w:pPr>
              <w:suppressAutoHyphens w:val="0"/>
              <w:spacing w:after="20"/>
              <w:jc w:val="right"/>
            </w:pPr>
            <w:r w:rsidRPr="003A7183">
              <w:rPr>
                <w:sz w:val="40"/>
              </w:rPr>
              <w:t>HRI</w:t>
            </w:r>
            <w:r w:rsidRPr="003A7183">
              <w:t>/MC/20</w:t>
            </w:r>
            <w:r w:rsidR="00DC6A07" w:rsidRPr="003A7183">
              <w:t>20</w:t>
            </w:r>
            <w:r w:rsidRPr="00A62A7F">
              <w:t>/1</w:t>
            </w:r>
          </w:p>
        </w:tc>
      </w:tr>
      <w:tr w:rsidR="003A7183" w:rsidRPr="00A62A7F" w14:paraId="05BAEFA3" w14:textId="77777777" w:rsidTr="00A864AC">
        <w:trPr>
          <w:cantSplit/>
          <w:trHeight w:hRule="exact" w:val="2835"/>
        </w:trPr>
        <w:tc>
          <w:tcPr>
            <w:tcW w:w="1276" w:type="dxa"/>
            <w:tcBorders>
              <w:top w:val="single" w:sz="4" w:space="0" w:color="auto"/>
              <w:bottom w:val="single" w:sz="12" w:space="0" w:color="auto"/>
            </w:tcBorders>
          </w:tcPr>
          <w:p w14:paraId="3AEBA3D2" w14:textId="77777777" w:rsidR="00B56E9C" w:rsidRPr="00A62A7F" w:rsidRDefault="00A2046E" w:rsidP="00A864AC">
            <w:pPr>
              <w:spacing w:before="120"/>
            </w:pPr>
            <w:r w:rsidRPr="00A62A7F">
              <w:rPr>
                <w:noProof/>
                <w:lang w:eastAsia="en-GB"/>
              </w:rPr>
              <w:drawing>
                <wp:inline distT="0" distB="0" distL="0" distR="0" wp14:anchorId="0A4A09BC" wp14:editId="5564322F">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F891C7" w14:textId="77777777" w:rsidR="00B56E9C" w:rsidRPr="00A62A7F" w:rsidRDefault="00B56E9C" w:rsidP="00A864AC">
            <w:pPr>
              <w:spacing w:before="120" w:line="380" w:lineRule="exact"/>
              <w:rPr>
                <w:sz w:val="34"/>
              </w:rPr>
            </w:pPr>
            <w:r w:rsidRPr="00A62A7F">
              <w:rPr>
                <w:b/>
                <w:sz w:val="34"/>
                <w:szCs w:val="40"/>
              </w:rPr>
              <w:t xml:space="preserve">International </w:t>
            </w:r>
            <w:r w:rsidR="00584DAE" w:rsidRPr="00A62A7F">
              <w:rPr>
                <w:b/>
                <w:sz w:val="34"/>
                <w:szCs w:val="40"/>
              </w:rPr>
              <w:t>Human Rights Instruments</w:t>
            </w:r>
          </w:p>
        </w:tc>
        <w:tc>
          <w:tcPr>
            <w:tcW w:w="2835" w:type="dxa"/>
            <w:tcBorders>
              <w:top w:val="single" w:sz="4" w:space="0" w:color="auto"/>
              <w:bottom w:val="single" w:sz="12" w:space="0" w:color="auto"/>
            </w:tcBorders>
          </w:tcPr>
          <w:p w14:paraId="66FD89C2" w14:textId="77777777" w:rsidR="00B56E9C" w:rsidRPr="00A62A7F" w:rsidRDefault="009E7932" w:rsidP="009E7932">
            <w:pPr>
              <w:suppressAutoHyphens w:val="0"/>
              <w:spacing w:before="240"/>
            </w:pPr>
            <w:r w:rsidRPr="00A62A7F">
              <w:t>Distr.: General</w:t>
            </w:r>
          </w:p>
          <w:p w14:paraId="279ACB18" w14:textId="67853252" w:rsidR="009E7932" w:rsidRPr="00A62A7F" w:rsidRDefault="004A56AF" w:rsidP="009E7932">
            <w:pPr>
              <w:suppressAutoHyphens w:val="0"/>
            </w:pPr>
            <w:r w:rsidRPr="00A62A7F">
              <w:t>30</w:t>
            </w:r>
            <w:r w:rsidR="009E7932" w:rsidRPr="00A62A7F">
              <w:t xml:space="preserve"> </w:t>
            </w:r>
            <w:r w:rsidR="00A50477" w:rsidRPr="00A62A7F">
              <w:t>March</w:t>
            </w:r>
            <w:r w:rsidR="009E7932" w:rsidRPr="00A62A7F">
              <w:t xml:space="preserve"> 20</w:t>
            </w:r>
            <w:r w:rsidR="00DC6A07" w:rsidRPr="00A62A7F">
              <w:t>20</w:t>
            </w:r>
          </w:p>
          <w:p w14:paraId="786E159B" w14:textId="77777777" w:rsidR="009E7932" w:rsidRPr="00A62A7F" w:rsidRDefault="009E7932" w:rsidP="009E7932">
            <w:pPr>
              <w:suppressAutoHyphens w:val="0"/>
            </w:pPr>
          </w:p>
          <w:p w14:paraId="323FDCDC" w14:textId="77777777" w:rsidR="009E7932" w:rsidRPr="00A62A7F" w:rsidRDefault="009E7932" w:rsidP="009E7932">
            <w:pPr>
              <w:suppressAutoHyphens w:val="0"/>
            </w:pPr>
            <w:r w:rsidRPr="00A62A7F">
              <w:t>Original: English</w:t>
            </w:r>
          </w:p>
          <w:p w14:paraId="5708C002" w14:textId="77777777" w:rsidR="009E7932" w:rsidRPr="00A62A7F" w:rsidRDefault="009E7932" w:rsidP="009E7932">
            <w:pPr>
              <w:suppressAutoHyphens w:val="0"/>
            </w:pPr>
            <w:r w:rsidRPr="00A62A7F">
              <w:t>English, French and Spanish only</w:t>
            </w:r>
          </w:p>
        </w:tc>
      </w:tr>
    </w:tbl>
    <w:p w14:paraId="6F87EAB2" w14:textId="7BE86C7F" w:rsidR="002070BE" w:rsidRPr="00A62A7F" w:rsidRDefault="002070BE" w:rsidP="002070BE">
      <w:pPr>
        <w:suppressAutoHyphens w:val="0"/>
        <w:spacing w:before="120" w:line="240" w:lineRule="auto"/>
        <w:rPr>
          <w:b/>
          <w:bCs/>
        </w:rPr>
      </w:pPr>
      <w:r w:rsidRPr="00A62A7F">
        <w:rPr>
          <w:b/>
          <w:bCs/>
        </w:rPr>
        <w:t>Thirty-</w:t>
      </w:r>
      <w:r w:rsidR="00B26BB7" w:rsidRPr="00A62A7F">
        <w:rPr>
          <w:b/>
          <w:bCs/>
        </w:rPr>
        <w:t>second</w:t>
      </w:r>
      <w:r w:rsidRPr="00A62A7F">
        <w:rPr>
          <w:b/>
          <w:bCs/>
        </w:rPr>
        <w:t xml:space="preserve"> meeting of Chairs </w:t>
      </w:r>
      <w:r w:rsidRPr="00A62A7F">
        <w:rPr>
          <w:b/>
          <w:bCs/>
        </w:rPr>
        <w:br/>
        <w:t>of the human rights treaty bodies</w:t>
      </w:r>
    </w:p>
    <w:p w14:paraId="4C43AE7E" w14:textId="14E65B07" w:rsidR="002070BE" w:rsidRPr="00A62A7F" w:rsidRDefault="002070BE" w:rsidP="002070BE">
      <w:pPr>
        <w:suppressAutoHyphens w:val="0"/>
        <w:spacing w:line="240" w:lineRule="auto"/>
      </w:pPr>
      <w:r w:rsidRPr="00A62A7F">
        <w:t xml:space="preserve">New York, </w:t>
      </w:r>
      <w:r w:rsidR="00B26BB7" w:rsidRPr="00A62A7F">
        <w:t>1</w:t>
      </w:r>
      <w:r w:rsidRPr="00A62A7F">
        <w:t>–</w:t>
      </w:r>
      <w:r w:rsidR="00B26BB7" w:rsidRPr="00A62A7F">
        <w:t>5</w:t>
      </w:r>
      <w:r w:rsidRPr="00A62A7F">
        <w:t xml:space="preserve"> June 20</w:t>
      </w:r>
      <w:r w:rsidR="00B26BB7" w:rsidRPr="00A62A7F">
        <w:t>20</w:t>
      </w:r>
    </w:p>
    <w:p w14:paraId="5B89ED1E" w14:textId="77777777" w:rsidR="002070BE" w:rsidRPr="00A62A7F" w:rsidRDefault="002070BE" w:rsidP="002070BE">
      <w:pPr>
        <w:suppressAutoHyphens w:val="0"/>
        <w:spacing w:line="240" w:lineRule="auto"/>
      </w:pPr>
      <w:r w:rsidRPr="00A62A7F">
        <w:t xml:space="preserve">Item 2 of the provisional agenda </w:t>
      </w:r>
    </w:p>
    <w:p w14:paraId="555A6D77" w14:textId="77777777" w:rsidR="002070BE" w:rsidRPr="00A62A7F" w:rsidRDefault="002070BE" w:rsidP="002070BE">
      <w:pPr>
        <w:suppressAutoHyphens w:val="0"/>
        <w:spacing w:line="240" w:lineRule="auto"/>
        <w:rPr>
          <w:b/>
          <w:bCs/>
        </w:rPr>
      </w:pPr>
      <w:bookmarkStart w:id="0" w:name="_GoBack"/>
      <w:r w:rsidRPr="00A62A7F">
        <w:rPr>
          <w:b/>
          <w:bCs/>
        </w:rPr>
        <w:t>A</w:t>
      </w:r>
      <w:bookmarkEnd w:id="0"/>
      <w:r w:rsidRPr="00A62A7F">
        <w:rPr>
          <w:b/>
          <w:bCs/>
        </w:rPr>
        <w:t>doption of the agenda and organization of work</w:t>
      </w:r>
    </w:p>
    <w:p w14:paraId="092658B5" w14:textId="77777777" w:rsidR="002070BE" w:rsidRPr="00A62A7F" w:rsidRDefault="002070BE" w:rsidP="00883C0C">
      <w:pPr>
        <w:pStyle w:val="HChG"/>
      </w:pPr>
      <w:r w:rsidRPr="00A62A7F">
        <w:tab/>
      </w:r>
      <w:r w:rsidRPr="00A62A7F">
        <w:tab/>
        <w:t>Provisional agenda and annotations</w:t>
      </w:r>
    </w:p>
    <w:p w14:paraId="1F25CF81" w14:textId="77777777" w:rsidR="002070BE" w:rsidRPr="00A62A7F" w:rsidRDefault="002070BE" w:rsidP="00883C0C">
      <w:pPr>
        <w:pStyle w:val="H1G"/>
      </w:pPr>
      <w:r w:rsidRPr="00A62A7F">
        <w:tab/>
      </w:r>
      <w:r w:rsidRPr="00A62A7F">
        <w:tab/>
        <w:t>Provisional agenda</w:t>
      </w:r>
    </w:p>
    <w:p w14:paraId="089640BD" w14:textId="77777777" w:rsidR="00B26BB7" w:rsidRPr="00A62A7F" w:rsidRDefault="002070BE" w:rsidP="00883C0C">
      <w:pPr>
        <w:pStyle w:val="SingleTxtG"/>
        <w:ind w:left="1701" w:hanging="567"/>
      </w:pPr>
      <w:r w:rsidRPr="00A62A7F">
        <w:t>1.</w:t>
      </w:r>
      <w:r w:rsidRPr="00A62A7F">
        <w:tab/>
        <w:t>Election of officers.</w:t>
      </w:r>
    </w:p>
    <w:p w14:paraId="073E40F8" w14:textId="77777777" w:rsidR="00B26BB7" w:rsidRPr="00A62A7F" w:rsidRDefault="002070BE" w:rsidP="00883C0C">
      <w:pPr>
        <w:pStyle w:val="SingleTxtG"/>
        <w:ind w:left="1701" w:hanging="567"/>
      </w:pPr>
      <w:r w:rsidRPr="00A62A7F">
        <w:t>2.</w:t>
      </w:r>
      <w:r w:rsidRPr="00A62A7F">
        <w:tab/>
        <w:t xml:space="preserve">Adoption of the agenda and organization of work. </w:t>
      </w:r>
    </w:p>
    <w:p w14:paraId="7A4F274F" w14:textId="77777777" w:rsidR="002070BE" w:rsidRPr="00A62A7F" w:rsidRDefault="002070BE" w:rsidP="00883C0C">
      <w:pPr>
        <w:pStyle w:val="SingleTxtG"/>
        <w:ind w:left="1701" w:hanging="567"/>
      </w:pPr>
      <w:r w:rsidRPr="00A62A7F">
        <w:t>3.</w:t>
      </w:r>
      <w:r w:rsidRPr="00A62A7F">
        <w:tab/>
        <w:t>General Assembly review of the treaty body system in 2020.</w:t>
      </w:r>
    </w:p>
    <w:p w14:paraId="49A3EAE6" w14:textId="77777777" w:rsidR="002070BE" w:rsidRPr="00A62A7F" w:rsidRDefault="002070BE" w:rsidP="00883C0C">
      <w:pPr>
        <w:pStyle w:val="SingleTxtG"/>
        <w:ind w:left="1701" w:hanging="567"/>
      </w:pPr>
      <w:r w:rsidRPr="00A62A7F">
        <w:t>4.</w:t>
      </w:r>
      <w:r w:rsidRPr="00A62A7F">
        <w:tab/>
        <w:t>Reporting compliance by States parties.</w:t>
      </w:r>
    </w:p>
    <w:p w14:paraId="3077544B" w14:textId="2B7A0CBF" w:rsidR="002070BE" w:rsidRPr="00A62A7F" w:rsidRDefault="002070BE" w:rsidP="00883C0C">
      <w:pPr>
        <w:pStyle w:val="SingleTxtG"/>
        <w:ind w:left="1701" w:hanging="567"/>
      </w:pPr>
      <w:r w:rsidRPr="00A62A7F">
        <w:t>5.</w:t>
      </w:r>
      <w:r w:rsidRPr="00A62A7F">
        <w:tab/>
        <w:t xml:space="preserve">Implementation by the treaty bodies of the Guidelines against Intimidation or Reprisals (the San José Guidelines), with a particular focus on </w:t>
      </w:r>
      <w:r w:rsidR="000D5567" w:rsidRPr="00A62A7F">
        <w:t>cases</w:t>
      </w:r>
      <w:r w:rsidR="000F3138" w:rsidRPr="00A62A7F">
        <w:t xml:space="preserve"> of</w:t>
      </w:r>
      <w:r w:rsidR="000D5567" w:rsidRPr="00A62A7F">
        <w:t xml:space="preserve"> and trends </w:t>
      </w:r>
      <w:r w:rsidR="00C74BC9" w:rsidRPr="00A62A7F">
        <w:t xml:space="preserve">in </w:t>
      </w:r>
      <w:r w:rsidR="000D5567" w:rsidRPr="00A62A7F">
        <w:t>reprisals</w:t>
      </w:r>
      <w:r w:rsidR="00FB43AA" w:rsidRPr="00A62A7F">
        <w:t xml:space="preserve">. </w:t>
      </w:r>
    </w:p>
    <w:p w14:paraId="6CE999CF" w14:textId="77777777" w:rsidR="002070BE" w:rsidRPr="00A62A7F" w:rsidRDefault="002070BE" w:rsidP="00883C0C">
      <w:pPr>
        <w:pStyle w:val="SingleTxtG"/>
        <w:ind w:left="1701" w:hanging="567"/>
      </w:pPr>
      <w:r w:rsidRPr="00A62A7F">
        <w:t>6.</w:t>
      </w:r>
      <w:r w:rsidRPr="00A62A7F">
        <w:tab/>
        <w:t>Implementation by the treaty bodies of the guidelines on the independence and impartiality of members of the human rights treaty bodies (the Addis Ababa guidelines).</w:t>
      </w:r>
    </w:p>
    <w:p w14:paraId="58BE8EDD" w14:textId="77777777" w:rsidR="00B26BB7" w:rsidRPr="00A62A7F" w:rsidRDefault="002070BE" w:rsidP="00883C0C">
      <w:pPr>
        <w:pStyle w:val="SingleTxtG"/>
        <w:ind w:left="1701" w:hanging="567"/>
      </w:pPr>
      <w:r w:rsidRPr="00A62A7F">
        <w:t>7.</w:t>
      </w:r>
      <w:r w:rsidRPr="00A62A7F">
        <w:tab/>
        <w:t>Progress made on the alignment of working methods and practices of the treaty bodies, including with regard to the simplified reporting procedure.</w:t>
      </w:r>
    </w:p>
    <w:p w14:paraId="217B8715" w14:textId="77777777" w:rsidR="00B26BB7" w:rsidRPr="00A62A7F" w:rsidRDefault="002070BE" w:rsidP="00883C0C">
      <w:pPr>
        <w:pStyle w:val="SingleTxtG"/>
        <w:ind w:left="1701" w:hanging="567"/>
      </w:pPr>
      <w:r w:rsidRPr="00A62A7F">
        <w:t>8.</w:t>
      </w:r>
      <w:r w:rsidRPr="00A62A7F">
        <w:tab/>
        <w:t>Modalities and organization of future meetings of Chairs and other intersessional activities.</w:t>
      </w:r>
      <w:r w:rsidRPr="00A62A7F" w:rsidDel="00733366">
        <w:t xml:space="preserve"> </w:t>
      </w:r>
    </w:p>
    <w:p w14:paraId="1AF9FF75" w14:textId="77777777" w:rsidR="002070BE" w:rsidRPr="00A62A7F" w:rsidRDefault="002070BE" w:rsidP="00883C0C">
      <w:pPr>
        <w:pStyle w:val="SingleTxtG"/>
        <w:ind w:left="1701" w:hanging="567"/>
      </w:pPr>
      <w:r w:rsidRPr="00A62A7F">
        <w:t>9.</w:t>
      </w:r>
      <w:r w:rsidRPr="00A62A7F">
        <w:tab/>
        <w:t>Any other business.</w:t>
      </w:r>
      <w:r w:rsidRPr="00A62A7F" w:rsidDel="00733366">
        <w:t xml:space="preserve"> </w:t>
      </w:r>
    </w:p>
    <w:p w14:paraId="03C9E248" w14:textId="0447C3B2" w:rsidR="002070BE" w:rsidRPr="00A62A7F" w:rsidRDefault="002070BE" w:rsidP="00883C0C">
      <w:pPr>
        <w:pStyle w:val="SingleTxtG"/>
        <w:ind w:left="1701" w:hanging="567"/>
      </w:pPr>
      <w:r w:rsidRPr="00A62A7F">
        <w:t>10.</w:t>
      </w:r>
      <w:r w:rsidRPr="00A62A7F">
        <w:tab/>
        <w:t>Adoption of the report on the thirty-</w:t>
      </w:r>
      <w:r w:rsidR="00440220" w:rsidRPr="00A62A7F">
        <w:t>second</w:t>
      </w:r>
      <w:r w:rsidRPr="00A62A7F">
        <w:t xml:space="preserve"> meeting.</w:t>
      </w:r>
    </w:p>
    <w:p w14:paraId="72FA8F2A" w14:textId="77777777" w:rsidR="002070BE" w:rsidRPr="00A62A7F" w:rsidRDefault="002070BE" w:rsidP="00883C0C">
      <w:pPr>
        <w:pStyle w:val="HChG"/>
      </w:pPr>
      <w:r w:rsidRPr="00A62A7F">
        <w:tab/>
      </w:r>
      <w:r w:rsidRPr="00A62A7F">
        <w:tab/>
        <w:t>Annotations</w:t>
      </w:r>
    </w:p>
    <w:p w14:paraId="11532224" w14:textId="77777777" w:rsidR="002070BE" w:rsidRPr="00A62A7F" w:rsidRDefault="002070BE" w:rsidP="00883C0C">
      <w:pPr>
        <w:pStyle w:val="H23G"/>
      </w:pPr>
      <w:r w:rsidRPr="00A62A7F">
        <w:tab/>
        <w:t>1.</w:t>
      </w:r>
      <w:r w:rsidRPr="00A62A7F">
        <w:tab/>
        <w:t>Election of officers</w:t>
      </w:r>
    </w:p>
    <w:p w14:paraId="3D517780" w14:textId="3FAD1EFC" w:rsidR="002070BE" w:rsidRPr="00A62A7F" w:rsidRDefault="002070BE" w:rsidP="002070BE">
      <w:pPr>
        <w:pStyle w:val="SingleTxtG"/>
      </w:pPr>
      <w:r w:rsidRPr="00A62A7F">
        <w:t xml:space="preserve">The meeting will </w:t>
      </w:r>
      <w:r w:rsidR="000D5567" w:rsidRPr="00A62A7F">
        <w:t>be held</w:t>
      </w:r>
      <w:r w:rsidRPr="00A62A7F">
        <w:t xml:space="preserve"> in New York, as decided by the Chairs at their thirt</w:t>
      </w:r>
      <w:r w:rsidR="002B23A0" w:rsidRPr="00A62A7F">
        <w:t>y-first</w:t>
      </w:r>
      <w:r w:rsidRPr="00A62A7F">
        <w:t xml:space="preserve"> meeting (A/7</w:t>
      </w:r>
      <w:r w:rsidR="002B23A0" w:rsidRPr="00A62A7F">
        <w:t>4</w:t>
      </w:r>
      <w:r w:rsidRPr="00A62A7F">
        <w:t>/</w:t>
      </w:r>
      <w:r w:rsidR="002B23A0" w:rsidRPr="00A62A7F">
        <w:t>256</w:t>
      </w:r>
      <w:r w:rsidRPr="00A62A7F">
        <w:t xml:space="preserve">, para. </w:t>
      </w:r>
      <w:r w:rsidR="002B23A0" w:rsidRPr="00A62A7F">
        <w:t>5</w:t>
      </w:r>
      <w:r w:rsidRPr="00A62A7F">
        <w:t xml:space="preserve">8), subject to available resources. It is expected </w:t>
      </w:r>
      <w:r w:rsidR="00A50477" w:rsidRPr="00A62A7F">
        <w:t>that a senior</w:t>
      </w:r>
      <w:r w:rsidRPr="00A62A7F">
        <w:t xml:space="preserve"> </w:t>
      </w:r>
      <w:r w:rsidR="00A50477" w:rsidRPr="00A62A7F">
        <w:t>U</w:t>
      </w:r>
      <w:r w:rsidR="00CE3667" w:rsidRPr="00A62A7F">
        <w:t xml:space="preserve">nited </w:t>
      </w:r>
      <w:r w:rsidR="00A50477" w:rsidRPr="00A62A7F">
        <w:t>N</w:t>
      </w:r>
      <w:r w:rsidR="00CE3667" w:rsidRPr="00A62A7F">
        <w:t>ations</w:t>
      </w:r>
      <w:r w:rsidR="00A50477" w:rsidRPr="00A62A7F">
        <w:t xml:space="preserve"> official </w:t>
      </w:r>
      <w:r w:rsidRPr="00A62A7F">
        <w:t xml:space="preserve">will make opening remarks. The Chair and Vice-Chair will be elected at the opening of the meeting on </w:t>
      </w:r>
      <w:r w:rsidR="002B23A0" w:rsidRPr="00A62A7F">
        <w:t>1</w:t>
      </w:r>
      <w:r w:rsidRPr="00A62A7F">
        <w:t xml:space="preserve"> June 20</w:t>
      </w:r>
      <w:r w:rsidR="002B23A0" w:rsidRPr="00A62A7F">
        <w:t>20</w:t>
      </w:r>
      <w:r w:rsidRPr="00A62A7F">
        <w:t>, on the basis of the principle of rotation of Chairs.</w:t>
      </w:r>
    </w:p>
    <w:p w14:paraId="79623AB8" w14:textId="77777777" w:rsidR="002070BE" w:rsidRPr="00A62A7F" w:rsidRDefault="002070BE" w:rsidP="00883C0C">
      <w:pPr>
        <w:pStyle w:val="H23G"/>
      </w:pPr>
      <w:r w:rsidRPr="00A62A7F">
        <w:tab/>
        <w:t>2.</w:t>
      </w:r>
      <w:r w:rsidRPr="00A62A7F">
        <w:tab/>
        <w:t>Adoption of the agenda and organization of work</w:t>
      </w:r>
    </w:p>
    <w:p w14:paraId="4873A126" w14:textId="77777777" w:rsidR="002070BE" w:rsidRPr="00A62A7F" w:rsidRDefault="002070BE" w:rsidP="002070BE">
      <w:pPr>
        <w:pStyle w:val="SingleTxtG"/>
      </w:pPr>
      <w:r w:rsidRPr="00A62A7F">
        <w:t>The meeting will be held pursuant to General Assembly resolution 49/178 on the effective implementation of international instruments on human rights, including reporting obligations under international instruments on human rights.</w:t>
      </w:r>
    </w:p>
    <w:p w14:paraId="16FA15D5" w14:textId="77777777" w:rsidR="002070BE" w:rsidRPr="00A62A7F" w:rsidRDefault="002070BE" w:rsidP="002070BE">
      <w:pPr>
        <w:pStyle w:val="SingleTxtG"/>
      </w:pPr>
      <w:r w:rsidRPr="00A62A7F">
        <w:lastRenderedPageBreak/>
        <w:t>The Chairs will adopt the agenda based on the provisional agenda contained in the present document. They will also adopt the draft programme of work and consider any organizational matters.</w:t>
      </w:r>
    </w:p>
    <w:p w14:paraId="13245CDB" w14:textId="77777777" w:rsidR="002070BE" w:rsidRPr="00A62A7F" w:rsidRDefault="002070BE" w:rsidP="00883C0C">
      <w:pPr>
        <w:pStyle w:val="H23G"/>
      </w:pPr>
      <w:r w:rsidRPr="00A62A7F">
        <w:tab/>
        <w:t>3.</w:t>
      </w:r>
      <w:r w:rsidRPr="00A62A7F">
        <w:tab/>
        <w:t>General Assembly review of the treaty body system in 2020</w:t>
      </w:r>
    </w:p>
    <w:p w14:paraId="750AF42E" w14:textId="358D88DF" w:rsidR="002070BE" w:rsidRPr="00A62A7F" w:rsidRDefault="002070BE" w:rsidP="002070BE">
      <w:pPr>
        <w:pStyle w:val="SingleTxtG"/>
      </w:pPr>
      <w:r w:rsidRPr="00A62A7F">
        <w:t>Pursuant to General Assembly resolution 68/268, the Chairs decided to give priority to consideration of the review of the treaty body system and the elaboration of a common vision for the future (</w:t>
      </w:r>
      <w:r w:rsidR="00CE3667" w:rsidRPr="00A62A7F">
        <w:t xml:space="preserve">see </w:t>
      </w:r>
      <w:r w:rsidR="006D15D6" w:rsidRPr="00A62A7F">
        <w:t>A/74/256</w:t>
      </w:r>
      <w:r w:rsidR="00CE3667" w:rsidRPr="00A62A7F">
        <w:t>, annex III</w:t>
      </w:r>
      <w:r w:rsidRPr="00A62A7F">
        <w:t>). They will discuss the latest developments, initiatives and proposals by treaty bodies, States, national human rights institutions, civil society organizations and others on the 2020 review. Each treaty body has appointed one or more focal points to facilitate the discussion and to engage in intersessional dialogue. The Chairs will consider proposals made by each treaty body, based on the work of their respective focal points and on sessional and intersessional discussions.</w:t>
      </w:r>
    </w:p>
    <w:p w14:paraId="40467283" w14:textId="701D1DAA" w:rsidR="002070BE" w:rsidRPr="00A62A7F" w:rsidRDefault="002070BE" w:rsidP="002070BE">
      <w:pPr>
        <w:pStyle w:val="SingleTxtG"/>
      </w:pPr>
      <w:r w:rsidRPr="00A62A7F">
        <w:t>In its resolution 68/268, the General Assembly encouraged the human rights treaty bodies to strengthen the possibilities for interaction during the annual meetings of the Chairs of the treaty bodies with States parties to all human rights treaties, with a view to ensuring a forum for an open and formal interactive dialogue. The Chairs will hold consultations with States parties</w:t>
      </w:r>
      <w:r w:rsidR="00CE3667" w:rsidRPr="00A62A7F">
        <w:t xml:space="preserve">, and </w:t>
      </w:r>
      <w:r w:rsidR="007E4AE5" w:rsidRPr="00A62A7F">
        <w:t xml:space="preserve">will </w:t>
      </w:r>
      <w:r w:rsidR="00CE3667" w:rsidRPr="00A62A7F">
        <w:t xml:space="preserve">also </w:t>
      </w:r>
      <w:r w:rsidRPr="00A62A7F">
        <w:t>exchange with senior United Nations officials, United Nations agencies, national human rights institutions and civil society organizations.</w:t>
      </w:r>
    </w:p>
    <w:p w14:paraId="69A3D159" w14:textId="77777777" w:rsidR="002070BE" w:rsidRPr="00A62A7F" w:rsidRDefault="002070BE" w:rsidP="00883C0C">
      <w:pPr>
        <w:pStyle w:val="H23G"/>
      </w:pPr>
      <w:r w:rsidRPr="00A62A7F">
        <w:tab/>
        <w:t>4.</w:t>
      </w:r>
      <w:r w:rsidRPr="00A62A7F">
        <w:tab/>
        <w:t>Reporting compliance by States parties</w:t>
      </w:r>
    </w:p>
    <w:p w14:paraId="4CA3214B" w14:textId="1D6E0992" w:rsidR="002070BE" w:rsidRPr="00A62A7F" w:rsidRDefault="002070BE" w:rsidP="002070BE">
      <w:pPr>
        <w:pStyle w:val="SingleTxtG"/>
      </w:pPr>
      <w:r w:rsidRPr="00A62A7F">
        <w:t xml:space="preserve">The Chairs will discuss reporting compliance by States parties, on </w:t>
      </w:r>
      <w:r w:rsidR="00CE3667" w:rsidRPr="00A62A7F">
        <w:t xml:space="preserve">the basis of </w:t>
      </w:r>
      <w:r w:rsidRPr="00A62A7F">
        <w:t>information provided in an online format only, as requested at their previous meeting (A/</w:t>
      </w:r>
      <w:r w:rsidR="00B44F26" w:rsidRPr="00A62A7F">
        <w:t>74/256</w:t>
      </w:r>
      <w:r w:rsidRPr="00A62A7F">
        <w:t xml:space="preserve">, para. </w:t>
      </w:r>
      <w:r w:rsidR="00B44F26" w:rsidRPr="00A62A7F">
        <w:t>49</w:t>
      </w:r>
      <w:r w:rsidRPr="00A62A7F">
        <w:t>). They will review figures and trends</w:t>
      </w:r>
      <w:r w:rsidR="00C74BC9" w:rsidRPr="00A62A7F">
        <w:t>,</w:t>
      </w:r>
      <w:r w:rsidRPr="00A62A7F">
        <w:t xml:space="preserve"> and discuss possible action. </w:t>
      </w:r>
    </w:p>
    <w:p w14:paraId="29410B8C" w14:textId="0CBE4E1C" w:rsidR="002070BE" w:rsidRPr="00A62A7F" w:rsidRDefault="002070BE" w:rsidP="00883C0C">
      <w:pPr>
        <w:pStyle w:val="H23G"/>
      </w:pPr>
      <w:r w:rsidRPr="00A62A7F">
        <w:tab/>
        <w:t>5.</w:t>
      </w:r>
      <w:r w:rsidRPr="00A62A7F">
        <w:tab/>
        <w:t xml:space="preserve">Implementation by the treaty bodies of the Guidelines against Intimidation or Reprisals (the San José Guidelines), with a particular focus on </w:t>
      </w:r>
      <w:r w:rsidR="00BB7292" w:rsidRPr="00A62A7F">
        <w:t xml:space="preserve">cases </w:t>
      </w:r>
      <w:r w:rsidR="000F3138" w:rsidRPr="00A62A7F">
        <w:t xml:space="preserve">of </w:t>
      </w:r>
      <w:r w:rsidR="00C74BC9" w:rsidRPr="00A62A7F">
        <w:t xml:space="preserve">and </w:t>
      </w:r>
      <w:r w:rsidR="00BB7292" w:rsidRPr="00A62A7F">
        <w:t xml:space="preserve">trends </w:t>
      </w:r>
      <w:r w:rsidR="00C74BC9" w:rsidRPr="00A62A7F">
        <w:t xml:space="preserve">in </w:t>
      </w:r>
      <w:r w:rsidR="00BB7292" w:rsidRPr="00A62A7F">
        <w:t>reprisals</w:t>
      </w:r>
      <w:r w:rsidR="00CB0A33" w:rsidRPr="00A62A7F">
        <w:t xml:space="preserve"> </w:t>
      </w:r>
    </w:p>
    <w:p w14:paraId="3F64B068" w14:textId="18BF29DA" w:rsidR="00384400" w:rsidRPr="00A62A7F" w:rsidRDefault="002070BE" w:rsidP="00384400">
      <w:pPr>
        <w:pStyle w:val="SingleTxt"/>
      </w:pPr>
      <w:r w:rsidRPr="00A62A7F">
        <w:t xml:space="preserve">The Chairs will discuss </w:t>
      </w:r>
      <w:r w:rsidR="00C74BC9" w:rsidRPr="00A62A7F">
        <w:t>a</w:t>
      </w:r>
      <w:r w:rsidR="00384400" w:rsidRPr="00A62A7F">
        <w:t xml:space="preserve"> summary of cases and trends </w:t>
      </w:r>
      <w:r w:rsidR="00C74BC9" w:rsidRPr="00A62A7F">
        <w:t>in</w:t>
      </w:r>
      <w:r w:rsidR="00384400" w:rsidRPr="00A62A7F">
        <w:t xml:space="preserve"> reprisals</w:t>
      </w:r>
      <w:r w:rsidR="00A50477" w:rsidRPr="00A62A7F">
        <w:t xml:space="preserve"> that have been brought to the attention of the treaty bodies</w:t>
      </w:r>
      <w:r w:rsidR="00C74BC9" w:rsidRPr="00A62A7F">
        <w:t>,</w:t>
      </w:r>
      <w:r w:rsidR="00384400" w:rsidRPr="00A62A7F">
        <w:t xml:space="preserve"> </w:t>
      </w:r>
      <w:r w:rsidR="00C74BC9" w:rsidRPr="00A62A7F">
        <w:t>and</w:t>
      </w:r>
      <w:r w:rsidR="00384400" w:rsidRPr="00A62A7F">
        <w:t xml:space="preserve"> issues that need further action by the Chairs</w:t>
      </w:r>
      <w:r w:rsidR="00A50477" w:rsidRPr="00A62A7F">
        <w:rPr>
          <w:rFonts w:eastAsia="SimSun"/>
          <w:lang w:eastAsia="zh-CN"/>
        </w:rPr>
        <w:t xml:space="preserve"> </w:t>
      </w:r>
      <w:r w:rsidR="005E725E" w:rsidRPr="00A62A7F">
        <w:rPr>
          <w:rFonts w:eastAsia="SimSun"/>
          <w:lang w:eastAsia="zh-CN"/>
        </w:rPr>
        <w:t>(</w:t>
      </w:r>
      <w:r w:rsidR="009A7F8D" w:rsidRPr="00A62A7F">
        <w:rPr>
          <w:rFonts w:eastAsia="SimSun"/>
          <w:lang w:eastAsia="zh-CN"/>
        </w:rPr>
        <w:t xml:space="preserve">see </w:t>
      </w:r>
      <w:r w:rsidR="00032DE3" w:rsidRPr="00A62A7F">
        <w:t>HRI/MC/2020/2</w:t>
      </w:r>
      <w:r w:rsidR="005E725E" w:rsidRPr="00A62A7F">
        <w:rPr>
          <w:rFonts w:eastAsia="SimSun"/>
          <w:lang w:eastAsia="zh-CN"/>
        </w:rPr>
        <w:t>),</w:t>
      </w:r>
      <w:r w:rsidR="00384400" w:rsidRPr="00A62A7F">
        <w:t xml:space="preserve"> as requested by the Chairs at their previous meeting (A/74/256, para 50). </w:t>
      </w:r>
    </w:p>
    <w:p w14:paraId="14D0689D" w14:textId="5E0302DE" w:rsidR="002070BE" w:rsidRPr="00A62A7F" w:rsidRDefault="00A50477" w:rsidP="00883C0C">
      <w:pPr>
        <w:pStyle w:val="H23G"/>
      </w:pPr>
      <w:r w:rsidRPr="00A62A7F">
        <w:tab/>
      </w:r>
      <w:r w:rsidR="002070BE" w:rsidRPr="00A62A7F">
        <w:t>6.</w:t>
      </w:r>
      <w:r w:rsidR="002070BE" w:rsidRPr="00A62A7F">
        <w:tab/>
        <w:t>Implementation by the treaty bodies of the guidelines on the independence and impartiality of members of the human rights treaty bodies (the Addis Ababa guidelines)</w:t>
      </w:r>
    </w:p>
    <w:p w14:paraId="1A4A18EB" w14:textId="77777777" w:rsidR="002070BE" w:rsidRPr="00A62A7F" w:rsidRDefault="002070BE" w:rsidP="002070BE">
      <w:pPr>
        <w:pStyle w:val="SingleTxtG"/>
      </w:pPr>
      <w:r w:rsidRPr="00A62A7F">
        <w:t>At their twenty-fourth meeting, held in June 2012, the Chairs endorsed the guidelines on the independence and impartiality of members of the human rights treaty bodies (the Addis Ababa guidelines)</w:t>
      </w:r>
      <w:r w:rsidR="00C74BC9" w:rsidRPr="00A62A7F">
        <w:t>,</w:t>
      </w:r>
      <w:r w:rsidRPr="00A62A7F">
        <w:t xml:space="preserve"> and strongly recommended that they be promptly adopted by the respective treaty bodies. </w:t>
      </w:r>
    </w:p>
    <w:p w14:paraId="27AAA698" w14:textId="77777777" w:rsidR="002070BE" w:rsidRPr="00A62A7F" w:rsidRDefault="002070BE" w:rsidP="002070BE">
      <w:pPr>
        <w:pStyle w:val="SingleTxtG"/>
      </w:pPr>
      <w:r w:rsidRPr="00A62A7F">
        <w:t xml:space="preserve">In paragraphs 36 and 37 of its resolution 68/268, the General Assembly encouraged the treaty bodies to implement the Addis Ababa guidelines in accordance with their mandates, and invited the Chairs to keep States parties updated on their implementation. </w:t>
      </w:r>
    </w:p>
    <w:p w14:paraId="58C5EA09" w14:textId="50CD8193" w:rsidR="002070BE" w:rsidRPr="00A62A7F" w:rsidRDefault="002070BE" w:rsidP="002070BE">
      <w:pPr>
        <w:pStyle w:val="SingleTxtG"/>
      </w:pPr>
      <w:r w:rsidRPr="00A62A7F">
        <w:t xml:space="preserve">The Chairs will discuss </w:t>
      </w:r>
      <w:r w:rsidR="005E725E" w:rsidRPr="00A62A7F">
        <w:t>t</w:t>
      </w:r>
      <w:r w:rsidR="006B0EF1" w:rsidRPr="00A62A7F">
        <w:t xml:space="preserve">he document prepared by the Secretariat mapping </w:t>
      </w:r>
      <w:r w:rsidR="00A50477" w:rsidRPr="00A62A7F">
        <w:t>the</w:t>
      </w:r>
      <w:r w:rsidR="006B0EF1" w:rsidRPr="00A62A7F">
        <w:t xml:space="preserve"> practices of different treaty bodies,</w:t>
      </w:r>
      <w:r w:rsidR="00A50477" w:rsidRPr="00A62A7F">
        <w:t xml:space="preserve"> </w:t>
      </w:r>
      <w:r w:rsidR="006B0EF1" w:rsidRPr="00A62A7F">
        <w:t>identifying the key challenges and proposing further steps to operationalize the guidelines across treaty bodies</w:t>
      </w:r>
      <w:r w:rsidR="00A50477" w:rsidRPr="00A62A7F">
        <w:t xml:space="preserve"> (HRI/MC/2020/3)</w:t>
      </w:r>
      <w:r w:rsidR="006B0EF1" w:rsidRPr="00A62A7F">
        <w:t xml:space="preserve">. </w:t>
      </w:r>
    </w:p>
    <w:p w14:paraId="3BB04CC9" w14:textId="77777777" w:rsidR="002070BE" w:rsidRPr="00A62A7F" w:rsidRDefault="002070BE" w:rsidP="00883C0C">
      <w:pPr>
        <w:pStyle w:val="H23G"/>
      </w:pPr>
      <w:r w:rsidRPr="00A62A7F">
        <w:tab/>
        <w:t>7.</w:t>
      </w:r>
      <w:r w:rsidRPr="00A62A7F">
        <w:tab/>
        <w:t xml:space="preserve">Progress made on the alignment of working methods and practices of the treaty bodies, including with regard to the simplified reporting procedure </w:t>
      </w:r>
    </w:p>
    <w:p w14:paraId="757E9BF9" w14:textId="30E4B2B3" w:rsidR="002070BE" w:rsidRPr="00A62A7F" w:rsidRDefault="002070BE" w:rsidP="002070BE">
      <w:pPr>
        <w:pStyle w:val="SingleTxtG"/>
      </w:pPr>
      <w:r w:rsidRPr="00A62A7F">
        <w:t>With a view to further aligning their working methods and practices</w:t>
      </w:r>
      <w:r w:rsidR="00B571D0" w:rsidRPr="00A62A7F">
        <w:t xml:space="preserve"> and in view of the General Assembly review of the treaty body system </w:t>
      </w:r>
      <w:r w:rsidR="00C74BC9" w:rsidRPr="00A62A7F">
        <w:t xml:space="preserve">in </w:t>
      </w:r>
      <w:r w:rsidR="00B571D0" w:rsidRPr="00A62A7F">
        <w:t>2020</w:t>
      </w:r>
      <w:r w:rsidRPr="00A62A7F">
        <w:t xml:space="preserve">, the Chairs will discuss the efforts that each treaty body has made in this regard </w:t>
      </w:r>
      <w:r w:rsidR="00F629E5" w:rsidRPr="00A62A7F">
        <w:t>pursuant</w:t>
      </w:r>
      <w:r w:rsidRPr="00A62A7F">
        <w:t xml:space="preserve"> to Assembly resolution 68/268. </w:t>
      </w:r>
    </w:p>
    <w:p w14:paraId="1532A150" w14:textId="77777777" w:rsidR="002070BE" w:rsidRPr="00A62A7F" w:rsidRDefault="002070BE" w:rsidP="00883C0C">
      <w:pPr>
        <w:pStyle w:val="H23G"/>
      </w:pPr>
      <w:r w:rsidRPr="00A62A7F">
        <w:lastRenderedPageBreak/>
        <w:tab/>
        <w:t>8.</w:t>
      </w:r>
      <w:r w:rsidRPr="00A62A7F">
        <w:tab/>
        <w:t>Modalities and organization of future meetings of Chairs and other intersessional activities</w:t>
      </w:r>
    </w:p>
    <w:p w14:paraId="5263254C" w14:textId="77777777" w:rsidR="002070BE" w:rsidRPr="00A62A7F" w:rsidRDefault="002070BE" w:rsidP="002070BE">
      <w:pPr>
        <w:pStyle w:val="SingleTxtG"/>
      </w:pPr>
      <w:r w:rsidRPr="00A62A7F">
        <w:t xml:space="preserve">With the aim of further enhancing the efficiency and effectiveness of their annual meeting, the Chairs will discuss the working modalities and organization of the meetings of Chairs and their intersessional activities. </w:t>
      </w:r>
    </w:p>
    <w:p w14:paraId="409AA708" w14:textId="77777777" w:rsidR="002070BE" w:rsidRPr="00A62A7F" w:rsidRDefault="002070BE" w:rsidP="00883C0C">
      <w:pPr>
        <w:pStyle w:val="H23G"/>
      </w:pPr>
      <w:r w:rsidRPr="00A62A7F">
        <w:tab/>
        <w:t>9.</w:t>
      </w:r>
      <w:r w:rsidRPr="00A62A7F">
        <w:tab/>
        <w:t>Any other business</w:t>
      </w:r>
    </w:p>
    <w:p w14:paraId="0806B042" w14:textId="77777777" w:rsidR="002070BE" w:rsidRPr="00A62A7F" w:rsidRDefault="002070BE" w:rsidP="002070BE">
      <w:pPr>
        <w:pStyle w:val="SingleTxtG"/>
      </w:pPr>
      <w:r w:rsidRPr="00A62A7F">
        <w:t>The Chairs will discuss any other matter relating to the work of human rights treaty bodies, as necessary.</w:t>
      </w:r>
    </w:p>
    <w:p w14:paraId="03A478FF" w14:textId="50A84B1A" w:rsidR="002070BE" w:rsidRPr="00A62A7F" w:rsidRDefault="002070BE" w:rsidP="00883C0C">
      <w:pPr>
        <w:pStyle w:val="H23G"/>
      </w:pPr>
      <w:r w:rsidRPr="00A62A7F">
        <w:tab/>
        <w:t>10.</w:t>
      </w:r>
      <w:r w:rsidRPr="00A62A7F">
        <w:tab/>
        <w:t>Adoption of the report on the thirty-</w:t>
      </w:r>
      <w:r w:rsidR="00C74BC9" w:rsidRPr="00A62A7F">
        <w:t xml:space="preserve">second </w:t>
      </w:r>
      <w:r w:rsidRPr="00A62A7F">
        <w:t>meeting</w:t>
      </w:r>
    </w:p>
    <w:p w14:paraId="57C277C5" w14:textId="68812E19" w:rsidR="002070BE" w:rsidRPr="00A62A7F" w:rsidRDefault="002070BE" w:rsidP="002070BE">
      <w:pPr>
        <w:pStyle w:val="SingleTxtG"/>
      </w:pPr>
      <w:r w:rsidRPr="00A62A7F">
        <w:t>The Chairs will adopt the draft report on the thirty-</w:t>
      </w:r>
      <w:r w:rsidR="002B23A0" w:rsidRPr="00A62A7F">
        <w:t>second</w:t>
      </w:r>
      <w:r w:rsidRPr="00A62A7F">
        <w:t xml:space="preserve"> meeting, ad referendum, which will include the draft agenda items for the thirty-</w:t>
      </w:r>
      <w:r w:rsidR="002B23A0" w:rsidRPr="00A62A7F">
        <w:t>third</w:t>
      </w:r>
      <w:r w:rsidRPr="00A62A7F">
        <w:t xml:space="preserve"> meeting and, as necessary, recommendations to be submitted to the General Assembly at its seventy-f</w:t>
      </w:r>
      <w:r w:rsidR="002B23A0" w:rsidRPr="00A62A7F">
        <w:t>ifth</w:t>
      </w:r>
      <w:r w:rsidRPr="00A62A7F">
        <w:t xml:space="preserve"> session.</w:t>
      </w:r>
    </w:p>
    <w:p w14:paraId="5A79B60D" w14:textId="77777777" w:rsidR="00883C0C" w:rsidRPr="00A62A7F" w:rsidRDefault="00883C0C" w:rsidP="00883C0C">
      <w:pPr>
        <w:pStyle w:val="SingleTxtG"/>
        <w:spacing w:before="240" w:after="0"/>
        <w:jc w:val="center"/>
      </w:pPr>
      <w:r w:rsidRPr="00A62A7F">
        <w:rPr>
          <w:u w:val="single"/>
        </w:rPr>
        <w:tab/>
      </w:r>
      <w:r w:rsidRPr="00A62A7F">
        <w:rPr>
          <w:u w:val="single"/>
        </w:rPr>
        <w:tab/>
      </w:r>
      <w:r w:rsidRPr="00A62A7F">
        <w:rPr>
          <w:u w:val="single"/>
        </w:rPr>
        <w:tab/>
      </w:r>
      <w:r w:rsidR="00CA586E" w:rsidRPr="00A62A7F">
        <w:rPr>
          <w:u w:val="single"/>
        </w:rPr>
        <w:tab/>
      </w:r>
    </w:p>
    <w:sectPr w:rsidR="00883C0C" w:rsidRPr="00A62A7F" w:rsidSect="006C5D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9537" w14:textId="77777777" w:rsidR="008B32CF" w:rsidRDefault="008B32CF"/>
  </w:endnote>
  <w:endnote w:type="continuationSeparator" w:id="0">
    <w:p w14:paraId="3EB93F81" w14:textId="77777777" w:rsidR="008B32CF" w:rsidRDefault="008B32CF"/>
  </w:endnote>
  <w:endnote w:type="continuationNotice" w:id="1">
    <w:p w14:paraId="40545B8E" w14:textId="77777777" w:rsidR="008B32CF" w:rsidRDefault="008B3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ED8A" w14:textId="4858ED9A" w:rsidR="009E7932" w:rsidRDefault="009E7932" w:rsidP="002070BE">
    <w:pPr>
      <w:pStyle w:val="Footer"/>
      <w:tabs>
        <w:tab w:val="right" w:pos="9638"/>
      </w:tabs>
    </w:pPr>
    <w:r w:rsidRPr="009E7932">
      <w:rPr>
        <w:b/>
        <w:bCs/>
        <w:sz w:val="18"/>
      </w:rPr>
      <w:fldChar w:fldCharType="begin"/>
    </w:r>
    <w:r w:rsidRPr="009E7932">
      <w:rPr>
        <w:b/>
        <w:bCs/>
        <w:sz w:val="18"/>
      </w:rPr>
      <w:instrText xml:space="preserve"> PAGE  \* MERGEFORMAT </w:instrText>
    </w:r>
    <w:r w:rsidRPr="009E7932">
      <w:rPr>
        <w:b/>
        <w:bCs/>
        <w:sz w:val="18"/>
      </w:rPr>
      <w:fldChar w:fldCharType="separate"/>
    </w:r>
    <w:r w:rsidR="00A62A7F">
      <w:rPr>
        <w:b/>
        <w:bCs/>
        <w:noProof/>
        <w:sz w:val="18"/>
      </w:rPr>
      <w:t>2</w:t>
    </w:r>
    <w:r w:rsidRPr="009E793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A487" w14:textId="14FD3583" w:rsidR="009E7932" w:rsidRDefault="009E7932" w:rsidP="009E7932">
    <w:pPr>
      <w:pStyle w:val="Footer"/>
      <w:tabs>
        <w:tab w:val="right" w:pos="9638"/>
      </w:tabs>
    </w:pPr>
    <w:r>
      <w:tab/>
    </w:r>
    <w:r w:rsidRPr="009E7932">
      <w:rPr>
        <w:b/>
        <w:bCs/>
        <w:sz w:val="18"/>
      </w:rPr>
      <w:fldChar w:fldCharType="begin"/>
    </w:r>
    <w:r w:rsidRPr="009E7932">
      <w:rPr>
        <w:b/>
        <w:bCs/>
        <w:sz w:val="18"/>
      </w:rPr>
      <w:instrText xml:space="preserve"> PAGE  \* MERGEFORMAT </w:instrText>
    </w:r>
    <w:r w:rsidRPr="009E7932">
      <w:rPr>
        <w:b/>
        <w:bCs/>
        <w:sz w:val="18"/>
      </w:rPr>
      <w:fldChar w:fldCharType="separate"/>
    </w:r>
    <w:r w:rsidR="00A62A7F">
      <w:rPr>
        <w:b/>
        <w:bCs/>
        <w:noProof/>
        <w:sz w:val="18"/>
      </w:rPr>
      <w:t>3</w:t>
    </w:r>
    <w:r w:rsidRPr="009E79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FDCF" w14:textId="688CC8F0" w:rsidR="001304D9" w:rsidRDefault="001304D9" w:rsidP="001304D9">
    <w:pPr>
      <w:pStyle w:val="Footer"/>
    </w:pPr>
    <w:r>
      <w:rPr>
        <w:noProof/>
      </w:rPr>
      <w:drawing>
        <wp:anchor distT="0" distB="0" distL="114300" distR="114300" simplePos="0" relativeHeight="251659264" behindDoc="1" locked="1" layoutInCell="1" allowOverlap="1" wp14:anchorId="18122D35" wp14:editId="0C5D0B7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0585B0" w14:textId="577B37F6" w:rsidR="001304D9" w:rsidRDefault="001304D9" w:rsidP="001304D9">
    <w:pPr>
      <w:pStyle w:val="Footer"/>
      <w:ind w:right="1134"/>
      <w:rPr>
        <w:sz w:val="20"/>
      </w:rPr>
    </w:pPr>
    <w:r>
      <w:rPr>
        <w:sz w:val="20"/>
      </w:rPr>
      <w:t>GE.20-04699(E)</w:t>
    </w:r>
  </w:p>
  <w:p w14:paraId="2D1EAB50" w14:textId="1D66B503" w:rsidR="001304D9" w:rsidRPr="001304D9" w:rsidRDefault="001304D9" w:rsidP="001304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DEBD0AE" wp14:editId="7C5C8D8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HRI/MC/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BF78" w14:textId="77777777" w:rsidR="008B32CF" w:rsidRPr="000B175B" w:rsidRDefault="008B32CF" w:rsidP="000B175B">
      <w:pPr>
        <w:tabs>
          <w:tab w:val="right" w:pos="2155"/>
        </w:tabs>
        <w:spacing w:after="80"/>
        <w:ind w:left="680"/>
        <w:rPr>
          <w:u w:val="single"/>
        </w:rPr>
      </w:pPr>
      <w:r>
        <w:rPr>
          <w:u w:val="single"/>
        </w:rPr>
        <w:tab/>
      </w:r>
    </w:p>
  </w:footnote>
  <w:footnote w:type="continuationSeparator" w:id="0">
    <w:p w14:paraId="72E7A4AE" w14:textId="77777777" w:rsidR="008B32CF" w:rsidRPr="00FC68B7" w:rsidRDefault="008B32CF" w:rsidP="00FC68B7">
      <w:pPr>
        <w:tabs>
          <w:tab w:val="left" w:pos="2155"/>
        </w:tabs>
        <w:spacing w:after="80"/>
        <w:ind w:left="680"/>
        <w:rPr>
          <w:u w:val="single"/>
        </w:rPr>
      </w:pPr>
      <w:r>
        <w:rPr>
          <w:u w:val="single"/>
        </w:rPr>
        <w:tab/>
      </w:r>
    </w:p>
  </w:footnote>
  <w:footnote w:type="continuationNotice" w:id="1">
    <w:p w14:paraId="593D4B7C" w14:textId="77777777" w:rsidR="008B32CF" w:rsidRDefault="008B3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67CE" w14:textId="3ED27715" w:rsidR="009E7932" w:rsidRDefault="009E7932" w:rsidP="009E7932">
    <w:pPr>
      <w:pStyle w:val="Header"/>
    </w:pPr>
    <w:r>
      <w:t>HRI/MC/20</w:t>
    </w:r>
    <w:r w:rsidR="00B26BB7">
      <w:t>20</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1215" w14:textId="2B2F4017" w:rsidR="009E7932" w:rsidRDefault="009E7932" w:rsidP="009E7932">
    <w:pPr>
      <w:pStyle w:val="Header"/>
      <w:jc w:val="right"/>
    </w:pPr>
    <w:r>
      <w:t>HRI/MC/20</w:t>
    </w:r>
    <w:r w:rsidR="00B26BB7">
      <w:t>20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A"/>
    <w:rsid w:val="00032DE3"/>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D5567"/>
    <w:rsid w:val="000E0415"/>
    <w:rsid w:val="000F1023"/>
    <w:rsid w:val="000F3138"/>
    <w:rsid w:val="001103AA"/>
    <w:rsid w:val="001304D9"/>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070BE"/>
    <w:rsid w:val="00211E0B"/>
    <w:rsid w:val="0023210C"/>
    <w:rsid w:val="00267F5F"/>
    <w:rsid w:val="00286B4D"/>
    <w:rsid w:val="002937F7"/>
    <w:rsid w:val="002B23A0"/>
    <w:rsid w:val="002B2B75"/>
    <w:rsid w:val="002F175C"/>
    <w:rsid w:val="00314242"/>
    <w:rsid w:val="003229D8"/>
    <w:rsid w:val="00352709"/>
    <w:rsid w:val="00367567"/>
    <w:rsid w:val="00371178"/>
    <w:rsid w:val="00384400"/>
    <w:rsid w:val="003A6810"/>
    <w:rsid w:val="003A7183"/>
    <w:rsid w:val="003C2CC4"/>
    <w:rsid w:val="003D3599"/>
    <w:rsid w:val="003D4B23"/>
    <w:rsid w:val="003F5C11"/>
    <w:rsid w:val="00410C89"/>
    <w:rsid w:val="004206A9"/>
    <w:rsid w:val="00426B9B"/>
    <w:rsid w:val="004325CB"/>
    <w:rsid w:val="00436B33"/>
    <w:rsid w:val="00440220"/>
    <w:rsid w:val="00442A83"/>
    <w:rsid w:val="0045495B"/>
    <w:rsid w:val="004567EA"/>
    <w:rsid w:val="004700D5"/>
    <w:rsid w:val="00474D1C"/>
    <w:rsid w:val="004771A8"/>
    <w:rsid w:val="00487488"/>
    <w:rsid w:val="004A56AF"/>
    <w:rsid w:val="0052136D"/>
    <w:rsid w:val="0052775E"/>
    <w:rsid w:val="005420F2"/>
    <w:rsid w:val="005628B6"/>
    <w:rsid w:val="00584036"/>
    <w:rsid w:val="005848B3"/>
    <w:rsid w:val="00584DAE"/>
    <w:rsid w:val="00597051"/>
    <w:rsid w:val="005B3DB3"/>
    <w:rsid w:val="005E725E"/>
    <w:rsid w:val="005F7717"/>
    <w:rsid w:val="005F7B75"/>
    <w:rsid w:val="006001EE"/>
    <w:rsid w:val="00605042"/>
    <w:rsid w:val="00611FC4"/>
    <w:rsid w:val="006176FB"/>
    <w:rsid w:val="00623B91"/>
    <w:rsid w:val="00640B26"/>
    <w:rsid w:val="00646C74"/>
    <w:rsid w:val="00647D1C"/>
    <w:rsid w:val="00652D0A"/>
    <w:rsid w:val="00662BB6"/>
    <w:rsid w:val="00681B3A"/>
    <w:rsid w:val="00684C21"/>
    <w:rsid w:val="0069577F"/>
    <w:rsid w:val="006B0EF1"/>
    <w:rsid w:val="006C5DD3"/>
    <w:rsid w:val="006D15D6"/>
    <w:rsid w:val="006D37AF"/>
    <w:rsid w:val="006D4F3E"/>
    <w:rsid w:val="006D51D0"/>
    <w:rsid w:val="006E564B"/>
    <w:rsid w:val="006E7191"/>
    <w:rsid w:val="00703577"/>
    <w:rsid w:val="0072632A"/>
    <w:rsid w:val="007327D5"/>
    <w:rsid w:val="00733979"/>
    <w:rsid w:val="00754AE5"/>
    <w:rsid w:val="007629C8"/>
    <w:rsid w:val="00782B1B"/>
    <w:rsid w:val="00783F7E"/>
    <w:rsid w:val="007A51B0"/>
    <w:rsid w:val="007B6BA5"/>
    <w:rsid w:val="007C3390"/>
    <w:rsid w:val="007C4F4B"/>
    <w:rsid w:val="007C784F"/>
    <w:rsid w:val="007E01B9"/>
    <w:rsid w:val="007E0B2D"/>
    <w:rsid w:val="007E4AE5"/>
    <w:rsid w:val="007F6611"/>
    <w:rsid w:val="008242D7"/>
    <w:rsid w:val="008257B1"/>
    <w:rsid w:val="00843767"/>
    <w:rsid w:val="008679D9"/>
    <w:rsid w:val="0087353A"/>
    <w:rsid w:val="00883C0C"/>
    <w:rsid w:val="008979B1"/>
    <w:rsid w:val="008A1DB2"/>
    <w:rsid w:val="008A6B25"/>
    <w:rsid w:val="008A6C4F"/>
    <w:rsid w:val="008B2335"/>
    <w:rsid w:val="008B32CF"/>
    <w:rsid w:val="008E0678"/>
    <w:rsid w:val="00910F40"/>
    <w:rsid w:val="0091168A"/>
    <w:rsid w:val="00912C08"/>
    <w:rsid w:val="009223CA"/>
    <w:rsid w:val="0093760B"/>
    <w:rsid w:val="00940F93"/>
    <w:rsid w:val="0095347F"/>
    <w:rsid w:val="00967D17"/>
    <w:rsid w:val="009760F3"/>
    <w:rsid w:val="00987CFD"/>
    <w:rsid w:val="009909F5"/>
    <w:rsid w:val="009A0E8D"/>
    <w:rsid w:val="009A4916"/>
    <w:rsid w:val="009A7F8D"/>
    <w:rsid w:val="009B26E7"/>
    <w:rsid w:val="009C0F71"/>
    <w:rsid w:val="009E7932"/>
    <w:rsid w:val="00A00A3F"/>
    <w:rsid w:val="00A00E5E"/>
    <w:rsid w:val="00A01489"/>
    <w:rsid w:val="00A16294"/>
    <w:rsid w:val="00A2046E"/>
    <w:rsid w:val="00A31B6F"/>
    <w:rsid w:val="00A338F1"/>
    <w:rsid w:val="00A404FE"/>
    <w:rsid w:val="00A50477"/>
    <w:rsid w:val="00A609B0"/>
    <w:rsid w:val="00A62A7F"/>
    <w:rsid w:val="00A64FD8"/>
    <w:rsid w:val="00A72F22"/>
    <w:rsid w:val="00A7360F"/>
    <w:rsid w:val="00A748A6"/>
    <w:rsid w:val="00A769F4"/>
    <w:rsid w:val="00A776B4"/>
    <w:rsid w:val="00A864AC"/>
    <w:rsid w:val="00A94361"/>
    <w:rsid w:val="00AA12A4"/>
    <w:rsid w:val="00AA293C"/>
    <w:rsid w:val="00AD2158"/>
    <w:rsid w:val="00B13E9B"/>
    <w:rsid w:val="00B26BB7"/>
    <w:rsid w:val="00B30179"/>
    <w:rsid w:val="00B30325"/>
    <w:rsid w:val="00B339A7"/>
    <w:rsid w:val="00B44F26"/>
    <w:rsid w:val="00B56E4A"/>
    <w:rsid w:val="00B56E9C"/>
    <w:rsid w:val="00B571B4"/>
    <w:rsid w:val="00B571D0"/>
    <w:rsid w:val="00B64B1F"/>
    <w:rsid w:val="00B64F9A"/>
    <w:rsid w:val="00B6553F"/>
    <w:rsid w:val="00B66E5E"/>
    <w:rsid w:val="00B77D05"/>
    <w:rsid w:val="00B81206"/>
    <w:rsid w:val="00B81E12"/>
    <w:rsid w:val="00B9067B"/>
    <w:rsid w:val="00BB7292"/>
    <w:rsid w:val="00BC2C23"/>
    <w:rsid w:val="00BC74E9"/>
    <w:rsid w:val="00BE0C8E"/>
    <w:rsid w:val="00BF5011"/>
    <w:rsid w:val="00BF68A8"/>
    <w:rsid w:val="00C11A03"/>
    <w:rsid w:val="00C31678"/>
    <w:rsid w:val="00C429C5"/>
    <w:rsid w:val="00C463DD"/>
    <w:rsid w:val="00C4724C"/>
    <w:rsid w:val="00C629A0"/>
    <w:rsid w:val="00C745C3"/>
    <w:rsid w:val="00C74BC9"/>
    <w:rsid w:val="00C9625A"/>
    <w:rsid w:val="00C97F3D"/>
    <w:rsid w:val="00CA586E"/>
    <w:rsid w:val="00CB0A33"/>
    <w:rsid w:val="00CE1498"/>
    <w:rsid w:val="00CE3667"/>
    <w:rsid w:val="00CE4A8F"/>
    <w:rsid w:val="00D00828"/>
    <w:rsid w:val="00D2031B"/>
    <w:rsid w:val="00D252A5"/>
    <w:rsid w:val="00D25FE2"/>
    <w:rsid w:val="00D35EEF"/>
    <w:rsid w:val="00D41E8D"/>
    <w:rsid w:val="00D43252"/>
    <w:rsid w:val="00D47EEA"/>
    <w:rsid w:val="00D743FE"/>
    <w:rsid w:val="00D87F85"/>
    <w:rsid w:val="00D95303"/>
    <w:rsid w:val="00D978C6"/>
    <w:rsid w:val="00DA3111"/>
    <w:rsid w:val="00DA3C1C"/>
    <w:rsid w:val="00DB0C79"/>
    <w:rsid w:val="00DC1590"/>
    <w:rsid w:val="00DC6A07"/>
    <w:rsid w:val="00E21077"/>
    <w:rsid w:val="00E27346"/>
    <w:rsid w:val="00E5531D"/>
    <w:rsid w:val="00E60A83"/>
    <w:rsid w:val="00E71BC8"/>
    <w:rsid w:val="00E71CF7"/>
    <w:rsid w:val="00E7260F"/>
    <w:rsid w:val="00E779FC"/>
    <w:rsid w:val="00E96630"/>
    <w:rsid w:val="00E9764F"/>
    <w:rsid w:val="00EA4C9B"/>
    <w:rsid w:val="00EB2581"/>
    <w:rsid w:val="00EC55F6"/>
    <w:rsid w:val="00ED7A2A"/>
    <w:rsid w:val="00EF1D7F"/>
    <w:rsid w:val="00F20C3D"/>
    <w:rsid w:val="00F43E9E"/>
    <w:rsid w:val="00F629E5"/>
    <w:rsid w:val="00F7110B"/>
    <w:rsid w:val="00F84ECE"/>
    <w:rsid w:val="00F85F37"/>
    <w:rsid w:val="00F9057C"/>
    <w:rsid w:val="00F906D7"/>
    <w:rsid w:val="00F93781"/>
    <w:rsid w:val="00FB43AA"/>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6DBF07"/>
  <w15:docId w15:val="{17D80AF3-5CCC-452F-9CA1-974C6FE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rsid w:val="002070BE"/>
    <w:pPr>
      <w:spacing w:after="0"/>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070B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070B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ParaNoG">
    <w:name w:val="_ParaNo._G"/>
    <w:basedOn w:val="SingleTxtG"/>
    <w:rsid w:val="002070BE"/>
    <w:pPr>
      <w:numPr>
        <w:numId w:val="14"/>
      </w:numPr>
    </w:pPr>
  </w:style>
  <w:style w:type="paragraph" w:customStyle="1" w:styleId="SingleTxtG">
    <w:name w:val="_ Single Txt_G"/>
    <w:basedOn w:val="Normal"/>
    <w:qFormat/>
    <w:rsid w:val="002070BE"/>
    <w:pPr>
      <w:suppressAutoHyphens w:val="0"/>
      <w:spacing w:after="120"/>
      <w:ind w:left="1134" w:right="1134"/>
      <w:jc w:val="both"/>
    </w:pPr>
    <w:rPr>
      <w:rFonts w:eastAsia="SimSun"/>
      <w:lang w:eastAsia="zh-CN"/>
    </w:r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070BE"/>
    <w:pPr>
      <w:keepNext/>
      <w:keepLines/>
      <w:suppressAutoHyphens w:val="0"/>
      <w:spacing w:before="240" w:after="240" w:line="420" w:lineRule="exact"/>
      <w:ind w:left="1134" w:right="1134"/>
    </w:pPr>
    <w:rPr>
      <w:rFonts w:eastAsia="SimSun"/>
      <w:b/>
      <w:sz w:val="40"/>
      <w:lang w:eastAsia="zh-CN"/>
    </w:rPr>
  </w:style>
  <w:style w:type="paragraph" w:customStyle="1" w:styleId="SLG">
    <w:name w:val="__S_L_G"/>
    <w:basedOn w:val="Normal"/>
    <w:next w:val="Normal"/>
    <w:rsid w:val="002070BE"/>
    <w:pPr>
      <w:keepNext/>
      <w:keepLines/>
      <w:suppressAutoHyphens w:val="0"/>
      <w:spacing w:before="240" w:after="240" w:line="580" w:lineRule="exact"/>
      <w:ind w:left="1134" w:right="1134"/>
    </w:pPr>
    <w:rPr>
      <w:rFonts w:eastAsia="SimSun"/>
      <w:b/>
      <w:sz w:val="56"/>
      <w:lang w:eastAsia="zh-CN"/>
    </w:rPr>
  </w:style>
  <w:style w:type="paragraph" w:customStyle="1" w:styleId="SSG">
    <w:name w:val="__S_S_G"/>
    <w:basedOn w:val="Normal"/>
    <w:next w:val="Normal"/>
    <w:rsid w:val="002070BE"/>
    <w:pPr>
      <w:keepNext/>
      <w:keepLines/>
      <w:suppressAutoHyphens w:val="0"/>
      <w:spacing w:before="240" w:after="240" w:line="300" w:lineRule="exact"/>
      <w:ind w:left="1134" w:right="1134"/>
    </w:pPr>
    <w:rPr>
      <w:rFonts w:eastAsia="SimSun"/>
      <w:b/>
      <w:sz w:val="28"/>
      <w:lang w:eastAsia="zh-CN"/>
    </w:rPr>
  </w:style>
  <w:style w:type="character" w:styleId="EndnoteReference">
    <w:name w:val="endnote reference"/>
    <w:aliases w:val="1_G"/>
    <w:rsid w:val="002070BE"/>
    <w:rPr>
      <w:rFonts w:ascii="Times New Roman" w:hAnsi="Times New Roman"/>
      <w:sz w:val="18"/>
      <w:vertAlign w:val="superscript"/>
    </w:rPr>
  </w:style>
  <w:style w:type="character" w:styleId="FootnoteReference">
    <w:name w:val="footnote reference"/>
    <w:aliases w:val="4_G"/>
    <w:rsid w:val="002070BE"/>
    <w:rPr>
      <w:rFonts w:ascii="Times New Roman" w:hAnsi="Times New Roman"/>
      <w:sz w:val="18"/>
      <w:vertAlign w:val="superscript"/>
    </w:rPr>
  </w:style>
  <w:style w:type="paragraph" w:styleId="FootnoteText">
    <w:name w:val="footnote text"/>
    <w:aliases w:val="5_G"/>
    <w:basedOn w:val="Normal"/>
    <w:link w:val="FootnoteTextChar"/>
    <w:rsid w:val="002070BE"/>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2070B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070BE"/>
    <w:pPr>
      <w:numPr>
        <w:numId w:val="12"/>
      </w:numPr>
      <w:suppressAutoHyphens w:val="0"/>
      <w:spacing w:after="120" w:line="240" w:lineRule="auto"/>
      <w:ind w:right="1134"/>
      <w:jc w:val="both"/>
    </w:pPr>
    <w:rPr>
      <w:rFonts w:eastAsia="SimSun"/>
      <w:lang w:eastAsia="zh-CN"/>
    </w:rPr>
  </w:style>
  <w:style w:type="paragraph" w:styleId="EndnoteText">
    <w:name w:val="endnote text"/>
    <w:aliases w:val="2_G"/>
    <w:basedOn w:val="FootnoteText"/>
    <w:link w:val="EndnoteTextChar"/>
    <w:rsid w:val="002070BE"/>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2070BE"/>
    <w:pPr>
      <w:numPr>
        <w:numId w:val="13"/>
      </w:numPr>
      <w:suppressAutoHyphens w:val="0"/>
      <w:spacing w:after="120" w:line="240" w:lineRule="auto"/>
      <w:ind w:right="1134"/>
      <w:jc w:val="both"/>
    </w:pPr>
    <w:rPr>
      <w:rFonts w:eastAsia="SimSun"/>
      <w:lang w:eastAsia="zh-CN"/>
    </w:rPr>
  </w:style>
  <w:style w:type="paragraph" w:customStyle="1" w:styleId="H1G">
    <w:name w:val="_ H_1_G"/>
    <w:basedOn w:val="Normal"/>
    <w:next w:val="Normal"/>
    <w:qFormat/>
    <w:rsid w:val="002070B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070B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070B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070BE"/>
    <w:pPr>
      <w:keepNext/>
      <w:keepLines/>
      <w:tabs>
        <w:tab w:val="right" w:pos="851"/>
      </w:tabs>
      <w:suppressAutoHyphens w:val="0"/>
      <w:spacing w:before="240" w:after="120" w:line="240" w:lineRule="exact"/>
      <w:ind w:left="1134" w:right="1134" w:hanging="1134"/>
    </w:pPr>
    <w:rPr>
      <w:rFonts w:eastAsia="SimSun"/>
      <w:lang w:eastAsia="zh-CN"/>
    </w:rPr>
  </w:style>
  <w:style w:type="numbering" w:styleId="111111">
    <w:name w:val="Outline List 2"/>
    <w:basedOn w:val="NoList"/>
    <w:semiHidden/>
    <w:rsid w:val="002070BE"/>
    <w:pPr>
      <w:numPr>
        <w:numId w:val="15"/>
      </w:numPr>
    </w:pPr>
  </w:style>
  <w:style w:type="numbering" w:styleId="1ai">
    <w:name w:val="Outline List 1"/>
    <w:basedOn w:val="NoList"/>
    <w:semiHidden/>
    <w:rsid w:val="002070BE"/>
    <w:pPr>
      <w:numPr>
        <w:numId w:val="16"/>
      </w:numPr>
    </w:pPr>
  </w:style>
  <w:style w:type="numbering" w:styleId="ArticleSection">
    <w:name w:val="Outline List 3"/>
    <w:basedOn w:val="NoList"/>
    <w:semiHidden/>
    <w:rsid w:val="008A6C4F"/>
    <w:pPr>
      <w:numPr>
        <w:numId w:val="11"/>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2070BE"/>
    <w:pPr>
      <w:suppressAutoHyphens w:val="0"/>
      <w:spacing w:line="240" w:lineRule="auto"/>
    </w:pPr>
    <w:rPr>
      <w:rFonts w:eastAsia="SimSun"/>
      <w:sz w:val="16"/>
      <w:lang w:eastAsia="zh-CN"/>
    </w:rPr>
  </w:style>
  <w:style w:type="paragraph" w:styleId="Header">
    <w:name w:val="header"/>
    <w:aliases w:val="6_G"/>
    <w:basedOn w:val="Normal"/>
    <w:link w:val="HeaderChar"/>
    <w:rsid w:val="002070BE"/>
    <w:pPr>
      <w:pBdr>
        <w:bottom w:val="single" w:sz="4" w:space="4" w:color="auto"/>
      </w:pBdr>
      <w:suppressAutoHyphens w:val="0"/>
      <w:spacing w:line="240" w:lineRule="auto"/>
    </w:pPr>
    <w:rPr>
      <w:rFonts w:eastAsia="SimSun"/>
      <w:b/>
      <w:sz w:val="18"/>
      <w:lang w:eastAsia="zh-CN"/>
    </w:rPr>
  </w:style>
  <w:style w:type="paragraph" w:styleId="BalloonText">
    <w:name w:val="Balloon Text"/>
    <w:basedOn w:val="Normal"/>
    <w:link w:val="BalloonTextChar"/>
    <w:uiPriority w:val="99"/>
    <w:unhideWhenUsed/>
    <w:rsid w:val="002070B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2070BE"/>
    <w:rPr>
      <w:rFonts w:ascii="Tahoma" w:eastAsia="SimSun" w:hAnsi="Tahoma" w:cs="Tahoma"/>
      <w:sz w:val="16"/>
      <w:szCs w:val="16"/>
    </w:rPr>
  </w:style>
  <w:style w:type="character" w:customStyle="1" w:styleId="FootnoteTextChar">
    <w:name w:val="Footnote Text Char"/>
    <w:aliases w:val="5_G Char"/>
    <w:basedOn w:val="DefaultParagraphFont"/>
    <w:link w:val="FootnoteText"/>
    <w:rsid w:val="002070BE"/>
    <w:rPr>
      <w:rFonts w:eastAsia="SimSun"/>
      <w:sz w:val="18"/>
    </w:rPr>
  </w:style>
  <w:style w:type="character" w:customStyle="1" w:styleId="EndnoteTextChar">
    <w:name w:val="Endnote Text Char"/>
    <w:aliases w:val="2_G Char"/>
    <w:basedOn w:val="DefaultParagraphFont"/>
    <w:link w:val="EndnoteText"/>
    <w:rsid w:val="002070BE"/>
    <w:rPr>
      <w:rFonts w:eastAsia="SimSun"/>
      <w:sz w:val="18"/>
    </w:rPr>
  </w:style>
  <w:style w:type="character" w:customStyle="1" w:styleId="FooterChar">
    <w:name w:val="Footer Char"/>
    <w:aliases w:val="3_G Char"/>
    <w:basedOn w:val="DefaultParagraphFont"/>
    <w:link w:val="Footer"/>
    <w:rsid w:val="002070BE"/>
    <w:rPr>
      <w:rFonts w:eastAsia="SimSun"/>
      <w:sz w:val="16"/>
    </w:rPr>
  </w:style>
  <w:style w:type="character" w:customStyle="1" w:styleId="HeaderChar">
    <w:name w:val="Header Char"/>
    <w:aliases w:val="6_G Char"/>
    <w:basedOn w:val="DefaultParagraphFont"/>
    <w:link w:val="Header"/>
    <w:rsid w:val="002070BE"/>
    <w:rPr>
      <w:rFonts w:eastAsia="SimSun"/>
      <w:b/>
      <w:sz w:val="18"/>
    </w:rPr>
  </w:style>
  <w:style w:type="character" w:customStyle="1" w:styleId="Heading1Char">
    <w:name w:val="Heading 1 Char"/>
    <w:aliases w:val="Table_G Char"/>
    <w:basedOn w:val="DefaultParagraphFont"/>
    <w:link w:val="Heading1"/>
    <w:rsid w:val="002070BE"/>
    <w:rPr>
      <w:rFonts w:eastAsia="SimSun"/>
    </w:rPr>
  </w:style>
  <w:style w:type="paragraph" w:customStyle="1" w:styleId="SingleTxt">
    <w:name w:val="__Single Txt"/>
    <w:basedOn w:val="Normal"/>
    <w:rsid w:val="003844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57381">
      <w:bodyDiv w:val="1"/>
      <w:marLeft w:val="0"/>
      <w:marRight w:val="0"/>
      <w:marTop w:val="0"/>
      <w:marBottom w:val="0"/>
      <w:divBdr>
        <w:top w:val="none" w:sz="0" w:space="0" w:color="auto"/>
        <w:left w:val="none" w:sz="0" w:space="0" w:color="auto"/>
        <w:bottom w:val="none" w:sz="0" w:space="0" w:color="auto"/>
        <w:right w:val="none" w:sz="0" w:space="0" w:color="auto"/>
      </w:divBdr>
    </w:div>
    <w:div w:id="1308820923">
      <w:bodyDiv w:val="1"/>
      <w:marLeft w:val="0"/>
      <w:marRight w:val="0"/>
      <w:marTop w:val="0"/>
      <w:marBottom w:val="0"/>
      <w:divBdr>
        <w:top w:val="none" w:sz="0" w:space="0" w:color="auto"/>
        <w:left w:val="none" w:sz="0" w:space="0" w:color="auto"/>
        <w:bottom w:val="none" w:sz="0" w:space="0" w:color="auto"/>
        <w:right w:val="none" w:sz="0" w:space="0" w:color="auto"/>
      </w:divBdr>
    </w:div>
    <w:div w:id="1399785528">
      <w:bodyDiv w:val="1"/>
      <w:marLeft w:val="0"/>
      <w:marRight w:val="0"/>
      <w:marTop w:val="0"/>
      <w:marBottom w:val="0"/>
      <w:divBdr>
        <w:top w:val="none" w:sz="0" w:space="0" w:color="auto"/>
        <w:left w:val="none" w:sz="0" w:space="0" w:color="auto"/>
        <w:bottom w:val="none" w:sz="0" w:space="0" w:color="auto"/>
        <w:right w:val="none" w:sz="0" w:space="0" w:color="auto"/>
      </w:divBdr>
    </w:div>
    <w:div w:id="15434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6FB2-411D-484E-8509-7E8EE3F7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Pages>
  <Words>968</Words>
  <Characters>5314</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HRI/MC/2019/1</vt:lpstr>
    </vt:vector>
  </TitlesOfParts>
  <Company>CSD</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HRI/MC/2020/1</dc:title>
  <dc:subject>2004699</dc:subject>
  <dc:creator>DM</dc:creator>
  <cp:keywords/>
  <dc:description/>
  <cp:lastModifiedBy>Maria Rosario Corazon Gatmaytan</cp:lastModifiedBy>
  <cp:revision>2</cp:revision>
  <cp:lastPrinted>2020-03-13T13:17:00Z</cp:lastPrinted>
  <dcterms:created xsi:type="dcterms:W3CDTF">2020-03-30T12:06:00Z</dcterms:created>
  <dcterms:modified xsi:type="dcterms:W3CDTF">2020-03-30T12:06:00Z</dcterms:modified>
</cp:coreProperties>
</file>