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C3792" w:rsidRPr="00DB58B5" w:rsidTr="004C7EF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9C3792" w:rsidRPr="00DB58B5" w:rsidRDefault="009C3792" w:rsidP="00BB54B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C3792" w:rsidRPr="00DB58B5" w:rsidRDefault="009C3792" w:rsidP="004C7EF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C3792" w:rsidRPr="00DB58B5" w:rsidRDefault="00BB54B5" w:rsidP="00BB54B5">
            <w:pPr>
              <w:jc w:val="right"/>
            </w:pPr>
            <w:r w:rsidRPr="00BB54B5">
              <w:rPr>
                <w:sz w:val="40"/>
              </w:rPr>
              <w:t>HRI</w:t>
            </w:r>
            <w:r>
              <w:t>/MC/2015/5</w:t>
            </w:r>
          </w:p>
        </w:tc>
      </w:tr>
      <w:tr w:rsidR="009C3792" w:rsidRPr="00DB58B5" w:rsidTr="004C7EF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C3792" w:rsidRPr="00DB58B5" w:rsidRDefault="009C3792" w:rsidP="004C7EF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6581949" wp14:editId="2CCEF1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C3792" w:rsidRPr="00740562" w:rsidRDefault="009C3792" w:rsidP="004C7EF1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Instruments internationaux</w:t>
            </w:r>
            <w:r>
              <w:rPr>
                <w:b/>
                <w:sz w:val="34"/>
                <w:szCs w:val="34"/>
              </w:rPr>
              <w:br/>
              <w:t>relatifs aux droits de l</w:t>
            </w:r>
            <w:r w:rsidR="00D11830">
              <w:rPr>
                <w:b/>
                <w:sz w:val="34"/>
                <w:szCs w:val="34"/>
              </w:rPr>
              <w:t>’</w:t>
            </w:r>
            <w:r>
              <w:rPr>
                <w:b/>
                <w:sz w:val="34"/>
                <w:szCs w:val="34"/>
              </w:rPr>
              <w:t>homme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C3792" w:rsidRDefault="00BB54B5" w:rsidP="004C7EF1">
            <w:pPr>
              <w:spacing w:before="240"/>
            </w:pPr>
            <w:r>
              <w:t>Distr. générale</w:t>
            </w:r>
          </w:p>
          <w:p w:rsidR="00BB54B5" w:rsidRDefault="001E39CC" w:rsidP="00BB54B5">
            <w:pPr>
              <w:spacing w:line="240" w:lineRule="exact"/>
            </w:pPr>
            <w:r>
              <w:t>13 </w:t>
            </w:r>
            <w:r w:rsidR="00BB54B5">
              <w:t>avril 2015</w:t>
            </w:r>
          </w:p>
          <w:p w:rsidR="00BB54B5" w:rsidRDefault="00BB54B5" w:rsidP="00BB54B5">
            <w:pPr>
              <w:spacing w:line="240" w:lineRule="exact"/>
            </w:pPr>
            <w:r>
              <w:t>Français</w:t>
            </w:r>
          </w:p>
          <w:p w:rsidR="00BB54B5" w:rsidRPr="00DB58B5" w:rsidRDefault="00BB54B5" w:rsidP="00BB54B5">
            <w:pPr>
              <w:spacing w:line="240" w:lineRule="exact"/>
            </w:pPr>
            <w:r>
              <w:t>Original: anglais</w:t>
            </w:r>
            <w:r>
              <w:br/>
              <w:t>Anglais, espagnol et français seulement</w:t>
            </w:r>
          </w:p>
        </w:tc>
      </w:tr>
    </w:tbl>
    <w:p w:rsidR="00891CC7" w:rsidRPr="00D30865" w:rsidRDefault="00891CC7" w:rsidP="00891CC7">
      <w:pPr>
        <w:spacing w:before="120"/>
        <w:rPr>
          <w:lang w:val="fr-FR"/>
        </w:rPr>
      </w:pPr>
      <w:r w:rsidRPr="00C41C22">
        <w:rPr>
          <w:b/>
          <w:bCs/>
          <w:szCs w:val="24"/>
          <w:lang w:val="fr-FR"/>
        </w:rPr>
        <w:t>Vingt-</w:t>
      </w:r>
      <w:r w:rsidRPr="00D30865">
        <w:rPr>
          <w:b/>
          <w:bCs/>
          <w:szCs w:val="24"/>
          <w:lang w:val="fr-FR"/>
        </w:rPr>
        <w:t>septième</w:t>
      </w:r>
      <w:r w:rsidRPr="00C41C22">
        <w:rPr>
          <w:b/>
          <w:bCs/>
          <w:szCs w:val="24"/>
          <w:lang w:val="fr-FR"/>
        </w:rPr>
        <w:t xml:space="preserve"> réunion des présidents des organes</w:t>
      </w:r>
      <w:r w:rsidRPr="00C41C22">
        <w:rPr>
          <w:b/>
          <w:bCs/>
          <w:szCs w:val="24"/>
          <w:lang w:val="fr-FR"/>
        </w:rPr>
        <w:br/>
        <w:t>créés en vertu d</w:t>
      </w:r>
      <w:r w:rsidR="00D11830">
        <w:rPr>
          <w:b/>
          <w:bCs/>
          <w:szCs w:val="24"/>
          <w:lang w:val="fr-FR"/>
        </w:rPr>
        <w:t>’</w:t>
      </w:r>
      <w:r w:rsidRPr="00C41C22">
        <w:rPr>
          <w:b/>
          <w:bCs/>
          <w:szCs w:val="24"/>
          <w:lang w:val="fr-FR"/>
        </w:rPr>
        <w:t>instruments relatifs</w:t>
      </w:r>
      <w:r w:rsidRPr="00C41C22">
        <w:rPr>
          <w:b/>
          <w:bCs/>
          <w:szCs w:val="24"/>
          <w:lang w:val="fr-FR"/>
        </w:rPr>
        <w:br/>
        <w:t>aux droits de l</w:t>
      </w:r>
      <w:r w:rsidR="00D11830">
        <w:rPr>
          <w:b/>
          <w:bCs/>
          <w:szCs w:val="24"/>
          <w:lang w:val="fr-FR"/>
        </w:rPr>
        <w:t>’</w:t>
      </w:r>
      <w:r w:rsidRPr="00C41C22">
        <w:rPr>
          <w:b/>
          <w:bCs/>
          <w:szCs w:val="24"/>
          <w:lang w:val="fr-FR"/>
        </w:rPr>
        <w:t>homme</w:t>
      </w:r>
      <w:r w:rsidRPr="00C41C22">
        <w:rPr>
          <w:bCs/>
          <w:szCs w:val="24"/>
          <w:lang w:val="fr-FR"/>
        </w:rPr>
        <w:t xml:space="preserve"> </w:t>
      </w:r>
      <w:r w:rsidR="00222B86">
        <w:rPr>
          <w:lang w:val="fr-FR"/>
        </w:rPr>
        <w:br/>
        <w:t>San </w:t>
      </w:r>
      <w:r>
        <w:rPr>
          <w:lang w:val="fr-FR"/>
        </w:rPr>
        <w:t>José, 22-</w:t>
      </w:r>
      <w:r w:rsidR="00222B86">
        <w:rPr>
          <w:lang w:val="fr-FR"/>
        </w:rPr>
        <w:t>26 </w:t>
      </w:r>
      <w:r w:rsidRPr="00D30865">
        <w:rPr>
          <w:lang w:val="fr-FR"/>
        </w:rPr>
        <w:t xml:space="preserve">juin 2015 </w:t>
      </w:r>
    </w:p>
    <w:p w:rsidR="00891CC7" w:rsidRPr="00D30865" w:rsidRDefault="00891CC7" w:rsidP="00891CC7">
      <w:pPr>
        <w:rPr>
          <w:bCs/>
          <w:lang w:val="fr-FR"/>
        </w:rPr>
      </w:pPr>
      <w:r>
        <w:rPr>
          <w:bCs/>
          <w:lang w:val="fr-FR"/>
        </w:rPr>
        <w:t>Point 4 </w:t>
      </w:r>
      <w:r w:rsidRPr="00D30865">
        <w:rPr>
          <w:bCs/>
          <w:lang w:val="fr-FR"/>
        </w:rPr>
        <w:t>d) de l</w:t>
      </w:r>
      <w:r w:rsidR="00D11830">
        <w:rPr>
          <w:bCs/>
          <w:lang w:val="fr-FR"/>
        </w:rPr>
        <w:t>’</w:t>
      </w:r>
      <w:r w:rsidRPr="00D30865">
        <w:rPr>
          <w:bCs/>
          <w:lang w:val="fr-FR"/>
        </w:rPr>
        <w:t>ordre du jour provisoire</w:t>
      </w:r>
    </w:p>
    <w:p w:rsidR="00891CC7" w:rsidRPr="00D30865" w:rsidRDefault="00891CC7" w:rsidP="00E446A4">
      <w:pPr>
        <w:rPr>
          <w:szCs w:val="24"/>
          <w:lang w:val="fr-FR"/>
        </w:rPr>
      </w:pPr>
      <w:r w:rsidRPr="00C41C22">
        <w:rPr>
          <w:b/>
          <w:lang w:val="fr-FR"/>
        </w:rPr>
        <w:t>Suite donnée à la résolution</w:t>
      </w:r>
      <w:r w:rsidR="00222B86">
        <w:rPr>
          <w:b/>
          <w:lang w:val="fr-FR"/>
        </w:rPr>
        <w:t> </w:t>
      </w:r>
      <w:r>
        <w:rPr>
          <w:b/>
          <w:lang w:val="fr-FR"/>
        </w:rPr>
        <w:t>68/268 de l</w:t>
      </w:r>
      <w:r w:rsidR="00D11830">
        <w:rPr>
          <w:b/>
          <w:lang w:val="fr-FR"/>
        </w:rPr>
        <w:t>’</w:t>
      </w:r>
      <w:r>
        <w:rPr>
          <w:b/>
          <w:lang w:val="fr-FR"/>
        </w:rPr>
        <w:t>Assemblée générale sur</w:t>
      </w:r>
      <w:r>
        <w:rPr>
          <w:b/>
          <w:lang w:val="fr-FR"/>
        </w:rPr>
        <w:br/>
      </w:r>
      <w:r w:rsidRPr="00C41C22">
        <w:rPr>
          <w:b/>
          <w:lang w:val="fr-FR"/>
        </w:rPr>
        <w:t>le renforcement et l</w:t>
      </w:r>
      <w:r w:rsidR="00D11830">
        <w:rPr>
          <w:b/>
          <w:lang w:val="fr-FR"/>
        </w:rPr>
        <w:t>’</w:t>
      </w:r>
      <w:r>
        <w:rPr>
          <w:b/>
          <w:lang w:val="fr-FR"/>
        </w:rPr>
        <w:t xml:space="preserve">amélioration du fonctionnement </w:t>
      </w:r>
      <w:r w:rsidRPr="00C41C22">
        <w:rPr>
          <w:b/>
          <w:lang w:val="fr-FR"/>
        </w:rPr>
        <w:t>de</w:t>
      </w:r>
      <w:r w:rsidR="001539B2">
        <w:rPr>
          <w:b/>
          <w:lang w:val="fr-FR"/>
        </w:rPr>
        <w:t xml:space="preserve"> </w:t>
      </w:r>
      <w:r w:rsidRPr="00C41C22">
        <w:rPr>
          <w:b/>
          <w:lang w:val="fr-FR"/>
        </w:rPr>
        <w:t>l</w:t>
      </w:r>
      <w:r w:rsidR="00D11830">
        <w:rPr>
          <w:b/>
          <w:lang w:val="fr-FR"/>
        </w:rPr>
        <w:t>’</w:t>
      </w:r>
      <w:r w:rsidRPr="00C41C22">
        <w:rPr>
          <w:b/>
          <w:lang w:val="fr-FR"/>
        </w:rPr>
        <w:t>ensemble</w:t>
      </w:r>
      <w:r w:rsidR="001539B2">
        <w:rPr>
          <w:b/>
          <w:lang w:val="fr-FR"/>
        </w:rPr>
        <w:br/>
      </w:r>
      <w:r w:rsidRPr="00C41C22">
        <w:rPr>
          <w:b/>
          <w:lang w:val="fr-FR"/>
        </w:rPr>
        <w:t>des organes conve</w:t>
      </w:r>
      <w:r>
        <w:rPr>
          <w:b/>
          <w:lang w:val="fr-FR"/>
        </w:rPr>
        <w:t>ntionnels des droits de l</w:t>
      </w:r>
      <w:r w:rsidR="00D11830">
        <w:rPr>
          <w:b/>
          <w:lang w:val="fr-FR"/>
        </w:rPr>
        <w:t>’</w:t>
      </w:r>
      <w:r>
        <w:rPr>
          <w:b/>
          <w:lang w:val="fr-FR"/>
        </w:rPr>
        <w:t>homme</w:t>
      </w:r>
      <w:r w:rsidR="001539B2">
        <w:rPr>
          <w:b/>
          <w:lang w:val="fr-FR"/>
        </w:rPr>
        <w:t xml:space="preserve"> </w:t>
      </w:r>
      <w:r>
        <w:rPr>
          <w:b/>
          <w:lang w:val="fr-FR"/>
        </w:rPr>
        <w:t>et aux</w:t>
      </w:r>
      <w:r w:rsidRPr="00C41C22">
        <w:rPr>
          <w:lang w:val="fr-FR"/>
        </w:rPr>
        <w:t xml:space="preserve"> </w:t>
      </w:r>
      <w:r w:rsidRPr="00D30865">
        <w:rPr>
          <w:b/>
          <w:lang w:val="fr-FR"/>
        </w:rPr>
        <w:t>conclusions</w:t>
      </w:r>
      <w:r w:rsidR="001539B2">
        <w:rPr>
          <w:b/>
          <w:lang w:val="fr-FR"/>
        </w:rPr>
        <w:br/>
      </w:r>
      <w:r w:rsidRPr="00D30865">
        <w:rPr>
          <w:b/>
          <w:lang w:val="fr-FR"/>
        </w:rPr>
        <w:t xml:space="preserve">et </w:t>
      </w:r>
      <w:r>
        <w:rPr>
          <w:b/>
          <w:lang w:val="fr-FR"/>
        </w:rPr>
        <w:t xml:space="preserve">recommandations issues de la </w:t>
      </w:r>
      <w:r w:rsidRPr="00D30865">
        <w:rPr>
          <w:b/>
          <w:lang w:val="fr-FR"/>
        </w:rPr>
        <w:t>vingt-</w:t>
      </w:r>
      <w:r w:rsidRPr="00C41C22">
        <w:rPr>
          <w:b/>
          <w:lang w:val="fr-FR"/>
        </w:rPr>
        <w:t>sixième</w:t>
      </w:r>
      <w:r w:rsidR="001539B2">
        <w:rPr>
          <w:b/>
          <w:lang w:val="fr-FR"/>
        </w:rPr>
        <w:t xml:space="preserve"> </w:t>
      </w:r>
      <w:r w:rsidRPr="00C41C22">
        <w:rPr>
          <w:b/>
          <w:lang w:val="fr-FR"/>
        </w:rPr>
        <w:t>réunion des présidents</w:t>
      </w:r>
      <w:r>
        <w:rPr>
          <w:b/>
          <w:lang w:val="fr-FR"/>
        </w:rPr>
        <w:t>:</w:t>
      </w:r>
      <w:r w:rsidR="001539B2">
        <w:rPr>
          <w:b/>
          <w:lang w:val="fr-FR"/>
        </w:rPr>
        <w:br/>
      </w:r>
      <w:r>
        <w:rPr>
          <w:b/>
          <w:lang w:val="fr-FR"/>
        </w:rPr>
        <w:t>respect par les États parties de</w:t>
      </w:r>
      <w:r w:rsidR="001539B2">
        <w:rPr>
          <w:b/>
          <w:lang w:val="fr-FR"/>
        </w:rPr>
        <w:t xml:space="preserve"> </w:t>
      </w:r>
      <w:r w:rsidRPr="00D30865">
        <w:rPr>
          <w:b/>
          <w:lang w:val="fr-FR"/>
        </w:rPr>
        <w:t>leurs obligations en matière</w:t>
      </w:r>
      <w:r w:rsidR="001539B2">
        <w:rPr>
          <w:b/>
          <w:lang w:val="fr-FR"/>
        </w:rPr>
        <w:br/>
      </w:r>
      <w:bookmarkStart w:id="0" w:name="_GoBack"/>
      <w:bookmarkEnd w:id="0"/>
      <w:r w:rsidRPr="00D30865">
        <w:rPr>
          <w:b/>
          <w:lang w:val="fr-FR"/>
        </w:rPr>
        <w:t>d</w:t>
      </w:r>
      <w:r w:rsidR="00D11830">
        <w:rPr>
          <w:b/>
          <w:lang w:val="fr-FR"/>
        </w:rPr>
        <w:t>’</w:t>
      </w:r>
      <w:r w:rsidRPr="00D30865">
        <w:rPr>
          <w:b/>
          <w:lang w:val="fr-FR"/>
        </w:rPr>
        <w:t>établissement de rapports</w:t>
      </w:r>
    </w:p>
    <w:p w:rsidR="00891CC7" w:rsidRPr="00D30865" w:rsidRDefault="00891CC7" w:rsidP="00891CC7">
      <w:pPr>
        <w:pStyle w:val="HChG"/>
        <w:rPr>
          <w:lang w:val="fr-FR"/>
        </w:rPr>
      </w:pPr>
      <w:r w:rsidRPr="00D30865">
        <w:rPr>
          <w:lang w:val="fr-FR"/>
        </w:rPr>
        <w:tab/>
      </w:r>
      <w:r w:rsidRPr="00D30865">
        <w:rPr>
          <w:lang w:val="fr-FR"/>
        </w:rPr>
        <w:tab/>
      </w:r>
      <w:r>
        <w:rPr>
          <w:lang w:val="fr-FR"/>
        </w:rPr>
        <w:t>Présentation en temps voulu</w:t>
      </w:r>
      <w:r w:rsidRPr="00D30865">
        <w:rPr>
          <w:lang w:val="fr-FR"/>
        </w:rPr>
        <w:t xml:space="preserve">, </w:t>
      </w:r>
      <w:r>
        <w:rPr>
          <w:lang w:val="fr-FR"/>
        </w:rPr>
        <w:t>présentation tardive</w:t>
      </w:r>
      <w:r>
        <w:rPr>
          <w:lang w:val="fr-FR"/>
        </w:rPr>
        <w:br/>
        <w:t>et non-présentation des rapports par les États parties aux organes conventionnels des droits de l</w:t>
      </w:r>
      <w:r w:rsidR="00D11830">
        <w:rPr>
          <w:lang w:val="fr-FR"/>
        </w:rPr>
        <w:t>’</w:t>
      </w:r>
      <w:r>
        <w:rPr>
          <w:lang w:val="fr-FR"/>
        </w:rPr>
        <w:t>homme</w:t>
      </w:r>
    </w:p>
    <w:p w:rsidR="00BB54B5" w:rsidRDefault="00891CC7" w:rsidP="00891CC7">
      <w:pPr>
        <w:pStyle w:val="H1G"/>
      </w:pPr>
      <w:r w:rsidRPr="00D30865">
        <w:rPr>
          <w:sz w:val="20"/>
          <w:lang w:val="fr-FR"/>
        </w:rPr>
        <w:tab/>
      </w:r>
      <w:r w:rsidRPr="00D30865">
        <w:rPr>
          <w:sz w:val="20"/>
          <w:lang w:val="fr-FR"/>
        </w:rPr>
        <w:tab/>
      </w:r>
      <w:r w:rsidRPr="00D30865">
        <w:rPr>
          <w:lang w:val="fr-FR"/>
        </w:rPr>
        <w:t>Note du secrétariat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914CBB" w:rsidTr="004C7EF1">
        <w:trPr>
          <w:jc w:val="center"/>
        </w:trPr>
        <w:tc>
          <w:tcPr>
            <w:tcW w:w="9637" w:type="dxa"/>
            <w:shd w:val="clear" w:color="auto" w:fill="auto"/>
          </w:tcPr>
          <w:p w:rsidR="00914CBB" w:rsidRPr="00D07395" w:rsidRDefault="00914CBB" w:rsidP="004C7EF1">
            <w:pPr>
              <w:spacing w:after="120"/>
              <w:ind w:left="255"/>
              <w:rPr>
                <w:sz w:val="24"/>
              </w:rPr>
            </w:pPr>
            <w:r w:rsidRPr="00D07395">
              <w:rPr>
                <w:sz w:val="24"/>
              </w:rPr>
              <w:t>Résumé</w:t>
            </w:r>
          </w:p>
        </w:tc>
      </w:tr>
      <w:tr w:rsidR="00914CBB" w:rsidTr="004C7EF1">
        <w:trPr>
          <w:jc w:val="center"/>
        </w:trPr>
        <w:tc>
          <w:tcPr>
            <w:tcW w:w="9637" w:type="dxa"/>
            <w:shd w:val="clear" w:color="auto" w:fill="auto"/>
          </w:tcPr>
          <w:p w:rsidR="00914CBB" w:rsidRPr="00F829D2" w:rsidRDefault="00DC6E6C" w:rsidP="00914CBB">
            <w:pPr>
              <w:pStyle w:val="SingleTxtG"/>
              <w:ind w:firstLine="567"/>
            </w:pPr>
            <w:r>
              <w:rPr>
                <w:lang w:val="fr-FR"/>
              </w:rPr>
              <w:t>À leur vingt-sixième </w:t>
            </w:r>
            <w:r w:rsidR="00914CBB" w:rsidRPr="00F829D2">
              <w:rPr>
                <w:lang w:val="fr-FR"/>
              </w:rPr>
              <w:t>réunion, e</w:t>
            </w:r>
            <w:r w:rsidR="00222B86">
              <w:rPr>
                <w:lang w:val="fr-FR"/>
              </w:rPr>
              <w:t>n </w:t>
            </w:r>
            <w:r w:rsidR="00914CBB" w:rsidRPr="00F829D2">
              <w:rPr>
                <w:lang w:val="fr-FR"/>
              </w:rPr>
              <w:t>2014, les présidents des organes créés en vertu d</w:t>
            </w:r>
            <w:r w:rsidR="00D11830" w:rsidRPr="00F829D2">
              <w:rPr>
                <w:lang w:val="fr-FR"/>
              </w:rPr>
              <w:t>’</w:t>
            </w:r>
            <w:r w:rsidR="00914CBB" w:rsidRPr="00F829D2">
              <w:rPr>
                <w:lang w:val="fr-FR"/>
              </w:rPr>
              <w:t>instruments relatifs aux droits de l</w:t>
            </w:r>
            <w:r w:rsidR="00D11830" w:rsidRPr="00F829D2">
              <w:rPr>
                <w:lang w:val="fr-FR"/>
              </w:rPr>
              <w:t>’</w:t>
            </w:r>
            <w:r w:rsidR="00914CBB" w:rsidRPr="00F829D2">
              <w:rPr>
                <w:lang w:val="fr-FR"/>
              </w:rPr>
              <w:t xml:space="preserve">homme ont réaffirmé la décision prise à leur vingt-cinquième réunion </w:t>
            </w:r>
            <w:r w:rsidR="00914CBB" w:rsidRPr="00F829D2">
              <w:t>d</w:t>
            </w:r>
            <w:r w:rsidR="00D11830" w:rsidRPr="00F829D2">
              <w:t>’</w:t>
            </w:r>
            <w:r w:rsidR="00914CBB" w:rsidRPr="00F829D2">
              <w:t>inscrire un point permanent sur la présentation tardive et la non-présentation de rapports à l</w:t>
            </w:r>
            <w:r w:rsidR="00D11830" w:rsidRPr="00F829D2">
              <w:t>’</w:t>
            </w:r>
            <w:r w:rsidR="00914CBB" w:rsidRPr="00F829D2">
              <w:t>ordre du jour de leur réunion annuelle</w:t>
            </w:r>
            <w:r w:rsidR="00914CBB" w:rsidRPr="00F829D2">
              <w:rPr>
                <w:lang w:val="fr-FR"/>
              </w:rPr>
              <w:t>. La présente note donne un aperçu du respect par les États parties de leurs obligations en matière d</w:t>
            </w:r>
            <w:r w:rsidR="00D11830" w:rsidRPr="00F829D2">
              <w:rPr>
                <w:lang w:val="fr-FR"/>
              </w:rPr>
              <w:t>’</w:t>
            </w:r>
            <w:r w:rsidR="00914CBB" w:rsidRPr="00F829D2">
              <w:rPr>
                <w:lang w:val="fr-FR"/>
              </w:rPr>
              <w:t>établissement de rapports au 28 février 2015. La présentation des rapports étant un processus dynamique, les données qui figurent dans cette note sont régulièrement mises à jour sur le site Web du Haut-Commissariat des Nations Unies aux droits de l</w:t>
            </w:r>
            <w:r w:rsidR="00D11830" w:rsidRPr="00F829D2">
              <w:rPr>
                <w:lang w:val="fr-FR"/>
              </w:rPr>
              <w:t>’</w:t>
            </w:r>
            <w:r w:rsidR="00914CBB" w:rsidRPr="00F829D2">
              <w:rPr>
                <w:lang w:val="fr-FR"/>
              </w:rPr>
              <w:t>homme (HCDH) (</w:t>
            </w:r>
            <w:hyperlink r:id="rId9" w:history="1">
              <w:r w:rsidR="00914CBB" w:rsidRPr="00F829D2">
                <w:rPr>
                  <w:rStyle w:val="Lienhypertexte"/>
                  <w:lang w:val="fr-FR"/>
                </w:rPr>
                <w:t>www.ohchr.org</w:t>
              </w:r>
            </w:hyperlink>
            <w:r w:rsidR="00914CBB" w:rsidRPr="00F829D2">
              <w:rPr>
                <w:lang w:val="fr-FR"/>
              </w:rPr>
              <w:t>).</w:t>
            </w:r>
          </w:p>
        </w:tc>
      </w:tr>
      <w:tr w:rsidR="00914CBB" w:rsidTr="004C7EF1">
        <w:trPr>
          <w:jc w:val="center"/>
        </w:trPr>
        <w:tc>
          <w:tcPr>
            <w:tcW w:w="9637" w:type="dxa"/>
            <w:shd w:val="clear" w:color="auto" w:fill="auto"/>
          </w:tcPr>
          <w:p w:rsidR="00914CBB" w:rsidRDefault="00914CBB" w:rsidP="004C7EF1"/>
        </w:tc>
      </w:tr>
    </w:tbl>
    <w:p w:rsidR="004C7EF1" w:rsidRDefault="004C7EF1" w:rsidP="00914CBB"/>
    <w:p w:rsidR="004C7EF1" w:rsidRPr="00D30865" w:rsidRDefault="004C7EF1" w:rsidP="004C7EF1">
      <w:pPr>
        <w:pStyle w:val="HChG"/>
        <w:rPr>
          <w:lang w:val="fr-FR"/>
        </w:rPr>
      </w:pPr>
      <w:r>
        <w:br w:type="page"/>
      </w:r>
      <w:r>
        <w:lastRenderedPageBreak/>
        <w:tab/>
      </w:r>
      <w:r w:rsidRPr="00D30865">
        <w:rPr>
          <w:lang w:val="fr-FR"/>
        </w:rPr>
        <w:t>I.</w:t>
      </w:r>
      <w:r w:rsidRPr="00D30865">
        <w:rPr>
          <w:lang w:val="fr-FR"/>
        </w:rPr>
        <w:tab/>
      </w:r>
      <w:r>
        <w:rPr>
          <w:lang w:val="fr-FR"/>
        </w:rPr>
        <w:t>Informations générales</w:t>
      </w:r>
    </w:p>
    <w:p w:rsidR="004C7EF1" w:rsidRPr="00D30865" w:rsidRDefault="004C7EF1" w:rsidP="00293B7B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Les États parties sont tenus de présenter des rapports périodiques au titre des neuf principaux instruments internationaux relatifs aux droits de l</w:t>
      </w:r>
      <w:r w:rsidR="00D11830">
        <w:rPr>
          <w:rFonts w:eastAsia="SimSun"/>
          <w:lang w:val="fr-FR" w:eastAsia="zh-CN"/>
        </w:rPr>
        <w:t>’</w:t>
      </w:r>
      <w:r>
        <w:rPr>
          <w:rFonts w:eastAsia="SimSun"/>
          <w:lang w:val="fr-FR" w:eastAsia="zh-CN"/>
        </w:rPr>
        <w:t>homme et de deux protocoles facultatifs</w:t>
      </w:r>
      <w:r w:rsidRPr="00D30865">
        <w:rPr>
          <w:rFonts w:eastAsia="SimSun"/>
          <w:lang w:val="fr-FR" w:eastAsia="zh-CN"/>
        </w:rPr>
        <w:t xml:space="preserve">: </w:t>
      </w:r>
      <w:r>
        <w:rPr>
          <w:rFonts w:eastAsia="SimSun"/>
          <w:lang w:val="fr-FR" w:eastAsia="zh-CN"/>
        </w:rPr>
        <w:t xml:space="preserve">le </w:t>
      </w:r>
      <w:r w:rsidRPr="00994DA7">
        <w:rPr>
          <w:rFonts w:eastAsia="SimSun"/>
          <w:lang w:val="fr-FR" w:eastAsia="zh-CN"/>
        </w:rPr>
        <w:t>Pacte international relatif aux droits civils et politiques</w:t>
      </w:r>
      <w:r w:rsidR="00222B86">
        <w:rPr>
          <w:rFonts w:eastAsia="SimSun"/>
          <w:lang w:val="fr-FR" w:eastAsia="zh-CN"/>
        </w:rPr>
        <w:t> </w:t>
      </w:r>
      <w:r w:rsidRPr="00D30865">
        <w:rPr>
          <w:rFonts w:eastAsia="SimSun"/>
          <w:lang w:val="fr-FR" w:eastAsia="zh-CN"/>
        </w:rPr>
        <w:t xml:space="preserve">(1966); </w:t>
      </w:r>
      <w:r>
        <w:rPr>
          <w:rFonts w:eastAsia="SimSun"/>
          <w:lang w:val="fr-FR" w:eastAsia="zh-CN"/>
        </w:rPr>
        <w:t>le Pacte international relatif aux droits économiques, sociaux et culturels</w:t>
      </w:r>
      <w:r w:rsidR="00222B86">
        <w:rPr>
          <w:rFonts w:eastAsia="SimSun"/>
          <w:lang w:val="fr-FR" w:eastAsia="zh-CN"/>
        </w:rPr>
        <w:t> </w:t>
      </w:r>
      <w:r w:rsidRPr="00D30865">
        <w:rPr>
          <w:rFonts w:eastAsia="SimSun"/>
          <w:lang w:val="fr-FR" w:eastAsia="zh-CN"/>
        </w:rPr>
        <w:t xml:space="preserve">(1966); </w:t>
      </w:r>
      <w:r>
        <w:rPr>
          <w:rFonts w:eastAsia="SimSun"/>
          <w:lang w:val="fr-FR" w:eastAsia="zh-CN"/>
        </w:rPr>
        <w:t>la Convention internationale sur l</w:t>
      </w:r>
      <w:r w:rsidR="00D11830">
        <w:rPr>
          <w:rFonts w:eastAsia="SimSun"/>
          <w:lang w:val="fr-FR" w:eastAsia="zh-CN"/>
        </w:rPr>
        <w:t>’</w:t>
      </w:r>
      <w:r>
        <w:rPr>
          <w:rFonts w:eastAsia="SimSun"/>
          <w:lang w:val="fr-FR" w:eastAsia="zh-CN"/>
        </w:rPr>
        <w:t>élimination de toutes les formes de discrimination raciale</w:t>
      </w:r>
      <w:r w:rsidR="00222B86">
        <w:rPr>
          <w:rFonts w:eastAsia="SimSun"/>
          <w:lang w:val="fr-FR" w:eastAsia="zh-CN"/>
        </w:rPr>
        <w:t> </w:t>
      </w:r>
      <w:r w:rsidRPr="00D30865">
        <w:rPr>
          <w:rFonts w:eastAsia="SimSun"/>
          <w:lang w:val="fr-FR" w:eastAsia="zh-CN"/>
        </w:rPr>
        <w:t xml:space="preserve">(1965); </w:t>
      </w:r>
      <w:r>
        <w:rPr>
          <w:rFonts w:eastAsia="SimSun"/>
          <w:lang w:val="fr-FR" w:eastAsia="zh-CN"/>
        </w:rPr>
        <w:t>la</w:t>
      </w:r>
      <w:r w:rsidR="00293B7B">
        <w:rPr>
          <w:rFonts w:eastAsia="SimSun"/>
          <w:lang w:val="fr-FR" w:eastAsia="zh-CN"/>
        </w:rPr>
        <w:t> </w:t>
      </w:r>
      <w:r>
        <w:rPr>
          <w:rFonts w:eastAsia="SimSun"/>
          <w:lang w:val="fr-FR" w:eastAsia="zh-CN"/>
        </w:rPr>
        <w:t>Convention sur l</w:t>
      </w:r>
      <w:r w:rsidR="00D11830">
        <w:rPr>
          <w:rFonts w:eastAsia="SimSun"/>
          <w:lang w:val="fr-FR" w:eastAsia="zh-CN"/>
        </w:rPr>
        <w:t>’</w:t>
      </w:r>
      <w:r>
        <w:rPr>
          <w:rFonts w:eastAsia="SimSun"/>
          <w:lang w:val="fr-FR" w:eastAsia="zh-CN"/>
        </w:rPr>
        <w:t>élimination de toutes les formes de discrimination à l</w:t>
      </w:r>
      <w:r w:rsidR="00D11830">
        <w:rPr>
          <w:rFonts w:eastAsia="SimSun"/>
          <w:lang w:val="fr-FR" w:eastAsia="zh-CN"/>
        </w:rPr>
        <w:t>’</w:t>
      </w:r>
      <w:r>
        <w:rPr>
          <w:rFonts w:eastAsia="SimSun"/>
          <w:lang w:val="fr-FR" w:eastAsia="zh-CN"/>
        </w:rPr>
        <w:t>égard des femmes</w:t>
      </w:r>
      <w:r w:rsidRPr="00D30865">
        <w:rPr>
          <w:rFonts w:eastAsia="SimSun"/>
          <w:lang w:val="fr-FR" w:eastAsia="zh-CN"/>
        </w:rPr>
        <w:t xml:space="preserve"> (1979); </w:t>
      </w:r>
      <w:r>
        <w:rPr>
          <w:rFonts w:eastAsia="SimSun"/>
          <w:lang w:val="fr-FR" w:eastAsia="zh-CN"/>
        </w:rPr>
        <w:t>la Convention contre la torture et autres peines ou traitements cruels, inhumains ou dégradants</w:t>
      </w:r>
      <w:r w:rsidR="00222B86">
        <w:rPr>
          <w:rFonts w:eastAsia="SimSun"/>
          <w:lang w:val="fr-FR" w:eastAsia="zh-CN"/>
        </w:rPr>
        <w:t> </w:t>
      </w:r>
      <w:r w:rsidRPr="00D30865">
        <w:rPr>
          <w:rFonts w:eastAsia="SimSun"/>
          <w:lang w:val="fr-FR" w:eastAsia="zh-CN"/>
        </w:rPr>
        <w:t xml:space="preserve">(1984); </w:t>
      </w:r>
      <w:r>
        <w:rPr>
          <w:rFonts w:eastAsia="SimSun"/>
          <w:lang w:val="fr-FR" w:eastAsia="zh-CN"/>
        </w:rPr>
        <w:t>la Convention relative aux droits de l</w:t>
      </w:r>
      <w:r w:rsidR="00D11830">
        <w:rPr>
          <w:rFonts w:eastAsia="SimSun"/>
          <w:lang w:val="fr-FR" w:eastAsia="zh-CN"/>
        </w:rPr>
        <w:t>’</w:t>
      </w:r>
      <w:r>
        <w:rPr>
          <w:rFonts w:eastAsia="SimSun"/>
          <w:lang w:val="fr-FR" w:eastAsia="zh-CN"/>
        </w:rPr>
        <w:t>enfant</w:t>
      </w:r>
      <w:r w:rsidR="00222B86">
        <w:rPr>
          <w:rFonts w:eastAsia="SimSun"/>
          <w:lang w:val="fr-FR" w:eastAsia="zh-CN"/>
        </w:rPr>
        <w:t> </w:t>
      </w:r>
      <w:r w:rsidRPr="00D30865">
        <w:rPr>
          <w:rFonts w:eastAsia="SimSun"/>
          <w:lang w:val="fr-FR" w:eastAsia="zh-CN"/>
        </w:rPr>
        <w:t xml:space="preserve">(1989) </w:t>
      </w:r>
      <w:r w:rsidR="00222B86">
        <w:rPr>
          <w:rFonts w:eastAsia="SimSun"/>
          <w:lang w:val="fr-FR" w:eastAsia="zh-CN"/>
        </w:rPr>
        <w:t>et ses deux protocoles </w:t>
      </w:r>
      <w:r w:rsidRPr="00D30865">
        <w:rPr>
          <w:rFonts w:eastAsia="SimSun"/>
          <w:lang w:val="fr-FR" w:eastAsia="zh-CN"/>
        </w:rPr>
        <w:t xml:space="preserve">(2000), </w:t>
      </w:r>
      <w:r w:rsidRPr="00202F9F">
        <w:rPr>
          <w:rFonts w:eastAsia="SimSun"/>
          <w:lang w:eastAsia="zh-CN"/>
        </w:rPr>
        <w:t>concernant l</w:t>
      </w:r>
      <w:r w:rsidR="00D11830">
        <w:rPr>
          <w:rFonts w:eastAsia="SimSun"/>
          <w:lang w:eastAsia="zh-CN"/>
        </w:rPr>
        <w:t>’</w:t>
      </w:r>
      <w:r w:rsidRPr="00202F9F">
        <w:rPr>
          <w:rFonts w:eastAsia="SimSun"/>
          <w:lang w:eastAsia="zh-CN"/>
        </w:rPr>
        <w:t>implication d</w:t>
      </w:r>
      <w:r w:rsidR="00D11830">
        <w:rPr>
          <w:rFonts w:eastAsia="SimSun"/>
          <w:lang w:eastAsia="zh-CN"/>
        </w:rPr>
        <w:t>’</w:t>
      </w:r>
      <w:r w:rsidRPr="00202F9F">
        <w:rPr>
          <w:rFonts w:eastAsia="SimSun"/>
          <w:lang w:eastAsia="zh-CN"/>
        </w:rPr>
        <w:t>enfants dans les conflits armés</w:t>
      </w:r>
      <w:r>
        <w:rPr>
          <w:rFonts w:eastAsia="SimSun"/>
          <w:lang w:eastAsia="zh-CN"/>
        </w:rPr>
        <w:t xml:space="preserve"> et </w:t>
      </w:r>
      <w:r w:rsidRPr="00202F9F">
        <w:rPr>
          <w:rFonts w:eastAsia="SimSun"/>
          <w:lang w:eastAsia="zh-CN"/>
        </w:rPr>
        <w:t>concernant la vente d</w:t>
      </w:r>
      <w:r w:rsidR="00D11830">
        <w:rPr>
          <w:rFonts w:eastAsia="SimSun"/>
          <w:lang w:eastAsia="zh-CN"/>
        </w:rPr>
        <w:t>’</w:t>
      </w:r>
      <w:r w:rsidRPr="00202F9F">
        <w:rPr>
          <w:rFonts w:eastAsia="SimSun"/>
          <w:lang w:eastAsia="zh-CN"/>
        </w:rPr>
        <w:t>enfants, la prostitution des enfants et la pornographie mettant en scène des enfants</w:t>
      </w:r>
      <w:r w:rsidRPr="00D30865">
        <w:rPr>
          <w:rFonts w:eastAsia="SimSun"/>
          <w:lang w:val="fr-FR" w:eastAsia="zh-CN"/>
        </w:rPr>
        <w:t xml:space="preserve">; </w:t>
      </w:r>
      <w:r>
        <w:rPr>
          <w:rFonts w:eastAsia="SimSun"/>
          <w:lang w:val="fr-FR" w:eastAsia="zh-CN"/>
        </w:rPr>
        <w:t>la Convention internationale sur la protection des droits de tous les travailleurs migrants et des membres de leur famille</w:t>
      </w:r>
      <w:r w:rsidR="00222B86">
        <w:rPr>
          <w:rFonts w:eastAsia="SimSun"/>
          <w:lang w:val="fr-FR" w:eastAsia="zh-CN"/>
        </w:rPr>
        <w:t> </w:t>
      </w:r>
      <w:r w:rsidRPr="00D30865">
        <w:rPr>
          <w:rFonts w:eastAsia="SimSun"/>
          <w:lang w:val="fr-FR" w:eastAsia="zh-CN"/>
        </w:rPr>
        <w:t xml:space="preserve">(1990); </w:t>
      </w:r>
      <w:r>
        <w:rPr>
          <w:rFonts w:eastAsia="SimSun"/>
          <w:lang w:val="fr-FR" w:eastAsia="zh-CN"/>
        </w:rPr>
        <w:t xml:space="preserve">la Convention relative aux droits des personnes handicapées </w:t>
      </w:r>
      <w:r w:rsidRPr="00D30865">
        <w:rPr>
          <w:rFonts w:eastAsia="SimSun"/>
          <w:lang w:val="fr-FR" w:eastAsia="zh-CN"/>
        </w:rPr>
        <w:t xml:space="preserve">(2006); </w:t>
      </w:r>
      <w:r>
        <w:rPr>
          <w:rFonts w:eastAsia="SimSun"/>
          <w:lang w:val="fr-FR" w:eastAsia="zh-CN"/>
        </w:rPr>
        <w:t>la Convention internationale pour la protection de toutes les personnes contre les disparitions forcées</w:t>
      </w:r>
      <w:r w:rsidR="00222B86">
        <w:rPr>
          <w:rFonts w:eastAsia="SimSun"/>
          <w:lang w:val="fr-FR" w:eastAsia="zh-CN"/>
        </w:rPr>
        <w:t> </w:t>
      </w:r>
      <w:r w:rsidRPr="00D30865">
        <w:rPr>
          <w:rFonts w:eastAsia="SimSun"/>
          <w:lang w:val="fr-FR" w:eastAsia="zh-CN"/>
        </w:rPr>
        <w:t>(2006).</w:t>
      </w:r>
    </w:p>
    <w:p w:rsidR="004C7EF1" w:rsidRPr="00D30865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rFonts w:eastAsia="SimSun"/>
          <w:lang w:val="fr-FR" w:eastAsia="zh-CN"/>
        </w:rPr>
      </w:pPr>
      <w:r>
        <w:rPr>
          <w:lang w:val="fr-FR"/>
        </w:rPr>
        <w:t>Les</w:t>
      </w:r>
      <w:r w:rsidRPr="00D30865">
        <w:rPr>
          <w:lang w:val="fr-FR"/>
        </w:rPr>
        <w:t xml:space="preserve"> </w:t>
      </w:r>
      <w:r w:rsidRPr="00F520C5">
        <w:rPr>
          <w:lang w:val="fr-FR"/>
        </w:rPr>
        <w:t xml:space="preserve">présidents des </w:t>
      </w:r>
      <w:r>
        <w:rPr>
          <w:lang w:val="fr-FR"/>
        </w:rPr>
        <w:t>organes créés en vertu d</w:t>
      </w:r>
      <w:r w:rsidR="00D11830">
        <w:rPr>
          <w:lang w:val="fr-FR"/>
        </w:rPr>
        <w:t>’</w:t>
      </w:r>
      <w:r>
        <w:rPr>
          <w:lang w:val="fr-FR"/>
        </w:rPr>
        <w:t>instruments relatifs aux droits de l</w:t>
      </w:r>
      <w:r w:rsidR="00D11830">
        <w:rPr>
          <w:lang w:val="fr-FR"/>
        </w:rPr>
        <w:t>’</w:t>
      </w:r>
      <w:r>
        <w:rPr>
          <w:lang w:val="fr-FR"/>
        </w:rPr>
        <w:t>homme</w:t>
      </w:r>
      <w:r w:rsidRPr="00D30865">
        <w:rPr>
          <w:lang w:val="fr-FR"/>
        </w:rPr>
        <w:t xml:space="preserve">, </w:t>
      </w:r>
      <w:r>
        <w:rPr>
          <w:lang w:val="fr-FR"/>
        </w:rPr>
        <w:t>à leur vingt-cinquième réunion annuelle, e</w:t>
      </w:r>
      <w:r w:rsidRPr="00D30865">
        <w:rPr>
          <w:lang w:val="fr-FR"/>
        </w:rPr>
        <w:t xml:space="preserve">n </w:t>
      </w:r>
      <w:r>
        <w:rPr>
          <w:lang w:val="fr-FR"/>
        </w:rPr>
        <w:t>mai</w:t>
      </w:r>
      <w:r w:rsidR="00293B7B">
        <w:rPr>
          <w:lang w:val="fr-FR"/>
        </w:rPr>
        <w:t> </w:t>
      </w:r>
      <w:r w:rsidRPr="00D30865">
        <w:rPr>
          <w:lang w:val="fr-FR"/>
        </w:rPr>
        <w:t xml:space="preserve">2013, </w:t>
      </w:r>
      <w:r>
        <w:rPr>
          <w:lang w:val="fr-FR"/>
        </w:rPr>
        <w:t xml:space="preserve">ont noté avec une profonde préoccupation </w:t>
      </w:r>
      <w:r w:rsidRPr="00C41C22">
        <w:t>qu</w:t>
      </w:r>
      <w:r w:rsidR="00D11830">
        <w:t>’</w:t>
      </w:r>
      <w:r w:rsidRPr="00C41C22">
        <w:t>un certain nombre d</w:t>
      </w:r>
      <w:r w:rsidR="00D11830">
        <w:t>’</w:t>
      </w:r>
      <w:r w:rsidRPr="00C41C22">
        <w:t>États parties aux</w:t>
      </w:r>
      <w:r>
        <w:t xml:space="preserve"> instruments </w:t>
      </w:r>
      <w:r w:rsidRPr="00C41C22">
        <w:t>internationaux relatifs aux droits de l</w:t>
      </w:r>
      <w:r w:rsidR="00D11830">
        <w:t>’</w:t>
      </w:r>
      <w:r w:rsidRPr="00C41C22">
        <w:t>homme présentaient leurs rapports en retard ou ne les présentaient pas</w:t>
      </w:r>
      <w:r w:rsidRPr="00C41C22">
        <w:rPr>
          <w:lang w:val="fr-FR"/>
        </w:rPr>
        <w:t>.</w:t>
      </w:r>
      <w:r w:rsidR="00293B7B">
        <w:rPr>
          <w:lang w:val="fr-FR"/>
        </w:rPr>
        <w:t xml:space="preserve"> </w:t>
      </w:r>
      <w:r w:rsidR="007A54E8">
        <w:t xml:space="preserve">Ils ont recommandé au </w:t>
      </w:r>
      <w:r w:rsidR="0065777C">
        <w:t>s</w:t>
      </w:r>
      <w:r w:rsidRPr="00C41C22">
        <w:t xml:space="preserve">ecrétariat de faire régulièrement le point de la situation à partir des informations </w:t>
      </w:r>
      <w:r w:rsidRPr="00A21720">
        <w:t>contenues dans les</w:t>
      </w:r>
      <w:r w:rsidRPr="00C41C22">
        <w:t xml:space="preserve"> rapports annuels des organes conventionnels, et de publier, sur le site Web du Haut-Commissariat aux droits de l</w:t>
      </w:r>
      <w:r w:rsidR="00D11830">
        <w:t>’</w:t>
      </w:r>
      <w:r w:rsidRPr="00C41C22">
        <w:t>homme</w:t>
      </w:r>
      <w:r w:rsidR="00293B7B">
        <w:t xml:space="preserve"> </w:t>
      </w:r>
      <w:r w:rsidRPr="00D30865">
        <w:rPr>
          <w:lang w:val="fr-FR"/>
        </w:rPr>
        <w:t>(</w:t>
      </w:r>
      <w:hyperlink r:id="rId10" w:history="1">
        <w:r w:rsidRPr="00293B7B">
          <w:rPr>
            <w:rStyle w:val="Lienhypertexte"/>
            <w:lang w:val="fr-FR"/>
          </w:rPr>
          <w:t>www.ohchr.org</w:t>
        </w:r>
      </w:hyperlink>
      <w:r w:rsidRPr="00D30865">
        <w:rPr>
          <w:lang w:val="fr-FR"/>
        </w:rPr>
        <w:t>)</w:t>
      </w:r>
      <w:r>
        <w:rPr>
          <w:lang w:val="fr-FR"/>
        </w:rPr>
        <w:t>, des informations à jour sur cette question</w:t>
      </w:r>
      <w:r w:rsidRPr="00D30865">
        <w:rPr>
          <w:lang w:val="fr-FR"/>
        </w:rPr>
        <w:t xml:space="preserve">. </w:t>
      </w:r>
      <w:r>
        <w:rPr>
          <w:lang w:val="fr-FR"/>
        </w:rPr>
        <w:t>Ils ont également décidé d</w:t>
      </w:r>
      <w:r w:rsidR="00D11830">
        <w:rPr>
          <w:lang w:val="fr-FR"/>
        </w:rPr>
        <w:t>’</w:t>
      </w:r>
      <w:r>
        <w:rPr>
          <w:lang w:val="fr-FR"/>
        </w:rPr>
        <w:t xml:space="preserve">inscrire </w:t>
      </w:r>
      <w:r>
        <w:t>un point permanent sur la présentation tardive et la non-présentation de rapports à l</w:t>
      </w:r>
      <w:r w:rsidR="00D11830">
        <w:t>’</w:t>
      </w:r>
      <w:r>
        <w:t xml:space="preserve">ordre du jour de leur réunion </w:t>
      </w:r>
      <w:r w:rsidRPr="00D30865">
        <w:rPr>
          <w:lang w:val="fr-FR"/>
        </w:rPr>
        <w:t>(</w:t>
      </w:r>
      <w:r>
        <w:rPr>
          <w:lang w:val="fr-FR"/>
        </w:rPr>
        <w:t>voir</w:t>
      </w:r>
      <w:r w:rsidRPr="00D30865">
        <w:rPr>
          <w:lang w:val="fr-FR"/>
        </w:rPr>
        <w:t xml:space="preserve"> A/68/334, par. 47).</w:t>
      </w:r>
    </w:p>
    <w:p w:rsidR="004C7EF1" w:rsidRPr="00D30865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rFonts w:eastAsia="SimSun"/>
          <w:lang w:val="fr-FR" w:eastAsia="zh-CN"/>
        </w:rPr>
      </w:pPr>
      <w:r>
        <w:rPr>
          <w:lang w:val="fr-FR"/>
        </w:rPr>
        <w:t>À</w:t>
      </w:r>
      <w:r w:rsidRPr="00D30865">
        <w:rPr>
          <w:lang w:val="fr-FR"/>
        </w:rPr>
        <w:t xml:space="preserve"> </w:t>
      </w:r>
      <w:r>
        <w:rPr>
          <w:lang w:val="fr-FR"/>
        </w:rPr>
        <w:t xml:space="preserve">leur vingt-sixième réunion, en </w:t>
      </w:r>
      <w:r w:rsidRPr="00D30865">
        <w:rPr>
          <w:lang w:val="fr-FR"/>
        </w:rPr>
        <w:t xml:space="preserve">2014, </w:t>
      </w:r>
      <w:r>
        <w:rPr>
          <w:lang w:val="fr-FR"/>
        </w:rPr>
        <w:t xml:space="preserve">les présidents des organes conventionnels ont salué la recommandation formulée à leur vingt-cinquième réunion invitant le HCDH à afficher sur son site Web </w:t>
      </w:r>
      <w:r>
        <w:t>des informations concernant la présentation à temps, la</w:t>
      </w:r>
      <w:r w:rsidR="00222B86">
        <w:t> </w:t>
      </w:r>
      <w:r>
        <w:t>présentation tardive et la non-présentation de rapports par les États parties</w:t>
      </w:r>
      <w:r>
        <w:rPr>
          <w:lang w:val="fr-FR"/>
        </w:rPr>
        <w:t xml:space="preserve">. Ils ont </w:t>
      </w:r>
      <w:r w:rsidRPr="00D30865">
        <w:rPr>
          <w:lang w:val="fr-FR"/>
        </w:rPr>
        <w:t>recomm</w:t>
      </w:r>
      <w:r>
        <w:rPr>
          <w:lang w:val="fr-FR"/>
        </w:rPr>
        <w:t>a</w:t>
      </w:r>
      <w:r w:rsidRPr="00D30865">
        <w:rPr>
          <w:lang w:val="fr-FR"/>
        </w:rPr>
        <w:t>nd</w:t>
      </w:r>
      <w:r>
        <w:rPr>
          <w:lang w:val="fr-FR"/>
        </w:rPr>
        <w:t>é</w:t>
      </w:r>
      <w:r w:rsidRPr="00D30865">
        <w:rPr>
          <w:lang w:val="fr-FR"/>
        </w:rPr>
        <w:t xml:space="preserve"> </w:t>
      </w:r>
      <w:r>
        <w:rPr>
          <w:lang w:val="fr-FR"/>
        </w:rPr>
        <w:t>d</w:t>
      </w:r>
      <w:r w:rsidR="00D11830">
        <w:rPr>
          <w:lang w:val="fr-FR"/>
        </w:rPr>
        <w:t>’</w:t>
      </w:r>
      <w:r>
        <w:rPr>
          <w:lang w:val="fr-FR"/>
        </w:rPr>
        <w:t>actualiser en permanence la page Web concerné</w:t>
      </w:r>
      <w:r w:rsidR="0065777C">
        <w:rPr>
          <w:lang w:val="fr-FR"/>
        </w:rPr>
        <w:t>e</w:t>
      </w:r>
      <w:r w:rsidRPr="00D30865">
        <w:rPr>
          <w:lang w:val="fr-FR"/>
        </w:rPr>
        <w:t>.</w:t>
      </w:r>
      <w:r>
        <w:rPr>
          <w:lang w:val="fr-FR"/>
        </w:rPr>
        <w:t xml:space="preserve"> Ils ont en outre réaffirmé </w:t>
      </w:r>
      <w:r>
        <w:t>la décision prise à leur vingt-cinquième réunion d</w:t>
      </w:r>
      <w:r w:rsidR="00D11830">
        <w:t>’</w:t>
      </w:r>
      <w:r>
        <w:t>inscrire un point permanent sur la présentation tardive et la non-présentation de rapports à l</w:t>
      </w:r>
      <w:r w:rsidR="00D11830">
        <w:t>’</w:t>
      </w:r>
      <w:r>
        <w:t xml:space="preserve">ordre du jour de leur réunion </w:t>
      </w:r>
      <w:r>
        <w:rPr>
          <w:lang w:val="fr-FR"/>
        </w:rPr>
        <w:t>annuelle</w:t>
      </w:r>
      <w:r w:rsidRPr="00D30865">
        <w:rPr>
          <w:lang w:val="fr-FR"/>
        </w:rPr>
        <w:t xml:space="preserve"> (</w:t>
      </w:r>
      <w:r>
        <w:rPr>
          <w:lang w:val="fr-FR"/>
        </w:rPr>
        <w:t>voir</w:t>
      </w:r>
      <w:r w:rsidRPr="00D30865">
        <w:rPr>
          <w:lang w:val="fr-FR"/>
        </w:rPr>
        <w:t xml:space="preserve"> </w:t>
      </w:r>
      <w:r>
        <w:rPr>
          <w:lang w:val="fr-FR"/>
        </w:rPr>
        <w:t>A/69/285, par</w:t>
      </w:r>
      <w:r w:rsidRPr="00D30865">
        <w:rPr>
          <w:lang w:val="fr-FR"/>
        </w:rPr>
        <w:t>. 112).</w:t>
      </w:r>
    </w:p>
    <w:p w:rsidR="004C7EF1" w:rsidRPr="00D30865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rFonts w:eastAsia="SimSun"/>
          <w:lang w:val="fr-FR" w:eastAsia="zh-CN"/>
        </w:rPr>
      </w:pPr>
      <w:r>
        <w:rPr>
          <w:lang w:val="fr-FR"/>
        </w:rPr>
        <w:t>Au</w:t>
      </w:r>
      <w:r w:rsidRPr="00D30865">
        <w:rPr>
          <w:lang w:val="fr-FR"/>
        </w:rPr>
        <w:t xml:space="preserve"> paragraph</w:t>
      </w:r>
      <w:r w:rsidR="00293B7B">
        <w:rPr>
          <w:lang w:val="fr-FR"/>
        </w:rPr>
        <w:t>e </w:t>
      </w:r>
      <w:r>
        <w:rPr>
          <w:lang w:val="fr-FR"/>
        </w:rPr>
        <w:t>32 de sa</w:t>
      </w:r>
      <w:r w:rsidRPr="00D30865">
        <w:rPr>
          <w:lang w:val="fr-FR"/>
        </w:rPr>
        <w:t xml:space="preserve"> r</w:t>
      </w:r>
      <w:r>
        <w:rPr>
          <w:lang w:val="fr-FR"/>
        </w:rPr>
        <w:t>é</w:t>
      </w:r>
      <w:r w:rsidR="00293B7B">
        <w:rPr>
          <w:lang w:val="fr-FR"/>
        </w:rPr>
        <w:t>solution </w:t>
      </w:r>
      <w:r w:rsidRPr="00D30865">
        <w:rPr>
          <w:lang w:val="fr-FR"/>
        </w:rPr>
        <w:t xml:space="preserve">68/268 </w:t>
      </w:r>
      <w:r>
        <w:rPr>
          <w:lang w:val="fr-FR"/>
        </w:rPr>
        <w:t xml:space="preserve">sur le </w:t>
      </w:r>
      <w:r>
        <w:t>renforcement et l</w:t>
      </w:r>
      <w:r w:rsidR="00D11830">
        <w:t>’</w:t>
      </w:r>
      <w:r>
        <w:t>amélioration du fonctionnement de l</w:t>
      </w:r>
      <w:r w:rsidR="00D11830">
        <w:t>’</w:t>
      </w:r>
      <w:r>
        <w:t>ensemble des organes conventionnels des droits de l</w:t>
      </w:r>
      <w:r w:rsidR="00D11830">
        <w:t>’</w:t>
      </w:r>
      <w:r>
        <w:t>homme</w:t>
      </w:r>
      <w:r w:rsidRPr="00D30865">
        <w:rPr>
          <w:lang w:val="fr-FR"/>
        </w:rPr>
        <w:t xml:space="preserve">, </w:t>
      </w:r>
      <w:r>
        <w:rPr>
          <w:lang w:val="fr-FR"/>
        </w:rPr>
        <w:t>l</w:t>
      </w:r>
      <w:r w:rsidR="00D11830">
        <w:rPr>
          <w:lang w:val="fr-FR"/>
        </w:rPr>
        <w:t>’</w:t>
      </w:r>
      <w:r>
        <w:rPr>
          <w:lang w:val="fr-FR"/>
        </w:rPr>
        <w:t>Assemblée générale a</w:t>
      </w:r>
      <w:r>
        <w:t xml:space="preserve"> considéré que les États avaient une obligation juridique, au titre des traités internationaux relatifs aux droits de l</w:t>
      </w:r>
      <w:r w:rsidR="00D11830">
        <w:t>’</w:t>
      </w:r>
      <w:r>
        <w:t>homme auxquels ils étaient parties, de</w:t>
      </w:r>
      <w:r w:rsidR="00293B7B">
        <w:t> </w:t>
      </w:r>
      <w:r>
        <w:t>soumettre périodiquement aux organes conventionnels des droits de l</w:t>
      </w:r>
      <w:r w:rsidR="00D11830">
        <w:t>’</w:t>
      </w:r>
      <w:r>
        <w:t>homme des rapports sur les mesures qu</w:t>
      </w:r>
      <w:r w:rsidR="00D11830">
        <w:t>’</w:t>
      </w:r>
      <w:r>
        <w:t>ils avaient prises pour donner effet aux dispositions de ces traités, et a pris note de la nécessité de mieux faire respecter cette règle</w:t>
      </w:r>
      <w:r w:rsidRPr="00D30865">
        <w:rPr>
          <w:lang w:val="fr-FR"/>
        </w:rPr>
        <w:t xml:space="preserve">. </w:t>
      </w:r>
      <w:r>
        <w:rPr>
          <w:lang w:val="fr-FR"/>
        </w:rPr>
        <w:t>Dans cette même ré</w:t>
      </w:r>
      <w:r w:rsidRPr="00D30865">
        <w:rPr>
          <w:lang w:val="fr-FR"/>
        </w:rPr>
        <w:t xml:space="preserve">solution, </w:t>
      </w:r>
      <w:r>
        <w:rPr>
          <w:lang w:val="fr-FR"/>
        </w:rPr>
        <w:t>l</w:t>
      </w:r>
      <w:r w:rsidR="00D11830">
        <w:rPr>
          <w:lang w:val="fr-FR"/>
        </w:rPr>
        <w:t>’</w:t>
      </w:r>
      <w:r>
        <w:rPr>
          <w:lang w:val="fr-FR"/>
        </w:rPr>
        <w:t>Assemblée générale a invité les États parties</w:t>
      </w:r>
      <w:r w:rsidRPr="00D30865">
        <w:rPr>
          <w:lang w:val="fr-FR"/>
        </w:rPr>
        <w:t xml:space="preserve">, </w:t>
      </w:r>
      <w:r>
        <w:rPr>
          <w:lang w:val="fr-FR"/>
        </w:rPr>
        <w:t>l</w:t>
      </w:r>
      <w:r>
        <w:t>e cas échéant et à titre de mesure exceptionnelle, pour leur permettre de mieux s</w:t>
      </w:r>
      <w:r w:rsidR="00D11830">
        <w:t>’</w:t>
      </w:r>
      <w:r>
        <w:t>acquitter de leurs obligations en matière de présentation de rapports et rattraper le retard accumulé, avec l</w:t>
      </w:r>
      <w:r w:rsidR="00D11830">
        <w:t>’</w:t>
      </w:r>
      <w:r>
        <w:t>assentiment de l</w:t>
      </w:r>
      <w:r w:rsidR="00D11830">
        <w:t>’</w:t>
      </w:r>
      <w:r>
        <w:t>organe conventionnel compétent, à présenter un rapport unique satisfaisant aux obligations de l</w:t>
      </w:r>
      <w:r w:rsidR="00D11830">
        <w:t>’</w:t>
      </w:r>
      <w:r>
        <w:t>État partie intéressé en matière de présentation de rapports vis-à-vis de l</w:t>
      </w:r>
      <w:r w:rsidR="00D11830">
        <w:t>’</w:t>
      </w:r>
      <w:r>
        <w:t>organe conventionnel pour toute la période pendant laquelle les rapports auraient été en souffrance à la date de l</w:t>
      </w:r>
      <w:r w:rsidR="00D11830">
        <w:t>’</w:t>
      </w:r>
      <w:r>
        <w:t>adoption de la résolution</w:t>
      </w:r>
      <w:r w:rsidRPr="00D30865">
        <w:rPr>
          <w:lang w:val="fr-FR"/>
        </w:rPr>
        <w:t>.</w:t>
      </w:r>
    </w:p>
    <w:p w:rsidR="004C7EF1" w:rsidRPr="00D30865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rFonts w:eastAsia="SimSun"/>
          <w:lang w:val="fr-FR" w:eastAsia="zh-CN"/>
        </w:rPr>
      </w:pPr>
      <w:r>
        <w:rPr>
          <w:lang w:val="fr-FR"/>
        </w:rPr>
        <w:lastRenderedPageBreak/>
        <w:t>La</w:t>
      </w:r>
      <w:r w:rsidRPr="00D30865">
        <w:rPr>
          <w:lang w:val="fr-FR"/>
        </w:rPr>
        <w:t xml:space="preserve"> pr</w:t>
      </w:r>
      <w:r>
        <w:rPr>
          <w:lang w:val="fr-FR"/>
        </w:rPr>
        <w:t>é</w:t>
      </w:r>
      <w:r w:rsidRPr="00D30865">
        <w:rPr>
          <w:lang w:val="fr-FR"/>
        </w:rPr>
        <w:t>sent</w:t>
      </w:r>
      <w:r>
        <w:rPr>
          <w:lang w:val="fr-FR"/>
        </w:rPr>
        <w:t>e</w:t>
      </w:r>
      <w:r w:rsidRPr="00D30865">
        <w:rPr>
          <w:lang w:val="fr-FR"/>
        </w:rPr>
        <w:t xml:space="preserve"> note</w:t>
      </w:r>
      <w:r>
        <w:rPr>
          <w:lang w:val="fr-FR"/>
        </w:rPr>
        <w:t xml:space="preserve"> donne un aperçu du respect par les États parties de leurs obligations en matière d</w:t>
      </w:r>
      <w:r w:rsidR="00D11830">
        <w:rPr>
          <w:lang w:val="fr-FR"/>
        </w:rPr>
        <w:t>’</w:t>
      </w:r>
      <w:r>
        <w:rPr>
          <w:lang w:val="fr-FR"/>
        </w:rPr>
        <w:t>établissement de rapports au</w:t>
      </w:r>
      <w:r w:rsidR="00293B7B">
        <w:rPr>
          <w:lang w:val="fr-FR"/>
        </w:rPr>
        <w:t xml:space="preserve"> 28 </w:t>
      </w:r>
      <w:r>
        <w:rPr>
          <w:lang w:val="fr-FR"/>
        </w:rPr>
        <w:t>février</w:t>
      </w:r>
      <w:r w:rsidRPr="00D30865">
        <w:rPr>
          <w:lang w:val="fr-FR"/>
        </w:rPr>
        <w:t xml:space="preserve"> 2015. </w:t>
      </w:r>
      <w:r>
        <w:rPr>
          <w:lang w:val="fr-FR"/>
        </w:rPr>
        <w:t>La présentation des rapports étant un processus</w:t>
      </w:r>
      <w:r w:rsidRPr="00D30865">
        <w:rPr>
          <w:lang w:val="fr-FR"/>
        </w:rPr>
        <w:t xml:space="preserve"> </w:t>
      </w:r>
      <w:r>
        <w:rPr>
          <w:lang w:val="fr-FR"/>
        </w:rPr>
        <w:t>dynamique, les données qui figurent dans cette note sont régulièrement mises à jour sur le site Web du HCDH</w:t>
      </w:r>
      <w:r w:rsidRPr="00D30865">
        <w:rPr>
          <w:rFonts w:eastAsia="SimSun"/>
          <w:lang w:val="fr-FR" w:eastAsia="zh-CN"/>
        </w:rPr>
        <w:t>.</w:t>
      </w:r>
    </w:p>
    <w:p w:rsidR="004C7EF1" w:rsidRPr="00D30865" w:rsidRDefault="004C7EF1" w:rsidP="00293B7B">
      <w:pPr>
        <w:pStyle w:val="HChG"/>
        <w:rPr>
          <w:rFonts w:eastAsia="SimSun"/>
          <w:lang w:val="fr-FR" w:eastAsia="zh-CN"/>
        </w:rPr>
      </w:pPr>
      <w:r w:rsidRPr="00D30865">
        <w:rPr>
          <w:rFonts w:eastAsia="SimSun"/>
          <w:lang w:val="fr-FR" w:eastAsia="zh-CN"/>
        </w:rPr>
        <w:tab/>
        <w:t>II.</w:t>
      </w:r>
      <w:r w:rsidRPr="00D30865">
        <w:rPr>
          <w:rFonts w:eastAsia="SimSun"/>
          <w:lang w:val="fr-FR" w:eastAsia="zh-CN"/>
        </w:rPr>
        <w:tab/>
      </w:r>
      <w:r>
        <w:rPr>
          <w:rFonts w:eastAsia="SimSun"/>
          <w:lang w:val="fr-FR" w:eastAsia="zh-CN"/>
        </w:rPr>
        <w:t>O</w:t>
      </w:r>
      <w:r w:rsidRPr="00D30865">
        <w:rPr>
          <w:lang w:val="fr-FR"/>
        </w:rPr>
        <w:t xml:space="preserve">bligations </w:t>
      </w:r>
      <w:r>
        <w:rPr>
          <w:lang w:val="fr-FR"/>
        </w:rPr>
        <w:t>des États parties en matière de présentation de</w:t>
      </w:r>
      <w:r w:rsidR="00293B7B">
        <w:rPr>
          <w:lang w:val="fr-FR"/>
        </w:rPr>
        <w:t> </w:t>
      </w:r>
      <w:r>
        <w:rPr>
          <w:lang w:val="fr-FR"/>
        </w:rPr>
        <w:t>rapports au titre</w:t>
      </w:r>
      <w:r w:rsidR="00293B7B">
        <w:rPr>
          <w:lang w:val="fr-FR"/>
        </w:rPr>
        <w:t xml:space="preserve"> des instruments internationaux</w:t>
      </w:r>
      <w:r w:rsidR="00293B7B">
        <w:rPr>
          <w:lang w:val="fr-FR"/>
        </w:rPr>
        <w:br/>
      </w:r>
      <w:r>
        <w:rPr>
          <w:lang w:val="fr-FR"/>
        </w:rPr>
        <w:t>relatifs aux droits de l</w:t>
      </w:r>
      <w:r w:rsidR="00D11830">
        <w:rPr>
          <w:lang w:val="fr-FR"/>
        </w:rPr>
        <w:t>’</w:t>
      </w:r>
      <w:r>
        <w:rPr>
          <w:lang w:val="fr-FR"/>
        </w:rPr>
        <w:t>homme</w:t>
      </w:r>
    </w:p>
    <w:p w:rsidR="004C7EF1" w:rsidRPr="0011365F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lang w:val="en-US"/>
        </w:rPr>
      </w:pPr>
      <w:r>
        <w:rPr>
          <w:lang w:val="fr-FR"/>
        </w:rPr>
        <w:t>Neuf principaux instruments internationaux relatifs aux droits de l</w:t>
      </w:r>
      <w:r w:rsidR="00D11830">
        <w:rPr>
          <w:lang w:val="fr-FR"/>
        </w:rPr>
        <w:t>’</w:t>
      </w:r>
      <w:r>
        <w:rPr>
          <w:lang w:val="fr-FR"/>
        </w:rPr>
        <w:t>homme</w:t>
      </w:r>
      <w:r w:rsidRPr="00D30865">
        <w:rPr>
          <w:lang w:val="fr-FR"/>
        </w:rPr>
        <w:t xml:space="preserve"> </w:t>
      </w:r>
      <w:r>
        <w:rPr>
          <w:lang w:val="fr-FR"/>
        </w:rPr>
        <w:t>et deux protocoles facultatifs font obligation aux États parties de présenter des rapports</w:t>
      </w:r>
      <w:r w:rsidRPr="00D30865">
        <w:rPr>
          <w:lang w:val="fr-FR"/>
        </w:rPr>
        <w:t xml:space="preserve">. </w:t>
      </w:r>
      <w:r>
        <w:rPr>
          <w:lang w:val="fr-FR"/>
        </w:rPr>
        <w:t>Une fois qu</w:t>
      </w:r>
      <w:r w:rsidR="00D11830">
        <w:rPr>
          <w:lang w:val="fr-FR"/>
        </w:rPr>
        <w:t>’</w:t>
      </w:r>
      <w:r>
        <w:rPr>
          <w:lang w:val="fr-FR"/>
        </w:rPr>
        <w:t>un État a adhéré à un instrument relatif aux droits de l</w:t>
      </w:r>
      <w:r w:rsidR="00D11830">
        <w:rPr>
          <w:lang w:val="fr-FR"/>
        </w:rPr>
        <w:t>’</w:t>
      </w:r>
      <w:r>
        <w:rPr>
          <w:lang w:val="fr-FR"/>
        </w:rPr>
        <w:t>homme ou l</w:t>
      </w:r>
      <w:r w:rsidR="00D11830">
        <w:rPr>
          <w:lang w:val="fr-FR"/>
        </w:rPr>
        <w:t>’</w:t>
      </w:r>
      <w:r>
        <w:rPr>
          <w:lang w:val="fr-FR"/>
        </w:rPr>
        <w:t>a ratifié</w:t>
      </w:r>
      <w:r w:rsidRPr="00D30865">
        <w:rPr>
          <w:lang w:val="fr-FR"/>
        </w:rPr>
        <w:t xml:space="preserve">, </w:t>
      </w:r>
      <w:r>
        <w:rPr>
          <w:lang w:val="fr-FR"/>
        </w:rPr>
        <w:t>il est tenu de présenter un rapport initial dans un délai d</w:t>
      </w:r>
      <w:r w:rsidR="00D11830">
        <w:rPr>
          <w:lang w:val="fr-FR"/>
        </w:rPr>
        <w:t>’</w:t>
      </w:r>
      <w:r>
        <w:rPr>
          <w:lang w:val="fr-FR"/>
        </w:rPr>
        <w:t xml:space="preserve">un ou </w:t>
      </w:r>
      <w:r w:rsidR="00713B77">
        <w:rPr>
          <w:lang w:val="fr-FR"/>
        </w:rPr>
        <w:t xml:space="preserve">de </w:t>
      </w:r>
      <w:r>
        <w:rPr>
          <w:lang w:val="fr-FR"/>
        </w:rPr>
        <w:t>deux ans à compter de la date d</w:t>
      </w:r>
      <w:r w:rsidR="00D11830">
        <w:rPr>
          <w:lang w:val="fr-FR"/>
        </w:rPr>
        <w:t>’</w:t>
      </w:r>
      <w:r>
        <w:rPr>
          <w:lang w:val="fr-FR"/>
        </w:rPr>
        <w:t>entrée en vigueur de l</w:t>
      </w:r>
      <w:r w:rsidR="00D11830">
        <w:rPr>
          <w:lang w:val="fr-FR"/>
        </w:rPr>
        <w:t>’</w:t>
      </w:r>
      <w:r>
        <w:rPr>
          <w:lang w:val="fr-FR"/>
        </w:rPr>
        <w:t>instrument et, par la suite, de soumettre des rapports périodiques aux</w:t>
      </w:r>
      <w:r w:rsidRPr="00D30865">
        <w:rPr>
          <w:lang w:val="fr-FR"/>
        </w:rPr>
        <w:t xml:space="preserve"> interval</w:t>
      </w:r>
      <w:r>
        <w:rPr>
          <w:lang w:val="fr-FR"/>
        </w:rPr>
        <w:t>les</w:t>
      </w:r>
      <w:r w:rsidRPr="00D30865">
        <w:rPr>
          <w:lang w:val="fr-FR"/>
        </w:rPr>
        <w:t xml:space="preserve"> </w:t>
      </w:r>
      <w:r>
        <w:rPr>
          <w:lang w:val="fr-FR"/>
        </w:rPr>
        <w:t>prévus</w:t>
      </w:r>
      <w:r w:rsidRPr="00D30865">
        <w:rPr>
          <w:lang w:val="fr-FR"/>
        </w:rPr>
        <w:t xml:space="preserve"> </w:t>
      </w:r>
      <w:r>
        <w:rPr>
          <w:lang w:val="fr-FR"/>
        </w:rPr>
        <w:t>par les instruments ou comités respectifs</w:t>
      </w:r>
      <w:r w:rsidRPr="00D30865">
        <w:rPr>
          <w:lang w:val="fr-FR"/>
        </w:rPr>
        <w:t xml:space="preserve">. </w:t>
      </w:r>
      <w:r>
        <w:t>Dans la plupart des cas, l</w:t>
      </w:r>
      <w:r w:rsidR="00D11830">
        <w:t>’</w:t>
      </w:r>
      <w:r>
        <w:t>instrument fixe expressément un calendrier pour la soumission des rapports initiaux et des rapports périodiques, ce que l</w:t>
      </w:r>
      <w:r w:rsidR="00D11830">
        <w:t>’</w:t>
      </w:r>
      <w:r>
        <w:t>on appelle habituellement la «périodicité» des rapports, en prenant pour point de départ la date d</w:t>
      </w:r>
      <w:r w:rsidR="00D11830">
        <w:t>’</w:t>
      </w:r>
      <w:r>
        <w:t>entrée en vigueur de l</w:t>
      </w:r>
      <w:r w:rsidR="00D11830">
        <w:t>’</w:t>
      </w:r>
      <w:r>
        <w:t>instrument pour l</w:t>
      </w:r>
      <w:r w:rsidR="00D11830">
        <w:t>’</w:t>
      </w:r>
      <w:r>
        <w:t>État partie considéré</w:t>
      </w:r>
      <w:r w:rsidRPr="00D30865">
        <w:rPr>
          <w:lang w:val="fr-FR"/>
        </w:rPr>
        <w:t xml:space="preserve">. </w:t>
      </w:r>
      <w:r>
        <w:rPr>
          <w:lang w:val="fr-FR"/>
        </w:rPr>
        <w:t>La périodicité des rapports</w:t>
      </w:r>
      <w:r w:rsidRPr="00D30865">
        <w:rPr>
          <w:lang w:val="fr-FR"/>
        </w:rPr>
        <w:t xml:space="preserve">, </w:t>
      </w:r>
      <w:r>
        <w:rPr>
          <w:lang w:val="fr-FR"/>
        </w:rPr>
        <w:t>pour chaque instrument</w:t>
      </w:r>
      <w:r w:rsidRPr="00D30865">
        <w:rPr>
          <w:lang w:val="fr-FR"/>
        </w:rPr>
        <w:t xml:space="preserve">, </w:t>
      </w:r>
      <w:r>
        <w:rPr>
          <w:lang w:val="fr-FR"/>
        </w:rPr>
        <w:t>est</w:t>
      </w:r>
      <w:r w:rsidRPr="00D30865">
        <w:rPr>
          <w:lang w:val="fr-FR"/>
        </w:rPr>
        <w:t xml:space="preserve"> présenté</w:t>
      </w:r>
      <w:r>
        <w:rPr>
          <w:lang w:val="fr-FR"/>
        </w:rPr>
        <w:t>e</w:t>
      </w:r>
      <w:r w:rsidRPr="00D30865">
        <w:rPr>
          <w:lang w:val="fr-FR"/>
        </w:rPr>
        <w:t xml:space="preserve"> </w:t>
      </w:r>
      <w:r>
        <w:rPr>
          <w:lang w:val="fr-FR"/>
        </w:rPr>
        <w:t>dans le tableau</w:t>
      </w:r>
      <w:r w:rsidR="00293B7B">
        <w:rPr>
          <w:lang w:val="fr-FR"/>
        </w:rPr>
        <w:t> </w:t>
      </w:r>
      <w:r w:rsidRPr="00D30865">
        <w:rPr>
          <w:lang w:val="fr-FR"/>
        </w:rPr>
        <w:t>1</w:t>
      </w:r>
      <w:r>
        <w:rPr>
          <w:lang w:val="fr-FR"/>
        </w:rPr>
        <w:t>.</w:t>
      </w:r>
      <w:r w:rsidRPr="0011365F">
        <w:rPr>
          <w:lang w:val="en-US"/>
        </w:rPr>
        <w:t xml:space="preserve"> </w:t>
      </w:r>
    </w:p>
    <w:p w:rsidR="00293B7B" w:rsidRPr="00EA50A8" w:rsidRDefault="00293B7B" w:rsidP="00293B7B">
      <w:pPr>
        <w:pStyle w:val="Titre1"/>
        <w:rPr>
          <w:bCs/>
          <w:lang w:val="fr-FR"/>
        </w:rPr>
      </w:pPr>
      <w:r w:rsidRPr="00EA50A8">
        <w:rPr>
          <w:bCs/>
          <w:lang w:val="fr-FR"/>
        </w:rPr>
        <w:t>Tableau </w:t>
      </w:r>
      <w:r w:rsidR="004C7EF1" w:rsidRPr="00EA50A8">
        <w:rPr>
          <w:bCs/>
          <w:lang w:val="fr-FR"/>
        </w:rPr>
        <w:t>1</w:t>
      </w:r>
    </w:p>
    <w:p w:rsidR="004C7EF1" w:rsidRPr="00EA50A8" w:rsidRDefault="004C7EF1" w:rsidP="00293B7B">
      <w:pPr>
        <w:pStyle w:val="Titre1"/>
        <w:spacing w:after="120"/>
        <w:rPr>
          <w:b/>
          <w:lang w:val="fr-FR"/>
        </w:rPr>
      </w:pPr>
      <w:r w:rsidRPr="00EA50A8">
        <w:rPr>
          <w:b/>
          <w:lang w:val="fr-FR"/>
        </w:rPr>
        <w:t>Périodicité des rapports, par instrument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57"/>
        <w:gridCol w:w="2457"/>
      </w:tblGrid>
      <w:tr w:rsidR="004C7EF1" w:rsidRPr="002873F3" w:rsidTr="00A6521A">
        <w:trPr>
          <w:cantSplit/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873F3" w:rsidRDefault="004C7EF1" w:rsidP="002873F3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2873F3">
              <w:rPr>
                <w:i/>
                <w:sz w:val="16"/>
                <w:lang w:val="fr-FR"/>
              </w:rPr>
              <w:t>Instrument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873F3" w:rsidRDefault="004C7EF1" w:rsidP="002873F3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2873F3">
              <w:rPr>
                <w:i/>
                <w:sz w:val="16"/>
                <w:lang w:val="fr-FR"/>
              </w:rPr>
              <w:t>Rapport initial attendu</w:t>
            </w:r>
            <w:r w:rsidR="002873F3">
              <w:rPr>
                <w:i/>
                <w:sz w:val="16"/>
                <w:lang w:val="fr-FR"/>
              </w:rPr>
              <w:br/>
            </w:r>
            <w:r w:rsidRPr="002873F3">
              <w:rPr>
                <w:i/>
                <w:sz w:val="16"/>
                <w:lang w:val="fr-FR"/>
              </w:rPr>
              <w:t>(après</w:t>
            </w:r>
            <w:r w:rsidR="00F829D2">
              <w:rPr>
                <w:i/>
                <w:sz w:val="16"/>
                <w:lang w:val="fr-FR"/>
              </w:rPr>
              <w:t xml:space="preserve"> ratification)</w:t>
            </w:r>
            <w:r w:rsidR="00F829D2">
              <w:rPr>
                <w:i/>
                <w:sz w:val="16"/>
                <w:lang w:val="fr-FR"/>
              </w:rPr>
              <w:br/>
            </w:r>
            <w:r w:rsidRPr="002873F3">
              <w:rPr>
                <w:i/>
                <w:sz w:val="16"/>
                <w:lang w:val="fr-FR"/>
              </w:rPr>
              <w:t>dans un délai de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873F3" w:rsidRDefault="004C7EF1" w:rsidP="002873F3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2873F3">
              <w:rPr>
                <w:i/>
                <w:sz w:val="16"/>
                <w:lang w:val="fr-FR"/>
              </w:rPr>
              <w:t xml:space="preserve">Rapports périodiques </w:t>
            </w:r>
            <w:r w:rsidR="002873F3">
              <w:rPr>
                <w:i/>
                <w:sz w:val="16"/>
                <w:lang w:val="fr-FR"/>
              </w:rPr>
              <w:t>attendus,</w:t>
            </w:r>
            <w:r w:rsidR="002873F3">
              <w:rPr>
                <w:i/>
                <w:sz w:val="16"/>
                <w:lang w:val="fr-FR"/>
              </w:rPr>
              <w:br/>
            </w:r>
            <w:r w:rsidRPr="002873F3">
              <w:rPr>
                <w:i/>
                <w:sz w:val="16"/>
                <w:lang w:val="fr-FR"/>
              </w:rPr>
              <w:t>par la suite, tous les</w:t>
            </w:r>
          </w:p>
        </w:tc>
      </w:tr>
      <w:tr w:rsidR="002873F3" w:rsidRPr="002873F3" w:rsidTr="00A6521A">
        <w:trPr>
          <w:cantSplit/>
          <w:trHeight w:hRule="exact" w:val="113"/>
          <w:tblHeader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</w:tcPr>
          <w:p w:rsidR="002873F3" w:rsidRPr="002873F3" w:rsidRDefault="002873F3" w:rsidP="002873F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2873F3" w:rsidRPr="002873F3" w:rsidRDefault="002873F3" w:rsidP="002873F3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:rsidR="002873F3" w:rsidRPr="002873F3" w:rsidRDefault="002873F3" w:rsidP="002873F3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A6521A">
            <w:pPr>
              <w:spacing w:before="40" w:after="120"/>
              <w:ind w:right="113"/>
              <w:rPr>
                <w:lang w:val="fr-FR"/>
              </w:rPr>
            </w:pPr>
            <w:r w:rsidRPr="002873F3">
              <w:t>Convention internationale pour l</w:t>
            </w:r>
            <w:r w:rsidR="00D11830">
              <w:t>’</w:t>
            </w:r>
            <w:r w:rsidRPr="002873F3">
              <w:t>élimination de la</w:t>
            </w:r>
            <w:r w:rsidR="00A6521A">
              <w:t> </w:t>
            </w:r>
            <w:r w:rsidRPr="002873F3">
              <w:t>discrimination raciale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1 an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2 ans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t xml:space="preserve">Pacte international relatif aux droits économiques, sociaux et culturels 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2 ans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5 ans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t xml:space="preserve">Pacte international relatif aux droits civils et politiques 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1 an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3,</w:t>
            </w:r>
            <w:r w:rsidRPr="002873F3">
              <w:rPr>
                <w:lang w:val="fr-FR" w:eastAsia="ko-KR"/>
              </w:rPr>
              <w:t xml:space="preserve"> </w:t>
            </w:r>
            <w:r w:rsidRPr="002873F3">
              <w:rPr>
                <w:lang w:val="fr-FR"/>
              </w:rPr>
              <w:t>4,</w:t>
            </w:r>
            <w:r w:rsidRPr="002873F3">
              <w:rPr>
                <w:lang w:val="fr-FR" w:eastAsia="ko-KR"/>
              </w:rPr>
              <w:t xml:space="preserve"> </w:t>
            </w:r>
            <w:r w:rsidRPr="002873F3">
              <w:rPr>
                <w:lang w:val="fr-FR"/>
              </w:rPr>
              <w:t>5 et</w:t>
            </w:r>
            <w:r w:rsidRPr="002873F3">
              <w:rPr>
                <w:lang w:val="fr-FR" w:eastAsia="ko-KR"/>
              </w:rPr>
              <w:t xml:space="preserve"> </w:t>
            </w:r>
            <w:r w:rsidRPr="002873F3">
              <w:rPr>
                <w:lang w:val="fr-FR"/>
              </w:rPr>
              <w:t>6 ans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A6521A">
            <w:pPr>
              <w:spacing w:before="40" w:after="120"/>
              <w:ind w:right="113"/>
              <w:rPr>
                <w:lang w:val="fr-FR"/>
              </w:rPr>
            </w:pPr>
            <w:r w:rsidRPr="002873F3">
              <w:t>Convention sur l</w:t>
            </w:r>
            <w:r w:rsidR="00D11830">
              <w:t>’</w:t>
            </w:r>
            <w:r w:rsidRPr="002873F3">
              <w:t>élimination de toutes les formes de discrimination à l</w:t>
            </w:r>
            <w:r w:rsidR="00D11830">
              <w:t>’</w:t>
            </w:r>
            <w:r w:rsidRPr="002873F3">
              <w:t>égard des</w:t>
            </w:r>
            <w:r w:rsidR="00A6521A">
              <w:t> </w:t>
            </w:r>
            <w:r w:rsidRPr="002873F3">
              <w:t xml:space="preserve">femmes 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1 an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4 ans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t xml:space="preserve">Convention contre la torture 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1 an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4 ans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A765D2">
            <w:pPr>
              <w:spacing w:before="40" w:after="120"/>
              <w:ind w:right="113"/>
              <w:rPr>
                <w:lang w:val="fr-FR"/>
              </w:rPr>
            </w:pPr>
            <w:r w:rsidRPr="002873F3">
              <w:t>Convention relative aux</w:t>
            </w:r>
            <w:r w:rsidR="00A765D2">
              <w:t> </w:t>
            </w:r>
            <w:r w:rsidRPr="002873F3">
              <w:t>droits de l</w:t>
            </w:r>
            <w:r w:rsidR="00D11830">
              <w:t>’</w:t>
            </w:r>
            <w:r w:rsidRPr="002873F3">
              <w:t xml:space="preserve">enfant 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2 ans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5 ans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A765D2">
            <w:pPr>
              <w:spacing w:before="40" w:after="120"/>
              <w:ind w:right="113"/>
              <w:rPr>
                <w:lang w:val="fr-FR"/>
              </w:rPr>
            </w:pPr>
            <w:r w:rsidRPr="002873F3">
              <w:t>Convention i</w:t>
            </w:r>
            <w:r w:rsidR="00A765D2">
              <w:t>nternationale sur la protection</w:t>
            </w:r>
            <w:r w:rsidR="00A765D2">
              <w:br/>
            </w:r>
            <w:r w:rsidRPr="002873F3">
              <w:t>des droits de tous les</w:t>
            </w:r>
            <w:r w:rsidR="00A765D2">
              <w:t> </w:t>
            </w:r>
            <w:r w:rsidRPr="002873F3">
              <w:t>travailleurs migrants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1 an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5 ans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A765D2">
            <w:pPr>
              <w:spacing w:before="40" w:after="120"/>
              <w:ind w:right="113"/>
              <w:rPr>
                <w:lang w:val="fr-FR"/>
              </w:rPr>
            </w:pPr>
            <w:r w:rsidRPr="002873F3">
              <w:t>Protocole facultatif à la</w:t>
            </w:r>
            <w:r w:rsidR="00A765D2">
              <w:t> </w:t>
            </w:r>
            <w:r w:rsidRPr="002873F3">
              <w:t>Convention relative aux droits de l</w:t>
            </w:r>
            <w:r w:rsidR="00D11830">
              <w:t>’</w:t>
            </w:r>
            <w:r w:rsidRPr="002873F3">
              <w:t>enfant concernant</w:t>
            </w:r>
            <w:r w:rsidR="00A765D2">
              <w:t> </w:t>
            </w:r>
            <w:r w:rsidRPr="002873F3">
              <w:t>la vente d</w:t>
            </w:r>
            <w:r w:rsidR="00D11830">
              <w:t>’</w:t>
            </w:r>
            <w:r w:rsidR="00A765D2">
              <w:t>enfants, la prostitution des </w:t>
            </w:r>
            <w:r w:rsidRPr="002873F3">
              <w:t>enfants et la pornographie mettant en</w:t>
            </w:r>
            <w:r w:rsidR="00A765D2">
              <w:t> </w:t>
            </w:r>
            <w:r w:rsidRPr="002873F3">
              <w:t>scène des enfants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F829D2" w:rsidP="002873F3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 an</w:t>
            </w:r>
            <w:r w:rsidR="00E04006">
              <w:rPr>
                <w:lang w:val="fr-FR"/>
              </w:rPr>
              <w:t>s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BA505B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5 ans ou en même temps que le prochain rapport présenté au Comité des droits de</w:t>
            </w:r>
            <w:r w:rsidR="00BA505B">
              <w:rPr>
                <w:lang w:val="fr-FR"/>
              </w:rPr>
              <w:t> </w:t>
            </w:r>
            <w:r w:rsidRPr="002873F3">
              <w:rPr>
                <w:lang w:val="fr-FR"/>
              </w:rPr>
              <w:t>l</w:t>
            </w:r>
            <w:r w:rsidR="00D11830">
              <w:rPr>
                <w:lang w:val="fr-FR"/>
              </w:rPr>
              <w:t>’</w:t>
            </w:r>
            <w:r w:rsidRPr="002873F3">
              <w:rPr>
                <w:lang w:val="fr-FR"/>
              </w:rPr>
              <w:t>enfant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A765D2">
            <w:pPr>
              <w:spacing w:before="40" w:after="120"/>
              <w:ind w:right="113"/>
              <w:rPr>
                <w:lang w:val="fr-FR"/>
              </w:rPr>
            </w:pPr>
            <w:r w:rsidRPr="002873F3">
              <w:t>Protocole facultatif à la</w:t>
            </w:r>
            <w:r w:rsidR="00A765D2">
              <w:t> </w:t>
            </w:r>
            <w:r w:rsidRPr="002873F3">
              <w:t>Convention relative aux</w:t>
            </w:r>
            <w:r w:rsidR="00A765D2">
              <w:t> </w:t>
            </w:r>
            <w:r w:rsidRPr="002873F3">
              <w:t>droits de l</w:t>
            </w:r>
            <w:r w:rsidR="00D11830">
              <w:t>’</w:t>
            </w:r>
            <w:r w:rsidRPr="002873F3">
              <w:t>enfant, concernant l</w:t>
            </w:r>
            <w:r w:rsidR="00D11830">
              <w:t>’</w:t>
            </w:r>
            <w:r w:rsidRPr="002873F3">
              <w:t>implication d</w:t>
            </w:r>
            <w:r w:rsidR="00D11830">
              <w:t>’</w:t>
            </w:r>
            <w:r w:rsidRPr="002873F3">
              <w:t>enfants dans les conflits</w:t>
            </w:r>
            <w:r w:rsidR="00A765D2">
              <w:t> </w:t>
            </w:r>
            <w:r w:rsidRPr="002873F3">
              <w:t xml:space="preserve">armés 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2 ans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5 ans ou en même temps que le prochain rapport présenté au Comité des droits de l</w:t>
            </w:r>
            <w:r w:rsidR="00D11830">
              <w:rPr>
                <w:lang w:val="fr-FR"/>
              </w:rPr>
              <w:t>’</w:t>
            </w:r>
            <w:r w:rsidRPr="002873F3">
              <w:rPr>
                <w:lang w:val="fr-FR"/>
              </w:rPr>
              <w:t>enfant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shd w:val="clear" w:color="auto" w:fill="auto"/>
          </w:tcPr>
          <w:p w:rsidR="004C7EF1" w:rsidRPr="002873F3" w:rsidRDefault="004C7EF1" w:rsidP="00A765D2">
            <w:pPr>
              <w:spacing w:before="40" w:after="120"/>
              <w:ind w:right="113"/>
              <w:rPr>
                <w:lang w:val="fr-FR"/>
              </w:rPr>
            </w:pPr>
            <w:r w:rsidRPr="002873F3">
              <w:t>Convention relative aux</w:t>
            </w:r>
            <w:r w:rsidR="00A765D2">
              <w:t> </w:t>
            </w:r>
            <w:r w:rsidRPr="002873F3">
              <w:t>droits des personnes handicapées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2 ans</w:t>
            </w:r>
          </w:p>
        </w:tc>
        <w:tc>
          <w:tcPr>
            <w:tcW w:w="2457" w:type="dxa"/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4 ans</w:t>
            </w:r>
          </w:p>
        </w:tc>
      </w:tr>
      <w:tr w:rsidR="004C7EF1" w:rsidRPr="002873F3" w:rsidTr="00A6521A">
        <w:trPr>
          <w:cantSplit/>
        </w:trPr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Convention internationale pour la protection de toutes les personnes contre les disparitions forcées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4C7EF1" w:rsidRPr="002873F3" w:rsidRDefault="004C7EF1" w:rsidP="002873F3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2 ans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:rsidR="004C7EF1" w:rsidRPr="002873F3" w:rsidRDefault="004C7EF1" w:rsidP="00F829D2">
            <w:pPr>
              <w:spacing w:before="40" w:after="120"/>
              <w:ind w:right="113"/>
              <w:rPr>
                <w:lang w:val="fr-FR"/>
              </w:rPr>
            </w:pPr>
            <w:r w:rsidRPr="002873F3">
              <w:rPr>
                <w:lang w:val="fr-FR"/>
              </w:rPr>
              <w:t>Sur demande du Comité des</w:t>
            </w:r>
            <w:r w:rsidR="00F829D2">
              <w:rPr>
                <w:lang w:val="fr-FR"/>
              </w:rPr>
              <w:t> </w:t>
            </w:r>
            <w:r w:rsidRPr="002873F3">
              <w:rPr>
                <w:lang w:val="fr-FR"/>
              </w:rPr>
              <w:t xml:space="preserve">disparitions forcées </w:t>
            </w:r>
            <w:r w:rsidR="00F829D2">
              <w:rPr>
                <w:lang w:val="fr-FR"/>
              </w:rPr>
              <w:br/>
              <w:t>(art. </w:t>
            </w:r>
            <w:r w:rsidRPr="002873F3">
              <w:rPr>
                <w:lang w:val="fr-FR"/>
              </w:rPr>
              <w:t>29 4))</w:t>
            </w:r>
          </w:p>
        </w:tc>
      </w:tr>
    </w:tbl>
    <w:p w:rsidR="004C7EF1" w:rsidRPr="0011365F" w:rsidRDefault="004C7EF1" w:rsidP="00A765D2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spacing w:before="240"/>
        <w:ind w:left="1134" w:firstLine="0"/>
        <w:rPr>
          <w:lang w:val="fr-FR"/>
        </w:rPr>
      </w:pPr>
      <w:r>
        <w:rPr>
          <w:lang w:val="fr-FR"/>
        </w:rPr>
        <w:t xml:space="preserve">Le Pacte international relatif aux droits économiques, sociaux et culturels et le </w:t>
      </w:r>
      <w:r w:rsidRPr="0011365F">
        <w:rPr>
          <w:lang w:val="fr-FR"/>
        </w:rPr>
        <w:t>Pacte international relatif aux droits civils et politiques</w:t>
      </w:r>
      <w:r>
        <w:rPr>
          <w:lang w:val="fr-FR"/>
        </w:rPr>
        <w:t xml:space="preserve"> ne fixent pas expressément de périodicité pour la présentation des rapports. Toutefois, conformément à l</w:t>
      </w:r>
      <w:r w:rsidR="00D11830">
        <w:rPr>
          <w:lang w:val="fr-FR"/>
        </w:rPr>
        <w:t>’</w:t>
      </w:r>
      <w:r>
        <w:rPr>
          <w:lang w:val="fr-FR"/>
        </w:rPr>
        <w:t>a</w:t>
      </w:r>
      <w:r w:rsidRPr="0011365F">
        <w:rPr>
          <w:lang w:val="fr-FR"/>
        </w:rPr>
        <w:t xml:space="preserve">rticle 40 </w:t>
      </w:r>
      <w:r>
        <w:rPr>
          <w:lang w:val="fr-FR"/>
        </w:rPr>
        <w:t xml:space="preserve">du </w:t>
      </w:r>
      <w:r w:rsidRPr="00A81309">
        <w:rPr>
          <w:lang w:val="fr-FR"/>
        </w:rPr>
        <w:t>Pacte international relatif aux droits civils et politiques</w:t>
      </w:r>
      <w:r>
        <w:rPr>
          <w:lang w:val="fr-FR"/>
        </w:rPr>
        <w:t>,</w:t>
      </w:r>
      <w:r>
        <w:rPr>
          <w:rFonts w:eastAsia="SimSun"/>
          <w:lang w:val="fr-FR" w:eastAsia="zh-CN"/>
        </w:rPr>
        <w:t xml:space="preserve"> le </w:t>
      </w:r>
      <w:r>
        <w:rPr>
          <w:lang w:val="fr-FR"/>
        </w:rPr>
        <w:t>Comité des droits de l</w:t>
      </w:r>
      <w:r w:rsidR="00D11830">
        <w:rPr>
          <w:lang w:val="fr-FR"/>
        </w:rPr>
        <w:t>’</w:t>
      </w:r>
      <w:r>
        <w:rPr>
          <w:lang w:val="fr-FR"/>
        </w:rPr>
        <w:t>homme</w:t>
      </w:r>
      <w:r w:rsidRPr="0011365F">
        <w:rPr>
          <w:lang w:val="fr-FR"/>
        </w:rPr>
        <w:t xml:space="preserve"> </w:t>
      </w:r>
      <w:r>
        <w:t>fixe comme il l</w:t>
      </w:r>
      <w:r w:rsidR="00D11830">
        <w:t>’</w:t>
      </w:r>
      <w:r>
        <w:t>entend la période à laquelle les rapports périodiques doivent lui parvenir</w:t>
      </w:r>
      <w:r w:rsidRPr="0011365F">
        <w:rPr>
          <w:lang w:val="fr-FR"/>
        </w:rPr>
        <w:t xml:space="preserve">. </w:t>
      </w:r>
      <w:r>
        <w:rPr>
          <w:lang w:val="fr-FR"/>
        </w:rPr>
        <w:t>Le</w:t>
      </w:r>
      <w:r w:rsidR="00A765D2">
        <w:rPr>
          <w:lang w:val="fr-FR"/>
        </w:rPr>
        <w:t> </w:t>
      </w:r>
      <w:r>
        <w:rPr>
          <w:lang w:val="fr-FR"/>
        </w:rPr>
        <w:t>Comité</w:t>
      </w:r>
      <w:r w:rsidRPr="0011365F">
        <w:rPr>
          <w:lang w:val="fr-FR"/>
        </w:rPr>
        <w:t xml:space="preserve"> </w:t>
      </w:r>
      <w:r>
        <w:rPr>
          <w:lang w:val="fr-FR"/>
        </w:rPr>
        <w:t>demande aux États parties de présenter des rapports périodiques tous les trois à six ans, suivant la situation, à compter de l</w:t>
      </w:r>
      <w:r w:rsidR="00D11830">
        <w:rPr>
          <w:lang w:val="fr-FR"/>
        </w:rPr>
        <w:t>’</w:t>
      </w:r>
      <w:r>
        <w:rPr>
          <w:lang w:val="fr-FR"/>
        </w:rPr>
        <w:t>examen du rapport initial. En vertu de l</w:t>
      </w:r>
      <w:r w:rsidR="00D11830">
        <w:rPr>
          <w:lang w:val="fr-FR"/>
        </w:rPr>
        <w:t>’</w:t>
      </w:r>
      <w:r>
        <w:rPr>
          <w:lang w:val="fr-FR"/>
        </w:rPr>
        <w:t>a</w:t>
      </w:r>
      <w:r w:rsidRPr="0011365F">
        <w:rPr>
          <w:lang w:val="fr-FR"/>
        </w:rPr>
        <w:t>rticle</w:t>
      </w:r>
      <w:r w:rsidR="00A765D2">
        <w:rPr>
          <w:lang w:val="fr-FR"/>
        </w:rPr>
        <w:t> </w:t>
      </w:r>
      <w:r w:rsidRPr="0011365F">
        <w:rPr>
          <w:lang w:val="fr-FR"/>
        </w:rPr>
        <w:t xml:space="preserve">17 </w:t>
      </w:r>
      <w:r>
        <w:rPr>
          <w:lang w:val="fr-FR"/>
        </w:rPr>
        <w:t>du Pacte international relatif aux droits économ</w:t>
      </w:r>
      <w:r w:rsidR="00A765D2">
        <w:rPr>
          <w:lang w:val="fr-FR"/>
        </w:rPr>
        <w:t>iques, sociaux et culturels, le </w:t>
      </w:r>
      <w:r w:rsidRPr="00E21DC5">
        <w:t>Conseil économique et social</w:t>
      </w:r>
      <w:r>
        <w:t xml:space="preserve"> </w:t>
      </w:r>
      <w:r>
        <w:rPr>
          <w:lang w:val="fr-FR"/>
        </w:rPr>
        <w:t>fixe lui aussi comme il l</w:t>
      </w:r>
      <w:r w:rsidR="00D11830">
        <w:rPr>
          <w:lang w:val="fr-FR"/>
        </w:rPr>
        <w:t>’</w:t>
      </w:r>
      <w:r>
        <w:rPr>
          <w:lang w:val="fr-FR"/>
        </w:rPr>
        <w:t>entend</w:t>
      </w:r>
      <w:r w:rsidRPr="0011365F">
        <w:rPr>
          <w:lang w:val="fr-FR"/>
        </w:rPr>
        <w:t xml:space="preserve"> </w:t>
      </w:r>
      <w:r>
        <w:rPr>
          <w:lang w:val="fr-FR"/>
        </w:rPr>
        <w:t>la fréquence à laquelle les rapports au titre du Pacte doivent lui être soumis</w:t>
      </w:r>
      <w:r w:rsidRPr="0011365F">
        <w:rPr>
          <w:lang w:val="fr-FR"/>
        </w:rPr>
        <w:t xml:space="preserve">. </w:t>
      </w:r>
      <w:r>
        <w:rPr>
          <w:lang w:val="fr-FR"/>
        </w:rPr>
        <w:t>Conformément à la Convention internationale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raciale</w:t>
      </w:r>
      <w:r w:rsidRPr="0011365F">
        <w:rPr>
          <w:rFonts w:eastAsia="SimSun"/>
          <w:lang w:val="fr-FR" w:eastAsia="zh-CN"/>
        </w:rPr>
        <w:t xml:space="preserve">, </w:t>
      </w:r>
      <w:r>
        <w:rPr>
          <w:rFonts w:eastAsia="SimSun"/>
          <w:lang w:val="fr-FR" w:eastAsia="zh-CN"/>
        </w:rPr>
        <w:t xml:space="preserve">les États parties sont tenus de présenter un rapport tous les deux ans, mais ils ont la possibilité de </w:t>
      </w:r>
      <w:r>
        <w:rPr>
          <w:lang w:val="fr-FR"/>
        </w:rPr>
        <w:t>présenter deux rapports en un seul document</w:t>
      </w:r>
      <w:r w:rsidRPr="0011365F">
        <w:rPr>
          <w:lang w:val="fr-FR"/>
        </w:rPr>
        <w:t xml:space="preserve">, </w:t>
      </w:r>
      <w:r>
        <w:rPr>
          <w:lang w:val="fr-FR"/>
        </w:rPr>
        <w:t>ce qui porte, de fait, la</w:t>
      </w:r>
      <w:r w:rsidRPr="0011365F">
        <w:rPr>
          <w:lang w:val="fr-FR"/>
        </w:rPr>
        <w:t xml:space="preserve"> périodicité </w:t>
      </w:r>
      <w:r>
        <w:rPr>
          <w:lang w:val="fr-FR"/>
        </w:rPr>
        <w:t>à quatre ans</w:t>
      </w:r>
      <w:r w:rsidRPr="0011365F">
        <w:rPr>
          <w:lang w:val="fr-FR"/>
        </w:rPr>
        <w:t xml:space="preserve">. </w:t>
      </w:r>
      <w:r>
        <w:rPr>
          <w:lang w:val="fr-FR"/>
        </w:rPr>
        <w:t xml:space="preserve">Bien que </w:t>
      </w:r>
      <w:r>
        <w:rPr>
          <w:rFonts w:eastAsia="SimSun"/>
          <w:lang w:val="fr-FR" w:eastAsia="zh-CN"/>
        </w:rPr>
        <w:t xml:space="preserve">la </w:t>
      </w:r>
      <w:r w:rsidRPr="00A81309">
        <w:rPr>
          <w:rFonts w:eastAsia="SimSun"/>
          <w:lang w:val="fr-FR" w:eastAsia="zh-CN"/>
        </w:rPr>
        <w:t>Convention internationale pour la protection de toutes les personnes contre les disparitions forcées</w:t>
      </w:r>
      <w:r w:rsidRPr="0011365F">
        <w:rPr>
          <w:rFonts w:eastAsia="SimSun"/>
          <w:lang w:val="fr-FR" w:eastAsia="zh-CN"/>
        </w:rPr>
        <w:t xml:space="preserve"> </w:t>
      </w:r>
      <w:r>
        <w:rPr>
          <w:lang w:val="fr-FR"/>
        </w:rPr>
        <w:t>ne prévoie pas la présentation de rapports périodiques</w:t>
      </w:r>
      <w:r w:rsidRPr="0011365F">
        <w:rPr>
          <w:lang w:val="fr-FR"/>
        </w:rPr>
        <w:t xml:space="preserve">, </w:t>
      </w:r>
      <w:r>
        <w:rPr>
          <w:lang w:val="fr-FR"/>
        </w:rPr>
        <w:t>confo</w:t>
      </w:r>
      <w:r w:rsidR="00A765D2">
        <w:rPr>
          <w:lang w:val="fr-FR"/>
        </w:rPr>
        <w:t>rmément au paragraphe </w:t>
      </w:r>
      <w:r>
        <w:rPr>
          <w:lang w:val="fr-FR"/>
        </w:rPr>
        <w:t xml:space="preserve">4 de son </w:t>
      </w:r>
      <w:r w:rsidRPr="0011365F">
        <w:rPr>
          <w:lang w:val="fr-FR"/>
        </w:rPr>
        <w:t xml:space="preserve">article 29, </w:t>
      </w:r>
      <w:r>
        <w:rPr>
          <w:lang w:val="fr-FR"/>
        </w:rPr>
        <w:t>le Comité des disparitions forcées</w:t>
      </w:r>
      <w:r w:rsidRPr="0011365F">
        <w:rPr>
          <w:lang w:val="fr-FR"/>
        </w:rPr>
        <w:t xml:space="preserve"> </w:t>
      </w:r>
      <w:r>
        <w:rPr>
          <w:lang w:val="fr-FR"/>
        </w:rPr>
        <w:t xml:space="preserve">peut demander aux États parties </w:t>
      </w:r>
      <w:r>
        <w:t>des renseignements complémentaires sur la mise en application de la Convention</w:t>
      </w:r>
      <w:r w:rsidRPr="0011365F">
        <w:rPr>
          <w:lang w:val="fr-FR"/>
        </w:rPr>
        <w:t xml:space="preserve">, </w:t>
      </w:r>
      <w:r>
        <w:rPr>
          <w:lang w:val="fr-FR"/>
        </w:rPr>
        <w:t>en fonction</w:t>
      </w:r>
      <w:r w:rsidRPr="0011365F">
        <w:rPr>
          <w:lang w:val="fr-FR"/>
        </w:rPr>
        <w:t xml:space="preserve"> </w:t>
      </w:r>
      <w:r>
        <w:rPr>
          <w:lang w:val="fr-FR"/>
        </w:rPr>
        <w:t>de la manière dont l</w:t>
      </w:r>
      <w:r w:rsidR="00D11830">
        <w:rPr>
          <w:lang w:val="fr-FR"/>
        </w:rPr>
        <w:t>’</w:t>
      </w:r>
      <w:r>
        <w:rPr>
          <w:lang w:val="fr-FR"/>
        </w:rPr>
        <w:t>État partie intéressé s</w:t>
      </w:r>
      <w:r w:rsidR="00D11830">
        <w:rPr>
          <w:lang w:val="fr-FR"/>
        </w:rPr>
        <w:t>’</w:t>
      </w:r>
      <w:r>
        <w:rPr>
          <w:lang w:val="fr-FR"/>
        </w:rPr>
        <w:t>acquitte des obligations découlant de la Convention</w:t>
      </w:r>
      <w:r w:rsidRPr="0011365F">
        <w:rPr>
          <w:lang w:val="fr-FR"/>
        </w:rPr>
        <w:t>.</w:t>
      </w:r>
    </w:p>
    <w:p w:rsidR="004C7EF1" w:rsidRPr="0011365F" w:rsidRDefault="004C7EF1" w:rsidP="00A765D2">
      <w:pPr>
        <w:pStyle w:val="HChG"/>
        <w:rPr>
          <w:lang w:val="fr-FR"/>
        </w:rPr>
      </w:pPr>
      <w:r w:rsidRPr="0011365F">
        <w:rPr>
          <w:lang w:val="fr-FR"/>
        </w:rPr>
        <w:tab/>
        <w:t>III.</w:t>
      </w:r>
      <w:r w:rsidRPr="0011365F">
        <w:rPr>
          <w:lang w:val="fr-FR"/>
        </w:rPr>
        <w:tab/>
      </w:r>
      <w:r>
        <w:rPr>
          <w:lang w:val="fr-FR"/>
        </w:rPr>
        <w:t>R</w:t>
      </w:r>
      <w:r w:rsidRPr="00B17BDF">
        <w:rPr>
          <w:lang w:val="fr-FR"/>
        </w:rPr>
        <w:t>espect par les États parties de leurs obligations en matière d</w:t>
      </w:r>
      <w:r w:rsidR="00D11830">
        <w:rPr>
          <w:lang w:val="fr-FR"/>
        </w:rPr>
        <w:t>’</w:t>
      </w:r>
      <w:r w:rsidRPr="00B17BDF">
        <w:rPr>
          <w:lang w:val="fr-FR"/>
        </w:rPr>
        <w:t>établissement de rapport</w:t>
      </w:r>
      <w:r>
        <w:rPr>
          <w:lang w:val="fr-FR"/>
        </w:rPr>
        <w:t>s</w:t>
      </w:r>
      <w:r w:rsidR="00014F3F">
        <w:rPr>
          <w:lang w:val="fr-FR"/>
        </w:rPr>
        <w:t xml:space="preserve"> au 28 </w:t>
      </w:r>
      <w:r w:rsidRPr="00B17BDF">
        <w:rPr>
          <w:lang w:val="fr-FR"/>
        </w:rPr>
        <w:t>février 2015</w:t>
      </w:r>
    </w:p>
    <w:p w:rsidR="004C7EF1" w:rsidRPr="0011365F" w:rsidRDefault="004C7EF1" w:rsidP="00A765D2">
      <w:pPr>
        <w:pStyle w:val="H1G"/>
        <w:rPr>
          <w:lang w:val="fr-FR"/>
        </w:rPr>
      </w:pPr>
      <w:r w:rsidRPr="0011365F">
        <w:rPr>
          <w:lang w:val="fr-FR"/>
        </w:rPr>
        <w:tab/>
        <w:t>A.</w:t>
      </w:r>
      <w:r w:rsidRPr="0011365F">
        <w:rPr>
          <w:lang w:val="fr-FR"/>
        </w:rPr>
        <w:tab/>
      </w:r>
      <w:r>
        <w:rPr>
          <w:lang w:val="fr-FR"/>
        </w:rPr>
        <w:t>États</w:t>
      </w:r>
      <w:r w:rsidRPr="0011365F">
        <w:rPr>
          <w:lang w:val="fr-FR"/>
        </w:rPr>
        <w:t xml:space="preserve"> parties </w:t>
      </w:r>
      <w:r>
        <w:rPr>
          <w:lang w:val="fr-FR"/>
        </w:rPr>
        <w:t>n</w:t>
      </w:r>
      <w:r w:rsidR="00D11830">
        <w:rPr>
          <w:lang w:val="fr-FR"/>
        </w:rPr>
        <w:t>’</w:t>
      </w:r>
      <w:r>
        <w:rPr>
          <w:lang w:val="fr-FR"/>
        </w:rPr>
        <w:t>ayant pas de rapport en retard</w:t>
      </w:r>
      <w:r w:rsidRPr="0011365F">
        <w:rPr>
          <w:lang w:val="fr-FR"/>
        </w:rPr>
        <w:t xml:space="preserve"> </w:t>
      </w:r>
    </w:p>
    <w:p w:rsidR="004C7EF1" w:rsidRPr="00A765D2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lang w:val="fr-FR"/>
        </w:rPr>
      </w:pPr>
      <w:r>
        <w:rPr>
          <w:lang w:val="fr-FR"/>
        </w:rPr>
        <w:t>Vingt-neuf des</w:t>
      </w:r>
      <w:r w:rsidR="00A765D2">
        <w:rPr>
          <w:lang w:val="fr-FR"/>
        </w:rPr>
        <w:t xml:space="preserve"> 196 </w:t>
      </w:r>
      <w:r>
        <w:rPr>
          <w:lang w:val="fr-FR"/>
        </w:rPr>
        <w:t xml:space="preserve">États </w:t>
      </w:r>
      <w:r w:rsidRPr="0011365F">
        <w:rPr>
          <w:lang w:val="fr-FR"/>
        </w:rPr>
        <w:t xml:space="preserve">parties </w:t>
      </w:r>
      <w:r>
        <w:rPr>
          <w:lang w:val="fr-FR"/>
        </w:rPr>
        <w:t>ont soumis tous les rapports attendus au titre des instruments internationaux relatifs aux droits de l</w:t>
      </w:r>
      <w:r w:rsidR="00D11830">
        <w:rPr>
          <w:lang w:val="fr-FR"/>
        </w:rPr>
        <w:t>’</w:t>
      </w:r>
      <w:r>
        <w:rPr>
          <w:lang w:val="fr-FR"/>
        </w:rPr>
        <w:t xml:space="preserve">homme et des protocoles applicables </w:t>
      </w:r>
      <w:r w:rsidRPr="00A765D2">
        <w:rPr>
          <w:spacing w:val="-2"/>
          <w:lang w:val="fr-FR"/>
        </w:rPr>
        <w:t>(voir tableau 2). Bien que certains de ces États aient ratifié moins de cinq instruments relatifs aux droits de l</w:t>
      </w:r>
      <w:r w:rsidR="00D11830">
        <w:rPr>
          <w:spacing w:val="-2"/>
          <w:lang w:val="fr-FR"/>
        </w:rPr>
        <w:t>’</w:t>
      </w:r>
      <w:r w:rsidRPr="00A765D2">
        <w:rPr>
          <w:spacing w:val="-2"/>
          <w:lang w:val="fr-FR"/>
        </w:rPr>
        <w:t>homme, la plupart sont parties à un grand nombre d</w:t>
      </w:r>
      <w:r w:rsidR="00D11830">
        <w:rPr>
          <w:spacing w:val="-2"/>
          <w:lang w:val="fr-FR"/>
        </w:rPr>
        <w:t>’</w:t>
      </w:r>
      <w:r w:rsidRPr="00A765D2">
        <w:rPr>
          <w:spacing w:val="-2"/>
          <w:lang w:val="fr-FR"/>
        </w:rPr>
        <w:t>instruments (</w:t>
      </w:r>
      <w:r w:rsidR="00A765D2" w:rsidRPr="00A765D2">
        <w:rPr>
          <w:spacing w:val="-2"/>
          <w:lang w:val="fr-FR"/>
        </w:rPr>
        <w:t>8</w:t>
      </w:r>
      <w:r w:rsidR="00014F3F">
        <w:rPr>
          <w:spacing w:val="-2"/>
          <w:lang w:val="fr-FR"/>
        </w:rPr>
        <w:t xml:space="preserve"> à </w:t>
      </w:r>
      <w:r w:rsidRPr="00A765D2">
        <w:rPr>
          <w:spacing w:val="-2"/>
          <w:lang w:val="fr-FR"/>
        </w:rPr>
        <w:t>10).</w:t>
      </w:r>
    </w:p>
    <w:p w:rsidR="00A765D2" w:rsidRDefault="00A765D2" w:rsidP="00A765D2">
      <w:pPr>
        <w:pStyle w:val="Titre1"/>
        <w:rPr>
          <w:lang w:val="fr-FR"/>
        </w:rPr>
      </w:pPr>
      <w:r>
        <w:rPr>
          <w:lang w:val="fr-FR"/>
        </w:rPr>
        <w:t>Tableau 2</w:t>
      </w:r>
    </w:p>
    <w:p w:rsidR="00A765D2" w:rsidRPr="00A765D2" w:rsidRDefault="00A765D2" w:rsidP="00A765D2">
      <w:pPr>
        <w:pStyle w:val="Titre1"/>
        <w:spacing w:after="120"/>
        <w:rPr>
          <w:b/>
          <w:lang w:val="fr-FR"/>
        </w:rPr>
      </w:pPr>
      <w:r w:rsidRPr="00A765D2">
        <w:rPr>
          <w:b/>
          <w:lang w:val="fr-FR"/>
        </w:rPr>
        <w:t>États parties n</w:t>
      </w:r>
      <w:r w:rsidR="00D11830">
        <w:rPr>
          <w:b/>
          <w:lang w:val="fr-FR"/>
        </w:rPr>
        <w:t>’</w:t>
      </w:r>
      <w:r w:rsidRPr="00A765D2">
        <w:rPr>
          <w:b/>
          <w:lang w:val="fr-FR"/>
        </w:rPr>
        <w:t>ayant pas de rapport en retard au</w:t>
      </w:r>
      <w:r>
        <w:rPr>
          <w:b/>
          <w:lang w:val="fr-FR"/>
        </w:rPr>
        <w:t xml:space="preserve"> 28 </w:t>
      </w:r>
      <w:r w:rsidRPr="00A765D2">
        <w:rPr>
          <w:b/>
          <w:lang w:val="fr-FR"/>
        </w:rPr>
        <w:t>février 2015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4"/>
        <w:gridCol w:w="1841"/>
        <w:gridCol w:w="1843"/>
      </w:tblGrid>
      <w:tr w:rsidR="004C7EF1" w:rsidRPr="00A765D2" w:rsidTr="007F1E76">
        <w:trPr>
          <w:cantSplit/>
          <w:tblHeader/>
        </w:trPr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A765D2" w:rsidRDefault="004C7EF1" w:rsidP="00B51AA8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A765D2">
              <w:rPr>
                <w:i/>
                <w:sz w:val="16"/>
                <w:lang w:val="fr-FR"/>
              </w:rPr>
              <w:t>État partie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C301B7" w:rsidRDefault="004C7EF1" w:rsidP="00851C69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pacing w:val="-3"/>
                <w:sz w:val="16"/>
                <w:lang w:val="fr-FR"/>
              </w:rPr>
            </w:pPr>
            <w:r w:rsidRPr="00C301B7">
              <w:rPr>
                <w:i/>
                <w:spacing w:val="-3"/>
                <w:sz w:val="16"/>
                <w:lang w:val="fr-FR"/>
              </w:rPr>
              <w:t>Nombre d</w:t>
            </w:r>
            <w:r w:rsidR="00D11830" w:rsidRPr="00C301B7">
              <w:rPr>
                <w:i/>
                <w:spacing w:val="-3"/>
                <w:sz w:val="16"/>
                <w:lang w:val="fr-FR"/>
              </w:rPr>
              <w:t>’</w:t>
            </w:r>
            <w:r w:rsidRPr="00C301B7">
              <w:rPr>
                <w:i/>
                <w:spacing w:val="-3"/>
                <w:sz w:val="16"/>
                <w:lang w:val="fr-FR"/>
              </w:rPr>
              <w:t>instruments internation</w:t>
            </w:r>
            <w:r w:rsidR="004841D1" w:rsidRPr="00C301B7">
              <w:rPr>
                <w:i/>
                <w:spacing w:val="-3"/>
                <w:sz w:val="16"/>
                <w:lang w:val="fr-FR"/>
              </w:rPr>
              <w:t>aux relatifs aux </w:t>
            </w:r>
            <w:r w:rsidRPr="00C301B7">
              <w:rPr>
                <w:i/>
                <w:spacing w:val="-3"/>
                <w:sz w:val="16"/>
                <w:lang w:val="fr-FR"/>
              </w:rPr>
              <w:t>droits de l</w:t>
            </w:r>
            <w:r w:rsidR="00D11830" w:rsidRPr="00C301B7">
              <w:rPr>
                <w:i/>
                <w:spacing w:val="-3"/>
                <w:sz w:val="16"/>
                <w:lang w:val="fr-FR"/>
              </w:rPr>
              <w:t>’</w:t>
            </w:r>
            <w:r w:rsidR="004841D1" w:rsidRPr="00C301B7">
              <w:rPr>
                <w:i/>
                <w:spacing w:val="-3"/>
                <w:sz w:val="16"/>
                <w:lang w:val="fr-FR"/>
              </w:rPr>
              <w:t>homme et de protocoles facultatifs qui </w:t>
            </w:r>
            <w:r w:rsidRPr="00C301B7">
              <w:rPr>
                <w:i/>
                <w:spacing w:val="-3"/>
                <w:sz w:val="16"/>
                <w:lang w:val="fr-FR"/>
              </w:rPr>
              <w:t>ont été ratifiés par l</w:t>
            </w:r>
            <w:r w:rsidR="00D11830" w:rsidRPr="00C301B7">
              <w:rPr>
                <w:i/>
                <w:spacing w:val="-3"/>
                <w:sz w:val="16"/>
                <w:lang w:val="fr-FR"/>
              </w:rPr>
              <w:t>’</w:t>
            </w:r>
            <w:r w:rsidRPr="00C301B7">
              <w:rPr>
                <w:i/>
                <w:spacing w:val="-3"/>
                <w:sz w:val="16"/>
                <w:lang w:val="fr-FR"/>
              </w:rPr>
              <w:t>État partie ou auxquels l</w:t>
            </w:r>
            <w:r w:rsidR="00D11830" w:rsidRPr="00C301B7">
              <w:rPr>
                <w:i/>
                <w:spacing w:val="-3"/>
                <w:sz w:val="16"/>
                <w:lang w:val="fr-FR"/>
              </w:rPr>
              <w:t>’</w:t>
            </w:r>
            <w:r w:rsidR="00C301B7" w:rsidRPr="00C301B7">
              <w:rPr>
                <w:i/>
                <w:spacing w:val="-3"/>
                <w:sz w:val="16"/>
                <w:lang w:val="fr-FR"/>
              </w:rPr>
              <w:t xml:space="preserve">État partie a adhéré et qui </w:t>
            </w:r>
            <w:r w:rsidRPr="00C301B7">
              <w:rPr>
                <w:i/>
                <w:spacing w:val="-3"/>
                <w:sz w:val="16"/>
                <w:lang w:val="fr-FR"/>
              </w:rPr>
              <w:t>prévoient une procédure de présentation de rapports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A765D2" w:rsidRDefault="004C7EF1" w:rsidP="00B51AA8">
            <w:pPr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lang w:val="fr-FR"/>
              </w:rPr>
            </w:pPr>
            <w:r w:rsidRPr="00A765D2">
              <w:rPr>
                <w:i/>
                <w:sz w:val="16"/>
                <w:lang w:val="fr-FR"/>
              </w:rPr>
              <w:t>État partie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A765D2" w:rsidRDefault="004C7EF1" w:rsidP="002B760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A765D2">
              <w:rPr>
                <w:i/>
                <w:sz w:val="16"/>
                <w:lang w:val="fr-FR"/>
              </w:rPr>
              <w:t>Nombre d</w:t>
            </w:r>
            <w:r w:rsidR="00D11830">
              <w:rPr>
                <w:i/>
                <w:sz w:val="16"/>
                <w:lang w:val="fr-FR"/>
              </w:rPr>
              <w:t>’</w:t>
            </w:r>
            <w:r w:rsidRPr="00A765D2">
              <w:rPr>
                <w:i/>
                <w:sz w:val="16"/>
                <w:lang w:val="fr-FR"/>
              </w:rPr>
              <w:t>instruments internationaux relatifs au</w:t>
            </w:r>
            <w:r w:rsidR="004841D1">
              <w:rPr>
                <w:i/>
                <w:sz w:val="16"/>
                <w:lang w:val="fr-FR"/>
              </w:rPr>
              <w:t>x </w:t>
            </w:r>
            <w:r w:rsidRPr="00A765D2">
              <w:rPr>
                <w:i/>
                <w:sz w:val="16"/>
                <w:lang w:val="fr-FR"/>
              </w:rPr>
              <w:t>droits de l</w:t>
            </w:r>
            <w:r w:rsidR="00D11830">
              <w:rPr>
                <w:i/>
                <w:sz w:val="16"/>
                <w:lang w:val="fr-FR"/>
              </w:rPr>
              <w:t>’</w:t>
            </w:r>
            <w:r w:rsidR="004841D1">
              <w:rPr>
                <w:i/>
                <w:sz w:val="16"/>
                <w:lang w:val="fr-FR"/>
              </w:rPr>
              <w:t>homme et de protocoles facultatifs qui </w:t>
            </w:r>
            <w:r w:rsidRPr="00A765D2">
              <w:rPr>
                <w:i/>
                <w:sz w:val="16"/>
                <w:lang w:val="fr-FR"/>
              </w:rPr>
              <w:t>ont été ratifiés par l</w:t>
            </w:r>
            <w:r w:rsidR="00D11830">
              <w:rPr>
                <w:i/>
                <w:sz w:val="16"/>
                <w:lang w:val="fr-FR"/>
              </w:rPr>
              <w:t>’</w:t>
            </w:r>
            <w:r w:rsidR="004841D1">
              <w:rPr>
                <w:i/>
                <w:sz w:val="16"/>
                <w:lang w:val="fr-FR"/>
              </w:rPr>
              <w:t>État </w:t>
            </w:r>
            <w:r w:rsidRPr="00A765D2">
              <w:rPr>
                <w:i/>
                <w:sz w:val="16"/>
                <w:lang w:val="fr-FR"/>
              </w:rPr>
              <w:t>partie ou auxquels l</w:t>
            </w:r>
            <w:r w:rsidR="00D11830">
              <w:rPr>
                <w:i/>
                <w:sz w:val="16"/>
                <w:lang w:val="fr-FR"/>
              </w:rPr>
              <w:t>’</w:t>
            </w:r>
            <w:r w:rsidR="004841D1">
              <w:rPr>
                <w:i/>
                <w:sz w:val="16"/>
                <w:lang w:val="fr-FR"/>
              </w:rPr>
              <w:t>État partie a adhéré et qui </w:t>
            </w:r>
            <w:r w:rsidRPr="00A765D2">
              <w:rPr>
                <w:i/>
                <w:sz w:val="16"/>
                <w:lang w:val="fr-FR"/>
              </w:rPr>
              <w:t>prévoient une procédure de présentation de rapports</w:t>
            </w:r>
          </w:p>
        </w:tc>
      </w:tr>
      <w:tr w:rsidR="007F1E76" w:rsidRPr="00A765D2" w:rsidTr="00CA41C0">
        <w:trPr>
          <w:cantSplit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 xml:space="preserve">Azerbaïdjan 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Nioué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</w:t>
            </w:r>
          </w:p>
        </w:tc>
      </w:tr>
      <w:tr w:rsidR="007F1E76" w:rsidRPr="00A765D2" w:rsidTr="00CA41C0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Belgique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Norvège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</w:tr>
      <w:tr w:rsidR="007F1E76" w:rsidRPr="00A765D2" w:rsidTr="00CA41C0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Bhoutan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Nouvelle-Zélande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</w:tr>
      <w:tr w:rsidR="007F1E76" w:rsidRPr="00A765D2" w:rsidTr="00CA41C0">
        <w:trPr>
          <w:cantSplit/>
        </w:trPr>
        <w:tc>
          <w:tcPr>
            <w:tcW w:w="1842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Espagne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Oman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6</w:t>
            </w:r>
          </w:p>
        </w:tc>
      </w:tr>
      <w:tr w:rsidR="007F1E76" w:rsidRPr="00A765D2" w:rsidTr="007F1E76">
        <w:trPr>
          <w:cantSplit/>
        </w:trPr>
        <w:tc>
          <w:tcPr>
            <w:tcW w:w="1842" w:type="dxa"/>
            <w:shd w:val="clear" w:color="auto" w:fill="auto"/>
            <w:vAlign w:val="bottom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États-Unis d’Amérique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5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Ouzbékistan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8</w:t>
            </w:r>
          </w:p>
        </w:tc>
      </w:tr>
      <w:tr w:rsidR="007F1E76" w:rsidRPr="00A765D2" w:rsidTr="007F1E76">
        <w:trPr>
          <w:cantSplit/>
        </w:trPr>
        <w:tc>
          <w:tcPr>
            <w:tcW w:w="1842" w:type="dxa"/>
            <w:shd w:val="clear" w:color="auto" w:fill="auto"/>
            <w:vAlign w:val="bottom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pacing w:val="-2"/>
                <w:sz w:val="18"/>
                <w:lang w:val="fr-FR"/>
              </w:rPr>
            </w:pPr>
            <w:r w:rsidRPr="00CC1B7F">
              <w:rPr>
                <w:spacing w:val="-2"/>
                <w:sz w:val="18"/>
              </w:rPr>
              <w:t xml:space="preserve">ex-République yougoslave de Macédoine 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7F1E76" w:rsidRPr="00A765D2" w:rsidRDefault="007F1E76" w:rsidP="007F1E76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Portugal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</w:tr>
      <w:tr w:rsidR="007F1E76" w:rsidRPr="00A765D2" w:rsidTr="00263FAD">
        <w:trPr>
          <w:cantSplit/>
        </w:trPr>
        <w:tc>
          <w:tcPr>
            <w:tcW w:w="1842" w:type="dxa"/>
            <w:shd w:val="clear" w:color="auto" w:fill="auto"/>
            <w:vAlign w:val="bottom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Fédération de Russie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Qatar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7</w:t>
            </w:r>
          </w:p>
        </w:tc>
      </w:tr>
      <w:tr w:rsidR="007F1E76" w:rsidRPr="00A765D2" w:rsidTr="00263FAD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Guatemala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République tchèque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</w:tr>
      <w:tr w:rsidR="007F1E76" w:rsidRPr="00A765D2" w:rsidTr="000A2934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Iraq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Slovaquie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</w:tr>
      <w:tr w:rsidR="007F1E76" w:rsidRPr="00A765D2" w:rsidTr="000A2934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Kazakhstan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Suisse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</w:tr>
      <w:tr w:rsidR="007F1E76" w:rsidRPr="00A765D2" w:rsidTr="007F1E76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Kirghizistan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Singapour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4</w:t>
            </w:r>
          </w:p>
        </w:tc>
      </w:tr>
      <w:tr w:rsidR="007F1E76" w:rsidRPr="00A765D2" w:rsidTr="000A2934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Koweït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Saint-Siège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5</w:t>
            </w:r>
          </w:p>
        </w:tc>
      </w:tr>
      <w:tr w:rsidR="007F1E76" w:rsidRPr="00A765D2" w:rsidTr="007F1E76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Lituanie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Tuvalu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3</w:t>
            </w:r>
          </w:p>
        </w:tc>
      </w:tr>
      <w:tr w:rsidR="007F1E76" w:rsidRPr="00A765D2" w:rsidTr="007F1E76">
        <w:trPr>
          <w:cantSplit/>
        </w:trPr>
        <w:tc>
          <w:tcPr>
            <w:tcW w:w="1842" w:type="dxa"/>
            <w:shd w:val="clear" w:color="auto" w:fill="auto"/>
          </w:tcPr>
          <w:p w:rsidR="007F1E76" w:rsidRPr="00CC1B7F" w:rsidRDefault="007F1E76" w:rsidP="00CC1B7F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 w:rsidRPr="00CC1B7F">
              <w:rPr>
                <w:sz w:val="18"/>
                <w:lang w:val="fr-FR"/>
              </w:rPr>
              <w:t>Monténégro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F1E76" w:rsidRPr="00A765D2" w:rsidRDefault="007F1E76" w:rsidP="00851C69">
            <w:pPr>
              <w:suppressAutoHyphens w:val="0"/>
              <w:spacing w:before="40" w:after="40" w:line="220" w:lineRule="exact"/>
              <w:ind w:right="113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10</w:t>
            </w:r>
          </w:p>
        </w:tc>
        <w:tc>
          <w:tcPr>
            <w:tcW w:w="1841" w:type="dxa"/>
            <w:shd w:val="clear" w:color="auto" w:fill="auto"/>
            <w:vAlign w:val="bottom"/>
          </w:tcPr>
          <w:p w:rsidR="007F1E76" w:rsidRPr="00A765D2" w:rsidRDefault="007F1E76" w:rsidP="00864F89">
            <w:pPr>
              <w:suppressAutoHyphens w:val="0"/>
              <w:spacing w:before="40" w:after="40" w:line="220" w:lineRule="exact"/>
              <w:ind w:right="113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Venezuela</w:t>
            </w:r>
            <w:r>
              <w:rPr>
                <w:sz w:val="18"/>
                <w:lang w:val="fr-FR"/>
              </w:rPr>
              <w:br/>
            </w:r>
            <w:r w:rsidRPr="00A765D2">
              <w:rPr>
                <w:sz w:val="18"/>
                <w:lang w:val="fr-FR"/>
              </w:rPr>
              <w:t>(</w:t>
            </w:r>
            <w:proofErr w:type="spellStart"/>
            <w:r w:rsidRPr="00A765D2">
              <w:rPr>
                <w:sz w:val="18"/>
                <w:lang w:val="fr-FR"/>
              </w:rPr>
              <w:t>R</w:t>
            </w:r>
            <w:r>
              <w:rPr>
                <w:sz w:val="18"/>
                <w:lang w:val="fr-FR"/>
              </w:rPr>
              <w:t>ép</w:t>
            </w:r>
            <w:proofErr w:type="spellEnd"/>
            <w:r>
              <w:rPr>
                <w:sz w:val="18"/>
                <w:lang w:val="fr-FR"/>
              </w:rPr>
              <w:t>. </w:t>
            </w:r>
            <w:r w:rsidRPr="00A765D2">
              <w:rPr>
                <w:sz w:val="18"/>
                <w:lang w:val="fr-FR"/>
              </w:rPr>
              <w:t>bolivarienne du)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F1E76" w:rsidRPr="00A765D2" w:rsidRDefault="007F1E76" w:rsidP="002B76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A765D2">
              <w:rPr>
                <w:sz w:val="18"/>
                <w:lang w:val="fr-FR"/>
              </w:rPr>
              <w:t>9</w:t>
            </w:r>
          </w:p>
        </w:tc>
      </w:tr>
      <w:tr w:rsidR="004C7EF1" w:rsidRPr="00A765D2" w:rsidTr="00815D0B">
        <w:trPr>
          <w:cantSplit/>
        </w:trPr>
        <w:tc>
          <w:tcPr>
            <w:tcW w:w="737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A765D2" w:rsidRDefault="00803607" w:rsidP="005F68A1">
            <w:pPr>
              <w:suppressAutoHyphens w:val="0"/>
              <w:spacing w:before="80" w:after="80" w:line="220" w:lineRule="exact"/>
              <w:ind w:left="284"/>
              <w:rPr>
                <w:b/>
                <w:sz w:val="18"/>
                <w:lang w:val="fr-FR"/>
              </w:rPr>
            </w:pPr>
            <w:r w:rsidRPr="005F68A1">
              <w:rPr>
                <w:b/>
                <w:sz w:val="18"/>
                <w:lang w:val="fr-FR"/>
              </w:rPr>
              <w:t>Total: 2</w:t>
            </w:r>
            <w:r w:rsidR="005F68A1" w:rsidRPr="005F68A1">
              <w:rPr>
                <w:b/>
                <w:sz w:val="18"/>
                <w:lang w:val="fr-FR"/>
              </w:rPr>
              <w:t>8</w:t>
            </w:r>
            <w:r w:rsidRPr="005F68A1">
              <w:rPr>
                <w:b/>
                <w:sz w:val="18"/>
                <w:lang w:val="fr-FR"/>
              </w:rPr>
              <w:t> </w:t>
            </w:r>
            <w:r w:rsidR="004C7EF1" w:rsidRPr="005F68A1">
              <w:rPr>
                <w:b/>
                <w:sz w:val="18"/>
                <w:lang w:val="fr-FR"/>
              </w:rPr>
              <w:t>États parties</w:t>
            </w:r>
          </w:p>
        </w:tc>
      </w:tr>
    </w:tbl>
    <w:p w:rsidR="004C7EF1" w:rsidRPr="0011365F" w:rsidRDefault="004C7EF1" w:rsidP="00803607">
      <w:pPr>
        <w:pStyle w:val="H1G"/>
        <w:rPr>
          <w:lang w:val="fr-FR"/>
        </w:rPr>
      </w:pPr>
      <w:r w:rsidRPr="0011365F">
        <w:rPr>
          <w:lang w:val="fr-FR"/>
        </w:rPr>
        <w:tab/>
        <w:t>B.</w:t>
      </w:r>
      <w:r w:rsidRPr="0011365F">
        <w:rPr>
          <w:lang w:val="fr-FR"/>
        </w:rPr>
        <w:tab/>
      </w:r>
      <w:r>
        <w:rPr>
          <w:lang w:val="fr-FR"/>
        </w:rPr>
        <w:t>État des rapports en retard</w:t>
      </w:r>
      <w:r w:rsidRPr="0011365F">
        <w:rPr>
          <w:lang w:val="fr-FR"/>
        </w:rPr>
        <w:t xml:space="preserve"> </w:t>
      </w:r>
      <w:r>
        <w:rPr>
          <w:lang w:val="fr-FR"/>
        </w:rPr>
        <w:t>par</w:t>
      </w:r>
      <w:r w:rsidRPr="0011365F">
        <w:rPr>
          <w:lang w:val="fr-FR"/>
        </w:rPr>
        <w:t xml:space="preserve"> </w:t>
      </w:r>
      <w:r>
        <w:rPr>
          <w:lang w:val="fr-FR"/>
        </w:rPr>
        <w:t>État</w:t>
      </w:r>
      <w:r w:rsidRPr="0011365F">
        <w:rPr>
          <w:lang w:val="fr-FR"/>
        </w:rPr>
        <w:t xml:space="preserve"> part</w:t>
      </w:r>
      <w:r>
        <w:rPr>
          <w:lang w:val="fr-FR"/>
        </w:rPr>
        <w:t>ie</w:t>
      </w:r>
    </w:p>
    <w:p w:rsidR="004C7EF1" w:rsidRDefault="004C7EF1" w:rsidP="00D93B35">
      <w:pPr>
        <w:pStyle w:val="SingleTxtG"/>
        <w:keepNext/>
        <w:keepLines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lang w:val="fr-FR"/>
        </w:rPr>
      </w:pPr>
      <w:r>
        <w:rPr>
          <w:lang w:val="fr-FR"/>
        </w:rPr>
        <w:t>Le nombre de rapports initiaux et de rapports périodiques en retard</w:t>
      </w:r>
      <w:r w:rsidRPr="0011365F">
        <w:rPr>
          <w:lang w:val="fr-FR"/>
        </w:rPr>
        <w:t xml:space="preserve"> </w:t>
      </w:r>
      <w:r>
        <w:rPr>
          <w:lang w:val="fr-FR"/>
        </w:rPr>
        <w:t>par État par</w:t>
      </w:r>
      <w:r w:rsidR="00803607">
        <w:rPr>
          <w:lang w:val="fr-FR"/>
        </w:rPr>
        <w:t xml:space="preserve">tie se situe entre 1 </w:t>
      </w:r>
      <w:r>
        <w:rPr>
          <w:lang w:val="fr-FR"/>
        </w:rPr>
        <w:t>et</w:t>
      </w:r>
      <w:r w:rsidR="00803607">
        <w:rPr>
          <w:lang w:val="fr-FR"/>
        </w:rPr>
        <w:t> </w:t>
      </w:r>
      <w:r w:rsidRPr="0011365F">
        <w:rPr>
          <w:lang w:val="fr-FR"/>
        </w:rPr>
        <w:t xml:space="preserve">10. </w:t>
      </w:r>
      <w:r>
        <w:rPr>
          <w:lang w:val="fr-FR"/>
        </w:rPr>
        <w:t>Un État partie</w:t>
      </w:r>
      <w:r w:rsidRPr="0011365F">
        <w:rPr>
          <w:lang w:val="fr-FR"/>
        </w:rPr>
        <w:t xml:space="preserve"> </w:t>
      </w:r>
      <w:r>
        <w:rPr>
          <w:lang w:val="fr-FR"/>
        </w:rPr>
        <w:t>a</w:t>
      </w:r>
      <w:r w:rsidRPr="0011365F">
        <w:rPr>
          <w:lang w:val="fr-FR"/>
        </w:rPr>
        <w:t xml:space="preserve"> 10</w:t>
      </w:r>
      <w:r w:rsidR="00803607">
        <w:rPr>
          <w:lang w:val="fr-FR"/>
        </w:rPr>
        <w:t> </w:t>
      </w:r>
      <w:r>
        <w:rPr>
          <w:lang w:val="fr-FR"/>
        </w:rPr>
        <w:t>rapports en retard</w:t>
      </w:r>
      <w:r w:rsidRPr="0011365F">
        <w:rPr>
          <w:lang w:val="fr-FR"/>
        </w:rPr>
        <w:t xml:space="preserve">; </w:t>
      </w:r>
      <w:r w:rsidR="00803607">
        <w:rPr>
          <w:lang w:val="fr-FR"/>
        </w:rPr>
        <w:t>5 </w:t>
      </w:r>
      <w:r>
        <w:rPr>
          <w:lang w:val="fr-FR"/>
        </w:rPr>
        <w:t>États parti</w:t>
      </w:r>
      <w:r w:rsidRPr="0011365F">
        <w:rPr>
          <w:lang w:val="fr-FR"/>
        </w:rPr>
        <w:t>es</w:t>
      </w:r>
      <w:r>
        <w:rPr>
          <w:lang w:val="fr-FR"/>
        </w:rPr>
        <w:t xml:space="preserve"> ont</w:t>
      </w:r>
      <w:r w:rsidRPr="0011365F">
        <w:rPr>
          <w:lang w:val="fr-FR"/>
        </w:rPr>
        <w:t xml:space="preserve"> </w:t>
      </w:r>
      <w:r w:rsidR="00803607">
        <w:rPr>
          <w:lang w:val="fr-FR"/>
        </w:rPr>
        <w:t>9 </w:t>
      </w:r>
      <w:r>
        <w:rPr>
          <w:lang w:val="fr-FR"/>
        </w:rPr>
        <w:t>rapports en retard</w:t>
      </w:r>
      <w:r w:rsidRPr="0011365F">
        <w:rPr>
          <w:lang w:val="fr-FR"/>
        </w:rPr>
        <w:t xml:space="preserve">; </w:t>
      </w:r>
      <w:r w:rsidR="00803607">
        <w:rPr>
          <w:lang w:val="fr-FR"/>
        </w:rPr>
        <w:t>3</w:t>
      </w:r>
      <w:r w:rsidR="00D93B35">
        <w:rPr>
          <w:lang w:val="fr-FR"/>
        </w:rPr>
        <w:t> </w:t>
      </w:r>
      <w:r>
        <w:rPr>
          <w:lang w:val="fr-FR"/>
        </w:rPr>
        <w:t>en ont</w:t>
      </w:r>
      <w:r w:rsidRPr="0011365F">
        <w:rPr>
          <w:lang w:val="fr-FR"/>
        </w:rPr>
        <w:t xml:space="preserve"> </w:t>
      </w:r>
      <w:r w:rsidR="00803607">
        <w:rPr>
          <w:lang w:val="fr-FR"/>
        </w:rPr>
        <w:t>8</w:t>
      </w:r>
      <w:r w:rsidRPr="0011365F">
        <w:rPr>
          <w:lang w:val="fr-FR"/>
        </w:rPr>
        <w:t xml:space="preserve">; </w:t>
      </w:r>
      <w:r w:rsidR="00803607">
        <w:rPr>
          <w:lang w:val="fr-FR"/>
        </w:rPr>
        <w:t>7</w:t>
      </w:r>
      <w:r w:rsidR="00D93B35">
        <w:rPr>
          <w:lang w:val="fr-FR"/>
        </w:rPr>
        <w:t> </w:t>
      </w:r>
      <w:r w:rsidR="00014F3F">
        <w:rPr>
          <w:lang w:val="fr-FR"/>
        </w:rPr>
        <w:t>en ont </w:t>
      </w:r>
      <w:r w:rsidR="00803607">
        <w:rPr>
          <w:lang w:val="fr-FR"/>
        </w:rPr>
        <w:t>7</w:t>
      </w:r>
      <w:r w:rsidR="00D93B35">
        <w:rPr>
          <w:lang w:val="fr-FR"/>
        </w:rPr>
        <w:t>; 19 </w:t>
      </w:r>
      <w:r>
        <w:rPr>
          <w:lang w:val="fr-FR"/>
        </w:rPr>
        <w:t xml:space="preserve">en ont </w:t>
      </w:r>
      <w:r w:rsidR="00803607">
        <w:rPr>
          <w:lang w:val="fr-FR"/>
        </w:rPr>
        <w:t>6</w:t>
      </w:r>
      <w:r w:rsidR="00D93B35">
        <w:rPr>
          <w:lang w:val="fr-FR"/>
        </w:rPr>
        <w:t>; 21 </w:t>
      </w:r>
      <w:r w:rsidR="00014F3F">
        <w:rPr>
          <w:lang w:val="fr-FR"/>
        </w:rPr>
        <w:t>en ont </w:t>
      </w:r>
      <w:r w:rsidR="00803607">
        <w:rPr>
          <w:lang w:val="fr-FR"/>
        </w:rPr>
        <w:t>5</w:t>
      </w:r>
      <w:r w:rsidR="00D93B35">
        <w:rPr>
          <w:lang w:val="fr-FR"/>
        </w:rPr>
        <w:t>; 23 </w:t>
      </w:r>
      <w:r w:rsidR="00014F3F">
        <w:rPr>
          <w:lang w:val="fr-FR"/>
        </w:rPr>
        <w:t>en ont </w:t>
      </w:r>
      <w:r w:rsidR="00803607">
        <w:rPr>
          <w:lang w:val="fr-FR"/>
        </w:rPr>
        <w:t>4</w:t>
      </w:r>
      <w:r w:rsidR="00D93B35">
        <w:rPr>
          <w:lang w:val="fr-FR"/>
        </w:rPr>
        <w:t>; 24 </w:t>
      </w:r>
      <w:r w:rsidR="00803607">
        <w:rPr>
          <w:lang w:val="fr-FR"/>
        </w:rPr>
        <w:t>en ont 3</w:t>
      </w:r>
      <w:r w:rsidRPr="0011365F">
        <w:rPr>
          <w:lang w:val="fr-FR"/>
        </w:rPr>
        <w:t xml:space="preserve">; 31 </w:t>
      </w:r>
      <w:r w:rsidR="00803607">
        <w:rPr>
          <w:lang w:val="fr-FR"/>
        </w:rPr>
        <w:t>en ont 2</w:t>
      </w:r>
      <w:r>
        <w:rPr>
          <w:lang w:val="fr-FR"/>
        </w:rPr>
        <w:t xml:space="preserve"> et </w:t>
      </w:r>
      <w:r w:rsidR="00014F3F">
        <w:rPr>
          <w:lang w:val="fr-FR"/>
        </w:rPr>
        <w:t>32 </w:t>
      </w:r>
      <w:r w:rsidR="00803607">
        <w:rPr>
          <w:lang w:val="fr-FR"/>
        </w:rPr>
        <w:t>en ont 1</w:t>
      </w:r>
      <w:r w:rsidRPr="0011365F">
        <w:rPr>
          <w:lang w:val="fr-FR"/>
        </w:rPr>
        <w:t xml:space="preserve"> (</w:t>
      </w:r>
      <w:r>
        <w:rPr>
          <w:lang w:val="fr-FR"/>
        </w:rPr>
        <w:t>voir</w:t>
      </w:r>
      <w:r w:rsidRPr="0011365F">
        <w:rPr>
          <w:lang w:val="fr-FR"/>
        </w:rPr>
        <w:t xml:space="preserve"> table</w:t>
      </w:r>
      <w:r>
        <w:rPr>
          <w:lang w:val="fr-FR"/>
        </w:rPr>
        <w:t>au</w:t>
      </w:r>
      <w:r w:rsidR="00803607">
        <w:rPr>
          <w:lang w:val="fr-FR"/>
        </w:rPr>
        <w:t> </w:t>
      </w:r>
      <w:r w:rsidRPr="0011365F">
        <w:rPr>
          <w:lang w:val="fr-FR"/>
        </w:rPr>
        <w:t>3).</w:t>
      </w:r>
    </w:p>
    <w:p w:rsidR="0098082B" w:rsidRDefault="0098082B" w:rsidP="0098082B">
      <w:pPr>
        <w:pStyle w:val="Titre1"/>
        <w:rPr>
          <w:lang w:val="fr-FR"/>
        </w:rPr>
      </w:pPr>
      <w:r w:rsidRPr="0011365F">
        <w:rPr>
          <w:lang w:val="fr-FR"/>
        </w:rPr>
        <w:t>Table</w:t>
      </w:r>
      <w:r>
        <w:rPr>
          <w:lang w:val="fr-FR"/>
        </w:rPr>
        <w:t>au</w:t>
      </w:r>
      <w:r w:rsidR="00CC5F5A">
        <w:rPr>
          <w:lang w:val="fr-FR"/>
        </w:rPr>
        <w:t> </w:t>
      </w:r>
      <w:r w:rsidRPr="0011365F">
        <w:rPr>
          <w:lang w:val="fr-FR"/>
        </w:rPr>
        <w:t>3</w:t>
      </w:r>
    </w:p>
    <w:p w:rsidR="0098082B" w:rsidRPr="0098082B" w:rsidRDefault="0098082B" w:rsidP="0098082B">
      <w:pPr>
        <w:pStyle w:val="Titre1"/>
        <w:spacing w:after="120"/>
        <w:rPr>
          <w:b/>
          <w:lang w:val="fr-FR"/>
        </w:rPr>
      </w:pPr>
      <w:r w:rsidRPr="0098082B">
        <w:rPr>
          <w:b/>
          <w:lang w:val="fr-FR"/>
        </w:rPr>
        <w:t>Nombre de rapports en retard par État partie au 28</w:t>
      </w:r>
      <w:r>
        <w:rPr>
          <w:b/>
          <w:lang w:val="fr-FR"/>
        </w:rPr>
        <w:t> f</w:t>
      </w:r>
      <w:r w:rsidRPr="0098082B">
        <w:rPr>
          <w:b/>
          <w:lang w:val="fr-FR"/>
        </w:rPr>
        <w:t>évrier 2015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701"/>
      </w:tblGrid>
      <w:tr w:rsidR="0098082B" w:rsidRPr="0098082B" w:rsidTr="00C768C8">
        <w:trPr>
          <w:cantSplit/>
          <w:tblHeader/>
        </w:trPr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082B" w:rsidRPr="0098082B" w:rsidRDefault="0098082B" w:rsidP="0098082B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98082B">
              <w:rPr>
                <w:i/>
                <w:sz w:val="16"/>
              </w:rPr>
              <w:t>États parties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8082B" w:rsidRPr="0098082B" w:rsidRDefault="0098082B" w:rsidP="0098082B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98082B">
              <w:rPr>
                <w:i/>
                <w:sz w:val="16"/>
              </w:rPr>
              <w:t>Nombre</w:t>
            </w:r>
            <w:r>
              <w:rPr>
                <w:i/>
                <w:sz w:val="16"/>
              </w:rPr>
              <w:t xml:space="preserve"> de rapports en </w:t>
            </w:r>
            <w:r w:rsidRPr="0098082B">
              <w:rPr>
                <w:i/>
                <w:sz w:val="16"/>
              </w:rPr>
              <w:t>retard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98082B" w:rsidRPr="0098082B" w:rsidRDefault="0098082B" w:rsidP="00851C6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98082B">
              <w:rPr>
                <w:sz w:val="18"/>
              </w:rPr>
              <w:t>Nigéria (</w:t>
            </w:r>
            <w:r w:rsidR="00851C69">
              <w:rPr>
                <w:sz w:val="18"/>
              </w:rPr>
              <w:t>1 </w:t>
            </w:r>
            <w:r w:rsidRPr="0098082B">
              <w:rPr>
                <w:sz w:val="18"/>
              </w:rPr>
              <w:t>État partie)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8082B" w:rsidRPr="0098082B" w:rsidRDefault="0098082B" w:rsidP="00281A1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10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shd w:val="clear" w:color="auto" w:fill="auto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rPr>
                <w:sz w:val="18"/>
                <w:lang w:val="it-IT"/>
              </w:rPr>
            </w:pPr>
            <w:r w:rsidRPr="0098082B">
              <w:rPr>
                <w:sz w:val="18"/>
                <w:lang w:val="it-IT"/>
              </w:rPr>
              <w:t>Cabo Verde, Lesotho, Mali, Niger, Saint-Marin (</w:t>
            </w:r>
            <w:r w:rsidR="00397146">
              <w:rPr>
                <w:sz w:val="18"/>
                <w:lang w:val="it-IT"/>
              </w:rPr>
              <w:t>5 </w:t>
            </w:r>
            <w:r w:rsidRPr="0098082B">
              <w:rPr>
                <w:sz w:val="18"/>
              </w:rPr>
              <w:t xml:space="preserve">États </w:t>
            </w:r>
            <w:r w:rsidRPr="0098082B">
              <w:rPr>
                <w:sz w:val="18"/>
                <w:lang w:val="it-IT"/>
              </w:rPr>
              <w:t>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9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shd w:val="clear" w:color="auto" w:fill="auto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98082B">
              <w:rPr>
                <w:sz w:val="18"/>
              </w:rPr>
              <w:t>Libye, Saint-Vincent-et-les Grenadines, Swaziland (</w:t>
            </w:r>
            <w:r w:rsidR="00397146">
              <w:rPr>
                <w:sz w:val="18"/>
              </w:rPr>
              <w:t>3 </w:t>
            </w:r>
            <w:r w:rsidRPr="0098082B">
              <w:rPr>
                <w:sz w:val="18"/>
              </w:rPr>
              <w:t>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8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shd w:val="clear" w:color="auto" w:fill="auto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rPr>
                <w:sz w:val="18"/>
                <w:lang w:val="it-IT"/>
              </w:rPr>
            </w:pPr>
            <w:r w:rsidRPr="0098082B">
              <w:rPr>
                <w:sz w:val="18"/>
                <w:lang w:val="it-IT"/>
              </w:rPr>
              <w:t>Afghanistan, Bahreïn, Botswana, Dominique, Panama, Seychelles, Vanuatu (</w:t>
            </w:r>
            <w:r w:rsidR="00397146">
              <w:rPr>
                <w:sz w:val="18"/>
                <w:lang w:val="it-IT"/>
              </w:rPr>
              <w:t>7</w:t>
            </w:r>
            <w:r w:rsidRPr="0098082B">
              <w:rPr>
                <w:sz w:val="18"/>
                <w:lang w:val="it-IT"/>
              </w:rPr>
              <w:t> </w:t>
            </w:r>
            <w:r w:rsidRPr="0098082B">
              <w:rPr>
                <w:sz w:val="18"/>
              </w:rPr>
              <w:t xml:space="preserve">États </w:t>
            </w:r>
            <w:r w:rsidRPr="0098082B">
              <w:rPr>
                <w:sz w:val="18"/>
                <w:lang w:val="it-IT"/>
              </w:rPr>
              <w:t xml:space="preserve">parties)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7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shd w:val="clear" w:color="auto" w:fill="auto"/>
          </w:tcPr>
          <w:p w:rsidR="0098082B" w:rsidRPr="0098082B" w:rsidRDefault="0098082B" w:rsidP="006D3BFA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98082B">
              <w:rPr>
                <w:sz w:val="18"/>
              </w:rPr>
              <w:t>Bangladesh, Belize, Bénin, Bolivie (État plurinational de), Brésil, Côte d</w:t>
            </w:r>
            <w:r w:rsidR="00D11830">
              <w:rPr>
                <w:sz w:val="18"/>
              </w:rPr>
              <w:t>’</w:t>
            </w:r>
            <w:r w:rsidRPr="0098082B">
              <w:rPr>
                <w:sz w:val="18"/>
              </w:rPr>
              <w:t>Ivoire, Guinée équatoriale, Guinée, Guinée-Bissau, Indonésie, Liban, Mauritanie, Mozambique, Nicaragua, Pakistan, Roumanie, Sénégal, République arabe syrienne</w:t>
            </w:r>
            <w:r w:rsidR="006D3BFA">
              <w:rPr>
                <w:sz w:val="18"/>
              </w:rPr>
              <w:t xml:space="preserve">, </w:t>
            </w:r>
            <w:r w:rsidR="006D3BFA" w:rsidRPr="0098082B">
              <w:rPr>
                <w:sz w:val="18"/>
              </w:rPr>
              <w:t>Ré</w:t>
            </w:r>
            <w:r w:rsidR="006D3BFA">
              <w:rPr>
                <w:sz w:val="18"/>
              </w:rPr>
              <w:t>publique démocratique du Congo</w:t>
            </w:r>
            <w:r w:rsidR="00493198">
              <w:rPr>
                <w:sz w:val="18"/>
              </w:rPr>
              <w:br/>
            </w:r>
            <w:r w:rsidR="00D93B35">
              <w:rPr>
                <w:sz w:val="18"/>
              </w:rPr>
              <w:t>(19 </w:t>
            </w:r>
            <w:r w:rsidR="00D93B35">
              <w:rPr>
                <w:sz w:val="18"/>
                <w:lang w:val="it-IT"/>
              </w:rPr>
              <w:t>É</w:t>
            </w:r>
            <w:r w:rsidRPr="0098082B">
              <w:rPr>
                <w:sz w:val="18"/>
                <w:lang w:val="it-IT"/>
              </w:rPr>
              <w:t>tats parties</w:t>
            </w:r>
            <w:r w:rsidRPr="0098082B">
              <w:rPr>
                <w:sz w:val="1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6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shd w:val="clear" w:color="auto" w:fill="auto"/>
          </w:tcPr>
          <w:p w:rsidR="0098082B" w:rsidRPr="0098082B" w:rsidRDefault="006D3BFA" w:rsidP="00FA3E57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98082B">
              <w:rPr>
                <w:sz w:val="18"/>
              </w:rPr>
              <w:t>Arabie saoudite, Burkina Faso, Congo, Djibouti, Érythrée, Gabon, Grenade, Guyana, Hongrie, Inde, Jamaïque, Libéria, Liechtenstein, Ou</w:t>
            </w:r>
            <w:r>
              <w:rPr>
                <w:sz w:val="18"/>
              </w:rPr>
              <w:t xml:space="preserve">ganda, </w:t>
            </w:r>
            <w:r w:rsidRPr="0098082B">
              <w:rPr>
                <w:sz w:val="18"/>
              </w:rPr>
              <w:t xml:space="preserve">Malaisie, République démocratique populaire lao, Sri Lanka, Tchad, Timor-Leste, Tunisie, </w:t>
            </w:r>
            <w:r>
              <w:rPr>
                <w:sz w:val="18"/>
              </w:rPr>
              <w:t xml:space="preserve">Zambie </w:t>
            </w:r>
            <w:r w:rsidR="00D93B35">
              <w:rPr>
                <w:sz w:val="18"/>
              </w:rPr>
              <w:t>(21 </w:t>
            </w:r>
            <w:r w:rsidR="00D93B35">
              <w:rPr>
                <w:sz w:val="18"/>
                <w:lang w:val="it-IT"/>
              </w:rPr>
              <w:t>É</w:t>
            </w:r>
            <w:r w:rsidR="0098082B" w:rsidRPr="0098082B">
              <w:rPr>
                <w:sz w:val="18"/>
                <w:lang w:val="it-IT"/>
              </w:rPr>
              <w:t>tats parties</w:t>
            </w:r>
            <w:r w:rsidR="0098082B" w:rsidRPr="0098082B">
              <w:rPr>
                <w:sz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5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shd w:val="clear" w:color="auto" w:fill="auto"/>
          </w:tcPr>
          <w:p w:rsidR="0098082B" w:rsidRPr="0098082B" w:rsidRDefault="00D7700E" w:rsidP="00D7700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98082B">
              <w:rPr>
                <w:sz w:val="18"/>
              </w:rPr>
              <w:t xml:space="preserve">Afrique du Sud, </w:t>
            </w:r>
            <w:r w:rsidR="0098082B" w:rsidRPr="0098082B">
              <w:rPr>
                <w:sz w:val="18"/>
              </w:rPr>
              <w:t xml:space="preserve">Algérie, Antigua-et-Barbuda, Australie, Bahamas, Barbade, Burundi, Cambodge, Cameroun, Égypte, Géorgie, Honduras, Malawi, Malte, Nauru, Papouasie-Nouvelle-Guinée, </w:t>
            </w:r>
            <w:r w:rsidRPr="0098082B">
              <w:rPr>
                <w:sz w:val="18"/>
              </w:rPr>
              <w:t xml:space="preserve">République centrafricaine, </w:t>
            </w:r>
            <w:r w:rsidR="0098082B" w:rsidRPr="0098082B">
              <w:rPr>
                <w:sz w:val="18"/>
              </w:rPr>
              <w:t xml:space="preserve">République de Moldova, </w:t>
            </w:r>
            <w:r w:rsidRPr="0098082B">
              <w:rPr>
                <w:sz w:val="18"/>
              </w:rPr>
              <w:t xml:space="preserve">République populaire démocratique de Corée, </w:t>
            </w:r>
            <w:r w:rsidR="0098082B" w:rsidRPr="0098082B">
              <w:rPr>
                <w:sz w:val="18"/>
              </w:rPr>
              <w:t>Serbie, Somalie, Trinité-et-Tobago</w:t>
            </w:r>
            <w:r w:rsidR="00397146">
              <w:rPr>
                <w:sz w:val="18"/>
              </w:rPr>
              <w:t>, Zimbabwe (23 </w:t>
            </w:r>
            <w:r w:rsidR="00D93B35">
              <w:rPr>
                <w:sz w:val="18"/>
                <w:lang w:val="it-IT"/>
              </w:rPr>
              <w:t>É</w:t>
            </w:r>
            <w:r w:rsidR="0098082B" w:rsidRPr="0098082B">
              <w:rPr>
                <w:sz w:val="18"/>
                <w:lang w:val="it-IT"/>
              </w:rPr>
              <w:t>tats parties</w:t>
            </w:r>
            <w:r w:rsidR="0098082B" w:rsidRPr="0098082B">
              <w:rPr>
                <w:sz w:val="1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4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shd w:val="clear" w:color="auto" w:fill="auto"/>
          </w:tcPr>
          <w:p w:rsidR="0098082B" w:rsidRPr="0098082B" w:rsidRDefault="0098082B" w:rsidP="001253A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98082B">
              <w:rPr>
                <w:sz w:val="18"/>
              </w:rPr>
              <w:t xml:space="preserve">Comores, Croatie, Cuba, Éthiopie, Gambie, Ghana, </w:t>
            </w:r>
            <w:r w:rsidR="001253AD" w:rsidRPr="0098082B">
              <w:rPr>
                <w:sz w:val="18"/>
              </w:rPr>
              <w:t xml:space="preserve">Îles Salomon, </w:t>
            </w:r>
            <w:r w:rsidRPr="0098082B">
              <w:rPr>
                <w:sz w:val="18"/>
              </w:rPr>
              <w:t>Iran (République islamique d</w:t>
            </w:r>
            <w:r w:rsidR="00D11830">
              <w:rPr>
                <w:sz w:val="18"/>
              </w:rPr>
              <w:t>’</w:t>
            </w:r>
            <w:r w:rsidRPr="0098082B">
              <w:rPr>
                <w:sz w:val="18"/>
              </w:rPr>
              <w:t xml:space="preserve">), Kenya, Lettonie, Luxembourg, Madagascar, Maldives, Maurice, Monaco, Maroc, Namibie, </w:t>
            </w:r>
            <w:r w:rsidR="001253AD" w:rsidRPr="0098082B">
              <w:rPr>
                <w:sz w:val="18"/>
              </w:rPr>
              <w:t xml:space="preserve">République-Unie de Tanzanie, </w:t>
            </w:r>
            <w:r w:rsidRPr="0098082B">
              <w:rPr>
                <w:sz w:val="18"/>
              </w:rPr>
              <w:t xml:space="preserve">Saint-Kitts-et-Nevis, Sierra Leone, Suriname, Togo, Tunisie, </w:t>
            </w:r>
            <w:r w:rsidR="00493198">
              <w:rPr>
                <w:sz w:val="18"/>
              </w:rPr>
              <w:t>Yémen</w:t>
            </w:r>
            <w:r w:rsidR="00493198">
              <w:rPr>
                <w:sz w:val="18"/>
              </w:rPr>
              <w:br/>
            </w:r>
            <w:r w:rsidRPr="0098082B">
              <w:rPr>
                <w:sz w:val="18"/>
              </w:rPr>
              <w:t>(24 </w:t>
            </w:r>
            <w:r w:rsidR="00D93B35">
              <w:rPr>
                <w:sz w:val="18"/>
                <w:lang w:val="it-IT"/>
              </w:rPr>
              <w:t>É</w:t>
            </w:r>
            <w:r w:rsidRPr="0098082B">
              <w:rPr>
                <w:sz w:val="18"/>
                <w:lang w:val="it-IT"/>
              </w:rPr>
              <w:t>tats parties</w:t>
            </w:r>
            <w:r w:rsidRPr="0098082B">
              <w:rPr>
                <w:sz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3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shd w:val="clear" w:color="auto" w:fill="auto"/>
          </w:tcPr>
          <w:p w:rsidR="0098082B" w:rsidRPr="0098082B" w:rsidRDefault="0098082B" w:rsidP="00CE5996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98082B">
              <w:rPr>
                <w:sz w:val="18"/>
              </w:rPr>
              <w:t xml:space="preserve">Andorre, Angola, Argentine, Bélarus, Chili, Chine, Colombie, Chypre, </w:t>
            </w:r>
            <w:r w:rsidR="00CE5996" w:rsidRPr="0098082B">
              <w:rPr>
                <w:sz w:val="18"/>
              </w:rPr>
              <w:t>Émirats arabes unis</w:t>
            </w:r>
            <w:r w:rsidR="00CE5996">
              <w:rPr>
                <w:sz w:val="18"/>
              </w:rPr>
              <w:t xml:space="preserve">, </w:t>
            </w:r>
            <w:r w:rsidRPr="0098082B">
              <w:rPr>
                <w:sz w:val="18"/>
              </w:rPr>
              <w:t xml:space="preserve">Équateur, El Salvador, Grèce, Islande, Irlande, Israël, Italie, Japon, Jordanie, Kiribati, Îles Marshall, Micronésie (États fédérés de), Mongolie, Myanmar, Palaos, </w:t>
            </w:r>
            <w:r w:rsidR="00CE5996" w:rsidRPr="0098082B">
              <w:rPr>
                <w:sz w:val="18"/>
              </w:rPr>
              <w:t xml:space="preserve">République dominicaine, </w:t>
            </w:r>
            <w:r w:rsidRPr="0098082B">
              <w:rPr>
                <w:sz w:val="18"/>
              </w:rPr>
              <w:t>Rwanda, Sainte-Lucie, Samoa, Tadjikistan, Thaïl</w:t>
            </w:r>
            <w:r w:rsidR="00CE5996">
              <w:rPr>
                <w:sz w:val="18"/>
              </w:rPr>
              <w:t>ande, Tonga</w:t>
            </w:r>
            <w:r w:rsidRPr="0098082B">
              <w:rPr>
                <w:sz w:val="18"/>
              </w:rPr>
              <w:t xml:space="preserve"> </w:t>
            </w:r>
            <w:r w:rsidR="00D93B35">
              <w:rPr>
                <w:sz w:val="18"/>
              </w:rPr>
              <w:t>(31 </w:t>
            </w:r>
            <w:r w:rsidR="00D93B35">
              <w:rPr>
                <w:sz w:val="18"/>
                <w:lang w:val="it-IT"/>
              </w:rPr>
              <w:t>É</w:t>
            </w:r>
            <w:r w:rsidRPr="0098082B">
              <w:rPr>
                <w:sz w:val="18"/>
                <w:lang w:val="it-IT"/>
              </w:rPr>
              <w:t>tats parties</w:t>
            </w:r>
            <w:r w:rsidRPr="0098082B">
              <w:rPr>
                <w:sz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2</w:t>
            </w:r>
          </w:p>
        </w:tc>
      </w:tr>
      <w:tr w:rsidR="0098082B" w:rsidRPr="0098082B" w:rsidTr="00C768C8">
        <w:trPr>
          <w:cantSplit/>
        </w:trPr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</w:tcPr>
          <w:p w:rsidR="0098082B" w:rsidRPr="0098082B" w:rsidRDefault="0029102C" w:rsidP="0029102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98082B">
              <w:rPr>
                <w:sz w:val="18"/>
              </w:rPr>
              <w:t xml:space="preserve">Allemagne, </w:t>
            </w:r>
            <w:r w:rsidR="0098082B" w:rsidRPr="0098082B">
              <w:rPr>
                <w:sz w:val="18"/>
              </w:rPr>
              <w:t xml:space="preserve">Albanie, Autriche, Bosnie-Herzégovine, Brunéi Darussalam, Bulgarie, Canada, Îles Cook, Costa Rica, Danemark, Estonie, Fidji, Finlande, France, Haïti, Mexique, Népal, Pays-Bas, Paraguay, Pérou, Philippines, Pologne, République de Corée, </w:t>
            </w:r>
            <w:r w:rsidRPr="0098082B">
              <w:rPr>
                <w:sz w:val="18"/>
              </w:rPr>
              <w:t>Royaume-Uni de Grande-Bretagne et d</w:t>
            </w:r>
            <w:r>
              <w:rPr>
                <w:sz w:val="18"/>
              </w:rPr>
              <w:t>’</w:t>
            </w:r>
            <w:r w:rsidRPr="0098082B">
              <w:rPr>
                <w:sz w:val="18"/>
              </w:rPr>
              <w:t xml:space="preserve">Irlande du Nord, </w:t>
            </w:r>
            <w:r w:rsidR="0098082B" w:rsidRPr="0098082B">
              <w:rPr>
                <w:sz w:val="18"/>
              </w:rPr>
              <w:t>Sao Tomé-et-Principe, Slovénie, Soudan, Suède, Turkménistan, Ukraine</w:t>
            </w:r>
            <w:r>
              <w:rPr>
                <w:sz w:val="18"/>
              </w:rPr>
              <w:t xml:space="preserve">, </w:t>
            </w:r>
            <w:r w:rsidR="0098082B" w:rsidRPr="0098082B">
              <w:rPr>
                <w:sz w:val="18"/>
              </w:rPr>
              <w:t>Uruguay, Viet N</w:t>
            </w:r>
            <w:r w:rsidR="00D93B35">
              <w:rPr>
                <w:sz w:val="18"/>
              </w:rPr>
              <w:t>am (32 </w:t>
            </w:r>
            <w:r w:rsidR="00D93B35">
              <w:rPr>
                <w:sz w:val="18"/>
                <w:lang w:val="it-IT"/>
              </w:rPr>
              <w:t>É</w:t>
            </w:r>
            <w:r w:rsidR="0098082B" w:rsidRPr="0098082B">
              <w:rPr>
                <w:sz w:val="18"/>
                <w:lang w:val="it-IT"/>
              </w:rPr>
              <w:t>tats parties</w:t>
            </w:r>
            <w:r w:rsidR="0098082B" w:rsidRPr="0098082B">
              <w:rPr>
                <w:sz w:val="18"/>
              </w:rPr>
              <w:t xml:space="preserve">)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8082B" w:rsidRPr="0098082B" w:rsidRDefault="0098082B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98082B">
              <w:rPr>
                <w:sz w:val="18"/>
              </w:rPr>
              <w:t>1</w:t>
            </w:r>
          </w:p>
        </w:tc>
      </w:tr>
    </w:tbl>
    <w:p w:rsidR="004C7EF1" w:rsidRDefault="004C7EF1" w:rsidP="004C7EF1">
      <w:pPr>
        <w:pStyle w:val="SingleTxtG"/>
        <w:keepNext/>
        <w:numPr>
          <w:ilvl w:val="0"/>
          <w:numId w:val="17"/>
        </w:numPr>
        <w:kinsoku/>
        <w:overflowPunct/>
        <w:autoSpaceDE/>
        <w:autoSpaceDN/>
        <w:adjustRightInd/>
        <w:snapToGrid/>
        <w:spacing w:before="240"/>
        <w:ind w:left="1134" w:firstLine="0"/>
        <w:rPr>
          <w:lang w:val="fr-FR"/>
        </w:rPr>
      </w:pPr>
      <w:r>
        <w:rPr>
          <w:lang w:val="fr-FR"/>
        </w:rPr>
        <w:t>S</w:t>
      </w:r>
      <w:r w:rsidR="00D11830">
        <w:rPr>
          <w:lang w:val="fr-FR"/>
        </w:rPr>
        <w:t>’</w:t>
      </w:r>
      <w:r>
        <w:rPr>
          <w:lang w:val="fr-FR"/>
        </w:rPr>
        <w:t xml:space="preserve">agissant des rapports initiaux, </w:t>
      </w:r>
      <w:r w:rsidR="00D04A06">
        <w:rPr>
          <w:lang w:val="fr-FR"/>
        </w:rPr>
        <w:t>1 </w:t>
      </w:r>
      <w:r>
        <w:rPr>
          <w:lang w:val="fr-FR"/>
        </w:rPr>
        <w:t>État part</w:t>
      </w:r>
      <w:r w:rsidR="00D04A06">
        <w:rPr>
          <w:lang w:val="fr-FR"/>
        </w:rPr>
        <w:t xml:space="preserve">ie </w:t>
      </w:r>
      <w:proofErr w:type="spellStart"/>
      <w:r w:rsidR="00D04A06">
        <w:rPr>
          <w:lang w:val="fr-FR"/>
        </w:rPr>
        <w:t>a</w:t>
      </w:r>
      <w:proofErr w:type="spellEnd"/>
      <w:r w:rsidR="00D04A06">
        <w:rPr>
          <w:lang w:val="fr-FR"/>
        </w:rPr>
        <w:t> 7</w:t>
      </w:r>
      <w:r>
        <w:rPr>
          <w:lang w:val="fr-FR"/>
        </w:rPr>
        <w:t xml:space="preserve"> rapports en souffrance, </w:t>
      </w:r>
      <w:r w:rsidR="00D04A06">
        <w:rPr>
          <w:lang w:val="fr-FR"/>
        </w:rPr>
        <w:t>9 en ont 6</w:t>
      </w:r>
      <w:r>
        <w:rPr>
          <w:lang w:val="fr-FR"/>
        </w:rPr>
        <w:t xml:space="preserve">, </w:t>
      </w:r>
      <w:r w:rsidR="00D04A06">
        <w:rPr>
          <w:lang w:val="fr-FR"/>
        </w:rPr>
        <w:t>9 </w:t>
      </w:r>
      <w:r>
        <w:rPr>
          <w:lang w:val="fr-FR"/>
        </w:rPr>
        <w:t>en ont</w:t>
      </w:r>
      <w:r w:rsidR="00D04A06">
        <w:rPr>
          <w:lang w:val="fr-FR"/>
        </w:rPr>
        <w:t> 5</w:t>
      </w:r>
      <w:r>
        <w:rPr>
          <w:lang w:val="fr-FR"/>
        </w:rPr>
        <w:t>,</w:t>
      </w:r>
      <w:r w:rsidR="009B5AF1">
        <w:rPr>
          <w:lang w:val="fr-FR"/>
        </w:rPr>
        <w:t xml:space="preserve"> 15 </w:t>
      </w:r>
      <w:r w:rsidR="00D04A06">
        <w:rPr>
          <w:lang w:val="fr-FR"/>
        </w:rPr>
        <w:t>en ont 4</w:t>
      </w:r>
      <w:r>
        <w:rPr>
          <w:lang w:val="fr-FR"/>
        </w:rPr>
        <w:t>,</w:t>
      </w:r>
      <w:r w:rsidR="009B5AF1">
        <w:rPr>
          <w:lang w:val="fr-FR"/>
        </w:rPr>
        <w:t xml:space="preserve"> 14 </w:t>
      </w:r>
      <w:r w:rsidR="00D04A06">
        <w:rPr>
          <w:lang w:val="fr-FR"/>
        </w:rPr>
        <w:t>en ont 3</w:t>
      </w:r>
      <w:r>
        <w:rPr>
          <w:lang w:val="fr-FR"/>
        </w:rPr>
        <w:t>,</w:t>
      </w:r>
      <w:r w:rsidR="009B5AF1">
        <w:rPr>
          <w:lang w:val="fr-FR"/>
        </w:rPr>
        <w:t xml:space="preserve"> 28 </w:t>
      </w:r>
      <w:r w:rsidR="00D04A06">
        <w:rPr>
          <w:lang w:val="fr-FR"/>
        </w:rPr>
        <w:t xml:space="preserve">en ont 2 </w:t>
      </w:r>
      <w:r>
        <w:rPr>
          <w:lang w:val="fr-FR"/>
        </w:rPr>
        <w:t>et</w:t>
      </w:r>
      <w:r w:rsidR="009B5AF1">
        <w:rPr>
          <w:lang w:val="fr-FR"/>
        </w:rPr>
        <w:t xml:space="preserve"> 45 </w:t>
      </w:r>
      <w:r w:rsidR="00D04A06">
        <w:rPr>
          <w:lang w:val="fr-FR"/>
        </w:rPr>
        <w:t xml:space="preserve">en ont 1 </w:t>
      </w:r>
      <w:r w:rsidRPr="00210F79">
        <w:rPr>
          <w:lang w:val="fr-FR"/>
        </w:rPr>
        <w:t>(</w:t>
      </w:r>
      <w:r>
        <w:rPr>
          <w:lang w:val="fr-FR"/>
        </w:rPr>
        <w:t>voir</w:t>
      </w:r>
      <w:r w:rsidRPr="00210F79">
        <w:rPr>
          <w:lang w:val="fr-FR"/>
        </w:rPr>
        <w:t xml:space="preserve"> table</w:t>
      </w:r>
      <w:r>
        <w:rPr>
          <w:lang w:val="fr-FR"/>
        </w:rPr>
        <w:t>au</w:t>
      </w:r>
      <w:r w:rsidRPr="00210F79">
        <w:rPr>
          <w:lang w:val="fr-FR"/>
        </w:rPr>
        <w:t> 4).</w:t>
      </w:r>
    </w:p>
    <w:p w:rsidR="009B5AF1" w:rsidRDefault="009B5AF1" w:rsidP="009B5AF1">
      <w:pPr>
        <w:pStyle w:val="Titre1"/>
        <w:rPr>
          <w:lang w:val="fr-FR"/>
        </w:rPr>
      </w:pPr>
      <w:r w:rsidRPr="00210F79">
        <w:rPr>
          <w:lang w:val="fr-FR"/>
        </w:rPr>
        <w:t>Table</w:t>
      </w:r>
      <w:r>
        <w:rPr>
          <w:lang w:val="fr-FR"/>
        </w:rPr>
        <w:t>au </w:t>
      </w:r>
      <w:r w:rsidRPr="00210F79">
        <w:rPr>
          <w:lang w:val="fr-FR"/>
        </w:rPr>
        <w:t>4</w:t>
      </w:r>
    </w:p>
    <w:p w:rsidR="004C7EF1" w:rsidRPr="009B5AF1" w:rsidRDefault="009B5AF1" w:rsidP="009B5AF1">
      <w:pPr>
        <w:pStyle w:val="Titre1"/>
        <w:spacing w:after="120"/>
        <w:rPr>
          <w:b/>
          <w:lang w:val="fr-FR"/>
        </w:rPr>
      </w:pPr>
      <w:r w:rsidRPr="009B5AF1">
        <w:rPr>
          <w:b/>
          <w:lang w:val="fr-FR"/>
        </w:rPr>
        <w:t>Nombre de rapports initiaux en retard par État partie au 28</w:t>
      </w:r>
      <w:r>
        <w:rPr>
          <w:b/>
          <w:lang w:val="fr-FR"/>
        </w:rPr>
        <w:t> </w:t>
      </w:r>
      <w:r w:rsidRPr="009B5AF1">
        <w:rPr>
          <w:b/>
          <w:lang w:val="fr-FR"/>
        </w:rPr>
        <w:t>février 2015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701"/>
      </w:tblGrid>
      <w:tr w:rsidR="00FA3E57" w:rsidRPr="00FA3E57" w:rsidTr="00281A10">
        <w:trPr>
          <w:cantSplit/>
          <w:tblHeader/>
        </w:trPr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FA3E57">
              <w:rPr>
                <w:i/>
                <w:sz w:val="16"/>
                <w:lang w:val="fr-FR"/>
              </w:rPr>
              <w:t>États parties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FA3E57">
              <w:rPr>
                <w:i/>
                <w:sz w:val="16"/>
                <w:lang w:val="fr-FR"/>
              </w:rPr>
              <w:t xml:space="preserve">Nombre de rapports initiaux en retard </w:t>
            </w:r>
          </w:p>
        </w:tc>
      </w:tr>
      <w:tr w:rsidR="00FA3E57" w:rsidRPr="00FA3E57" w:rsidTr="00281A10">
        <w:trPr>
          <w:cantSplit/>
        </w:trPr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FA3E57" w:rsidRPr="00FA3E57" w:rsidRDefault="00FA3E57" w:rsidP="009C7322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Cabo Verde (</w:t>
            </w:r>
            <w:r w:rsidR="009C7322">
              <w:rPr>
                <w:sz w:val="18"/>
                <w:lang w:val="fr-FR"/>
              </w:rPr>
              <w:t>1</w:t>
            </w:r>
            <w:r w:rsidR="00196C0B">
              <w:rPr>
                <w:sz w:val="18"/>
                <w:lang w:val="fr-FR"/>
              </w:rPr>
              <w:t> </w:t>
            </w:r>
            <w:r w:rsidRPr="00FA3E57">
              <w:rPr>
                <w:sz w:val="18"/>
                <w:lang w:val="fr-FR"/>
              </w:rPr>
              <w:t>État partie)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7</w:t>
            </w:r>
          </w:p>
        </w:tc>
      </w:tr>
      <w:tr w:rsidR="00FA3E57" w:rsidRPr="00FA3E57" w:rsidTr="00281A10">
        <w:trPr>
          <w:cantSplit/>
        </w:trPr>
        <w:tc>
          <w:tcPr>
            <w:tcW w:w="5670" w:type="dxa"/>
            <w:shd w:val="clear" w:color="auto" w:fill="auto"/>
          </w:tcPr>
          <w:p w:rsidR="00FA3E57" w:rsidRPr="00FA3E57" w:rsidRDefault="00FA3E57" w:rsidP="00FA3E57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 xml:space="preserve">Dominique, Lesotho, Mali, Niger, Nigéria, </w:t>
            </w:r>
            <w:r w:rsidRPr="00FA3E57">
              <w:rPr>
                <w:sz w:val="18"/>
                <w:szCs w:val="18"/>
              </w:rPr>
              <w:t>Saint-Vincent-et-les Grenadines</w:t>
            </w:r>
            <w:r w:rsidRPr="00FA3E57">
              <w:rPr>
                <w:sz w:val="18"/>
                <w:lang w:val="fr-FR"/>
              </w:rPr>
              <w:t>, Saint-Marin, Swaziland, Vanuatu (9 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6</w:t>
            </w:r>
          </w:p>
        </w:tc>
      </w:tr>
      <w:tr w:rsidR="00FA3E57" w:rsidRPr="00FA3E57" w:rsidTr="00281A10">
        <w:trPr>
          <w:cantSplit/>
        </w:trPr>
        <w:tc>
          <w:tcPr>
            <w:tcW w:w="5670" w:type="dxa"/>
            <w:shd w:val="clear" w:color="auto" w:fill="auto"/>
          </w:tcPr>
          <w:p w:rsidR="00FA3E57" w:rsidRPr="00FA3E57" w:rsidRDefault="00FA3E57" w:rsidP="00584FE1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Bahreïn, Bangladesh, Érythrée, Grenade, Guinée-Bissau, Libéria, Pakistan, Seychelles, Timor-Leste (</w:t>
            </w:r>
            <w:r w:rsidR="00584FE1">
              <w:rPr>
                <w:sz w:val="18"/>
                <w:lang w:val="fr-FR"/>
              </w:rPr>
              <w:t>9 </w:t>
            </w:r>
            <w:r w:rsidRPr="00FA3E57">
              <w:rPr>
                <w:sz w:val="18"/>
                <w:lang w:val="fr-FR"/>
              </w:rPr>
              <w:t>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5</w:t>
            </w:r>
          </w:p>
        </w:tc>
      </w:tr>
      <w:tr w:rsidR="00FA3E57" w:rsidRPr="00FA3E57" w:rsidTr="00281A10">
        <w:trPr>
          <w:cantSplit/>
        </w:trPr>
        <w:tc>
          <w:tcPr>
            <w:tcW w:w="5670" w:type="dxa"/>
            <w:shd w:val="clear" w:color="auto" w:fill="auto"/>
          </w:tcPr>
          <w:p w:rsidR="00FA3E57" w:rsidRPr="00FA3E57" w:rsidRDefault="00FA3E57" w:rsidP="00196C0B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 xml:space="preserve">Belize, Bénin, Bolivie (État plurinational de), Burkina Faso, Djibouti, Guinée équatoriale, Guinée, Indonésie, Jamaïque, Malawi, Mauritanie, Mozambique, Nauru, </w:t>
            </w:r>
            <w:r w:rsidR="00196C0B" w:rsidRPr="00FA3E57">
              <w:rPr>
                <w:sz w:val="18"/>
                <w:szCs w:val="18"/>
              </w:rPr>
              <w:t>République démocratique populaire lao</w:t>
            </w:r>
            <w:r w:rsidR="00196C0B" w:rsidRPr="00FA3E57">
              <w:rPr>
                <w:sz w:val="18"/>
                <w:lang w:val="fr-FR"/>
              </w:rPr>
              <w:t xml:space="preserve">, </w:t>
            </w:r>
            <w:r w:rsidRPr="00FA3E57">
              <w:rPr>
                <w:sz w:val="18"/>
                <w:lang w:val="fr-FR"/>
              </w:rPr>
              <w:t>Sénégal (15 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4</w:t>
            </w:r>
          </w:p>
        </w:tc>
      </w:tr>
      <w:tr w:rsidR="00FA3E57" w:rsidRPr="00FA3E57" w:rsidTr="00281A10">
        <w:trPr>
          <w:cantSplit/>
        </w:trPr>
        <w:tc>
          <w:tcPr>
            <w:tcW w:w="5670" w:type="dxa"/>
            <w:shd w:val="clear" w:color="auto" w:fill="auto"/>
          </w:tcPr>
          <w:p w:rsidR="00FA3E57" w:rsidRPr="00FA3E57" w:rsidRDefault="00FA3E57" w:rsidP="00D56A93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 xml:space="preserve">Afghanistan, </w:t>
            </w:r>
            <w:r w:rsidR="00D56A93" w:rsidRPr="00FA3E57">
              <w:rPr>
                <w:sz w:val="18"/>
                <w:lang w:val="fr-FR"/>
              </w:rPr>
              <w:t xml:space="preserve">Arabie saoudite, </w:t>
            </w:r>
            <w:r w:rsidRPr="00FA3E57">
              <w:rPr>
                <w:sz w:val="18"/>
                <w:lang w:val="fr-FR"/>
              </w:rPr>
              <w:t>Botswana, Congo, Côte d’Ivoire, Gabon, Guyana, Libye, Malaisie, Maldives, Namibie, Panama, Roumanie, Somalie (14 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3</w:t>
            </w:r>
          </w:p>
        </w:tc>
      </w:tr>
      <w:tr w:rsidR="00FA3E57" w:rsidRPr="00FA3E57" w:rsidTr="00281A10">
        <w:trPr>
          <w:cantSplit/>
        </w:trPr>
        <w:tc>
          <w:tcPr>
            <w:tcW w:w="5670" w:type="dxa"/>
            <w:shd w:val="clear" w:color="auto" w:fill="auto"/>
          </w:tcPr>
          <w:p w:rsidR="00FA3E57" w:rsidRPr="00FA3E57" w:rsidRDefault="008E2AC0" w:rsidP="008E2AC0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 xml:space="preserve">Afrique du Sud, </w:t>
            </w:r>
            <w:r w:rsidR="00FA3E57" w:rsidRPr="00FA3E57">
              <w:rPr>
                <w:sz w:val="18"/>
                <w:lang w:val="fr-FR"/>
              </w:rPr>
              <w:t xml:space="preserve">Andorre, Angola, </w:t>
            </w:r>
            <w:r w:rsidR="00FA3E57" w:rsidRPr="00FA3E57">
              <w:rPr>
                <w:sz w:val="18"/>
              </w:rPr>
              <w:t>Antigua-et-Barbuda</w:t>
            </w:r>
            <w:r w:rsidR="00FA3E57" w:rsidRPr="00FA3E57">
              <w:rPr>
                <w:sz w:val="18"/>
                <w:lang w:val="fr-FR"/>
              </w:rPr>
              <w:t xml:space="preserve">, Bahamas, Brésil, Burundi, Comores, Cuba, Chypre, Géorgie, Ghana, Honduras, Liban, Maurice, Monaco, Myanmar, </w:t>
            </w:r>
            <w:r w:rsidR="00FA3E57" w:rsidRPr="00FA3E57">
              <w:rPr>
                <w:sz w:val="18"/>
                <w:szCs w:val="18"/>
              </w:rPr>
              <w:t>Papouasie-Nouvelle-Guinée</w:t>
            </w:r>
            <w:r w:rsidR="00FA3E57" w:rsidRPr="00FA3E57">
              <w:rPr>
                <w:sz w:val="18"/>
                <w:lang w:val="fr-FR"/>
              </w:rPr>
              <w:t xml:space="preserve">, </w:t>
            </w:r>
            <w:r w:rsidRPr="00FA3E57">
              <w:rPr>
                <w:sz w:val="18"/>
                <w:lang w:val="fr-FR"/>
              </w:rPr>
              <w:t>République centrafricaine,</w:t>
            </w:r>
            <w:r>
              <w:rPr>
                <w:sz w:val="18"/>
                <w:lang w:val="fr-FR"/>
              </w:rPr>
              <w:t xml:space="preserve"> </w:t>
            </w:r>
            <w:r w:rsidRPr="00FA3E57">
              <w:rPr>
                <w:sz w:val="18"/>
                <w:lang w:val="fr-FR"/>
              </w:rPr>
              <w:t xml:space="preserve">République dominicaine, </w:t>
            </w:r>
            <w:r w:rsidR="00FA3E57" w:rsidRPr="00FA3E57">
              <w:rPr>
                <w:sz w:val="18"/>
                <w:lang w:val="fr-FR"/>
              </w:rPr>
              <w:t xml:space="preserve">Samoa, Sierra Leone, Tadjikistan, </w:t>
            </w:r>
            <w:r w:rsidRPr="00FA3E57">
              <w:rPr>
                <w:sz w:val="18"/>
                <w:lang w:val="fr-FR"/>
              </w:rPr>
              <w:t xml:space="preserve">Tchad, </w:t>
            </w:r>
            <w:r w:rsidR="00FA3E57" w:rsidRPr="00FA3E57">
              <w:rPr>
                <w:sz w:val="18"/>
                <w:lang w:val="fr-FR"/>
              </w:rPr>
              <w:t>Togo, Tunisie, Turquie, Zambie (28 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2</w:t>
            </w:r>
          </w:p>
        </w:tc>
      </w:tr>
      <w:tr w:rsidR="00FA3E57" w:rsidRPr="00FA3E57" w:rsidTr="00281A10">
        <w:trPr>
          <w:cantSplit/>
        </w:trPr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</w:tcPr>
          <w:p w:rsidR="00FA3E57" w:rsidRPr="00FA3E57" w:rsidRDefault="00FA3E57" w:rsidP="009761AD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 xml:space="preserve">Albanie, Algérie, Autriche, Brunéi Darussalam, Cambodge, Cameroun, Chili, Colombie, Costa Rica, Croatie, Équateur, Égypte, </w:t>
            </w:r>
            <w:r w:rsidR="009761AD" w:rsidRPr="00FA3E57">
              <w:rPr>
                <w:sz w:val="18"/>
                <w:lang w:val="fr-FR"/>
              </w:rPr>
              <w:t xml:space="preserve">Émirats arabes unis, </w:t>
            </w:r>
            <w:r w:rsidRPr="00FA3E57">
              <w:rPr>
                <w:sz w:val="18"/>
                <w:lang w:val="fr-FR"/>
              </w:rPr>
              <w:t xml:space="preserve">Estonie, Finlande, France, Gambie, Grèce, </w:t>
            </w:r>
            <w:r w:rsidR="009761AD" w:rsidRPr="00FA3E57">
              <w:rPr>
                <w:sz w:val="18"/>
                <w:lang w:val="fr-FR"/>
              </w:rPr>
              <w:t xml:space="preserve">, Îles Marshall, </w:t>
            </w:r>
            <w:r w:rsidRPr="00FA3E57">
              <w:rPr>
                <w:sz w:val="18"/>
                <w:lang w:val="fr-FR"/>
              </w:rPr>
              <w:t>Inde, Iran (République islamique d’), Israël, Japon, Kenya, Kiribati, Liechtenstein, Malte</w:t>
            </w:r>
            <w:r w:rsidR="009761AD">
              <w:rPr>
                <w:sz w:val="18"/>
                <w:lang w:val="fr-FR"/>
              </w:rPr>
              <w:t xml:space="preserve">, </w:t>
            </w:r>
            <w:r w:rsidRPr="00FA3E57">
              <w:rPr>
                <w:sz w:val="18"/>
                <w:lang w:val="fr-FR"/>
              </w:rPr>
              <w:t>Micronésie (États fédérés de), Nicaragua,</w:t>
            </w:r>
            <w:r w:rsidR="009761AD">
              <w:rPr>
                <w:sz w:val="18"/>
                <w:lang w:val="fr-FR"/>
              </w:rPr>
              <w:t xml:space="preserve"> Ouganda,</w:t>
            </w:r>
            <w:r w:rsidRPr="00FA3E57">
              <w:rPr>
                <w:sz w:val="18"/>
                <w:lang w:val="fr-FR"/>
              </w:rPr>
              <w:t xml:space="preserve"> Palaos, Pérou,</w:t>
            </w:r>
            <w:r w:rsidR="009761AD">
              <w:rPr>
                <w:sz w:val="18"/>
                <w:lang w:val="fr-FR"/>
              </w:rPr>
              <w:t xml:space="preserve"> République arabe syrienne,</w:t>
            </w:r>
            <w:r w:rsidRPr="00FA3E57">
              <w:rPr>
                <w:sz w:val="18"/>
                <w:lang w:val="fr-FR"/>
              </w:rPr>
              <w:t xml:space="preserve"> </w:t>
            </w:r>
            <w:r w:rsidR="009761AD" w:rsidRPr="00FA3E57">
              <w:rPr>
                <w:sz w:val="18"/>
                <w:lang w:val="fr-FR"/>
              </w:rPr>
              <w:t>République démocratique du Congo, République-Unie de Tanzanie</w:t>
            </w:r>
            <w:r w:rsidR="009761AD">
              <w:rPr>
                <w:sz w:val="18"/>
                <w:lang w:val="fr-FR"/>
              </w:rPr>
              <w:t xml:space="preserve">, </w:t>
            </w:r>
            <w:r w:rsidRPr="00FA3E57">
              <w:rPr>
                <w:sz w:val="18"/>
                <w:lang w:val="fr-FR"/>
              </w:rPr>
              <w:t xml:space="preserve">Rwanda, </w:t>
            </w:r>
            <w:r w:rsidRPr="00FA3E57">
              <w:rPr>
                <w:sz w:val="18"/>
                <w:szCs w:val="18"/>
              </w:rPr>
              <w:t>Saint-Kitts-et-Nevis</w:t>
            </w:r>
            <w:r w:rsidRPr="00FA3E57">
              <w:rPr>
                <w:sz w:val="18"/>
                <w:lang w:val="fr-FR"/>
              </w:rPr>
              <w:t xml:space="preserve">, Sainte-Lucie, </w:t>
            </w:r>
            <w:r w:rsidRPr="00FA3E57">
              <w:rPr>
                <w:sz w:val="18"/>
                <w:szCs w:val="18"/>
              </w:rPr>
              <w:t>Sao Tomé-et-Principe</w:t>
            </w:r>
            <w:r w:rsidRPr="00FA3E57">
              <w:rPr>
                <w:sz w:val="18"/>
                <w:lang w:val="fr-FR"/>
              </w:rPr>
              <w:t xml:space="preserve">, Sri Lanka, Soudan, Suriname, Tonga, </w:t>
            </w:r>
            <w:r w:rsidR="00584FE1">
              <w:rPr>
                <w:sz w:val="18"/>
                <w:lang w:val="fr-FR"/>
              </w:rPr>
              <w:t>Yémen, Zimbabwe</w:t>
            </w:r>
            <w:r w:rsidR="00584FE1">
              <w:rPr>
                <w:sz w:val="18"/>
                <w:lang w:val="fr-FR"/>
              </w:rPr>
              <w:br/>
            </w:r>
            <w:r w:rsidRPr="00FA3E57">
              <w:rPr>
                <w:sz w:val="18"/>
                <w:lang w:val="fr-FR"/>
              </w:rPr>
              <w:t>(45 États parties)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A3E57" w:rsidRPr="00FA3E57" w:rsidRDefault="00FA3E57" w:rsidP="00FA3E57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FA3E57">
              <w:rPr>
                <w:sz w:val="18"/>
                <w:lang w:val="fr-FR"/>
              </w:rPr>
              <w:t>1</w:t>
            </w:r>
          </w:p>
        </w:tc>
      </w:tr>
    </w:tbl>
    <w:p w:rsidR="004C7EF1" w:rsidRPr="00894E0A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spacing w:before="240"/>
        <w:ind w:left="1134" w:firstLine="0"/>
        <w:rPr>
          <w:rFonts w:eastAsia="SimSun"/>
          <w:lang w:val="fr-FR" w:eastAsia="zh-CN"/>
        </w:rPr>
      </w:pPr>
      <w:r>
        <w:rPr>
          <w:lang w:val="fr-FR"/>
        </w:rPr>
        <w:t>S</w:t>
      </w:r>
      <w:r w:rsidR="00D11830">
        <w:rPr>
          <w:lang w:val="fr-FR"/>
        </w:rPr>
        <w:t>’</w:t>
      </w:r>
      <w:r>
        <w:rPr>
          <w:lang w:val="fr-FR"/>
        </w:rPr>
        <w:t xml:space="preserve">agissant des rapports périodiques, </w:t>
      </w:r>
      <w:r w:rsidR="00B47A3A">
        <w:rPr>
          <w:lang w:val="fr-FR"/>
        </w:rPr>
        <w:t>5 </w:t>
      </w:r>
      <w:r>
        <w:rPr>
          <w:lang w:val="fr-FR"/>
        </w:rPr>
        <w:t>États parties ont</w:t>
      </w:r>
      <w:r w:rsidR="00B47A3A">
        <w:rPr>
          <w:lang w:val="fr-FR"/>
        </w:rPr>
        <w:t xml:space="preserve"> 5 </w:t>
      </w:r>
      <w:r w:rsidRPr="00210F79">
        <w:rPr>
          <w:lang w:val="fr-FR"/>
        </w:rPr>
        <w:t>r</w:t>
      </w:r>
      <w:r>
        <w:rPr>
          <w:lang w:val="fr-FR"/>
        </w:rPr>
        <w:t>ap</w:t>
      </w:r>
      <w:r w:rsidRPr="00210F79">
        <w:rPr>
          <w:lang w:val="fr-FR"/>
        </w:rPr>
        <w:t>ports</w:t>
      </w:r>
      <w:r>
        <w:rPr>
          <w:lang w:val="fr-FR"/>
        </w:rPr>
        <w:t xml:space="preserve"> en souffrance,</w:t>
      </w:r>
      <w:r w:rsidRPr="00210F79">
        <w:rPr>
          <w:lang w:val="fr-FR"/>
        </w:rPr>
        <w:t xml:space="preserve"> 16</w:t>
      </w:r>
      <w:r w:rsidR="00B47A3A">
        <w:rPr>
          <w:lang w:val="fr-FR"/>
        </w:rPr>
        <w:t> </w:t>
      </w:r>
      <w:r w:rsidR="00894E0A">
        <w:rPr>
          <w:lang w:val="fr-FR"/>
        </w:rPr>
        <w:t>en ont 4</w:t>
      </w:r>
      <w:r w:rsidR="000A0F9D">
        <w:rPr>
          <w:lang w:val="fr-FR"/>
        </w:rPr>
        <w:t>, 20 en ont 3</w:t>
      </w:r>
      <w:r>
        <w:rPr>
          <w:lang w:val="fr-FR"/>
        </w:rPr>
        <w:t>,</w:t>
      </w:r>
      <w:r w:rsidRPr="00210F79">
        <w:rPr>
          <w:lang w:val="fr-FR"/>
        </w:rPr>
        <w:t xml:space="preserve"> 45 </w:t>
      </w:r>
      <w:r w:rsidR="000A0F9D">
        <w:rPr>
          <w:lang w:val="fr-FR"/>
        </w:rPr>
        <w:t>en ont </w:t>
      </w:r>
      <w:r w:rsidR="00894E0A">
        <w:rPr>
          <w:lang w:val="fr-FR"/>
        </w:rPr>
        <w:t>2</w:t>
      </w:r>
      <w:r>
        <w:rPr>
          <w:lang w:val="fr-FR"/>
        </w:rPr>
        <w:t xml:space="preserve"> et</w:t>
      </w:r>
      <w:r w:rsidR="000A0F9D">
        <w:rPr>
          <w:lang w:val="fr-FR"/>
        </w:rPr>
        <w:t> </w:t>
      </w:r>
      <w:r w:rsidRPr="00210F79">
        <w:rPr>
          <w:lang w:val="fr-FR"/>
        </w:rPr>
        <w:t xml:space="preserve">56 </w:t>
      </w:r>
      <w:r w:rsidR="00894E0A">
        <w:rPr>
          <w:lang w:val="fr-FR"/>
        </w:rPr>
        <w:t>en ont 1</w:t>
      </w:r>
      <w:r w:rsidRPr="00210F79">
        <w:rPr>
          <w:lang w:val="fr-FR"/>
        </w:rPr>
        <w:t xml:space="preserve"> (</w:t>
      </w:r>
      <w:r>
        <w:rPr>
          <w:lang w:val="fr-FR"/>
        </w:rPr>
        <w:t>voir</w:t>
      </w:r>
      <w:r w:rsidRPr="00210F79">
        <w:rPr>
          <w:lang w:val="fr-FR"/>
        </w:rPr>
        <w:t xml:space="preserve"> table</w:t>
      </w:r>
      <w:r>
        <w:rPr>
          <w:lang w:val="fr-FR"/>
        </w:rPr>
        <w:t>au</w:t>
      </w:r>
      <w:r w:rsidRPr="00210F79">
        <w:rPr>
          <w:lang w:val="fr-FR"/>
        </w:rPr>
        <w:t> 5).</w:t>
      </w:r>
    </w:p>
    <w:p w:rsidR="00894E0A" w:rsidRDefault="00894E0A" w:rsidP="00894E0A">
      <w:pPr>
        <w:pStyle w:val="Titre1"/>
        <w:tabs>
          <w:tab w:val="left" w:pos="4546"/>
        </w:tabs>
        <w:jc w:val="both"/>
        <w:rPr>
          <w:lang w:val="fr-FR"/>
        </w:rPr>
      </w:pPr>
      <w:r w:rsidRPr="00210F79">
        <w:rPr>
          <w:lang w:val="fr-FR"/>
        </w:rPr>
        <w:t>Table</w:t>
      </w:r>
      <w:r>
        <w:rPr>
          <w:lang w:val="fr-FR"/>
        </w:rPr>
        <w:t>au </w:t>
      </w:r>
      <w:r w:rsidRPr="00210F79">
        <w:rPr>
          <w:lang w:val="fr-FR"/>
        </w:rPr>
        <w:t>5</w:t>
      </w:r>
    </w:p>
    <w:p w:rsidR="00894E0A" w:rsidRPr="00894E0A" w:rsidRDefault="00894E0A" w:rsidP="00894E0A">
      <w:pPr>
        <w:pStyle w:val="Titre1"/>
        <w:spacing w:after="120"/>
        <w:rPr>
          <w:rFonts w:eastAsia="SimSun"/>
          <w:b/>
          <w:lang w:val="fr-FR" w:eastAsia="zh-CN"/>
        </w:rPr>
      </w:pPr>
      <w:r w:rsidRPr="00894E0A">
        <w:rPr>
          <w:b/>
          <w:lang w:val="fr-FR"/>
        </w:rPr>
        <w:t>Nombre de rapports périodiques en retard par État partie au 28 février 2015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701"/>
      </w:tblGrid>
      <w:tr w:rsidR="00894E0A" w:rsidRPr="00894E0A" w:rsidTr="00894E0A">
        <w:trPr>
          <w:cantSplit/>
          <w:tblHeader/>
        </w:trPr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94E0A" w:rsidRPr="00894E0A" w:rsidRDefault="00894E0A" w:rsidP="00894E0A">
            <w:pPr>
              <w:suppressAutoHyphens w:val="0"/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894E0A">
              <w:rPr>
                <w:i/>
                <w:sz w:val="16"/>
                <w:lang w:val="fr-FR"/>
              </w:rPr>
              <w:t>États parties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94E0A" w:rsidRPr="00894E0A" w:rsidRDefault="00894E0A" w:rsidP="00894E0A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894E0A">
              <w:rPr>
                <w:i/>
                <w:sz w:val="16"/>
                <w:lang w:val="fr-FR"/>
              </w:rPr>
              <w:t xml:space="preserve">Nombre de rapports périodiques en retard </w:t>
            </w:r>
          </w:p>
        </w:tc>
      </w:tr>
      <w:tr w:rsidR="00894E0A" w:rsidRPr="00894E0A" w:rsidTr="00894E0A">
        <w:trPr>
          <w:cantSplit/>
        </w:trPr>
        <w:tc>
          <w:tcPr>
            <w:tcW w:w="5669" w:type="dxa"/>
            <w:tcBorders>
              <w:top w:val="single" w:sz="12" w:space="0" w:color="auto"/>
            </w:tcBorders>
            <w:shd w:val="clear" w:color="auto" w:fill="auto"/>
          </w:tcPr>
          <w:p w:rsidR="00894E0A" w:rsidRPr="00894E0A" w:rsidRDefault="00894E0A" w:rsidP="00D11830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>Hongrie, Libye, Nicaragua, République arabe syrienne</w:t>
            </w:r>
            <w:r w:rsidR="0047664D">
              <w:rPr>
                <w:sz w:val="18"/>
                <w:lang w:val="fr-FR"/>
              </w:rPr>
              <w:t xml:space="preserve">, </w:t>
            </w:r>
            <w:r w:rsidR="0047664D" w:rsidRPr="00894E0A">
              <w:rPr>
                <w:sz w:val="18"/>
                <w:lang w:val="fr-FR"/>
              </w:rPr>
              <w:t>Ré</w:t>
            </w:r>
            <w:r w:rsidR="0047664D">
              <w:rPr>
                <w:sz w:val="18"/>
                <w:lang w:val="fr-FR"/>
              </w:rPr>
              <w:t>publique démocratique du Congo</w:t>
            </w:r>
            <w:r w:rsidRPr="00894E0A">
              <w:rPr>
                <w:sz w:val="18"/>
                <w:lang w:val="fr-FR"/>
              </w:rPr>
              <w:t xml:space="preserve"> (</w:t>
            </w:r>
            <w:r w:rsidR="00D11830">
              <w:rPr>
                <w:sz w:val="18"/>
                <w:lang w:val="fr-FR"/>
              </w:rPr>
              <w:t>5 </w:t>
            </w:r>
            <w:r w:rsidRPr="00894E0A">
              <w:rPr>
                <w:sz w:val="18"/>
                <w:lang w:val="fr-FR"/>
              </w:rPr>
              <w:t>États parties)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4E0A" w:rsidRPr="00894E0A" w:rsidRDefault="00894E0A" w:rsidP="00894E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>5</w:t>
            </w:r>
          </w:p>
        </w:tc>
      </w:tr>
      <w:tr w:rsidR="00894E0A" w:rsidRPr="00894E0A" w:rsidTr="00894E0A">
        <w:trPr>
          <w:cantSplit/>
        </w:trPr>
        <w:tc>
          <w:tcPr>
            <w:tcW w:w="5669" w:type="dxa"/>
            <w:shd w:val="clear" w:color="auto" w:fill="auto"/>
          </w:tcPr>
          <w:p w:rsidR="00894E0A" w:rsidRPr="00894E0A" w:rsidRDefault="00894E0A" w:rsidP="00894E0A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>Afghanistan, Australie, Barbade, Botswana, Brésil</w:t>
            </w:r>
            <w:r w:rsidRPr="00894E0A">
              <w:rPr>
                <w:sz w:val="18"/>
                <w:szCs w:val="18"/>
              </w:rPr>
              <w:t>, République populaire démocratique de Corée</w:t>
            </w:r>
            <w:r w:rsidRPr="00894E0A">
              <w:rPr>
                <w:sz w:val="18"/>
                <w:lang w:val="fr-FR"/>
              </w:rPr>
              <w:t xml:space="preserve">, Inde, Liban, Liechtenstein, Nigéria, Panama, République de Moldova, Serbie, Sri Lanka, </w:t>
            </w:r>
            <w:r w:rsidRPr="00894E0A">
              <w:rPr>
                <w:sz w:val="18"/>
                <w:szCs w:val="18"/>
              </w:rPr>
              <w:t>Trinité-et-Tobago</w:t>
            </w:r>
            <w:r w:rsidRPr="00894E0A">
              <w:rPr>
                <w:sz w:val="18"/>
                <w:lang w:val="fr-FR"/>
              </w:rPr>
              <w:t>, Ouganda (16 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4E0A" w:rsidRPr="00894E0A" w:rsidRDefault="00894E0A" w:rsidP="00894E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>4</w:t>
            </w:r>
          </w:p>
        </w:tc>
      </w:tr>
      <w:tr w:rsidR="00894E0A" w:rsidRPr="00894E0A" w:rsidTr="00894E0A">
        <w:trPr>
          <w:cantSplit/>
        </w:trPr>
        <w:tc>
          <w:tcPr>
            <w:tcW w:w="5669" w:type="dxa"/>
            <w:shd w:val="clear" w:color="auto" w:fill="auto"/>
          </w:tcPr>
          <w:p w:rsidR="00894E0A" w:rsidRPr="00894E0A" w:rsidRDefault="00894E0A" w:rsidP="00540A15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 xml:space="preserve">Algérie, Cambodge, Cameroun, Égypte, Éthiopie, </w:t>
            </w:r>
            <w:r w:rsidR="00540A15" w:rsidRPr="00894E0A">
              <w:rPr>
                <w:sz w:val="18"/>
                <w:lang w:val="fr-FR"/>
              </w:rPr>
              <w:t xml:space="preserve">Îles Salomon, </w:t>
            </w:r>
            <w:r w:rsidRPr="00894E0A">
              <w:rPr>
                <w:sz w:val="18"/>
                <w:lang w:val="fr-FR"/>
              </w:rPr>
              <w:t xml:space="preserve">Lettonie, Lesotho, Luxembourg, Madagascar, Mali, Malte, Maroc, Niger, Roumanie, Saint-Marin, </w:t>
            </w:r>
            <w:r w:rsidR="005C20D9" w:rsidRPr="00894E0A">
              <w:rPr>
                <w:sz w:val="18"/>
                <w:lang w:val="fr-FR"/>
              </w:rPr>
              <w:t xml:space="preserve">Tchad, </w:t>
            </w:r>
            <w:r w:rsidRPr="00894E0A">
              <w:rPr>
                <w:sz w:val="18"/>
                <w:lang w:val="fr-FR"/>
              </w:rPr>
              <w:t>Tunisie, Zambie, Zimbabwe (20 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4E0A" w:rsidRPr="00894E0A" w:rsidRDefault="00894E0A" w:rsidP="00894E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>3</w:t>
            </w:r>
          </w:p>
        </w:tc>
      </w:tr>
      <w:tr w:rsidR="00894E0A" w:rsidRPr="00894E0A" w:rsidTr="00894E0A">
        <w:trPr>
          <w:cantSplit/>
        </w:trPr>
        <w:tc>
          <w:tcPr>
            <w:tcW w:w="5669" w:type="dxa"/>
            <w:shd w:val="clear" w:color="auto" w:fill="auto"/>
          </w:tcPr>
          <w:p w:rsidR="00894E0A" w:rsidRPr="00894E0A" w:rsidRDefault="00051387" w:rsidP="00FB589F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 xml:space="preserve">Afrique du Sud, </w:t>
            </w:r>
            <w:r w:rsidR="001052FB" w:rsidRPr="00894E0A">
              <w:rPr>
                <w:sz w:val="18"/>
                <w:lang w:val="fr-FR"/>
              </w:rPr>
              <w:t xml:space="preserve">Arabie saoudite, </w:t>
            </w:r>
            <w:r w:rsidR="00894E0A" w:rsidRPr="00894E0A">
              <w:rPr>
                <w:sz w:val="18"/>
                <w:szCs w:val="18"/>
              </w:rPr>
              <w:t>Antigua-et-Barbuda</w:t>
            </w:r>
            <w:r w:rsidR="00894E0A" w:rsidRPr="00894E0A">
              <w:rPr>
                <w:sz w:val="18"/>
                <w:lang w:val="fr-FR"/>
              </w:rPr>
              <w:t>, Argentine, Bahamas, Bahreïn, Bélarus, Belize, Bénin, Bolivie (État plurinational de), Burundi, Cabo Verde</w:t>
            </w:r>
            <w:r w:rsidR="001052FB">
              <w:rPr>
                <w:sz w:val="18"/>
                <w:lang w:val="fr-FR"/>
              </w:rPr>
              <w:t xml:space="preserve">, </w:t>
            </w:r>
            <w:r w:rsidR="00894E0A" w:rsidRPr="00894E0A">
              <w:rPr>
                <w:sz w:val="18"/>
                <w:lang w:val="fr-FR"/>
              </w:rPr>
              <w:t>Congo, Côte d</w:t>
            </w:r>
            <w:r w:rsidR="00D11830">
              <w:rPr>
                <w:sz w:val="18"/>
                <w:lang w:val="fr-FR"/>
              </w:rPr>
              <w:t>’</w:t>
            </w:r>
            <w:r w:rsidR="00894E0A" w:rsidRPr="00894E0A">
              <w:rPr>
                <w:sz w:val="18"/>
                <w:lang w:val="fr-FR"/>
              </w:rPr>
              <w:t>Ivoire, Croatie, El Salvador, Guinée équatoriale, Gabon, Gambie, Géorgie, Guinée, Guyana, Honduras, Islande, Indonésie, Iran (République islamique d</w:t>
            </w:r>
            <w:r w:rsidR="00D11830">
              <w:rPr>
                <w:sz w:val="18"/>
                <w:lang w:val="fr-FR"/>
              </w:rPr>
              <w:t>’</w:t>
            </w:r>
            <w:r w:rsidR="00894E0A" w:rsidRPr="00894E0A">
              <w:rPr>
                <w:sz w:val="18"/>
                <w:lang w:val="fr-FR"/>
              </w:rPr>
              <w:t xml:space="preserve">), Irlande, Italie, Jordanie, Kenya, Malaisie, Mauritanie, Mongolie, Mozambique, </w:t>
            </w:r>
            <w:r w:rsidR="00894E0A" w:rsidRPr="00894E0A">
              <w:rPr>
                <w:sz w:val="18"/>
                <w:szCs w:val="18"/>
              </w:rPr>
              <w:t>Papouasie-Nouvelle-Guinée</w:t>
            </w:r>
            <w:r w:rsidR="00894E0A" w:rsidRPr="00894E0A">
              <w:rPr>
                <w:sz w:val="18"/>
                <w:lang w:val="fr-FR"/>
              </w:rPr>
              <w:t xml:space="preserve">, </w:t>
            </w:r>
            <w:r w:rsidR="00B851C4" w:rsidRPr="00894E0A">
              <w:rPr>
                <w:sz w:val="18"/>
                <w:lang w:val="fr-FR"/>
              </w:rPr>
              <w:t xml:space="preserve">République centrafricaine, </w:t>
            </w:r>
            <w:r w:rsidR="00FB589F" w:rsidRPr="00894E0A">
              <w:rPr>
                <w:sz w:val="18"/>
                <w:lang w:val="fr-FR"/>
              </w:rPr>
              <w:t xml:space="preserve">République-Unie de Tanzanie, </w:t>
            </w:r>
            <w:r w:rsidR="00894E0A" w:rsidRPr="00894E0A">
              <w:rPr>
                <w:sz w:val="18"/>
                <w:szCs w:val="18"/>
              </w:rPr>
              <w:t>Saint-Kitts-et-Nevis</w:t>
            </w:r>
            <w:r w:rsidR="00894E0A" w:rsidRPr="00894E0A">
              <w:rPr>
                <w:sz w:val="18"/>
                <w:lang w:val="fr-FR"/>
              </w:rPr>
              <w:t xml:space="preserve">, </w:t>
            </w:r>
            <w:r w:rsidR="00894E0A" w:rsidRPr="00894E0A">
              <w:rPr>
                <w:sz w:val="18"/>
                <w:szCs w:val="18"/>
              </w:rPr>
              <w:t>Saint-Vincent-et-les Grenadines</w:t>
            </w:r>
            <w:r w:rsidR="00894E0A" w:rsidRPr="00894E0A">
              <w:rPr>
                <w:sz w:val="18"/>
                <w:lang w:val="fr-FR"/>
              </w:rPr>
              <w:t>, Sénégal, Seychelles, Suriname, Swaziland, Thaïlande, Yé</w:t>
            </w:r>
            <w:r w:rsidR="00D11830">
              <w:rPr>
                <w:sz w:val="18"/>
                <w:lang w:val="fr-FR"/>
              </w:rPr>
              <w:t>men (45 </w:t>
            </w:r>
            <w:r w:rsidR="00894E0A" w:rsidRPr="00894E0A">
              <w:rPr>
                <w:sz w:val="18"/>
                <w:lang w:val="fr-FR"/>
              </w:rPr>
              <w:t>États parties)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4E0A" w:rsidRPr="00894E0A" w:rsidRDefault="00894E0A" w:rsidP="00894E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>2</w:t>
            </w:r>
          </w:p>
        </w:tc>
      </w:tr>
      <w:tr w:rsidR="00894E0A" w:rsidRPr="00894E0A" w:rsidTr="00894E0A">
        <w:trPr>
          <w:cantSplit/>
        </w:trPr>
        <w:tc>
          <w:tcPr>
            <w:tcW w:w="5669" w:type="dxa"/>
            <w:tcBorders>
              <w:bottom w:val="single" w:sz="12" w:space="0" w:color="auto"/>
            </w:tcBorders>
            <w:shd w:val="clear" w:color="auto" w:fill="auto"/>
          </w:tcPr>
          <w:p w:rsidR="00894E0A" w:rsidRPr="00894E0A" w:rsidRDefault="009272D6" w:rsidP="009272D6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>Allemagne,</w:t>
            </w:r>
            <w:r>
              <w:rPr>
                <w:sz w:val="18"/>
                <w:lang w:val="fr-FR"/>
              </w:rPr>
              <w:t xml:space="preserve"> </w:t>
            </w:r>
            <w:r w:rsidR="00894E0A" w:rsidRPr="00894E0A">
              <w:rPr>
                <w:sz w:val="18"/>
                <w:lang w:val="fr-FR"/>
              </w:rPr>
              <w:t>Arménie, Bangladesh, Bosnie-Herzégovine, Bulgarie, Burkina Faso, Canada, Chili, Chine, Colombie, Comores, Îles Cook, Cuba, Danemark, Djibou</w:t>
            </w:r>
            <w:r>
              <w:rPr>
                <w:sz w:val="18"/>
                <w:lang w:val="fr-FR"/>
              </w:rPr>
              <w:t xml:space="preserve">ti, Dominique, </w:t>
            </w:r>
            <w:r w:rsidRPr="00894E0A">
              <w:rPr>
                <w:sz w:val="18"/>
                <w:lang w:val="fr-FR"/>
              </w:rPr>
              <w:t xml:space="preserve">Émirats arabes unis, </w:t>
            </w:r>
            <w:r>
              <w:rPr>
                <w:sz w:val="18"/>
                <w:lang w:val="fr-FR"/>
              </w:rPr>
              <w:t>Équateur, Fidji,</w:t>
            </w:r>
            <w:r w:rsidR="00894E0A" w:rsidRPr="00894E0A">
              <w:rPr>
                <w:sz w:val="18"/>
                <w:lang w:val="fr-FR"/>
              </w:rPr>
              <w:t xml:space="preserve"> Ghana, Grèce, Guinée-Bissau, Haïti, </w:t>
            </w:r>
            <w:r w:rsidRPr="00894E0A">
              <w:rPr>
                <w:sz w:val="18"/>
                <w:lang w:val="fr-FR"/>
              </w:rPr>
              <w:t xml:space="preserve">Îles Marshall, </w:t>
            </w:r>
            <w:r w:rsidR="00894E0A" w:rsidRPr="00894E0A">
              <w:rPr>
                <w:sz w:val="18"/>
                <w:lang w:val="fr-FR"/>
              </w:rPr>
              <w:t>Israël, Jamaïque, Japon, Kiribati, Maurice, Mexique, Micronésie (États fédérés de), Monaco, Népal, Pays-Bas, Pakistan, Palaos, Paraguay, Philippines, Pologne, République de Corée,</w:t>
            </w:r>
            <w:r>
              <w:rPr>
                <w:sz w:val="18"/>
                <w:lang w:val="fr-FR"/>
              </w:rPr>
              <w:t xml:space="preserve"> </w:t>
            </w:r>
            <w:r w:rsidRPr="00894E0A">
              <w:rPr>
                <w:sz w:val="18"/>
                <w:szCs w:val="18"/>
              </w:rPr>
              <w:t>République démocratique populaire lao</w:t>
            </w:r>
            <w:r>
              <w:rPr>
                <w:sz w:val="18"/>
                <w:lang w:val="fr-FR"/>
              </w:rPr>
              <w:t>,</w:t>
            </w:r>
            <w:r w:rsidR="00894E0A" w:rsidRPr="00894E0A">
              <w:rPr>
                <w:sz w:val="18"/>
                <w:lang w:val="fr-FR"/>
              </w:rPr>
              <w:t xml:space="preserve"> Rwanda, Sainte-Lucie, Sierra Leone, Slovénie, Somalie, Suède, Togo, Tonga, Turquie, Turkménistan, Ukraine, Royaume-Uni,</w:t>
            </w:r>
            <w:r w:rsidR="00D11830">
              <w:rPr>
                <w:sz w:val="18"/>
                <w:lang w:val="fr-FR"/>
              </w:rPr>
              <w:t xml:space="preserve"> Uruguay, Vanuatu, Viet Nam (56 </w:t>
            </w:r>
            <w:r w:rsidR="00894E0A" w:rsidRPr="00894E0A">
              <w:rPr>
                <w:sz w:val="18"/>
                <w:lang w:val="fr-FR"/>
              </w:rPr>
              <w:t>États parties)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94E0A" w:rsidRPr="00894E0A" w:rsidRDefault="00894E0A" w:rsidP="00894E0A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894E0A">
              <w:rPr>
                <w:sz w:val="18"/>
                <w:lang w:val="fr-FR"/>
              </w:rPr>
              <w:t>1</w:t>
            </w:r>
          </w:p>
        </w:tc>
      </w:tr>
    </w:tbl>
    <w:p w:rsidR="004C7EF1" w:rsidRPr="00210F79" w:rsidRDefault="004C7EF1" w:rsidP="00894E0A">
      <w:pPr>
        <w:pStyle w:val="HChG"/>
        <w:rPr>
          <w:lang w:val="fr-FR"/>
        </w:rPr>
      </w:pPr>
      <w:r w:rsidRPr="00210F79">
        <w:rPr>
          <w:lang w:val="fr-FR"/>
        </w:rPr>
        <w:tab/>
        <w:t>IV.</w:t>
      </w:r>
      <w:r w:rsidRPr="00210F79">
        <w:rPr>
          <w:lang w:val="fr-FR"/>
        </w:rPr>
        <w:tab/>
      </w:r>
      <w:r>
        <w:rPr>
          <w:lang w:val="fr-FR"/>
        </w:rPr>
        <w:t>État de la soumission des rapports</w:t>
      </w:r>
      <w:r w:rsidRPr="00210F79">
        <w:rPr>
          <w:lang w:val="fr-FR"/>
        </w:rPr>
        <w:t xml:space="preserve"> </w:t>
      </w:r>
      <w:r>
        <w:rPr>
          <w:lang w:val="fr-FR"/>
        </w:rPr>
        <w:t>par instrument</w:t>
      </w:r>
      <w:r w:rsidR="00894E0A">
        <w:rPr>
          <w:lang w:val="fr-FR"/>
        </w:rPr>
        <w:br/>
      </w:r>
      <w:r>
        <w:rPr>
          <w:lang w:val="fr-FR"/>
        </w:rPr>
        <w:t>au</w:t>
      </w:r>
      <w:r w:rsidR="00894E0A">
        <w:rPr>
          <w:lang w:val="fr-FR"/>
        </w:rPr>
        <w:t xml:space="preserve"> 28 </w:t>
      </w:r>
      <w:r>
        <w:rPr>
          <w:lang w:val="fr-FR"/>
        </w:rPr>
        <w:t>février</w:t>
      </w:r>
      <w:r w:rsidRPr="00210F79">
        <w:rPr>
          <w:lang w:val="fr-FR"/>
        </w:rPr>
        <w:t xml:space="preserve"> 2015</w:t>
      </w:r>
    </w:p>
    <w:p w:rsidR="004C7EF1" w:rsidRPr="00210F79" w:rsidRDefault="004C7EF1" w:rsidP="00D11830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lang w:val="fr-FR"/>
        </w:rPr>
      </w:pPr>
      <w:r>
        <w:rPr>
          <w:lang w:val="fr-FR"/>
        </w:rPr>
        <w:t>Au</w:t>
      </w:r>
      <w:r w:rsidR="00894E0A">
        <w:rPr>
          <w:lang w:val="fr-FR"/>
        </w:rPr>
        <w:t xml:space="preserve"> 28 </w:t>
      </w:r>
      <w:r>
        <w:rPr>
          <w:lang w:val="fr-FR"/>
        </w:rPr>
        <w:t>février</w:t>
      </w:r>
      <w:r w:rsidR="00894E0A">
        <w:rPr>
          <w:lang w:val="fr-FR"/>
        </w:rPr>
        <w:t xml:space="preserve"> 2015, 614 </w:t>
      </w:r>
      <w:r>
        <w:rPr>
          <w:lang w:val="fr-FR"/>
        </w:rPr>
        <w:t>rapports</w:t>
      </w:r>
      <w:r w:rsidRPr="00210F79">
        <w:rPr>
          <w:lang w:val="fr-FR"/>
        </w:rPr>
        <w:t xml:space="preserve"> (309 </w:t>
      </w:r>
      <w:r>
        <w:rPr>
          <w:lang w:val="fr-FR"/>
        </w:rPr>
        <w:t>rapports</w:t>
      </w:r>
      <w:r w:rsidRPr="00210F79">
        <w:rPr>
          <w:lang w:val="fr-FR"/>
        </w:rPr>
        <w:t xml:space="preserve"> initia</w:t>
      </w:r>
      <w:r>
        <w:rPr>
          <w:lang w:val="fr-FR"/>
        </w:rPr>
        <w:t xml:space="preserve">ux et </w:t>
      </w:r>
      <w:r w:rsidR="00894E0A">
        <w:rPr>
          <w:lang w:val="fr-FR"/>
        </w:rPr>
        <w:t>305 </w:t>
      </w:r>
      <w:r>
        <w:rPr>
          <w:lang w:val="fr-FR"/>
        </w:rPr>
        <w:t xml:space="preserve">rapports </w:t>
      </w:r>
      <w:r w:rsidRPr="00210F79">
        <w:rPr>
          <w:lang w:val="fr-FR"/>
        </w:rPr>
        <w:t>p</w:t>
      </w:r>
      <w:r>
        <w:rPr>
          <w:lang w:val="fr-FR"/>
        </w:rPr>
        <w:t>é</w:t>
      </w:r>
      <w:r w:rsidRPr="00210F79">
        <w:rPr>
          <w:lang w:val="fr-FR"/>
        </w:rPr>
        <w:t>riodi</w:t>
      </w:r>
      <w:r>
        <w:rPr>
          <w:lang w:val="fr-FR"/>
        </w:rPr>
        <w:t>que</w:t>
      </w:r>
      <w:r w:rsidRPr="00210F79">
        <w:rPr>
          <w:lang w:val="fr-FR"/>
        </w:rPr>
        <w:t xml:space="preserve">s), </w:t>
      </w:r>
      <w:r>
        <w:rPr>
          <w:lang w:val="fr-FR"/>
        </w:rPr>
        <w:t>soit</w:t>
      </w:r>
      <w:r w:rsidR="00894E0A">
        <w:rPr>
          <w:lang w:val="fr-FR"/>
        </w:rPr>
        <w:t xml:space="preserve"> 38 </w:t>
      </w:r>
      <w:r>
        <w:rPr>
          <w:lang w:val="fr-FR"/>
        </w:rPr>
        <w:t>% des rapports devant être soumis aux organes conventionnels, étaient en souffrance</w:t>
      </w:r>
      <w:r w:rsidRPr="00210F79">
        <w:rPr>
          <w:lang w:val="fr-FR"/>
        </w:rPr>
        <w:t xml:space="preserve">. </w:t>
      </w:r>
      <w:r>
        <w:rPr>
          <w:lang w:val="fr-FR"/>
        </w:rPr>
        <w:t>Pour certains instruments, la proportion d</w:t>
      </w:r>
      <w:r w:rsidR="00D11830">
        <w:rPr>
          <w:lang w:val="fr-FR"/>
        </w:rPr>
        <w:t>’</w:t>
      </w:r>
      <w:r>
        <w:rPr>
          <w:lang w:val="fr-FR"/>
        </w:rPr>
        <w:t>États parties</w:t>
      </w:r>
      <w:r w:rsidRPr="00210F79">
        <w:rPr>
          <w:lang w:val="fr-FR"/>
        </w:rPr>
        <w:t xml:space="preserve"> </w:t>
      </w:r>
      <w:r>
        <w:rPr>
          <w:lang w:val="fr-FR"/>
        </w:rPr>
        <w:t>n</w:t>
      </w:r>
      <w:r w:rsidR="00D11830">
        <w:rPr>
          <w:lang w:val="fr-FR"/>
        </w:rPr>
        <w:t>’</w:t>
      </w:r>
      <w:r>
        <w:rPr>
          <w:lang w:val="fr-FR"/>
        </w:rPr>
        <w:t>ayant pas respecté leurs obligations en matière d</w:t>
      </w:r>
      <w:r w:rsidR="00D11830">
        <w:rPr>
          <w:lang w:val="fr-FR"/>
        </w:rPr>
        <w:t>’</w:t>
      </w:r>
      <w:r>
        <w:rPr>
          <w:lang w:val="fr-FR"/>
        </w:rPr>
        <w:t>établissement de rapports</w:t>
      </w:r>
      <w:r w:rsidRPr="00210F79">
        <w:rPr>
          <w:lang w:val="fr-FR"/>
        </w:rPr>
        <w:t xml:space="preserve"> </w:t>
      </w:r>
      <w:r>
        <w:rPr>
          <w:lang w:val="fr-FR"/>
        </w:rPr>
        <w:t>ou ne les ayant pas respectées dans les délais impartis était particulièrement forte: la Convention internationale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raciale</w:t>
      </w:r>
      <w:r w:rsidR="00894E0A">
        <w:rPr>
          <w:lang w:val="fr-FR"/>
        </w:rPr>
        <w:t xml:space="preserve"> (54 </w:t>
      </w:r>
      <w:r>
        <w:rPr>
          <w:lang w:val="fr-FR"/>
        </w:rPr>
        <w:t>%);</w:t>
      </w:r>
      <w:r w:rsidRPr="00210F79">
        <w:rPr>
          <w:lang w:val="fr-FR"/>
        </w:rPr>
        <w:t xml:space="preserve"> </w:t>
      </w:r>
      <w:r>
        <w:rPr>
          <w:lang w:val="fr-FR"/>
        </w:rPr>
        <w:t>la Convention internationale sur la protection des droits de tous les travailleurs migrants et des membres de leur famille</w:t>
      </w:r>
      <w:r w:rsidR="00894E0A">
        <w:rPr>
          <w:lang w:val="fr-FR"/>
        </w:rPr>
        <w:t xml:space="preserve"> (49 </w:t>
      </w:r>
      <w:r>
        <w:rPr>
          <w:lang w:val="fr-FR"/>
        </w:rPr>
        <w:t>%);</w:t>
      </w:r>
      <w:r w:rsidRPr="00210F79">
        <w:rPr>
          <w:lang w:val="fr-FR"/>
        </w:rPr>
        <w:t xml:space="preserve"> </w:t>
      </w:r>
      <w:r>
        <w:rPr>
          <w:lang w:val="fr-FR"/>
        </w:rPr>
        <w:t>la</w:t>
      </w:r>
      <w:r w:rsidRPr="00210F79">
        <w:rPr>
          <w:lang w:val="fr-FR"/>
        </w:rPr>
        <w:t xml:space="preserve"> </w:t>
      </w:r>
      <w:r>
        <w:rPr>
          <w:szCs w:val="18"/>
          <w:lang w:val="fr-FR"/>
        </w:rPr>
        <w:t>Convention internationale pour la protection de toutes les personnes contre les disparitions forcées</w:t>
      </w:r>
      <w:r w:rsidR="00894E0A">
        <w:rPr>
          <w:lang w:val="fr-FR"/>
        </w:rPr>
        <w:t xml:space="preserve"> (49 </w:t>
      </w:r>
      <w:r>
        <w:rPr>
          <w:lang w:val="fr-FR"/>
        </w:rPr>
        <w:t>%</w:t>
      </w:r>
      <w:r w:rsidRPr="00210F79">
        <w:rPr>
          <w:lang w:val="fr-FR"/>
        </w:rPr>
        <w:t>)</w:t>
      </w:r>
      <w:r>
        <w:rPr>
          <w:lang w:val="fr-FR"/>
        </w:rPr>
        <w:t>;</w:t>
      </w:r>
      <w:r w:rsidRPr="00210F79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F03B59">
        <w:rPr>
          <w:lang w:val="fr-FR"/>
        </w:rPr>
        <w:t>Pacte international relatif aux droits civils et politiques</w:t>
      </w:r>
      <w:r w:rsidR="00894E0A">
        <w:rPr>
          <w:lang w:val="fr-FR"/>
        </w:rPr>
        <w:t xml:space="preserve"> (48 </w:t>
      </w:r>
      <w:r>
        <w:rPr>
          <w:lang w:val="fr-FR"/>
        </w:rPr>
        <w:t>%</w:t>
      </w:r>
      <w:r w:rsidRPr="00210F79">
        <w:rPr>
          <w:lang w:val="fr-FR"/>
        </w:rPr>
        <w:t>) (</w:t>
      </w:r>
      <w:r>
        <w:rPr>
          <w:lang w:val="fr-FR"/>
        </w:rPr>
        <w:t>voir</w:t>
      </w:r>
      <w:r w:rsidRPr="00210F79">
        <w:rPr>
          <w:lang w:val="fr-FR"/>
        </w:rPr>
        <w:t xml:space="preserve"> table</w:t>
      </w:r>
      <w:r>
        <w:rPr>
          <w:lang w:val="fr-FR"/>
        </w:rPr>
        <w:t>au</w:t>
      </w:r>
      <w:r w:rsidRPr="00210F79">
        <w:rPr>
          <w:lang w:val="fr-FR"/>
        </w:rPr>
        <w:t> 6).</w:t>
      </w:r>
    </w:p>
    <w:p w:rsidR="004C7EF1" w:rsidRPr="00210F79" w:rsidRDefault="004C7EF1" w:rsidP="00DA3F3F">
      <w:pPr>
        <w:pStyle w:val="H23G"/>
        <w:keepNext w:val="0"/>
        <w:keepLines w:val="0"/>
        <w:suppressAutoHyphens w:val="0"/>
        <w:rPr>
          <w:lang w:val="fr-FR"/>
        </w:rPr>
      </w:pPr>
      <w:r w:rsidRPr="00210F79">
        <w:rPr>
          <w:lang w:val="fr-FR"/>
        </w:rPr>
        <w:tab/>
      </w:r>
      <w:r w:rsidRPr="00210F79">
        <w:rPr>
          <w:lang w:val="fr-FR"/>
        </w:rPr>
        <w:tab/>
      </w:r>
      <w:r w:rsidRPr="00210F79">
        <w:rPr>
          <w:b w:val="0"/>
          <w:bCs/>
          <w:lang w:val="fr-FR"/>
        </w:rPr>
        <w:t>Table</w:t>
      </w:r>
      <w:r>
        <w:rPr>
          <w:b w:val="0"/>
          <w:bCs/>
          <w:lang w:val="fr-FR"/>
        </w:rPr>
        <w:t>au</w:t>
      </w:r>
      <w:r w:rsidRPr="00210F79">
        <w:rPr>
          <w:b w:val="0"/>
          <w:bCs/>
          <w:lang w:val="fr-FR"/>
        </w:rPr>
        <w:t xml:space="preserve"> 6</w:t>
      </w:r>
      <w:r w:rsidRPr="00210F79">
        <w:rPr>
          <w:lang w:val="fr-FR"/>
        </w:rPr>
        <w:br/>
      </w:r>
      <w:r>
        <w:rPr>
          <w:lang w:val="fr-FR"/>
        </w:rPr>
        <w:t xml:space="preserve">Rapports en retard par instrument au </w:t>
      </w:r>
      <w:r w:rsidRPr="00210F79">
        <w:rPr>
          <w:lang w:val="fr-FR"/>
        </w:rPr>
        <w:t xml:space="preserve">28 </w:t>
      </w:r>
      <w:r>
        <w:rPr>
          <w:lang w:val="fr-FR"/>
        </w:rPr>
        <w:t xml:space="preserve">février </w:t>
      </w:r>
      <w:r w:rsidRPr="00210F79">
        <w:rPr>
          <w:lang w:val="fr-FR"/>
        </w:rPr>
        <w:t>2015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824"/>
        <w:gridCol w:w="863"/>
        <w:gridCol w:w="866"/>
        <w:gridCol w:w="866"/>
        <w:gridCol w:w="862"/>
        <w:gridCol w:w="879"/>
      </w:tblGrid>
      <w:tr w:rsidR="004C7EF1" w:rsidRPr="00894E0A" w:rsidTr="001724F1">
        <w:trPr>
          <w:cantSplit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  <w:szCs w:val="16"/>
                <w:lang w:val="fr-FR"/>
              </w:rPr>
            </w:pPr>
            <w:r w:rsidRPr="00894E0A">
              <w:rPr>
                <w:i/>
                <w:sz w:val="16"/>
                <w:szCs w:val="16"/>
                <w:lang w:val="fr-FR"/>
              </w:rPr>
              <w:t>Instrument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8A4E1E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Nombre </w:t>
            </w:r>
            <w:r w:rsidR="004C7EF1" w:rsidRPr="00894E0A">
              <w:rPr>
                <w:i/>
                <w:sz w:val="16"/>
                <w:szCs w:val="16"/>
                <w:lang w:val="fr-FR"/>
              </w:rPr>
              <w:t>d</w:t>
            </w:r>
            <w:r w:rsidR="00D11830">
              <w:rPr>
                <w:i/>
                <w:sz w:val="16"/>
                <w:szCs w:val="16"/>
                <w:lang w:val="fr-FR"/>
              </w:rPr>
              <w:t>’</w:t>
            </w:r>
            <w:r w:rsidR="00894E0A">
              <w:rPr>
                <w:i/>
                <w:sz w:val="16"/>
                <w:szCs w:val="16"/>
                <w:lang w:val="fr-FR"/>
              </w:rPr>
              <w:t>États parties </w:t>
            </w:r>
            <w:r w:rsidR="004C7EF1" w:rsidRPr="00894E0A">
              <w:rPr>
                <w:i/>
                <w:sz w:val="16"/>
                <w:szCs w:val="16"/>
                <w:lang w:val="fr-FR"/>
              </w:rPr>
              <w:t>a)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4C7EF1" w:rsidRPr="00894E0A" w:rsidRDefault="00894E0A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Rapports initiaux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="004C7EF1" w:rsidRPr="00894E0A">
              <w:rPr>
                <w:i/>
                <w:sz w:val="16"/>
                <w:szCs w:val="16"/>
                <w:lang w:val="fr-FR"/>
              </w:rPr>
              <w:t>en retard</w:t>
            </w:r>
            <w:r>
              <w:rPr>
                <w:i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center"/>
              <w:rPr>
                <w:i/>
                <w:sz w:val="16"/>
                <w:szCs w:val="16"/>
                <w:lang w:val="fr-FR"/>
              </w:rPr>
            </w:pPr>
            <w:r w:rsidRPr="00894E0A">
              <w:rPr>
                <w:i/>
                <w:sz w:val="16"/>
                <w:szCs w:val="16"/>
                <w:lang w:val="fr-FR"/>
              </w:rPr>
              <w:t>Rapports périodi</w:t>
            </w:r>
            <w:r w:rsidR="00894E0A">
              <w:rPr>
                <w:i/>
                <w:sz w:val="16"/>
                <w:szCs w:val="16"/>
                <w:lang w:val="fr-FR"/>
              </w:rPr>
              <w:t>ques</w:t>
            </w:r>
            <w:r w:rsidR="00894E0A">
              <w:rPr>
                <w:i/>
                <w:sz w:val="16"/>
                <w:szCs w:val="16"/>
                <w:lang w:val="fr-FR"/>
              </w:rPr>
              <w:br/>
            </w:r>
            <w:r w:rsidRPr="00894E0A">
              <w:rPr>
                <w:i/>
                <w:sz w:val="16"/>
                <w:szCs w:val="16"/>
                <w:lang w:val="fr-FR"/>
              </w:rPr>
              <w:t>en retard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szCs w:val="16"/>
                <w:lang w:val="fr-FR"/>
              </w:rPr>
            </w:pPr>
            <w:r w:rsidRPr="00894E0A">
              <w:rPr>
                <w:i/>
                <w:sz w:val="16"/>
                <w:szCs w:val="16"/>
                <w:lang w:val="fr-FR"/>
              </w:rPr>
              <w:t>Nomb</w:t>
            </w:r>
            <w:r w:rsidR="00894E0A">
              <w:rPr>
                <w:i/>
                <w:sz w:val="16"/>
                <w:szCs w:val="16"/>
                <w:lang w:val="fr-FR"/>
              </w:rPr>
              <w:t>re total de rapports en </w:t>
            </w:r>
            <w:r w:rsidRPr="00894E0A">
              <w:rPr>
                <w:i/>
                <w:sz w:val="16"/>
                <w:szCs w:val="16"/>
                <w:lang w:val="fr-FR"/>
              </w:rPr>
              <w:t>retard</w:t>
            </w:r>
            <w:r w:rsidR="0010220B">
              <w:rPr>
                <w:i/>
                <w:sz w:val="16"/>
                <w:szCs w:val="16"/>
                <w:lang w:val="fr-FR"/>
              </w:rPr>
              <w:br/>
            </w:r>
            <w:r w:rsidRPr="00894E0A">
              <w:rPr>
                <w:i/>
                <w:sz w:val="16"/>
                <w:szCs w:val="16"/>
                <w:lang w:val="fr-FR"/>
              </w:rPr>
              <w:t>(</w:t>
            </w:r>
            <w:r w:rsidR="008D0281">
              <w:rPr>
                <w:i/>
                <w:sz w:val="16"/>
                <w:szCs w:val="16"/>
                <w:lang w:val="fr-FR"/>
              </w:rPr>
              <w:t>en</w:t>
            </w:r>
            <w:r w:rsidR="001724F1">
              <w:rPr>
                <w:i/>
                <w:sz w:val="16"/>
                <w:szCs w:val="16"/>
                <w:lang w:val="fr-FR"/>
              </w:rPr>
              <w:br/>
              <w:t>pourcentage</w:t>
            </w:r>
            <w:r w:rsidRPr="00894E0A">
              <w:rPr>
                <w:i/>
                <w:sz w:val="16"/>
                <w:szCs w:val="16"/>
                <w:lang w:val="fr-FR"/>
              </w:rPr>
              <w:t>)</w:t>
            </w:r>
          </w:p>
        </w:tc>
      </w:tr>
      <w:tr w:rsidR="004C7EF1" w:rsidRPr="00894E0A" w:rsidTr="001724F1">
        <w:trPr>
          <w:cantSplit/>
          <w:tblHeader/>
        </w:trPr>
        <w:tc>
          <w:tcPr>
            <w:tcW w:w="2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894E0A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Nombre </w:t>
            </w:r>
            <w:r w:rsidR="004C7EF1" w:rsidRPr="00894E0A">
              <w:rPr>
                <w:i/>
                <w:sz w:val="16"/>
                <w:szCs w:val="16"/>
                <w:lang w:val="fr-FR"/>
              </w:rPr>
              <w:t>b)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  <w:right w:val="single" w:sz="24" w:space="0" w:color="FFFFFF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szCs w:val="16"/>
                <w:lang w:val="fr-FR"/>
              </w:rPr>
            </w:pPr>
            <w:r w:rsidRPr="00894E0A">
              <w:rPr>
                <w:i/>
                <w:sz w:val="16"/>
                <w:szCs w:val="16"/>
                <w:lang w:val="fr-FR"/>
              </w:rPr>
              <w:t>Pourcentage</w:t>
            </w:r>
            <w:r w:rsidRPr="00894E0A">
              <w:rPr>
                <w:i/>
                <w:sz w:val="16"/>
                <w:szCs w:val="16"/>
                <w:lang w:val="fr-FR"/>
              </w:rPr>
              <w:br/>
              <w:t>b)÷a)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4" w:space="0" w:color="FFFFFF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szCs w:val="16"/>
                <w:lang w:val="fr-FR"/>
              </w:rPr>
            </w:pPr>
            <w:r w:rsidRPr="00894E0A">
              <w:rPr>
                <w:i/>
                <w:sz w:val="16"/>
                <w:szCs w:val="16"/>
                <w:lang w:val="fr-FR"/>
              </w:rPr>
              <w:t>Nombre c)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szCs w:val="16"/>
                <w:lang w:val="fr-FR"/>
              </w:rPr>
            </w:pPr>
            <w:r w:rsidRPr="00894E0A">
              <w:rPr>
                <w:i/>
                <w:sz w:val="16"/>
                <w:szCs w:val="16"/>
                <w:lang w:val="fr-FR"/>
              </w:rPr>
              <w:t>P</w:t>
            </w:r>
            <w:r w:rsidR="005118A6">
              <w:rPr>
                <w:i/>
                <w:sz w:val="16"/>
                <w:szCs w:val="16"/>
                <w:lang w:val="fr-FR"/>
              </w:rPr>
              <w:t>ourcentage</w:t>
            </w:r>
            <w:r w:rsidRPr="00894E0A">
              <w:rPr>
                <w:i/>
                <w:sz w:val="16"/>
                <w:szCs w:val="16"/>
                <w:lang w:val="fr-FR"/>
              </w:rPr>
              <w:t>c)</w:t>
            </w:r>
            <w:r w:rsidRPr="00894E0A">
              <w:rPr>
                <w:i/>
                <w:sz w:val="16"/>
                <w:szCs w:val="16"/>
                <w:lang w:val="fr-FR"/>
              </w:rPr>
              <w:sym w:font="Symbol" w:char="F0B8"/>
            </w:r>
            <w:r w:rsidRPr="00894E0A">
              <w:rPr>
                <w:i/>
                <w:sz w:val="16"/>
                <w:szCs w:val="16"/>
                <w:lang w:val="fr-FR"/>
              </w:rPr>
              <w:t>[a)–b)]</w:t>
            </w:r>
          </w:p>
        </w:tc>
        <w:tc>
          <w:tcPr>
            <w:tcW w:w="90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DA3F3F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C7EF1" w:rsidRPr="00210F79" w:rsidTr="00072CD8">
        <w:trPr>
          <w:cantSplit/>
        </w:trPr>
        <w:tc>
          <w:tcPr>
            <w:tcW w:w="2283" w:type="dxa"/>
            <w:tcBorders>
              <w:top w:val="single" w:sz="12" w:space="0" w:color="auto"/>
            </w:tcBorders>
            <w:shd w:val="clear" w:color="auto" w:fill="auto"/>
          </w:tcPr>
          <w:p w:rsidR="004C7EF1" w:rsidRPr="00894E0A" w:rsidRDefault="001F3F91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Pacte international relatif aux </w:t>
            </w:r>
            <w:r w:rsidR="004C7EF1" w:rsidRPr="00894E0A">
              <w:rPr>
                <w:sz w:val="18"/>
                <w:szCs w:val="18"/>
                <w:lang w:val="fr-FR"/>
              </w:rPr>
              <w:t xml:space="preserve">droits civils et politiques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168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59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 w:eastAsia="ko-KR"/>
              </w:rPr>
            </w:pPr>
            <w:r w:rsidRPr="00894E0A">
              <w:rPr>
                <w:sz w:val="18"/>
                <w:szCs w:val="18"/>
                <w:lang w:val="fr-FR" w:eastAsia="ko-KR"/>
              </w:rPr>
              <w:t>40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81</w:t>
            </w:r>
          </w:p>
        </w:tc>
      </w:tr>
      <w:tr w:rsidR="004C7EF1" w:rsidRPr="00210F79" w:rsidTr="00072CD8">
        <w:trPr>
          <w:cantSplit/>
        </w:trPr>
        <w:tc>
          <w:tcPr>
            <w:tcW w:w="2283" w:type="dxa"/>
            <w:shd w:val="clear" w:color="auto" w:fill="auto"/>
          </w:tcPr>
          <w:p w:rsidR="004C7EF1" w:rsidRPr="00894E0A" w:rsidRDefault="00894E0A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Pacte international relatif aux </w:t>
            </w:r>
            <w:r w:rsidR="004C7EF1" w:rsidRPr="00894E0A">
              <w:rPr>
                <w:sz w:val="18"/>
                <w:szCs w:val="18"/>
                <w:lang w:val="fr-FR"/>
              </w:rPr>
              <w:t xml:space="preserve">droits économiques, sociaux et culturels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164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28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37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65</w:t>
            </w:r>
          </w:p>
        </w:tc>
      </w:tr>
      <w:tr w:rsidR="004C7EF1" w:rsidRPr="00210F79" w:rsidTr="00072CD8">
        <w:trPr>
          <w:cantSplit/>
        </w:trPr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4C7EF1" w:rsidRPr="00894E0A" w:rsidRDefault="00894E0A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Convention internationale pour </w:t>
            </w:r>
            <w:r w:rsidR="004C7EF1" w:rsidRPr="00894E0A">
              <w:rPr>
                <w:sz w:val="18"/>
                <w:szCs w:val="18"/>
              </w:rPr>
              <w:t>l</w:t>
            </w:r>
            <w:r w:rsidR="00D11830">
              <w:rPr>
                <w:sz w:val="18"/>
                <w:szCs w:val="18"/>
              </w:rPr>
              <w:t>’</w:t>
            </w:r>
            <w:r w:rsidR="004C7EF1" w:rsidRPr="00894E0A">
              <w:rPr>
                <w:sz w:val="18"/>
                <w:szCs w:val="18"/>
              </w:rPr>
              <w:t>élimination de la</w:t>
            </w:r>
            <w:r w:rsidR="001F3F91">
              <w:rPr>
                <w:sz w:val="18"/>
                <w:szCs w:val="18"/>
              </w:rPr>
              <w:t> </w:t>
            </w:r>
            <w:r w:rsidR="004C7EF1" w:rsidRPr="00894E0A">
              <w:rPr>
                <w:sz w:val="18"/>
                <w:szCs w:val="18"/>
              </w:rPr>
              <w:t>discrimination raciale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177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 w:eastAsia="ko-KR"/>
              </w:rPr>
            </w:pPr>
            <w:r w:rsidRPr="00894E0A">
              <w:rPr>
                <w:sz w:val="18"/>
                <w:szCs w:val="18"/>
                <w:lang w:val="fr-FR" w:eastAsia="ko-KR"/>
              </w:rPr>
              <w:t>15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92" w:type="dxa"/>
            <w:tcBorders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 w:eastAsia="ko-KR"/>
              </w:rPr>
            </w:pPr>
            <w:r w:rsidRPr="00894E0A">
              <w:rPr>
                <w:sz w:val="18"/>
                <w:szCs w:val="18"/>
                <w:lang w:val="fr-FR" w:eastAsia="ko-KR"/>
              </w:rPr>
              <w:t>81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 w:eastAsia="ko-KR"/>
              </w:rPr>
            </w:pPr>
            <w:r w:rsidRPr="00894E0A">
              <w:rPr>
                <w:sz w:val="18"/>
                <w:szCs w:val="18"/>
                <w:lang w:val="fr-FR" w:eastAsia="ko-KR"/>
              </w:rPr>
              <w:t>50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96</w:t>
            </w:r>
          </w:p>
        </w:tc>
      </w:tr>
      <w:tr w:rsidR="004C7EF1" w:rsidRPr="00210F79" w:rsidTr="00072CD8">
        <w:trPr>
          <w:cantSplit/>
        </w:trPr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</w:tcPr>
          <w:p w:rsidR="004C7EF1" w:rsidRPr="00894E0A" w:rsidRDefault="004C7EF1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Convention contre la torture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157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39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94E0A" w:rsidRDefault="004C7EF1" w:rsidP="00072CD8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66</w:t>
            </w:r>
          </w:p>
        </w:tc>
      </w:tr>
      <w:tr w:rsidR="004C7EF1" w:rsidRPr="00210F79" w:rsidTr="00C45BE6">
        <w:trPr>
          <w:cantSplit/>
        </w:trPr>
        <w:tc>
          <w:tcPr>
            <w:tcW w:w="2283" w:type="dxa"/>
            <w:tcBorders>
              <w:top w:val="nil"/>
            </w:tcBorders>
            <w:shd w:val="clear" w:color="auto" w:fill="auto"/>
          </w:tcPr>
          <w:p w:rsidR="004C7EF1" w:rsidRPr="00894E0A" w:rsidRDefault="004C7EF1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Convention sur l</w:t>
            </w:r>
            <w:r w:rsidR="00D11830">
              <w:rPr>
                <w:sz w:val="18"/>
                <w:szCs w:val="18"/>
                <w:lang w:val="fr-FR"/>
              </w:rPr>
              <w:t>’</w:t>
            </w:r>
            <w:r w:rsidRPr="00894E0A">
              <w:rPr>
                <w:sz w:val="18"/>
                <w:szCs w:val="18"/>
                <w:lang w:val="fr-FR"/>
              </w:rPr>
              <w:t>élimination de toutes les formes de discrimination à l</w:t>
            </w:r>
            <w:r w:rsidR="00D11830">
              <w:rPr>
                <w:sz w:val="18"/>
                <w:szCs w:val="18"/>
                <w:lang w:val="fr-FR"/>
              </w:rPr>
              <w:t>’</w:t>
            </w:r>
            <w:r w:rsidRPr="00894E0A">
              <w:rPr>
                <w:sz w:val="18"/>
                <w:szCs w:val="18"/>
                <w:lang w:val="fr-FR"/>
              </w:rPr>
              <w:t>égard des</w:t>
            </w:r>
            <w:r w:rsidR="00894E0A">
              <w:rPr>
                <w:sz w:val="18"/>
                <w:szCs w:val="18"/>
                <w:lang w:val="fr-FR"/>
              </w:rPr>
              <w:t> </w:t>
            </w:r>
            <w:r w:rsidRPr="00894E0A">
              <w:rPr>
                <w:sz w:val="18"/>
                <w:szCs w:val="18"/>
                <w:lang w:val="fr-FR"/>
              </w:rPr>
              <w:t xml:space="preserve">femmes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188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46</w:t>
            </w: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53</w:t>
            </w:r>
          </w:p>
        </w:tc>
      </w:tr>
      <w:tr w:rsidR="004C7EF1" w:rsidRPr="00210F79" w:rsidTr="00C45BE6">
        <w:trPr>
          <w:cantSplit/>
        </w:trPr>
        <w:tc>
          <w:tcPr>
            <w:tcW w:w="2283" w:type="dxa"/>
            <w:shd w:val="clear" w:color="auto" w:fill="auto"/>
          </w:tcPr>
          <w:p w:rsidR="004C7EF1" w:rsidRPr="00894E0A" w:rsidRDefault="00894E0A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Convention relative</w:t>
            </w:r>
            <w:r>
              <w:rPr>
                <w:sz w:val="18"/>
                <w:szCs w:val="18"/>
                <w:lang w:val="fr-FR"/>
              </w:rPr>
              <w:br/>
            </w:r>
            <w:r w:rsidR="004C7EF1" w:rsidRPr="00894E0A">
              <w:rPr>
                <w:sz w:val="18"/>
                <w:szCs w:val="18"/>
                <w:lang w:val="fr-FR"/>
              </w:rPr>
              <w:t>aux droits de l</w:t>
            </w:r>
            <w:r w:rsidR="00D11830">
              <w:rPr>
                <w:sz w:val="18"/>
                <w:szCs w:val="18"/>
                <w:lang w:val="fr-FR"/>
              </w:rPr>
              <w:t>’</w:t>
            </w:r>
            <w:r w:rsidR="004C7EF1" w:rsidRPr="00894E0A">
              <w:rPr>
                <w:sz w:val="18"/>
                <w:szCs w:val="18"/>
                <w:lang w:val="fr-FR"/>
              </w:rPr>
              <w:t xml:space="preserve">enfant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194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39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41</w:t>
            </w:r>
          </w:p>
        </w:tc>
      </w:tr>
      <w:tr w:rsidR="004C7EF1" w:rsidRPr="00210F79" w:rsidTr="00C45BE6">
        <w:trPr>
          <w:cantSplit/>
        </w:trPr>
        <w:tc>
          <w:tcPr>
            <w:tcW w:w="2283" w:type="dxa"/>
            <w:shd w:val="clear" w:color="auto" w:fill="auto"/>
          </w:tcPr>
          <w:p w:rsidR="004C7EF1" w:rsidRPr="00894E0A" w:rsidRDefault="004C7EF1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Convention relative aux droits de l</w:t>
            </w:r>
            <w:r w:rsidR="00D11830">
              <w:rPr>
                <w:sz w:val="18"/>
                <w:szCs w:val="18"/>
                <w:lang w:val="fr-FR"/>
              </w:rPr>
              <w:t>’</w:t>
            </w:r>
            <w:r w:rsidRPr="00894E0A">
              <w:rPr>
                <w:sz w:val="18"/>
                <w:szCs w:val="18"/>
                <w:lang w:val="fr-FR"/>
              </w:rPr>
              <w:t xml:space="preserve">enfant </w:t>
            </w:r>
            <w:r w:rsidR="00894E0A">
              <w:rPr>
                <w:sz w:val="18"/>
                <w:szCs w:val="18"/>
              </w:rPr>
              <w:t>−</w:t>
            </w:r>
            <w:r w:rsidR="00836887">
              <w:rPr>
                <w:sz w:val="18"/>
                <w:szCs w:val="18"/>
              </w:rPr>
              <w:t xml:space="preserve"> </w:t>
            </w:r>
            <w:r w:rsidR="00894E0A">
              <w:rPr>
                <w:sz w:val="18"/>
                <w:szCs w:val="18"/>
              </w:rPr>
              <w:t>Protocole facultatif concernant</w:t>
            </w:r>
            <w:r w:rsidR="00894E0A">
              <w:rPr>
                <w:sz w:val="18"/>
                <w:szCs w:val="18"/>
              </w:rPr>
              <w:br/>
            </w:r>
            <w:r w:rsidRPr="00894E0A">
              <w:rPr>
                <w:sz w:val="18"/>
                <w:szCs w:val="18"/>
              </w:rPr>
              <w:t>la vente d</w:t>
            </w:r>
            <w:r w:rsidR="00D11830">
              <w:rPr>
                <w:sz w:val="18"/>
                <w:szCs w:val="18"/>
              </w:rPr>
              <w:t>’</w:t>
            </w:r>
            <w:r w:rsidRPr="00894E0A">
              <w:rPr>
                <w:sz w:val="18"/>
                <w:szCs w:val="18"/>
              </w:rPr>
              <w:t>enfants</w:t>
            </w:r>
            <w:r w:rsidRPr="00894E0A">
              <w:rPr>
                <w:i/>
                <w:iCs/>
                <w:sz w:val="18"/>
                <w:szCs w:val="18"/>
                <w:vertAlign w:val="superscript"/>
                <w:lang w:val="fr-FR"/>
              </w:rPr>
              <w:t>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159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44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70</w:t>
            </w:r>
          </w:p>
        </w:tc>
      </w:tr>
      <w:tr w:rsidR="004C7EF1" w:rsidRPr="00210F79" w:rsidTr="00C45BE6">
        <w:trPr>
          <w:cantSplit/>
        </w:trPr>
        <w:tc>
          <w:tcPr>
            <w:tcW w:w="2283" w:type="dxa"/>
            <w:shd w:val="clear" w:color="auto" w:fill="auto"/>
          </w:tcPr>
          <w:p w:rsidR="004C7EF1" w:rsidRPr="00894E0A" w:rsidRDefault="004C7EF1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</w:rPr>
              <w:t>Convention relative aux droits de l</w:t>
            </w:r>
            <w:r w:rsidR="00D11830">
              <w:rPr>
                <w:sz w:val="18"/>
                <w:szCs w:val="18"/>
              </w:rPr>
              <w:t>’</w:t>
            </w:r>
            <w:r w:rsidRPr="00894E0A">
              <w:rPr>
                <w:sz w:val="18"/>
                <w:szCs w:val="18"/>
              </w:rPr>
              <w:t xml:space="preserve">enfant </w:t>
            </w:r>
            <w:r w:rsidR="00894E0A">
              <w:rPr>
                <w:sz w:val="18"/>
                <w:szCs w:val="18"/>
              </w:rPr>
              <w:t>−</w:t>
            </w:r>
            <w:r w:rsidRPr="00894E0A">
              <w:rPr>
                <w:sz w:val="18"/>
                <w:szCs w:val="18"/>
              </w:rPr>
              <w:t xml:space="preserve"> Protocole facultatif concernant l</w:t>
            </w:r>
            <w:r w:rsidR="00D11830">
              <w:rPr>
                <w:sz w:val="18"/>
                <w:szCs w:val="18"/>
              </w:rPr>
              <w:t>’</w:t>
            </w:r>
            <w:r w:rsidRPr="00894E0A">
              <w:rPr>
                <w:sz w:val="18"/>
                <w:szCs w:val="18"/>
              </w:rPr>
              <w:t>implication d</w:t>
            </w:r>
            <w:r w:rsidR="00D11830">
              <w:rPr>
                <w:sz w:val="18"/>
                <w:szCs w:val="18"/>
              </w:rPr>
              <w:t>’</w:t>
            </w:r>
            <w:r w:rsidR="00894E0A">
              <w:rPr>
                <w:sz w:val="18"/>
                <w:szCs w:val="18"/>
              </w:rPr>
              <w:t>enfants</w:t>
            </w:r>
            <w:r w:rsidR="00894E0A">
              <w:rPr>
                <w:sz w:val="18"/>
                <w:szCs w:val="18"/>
              </w:rPr>
              <w:br/>
            </w:r>
            <w:r w:rsidRPr="00894E0A">
              <w:rPr>
                <w:sz w:val="18"/>
                <w:szCs w:val="18"/>
              </w:rPr>
              <w:t>dans les conflits armés</w:t>
            </w:r>
            <w:r w:rsidRPr="00894E0A">
              <w:rPr>
                <w:i/>
                <w:iCs/>
                <w:sz w:val="18"/>
                <w:szCs w:val="18"/>
                <w:vertAlign w:val="superscript"/>
                <w:lang w:val="fr-FR"/>
              </w:rPr>
              <w:t>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169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46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27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46</w:t>
            </w:r>
          </w:p>
        </w:tc>
      </w:tr>
      <w:tr w:rsidR="004C7EF1" w:rsidRPr="00210F79" w:rsidTr="00C45BE6">
        <w:trPr>
          <w:cantSplit/>
        </w:trPr>
        <w:tc>
          <w:tcPr>
            <w:tcW w:w="2283" w:type="dxa"/>
            <w:shd w:val="clear" w:color="auto" w:fill="auto"/>
          </w:tcPr>
          <w:p w:rsidR="004C7EF1" w:rsidRPr="00894E0A" w:rsidRDefault="004C7EF1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Convention internationale sur la protection des droits de tous les travailleurs migrants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23</w:t>
            </w:r>
          </w:p>
        </w:tc>
      </w:tr>
      <w:tr w:rsidR="004C7EF1" w:rsidRPr="00210F79" w:rsidTr="00C45BE6">
        <w:trPr>
          <w:cantSplit/>
        </w:trPr>
        <w:tc>
          <w:tcPr>
            <w:tcW w:w="2283" w:type="dxa"/>
            <w:shd w:val="clear" w:color="auto" w:fill="auto"/>
          </w:tcPr>
          <w:p w:rsidR="004C7EF1" w:rsidRPr="00894E0A" w:rsidRDefault="004C7EF1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 xml:space="preserve">Convention relative aux droits des personnes handicapées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152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34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51</w:t>
            </w:r>
          </w:p>
        </w:tc>
      </w:tr>
      <w:tr w:rsidR="004C7EF1" w:rsidRPr="00210F79" w:rsidTr="00C45BE6">
        <w:trPr>
          <w:cantSplit/>
        </w:trPr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4C7EF1" w:rsidRPr="00894E0A" w:rsidRDefault="00894E0A" w:rsidP="00DA3F3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Convention internationale pour la protection de toutes les </w:t>
            </w:r>
            <w:r w:rsidR="004C7EF1" w:rsidRPr="00894E0A">
              <w:rPr>
                <w:sz w:val="18"/>
                <w:szCs w:val="18"/>
                <w:lang w:val="fr-FR"/>
              </w:rPr>
              <w:t>personnes contre les disparitions forcées</w:t>
            </w:r>
            <w:r w:rsidR="004C7EF1" w:rsidRPr="00894E0A">
              <w:rPr>
                <w:i/>
                <w:iCs/>
                <w:sz w:val="18"/>
                <w:szCs w:val="18"/>
                <w:vertAlign w:val="superscript"/>
                <w:lang w:val="fr-FR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49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94E0A" w:rsidRDefault="004C7EF1" w:rsidP="00C45BE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94E0A">
              <w:rPr>
                <w:sz w:val="18"/>
                <w:szCs w:val="18"/>
                <w:lang w:val="fr-FR"/>
              </w:rPr>
              <w:t>22</w:t>
            </w:r>
          </w:p>
        </w:tc>
      </w:tr>
      <w:tr w:rsidR="00894E0A" w:rsidRPr="00210F79" w:rsidTr="001724F1">
        <w:trPr>
          <w:cantSplit/>
        </w:trPr>
        <w:tc>
          <w:tcPr>
            <w:tcW w:w="2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4E0A" w:rsidRDefault="00894E0A" w:rsidP="00273228">
            <w:pPr>
              <w:suppressAutoHyphens w:val="0"/>
              <w:spacing w:before="80" w:after="80" w:line="220" w:lineRule="exact"/>
              <w:ind w:firstLine="284"/>
              <w:rPr>
                <w:sz w:val="18"/>
                <w:szCs w:val="18"/>
                <w:lang w:val="fr-FR"/>
              </w:rPr>
            </w:pPr>
            <w:r w:rsidRPr="00210F79">
              <w:rPr>
                <w:b/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4E0A" w:rsidRPr="00894E0A" w:rsidRDefault="00894E0A" w:rsidP="00273228">
            <w:pPr>
              <w:suppressAutoHyphens w:val="0"/>
              <w:spacing w:before="80" w:after="8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210F79">
              <w:rPr>
                <w:b/>
                <w:bCs/>
                <w:sz w:val="18"/>
                <w:szCs w:val="18"/>
                <w:lang w:val="fr-FR"/>
              </w:rPr>
              <w:t>1 620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4E0A" w:rsidRPr="00894E0A" w:rsidRDefault="00894E0A" w:rsidP="00273228">
            <w:pPr>
              <w:suppressAutoHyphens w:val="0"/>
              <w:spacing w:before="80" w:after="8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210F79">
              <w:rPr>
                <w:b/>
                <w:bCs/>
                <w:sz w:val="18"/>
                <w:szCs w:val="18"/>
                <w:lang w:val="fr-FR"/>
              </w:rPr>
              <w:t>309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4E0A" w:rsidRPr="00894E0A" w:rsidRDefault="00894E0A" w:rsidP="0027322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94E0A">
              <w:rPr>
                <w:b/>
                <w:sz w:val="18"/>
                <w:szCs w:val="18"/>
                <w:lang w:val="fr-FR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4E0A" w:rsidRPr="00894E0A" w:rsidRDefault="00894E0A" w:rsidP="0027322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94E0A">
              <w:rPr>
                <w:b/>
                <w:sz w:val="18"/>
                <w:szCs w:val="18"/>
                <w:lang w:val="fr-FR"/>
              </w:rPr>
              <w:t>305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4E0A" w:rsidRPr="00894E0A" w:rsidRDefault="00894E0A" w:rsidP="0027322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  <w:szCs w:val="18"/>
                <w:lang w:val="fr-FR"/>
              </w:rPr>
            </w:pPr>
            <w:r w:rsidRPr="00894E0A">
              <w:rPr>
                <w:b/>
                <w:sz w:val="18"/>
                <w:szCs w:val="18"/>
                <w:lang w:val="fr-FR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94E0A" w:rsidRPr="00894E0A" w:rsidRDefault="00894E0A" w:rsidP="00273228">
            <w:pPr>
              <w:suppressAutoHyphens w:val="0"/>
              <w:spacing w:before="80" w:after="8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210F79">
              <w:rPr>
                <w:b/>
                <w:bCs/>
                <w:sz w:val="18"/>
                <w:szCs w:val="18"/>
                <w:lang w:val="fr-FR" w:eastAsia="ko-KR"/>
              </w:rPr>
              <w:t>614 (38)</w:t>
            </w:r>
          </w:p>
        </w:tc>
      </w:tr>
    </w:tbl>
    <w:p w:rsidR="004C7EF1" w:rsidRPr="00210F79" w:rsidRDefault="004C7EF1" w:rsidP="00242BD0">
      <w:pPr>
        <w:pStyle w:val="SingleTxtG"/>
        <w:spacing w:before="120" w:after="0" w:line="220" w:lineRule="atLeast"/>
        <w:ind w:firstLine="170"/>
        <w:jc w:val="left"/>
        <w:rPr>
          <w:sz w:val="17"/>
          <w:szCs w:val="17"/>
          <w:lang w:val="fr-FR"/>
        </w:rPr>
      </w:pPr>
      <w:r w:rsidRPr="00210F79">
        <w:rPr>
          <w:i/>
          <w:iCs/>
          <w:sz w:val="17"/>
          <w:szCs w:val="17"/>
          <w:lang w:val="fr-FR"/>
        </w:rPr>
        <w:t>Note</w:t>
      </w:r>
      <w:r w:rsidRPr="00210F79">
        <w:rPr>
          <w:sz w:val="17"/>
          <w:szCs w:val="17"/>
          <w:lang w:val="fr-FR"/>
        </w:rPr>
        <w:t xml:space="preserve">: </w:t>
      </w:r>
      <w:r>
        <w:rPr>
          <w:sz w:val="17"/>
          <w:szCs w:val="17"/>
          <w:lang w:val="fr-FR"/>
        </w:rPr>
        <w:t>Les données qui figurent dans le tableau ci-dessus ont été calculées à partir des échéances initialement fixées</w:t>
      </w:r>
      <w:r w:rsidRPr="00210F79">
        <w:rPr>
          <w:sz w:val="17"/>
          <w:szCs w:val="17"/>
          <w:lang w:val="fr-FR"/>
        </w:rPr>
        <w:t xml:space="preserve">. </w:t>
      </w:r>
      <w:r>
        <w:rPr>
          <w:sz w:val="17"/>
          <w:szCs w:val="17"/>
          <w:lang w:val="fr-FR"/>
        </w:rPr>
        <w:t xml:space="preserve">Plusieurs </w:t>
      </w:r>
      <w:r w:rsidRPr="00210F79">
        <w:rPr>
          <w:sz w:val="17"/>
          <w:szCs w:val="17"/>
          <w:lang w:val="fr-FR"/>
        </w:rPr>
        <w:t>comités</w:t>
      </w:r>
      <w:r>
        <w:rPr>
          <w:sz w:val="17"/>
          <w:szCs w:val="17"/>
          <w:lang w:val="fr-FR"/>
        </w:rPr>
        <w:t xml:space="preserve"> ont toutefois donné la possibilité aux États parties dont les rapports étaient en souffrance d</w:t>
      </w:r>
      <w:r w:rsidR="00D11830">
        <w:rPr>
          <w:sz w:val="17"/>
          <w:szCs w:val="17"/>
          <w:lang w:val="fr-FR"/>
        </w:rPr>
        <w:t>’</w:t>
      </w:r>
      <w:r>
        <w:rPr>
          <w:sz w:val="17"/>
          <w:szCs w:val="17"/>
          <w:lang w:val="fr-FR"/>
        </w:rPr>
        <w:t>appliquer</w:t>
      </w:r>
      <w:r w:rsidRPr="00210F79">
        <w:rPr>
          <w:sz w:val="17"/>
          <w:szCs w:val="17"/>
          <w:lang w:val="fr-FR"/>
        </w:rPr>
        <w:t xml:space="preserve"> </w:t>
      </w:r>
      <w:r>
        <w:rPr>
          <w:sz w:val="17"/>
          <w:szCs w:val="17"/>
          <w:lang w:val="fr-FR"/>
        </w:rPr>
        <w:t>la procédure simplifiée de présentation des rapports</w:t>
      </w:r>
      <w:r w:rsidRPr="00210F79">
        <w:rPr>
          <w:sz w:val="17"/>
          <w:szCs w:val="17"/>
          <w:lang w:val="fr-FR"/>
        </w:rPr>
        <w:t xml:space="preserve">. </w:t>
      </w:r>
      <w:r>
        <w:rPr>
          <w:sz w:val="17"/>
          <w:szCs w:val="17"/>
          <w:lang w:val="fr-FR"/>
        </w:rPr>
        <w:t>De nouvelles échéances ont été fixées pour les États parties qui ont choisi d</w:t>
      </w:r>
      <w:r w:rsidR="00D11830">
        <w:rPr>
          <w:sz w:val="17"/>
          <w:szCs w:val="17"/>
          <w:lang w:val="fr-FR"/>
        </w:rPr>
        <w:t>’</w:t>
      </w:r>
      <w:r>
        <w:rPr>
          <w:sz w:val="17"/>
          <w:szCs w:val="17"/>
          <w:lang w:val="fr-FR"/>
        </w:rPr>
        <w:t>appliquer cette procédure</w:t>
      </w:r>
      <w:r w:rsidRPr="00210F79">
        <w:rPr>
          <w:sz w:val="17"/>
          <w:szCs w:val="17"/>
          <w:lang w:val="fr-FR"/>
        </w:rPr>
        <w:t>.</w:t>
      </w:r>
    </w:p>
    <w:p w:rsidR="004C7EF1" w:rsidRPr="00210F79" w:rsidRDefault="004C7EF1" w:rsidP="00242BD0">
      <w:pPr>
        <w:pStyle w:val="SingleTxtG"/>
        <w:spacing w:after="0" w:line="220" w:lineRule="atLeast"/>
        <w:ind w:firstLine="170"/>
        <w:jc w:val="left"/>
        <w:rPr>
          <w:sz w:val="17"/>
          <w:szCs w:val="17"/>
          <w:lang w:val="fr-FR"/>
        </w:rPr>
      </w:pPr>
      <w:r w:rsidRPr="00210F79">
        <w:rPr>
          <w:i/>
          <w:iCs/>
          <w:sz w:val="17"/>
          <w:szCs w:val="17"/>
          <w:vertAlign w:val="superscript"/>
          <w:lang w:val="fr-FR"/>
        </w:rPr>
        <w:t>a</w:t>
      </w:r>
      <w:r w:rsidRPr="00210F79">
        <w:rPr>
          <w:sz w:val="17"/>
          <w:szCs w:val="17"/>
          <w:lang w:val="fr-FR"/>
        </w:rPr>
        <w:t xml:space="preserve"> </w:t>
      </w:r>
      <w:r w:rsidR="00242BD0">
        <w:rPr>
          <w:sz w:val="17"/>
          <w:szCs w:val="17"/>
          <w:lang w:val="fr-FR"/>
        </w:rPr>
        <w:t xml:space="preserve"> Conformément au paragraphe </w:t>
      </w:r>
      <w:r>
        <w:rPr>
          <w:sz w:val="17"/>
          <w:szCs w:val="17"/>
          <w:lang w:val="fr-FR"/>
        </w:rPr>
        <w:t>2 de l</w:t>
      </w:r>
      <w:r w:rsidR="00D11830">
        <w:rPr>
          <w:sz w:val="17"/>
          <w:szCs w:val="17"/>
          <w:lang w:val="fr-FR"/>
        </w:rPr>
        <w:t>’</w:t>
      </w:r>
      <w:r w:rsidR="00242BD0">
        <w:rPr>
          <w:sz w:val="17"/>
          <w:szCs w:val="17"/>
          <w:lang w:val="fr-FR"/>
        </w:rPr>
        <w:t>article </w:t>
      </w:r>
      <w:r>
        <w:rPr>
          <w:sz w:val="17"/>
          <w:szCs w:val="17"/>
          <w:lang w:val="fr-FR"/>
        </w:rPr>
        <w:t xml:space="preserve">12 du </w:t>
      </w:r>
      <w:r w:rsidRPr="00F57D24">
        <w:rPr>
          <w:sz w:val="17"/>
          <w:szCs w:val="17"/>
          <w:lang w:val="fr-FR"/>
        </w:rPr>
        <w:t>Protocole facultatif à la Convention relative aux droits de l</w:t>
      </w:r>
      <w:r w:rsidR="00D11830">
        <w:rPr>
          <w:sz w:val="17"/>
          <w:szCs w:val="17"/>
          <w:lang w:val="fr-FR"/>
        </w:rPr>
        <w:t>’</w:t>
      </w:r>
      <w:r w:rsidRPr="00F57D24">
        <w:rPr>
          <w:sz w:val="17"/>
          <w:szCs w:val="17"/>
          <w:lang w:val="fr-FR"/>
        </w:rPr>
        <w:t>enfant, concernant la vente d</w:t>
      </w:r>
      <w:r w:rsidR="00D11830">
        <w:rPr>
          <w:sz w:val="17"/>
          <w:szCs w:val="17"/>
          <w:lang w:val="fr-FR"/>
        </w:rPr>
        <w:t>’</w:t>
      </w:r>
      <w:r w:rsidRPr="00F57D24">
        <w:rPr>
          <w:sz w:val="17"/>
          <w:szCs w:val="17"/>
          <w:lang w:val="fr-FR"/>
        </w:rPr>
        <w:t>enfants, la prostitution des enfants et la pornographie mettant en scène des enfants</w:t>
      </w:r>
      <w:r w:rsidR="00242BD0">
        <w:rPr>
          <w:sz w:val="17"/>
          <w:szCs w:val="17"/>
          <w:lang w:val="fr-FR"/>
        </w:rPr>
        <w:t xml:space="preserve"> et au paragraphe </w:t>
      </w:r>
      <w:r>
        <w:rPr>
          <w:sz w:val="17"/>
          <w:szCs w:val="17"/>
          <w:lang w:val="fr-FR"/>
        </w:rPr>
        <w:t>2 de l</w:t>
      </w:r>
      <w:r w:rsidR="00D11830">
        <w:rPr>
          <w:sz w:val="17"/>
          <w:szCs w:val="17"/>
          <w:lang w:val="fr-FR"/>
        </w:rPr>
        <w:t>’</w:t>
      </w:r>
      <w:r w:rsidR="00242BD0">
        <w:rPr>
          <w:sz w:val="17"/>
          <w:szCs w:val="17"/>
          <w:lang w:val="fr-FR"/>
        </w:rPr>
        <w:t>article </w:t>
      </w:r>
      <w:r>
        <w:rPr>
          <w:sz w:val="17"/>
          <w:szCs w:val="17"/>
          <w:lang w:val="fr-FR"/>
        </w:rPr>
        <w:t>8 du</w:t>
      </w:r>
      <w:r w:rsidRPr="00210F79">
        <w:rPr>
          <w:sz w:val="17"/>
          <w:szCs w:val="17"/>
          <w:lang w:val="fr-FR"/>
        </w:rPr>
        <w:t xml:space="preserve"> </w:t>
      </w:r>
      <w:r w:rsidRPr="00F57D24">
        <w:rPr>
          <w:sz w:val="17"/>
          <w:szCs w:val="17"/>
          <w:lang w:val="fr-FR"/>
        </w:rPr>
        <w:t>Protocole facultatif à la Convention relative aux droits de l</w:t>
      </w:r>
      <w:r w:rsidR="00D11830">
        <w:rPr>
          <w:sz w:val="17"/>
          <w:szCs w:val="17"/>
          <w:lang w:val="fr-FR"/>
        </w:rPr>
        <w:t>’</w:t>
      </w:r>
      <w:r w:rsidRPr="00F57D24">
        <w:rPr>
          <w:sz w:val="17"/>
          <w:szCs w:val="17"/>
          <w:lang w:val="fr-FR"/>
        </w:rPr>
        <w:t>enfant, concernant l</w:t>
      </w:r>
      <w:r w:rsidR="00D11830">
        <w:rPr>
          <w:sz w:val="17"/>
          <w:szCs w:val="17"/>
          <w:lang w:val="fr-FR"/>
        </w:rPr>
        <w:t>’</w:t>
      </w:r>
      <w:r w:rsidRPr="00F57D24">
        <w:rPr>
          <w:sz w:val="17"/>
          <w:szCs w:val="17"/>
          <w:lang w:val="fr-FR"/>
        </w:rPr>
        <w:t>implication d</w:t>
      </w:r>
      <w:r w:rsidR="00D11830">
        <w:rPr>
          <w:sz w:val="17"/>
          <w:szCs w:val="17"/>
          <w:lang w:val="fr-FR"/>
        </w:rPr>
        <w:t>’</w:t>
      </w:r>
      <w:r w:rsidRPr="00F57D24">
        <w:rPr>
          <w:sz w:val="17"/>
          <w:szCs w:val="17"/>
          <w:lang w:val="fr-FR"/>
        </w:rPr>
        <w:t>enfants dans les conflits armés</w:t>
      </w:r>
      <w:r w:rsidRPr="00210F79">
        <w:rPr>
          <w:sz w:val="17"/>
          <w:szCs w:val="17"/>
          <w:lang w:val="fr-FR"/>
        </w:rPr>
        <w:t xml:space="preserve">, </w:t>
      </w:r>
      <w:r>
        <w:rPr>
          <w:sz w:val="17"/>
          <w:szCs w:val="17"/>
        </w:rPr>
        <w:t>a</w:t>
      </w:r>
      <w:r w:rsidRPr="00BD35DB">
        <w:rPr>
          <w:sz w:val="17"/>
          <w:szCs w:val="17"/>
        </w:rPr>
        <w:t>près la présentation de son rapport détaillé, chaque État Partie inclut dans les rapports qu</w:t>
      </w:r>
      <w:r w:rsidR="00D11830">
        <w:rPr>
          <w:sz w:val="17"/>
          <w:szCs w:val="17"/>
        </w:rPr>
        <w:t>’</w:t>
      </w:r>
      <w:r w:rsidRPr="00BD35DB">
        <w:rPr>
          <w:sz w:val="17"/>
          <w:szCs w:val="17"/>
        </w:rPr>
        <w:t>il présente au Comité des droits de l</w:t>
      </w:r>
      <w:r w:rsidR="00D11830">
        <w:rPr>
          <w:sz w:val="17"/>
          <w:szCs w:val="17"/>
        </w:rPr>
        <w:t>’</w:t>
      </w:r>
      <w:r w:rsidRPr="00BD35DB">
        <w:rPr>
          <w:sz w:val="17"/>
          <w:szCs w:val="17"/>
        </w:rPr>
        <w:t xml:space="preserve">enfant, </w:t>
      </w:r>
      <w:r>
        <w:rPr>
          <w:sz w:val="17"/>
          <w:szCs w:val="17"/>
        </w:rPr>
        <w:t>en</w:t>
      </w:r>
      <w:r w:rsidR="0010220B">
        <w:rPr>
          <w:sz w:val="17"/>
          <w:szCs w:val="17"/>
        </w:rPr>
        <w:t> </w:t>
      </w:r>
      <w:r>
        <w:rPr>
          <w:sz w:val="17"/>
          <w:szCs w:val="17"/>
        </w:rPr>
        <w:t>application de</w:t>
      </w:r>
      <w:r w:rsidRPr="00BD35DB">
        <w:rPr>
          <w:sz w:val="17"/>
          <w:szCs w:val="17"/>
        </w:rPr>
        <w:t xml:space="preserve"> l</w:t>
      </w:r>
      <w:r w:rsidR="00D11830">
        <w:rPr>
          <w:sz w:val="17"/>
          <w:szCs w:val="17"/>
        </w:rPr>
        <w:t>’</w:t>
      </w:r>
      <w:r w:rsidR="00242BD0">
        <w:rPr>
          <w:sz w:val="17"/>
          <w:szCs w:val="17"/>
        </w:rPr>
        <w:t>article </w:t>
      </w:r>
      <w:r w:rsidRPr="00BD35DB">
        <w:rPr>
          <w:sz w:val="17"/>
          <w:szCs w:val="17"/>
        </w:rPr>
        <w:t>44 de la Convention, tout complément d</w:t>
      </w:r>
      <w:r w:rsidR="00D11830">
        <w:rPr>
          <w:sz w:val="17"/>
          <w:szCs w:val="17"/>
        </w:rPr>
        <w:t>’</w:t>
      </w:r>
      <w:r w:rsidRPr="00BD35DB">
        <w:rPr>
          <w:sz w:val="17"/>
          <w:szCs w:val="17"/>
        </w:rPr>
        <w:t>information concernant l</w:t>
      </w:r>
      <w:r w:rsidR="00D11830">
        <w:rPr>
          <w:sz w:val="17"/>
          <w:szCs w:val="17"/>
        </w:rPr>
        <w:t>’</w:t>
      </w:r>
      <w:r w:rsidR="001F3F91">
        <w:rPr>
          <w:sz w:val="17"/>
          <w:szCs w:val="17"/>
        </w:rPr>
        <w:t>application du </w:t>
      </w:r>
      <w:r w:rsidRPr="00BD35DB">
        <w:rPr>
          <w:sz w:val="17"/>
          <w:szCs w:val="17"/>
        </w:rPr>
        <w:t>Protocole</w:t>
      </w:r>
      <w:r>
        <w:rPr>
          <w:sz w:val="17"/>
          <w:szCs w:val="17"/>
        </w:rPr>
        <w:t xml:space="preserve"> concerné</w:t>
      </w:r>
      <w:r w:rsidRPr="00210F79">
        <w:rPr>
          <w:sz w:val="17"/>
          <w:szCs w:val="17"/>
          <w:lang w:val="fr-FR"/>
        </w:rPr>
        <w:t>.</w:t>
      </w:r>
    </w:p>
    <w:p w:rsidR="004C7EF1" w:rsidRPr="00210F79" w:rsidRDefault="004C7EF1" w:rsidP="00242BD0">
      <w:pPr>
        <w:pStyle w:val="SingleTxtG"/>
        <w:spacing w:after="240" w:line="220" w:lineRule="atLeast"/>
        <w:ind w:firstLine="170"/>
        <w:jc w:val="left"/>
        <w:rPr>
          <w:sz w:val="17"/>
          <w:szCs w:val="17"/>
          <w:lang w:val="fr-FR"/>
        </w:rPr>
      </w:pPr>
      <w:r w:rsidRPr="00210F79">
        <w:rPr>
          <w:i/>
          <w:iCs/>
          <w:sz w:val="17"/>
          <w:szCs w:val="17"/>
          <w:vertAlign w:val="superscript"/>
          <w:lang w:val="fr-FR"/>
        </w:rPr>
        <w:t xml:space="preserve">b </w:t>
      </w:r>
      <w:r w:rsidR="00242BD0">
        <w:rPr>
          <w:i/>
          <w:iCs/>
          <w:sz w:val="17"/>
          <w:szCs w:val="17"/>
          <w:vertAlign w:val="superscript"/>
          <w:lang w:val="fr-FR"/>
        </w:rPr>
        <w:t xml:space="preserve"> </w:t>
      </w:r>
      <w:r>
        <w:rPr>
          <w:sz w:val="17"/>
          <w:szCs w:val="17"/>
          <w:lang w:val="fr-FR"/>
        </w:rPr>
        <w:t>Conformément au paragrap</w:t>
      </w:r>
      <w:r w:rsidR="00242BD0">
        <w:rPr>
          <w:sz w:val="17"/>
          <w:szCs w:val="17"/>
          <w:lang w:val="fr-FR"/>
        </w:rPr>
        <w:t>he </w:t>
      </w:r>
      <w:r>
        <w:rPr>
          <w:sz w:val="17"/>
          <w:szCs w:val="17"/>
          <w:lang w:val="fr-FR"/>
        </w:rPr>
        <w:t>1 de l</w:t>
      </w:r>
      <w:r w:rsidR="00D11830">
        <w:rPr>
          <w:sz w:val="17"/>
          <w:szCs w:val="17"/>
          <w:lang w:val="fr-FR"/>
        </w:rPr>
        <w:t>’</w:t>
      </w:r>
      <w:r w:rsidRPr="00210F79">
        <w:rPr>
          <w:sz w:val="17"/>
          <w:szCs w:val="17"/>
          <w:lang w:val="fr-FR"/>
        </w:rPr>
        <w:t>article 29</w:t>
      </w:r>
      <w:r>
        <w:rPr>
          <w:sz w:val="17"/>
          <w:szCs w:val="17"/>
          <w:lang w:val="fr-FR"/>
        </w:rPr>
        <w:t xml:space="preserve"> de la Convention internationale pour la protection de toutes les personnes contre les disparitions forcées</w:t>
      </w:r>
      <w:r w:rsidRPr="00210F79">
        <w:rPr>
          <w:sz w:val="17"/>
          <w:szCs w:val="17"/>
          <w:lang w:val="fr-FR"/>
        </w:rPr>
        <w:t xml:space="preserve">, </w:t>
      </w:r>
      <w:r>
        <w:rPr>
          <w:sz w:val="17"/>
          <w:szCs w:val="17"/>
          <w:lang w:val="fr-FR"/>
        </w:rPr>
        <w:t>les États</w:t>
      </w:r>
      <w:r w:rsidRPr="00210F79">
        <w:rPr>
          <w:sz w:val="17"/>
          <w:szCs w:val="17"/>
          <w:lang w:val="fr-FR"/>
        </w:rPr>
        <w:t xml:space="preserve"> parties </w:t>
      </w:r>
      <w:r>
        <w:rPr>
          <w:sz w:val="17"/>
          <w:szCs w:val="17"/>
          <w:lang w:val="fr-FR"/>
        </w:rPr>
        <w:t>sont tenus de présenter un rapport</w:t>
      </w:r>
      <w:r w:rsidRPr="00210F79">
        <w:rPr>
          <w:sz w:val="17"/>
          <w:szCs w:val="17"/>
          <w:lang w:val="fr-FR"/>
        </w:rPr>
        <w:t xml:space="preserve">. </w:t>
      </w:r>
      <w:r w:rsidR="00242BD0">
        <w:rPr>
          <w:sz w:val="17"/>
          <w:szCs w:val="17"/>
          <w:lang w:val="fr-FR"/>
        </w:rPr>
        <w:t>Conformément au paragraphe </w:t>
      </w:r>
      <w:r>
        <w:rPr>
          <w:sz w:val="17"/>
          <w:szCs w:val="17"/>
          <w:lang w:val="fr-FR"/>
        </w:rPr>
        <w:t>4 de l</w:t>
      </w:r>
      <w:r w:rsidR="00D11830">
        <w:rPr>
          <w:sz w:val="17"/>
          <w:szCs w:val="17"/>
          <w:lang w:val="fr-FR"/>
        </w:rPr>
        <w:t>’</w:t>
      </w:r>
      <w:r>
        <w:rPr>
          <w:sz w:val="17"/>
          <w:szCs w:val="17"/>
          <w:lang w:val="fr-FR"/>
        </w:rPr>
        <w:t>a</w:t>
      </w:r>
      <w:r w:rsidR="00242BD0">
        <w:rPr>
          <w:sz w:val="17"/>
          <w:szCs w:val="17"/>
          <w:lang w:val="fr-FR"/>
        </w:rPr>
        <w:t>rticle </w:t>
      </w:r>
      <w:r w:rsidRPr="00210F79">
        <w:rPr>
          <w:sz w:val="17"/>
          <w:szCs w:val="17"/>
          <w:lang w:val="fr-FR"/>
        </w:rPr>
        <w:t>29</w:t>
      </w:r>
      <w:r>
        <w:rPr>
          <w:sz w:val="17"/>
          <w:szCs w:val="17"/>
          <w:lang w:val="fr-FR"/>
        </w:rPr>
        <w:t xml:space="preserve"> d</w:t>
      </w:r>
      <w:r w:rsidRPr="00210F79">
        <w:rPr>
          <w:sz w:val="17"/>
          <w:szCs w:val="17"/>
          <w:lang w:val="fr-FR"/>
        </w:rPr>
        <w:t>e</w:t>
      </w:r>
      <w:r>
        <w:rPr>
          <w:sz w:val="17"/>
          <w:szCs w:val="17"/>
          <w:lang w:val="fr-FR"/>
        </w:rPr>
        <w:t xml:space="preserve"> la</w:t>
      </w:r>
      <w:r w:rsidRPr="00210F79">
        <w:rPr>
          <w:sz w:val="17"/>
          <w:szCs w:val="17"/>
          <w:lang w:val="fr-FR"/>
        </w:rPr>
        <w:t xml:space="preserve"> Convention, </w:t>
      </w:r>
      <w:r>
        <w:rPr>
          <w:sz w:val="17"/>
          <w:szCs w:val="17"/>
          <w:lang w:val="fr-FR"/>
        </w:rPr>
        <w:t xml:space="preserve">le Comité </w:t>
      </w:r>
      <w:r w:rsidRPr="00BD35DB">
        <w:rPr>
          <w:sz w:val="17"/>
          <w:szCs w:val="17"/>
        </w:rPr>
        <w:t>peut aussi demander aux États parties des renseignements complémentaires sur la mise en application de la Convention</w:t>
      </w:r>
      <w:r w:rsidRPr="00210F79">
        <w:rPr>
          <w:sz w:val="17"/>
          <w:szCs w:val="17"/>
          <w:lang w:val="fr-FR"/>
        </w:rPr>
        <w:t>.</w:t>
      </w:r>
    </w:p>
    <w:p w:rsidR="004C7EF1" w:rsidRPr="00210F79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lang w:val="fr-FR"/>
        </w:rPr>
      </w:pPr>
      <w:r>
        <w:rPr>
          <w:lang w:val="fr-FR"/>
        </w:rPr>
        <w:t>Pour ce qui est des rapports initiaux, que les États parties sont tenus de présenter dans un délai d</w:t>
      </w:r>
      <w:r w:rsidR="00D11830">
        <w:rPr>
          <w:lang w:val="fr-FR"/>
        </w:rPr>
        <w:t>’</w:t>
      </w:r>
      <w:r>
        <w:rPr>
          <w:lang w:val="fr-FR"/>
        </w:rPr>
        <w:t xml:space="preserve">un ou </w:t>
      </w:r>
      <w:r w:rsidR="00713B77">
        <w:rPr>
          <w:lang w:val="fr-FR"/>
        </w:rPr>
        <w:t xml:space="preserve">de </w:t>
      </w:r>
      <w:r>
        <w:rPr>
          <w:lang w:val="fr-FR"/>
        </w:rPr>
        <w:t>deux ans à compter de l</w:t>
      </w:r>
      <w:r w:rsidR="00D11830">
        <w:rPr>
          <w:lang w:val="fr-FR"/>
        </w:rPr>
        <w:t>’</w:t>
      </w:r>
      <w:r>
        <w:rPr>
          <w:lang w:val="fr-FR"/>
        </w:rPr>
        <w:t>entrée en vigueur de l</w:t>
      </w:r>
      <w:r w:rsidR="00D11830">
        <w:rPr>
          <w:lang w:val="fr-FR"/>
        </w:rPr>
        <w:t>’</w:t>
      </w:r>
      <w:r>
        <w:rPr>
          <w:lang w:val="fr-FR"/>
        </w:rPr>
        <w:t>instrument pour l</w:t>
      </w:r>
      <w:r w:rsidR="00D11830">
        <w:rPr>
          <w:lang w:val="fr-FR"/>
        </w:rPr>
        <w:t>’</w:t>
      </w:r>
      <w:r>
        <w:rPr>
          <w:lang w:val="fr-FR"/>
        </w:rPr>
        <w:t>État intéressé</w:t>
      </w:r>
      <w:r w:rsidRPr="00210F79">
        <w:rPr>
          <w:lang w:val="fr-FR"/>
        </w:rPr>
        <w:t xml:space="preserve">, </w:t>
      </w:r>
      <w:r>
        <w:rPr>
          <w:lang w:val="fr-FR"/>
        </w:rPr>
        <w:t>les instruments pour lesquels on recense le plus grand nombre de rapports en souffrance sont les suivants: le</w:t>
      </w:r>
      <w:r w:rsidRPr="00210F79">
        <w:rPr>
          <w:lang w:val="fr-FR"/>
        </w:rPr>
        <w:t xml:space="preserve"> </w:t>
      </w:r>
      <w:r w:rsidRPr="008A7275">
        <w:rPr>
          <w:szCs w:val="18"/>
          <w:lang w:val="fr-FR"/>
        </w:rPr>
        <w:t>Protocole facultatif à la Convention relative aux droits de l</w:t>
      </w:r>
      <w:r w:rsidR="00D11830">
        <w:rPr>
          <w:szCs w:val="18"/>
          <w:lang w:val="fr-FR"/>
        </w:rPr>
        <w:t>’</w:t>
      </w:r>
      <w:r w:rsidRPr="008A7275">
        <w:rPr>
          <w:szCs w:val="18"/>
          <w:lang w:val="fr-FR"/>
        </w:rPr>
        <w:t>enfant, concernant la vente d</w:t>
      </w:r>
      <w:r w:rsidR="00D11830">
        <w:rPr>
          <w:szCs w:val="18"/>
          <w:lang w:val="fr-FR"/>
        </w:rPr>
        <w:t>’</w:t>
      </w:r>
      <w:r w:rsidRPr="008A7275">
        <w:rPr>
          <w:szCs w:val="18"/>
          <w:lang w:val="fr-FR"/>
        </w:rPr>
        <w:t>enfants, la prostitution des enfants et la pornographie mettant en scène des enfants</w:t>
      </w:r>
      <w:r w:rsidR="00242BD0">
        <w:rPr>
          <w:lang w:val="fr-FR"/>
        </w:rPr>
        <w:t> </w:t>
      </w:r>
      <w:r w:rsidRPr="00210F79">
        <w:rPr>
          <w:lang w:val="fr-FR"/>
        </w:rPr>
        <w:t xml:space="preserve">(70), </w:t>
      </w:r>
      <w:r>
        <w:rPr>
          <w:lang w:val="fr-FR"/>
        </w:rPr>
        <w:t>la</w:t>
      </w:r>
      <w:r w:rsidRPr="00210F79">
        <w:rPr>
          <w:lang w:val="fr-FR"/>
        </w:rPr>
        <w:t xml:space="preserve"> </w:t>
      </w:r>
      <w:r>
        <w:rPr>
          <w:szCs w:val="18"/>
          <w:lang w:val="fr-FR"/>
        </w:rPr>
        <w:t>Convention relative aux droits des personnes handicapées</w:t>
      </w:r>
      <w:r w:rsidR="00242BD0">
        <w:rPr>
          <w:lang w:val="fr-FR"/>
        </w:rPr>
        <w:t> </w:t>
      </w:r>
      <w:r w:rsidRPr="00210F79">
        <w:rPr>
          <w:lang w:val="fr-FR"/>
        </w:rPr>
        <w:t xml:space="preserve">(51), </w:t>
      </w:r>
      <w:r>
        <w:rPr>
          <w:lang w:val="fr-FR"/>
        </w:rPr>
        <w:t xml:space="preserve">le </w:t>
      </w:r>
      <w:r w:rsidRPr="008A7275">
        <w:rPr>
          <w:lang w:val="fr-FR"/>
        </w:rPr>
        <w:t>Protocole facultatif à la Convention relative aux droits de l</w:t>
      </w:r>
      <w:r w:rsidR="00D11830">
        <w:rPr>
          <w:lang w:val="fr-FR"/>
        </w:rPr>
        <w:t>’</w:t>
      </w:r>
      <w:r w:rsidRPr="008A7275">
        <w:rPr>
          <w:lang w:val="fr-FR"/>
        </w:rPr>
        <w:t>enfant, concernant l</w:t>
      </w:r>
      <w:r w:rsidR="00D11830">
        <w:rPr>
          <w:lang w:val="fr-FR"/>
        </w:rPr>
        <w:t>’</w:t>
      </w:r>
      <w:r w:rsidRPr="008A7275">
        <w:rPr>
          <w:lang w:val="fr-FR"/>
        </w:rPr>
        <w:t>implication d</w:t>
      </w:r>
      <w:r w:rsidR="00D11830">
        <w:rPr>
          <w:lang w:val="fr-FR"/>
        </w:rPr>
        <w:t>’</w:t>
      </w:r>
      <w:r w:rsidRPr="008A7275">
        <w:rPr>
          <w:lang w:val="fr-FR"/>
        </w:rPr>
        <w:t>enfants dans les conflits armés</w:t>
      </w:r>
      <w:r w:rsidR="00242BD0">
        <w:rPr>
          <w:lang w:val="fr-FR"/>
        </w:rPr>
        <w:t> </w:t>
      </w:r>
      <w:r w:rsidRPr="00210F79">
        <w:rPr>
          <w:lang w:val="fr-FR"/>
        </w:rPr>
        <w:t xml:space="preserve">(46), </w:t>
      </w:r>
      <w:r>
        <w:rPr>
          <w:lang w:val="fr-FR"/>
        </w:rPr>
        <w:t>le Pacte international relatif aux droits éc</w:t>
      </w:r>
      <w:r w:rsidR="00242BD0">
        <w:rPr>
          <w:lang w:val="fr-FR"/>
        </w:rPr>
        <w:t>onomiques, sociaux et culturels </w:t>
      </w:r>
      <w:r w:rsidRPr="00210F79">
        <w:rPr>
          <w:lang w:val="fr-FR"/>
        </w:rPr>
        <w:t xml:space="preserve">(29), </w:t>
      </w:r>
      <w:r>
        <w:rPr>
          <w:lang w:val="fr-FR"/>
        </w:rPr>
        <w:t xml:space="preserve">la Convention contre la torture et autres peines ou traitements </w:t>
      </w:r>
      <w:r w:rsidR="00242BD0">
        <w:rPr>
          <w:lang w:val="fr-FR"/>
        </w:rPr>
        <w:t>cruels, inhumains ou dégradants </w:t>
      </w:r>
      <w:r w:rsidRPr="00210F79">
        <w:rPr>
          <w:lang w:val="fr-FR"/>
        </w:rPr>
        <w:t xml:space="preserve">(27), </w:t>
      </w:r>
      <w:r>
        <w:rPr>
          <w:lang w:val="fr-FR"/>
        </w:rPr>
        <w:t xml:space="preserve">le </w:t>
      </w:r>
      <w:r w:rsidRPr="008A7275">
        <w:rPr>
          <w:lang w:val="fr-FR"/>
        </w:rPr>
        <w:t>Pacte international relatif aux droits civils et politiques</w:t>
      </w:r>
      <w:r w:rsidRPr="00210F79">
        <w:rPr>
          <w:lang w:val="fr-FR"/>
        </w:rPr>
        <w:t xml:space="preserve"> </w:t>
      </w:r>
      <w:r>
        <w:rPr>
          <w:lang w:val="fr-FR"/>
        </w:rPr>
        <w:t>et la Convention internationale pour la protection de toutes les personnes contre les disparitions forcées</w:t>
      </w:r>
      <w:r w:rsidRPr="00210F79">
        <w:rPr>
          <w:lang w:val="fr-FR"/>
        </w:rPr>
        <w:t xml:space="preserve"> (22), </w:t>
      </w:r>
      <w:r>
        <w:rPr>
          <w:lang w:val="fr-FR"/>
        </w:rPr>
        <w:t>la Convention internationale sur la protection des droits de tous les travailleurs migrants et des membres de leur famille</w:t>
      </w:r>
      <w:r w:rsidR="00242BD0">
        <w:rPr>
          <w:lang w:val="fr-FR"/>
        </w:rPr>
        <w:t> </w:t>
      </w:r>
      <w:r w:rsidRPr="00210F79">
        <w:rPr>
          <w:lang w:val="fr-FR"/>
        </w:rPr>
        <w:t xml:space="preserve">(19), </w:t>
      </w:r>
      <w:r>
        <w:rPr>
          <w:lang w:val="fr-FR"/>
        </w:rPr>
        <w:t>la</w:t>
      </w:r>
      <w:r w:rsidR="00242BD0">
        <w:rPr>
          <w:lang w:val="fr-FR"/>
        </w:rPr>
        <w:t> </w:t>
      </w:r>
      <w:r>
        <w:rPr>
          <w:lang w:val="fr-FR"/>
        </w:rPr>
        <w:t>Convention internationale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raciale</w:t>
      </w:r>
      <w:r w:rsidR="00242BD0">
        <w:rPr>
          <w:lang w:val="fr-FR"/>
        </w:rPr>
        <w:t> </w:t>
      </w:r>
      <w:r w:rsidRPr="00210F79">
        <w:rPr>
          <w:lang w:val="fr-FR"/>
        </w:rPr>
        <w:t xml:space="preserve">(15), </w:t>
      </w:r>
      <w:r>
        <w:rPr>
          <w:lang w:val="fr-FR"/>
        </w:rPr>
        <w:t>la Convention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à l</w:t>
      </w:r>
      <w:r w:rsidR="00D11830">
        <w:rPr>
          <w:lang w:val="fr-FR"/>
        </w:rPr>
        <w:t>’</w:t>
      </w:r>
      <w:r>
        <w:rPr>
          <w:lang w:val="fr-FR"/>
        </w:rPr>
        <w:t>égard des femmes</w:t>
      </w:r>
      <w:r w:rsidR="00242BD0">
        <w:rPr>
          <w:lang w:val="fr-FR"/>
        </w:rPr>
        <w:t> </w:t>
      </w:r>
      <w:r w:rsidRPr="00210F79">
        <w:rPr>
          <w:lang w:val="fr-FR"/>
        </w:rPr>
        <w:t xml:space="preserve">(7) </w:t>
      </w:r>
      <w:r>
        <w:rPr>
          <w:lang w:val="fr-FR"/>
        </w:rPr>
        <w:t>et la Convention relative aux droits de l</w:t>
      </w:r>
      <w:r w:rsidR="00D11830">
        <w:rPr>
          <w:lang w:val="fr-FR"/>
        </w:rPr>
        <w:t>’</w:t>
      </w:r>
      <w:r>
        <w:rPr>
          <w:lang w:val="fr-FR"/>
        </w:rPr>
        <w:t>enfant</w:t>
      </w:r>
      <w:r w:rsidR="00242BD0">
        <w:rPr>
          <w:lang w:val="fr-FR"/>
        </w:rPr>
        <w:t> </w:t>
      </w:r>
      <w:r w:rsidRPr="00210F79">
        <w:rPr>
          <w:lang w:val="fr-FR"/>
        </w:rPr>
        <w:t xml:space="preserve">(2). </w:t>
      </w:r>
      <w:r>
        <w:rPr>
          <w:lang w:val="fr-FR"/>
        </w:rPr>
        <w:t>La proportion d</w:t>
      </w:r>
      <w:r w:rsidR="00D11830">
        <w:rPr>
          <w:lang w:val="fr-FR"/>
        </w:rPr>
        <w:t>’</w:t>
      </w:r>
      <w:r>
        <w:rPr>
          <w:lang w:val="fr-FR"/>
        </w:rPr>
        <w:t>États parties</w:t>
      </w:r>
      <w:r w:rsidRPr="00210F79">
        <w:rPr>
          <w:lang w:val="fr-FR"/>
        </w:rPr>
        <w:t xml:space="preserve"> </w:t>
      </w:r>
      <w:r>
        <w:rPr>
          <w:lang w:val="fr-FR"/>
        </w:rPr>
        <w:t>n</w:t>
      </w:r>
      <w:r w:rsidR="00D11830">
        <w:rPr>
          <w:lang w:val="fr-FR"/>
        </w:rPr>
        <w:t>’</w:t>
      </w:r>
      <w:r>
        <w:rPr>
          <w:lang w:val="fr-FR"/>
        </w:rPr>
        <w:t>ayant pas respecté leurs obligations en matière d</w:t>
      </w:r>
      <w:r w:rsidR="00D11830">
        <w:rPr>
          <w:lang w:val="fr-FR"/>
        </w:rPr>
        <w:t>’</w:t>
      </w:r>
      <w:r>
        <w:rPr>
          <w:lang w:val="fr-FR"/>
        </w:rPr>
        <w:t>établissement de rapports</w:t>
      </w:r>
      <w:r w:rsidRPr="00210F79">
        <w:rPr>
          <w:lang w:val="fr-FR"/>
        </w:rPr>
        <w:t xml:space="preserve"> </w:t>
      </w:r>
      <w:r>
        <w:rPr>
          <w:lang w:val="fr-FR"/>
        </w:rPr>
        <w:t>était particulièrement forte pour les instruments suivants: la Convention internationale pour la protection de toutes les personnes contre les disparitions forcées</w:t>
      </w:r>
      <w:r w:rsidR="00242BD0">
        <w:rPr>
          <w:lang w:val="fr-FR"/>
        </w:rPr>
        <w:t xml:space="preserve"> (49 </w:t>
      </w:r>
      <w:r>
        <w:rPr>
          <w:lang w:val="fr-FR"/>
        </w:rPr>
        <w:t>%</w:t>
      </w:r>
      <w:r w:rsidRPr="00210F79">
        <w:rPr>
          <w:lang w:val="fr-FR"/>
        </w:rPr>
        <w:t xml:space="preserve">), </w:t>
      </w:r>
      <w:r>
        <w:rPr>
          <w:lang w:val="fr-FR"/>
        </w:rPr>
        <w:t xml:space="preserve">le </w:t>
      </w:r>
      <w:r w:rsidRPr="008A7275">
        <w:rPr>
          <w:lang w:val="fr-FR"/>
        </w:rPr>
        <w:t>Protocole facultatif à la Convention relative aux droits de l</w:t>
      </w:r>
      <w:r w:rsidR="00D11830">
        <w:rPr>
          <w:lang w:val="fr-FR"/>
        </w:rPr>
        <w:t>’</w:t>
      </w:r>
      <w:r w:rsidRPr="008A7275">
        <w:rPr>
          <w:lang w:val="fr-FR"/>
        </w:rPr>
        <w:t>enfant, concernant la vente d</w:t>
      </w:r>
      <w:r w:rsidR="00D11830">
        <w:rPr>
          <w:lang w:val="fr-FR"/>
        </w:rPr>
        <w:t>’</w:t>
      </w:r>
      <w:r w:rsidRPr="008A7275">
        <w:rPr>
          <w:lang w:val="fr-FR"/>
        </w:rPr>
        <w:t>enfants, la</w:t>
      </w:r>
      <w:r w:rsidR="00242BD0">
        <w:rPr>
          <w:lang w:val="fr-FR"/>
        </w:rPr>
        <w:t> </w:t>
      </w:r>
      <w:r w:rsidRPr="008A7275">
        <w:rPr>
          <w:lang w:val="fr-FR"/>
        </w:rPr>
        <w:t>prostitution des enfants et la pornographie mettant en scène des enfants</w:t>
      </w:r>
      <w:r w:rsidR="00242BD0">
        <w:rPr>
          <w:lang w:val="fr-FR"/>
        </w:rPr>
        <w:t xml:space="preserve"> (44 </w:t>
      </w:r>
      <w:r>
        <w:rPr>
          <w:lang w:val="fr-FR"/>
        </w:rPr>
        <w:t>%</w:t>
      </w:r>
      <w:r w:rsidRPr="00210F79">
        <w:rPr>
          <w:lang w:val="fr-FR"/>
        </w:rPr>
        <w:t xml:space="preserve">) </w:t>
      </w:r>
      <w:r>
        <w:rPr>
          <w:lang w:val="fr-FR"/>
        </w:rPr>
        <w:t xml:space="preserve">et la Convention relative aux droits des personnes handicapées </w:t>
      </w:r>
      <w:r w:rsidR="00242BD0">
        <w:rPr>
          <w:lang w:val="fr-FR"/>
        </w:rPr>
        <w:t>(34 </w:t>
      </w:r>
      <w:r>
        <w:rPr>
          <w:lang w:val="fr-FR"/>
        </w:rPr>
        <w:t>%)</w:t>
      </w:r>
      <w:r w:rsidRPr="00210F79">
        <w:rPr>
          <w:lang w:val="fr-FR"/>
        </w:rPr>
        <w:t xml:space="preserve"> (</w:t>
      </w:r>
      <w:r>
        <w:rPr>
          <w:lang w:val="fr-FR"/>
        </w:rPr>
        <w:t>voir</w:t>
      </w:r>
      <w:r w:rsidRPr="00210F79">
        <w:rPr>
          <w:lang w:val="fr-FR"/>
        </w:rPr>
        <w:t xml:space="preserve"> table</w:t>
      </w:r>
      <w:r>
        <w:rPr>
          <w:lang w:val="fr-FR"/>
        </w:rPr>
        <w:t>au</w:t>
      </w:r>
      <w:r w:rsidRPr="00210F79">
        <w:rPr>
          <w:lang w:val="fr-FR"/>
        </w:rPr>
        <w:t> 6).</w:t>
      </w:r>
    </w:p>
    <w:p w:rsidR="004C7EF1" w:rsidRPr="00210F79" w:rsidRDefault="004C7EF1" w:rsidP="004C7EF1">
      <w:pPr>
        <w:pStyle w:val="SingleTxtG"/>
        <w:keepNext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lang w:val="fr-FR"/>
        </w:rPr>
      </w:pPr>
      <w:r>
        <w:rPr>
          <w:lang w:val="fr-FR"/>
        </w:rPr>
        <w:t>Sur les</w:t>
      </w:r>
      <w:r w:rsidR="00242BD0">
        <w:rPr>
          <w:lang w:val="fr-FR"/>
        </w:rPr>
        <w:t xml:space="preserve"> 309 </w:t>
      </w:r>
      <w:r>
        <w:rPr>
          <w:lang w:val="fr-FR"/>
        </w:rPr>
        <w:t>rapports initiaux en retard</w:t>
      </w:r>
      <w:r w:rsidR="00242BD0">
        <w:rPr>
          <w:lang w:val="fr-FR"/>
        </w:rPr>
        <w:t>, 144 (47 </w:t>
      </w:r>
      <w:r>
        <w:rPr>
          <w:lang w:val="fr-FR"/>
        </w:rPr>
        <w:t>%</w:t>
      </w:r>
      <w:r w:rsidRPr="00210F79">
        <w:rPr>
          <w:lang w:val="fr-FR"/>
        </w:rPr>
        <w:t xml:space="preserve">) </w:t>
      </w:r>
      <w:r>
        <w:rPr>
          <w:lang w:val="fr-FR"/>
        </w:rPr>
        <w:t xml:space="preserve">étaient attendus depuis moins de cinq ans, </w:t>
      </w:r>
      <w:r w:rsidR="00242BD0">
        <w:rPr>
          <w:lang w:val="fr-FR"/>
        </w:rPr>
        <w:t>77 (25 </w:t>
      </w:r>
      <w:r>
        <w:rPr>
          <w:lang w:val="fr-FR"/>
        </w:rPr>
        <w:t xml:space="preserve">%) depuis cinq à </w:t>
      </w:r>
      <w:r w:rsidR="00242BD0">
        <w:rPr>
          <w:lang w:val="fr-FR"/>
        </w:rPr>
        <w:t>dix</w:t>
      </w:r>
      <w:r>
        <w:rPr>
          <w:lang w:val="fr-FR"/>
        </w:rPr>
        <w:t xml:space="preserve"> ans et</w:t>
      </w:r>
      <w:r w:rsidR="00242BD0">
        <w:rPr>
          <w:lang w:val="fr-FR"/>
        </w:rPr>
        <w:t xml:space="preserve"> 88 (28 </w:t>
      </w:r>
      <w:r>
        <w:rPr>
          <w:lang w:val="fr-FR"/>
        </w:rPr>
        <w:t>%</w:t>
      </w:r>
      <w:r w:rsidRPr="00210F79">
        <w:rPr>
          <w:lang w:val="fr-FR"/>
        </w:rPr>
        <w:t>)</w:t>
      </w:r>
      <w:r>
        <w:rPr>
          <w:lang w:val="fr-FR"/>
        </w:rPr>
        <w:t xml:space="preserve"> depuis plus de </w:t>
      </w:r>
      <w:r w:rsidR="00242BD0">
        <w:rPr>
          <w:lang w:val="fr-FR"/>
        </w:rPr>
        <w:t>dix</w:t>
      </w:r>
      <w:r>
        <w:rPr>
          <w:lang w:val="fr-FR"/>
        </w:rPr>
        <w:t xml:space="preserve"> ans</w:t>
      </w:r>
      <w:r w:rsidRPr="00210F79">
        <w:rPr>
          <w:lang w:val="fr-FR"/>
        </w:rPr>
        <w:t xml:space="preserve">. </w:t>
      </w:r>
      <w:r>
        <w:rPr>
          <w:lang w:val="fr-FR"/>
        </w:rPr>
        <w:t>Plus de la moitié des rapports initiaux en retard devant être soumis au titre du</w:t>
      </w:r>
      <w:r w:rsidRPr="00210F79">
        <w:rPr>
          <w:lang w:val="fr-FR"/>
        </w:rPr>
        <w:t xml:space="preserve"> </w:t>
      </w:r>
      <w:r>
        <w:rPr>
          <w:rFonts w:eastAsia="SimSun"/>
          <w:lang w:val="fr-FR" w:eastAsia="zh-CN"/>
        </w:rPr>
        <w:t>Pacte international relatif aux droits économiques, sociaux et culturels</w:t>
      </w:r>
      <w:r w:rsidRPr="00210F79">
        <w:rPr>
          <w:lang w:val="fr-FR"/>
        </w:rPr>
        <w:t xml:space="preserve">, </w:t>
      </w:r>
      <w:r>
        <w:rPr>
          <w:lang w:val="fr-FR"/>
        </w:rPr>
        <w:t>de la Convention internationale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raciale</w:t>
      </w:r>
      <w:r w:rsidRPr="00210F79">
        <w:rPr>
          <w:lang w:val="fr-FR"/>
        </w:rPr>
        <w:t xml:space="preserve">, </w:t>
      </w:r>
      <w:r>
        <w:rPr>
          <w:lang w:val="fr-FR"/>
        </w:rPr>
        <w:t>de la Convention contre la torture et autres peines ou traitements cruels, inhumains ou dégradants</w:t>
      </w:r>
      <w:r w:rsidRPr="00210F79">
        <w:rPr>
          <w:lang w:val="fr-FR"/>
        </w:rPr>
        <w:t xml:space="preserve"> </w:t>
      </w:r>
      <w:r>
        <w:rPr>
          <w:lang w:val="fr-FR"/>
        </w:rPr>
        <w:t>et de la Convention relative aux droits de l</w:t>
      </w:r>
      <w:r w:rsidR="00D11830">
        <w:rPr>
          <w:lang w:val="fr-FR"/>
        </w:rPr>
        <w:t>’</w:t>
      </w:r>
      <w:r>
        <w:rPr>
          <w:lang w:val="fr-FR"/>
        </w:rPr>
        <w:t xml:space="preserve">enfant étaient attendus depuis plus de </w:t>
      </w:r>
      <w:r w:rsidR="001724F1">
        <w:rPr>
          <w:lang w:val="fr-FR"/>
        </w:rPr>
        <w:t>dix</w:t>
      </w:r>
      <w:r>
        <w:rPr>
          <w:lang w:val="fr-FR"/>
        </w:rPr>
        <w:t xml:space="preserve"> ans</w:t>
      </w:r>
      <w:r w:rsidRPr="00210F79">
        <w:rPr>
          <w:lang w:val="fr-FR"/>
        </w:rPr>
        <w:t xml:space="preserve"> (</w:t>
      </w:r>
      <w:r>
        <w:rPr>
          <w:lang w:val="fr-FR"/>
        </w:rPr>
        <w:t>voir</w:t>
      </w:r>
      <w:r w:rsidRPr="00210F79">
        <w:rPr>
          <w:lang w:val="fr-FR"/>
        </w:rPr>
        <w:t xml:space="preserve"> table</w:t>
      </w:r>
      <w:r>
        <w:rPr>
          <w:lang w:val="fr-FR"/>
        </w:rPr>
        <w:t>au</w:t>
      </w:r>
      <w:r w:rsidRPr="00210F79">
        <w:rPr>
          <w:lang w:val="fr-FR"/>
        </w:rPr>
        <w:t> 7).</w:t>
      </w:r>
    </w:p>
    <w:p w:rsidR="001724F1" w:rsidRDefault="004C7EF1" w:rsidP="001724F1">
      <w:pPr>
        <w:pStyle w:val="Titre1"/>
        <w:rPr>
          <w:lang w:val="fr-FR"/>
        </w:rPr>
      </w:pPr>
      <w:r w:rsidRPr="00210F79">
        <w:rPr>
          <w:lang w:val="fr-FR"/>
        </w:rPr>
        <w:t>Table</w:t>
      </w:r>
      <w:r>
        <w:rPr>
          <w:lang w:val="fr-FR"/>
        </w:rPr>
        <w:t>au</w:t>
      </w:r>
      <w:r w:rsidR="00263B45">
        <w:rPr>
          <w:lang w:val="fr-FR"/>
        </w:rPr>
        <w:t> </w:t>
      </w:r>
      <w:r w:rsidRPr="00210F79">
        <w:rPr>
          <w:lang w:val="fr-FR"/>
        </w:rPr>
        <w:t>7</w:t>
      </w:r>
    </w:p>
    <w:p w:rsidR="004C7EF1" w:rsidRPr="001724F1" w:rsidRDefault="004C7EF1" w:rsidP="001724F1">
      <w:pPr>
        <w:pStyle w:val="Titre1"/>
        <w:spacing w:after="120"/>
        <w:rPr>
          <w:b/>
          <w:lang w:val="fr-FR"/>
        </w:rPr>
      </w:pPr>
      <w:r w:rsidRPr="001724F1">
        <w:rPr>
          <w:b/>
          <w:lang w:val="fr-FR"/>
        </w:rPr>
        <w:t>Rapports initiaux en retard par nombre d</w:t>
      </w:r>
      <w:r w:rsidR="00D11830">
        <w:rPr>
          <w:b/>
          <w:lang w:val="fr-FR"/>
        </w:rPr>
        <w:t>’</w:t>
      </w:r>
      <w:r w:rsidRPr="001724F1">
        <w:rPr>
          <w:b/>
          <w:lang w:val="fr-FR"/>
        </w:rPr>
        <w:t xml:space="preserve">années de retard </w:t>
      </w:r>
      <w:r w:rsidR="001724F1" w:rsidRPr="001724F1">
        <w:rPr>
          <w:b/>
          <w:lang w:val="fr-FR"/>
        </w:rPr>
        <w:t>et par instrument</w:t>
      </w:r>
      <w:r w:rsidR="001724F1" w:rsidRPr="001724F1">
        <w:rPr>
          <w:b/>
          <w:lang w:val="fr-FR"/>
        </w:rPr>
        <w:br/>
      </w:r>
      <w:r w:rsidRPr="001724F1">
        <w:rPr>
          <w:b/>
          <w:lang w:val="fr-FR"/>
        </w:rPr>
        <w:t>au 28</w:t>
      </w:r>
      <w:r w:rsidR="001724F1">
        <w:rPr>
          <w:b/>
          <w:lang w:val="fr-FR"/>
        </w:rPr>
        <w:t> </w:t>
      </w:r>
      <w:r w:rsidRPr="001724F1">
        <w:rPr>
          <w:b/>
          <w:lang w:val="fr-FR"/>
        </w:rPr>
        <w:t>février 2015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375"/>
        <w:gridCol w:w="1327"/>
        <w:gridCol w:w="1336"/>
        <w:gridCol w:w="1336"/>
      </w:tblGrid>
      <w:tr w:rsidR="004C7EF1" w:rsidRPr="00210F79" w:rsidTr="001724F1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10F79" w:rsidRDefault="004C7EF1" w:rsidP="00C74DB6">
            <w:pPr>
              <w:pStyle w:val="SingleTxtG"/>
              <w:keepNext/>
              <w:spacing w:before="80" w:after="80" w:line="200" w:lineRule="exact"/>
              <w:ind w:left="0" w:right="0"/>
              <w:jc w:val="left"/>
              <w:rPr>
                <w:sz w:val="18"/>
                <w:lang w:val="fr-FR"/>
              </w:rPr>
            </w:pPr>
            <w:r>
              <w:rPr>
                <w:i/>
                <w:sz w:val="16"/>
                <w:lang w:val="fr-FR"/>
              </w:rPr>
              <w:t>Instrument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10F79" w:rsidRDefault="004C7EF1" w:rsidP="00C74DB6">
            <w:pPr>
              <w:pStyle w:val="SingleTxtG"/>
              <w:keepNext/>
              <w:spacing w:before="80" w:after="80" w:line="200" w:lineRule="exact"/>
              <w:ind w:left="0" w:right="0"/>
              <w:jc w:val="right"/>
              <w:rPr>
                <w:sz w:val="18"/>
                <w:lang w:val="fr-FR"/>
              </w:rPr>
            </w:pPr>
            <w:r w:rsidRPr="00210F79">
              <w:rPr>
                <w:i/>
                <w:sz w:val="16"/>
                <w:lang w:val="fr-FR"/>
              </w:rPr>
              <w:t xml:space="preserve">Nombre </w:t>
            </w:r>
            <w:r>
              <w:rPr>
                <w:i/>
                <w:sz w:val="16"/>
                <w:lang w:val="fr-FR"/>
              </w:rPr>
              <w:t>de</w:t>
            </w:r>
            <w:r w:rsidRPr="00210F79">
              <w:rPr>
                <w:i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rapports initiaux en retard</w:t>
            </w:r>
            <w:r w:rsidRPr="00210F79">
              <w:rPr>
                <w:i/>
                <w:sz w:val="16"/>
                <w:lang w:val="fr-FR"/>
              </w:rPr>
              <w:t xml:space="preserve"> </w:t>
            </w:r>
            <w:r w:rsidRPr="00210F79">
              <w:rPr>
                <w:i/>
                <w:sz w:val="16"/>
                <w:lang w:val="fr-FR"/>
              </w:rPr>
              <w:br/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EF1" w:rsidRPr="00210F79" w:rsidRDefault="004C7EF1" w:rsidP="00C74DB6">
            <w:pPr>
              <w:pStyle w:val="SingleTxtG"/>
              <w:keepNext/>
              <w:suppressAutoHyphens w:val="0"/>
              <w:spacing w:before="80" w:after="80" w:line="200" w:lineRule="exact"/>
              <w:ind w:left="0" w:right="0"/>
              <w:jc w:val="center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>Nombre d</w:t>
            </w:r>
            <w:r w:rsidR="00D11830">
              <w:rPr>
                <w:i/>
                <w:sz w:val="16"/>
                <w:lang w:val="fr-FR"/>
              </w:rPr>
              <w:t>’</w:t>
            </w:r>
            <w:r>
              <w:rPr>
                <w:i/>
                <w:sz w:val="16"/>
                <w:lang w:val="fr-FR"/>
              </w:rPr>
              <w:t>années de retard</w:t>
            </w:r>
          </w:p>
        </w:tc>
      </w:tr>
      <w:tr w:rsidR="004C7EF1" w:rsidRPr="00210F79" w:rsidTr="001724F1">
        <w:trPr>
          <w:cantSplit/>
          <w:tblHeader/>
        </w:trPr>
        <w:tc>
          <w:tcPr>
            <w:tcW w:w="226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10F79" w:rsidRDefault="004C7EF1" w:rsidP="00C74DB6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sz w:val="18"/>
                <w:lang w:val="fr-FR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10F79" w:rsidRDefault="004C7EF1" w:rsidP="00C74DB6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sz w:val="18"/>
                <w:lang w:val="fr-FR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10F79" w:rsidRDefault="004C7EF1" w:rsidP="00C74DB6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lang w:val="fr-FR"/>
              </w:rPr>
            </w:pPr>
            <w:r w:rsidRPr="00210F79">
              <w:rPr>
                <w:i/>
                <w:sz w:val="16"/>
                <w:lang w:val="fr-FR"/>
              </w:rPr>
              <w:t xml:space="preserve">Nombre </w:t>
            </w:r>
            <w:r>
              <w:rPr>
                <w:i/>
                <w:sz w:val="16"/>
                <w:lang w:val="fr-FR"/>
              </w:rPr>
              <w:t>de</w:t>
            </w:r>
            <w:r w:rsidRPr="00210F79">
              <w:rPr>
                <w:i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rapports</w:t>
            </w:r>
            <w:r w:rsidRPr="00210F79">
              <w:rPr>
                <w:i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attendus depuis moins de cinq ans</w:t>
            </w:r>
            <w:r w:rsidR="001724F1">
              <w:rPr>
                <w:i/>
                <w:sz w:val="16"/>
                <w:lang w:val="fr-FR"/>
              </w:rPr>
              <w:br/>
            </w:r>
            <w:r w:rsidRPr="00210F79">
              <w:rPr>
                <w:i/>
                <w:sz w:val="16"/>
                <w:lang w:val="fr-FR"/>
              </w:rPr>
              <w:t>(</w:t>
            </w:r>
            <w:r>
              <w:rPr>
                <w:i/>
                <w:sz w:val="16"/>
                <w:lang w:val="fr-FR"/>
              </w:rPr>
              <w:t xml:space="preserve">en </w:t>
            </w:r>
            <w:r w:rsidR="001724F1">
              <w:rPr>
                <w:i/>
                <w:sz w:val="16"/>
                <w:lang w:val="fr-FR"/>
              </w:rPr>
              <w:t>pourcentage</w:t>
            </w:r>
            <w:r w:rsidRPr="00210F79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10F79" w:rsidRDefault="004C7EF1" w:rsidP="00C74DB6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lang w:val="fr-FR"/>
              </w:rPr>
            </w:pPr>
            <w:r w:rsidRPr="00210F79">
              <w:rPr>
                <w:i/>
                <w:sz w:val="16"/>
                <w:lang w:val="fr-FR"/>
              </w:rPr>
              <w:t xml:space="preserve">Nombre </w:t>
            </w:r>
            <w:r>
              <w:rPr>
                <w:i/>
                <w:sz w:val="16"/>
                <w:lang w:val="fr-FR"/>
              </w:rPr>
              <w:t>de rap</w:t>
            </w:r>
            <w:r w:rsidRPr="00210F79">
              <w:rPr>
                <w:i/>
                <w:sz w:val="16"/>
                <w:lang w:val="fr-FR"/>
              </w:rPr>
              <w:t xml:space="preserve">ports </w:t>
            </w:r>
            <w:r>
              <w:rPr>
                <w:i/>
                <w:sz w:val="16"/>
                <w:lang w:val="fr-FR"/>
              </w:rPr>
              <w:t>attendus depuis</w:t>
            </w:r>
            <w:r w:rsidR="00263B45">
              <w:rPr>
                <w:i/>
                <w:sz w:val="16"/>
                <w:lang w:val="fr-FR"/>
              </w:rPr>
              <w:br/>
            </w:r>
            <w:r>
              <w:rPr>
                <w:i/>
                <w:sz w:val="16"/>
                <w:lang w:val="fr-FR"/>
              </w:rPr>
              <w:t xml:space="preserve">cinq à </w:t>
            </w:r>
            <w:r w:rsidR="001724F1">
              <w:rPr>
                <w:i/>
                <w:sz w:val="16"/>
                <w:lang w:val="fr-FR"/>
              </w:rPr>
              <w:t>dix</w:t>
            </w:r>
            <w:r>
              <w:rPr>
                <w:i/>
                <w:sz w:val="16"/>
                <w:lang w:val="fr-FR"/>
              </w:rPr>
              <w:t xml:space="preserve"> ans</w:t>
            </w:r>
            <w:r w:rsidR="001724F1">
              <w:rPr>
                <w:i/>
                <w:sz w:val="16"/>
                <w:lang w:val="fr-FR"/>
              </w:rPr>
              <w:br/>
            </w:r>
            <w:r w:rsidRPr="00210F79">
              <w:rPr>
                <w:i/>
                <w:sz w:val="16"/>
                <w:lang w:val="fr-FR"/>
              </w:rPr>
              <w:t>(</w:t>
            </w:r>
            <w:r>
              <w:rPr>
                <w:i/>
                <w:sz w:val="16"/>
                <w:lang w:val="fr-FR"/>
              </w:rPr>
              <w:t xml:space="preserve">en </w:t>
            </w:r>
            <w:r w:rsidR="001724F1">
              <w:rPr>
                <w:i/>
                <w:sz w:val="16"/>
                <w:lang w:val="fr-FR"/>
              </w:rPr>
              <w:t>pourcentage</w:t>
            </w:r>
            <w:r w:rsidRPr="00210F79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210F79" w:rsidRDefault="004C7EF1" w:rsidP="00C74DB6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>N</w:t>
            </w:r>
            <w:r w:rsidRPr="00210F79">
              <w:rPr>
                <w:i/>
                <w:sz w:val="16"/>
                <w:lang w:val="fr-FR"/>
              </w:rPr>
              <w:t xml:space="preserve">ombre </w:t>
            </w:r>
            <w:r>
              <w:rPr>
                <w:i/>
                <w:sz w:val="16"/>
                <w:lang w:val="fr-FR"/>
              </w:rPr>
              <w:t>de</w:t>
            </w:r>
            <w:r w:rsidRPr="00210F79">
              <w:rPr>
                <w:i/>
                <w:sz w:val="16"/>
                <w:lang w:val="fr-FR"/>
              </w:rPr>
              <w:t xml:space="preserve"> r</w:t>
            </w:r>
            <w:r>
              <w:rPr>
                <w:i/>
                <w:sz w:val="16"/>
                <w:lang w:val="fr-FR"/>
              </w:rPr>
              <w:t>ap</w:t>
            </w:r>
            <w:r w:rsidRPr="00210F79">
              <w:rPr>
                <w:i/>
                <w:sz w:val="16"/>
                <w:lang w:val="fr-FR"/>
              </w:rPr>
              <w:t xml:space="preserve">ports </w:t>
            </w:r>
            <w:r w:rsidR="00263B45">
              <w:rPr>
                <w:i/>
                <w:sz w:val="16"/>
                <w:lang w:val="fr-FR"/>
              </w:rPr>
              <w:t>attendus depuis</w:t>
            </w:r>
            <w:r w:rsidR="00263B45">
              <w:rPr>
                <w:i/>
                <w:sz w:val="16"/>
                <w:lang w:val="fr-FR"/>
              </w:rPr>
              <w:br/>
            </w:r>
            <w:r>
              <w:rPr>
                <w:i/>
                <w:sz w:val="16"/>
                <w:lang w:val="fr-FR"/>
              </w:rPr>
              <w:t>plus de</w:t>
            </w:r>
            <w:r w:rsidRPr="00210F79">
              <w:rPr>
                <w:i/>
                <w:sz w:val="16"/>
                <w:lang w:val="fr-FR"/>
              </w:rPr>
              <w:t xml:space="preserve"> </w:t>
            </w:r>
            <w:r w:rsidR="001724F1">
              <w:rPr>
                <w:i/>
                <w:sz w:val="16"/>
                <w:lang w:val="fr-FR"/>
              </w:rPr>
              <w:t xml:space="preserve">dix </w:t>
            </w:r>
            <w:r>
              <w:rPr>
                <w:i/>
                <w:sz w:val="16"/>
                <w:lang w:val="fr-FR"/>
              </w:rPr>
              <w:t>ans</w:t>
            </w:r>
            <w:r w:rsidR="001724F1">
              <w:rPr>
                <w:i/>
                <w:sz w:val="16"/>
                <w:lang w:val="fr-FR"/>
              </w:rPr>
              <w:br/>
            </w:r>
            <w:r w:rsidRPr="00210F79">
              <w:rPr>
                <w:i/>
                <w:sz w:val="16"/>
                <w:lang w:val="fr-FR"/>
              </w:rPr>
              <w:t>(</w:t>
            </w:r>
            <w:r>
              <w:rPr>
                <w:i/>
                <w:sz w:val="16"/>
                <w:lang w:val="fr-FR"/>
              </w:rPr>
              <w:t xml:space="preserve">en </w:t>
            </w:r>
            <w:r w:rsidR="001724F1">
              <w:rPr>
                <w:i/>
                <w:sz w:val="16"/>
                <w:lang w:val="fr-FR"/>
              </w:rPr>
              <w:t>pourcentage</w:t>
            </w:r>
            <w:r w:rsidRPr="00210F79">
              <w:rPr>
                <w:i/>
                <w:sz w:val="16"/>
                <w:lang w:val="fr-FR"/>
              </w:rPr>
              <w:t>)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C7EF1" w:rsidRPr="00875E36" w:rsidRDefault="004C7EF1" w:rsidP="00875E36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Pacte international relatif aux droits civils et politiques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150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151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515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10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C7EF1" w:rsidRPr="00875E36" w:rsidRDefault="004C7EF1" w:rsidP="00875E36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 xml:space="preserve">Pacte international relatif aux droits économiques, sociaux et culturels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28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19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C7EF1" w:rsidRPr="00875E36" w:rsidRDefault="004C7EF1" w:rsidP="00A45462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</w:rPr>
              <w:t>Convention internationale pour l</w:t>
            </w:r>
            <w:r w:rsidR="00D11830">
              <w:rPr>
                <w:sz w:val="18"/>
                <w:szCs w:val="18"/>
              </w:rPr>
              <w:t>’</w:t>
            </w:r>
            <w:r w:rsidRPr="00875E36">
              <w:rPr>
                <w:sz w:val="18"/>
                <w:szCs w:val="18"/>
              </w:rPr>
              <w:t>élimination de la</w:t>
            </w:r>
            <w:r w:rsidR="00A45462">
              <w:rPr>
                <w:sz w:val="18"/>
                <w:szCs w:val="18"/>
              </w:rPr>
              <w:t> </w:t>
            </w:r>
            <w:r w:rsidRPr="00875E36">
              <w:rPr>
                <w:sz w:val="18"/>
                <w:szCs w:val="18"/>
              </w:rPr>
              <w:t>discrimination raciale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 w:eastAsia="ko-KR"/>
              </w:rPr>
            </w:pPr>
            <w:r w:rsidRPr="00875E36">
              <w:rPr>
                <w:sz w:val="18"/>
                <w:szCs w:val="18"/>
                <w:lang w:val="fr-FR" w:eastAsia="ko-KR"/>
              </w:rPr>
              <w:t>15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 w:eastAsia="ko-KR"/>
              </w:rPr>
            </w:pPr>
            <w:r w:rsidRPr="00875E36">
              <w:rPr>
                <w:sz w:val="18"/>
                <w:szCs w:val="18"/>
                <w:lang w:val="fr-FR" w:eastAsia="ko-KR"/>
              </w:rPr>
              <w:t>3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9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shd w:val="clear" w:color="auto" w:fill="auto"/>
          </w:tcPr>
          <w:p w:rsidR="004C7EF1" w:rsidRPr="00875E36" w:rsidRDefault="004C7EF1" w:rsidP="00A45462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Convention contre la</w:t>
            </w:r>
            <w:r w:rsidR="00A45462">
              <w:rPr>
                <w:sz w:val="18"/>
                <w:szCs w:val="18"/>
                <w:lang w:val="fr-FR"/>
              </w:rPr>
              <w:t> </w:t>
            </w:r>
            <w:r w:rsidRPr="00875E36">
              <w:rPr>
                <w:sz w:val="18"/>
                <w:szCs w:val="18"/>
                <w:lang w:val="fr-FR"/>
              </w:rPr>
              <w:t xml:space="preserve">torture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27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16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C7EF1" w:rsidRPr="00875E36" w:rsidRDefault="004C7EF1" w:rsidP="00A45462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Convention sur l</w:t>
            </w:r>
            <w:r w:rsidR="00D11830">
              <w:rPr>
                <w:sz w:val="18"/>
                <w:szCs w:val="18"/>
                <w:lang w:val="fr-FR"/>
              </w:rPr>
              <w:t>’</w:t>
            </w:r>
            <w:r w:rsidRPr="00875E36">
              <w:rPr>
                <w:sz w:val="18"/>
                <w:szCs w:val="18"/>
                <w:lang w:val="fr-FR"/>
              </w:rPr>
              <w:t>élimination de toutes les formes de discrimination à</w:t>
            </w:r>
            <w:r w:rsidR="00A45462">
              <w:rPr>
                <w:sz w:val="18"/>
                <w:szCs w:val="18"/>
                <w:lang w:val="fr-FR"/>
              </w:rPr>
              <w:t> </w:t>
            </w:r>
            <w:r w:rsidRPr="00875E36">
              <w:rPr>
                <w:sz w:val="18"/>
                <w:szCs w:val="18"/>
                <w:lang w:val="fr-FR"/>
              </w:rPr>
              <w:t>l</w:t>
            </w:r>
            <w:r w:rsidR="00D11830">
              <w:rPr>
                <w:sz w:val="18"/>
                <w:szCs w:val="18"/>
                <w:lang w:val="fr-FR"/>
              </w:rPr>
              <w:t>’</w:t>
            </w:r>
            <w:r w:rsidRPr="00875E36">
              <w:rPr>
                <w:sz w:val="18"/>
                <w:szCs w:val="18"/>
                <w:lang w:val="fr-FR"/>
              </w:rPr>
              <w:t xml:space="preserve">égard des femmes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3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4C7EF1" w:rsidRPr="00875E36" w:rsidRDefault="004C7EF1" w:rsidP="00A45462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Convention relative aux</w:t>
            </w:r>
            <w:r w:rsidR="00A45462">
              <w:rPr>
                <w:sz w:val="18"/>
                <w:szCs w:val="18"/>
                <w:lang w:val="fr-FR"/>
              </w:rPr>
              <w:t> </w:t>
            </w:r>
            <w:r w:rsidRPr="00875E36">
              <w:rPr>
                <w:sz w:val="18"/>
                <w:szCs w:val="18"/>
                <w:lang w:val="fr-FR"/>
              </w:rPr>
              <w:t>droits de l</w:t>
            </w:r>
            <w:r w:rsidR="00D11830">
              <w:rPr>
                <w:sz w:val="18"/>
                <w:szCs w:val="18"/>
                <w:lang w:val="fr-FR"/>
              </w:rPr>
              <w:t>’</w:t>
            </w:r>
            <w:r w:rsidRPr="00875E36">
              <w:rPr>
                <w:sz w:val="18"/>
                <w:szCs w:val="18"/>
                <w:lang w:val="fr-FR"/>
              </w:rPr>
              <w:t xml:space="preserve">enfant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C7EF1" w:rsidRPr="00875E36" w:rsidRDefault="004C7EF1" w:rsidP="00A45462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Convention relative aux</w:t>
            </w:r>
            <w:r w:rsidR="00A45462">
              <w:rPr>
                <w:sz w:val="18"/>
                <w:szCs w:val="18"/>
                <w:lang w:val="fr-FR"/>
              </w:rPr>
              <w:t> </w:t>
            </w:r>
            <w:r w:rsidRPr="00875E36">
              <w:rPr>
                <w:sz w:val="18"/>
                <w:szCs w:val="18"/>
                <w:lang w:val="fr-FR"/>
              </w:rPr>
              <w:t>droits de l</w:t>
            </w:r>
            <w:r w:rsidR="00D11830">
              <w:rPr>
                <w:sz w:val="18"/>
                <w:szCs w:val="18"/>
                <w:lang w:val="fr-FR"/>
              </w:rPr>
              <w:t>’</w:t>
            </w:r>
            <w:r w:rsidRPr="00875E36">
              <w:rPr>
                <w:sz w:val="18"/>
                <w:szCs w:val="18"/>
                <w:lang w:val="fr-FR"/>
              </w:rPr>
              <w:t xml:space="preserve">enfant </w:t>
            </w:r>
            <w:r w:rsidR="00A45462">
              <w:rPr>
                <w:sz w:val="18"/>
                <w:szCs w:val="18"/>
              </w:rPr>
              <w:t>− </w:t>
            </w:r>
            <w:r w:rsidRPr="00875E36">
              <w:rPr>
                <w:sz w:val="18"/>
                <w:szCs w:val="18"/>
              </w:rPr>
              <w:t>Protocole facultatif concernant la vente d</w:t>
            </w:r>
            <w:r w:rsidR="00D11830">
              <w:rPr>
                <w:sz w:val="18"/>
                <w:szCs w:val="18"/>
              </w:rPr>
              <w:t>’</w:t>
            </w:r>
            <w:r w:rsidRPr="00875E36">
              <w:rPr>
                <w:sz w:val="18"/>
                <w:szCs w:val="18"/>
              </w:rPr>
              <w:t>enfants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26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29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15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shd w:val="clear" w:color="auto" w:fill="auto"/>
          </w:tcPr>
          <w:p w:rsidR="004C7EF1" w:rsidRPr="00875E36" w:rsidRDefault="004C7EF1" w:rsidP="00A45462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</w:rPr>
              <w:t>Convention relative aux</w:t>
            </w:r>
            <w:r w:rsidR="00A45462">
              <w:rPr>
                <w:sz w:val="18"/>
                <w:szCs w:val="18"/>
              </w:rPr>
              <w:t> </w:t>
            </w:r>
            <w:r w:rsidRPr="00875E36">
              <w:rPr>
                <w:sz w:val="18"/>
                <w:szCs w:val="18"/>
              </w:rPr>
              <w:t>droits de l</w:t>
            </w:r>
            <w:r w:rsidR="00D11830">
              <w:rPr>
                <w:sz w:val="18"/>
                <w:szCs w:val="18"/>
              </w:rPr>
              <w:t>’</w:t>
            </w:r>
            <w:r w:rsidRPr="00875E36">
              <w:rPr>
                <w:sz w:val="18"/>
                <w:szCs w:val="18"/>
              </w:rPr>
              <w:t xml:space="preserve">enfant </w:t>
            </w:r>
            <w:r w:rsidR="00A45462">
              <w:rPr>
                <w:sz w:val="18"/>
                <w:szCs w:val="18"/>
              </w:rPr>
              <w:t>− </w:t>
            </w:r>
            <w:r w:rsidRPr="00875E36">
              <w:rPr>
                <w:sz w:val="18"/>
                <w:szCs w:val="18"/>
              </w:rPr>
              <w:t>Protocole facultatif concernant l</w:t>
            </w:r>
            <w:r w:rsidR="00D11830">
              <w:rPr>
                <w:sz w:val="18"/>
                <w:szCs w:val="18"/>
              </w:rPr>
              <w:t>’</w:t>
            </w:r>
            <w:r w:rsidRPr="00875E36">
              <w:rPr>
                <w:sz w:val="18"/>
                <w:szCs w:val="18"/>
              </w:rPr>
              <w:t>implication d</w:t>
            </w:r>
            <w:r w:rsidR="00D11830">
              <w:rPr>
                <w:sz w:val="18"/>
                <w:szCs w:val="18"/>
              </w:rPr>
              <w:t>’</w:t>
            </w:r>
            <w:r w:rsidR="00A45462">
              <w:rPr>
                <w:sz w:val="18"/>
                <w:szCs w:val="18"/>
              </w:rPr>
              <w:t>enfants dans les conflits </w:t>
            </w:r>
            <w:r w:rsidRPr="00875E36">
              <w:rPr>
                <w:sz w:val="18"/>
                <w:szCs w:val="18"/>
              </w:rPr>
              <w:t>armés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46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10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shd w:val="clear" w:color="auto" w:fill="auto"/>
          </w:tcPr>
          <w:p w:rsidR="004C7EF1" w:rsidRPr="00875E36" w:rsidRDefault="004C7EF1" w:rsidP="00875E36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Convention internationale sur la protection des droits de tous les travailleurs migrants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4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shd w:val="clear" w:color="auto" w:fill="auto"/>
          </w:tcPr>
          <w:p w:rsidR="004C7EF1" w:rsidRPr="00875E36" w:rsidRDefault="00A45462" w:rsidP="00875E36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Convention relative aux </w:t>
            </w:r>
            <w:r w:rsidR="004C7EF1" w:rsidRPr="00875E36">
              <w:rPr>
                <w:sz w:val="18"/>
                <w:szCs w:val="18"/>
                <w:lang w:val="fr-FR"/>
              </w:rPr>
              <w:t>droits des personnes handicapées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51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49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515" w:type="dxa"/>
            <w:shd w:val="clear" w:color="auto" w:fill="auto"/>
            <w:vAlign w:val="bottom"/>
          </w:tcPr>
          <w:p w:rsidR="004C7EF1" w:rsidRPr="00875E36" w:rsidRDefault="004C7EF1" w:rsidP="00C128F6">
            <w:pPr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0</w:t>
            </w:r>
          </w:p>
        </w:tc>
      </w:tr>
      <w:tr w:rsidR="004C7EF1" w:rsidRPr="00875E36" w:rsidTr="00C128F6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C7EF1" w:rsidRPr="00875E36" w:rsidRDefault="004C7EF1" w:rsidP="00875E36">
            <w:pPr>
              <w:keepNext/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Convention internationale pour la protection de toutes les personnes contre les disparitions forcées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875E36" w:rsidRDefault="004C7EF1" w:rsidP="00C128F6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875E36">
              <w:rPr>
                <w:sz w:val="18"/>
                <w:szCs w:val="18"/>
                <w:lang w:val="fr-FR"/>
              </w:rPr>
              <w:t>0</w:t>
            </w:r>
          </w:p>
        </w:tc>
      </w:tr>
      <w:tr w:rsidR="004C7EF1" w:rsidRPr="00210F79" w:rsidTr="001724F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210F79" w:rsidRDefault="004C7EF1" w:rsidP="004B362F">
            <w:pPr>
              <w:suppressAutoHyphens w:val="0"/>
              <w:spacing w:before="80" w:after="80" w:line="220" w:lineRule="exact"/>
              <w:ind w:firstLine="284"/>
              <w:rPr>
                <w:b/>
                <w:bCs/>
                <w:sz w:val="18"/>
                <w:lang w:val="fr-FR"/>
              </w:rPr>
            </w:pPr>
            <w:r w:rsidRPr="00210F79">
              <w:rPr>
                <w:b/>
                <w:bCs/>
                <w:sz w:val="18"/>
                <w:lang w:val="fr-FR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210F79" w:rsidRDefault="004C7EF1" w:rsidP="004B362F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fr-FR" w:eastAsia="ko-KR"/>
              </w:rPr>
            </w:pPr>
            <w:r w:rsidRPr="00210F79">
              <w:rPr>
                <w:b/>
                <w:bCs/>
                <w:sz w:val="18"/>
                <w:lang w:val="fr-FR" w:eastAsia="ko-KR"/>
              </w:rPr>
              <w:t>309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210F79" w:rsidRDefault="004C7EF1" w:rsidP="004B362F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fr-FR"/>
              </w:rPr>
            </w:pPr>
            <w:r w:rsidRPr="00210F79">
              <w:rPr>
                <w:b/>
                <w:bCs/>
                <w:sz w:val="18"/>
                <w:lang w:val="fr-FR"/>
              </w:rPr>
              <w:t>144 (47)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210F79" w:rsidRDefault="004C7EF1" w:rsidP="004B362F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fr-FR"/>
              </w:rPr>
            </w:pPr>
            <w:r w:rsidRPr="00210F79">
              <w:rPr>
                <w:b/>
                <w:bCs/>
                <w:sz w:val="18"/>
                <w:lang w:val="fr-FR"/>
              </w:rPr>
              <w:t>77 (25)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210F79" w:rsidRDefault="004C7EF1" w:rsidP="004B362F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fr-FR"/>
              </w:rPr>
            </w:pPr>
            <w:r w:rsidRPr="00210F79">
              <w:rPr>
                <w:b/>
                <w:bCs/>
                <w:sz w:val="18"/>
                <w:lang w:val="fr-FR"/>
              </w:rPr>
              <w:t>88 (28)</w:t>
            </w:r>
          </w:p>
        </w:tc>
      </w:tr>
    </w:tbl>
    <w:p w:rsidR="004C7EF1" w:rsidRPr="000D3B54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spacing w:before="240"/>
        <w:ind w:left="1134" w:firstLine="0"/>
        <w:rPr>
          <w:lang w:val="fr-FR"/>
        </w:rPr>
      </w:pPr>
      <w:r>
        <w:rPr>
          <w:lang w:val="fr-FR"/>
        </w:rPr>
        <w:t>Les instruments pour lesquels on recensait le nombre le plus élevé de rapports périodiques en souffrance étaient les suivants: la Convention internationale sur l</w:t>
      </w:r>
      <w:r w:rsidR="00D11830">
        <w:rPr>
          <w:lang w:val="fr-FR"/>
        </w:rPr>
        <w:t>’</w:t>
      </w:r>
      <w:r>
        <w:rPr>
          <w:lang w:val="fr-FR"/>
        </w:rPr>
        <w:t xml:space="preserve">élimination de toutes les formes de discrimination raciale </w:t>
      </w:r>
      <w:r w:rsidRPr="000D3B54">
        <w:rPr>
          <w:lang w:val="fr-FR"/>
        </w:rPr>
        <w:t xml:space="preserve">(81), </w:t>
      </w:r>
      <w:r>
        <w:rPr>
          <w:lang w:val="fr-FR"/>
        </w:rPr>
        <w:t xml:space="preserve">le </w:t>
      </w:r>
      <w:r w:rsidRPr="000D3B54">
        <w:rPr>
          <w:lang w:val="fr-FR"/>
        </w:rPr>
        <w:t xml:space="preserve">Pacte international relatif aux droits civils et politiques (59), </w:t>
      </w:r>
      <w:r>
        <w:rPr>
          <w:lang w:val="fr-FR"/>
        </w:rPr>
        <w:t>la Convention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à l</w:t>
      </w:r>
      <w:r w:rsidR="00D11830">
        <w:rPr>
          <w:lang w:val="fr-FR"/>
        </w:rPr>
        <w:t>’</w:t>
      </w:r>
      <w:r>
        <w:rPr>
          <w:lang w:val="fr-FR"/>
        </w:rPr>
        <w:t>égard des femmes</w:t>
      </w:r>
      <w:r w:rsidRPr="000D3B54">
        <w:rPr>
          <w:lang w:val="fr-FR"/>
        </w:rPr>
        <w:t xml:space="preserve"> (46), </w:t>
      </w:r>
      <w:r>
        <w:rPr>
          <w:lang w:val="fr-FR"/>
        </w:rPr>
        <w:t>la Convention relative aux droits de l</w:t>
      </w:r>
      <w:r w:rsidR="00D11830">
        <w:rPr>
          <w:lang w:val="fr-FR"/>
        </w:rPr>
        <w:t>’</w:t>
      </w:r>
      <w:r>
        <w:rPr>
          <w:lang w:val="fr-FR"/>
        </w:rPr>
        <w:t xml:space="preserve">enfant </w:t>
      </w:r>
      <w:r w:rsidRPr="000D3B54">
        <w:rPr>
          <w:lang w:val="fr-FR"/>
        </w:rPr>
        <w:t xml:space="preserve">(39), </w:t>
      </w:r>
      <w:r>
        <w:rPr>
          <w:lang w:val="fr-FR"/>
        </w:rPr>
        <w:t>le Pacte international relatif aux droits éc</w:t>
      </w:r>
      <w:r w:rsidR="004F4B5E">
        <w:rPr>
          <w:lang w:val="fr-FR"/>
        </w:rPr>
        <w:t>onomiques, sociaux et culturels </w:t>
      </w:r>
      <w:r w:rsidRPr="000D3B54">
        <w:rPr>
          <w:lang w:val="fr-FR"/>
        </w:rPr>
        <w:t xml:space="preserve">(37) </w:t>
      </w:r>
      <w:r>
        <w:rPr>
          <w:lang w:val="fr-FR"/>
        </w:rPr>
        <w:t>et la Convention contre la torture et autres peines ou traitements cruels, inhumains ou dégradants</w:t>
      </w:r>
      <w:r w:rsidRPr="000D3B54">
        <w:rPr>
          <w:lang w:val="fr-FR"/>
        </w:rPr>
        <w:t xml:space="preserve"> (29). </w:t>
      </w:r>
      <w:r>
        <w:rPr>
          <w:lang w:val="fr-FR"/>
        </w:rPr>
        <w:t>Pour certains instruments, la proportion d</w:t>
      </w:r>
      <w:r w:rsidR="00D11830">
        <w:rPr>
          <w:lang w:val="fr-FR"/>
        </w:rPr>
        <w:t>’</w:t>
      </w:r>
      <w:r>
        <w:rPr>
          <w:lang w:val="fr-FR"/>
        </w:rPr>
        <w:t>États parties</w:t>
      </w:r>
      <w:r w:rsidRPr="00210F79">
        <w:rPr>
          <w:lang w:val="fr-FR"/>
        </w:rPr>
        <w:t xml:space="preserve"> </w:t>
      </w:r>
      <w:r>
        <w:rPr>
          <w:lang w:val="fr-FR"/>
        </w:rPr>
        <w:t>ayant présenté leur rapport avec retard était particulièrement forte: la Convention internationale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raciale</w:t>
      </w:r>
      <w:r w:rsidRPr="000D3B54" w:rsidDel="000D31E0">
        <w:rPr>
          <w:lang w:val="fr-FR"/>
        </w:rPr>
        <w:t xml:space="preserve"> </w:t>
      </w:r>
      <w:r w:rsidR="004F4B5E">
        <w:rPr>
          <w:lang w:val="fr-FR"/>
        </w:rPr>
        <w:t>(46 </w:t>
      </w:r>
      <w:r>
        <w:rPr>
          <w:lang w:val="fr-FR"/>
        </w:rPr>
        <w:t>%</w:t>
      </w:r>
      <w:r w:rsidRPr="000D3B54">
        <w:rPr>
          <w:lang w:val="fr-FR"/>
        </w:rPr>
        <w:t xml:space="preserve">), </w:t>
      </w:r>
      <w:r>
        <w:rPr>
          <w:lang w:val="fr-FR"/>
        </w:rPr>
        <w:t xml:space="preserve">le </w:t>
      </w:r>
      <w:r w:rsidRPr="000D3B54">
        <w:rPr>
          <w:lang w:val="fr-FR"/>
        </w:rPr>
        <w:t xml:space="preserve">Pacte international relatif aux </w:t>
      </w:r>
      <w:r w:rsidR="004F4B5E">
        <w:rPr>
          <w:lang w:val="fr-FR"/>
        </w:rPr>
        <w:t>droits civils et politiques (35 </w:t>
      </w:r>
      <w:r>
        <w:rPr>
          <w:lang w:val="fr-FR"/>
        </w:rPr>
        <w:t>%</w:t>
      </w:r>
      <w:r w:rsidRPr="000D3B54">
        <w:rPr>
          <w:lang w:val="fr-FR"/>
        </w:rPr>
        <w:t xml:space="preserve">), </w:t>
      </w:r>
      <w:r>
        <w:rPr>
          <w:lang w:val="fr-FR"/>
        </w:rPr>
        <w:t>la Convention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à l</w:t>
      </w:r>
      <w:r w:rsidR="00D11830">
        <w:rPr>
          <w:lang w:val="fr-FR"/>
        </w:rPr>
        <w:t>’</w:t>
      </w:r>
      <w:r>
        <w:rPr>
          <w:lang w:val="fr-FR"/>
        </w:rPr>
        <w:t>égard des femmes</w:t>
      </w:r>
      <w:r w:rsidR="004F4B5E">
        <w:rPr>
          <w:lang w:val="fr-FR"/>
        </w:rPr>
        <w:t xml:space="preserve"> (24 </w:t>
      </w:r>
      <w:r>
        <w:rPr>
          <w:lang w:val="fr-FR"/>
        </w:rPr>
        <w:t>%</w:t>
      </w:r>
      <w:r w:rsidRPr="000D3B54">
        <w:rPr>
          <w:lang w:val="fr-FR"/>
        </w:rPr>
        <w:t xml:space="preserve">) </w:t>
      </w:r>
      <w:r>
        <w:rPr>
          <w:lang w:val="fr-FR"/>
        </w:rPr>
        <w:t>et le Pacte international relatif aux droits économiques, sociaux et culturels</w:t>
      </w:r>
      <w:r w:rsidRPr="000D3B54" w:rsidDel="000D31E0">
        <w:rPr>
          <w:lang w:val="fr-FR"/>
        </w:rPr>
        <w:t xml:space="preserve"> </w:t>
      </w:r>
      <w:r w:rsidR="004F4B5E">
        <w:rPr>
          <w:lang w:val="fr-FR"/>
        </w:rPr>
        <w:t>(23 </w:t>
      </w:r>
      <w:r>
        <w:rPr>
          <w:lang w:val="fr-FR"/>
        </w:rPr>
        <w:t>%</w:t>
      </w:r>
      <w:r w:rsidRPr="000D3B54">
        <w:rPr>
          <w:lang w:val="fr-FR"/>
        </w:rPr>
        <w:t>) (</w:t>
      </w:r>
      <w:r>
        <w:rPr>
          <w:lang w:val="fr-FR"/>
        </w:rPr>
        <w:t>voir</w:t>
      </w:r>
      <w:r w:rsidRPr="000D3B54">
        <w:rPr>
          <w:lang w:val="fr-FR"/>
        </w:rPr>
        <w:t xml:space="preserve"> table</w:t>
      </w:r>
      <w:r>
        <w:rPr>
          <w:lang w:val="fr-FR"/>
        </w:rPr>
        <w:t>au</w:t>
      </w:r>
      <w:r w:rsidRPr="000D3B54">
        <w:rPr>
          <w:lang w:val="fr-FR"/>
        </w:rPr>
        <w:t> 6).</w:t>
      </w:r>
    </w:p>
    <w:p w:rsidR="004C7EF1" w:rsidRPr="000D3B54" w:rsidRDefault="004C7EF1" w:rsidP="004C7EF1">
      <w:pPr>
        <w:pStyle w:val="SingleTxtG"/>
        <w:numPr>
          <w:ilvl w:val="0"/>
          <w:numId w:val="17"/>
        </w:numPr>
        <w:kinsoku/>
        <w:overflowPunct/>
        <w:autoSpaceDE/>
        <w:autoSpaceDN/>
        <w:adjustRightInd/>
        <w:snapToGrid/>
        <w:ind w:left="1134" w:firstLine="0"/>
        <w:rPr>
          <w:lang w:val="fr-FR" w:eastAsia="ko-KR"/>
        </w:rPr>
      </w:pPr>
      <w:r>
        <w:rPr>
          <w:lang w:val="fr-FR"/>
        </w:rPr>
        <w:t xml:space="preserve">Sur </w:t>
      </w:r>
      <w:r w:rsidRPr="000D3B54">
        <w:rPr>
          <w:lang w:val="fr-FR"/>
        </w:rPr>
        <w:t>305</w:t>
      </w:r>
      <w:r w:rsidR="004F4B5E">
        <w:rPr>
          <w:lang w:val="fr-FR"/>
        </w:rPr>
        <w:t> </w:t>
      </w:r>
      <w:r>
        <w:rPr>
          <w:lang w:val="fr-FR"/>
        </w:rPr>
        <w:t>rapports périodiques en souffrance</w:t>
      </w:r>
      <w:r w:rsidR="004F4B5E">
        <w:rPr>
          <w:lang w:val="fr-FR"/>
        </w:rPr>
        <w:t>, 184 (60 </w:t>
      </w:r>
      <w:r>
        <w:rPr>
          <w:lang w:val="fr-FR"/>
        </w:rPr>
        <w:t>%</w:t>
      </w:r>
      <w:r w:rsidRPr="000D3B54">
        <w:rPr>
          <w:lang w:val="fr-FR"/>
        </w:rPr>
        <w:t xml:space="preserve">) </w:t>
      </w:r>
      <w:r>
        <w:rPr>
          <w:lang w:val="fr-FR"/>
        </w:rPr>
        <w:t>étaient attendus depuis moins de cinq ans</w:t>
      </w:r>
      <w:r w:rsidR="004F4B5E">
        <w:rPr>
          <w:lang w:val="fr-FR"/>
        </w:rPr>
        <w:t>, 66 (22 </w:t>
      </w:r>
      <w:r>
        <w:rPr>
          <w:lang w:val="fr-FR"/>
        </w:rPr>
        <w:t>%</w:t>
      </w:r>
      <w:r w:rsidRPr="000D3B54">
        <w:rPr>
          <w:lang w:val="fr-FR"/>
        </w:rPr>
        <w:t xml:space="preserve">) </w:t>
      </w:r>
      <w:r>
        <w:rPr>
          <w:lang w:val="fr-FR"/>
        </w:rPr>
        <w:t>depuis</w:t>
      </w:r>
      <w:r w:rsidRPr="000D3B54">
        <w:rPr>
          <w:lang w:val="fr-FR"/>
        </w:rPr>
        <w:t xml:space="preserve"> </w:t>
      </w:r>
      <w:r>
        <w:rPr>
          <w:lang w:val="fr-FR"/>
        </w:rPr>
        <w:t xml:space="preserve">cinq à </w:t>
      </w:r>
      <w:r w:rsidR="004F4B5E">
        <w:rPr>
          <w:lang w:val="fr-FR"/>
        </w:rPr>
        <w:t>dix </w:t>
      </w:r>
      <w:r>
        <w:rPr>
          <w:lang w:val="fr-FR"/>
        </w:rPr>
        <w:t>ans et 55 (18 %</w:t>
      </w:r>
      <w:r w:rsidRPr="000D3B54">
        <w:rPr>
          <w:lang w:val="fr-FR"/>
        </w:rPr>
        <w:t xml:space="preserve">) </w:t>
      </w:r>
      <w:r>
        <w:rPr>
          <w:lang w:val="fr-FR"/>
        </w:rPr>
        <w:t>depuis plus de</w:t>
      </w:r>
      <w:r w:rsidRPr="000D3B54">
        <w:rPr>
          <w:lang w:val="fr-FR"/>
        </w:rPr>
        <w:t xml:space="preserve"> </w:t>
      </w:r>
      <w:r w:rsidR="004F4B5E">
        <w:rPr>
          <w:lang w:val="fr-FR"/>
        </w:rPr>
        <w:t>dix </w:t>
      </w:r>
      <w:r>
        <w:rPr>
          <w:lang w:val="fr-FR"/>
        </w:rPr>
        <w:t>ans</w:t>
      </w:r>
      <w:r w:rsidRPr="000D3B54">
        <w:rPr>
          <w:lang w:val="fr-FR"/>
        </w:rPr>
        <w:t xml:space="preserve">. </w:t>
      </w:r>
      <w:r>
        <w:rPr>
          <w:lang w:val="fr-FR"/>
        </w:rPr>
        <w:t>Les instruments pour lesquels on recensait le nombre le plus élevé de</w:t>
      </w:r>
      <w:r w:rsidRPr="000D3B54">
        <w:rPr>
          <w:lang w:val="fr-FR"/>
        </w:rPr>
        <w:t xml:space="preserve"> </w:t>
      </w:r>
      <w:r>
        <w:rPr>
          <w:lang w:val="fr-FR"/>
        </w:rPr>
        <w:t>rap</w:t>
      </w:r>
      <w:r w:rsidRPr="000D3B54">
        <w:rPr>
          <w:lang w:val="fr-FR"/>
        </w:rPr>
        <w:t xml:space="preserve">ports </w:t>
      </w:r>
      <w:r>
        <w:rPr>
          <w:lang w:val="fr-FR"/>
        </w:rPr>
        <w:t xml:space="preserve">périodiques attendus depuis plus de </w:t>
      </w:r>
      <w:r w:rsidR="004F4B5E">
        <w:rPr>
          <w:lang w:val="fr-FR"/>
        </w:rPr>
        <w:t>dix </w:t>
      </w:r>
      <w:r>
        <w:rPr>
          <w:lang w:val="fr-FR"/>
        </w:rPr>
        <w:t>an</w:t>
      </w:r>
      <w:r w:rsidRPr="000D3B54">
        <w:rPr>
          <w:lang w:val="fr-FR"/>
        </w:rPr>
        <w:t>s</w:t>
      </w:r>
      <w:r>
        <w:rPr>
          <w:lang w:val="fr-FR"/>
        </w:rPr>
        <w:t xml:space="preserve"> étaient les suivants:</w:t>
      </w:r>
      <w:r w:rsidRPr="000D3B54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355D46">
        <w:rPr>
          <w:lang w:val="fr-FR"/>
        </w:rPr>
        <w:t>Pacte international relatif aux droits civils et politiques</w:t>
      </w:r>
      <w:r>
        <w:rPr>
          <w:lang w:val="fr-FR"/>
        </w:rPr>
        <w:t xml:space="preserve"> (19) et</w:t>
      </w:r>
      <w:r w:rsidRPr="000D3B54">
        <w:rPr>
          <w:lang w:val="fr-FR"/>
        </w:rPr>
        <w:t xml:space="preserve"> </w:t>
      </w:r>
      <w:r>
        <w:rPr>
          <w:lang w:val="fr-FR"/>
        </w:rPr>
        <w:t>la Convention internationale sur l</w:t>
      </w:r>
      <w:r w:rsidR="00D11830">
        <w:rPr>
          <w:lang w:val="fr-FR"/>
        </w:rPr>
        <w:t>’</w:t>
      </w:r>
      <w:r>
        <w:rPr>
          <w:lang w:val="fr-FR"/>
        </w:rPr>
        <w:t>élimination de toutes les formes de discrimination raciale</w:t>
      </w:r>
      <w:r w:rsidRPr="000D3B54">
        <w:rPr>
          <w:lang w:val="fr-FR"/>
        </w:rPr>
        <w:t xml:space="preserve"> (16) (</w:t>
      </w:r>
      <w:r>
        <w:rPr>
          <w:lang w:val="fr-FR"/>
        </w:rPr>
        <w:t>voir</w:t>
      </w:r>
      <w:r w:rsidRPr="000D3B54">
        <w:rPr>
          <w:lang w:val="fr-FR"/>
        </w:rPr>
        <w:t xml:space="preserve"> table</w:t>
      </w:r>
      <w:r>
        <w:rPr>
          <w:lang w:val="fr-FR"/>
        </w:rPr>
        <w:t>au</w:t>
      </w:r>
      <w:r w:rsidRPr="000D3B54">
        <w:rPr>
          <w:lang w:val="fr-FR"/>
        </w:rPr>
        <w:t> 8).</w:t>
      </w:r>
    </w:p>
    <w:p w:rsidR="004F4B5E" w:rsidRPr="004F4B5E" w:rsidRDefault="004C7EF1" w:rsidP="004F4B5E">
      <w:pPr>
        <w:pStyle w:val="Titre1"/>
        <w:rPr>
          <w:bCs/>
          <w:lang w:val="fr-FR"/>
        </w:rPr>
      </w:pPr>
      <w:r w:rsidRPr="004F4B5E">
        <w:rPr>
          <w:bCs/>
          <w:lang w:val="fr-FR"/>
        </w:rPr>
        <w:t>Tableau 8</w:t>
      </w:r>
    </w:p>
    <w:p w:rsidR="004C7EF1" w:rsidRPr="004F4B5E" w:rsidRDefault="004C7EF1" w:rsidP="004F4B5E">
      <w:pPr>
        <w:pStyle w:val="Titre1"/>
        <w:spacing w:after="120"/>
        <w:rPr>
          <w:b/>
          <w:lang w:val="fr-FR"/>
        </w:rPr>
      </w:pPr>
      <w:r w:rsidRPr="004F4B5E">
        <w:rPr>
          <w:b/>
          <w:lang w:val="fr-FR"/>
        </w:rPr>
        <w:t>Rapports périodiques en retard par nombre d</w:t>
      </w:r>
      <w:r w:rsidR="00D11830">
        <w:rPr>
          <w:b/>
          <w:lang w:val="fr-FR"/>
        </w:rPr>
        <w:t>’</w:t>
      </w:r>
      <w:r w:rsidRPr="004F4B5E">
        <w:rPr>
          <w:b/>
          <w:lang w:val="fr-FR"/>
        </w:rPr>
        <w:t>années de retard</w:t>
      </w:r>
      <w:r w:rsidR="004F4B5E">
        <w:rPr>
          <w:b/>
          <w:lang w:val="fr-FR"/>
        </w:rPr>
        <w:t xml:space="preserve"> et par instrument</w:t>
      </w:r>
      <w:r w:rsidR="004F4B5E">
        <w:rPr>
          <w:b/>
          <w:lang w:val="fr-FR"/>
        </w:rPr>
        <w:br/>
        <w:t>au 28 </w:t>
      </w:r>
      <w:r w:rsidRPr="004F4B5E">
        <w:rPr>
          <w:b/>
          <w:lang w:val="fr-FR"/>
        </w:rPr>
        <w:t>février 2015</w:t>
      </w:r>
    </w:p>
    <w:tbl>
      <w:tblPr>
        <w:tblW w:w="0" w:type="auto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1374"/>
        <w:gridCol w:w="1375"/>
        <w:gridCol w:w="1331"/>
        <w:gridCol w:w="1292"/>
      </w:tblGrid>
      <w:tr w:rsidR="004C7EF1" w:rsidRPr="00355D46" w:rsidTr="00A01A4C">
        <w:trPr>
          <w:cantSplit/>
          <w:tblHeader/>
        </w:trPr>
        <w:tc>
          <w:tcPr>
            <w:tcW w:w="19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F4B5E">
            <w:pPr>
              <w:pStyle w:val="SingleTxtG"/>
              <w:suppressAutoHyphens w:val="0"/>
              <w:spacing w:before="80" w:after="80" w:line="200" w:lineRule="exact"/>
              <w:ind w:left="0" w:right="0"/>
              <w:jc w:val="left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>Instrument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F4B5E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lang w:val="fr-FR"/>
              </w:rPr>
            </w:pPr>
            <w:r w:rsidRPr="00355D46">
              <w:rPr>
                <w:i/>
                <w:sz w:val="16"/>
                <w:lang w:val="fr-FR"/>
              </w:rPr>
              <w:t xml:space="preserve">Nombre </w:t>
            </w:r>
            <w:r w:rsidR="004F4B5E">
              <w:rPr>
                <w:i/>
                <w:sz w:val="16"/>
                <w:lang w:val="fr-FR"/>
              </w:rPr>
              <w:t>de rapports périodiques</w:t>
            </w:r>
            <w:r w:rsidR="004F4B5E">
              <w:rPr>
                <w:i/>
                <w:sz w:val="16"/>
                <w:lang w:val="fr-FR"/>
              </w:rPr>
              <w:br/>
            </w:r>
            <w:r>
              <w:rPr>
                <w:i/>
                <w:sz w:val="16"/>
                <w:lang w:val="fr-FR"/>
              </w:rPr>
              <w:t>en retard</w:t>
            </w:r>
            <w:r w:rsidRPr="00355D46">
              <w:rPr>
                <w:i/>
                <w:sz w:val="16"/>
                <w:lang w:val="fr-FR"/>
              </w:rPr>
              <w:t xml:space="preserve">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EF1" w:rsidRPr="00355D46" w:rsidRDefault="004C7EF1" w:rsidP="004F4B5E">
            <w:pPr>
              <w:pStyle w:val="SingleTxtG"/>
              <w:suppressAutoHyphens w:val="0"/>
              <w:spacing w:before="80" w:after="80" w:line="200" w:lineRule="exact"/>
              <w:ind w:left="0" w:right="0"/>
              <w:jc w:val="center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>Nombre d</w:t>
            </w:r>
            <w:r w:rsidR="00D11830">
              <w:rPr>
                <w:i/>
                <w:sz w:val="16"/>
                <w:lang w:val="fr-FR"/>
              </w:rPr>
              <w:t>’</w:t>
            </w:r>
            <w:r>
              <w:rPr>
                <w:i/>
                <w:sz w:val="16"/>
                <w:lang w:val="fr-FR"/>
              </w:rPr>
              <w:t>années de retard</w:t>
            </w:r>
          </w:p>
        </w:tc>
      </w:tr>
      <w:tr w:rsidR="004C7EF1" w:rsidRPr="00355D46" w:rsidTr="00A01A4C">
        <w:trPr>
          <w:cantSplit/>
          <w:tblHeader/>
        </w:trPr>
        <w:tc>
          <w:tcPr>
            <w:tcW w:w="199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F4B5E">
            <w:pPr>
              <w:pStyle w:val="SingleTxtG"/>
              <w:suppressAutoHyphens w:val="0"/>
              <w:spacing w:before="40" w:after="40" w:line="220" w:lineRule="exact"/>
              <w:ind w:left="0" w:right="0"/>
              <w:jc w:val="left"/>
              <w:rPr>
                <w:sz w:val="18"/>
                <w:lang w:val="fr-FR"/>
              </w:rPr>
            </w:pPr>
          </w:p>
        </w:tc>
        <w:tc>
          <w:tcPr>
            <w:tcW w:w="137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F4B5E">
            <w:pPr>
              <w:pStyle w:val="SingleTxtG"/>
              <w:suppressAutoHyphens w:val="0"/>
              <w:spacing w:before="40" w:after="40" w:line="220" w:lineRule="exact"/>
              <w:ind w:left="0" w:right="0"/>
              <w:jc w:val="right"/>
              <w:rPr>
                <w:sz w:val="18"/>
                <w:lang w:val="fr-FR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F4B5E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lang w:val="fr-FR"/>
              </w:rPr>
            </w:pPr>
            <w:r w:rsidRPr="00355D46">
              <w:rPr>
                <w:i/>
                <w:sz w:val="16"/>
                <w:lang w:val="fr-FR"/>
              </w:rPr>
              <w:t xml:space="preserve">Nombre </w:t>
            </w:r>
            <w:r>
              <w:rPr>
                <w:i/>
                <w:sz w:val="16"/>
                <w:lang w:val="fr-FR"/>
              </w:rPr>
              <w:t>de rapports</w:t>
            </w:r>
            <w:r w:rsidRPr="00355D46">
              <w:rPr>
                <w:i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attendus depuis moins de cinq ans</w:t>
            </w:r>
            <w:r w:rsidR="004F4B5E">
              <w:rPr>
                <w:i/>
                <w:sz w:val="16"/>
                <w:lang w:val="fr-FR"/>
              </w:rPr>
              <w:br/>
            </w:r>
            <w:r w:rsidRPr="00355D46">
              <w:rPr>
                <w:i/>
                <w:sz w:val="16"/>
                <w:lang w:val="fr-FR"/>
              </w:rPr>
              <w:t>(</w:t>
            </w:r>
            <w:r>
              <w:rPr>
                <w:i/>
                <w:sz w:val="16"/>
                <w:lang w:val="fr-FR"/>
              </w:rPr>
              <w:t xml:space="preserve">en </w:t>
            </w:r>
            <w:r w:rsidR="004F4B5E">
              <w:rPr>
                <w:i/>
                <w:sz w:val="16"/>
                <w:lang w:val="fr-FR"/>
              </w:rPr>
              <w:t>pourcentage</w:t>
            </w:r>
            <w:r w:rsidRPr="00355D4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F4B5E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lang w:val="fr-FR"/>
              </w:rPr>
            </w:pPr>
            <w:r w:rsidRPr="00355D46">
              <w:rPr>
                <w:i/>
                <w:sz w:val="16"/>
                <w:lang w:val="fr-FR"/>
              </w:rPr>
              <w:t xml:space="preserve">Nombre </w:t>
            </w:r>
            <w:r>
              <w:rPr>
                <w:i/>
                <w:sz w:val="16"/>
                <w:lang w:val="fr-FR"/>
              </w:rPr>
              <w:t>de</w:t>
            </w:r>
            <w:r w:rsidRPr="00355D46">
              <w:rPr>
                <w:i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rapports</w:t>
            </w:r>
            <w:r w:rsidRPr="00355D46">
              <w:rPr>
                <w:i/>
                <w:sz w:val="16"/>
                <w:lang w:val="fr-FR"/>
              </w:rPr>
              <w:t xml:space="preserve"> </w:t>
            </w:r>
            <w:r w:rsidR="004F4B5E">
              <w:rPr>
                <w:i/>
                <w:sz w:val="16"/>
                <w:lang w:val="fr-FR"/>
              </w:rPr>
              <w:t>attendus depuis</w:t>
            </w:r>
            <w:r w:rsidR="004F4B5E">
              <w:rPr>
                <w:i/>
                <w:sz w:val="16"/>
                <w:lang w:val="fr-FR"/>
              </w:rPr>
              <w:br/>
            </w:r>
            <w:r>
              <w:rPr>
                <w:i/>
                <w:sz w:val="16"/>
                <w:lang w:val="fr-FR"/>
              </w:rPr>
              <w:t xml:space="preserve">cinq à </w:t>
            </w:r>
            <w:r w:rsidR="004F4B5E">
              <w:rPr>
                <w:i/>
                <w:sz w:val="16"/>
                <w:lang w:val="fr-FR"/>
              </w:rPr>
              <w:t>dix</w:t>
            </w:r>
            <w:r>
              <w:rPr>
                <w:i/>
                <w:sz w:val="16"/>
                <w:lang w:val="fr-FR"/>
              </w:rPr>
              <w:t xml:space="preserve"> ans</w:t>
            </w:r>
            <w:r w:rsidR="004F4B5E">
              <w:rPr>
                <w:i/>
                <w:sz w:val="16"/>
                <w:lang w:val="fr-FR"/>
              </w:rPr>
              <w:br/>
            </w:r>
            <w:r w:rsidRPr="00355D46">
              <w:rPr>
                <w:i/>
                <w:sz w:val="16"/>
                <w:lang w:val="fr-FR"/>
              </w:rPr>
              <w:t>(</w:t>
            </w:r>
            <w:r>
              <w:rPr>
                <w:i/>
                <w:sz w:val="16"/>
                <w:lang w:val="fr-FR"/>
              </w:rPr>
              <w:t xml:space="preserve">en </w:t>
            </w:r>
            <w:r w:rsidR="004F4B5E">
              <w:rPr>
                <w:i/>
                <w:sz w:val="16"/>
                <w:lang w:val="fr-FR"/>
              </w:rPr>
              <w:t>pourcentage</w:t>
            </w:r>
            <w:r w:rsidRPr="00355D4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F4B5E">
            <w:pPr>
              <w:pStyle w:val="SingleTxtG"/>
              <w:suppressAutoHyphens w:val="0"/>
              <w:spacing w:before="80" w:after="80" w:line="200" w:lineRule="exact"/>
              <w:ind w:left="0" w:right="0"/>
              <w:jc w:val="right"/>
              <w:rPr>
                <w:i/>
                <w:sz w:val="16"/>
                <w:lang w:val="fr-FR"/>
              </w:rPr>
            </w:pPr>
            <w:r w:rsidRPr="00355D46">
              <w:rPr>
                <w:i/>
                <w:sz w:val="16"/>
                <w:lang w:val="fr-FR"/>
              </w:rPr>
              <w:t xml:space="preserve">Nombre </w:t>
            </w:r>
            <w:r>
              <w:rPr>
                <w:i/>
                <w:sz w:val="16"/>
                <w:lang w:val="fr-FR"/>
              </w:rPr>
              <w:t>de</w:t>
            </w:r>
            <w:r w:rsidR="004F4B5E">
              <w:rPr>
                <w:i/>
                <w:sz w:val="16"/>
                <w:lang w:val="fr-FR"/>
              </w:rPr>
              <w:t> </w:t>
            </w:r>
            <w:r>
              <w:rPr>
                <w:i/>
                <w:sz w:val="16"/>
                <w:lang w:val="fr-FR"/>
              </w:rPr>
              <w:t>rapports</w:t>
            </w:r>
            <w:r w:rsidRPr="00355D46">
              <w:rPr>
                <w:i/>
                <w:sz w:val="16"/>
                <w:lang w:val="fr-FR"/>
              </w:rPr>
              <w:t xml:space="preserve"> </w:t>
            </w:r>
            <w:r w:rsidR="004F4B5E">
              <w:rPr>
                <w:i/>
                <w:sz w:val="16"/>
                <w:lang w:val="fr-FR"/>
              </w:rPr>
              <w:t>attendus depuis</w:t>
            </w:r>
            <w:r w:rsidR="004F4B5E">
              <w:rPr>
                <w:i/>
                <w:sz w:val="16"/>
                <w:lang w:val="fr-FR"/>
              </w:rPr>
              <w:br/>
            </w:r>
            <w:r>
              <w:rPr>
                <w:i/>
                <w:sz w:val="16"/>
                <w:lang w:val="fr-FR"/>
              </w:rPr>
              <w:t>plus de</w:t>
            </w:r>
            <w:r w:rsidRPr="00355D46">
              <w:rPr>
                <w:i/>
                <w:sz w:val="16"/>
                <w:lang w:val="fr-FR"/>
              </w:rPr>
              <w:t xml:space="preserve"> </w:t>
            </w:r>
            <w:r w:rsidR="004F4B5E">
              <w:rPr>
                <w:i/>
                <w:sz w:val="16"/>
                <w:lang w:val="fr-FR"/>
              </w:rPr>
              <w:t>dix </w:t>
            </w:r>
            <w:r>
              <w:rPr>
                <w:i/>
                <w:sz w:val="16"/>
                <w:lang w:val="fr-FR"/>
              </w:rPr>
              <w:t>ans</w:t>
            </w:r>
            <w:r w:rsidR="004F4B5E">
              <w:rPr>
                <w:i/>
                <w:sz w:val="16"/>
                <w:lang w:val="fr-FR"/>
              </w:rPr>
              <w:br/>
            </w:r>
            <w:r w:rsidRPr="00355D46">
              <w:rPr>
                <w:i/>
                <w:sz w:val="16"/>
                <w:lang w:val="fr-FR"/>
              </w:rPr>
              <w:t>(</w:t>
            </w:r>
            <w:r>
              <w:rPr>
                <w:i/>
                <w:sz w:val="16"/>
                <w:lang w:val="fr-FR"/>
              </w:rPr>
              <w:t xml:space="preserve">en </w:t>
            </w:r>
            <w:r w:rsidR="004F4B5E">
              <w:rPr>
                <w:i/>
                <w:sz w:val="16"/>
                <w:lang w:val="fr-FR"/>
              </w:rPr>
              <w:t>pourcentage</w:t>
            </w:r>
            <w:r w:rsidRPr="00355D46">
              <w:rPr>
                <w:i/>
                <w:sz w:val="16"/>
                <w:lang w:val="fr-FR"/>
              </w:rPr>
              <w:t>)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2E61D7">
              <w:rPr>
                <w:sz w:val="18"/>
                <w:lang w:val="fr-FR"/>
              </w:rPr>
              <w:t>Pacte international relatif</w:t>
            </w:r>
            <w:r w:rsidR="004F4B5E">
              <w:rPr>
                <w:sz w:val="18"/>
                <w:lang w:val="fr-FR"/>
              </w:rPr>
              <w:t> </w:t>
            </w:r>
            <w:r w:rsidRPr="002E61D7">
              <w:rPr>
                <w:sz w:val="18"/>
                <w:lang w:val="fr-FR"/>
              </w:rPr>
              <w:t>aux droits civils et</w:t>
            </w:r>
            <w:r w:rsidR="004F4B5E">
              <w:rPr>
                <w:sz w:val="18"/>
                <w:lang w:val="fr-FR"/>
              </w:rPr>
              <w:t> </w:t>
            </w:r>
            <w:r w:rsidRPr="002E61D7">
              <w:rPr>
                <w:sz w:val="18"/>
                <w:lang w:val="fr-FR"/>
              </w:rPr>
              <w:t>politiques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59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30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10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19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Pacte international relatif aux droits économiques, sociaux et culturels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37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18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11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8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357686">
              <w:rPr>
                <w:sz w:val="18"/>
                <w:szCs w:val="18"/>
              </w:rPr>
              <w:t>Convention internationale pour l</w:t>
            </w:r>
            <w:r w:rsidR="00D11830">
              <w:rPr>
                <w:sz w:val="18"/>
                <w:szCs w:val="18"/>
              </w:rPr>
              <w:t>’</w:t>
            </w:r>
            <w:r w:rsidRPr="00357686">
              <w:rPr>
                <w:sz w:val="18"/>
                <w:szCs w:val="18"/>
              </w:rPr>
              <w:t>élimination de la</w:t>
            </w:r>
            <w:r w:rsidR="004F4B5E">
              <w:rPr>
                <w:sz w:val="18"/>
                <w:szCs w:val="18"/>
              </w:rPr>
              <w:t> </w:t>
            </w:r>
            <w:r w:rsidRPr="00357686">
              <w:rPr>
                <w:sz w:val="18"/>
                <w:szCs w:val="18"/>
              </w:rPr>
              <w:t>discrimination raciale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 w:eastAsia="ko-KR"/>
              </w:rPr>
            </w:pPr>
            <w:r w:rsidRPr="00355D46">
              <w:rPr>
                <w:sz w:val="18"/>
                <w:lang w:val="fr-FR" w:eastAsia="ko-KR"/>
              </w:rPr>
              <w:t>81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 w:eastAsia="ko-KR"/>
              </w:rPr>
            </w:pPr>
            <w:r w:rsidRPr="00355D46">
              <w:rPr>
                <w:sz w:val="18"/>
                <w:lang w:val="fr-FR" w:eastAsia="ko-KR"/>
              </w:rPr>
              <w:t>37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 w:eastAsia="ko-KR"/>
              </w:rPr>
            </w:pPr>
            <w:r w:rsidRPr="00355D46">
              <w:rPr>
                <w:sz w:val="18"/>
                <w:lang w:val="fr-FR" w:eastAsia="ko-KR"/>
              </w:rPr>
              <w:t>28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 w:eastAsia="ko-KR"/>
              </w:rPr>
            </w:pPr>
            <w:r w:rsidRPr="00355D46">
              <w:rPr>
                <w:sz w:val="18"/>
                <w:lang w:val="fr-FR" w:eastAsia="ko-KR"/>
              </w:rPr>
              <w:t>16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Convention contre la</w:t>
            </w:r>
            <w:r w:rsidR="004F4B5E">
              <w:rPr>
                <w:sz w:val="18"/>
                <w:lang w:val="fr-FR"/>
              </w:rPr>
              <w:t> </w:t>
            </w:r>
            <w:r>
              <w:rPr>
                <w:sz w:val="18"/>
                <w:lang w:val="fr-FR"/>
              </w:rPr>
              <w:t xml:space="preserve">torture 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39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36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2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1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Convention sur l</w:t>
            </w:r>
            <w:r w:rsidR="00D11830">
              <w:rPr>
                <w:sz w:val="18"/>
                <w:lang w:val="fr-FR"/>
              </w:rPr>
              <w:t>’</w:t>
            </w:r>
            <w:r>
              <w:rPr>
                <w:sz w:val="18"/>
                <w:lang w:val="fr-FR"/>
              </w:rPr>
              <w:t>élimination de toutes les formes de discrimination à</w:t>
            </w:r>
            <w:r w:rsidR="004F4B5E">
              <w:rPr>
                <w:sz w:val="18"/>
                <w:lang w:val="fr-FR"/>
              </w:rPr>
              <w:t> </w:t>
            </w:r>
            <w:r>
              <w:rPr>
                <w:sz w:val="18"/>
                <w:lang w:val="fr-FR"/>
              </w:rPr>
              <w:t>l</w:t>
            </w:r>
            <w:r w:rsidR="00D11830">
              <w:rPr>
                <w:sz w:val="18"/>
                <w:lang w:val="fr-FR"/>
              </w:rPr>
              <w:t>’</w:t>
            </w:r>
            <w:r>
              <w:rPr>
                <w:sz w:val="18"/>
                <w:lang w:val="fr-FR"/>
              </w:rPr>
              <w:t>égard des femmes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46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38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5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3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Convention relative aux</w:t>
            </w:r>
            <w:r w:rsidR="004F4B5E">
              <w:rPr>
                <w:sz w:val="18"/>
                <w:lang w:val="fr-FR"/>
              </w:rPr>
              <w:t> </w:t>
            </w:r>
            <w:r>
              <w:rPr>
                <w:sz w:val="18"/>
                <w:lang w:val="fr-FR"/>
              </w:rPr>
              <w:t>droits de l</w:t>
            </w:r>
            <w:r w:rsidR="00D11830">
              <w:rPr>
                <w:sz w:val="18"/>
                <w:lang w:val="fr-FR"/>
              </w:rPr>
              <w:t>’</w:t>
            </w:r>
            <w:r>
              <w:rPr>
                <w:sz w:val="18"/>
                <w:lang w:val="fr-FR"/>
              </w:rPr>
              <w:t xml:space="preserve">enfant 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39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22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9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8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A76BCE">
              <w:rPr>
                <w:sz w:val="18"/>
              </w:rPr>
              <w:t>Convention relative aux</w:t>
            </w:r>
            <w:r w:rsidR="004F4B5E">
              <w:rPr>
                <w:sz w:val="18"/>
              </w:rPr>
              <w:t> </w:t>
            </w:r>
            <w:r w:rsidRPr="00A76BCE">
              <w:rPr>
                <w:sz w:val="18"/>
              </w:rPr>
              <w:t>droits de l</w:t>
            </w:r>
            <w:r w:rsidR="00D11830">
              <w:rPr>
                <w:sz w:val="18"/>
              </w:rPr>
              <w:t>’</w:t>
            </w:r>
            <w:r w:rsidRPr="00A76BCE">
              <w:rPr>
                <w:sz w:val="18"/>
              </w:rPr>
              <w:t xml:space="preserve">enfant </w:t>
            </w:r>
            <w:r w:rsidR="004F4B5E">
              <w:rPr>
                <w:sz w:val="18"/>
              </w:rPr>
              <w:t>− </w:t>
            </w:r>
            <w:r w:rsidRPr="00A76BCE">
              <w:rPr>
                <w:sz w:val="18"/>
              </w:rPr>
              <w:t>Protocole facultatif concernant l</w:t>
            </w:r>
            <w:r w:rsidR="00D11830">
              <w:rPr>
                <w:sz w:val="18"/>
              </w:rPr>
              <w:t>’</w:t>
            </w:r>
            <w:r w:rsidRPr="00A76BCE">
              <w:rPr>
                <w:sz w:val="18"/>
              </w:rPr>
              <w:t>implication d</w:t>
            </w:r>
            <w:r w:rsidR="00D11830">
              <w:rPr>
                <w:sz w:val="18"/>
              </w:rPr>
              <w:t>’</w:t>
            </w:r>
            <w:r w:rsidRPr="00A76BCE">
              <w:rPr>
                <w:sz w:val="18"/>
              </w:rPr>
              <w:t>enfants dans les conflits</w:t>
            </w:r>
            <w:r w:rsidR="004F4B5E">
              <w:rPr>
                <w:sz w:val="18"/>
              </w:rPr>
              <w:t> </w:t>
            </w:r>
            <w:r w:rsidRPr="00A76BCE">
              <w:rPr>
                <w:sz w:val="18"/>
              </w:rPr>
              <w:t>armés</w:t>
            </w:r>
            <w:r w:rsidRPr="00355D46">
              <w:rPr>
                <w:i/>
                <w:iCs/>
                <w:sz w:val="18"/>
                <w:vertAlign w:val="superscript"/>
                <w:lang w:val="fr-FR"/>
              </w:rPr>
              <w:t>a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375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tcBorders>
              <w:bottom w:val="nil"/>
            </w:tcBorders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A76BCE">
              <w:rPr>
                <w:sz w:val="18"/>
                <w:lang w:val="fr-FR"/>
              </w:rPr>
              <w:t>Convention relative aux</w:t>
            </w:r>
            <w:r w:rsidR="004F4B5E">
              <w:rPr>
                <w:sz w:val="18"/>
                <w:lang w:val="fr-FR"/>
              </w:rPr>
              <w:t> </w:t>
            </w:r>
            <w:r w:rsidRPr="00A76BCE">
              <w:rPr>
                <w:sz w:val="18"/>
                <w:lang w:val="fr-FR"/>
              </w:rPr>
              <w:t>droits de l</w:t>
            </w:r>
            <w:r w:rsidR="00D11830">
              <w:rPr>
                <w:sz w:val="18"/>
                <w:lang w:val="fr-FR"/>
              </w:rPr>
              <w:t>’</w:t>
            </w:r>
            <w:r w:rsidRPr="00A76BCE">
              <w:rPr>
                <w:sz w:val="18"/>
                <w:lang w:val="fr-FR"/>
              </w:rPr>
              <w:t xml:space="preserve">enfant </w:t>
            </w:r>
            <w:r w:rsidR="004F4B5E">
              <w:rPr>
                <w:sz w:val="18"/>
              </w:rPr>
              <w:t>− </w:t>
            </w:r>
            <w:r w:rsidRPr="00A76BCE">
              <w:rPr>
                <w:sz w:val="18"/>
              </w:rPr>
              <w:t>Protocole facultatif concernant la vente d</w:t>
            </w:r>
            <w:r w:rsidR="00D11830">
              <w:rPr>
                <w:sz w:val="18"/>
              </w:rPr>
              <w:t>’</w:t>
            </w:r>
            <w:r w:rsidRPr="00A76BCE">
              <w:rPr>
                <w:sz w:val="18"/>
              </w:rPr>
              <w:t>enfants</w:t>
            </w:r>
            <w:r w:rsidRPr="00355D46">
              <w:rPr>
                <w:i/>
                <w:iCs/>
                <w:sz w:val="18"/>
                <w:vertAlign w:val="superscript"/>
                <w:lang w:val="fr-FR"/>
              </w:rPr>
              <w:t>a</w:t>
            </w: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375" w:type="dxa"/>
            <w:tcBorders>
              <w:bottom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292" w:type="dxa"/>
            <w:tcBorders>
              <w:bottom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tcBorders>
              <w:top w:val="nil"/>
              <w:bottom w:val="nil"/>
            </w:tcBorders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Convention i</w:t>
            </w:r>
            <w:r w:rsidR="004F4B5E">
              <w:rPr>
                <w:sz w:val="18"/>
                <w:lang w:val="fr-FR"/>
              </w:rPr>
              <w:t>nternationale sur la protection</w:t>
            </w:r>
            <w:r w:rsidR="004F4B5E">
              <w:rPr>
                <w:sz w:val="18"/>
                <w:lang w:val="fr-FR"/>
              </w:rPr>
              <w:br/>
            </w:r>
            <w:r>
              <w:rPr>
                <w:sz w:val="18"/>
                <w:lang w:val="fr-FR"/>
              </w:rPr>
              <w:t>des droits de tous les travailleurs migrants</w:t>
            </w: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4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0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tcBorders>
              <w:top w:val="nil"/>
            </w:tcBorders>
            <w:shd w:val="clear" w:color="auto" w:fill="auto"/>
          </w:tcPr>
          <w:p w:rsidR="004C7EF1" w:rsidRPr="00355D46" w:rsidRDefault="004C7EF1" w:rsidP="004F4B5E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Convention relative aux</w:t>
            </w:r>
            <w:r w:rsidR="004F4B5E">
              <w:rPr>
                <w:sz w:val="18"/>
                <w:lang w:val="fr-FR"/>
              </w:rPr>
              <w:t> </w:t>
            </w:r>
            <w:r>
              <w:rPr>
                <w:sz w:val="18"/>
                <w:lang w:val="fr-FR"/>
              </w:rPr>
              <w:t xml:space="preserve">droits des personnes handicapées </w:t>
            </w:r>
          </w:p>
        </w:tc>
        <w:tc>
          <w:tcPr>
            <w:tcW w:w="1374" w:type="dxa"/>
            <w:tcBorders>
              <w:top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0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0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0</w:t>
            </w:r>
          </w:p>
        </w:tc>
        <w:tc>
          <w:tcPr>
            <w:tcW w:w="1292" w:type="dxa"/>
            <w:tcBorders>
              <w:top w:val="nil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0</w:t>
            </w:r>
          </w:p>
        </w:tc>
      </w:tr>
      <w:tr w:rsidR="004C7EF1" w:rsidRPr="00355D46" w:rsidTr="00483444">
        <w:trPr>
          <w:cantSplit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4C7EF1" w:rsidRPr="00355D46" w:rsidRDefault="004C7EF1" w:rsidP="00A01A4C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Convention internationale pour la protection de toutes les personnes contre les</w:t>
            </w:r>
            <w:r w:rsidR="00A01A4C">
              <w:rPr>
                <w:sz w:val="18"/>
                <w:lang w:val="fr-FR"/>
              </w:rPr>
              <w:t> </w:t>
            </w:r>
            <w:r>
              <w:rPr>
                <w:sz w:val="18"/>
                <w:lang w:val="fr-FR"/>
              </w:rPr>
              <w:t>disparitions forcées</w:t>
            </w:r>
            <w:r w:rsidRPr="00355D46">
              <w:rPr>
                <w:i/>
                <w:iCs/>
                <w:sz w:val="18"/>
                <w:vertAlign w:val="superscript"/>
                <w:lang w:val="fr-FR"/>
              </w:rPr>
              <w:t>b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7EF1" w:rsidRPr="00355D46" w:rsidRDefault="004C7EF1" w:rsidP="00483444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355D46">
              <w:rPr>
                <w:sz w:val="18"/>
                <w:lang w:val="fr-FR"/>
              </w:rPr>
              <w:t>-</w:t>
            </w:r>
          </w:p>
        </w:tc>
      </w:tr>
      <w:tr w:rsidR="004C7EF1" w:rsidRPr="00355D46" w:rsidTr="00A01A4C">
        <w:trPr>
          <w:cantSplit/>
        </w:trPr>
        <w:tc>
          <w:tcPr>
            <w:tcW w:w="19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355D46" w:rsidRDefault="004C7EF1" w:rsidP="00483444">
            <w:pPr>
              <w:suppressAutoHyphens w:val="0"/>
              <w:spacing w:before="80" w:after="80" w:line="220" w:lineRule="exact"/>
              <w:ind w:firstLine="284"/>
              <w:rPr>
                <w:b/>
                <w:bCs/>
                <w:sz w:val="18"/>
                <w:lang w:val="fr-FR"/>
              </w:rPr>
            </w:pPr>
            <w:r w:rsidRPr="00355D46">
              <w:rPr>
                <w:b/>
                <w:bCs/>
                <w:sz w:val="18"/>
                <w:lang w:val="fr-FR"/>
              </w:rPr>
              <w:t>Total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355D46" w:rsidRDefault="004C7EF1" w:rsidP="00483444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fr-FR" w:eastAsia="ko-KR"/>
              </w:rPr>
            </w:pPr>
            <w:r w:rsidRPr="00355D46">
              <w:rPr>
                <w:b/>
                <w:bCs/>
                <w:sz w:val="18"/>
                <w:lang w:val="fr-FR" w:eastAsia="ko-KR"/>
              </w:rPr>
              <w:t>305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355D46" w:rsidRDefault="004C7EF1" w:rsidP="00483444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fr-FR"/>
              </w:rPr>
            </w:pPr>
            <w:r w:rsidRPr="00355D46">
              <w:rPr>
                <w:b/>
                <w:bCs/>
                <w:sz w:val="18"/>
                <w:lang w:val="fr-FR"/>
              </w:rPr>
              <w:t>184 (60)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355D46" w:rsidRDefault="004C7EF1" w:rsidP="00483444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fr-FR"/>
              </w:rPr>
            </w:pPr>
            <w:r w:rsidRPr="00355D46">
              <w:rPr>
                <w:b/>
                <w:bCs/>
                <w:sz w:val="18"/>
                <w:lang w:val="fr-FR"/>
              </w:rPr>
              <w:t>66 (22)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7EF1" w:rsidRPr="00355D46" w:rsidRDefault="004C7EF1" w:rsidP="00483444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  <w:lang w:val="fr-FR"/>
              </w:rPr>
            </w:pPr>
            <w:r w:rsidRPr="00355D46">
              <w:rPr>
                <w:b/>
                <w:bCs/>
                <w:sz w:val="18"/>
                <w:lang w:val="fr-FR"/>
              </w:rPr>
              <w:t>55 (19)</w:t>
            </w:r>
          </w:p>
        </w:tc>
      </w:tr>
    </w:tbl>
    <w:p w:rsidR="004C7EF1" w:rsidRPr="00355D46" w:rsidRDefault="004C7EF1" w:rsidP="002A27BD">
      <w:pPr>
        <w:pStyle w:val="SingleTxtG"/>
        <w:suppressAutoHyphens w:val="0"/>
        <w:spacing w:before="120" w:after="0"/>
        <w:ind w:firstLine="170"/>
        <w:jc w:val="left"/>
        <w:rPr>
          <w:sz w:val="18"/>
          <w:szCs w:val="18"/>
          <w:lang w:val="fr-FR"/>
        </w:rPr>
      </w:pPr>
      <w:r w:rsidRPr="00355D46">
        <w:rPr>
          <w:i/>
          <w:iCs/>
          <w:sz w:val="18"/>
          <w:szCs w:val="18"/>
          <w:vertAlign w:val="superscript"/>
          <w:lang w:val="fr-FR"/>
        </w:rPr>
        <w:t>a</w:t>
      </w:r>
      <w:r w:rsidRPr="00355D46">
        <w:rPr>
          <w:i/>
          <w:iCs/>
          <w:sz w:val="18"/>
          <w:szCs w:val="18"/>
          <w:lang w:val="fr-FR"/>
        </w:rPr>
        <w:t xml:space="preserve"> </w:t>
      </w:r>
      <w:r w:rsidR="002A27BD">
        <w:rPr>
          <w:i/>
          <w:iCs/>
          <w:sz w:val="18"/>
          <w:szCs w:val="18"/>
          <w:lang w:val="fr-FR"/>
        </w:rPr>
        <w:t xml:space="preserve"> </w:t>
      </w:r>
      <w:r w:rsidR="002A27BD">
        <w:rPr>
          <w:sz w:val="18"/>
          <w:szCs w:val="18"/>
          <w:lang w:val="fr-FR"/>
        </w:rPr>
        <w:t>Conformément au paragraphe </w:t>
      </w:r>
      <w:r>
        <w:rPr>
          <w:sz w:val="18"/>
          <w:szCs w:val="18"/>
          <w:lang w:val="fr-FR"/>
        </w:rPr>
        <w:t>2 de l</w:t>
      </w:r>
      <w:r w:rsidR="00D11830">
        <w:rPr>
          <w:sz w:val="18"/>
          <w:szCs w:val="18"/>
          <w:lang w:val="fr-FR"/>
        </w:rPr>
        <w:t>’</w:t>
      </w:r>
      <w:r w:rsidR="002A27BD">
        <w:rPr>
          <w:sz w:val="18"/>
          <w:szCs w:val="18"/>
          <w:lang w:val="fr-FR"/>
        </w:rPr>
        <w:t>article </w:t>
      </w:r>
      <w:r>
        <w:rPr>
          <w:sz w:val="18"/>
          <w:szCs w:val="18"/>
          <w:lang w:val="fr-FR"/>
        </w:rPr>
        <w:t xml:space="preserve">12 du </w:t>
      </w:r>
      <w:r w:rsidRPr="00355D46">
        <w:rPr>
          <w:sz w:val="18"/>
          <w:szCs w:val="18"/>
          <w:lang w:val="fr-FR"/>
        </w:rPr>
        <w:t>Protocole facultatif à la Convention relative aux droits de l</w:t>
      </w:r>
      <w:r w:rsidR="00D11830">
        <w:rPr>
          <w:sz w:val="18"/>
          <w:szCs w:val="18"/>
          <w:lang w:val="fr-FR"/>
        </w:rPr>
        <w:t>’</w:t>
      </w:r>
      <w:r w:rsidRPr="00355D46">
        <w:rPr>
          <w:sz w:val="18"/>
          <w:szCs w:val="18"/>
          <w:lang w:val="fr-FR"/>
        </w:rPr>
        <w:t>enfant, concernant la vente d</w:t>
      </w:r>
      <w:r w:rsidR="00D11830">
        <w:rPr>
          <w:sz w:val="18"/>
          <w:szCs w:val="18"/>
          <w:lang w:val="fr-FR"/>
        </w:rPr>
        <w:t>’</w:t>
      </w:r>
      <w:r w:rsidRPr="00355D46">
        <w:rPr>
          <w:sz w:val="18"/>
          <w:szCs w:val="18"/>
          <w:lang w:val="fr-FR"/>
        </w:rPr>
        <w:t>enfants, la prostitution des enfants et la pornographie mettant en scène des enfants</w:t>
      </w:r>
      <w:r w:rsidR="002A27BD">
        <w:rPr>
          <w:sz w:val="18"/>
          <w:szCs w:val="18"/>
          <w:lang w:val="fr-FR"/>
        </w:rPr>
        <w:t xml:space="preserve"> et au paragraphe </w:t>
      </w:r>
      <w:r>
        <w:rPr>
          <w:sz w:val="18"/>
          <w:szCs w:val="18"/>
          <w:lang w:val="fr-FR"/>
        </w:rPr>
        <w:t>2 de l</w:t>
      </w:r>
      <w:r w:rsidR="00D11830">
        <w:rPr>
          <w:sz w:val="18"/>
          <w:szCs w:val="18"/>
          <w:lang w:val="fr-FR"/>
        </w:rPr>
        <w:t>’</w:t>
      </w:r>
      <w:r w:rsidR="002A27BD">
        <w:rPr>
          <w:sz w:val="18"/>
          <w:szCs w:val="18"/>
          <w:lang w:val="fr-FR"/>
        </w:rPr>
        <w:t>article </w:t>
      </w:r>
      <w:r>
        <w:rPr>
          <w:sz w:val="18"/>
          <w:szCs w:val="18"/>
          <w:lang w:val="fr-FR"/>
        </w:rPr>
        <w:t xml:space="preserve">8 du </w:t>
      </w:r>
      <w:r w:rsidRPr="00355D46">
        <w:rPr>
          <w:sz w:val="18"/>
          <w:szCs w:val="18"/>
          <w:lang w:val="fr-FR"/>
        </w:rPr>
        <w:t>Protocole facultatif à la Convention relative aux droits de l</w:t>
      </w:r>
      <w:r w:rsidR="00D11830">
        <w:rPr>
          <w:sz w:val="18"/>
          <w:szCs w:val="18"/>
          <w:lang w:val="fr-FR"/>
        </w:rPr>
        <w:t>’</w:t>
      </w:r>
      <w:r w:rsidRPr="00355D46">
        <w:rPr>
          <w:sz w:val="18"/>
          <w:szCs w:val="18"/>
          <w:lang w:val="fr-FR"/>
        </w:rPr>
        <w:t>enfant, concernant l</w:t>
      </w:r>
      <w:r w:rsidR="00D11830">
        <w:rPr>
          <w:sz w:val="18"/>
          <w:szCs w:val="18"/>
          <w:lang w:val="fr-FR"/>
        </w:rPr>
        <w:t>’</w:t>
      </w:r>
      <w:r w:rsidRPr="00355D46">
        <w:rPr>
          <w:sz w:val="18"/>
          <w:szCs w:val="18"/>
          <w:lang w:val="fr-FR"/>
        </w:rPr>
        <w:t>implication d</w:t>
      </w:r>
      <w:r w:rsidR="00D11830">
        <w:rPr>
          <w:sz w:val="18"/>
          <w:szCs w:val="18"/>
          <w:lang w:val="fr-FR"/>
        </w:rPr>
        <w:t>’</w:t>
      </w:r>
      <w:r w:rsidRPr="00355D46">
        <w:rPr>
          <w:sz w:val="18"/>
          <w:szCs w:val="18"/>
          <w:lang w:val="fr-FR"/>
        </w:rPr>
        <w:t xml:space="preserve">enfants dans les conflits armés, </w:t>
      </w:r>
      <w:r w:rsidRPr="006C03D1">
        <w:rPr>
          <w:sz w:val="18"/>
          <w:szCs w:val="18"/>
          <w:lang w:val="fr-FR"/>
        </w:rPr>
        <w:t>après la présentation de son rapport détaillé, chaque État Partie inclut dans les rapports qu</w:t>
      </w:r>
      <w:r w:rsidR="00D11830">
        <w:rPr>
          <w:sz w:val="18"/>
          <w:szCs w:val="18"/>
          <w:lang w:val="fr-FR"/>
        </w:rPr>
        <w:t>’</w:t>
      </w:r>
      <w:r w:rsidRPr="006C03D1">
        <w:rPr>
          <w:sz w:val="18"/>
          <w:szCs w:val="18"/>
          <w:lang w:val="fr-FR"/>
        </w:rPr>
        <w:t>il présente au Comité des droits de l</w:t>
      </w:r>
      <w:r w:rsidR="00D11830">
        <w:rPr>
          <w:sz w:val="18"/>
          <w:szCs w:val="18"/>
          <w:lang w:val="fr-FR"/>
        </w:rPr>
        <w:t>’</w:t>
      </w:r>
      <w:r w:rsidRPr="006C03D1">
        <w:rPr>
          <w:sz w:val="18"/>
          <w:szCs w:val="18"/>
          <w:lang w:val="fr-FR"/>
        </w:rPr>
        <w:t>enfant, en application de l</w:t>
      </w:r>
      <w:r w:rsidR="00D11830">
        <w:rPr>
          <w:sz w:val="18"/>
          <w:szCs w:val="18"/>
          <w:lang w:val="fr-FR"/>
        </w:rPr>
        <w:t>’</w:t>
      </w:r>
      <w:r w:rsidR="002A27BD">
        <w:rPr>
          <w:sz w:val="18"/>
          <w:szCs w:val="18"/>
          <w:lang w:val="fr-FR"/>
        </w:rPr>
        <w:t>article </w:t>
      </w:r>
      <w:r w:rsidRPr="006C03D1">
        <w:rPr>
          <w:sz w:val="18"/>
          <w:szCs w:val="18"/>
          <w:lang w:val="fr-FR"/>
        </w:rPr>
        <w:t>44 de la Convention, tout complément d</w:t>
      </w:r>
      <w:r w:rsidR="00D11830">
        <w:rPr>
          <w:sz w:val="18"/>
          <w:szCs w:val="18"/>
          <w:lang w:val="fr-FR"/>
        </w:rPr>
        <w:t>’</w:t>
      </w:r>
      <w:r w:rsidRPr="006C03D1">
        <w:rPr>
          <w:sz w:val="18"/>
          <w:szCs w:val="18"/>
          <w:lang w:val="fr-FR"/>
        </w:rPr>
        <w:t>information concernant l</w:t>
      </w:r>
      <w:r w:rsidR="00D11830">
        <w:rPr>
          <w:sz w:val="18"/>
          <w:szCs w:val="18"/>
          <w:lang w:val="fr-FR"/>
        </w:rPr>
        <w:t>’</w:t>
      </w:r>
      <w:r w:rsidRPr="006C03D1">
        <w:rPr>
          <w:sz w:val="18"/>
          <w:szCs w:val="18"/>
          <w:lang w:val="fr-FR"/>
        </w:rPr>
        <w:t>application du Protocole concerné</w:t>
      </w:r>
      <w:r w:rsidRPr="00355D46">
        <w:rPr>
          <w:sz w:val="18"/>
          <w:szCs w:val="18"/>
          <w:lang w:val="fr-FR"/>
        </w:rPr>
        <w:t>.</w:t>
      </w:r>
    </w:p>
    <w:p w:rsidR="004C7EF1" w:rsidRPr="00355D46" w:rsidRDefault="004C7EF1" w:rsidP="002A27BD">
      <w:pPr>
        <w:pStyle w:val="SingleTxtG"/>
        <w:suppressAutoHyphens w:val="0"/>
        <w:spacing w:after="0"/>
        <w:ind w:firstLine="170"/>
        <w:jc w:val="left"/>
        <w:rPr>
          <w:sz w:val="18"/>
          <w:szCs w:val="18"/>
          <w:lang w:val="fr-FR"/>
        </w:rPr>
      </w:pPr>
      <w:r w:rsidRPr="00355D46">
        <w:rPr>
          <w:i/>
          <w:iCs/>
          <w:sz w:val="18"/>
          <w:szCs w:val="18"/>
          <w:vertAlign w:val="superscript"/>
          <w:lang w:val="fr-FR"/>
        </w:rPr>
        <w:t xml:space="preserve">b </w:t>
      </w:r>
      <w:r w:rsidR="002A27BD">
        <w:rPr>
          <w:i/>
          <w:iCs/>
          <w:sz w:val="18"/>
          <w:szCs w:val="18"/>
          <w:vertAlign w:val="superscript"/>
          <w:lang w:val="fr-FR"/>
        </w:rPr>
        <w:t xml:space="preserve"> </w:t>
      </w:r>
      <w:r>
        <w:rPr>
          <w:sz w:val="18"/>
          <w:szCs w:val="18"/>
          <w:lang w:val="fr-FR"/>
        </w:rPr>
        <w:t>Bien que les États parties à la Convention internationale pour la protection de toutes les personnes contre les disparitions forcées</w:t>
      </w:r>
      <w:r w:rsidRPr="00355D46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ne soient pas tenus de soumettre de rapports périodiques, conformément</w:t>
      </w:r>
      <w:r w:rsidR="002A27BD">
        <w:rPr>
          <w:sz w:val="18"/>
          <w:szCs w:val="18"/>
          <w:lang w:val="fr-FR"/>
        </w:rPr>
        <w:t xml:space="preserve"> au paragraphe </w:t>
      </w:r>
      <w:r>
        <w:rPr>
          <w:sz w:val="18"/>
          <w:szCs w:val="18"/>
          <w:lang w:val="fr-FR"/>
        </w:rPr>
        <w:t>4 de l</w:t>
      </w:r>
      <w:r w:rsidR="00D11830">
        <w:rPr>
          <w:sz w:val="18"/>
          <w:szCs w:val="18"/>
          <w:lang w:val="fr-FR"/>
        </w:rPr>
        <w:t>’</w:t>
      </w:r>
      <w:r w:rsidR="002A27BD">
        <w:rPr>
          <w:sz w:val="18"/>
          <w:szCs w:val="18"/>
          <w:lang w:val="fr-FR"/>
        </w:rPr>
        <w:t>article </w:t>
      </w:r>
      <w:r w:rsidRPr="00355D46">
        <w:rPr>
          <w:sz w:val="18"/>
          <w:szCs w:val="18"/>
          <w:lang w:val="fr-FR"/>
        </w:rPr>
        <w:t>29</w:t>
      </w:r>
      <w:r>
        <w:rPr>
          <w:sz w:val="18"/>
          <w:szCs w:val="18"/>
          <w:lang w:val="fr-FR"/>
        </w:rPr>
        <w:t xml:space="preserve"> d</w:t>
      </w:r>
      <w:r w:rsidRPr="00355D46">
        <w:rPr>
          <w:sz w:val="18"/>
          <w:szCs w:val="18"/>
          <w:lang w:val="fr-FR"/>
        </w:rPr>
        <w:t>e</w:t>
      </w:r>
      <w:r>
        <w:rPr>
          <w:sz w:val="18"/>
          <w:szCs w:val="18"/>
          <w:lang w:val="fr-FR"/>
        </w:rPr>
        <w:t xml:space="preserve"> la</w:t>
      </w:r>
      <w:r w:rsidRPr="00355D46">
        <w:rPr>
          <w:sz w:val="18"/>
          <w:szCs w:val="18"/>
          <w:lang w:val="fr-FR"/>
        </w:rPr>
        <w:t xml:space="preserve"> Convention</w:t>
      </w:r>
      <w:r>
        <w:rPr>
          <w:sz w:val="18"/>
          <w:szCs w:val="18"/>
          <w:lang w:val="fr-FR"/>
        </w:rPr>
        <w:t>, le Comité des disparitions forcées peut demander aux États parties de lui communiquer des renseignements supplémentaires concernant la mise en œuvre de la C</w:t>
      </w:r>
      <w:r w:rsidRPr="00355D46">
        <w:rPr>
          <w:sz w:val="18"/>
          <w:szCs w:val="18"/>
          <w:lang w:val="fr-FR"/>
        </w:rPr>
        <w:t>onvention.</w:t>
      </w:r>
    </w:p>
    <w:p w:rsidR="00446FE5" w:rsidRPr="002A27BD" w:rsidRDefault="002A27BD" w:rsidP="002A27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46FE5" w:rsidRPr="002A27BD" w:rsidSect="00BB54B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84" w:rsidRDefault="00783784" w:rsidP="00F95C08">
      <w:pPr>
        <w:spacing w:line="240" w:lineRule="auto"/>
      </w:pPr>
    </w:p>
  </w:endnote>
  <w:endnote w:type="continuationSeparator" w:id="0">
    <w:p w:rsidR="00783784" w:rsidRPr="00AC3823" w:rsidRDefault="00783784" w:rsidP="00AC3823">
      <w:pPr>
        <w:pStyle w:val="Pieddepage"/>
      </w:pPr>
    </w:p>
  </w:endnote>
  <w:endnote w:type="continuationNotice" w:id="1">
    <w:p w:rsidR="00783784" w:rsidRDefault="007837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84" w:rsidRPr="00BB54B5" w:rsidRDefault="00783784" w:rsidP="00BB54B5">
    <w:pPr>
      <w:pStyle w:val="Pieddepage"/>
      <w:tabs>
        <w:tab w:val="right" w:pos="9638"/>
      </w:tabs>
    </w:pPr>
    <w:r w:rsidRPr="00BB54B5">
      <w:rPr>
        <w:b/>
        <w:sz w:val="18"/>
      </w:rPr>
      <w:fldChar w:fldCharType="begin"/>
    </w:r>
    <w:r w:rsidRPr="00BB54B5">
      <w:rPr>
        <w:b/>
        <w:sz w:val="18"/>
      </w:rPr>
      <w:instrText xml:space="preserve"> PAGE  \* MERGEFORMAT </w:instrText>
    </w:r>
    <w:r w:rsidRPr="00BB54B5">
      <w:rPr>
        <w:b/>
        <w:sz w:val="18"/>
      </w:rPr>
      <w:fldChar w:fldCharType="separate"/>
    </w:r>
    <w:r w:rsidR="008E7B58">
      <w:rPr>
        <w:b/>
        <w:noProof/>
        <w:sz w:val="18"/>
      </w:rPr>
      <w:t>12</w:t>
    </w:r>
    <w:r w:rsidRPr="00BB54B5">
      <w:rPr>
        <w:b/>
        <w:sz w:val="18"/>
      </w:rPr>
      <w:fldChar w:fldCharType="end"/>
    </w:r>
    <w:r>
      <w:rPr>
        <w:b/>
        <w:sz w:val="18"/>
      </w:rPr>
      <w:tab/>
    </w:r>
    <w:r>
      <w:t>GE.15-07559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84" w:rsidRPr="00BB54B5" w:rsidRDefault="00783784" w:rsidP="00BB54B5">
    <w:pPr>
      <w:pStyle w:val="Pieddepage"/>
      <w:tabs>
        <w:tab w:val="right" w:pos="9638"/>
      </w:tabs>
      <w:rPr>
        <w:b/>
        <w:sz w:val="18"/>
      </w:rPr>
    </w:pPr>
    <w:r>
      <w:t>GE.15-07559</w:t>
    </w:r>
    <w:r>
      <w:tab/>
    </w:r>
    <w:r w:rsidRPr="00BB54B5">
      <w:rPr>
        <w:b/>
        <w:sz w:val="18"/>
      </w:rPr>
      <w:fldChar w:fldCharType="begin"/>
    </w:r>
    <w:r w:rsidRPr="00BB54B5">
      <w:rPr>
        <w:b/>
        <w:sz w:val="18"/>
      </w:rPr>
      <w:instrText xml:space="preserve"> PAGE  \* MERGEFORMAT </w:instrText>
    </w:r>
    <w:r w:rsidRPr="00BB54B5">
      <w:rPr>
        <w:b/>
        <w:sz w:val="18"/>
      </w:rPr>
      <w:fldChar w:fldCharType="separate"/>
    </w:r>
    <w:r w:rsidR="008E7B58">
      <w:rPr>
        <w:b/>
        <w:noProof/>
        <w:sz w:val="18"/>
      </w:rPr>
      <w:t>13</w:t>
    </w:r>
    <w:r w:rsidRPr="00BB54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84" w:rsidRPr="00BB54B5" w:rsidRDefault="00783784" w:rsidP="00BB54B5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927EF33" wp14:editId="4C105A6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15-07559  (F)    200415    210415</w:t>
    </w:r>
    <w:r>
      <w:rPr>
        <w:sz w:val="20"/>
      </w:rPr>
      <w:br/>
    </w:r>
    <w:r w:rsidRPr="00BB54B5">
      <w:rPr>
        <w:rFonts w:ascii="C39T30Lfz" w:hAnsi="C39T30Lfz"/>
        <w:sz w:val="56"/>
      </w:rPr>
      <w:t></w:t>
    </w:r>
    <w:r w:rsidRPr="00BB54B5">
      <w:rPr>
        <w:rFonts w:ascii="C39T30Lfz" w:hAnsi="C39T30Lfz"/>
        <w:sz w:val="56"/>
      </w:rPr>
      <w:t></w:t>
    </w:r>
    <w:r w:rsidRPr="00BB54B5">
      <w:rPr>
        <w:rFonts w:ascii="C39T30Lfz" w:hAnsi="C39T30Lfz"/>
        <w:sz w:val="56"/>
      </w:rPr>
      <w:t></w:t>
    </w:r>
    <w:r w:rsidRPr="00BB54B5">
      <w:rPr>
        <w:rFonts w:ascii="C39T30Lfz" w:hAnsi="C39T30Lfz"/>
        <w:sz w:val="56"/>
      </w:rPr>
      <w:t></w:t>
    </w:r>
    <w:r w:rsidRPr="00BB54B5">
      <w:rPr>
        <w:rFonts w:ascii="C39T30Lfz" w:hAnsi="C39T30Lfz"/>
        <w:sz w:val="56"/>
      </w:rPr>
      <w:t></w:t>
    </w:r>
    <w:r w:rsidRPr="00BB54B5">
      <w:rPr>
        <w:rFonts w:ascii="C39T30Lfz" w:hAnsi="C39T30Lfz"/>
        <w:sz w:val="56"/>
      </w:rPr>
      <w:t></w:t>
    </w:r>
    <w:r w:rsidRPr="00BB54B5">
      <w:rPr>
        <w:rFonts w:ascii="C39T30Lfz" w:hAnsi="C39T30Lfz"/>
        <w:sz w:val="56"/>
      </w:rPr>
      <w:t></w:t>
    </w:r>
    <w:r w:rsidRPr="00BB54B5">
      <w:rPr>
        <w:rFonts w:ascii="C39T30Lfz" w:hAnsi="C39T30Lfz"/>
        <w:sz w:val="56"/>
      </w:rPr>
      <w:t></w:t>
    </w:r>
    <w:r w:rsidRPr="00BB54B5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HRI/MC/2015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HRI/MC/2015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84" w:rsidRPr="00AC3823" w:rsidRDefault="0078378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3784" w:rsidRPr="00AC3823" w:rsidRDefault="0078378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83784" w:rsidRPr="00AC3823" w:rsidRDefault="0078378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84" w:rsidRPr="00BB54B5" w:rsidRDefault="00783784">
    <w:pPr>
      <w:pStyle w:val="En-tte"/>
    </w:pPr>
    <w:r>
      <w:t>HRI/MC/2015/5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84" w:rsidRPr="00BB54B5" w:rsidRDefault="00783784" w:rsidP="00BB54B5">
    <w:pPr>
      <w:pStyle w:val="En-tte"/>
      <w:jc w:val="right"/>
    </w:pPr>
    <w:r>
      <w:t>HRI/MC/2015/5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E63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544184"/>
    <w:multiLevelType w:val="hybridMultilevel"/>
    <w:tmpl w:val="D2E080A2"/>
    <w:lvl w:ilvl="0" w:tplc="9FB2006E">
      <w:start w:val="1"/>
      <w:numFmt w:val="decimal"/>
      <w:lvlText w:val="%1."/>
      <w:lvlJc w:val="left"/>
      <w:pPr>
        <w:ind w:left="1832" w:hanging="55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691635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CBD50F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B"/>
    <w:rsid w:val="00014F3F"/>
    <w:rsid w:val="00017F94"/>
    <w:rsid w:val="00023842"/>
    <w:rsid w:val="000334F9"/>
    <w:rsid w:val="00051387"/>
    <w:rsid w:val="00072CD8"/>
    <w:rsid w:val="0007796D"/>
    <w:rsid w:val="000830A6"/>
    <w:rsid w:val="000A0F9D"/>
    <w:rsid w:val="000B7790"/>
    <w:rsid w:val="000D53E3"/>
    <w:rsid w:val="0010220B"/>
    <w:rsid w:val="00104117"/>
    <w:rsid w:val="001052FB"/>
    <w:rsid w:val="00111F2F"/>
    <w:rsid w:val="001253AD"/>
    <w:rsid w:val="0014365E"/>
    <w:rsid w:val="001539B2"/>
    <w:rsid w:val="0017066B"/>
    <w:rsid w:val="001724F1"/>
    <w:rsid w:val="00176178"/>
    <w:rsid w:val="00196C0B"/>
    <w:rsid w:val="001A6F36"/>
    <w:rsid w:val="001E39CC"/>
    <w:rsid w:val="001F0595"/>
    <w:rsid w:val="001F3F91"/>
    <w:rsid w:val="001F525A"/>
    <w:rsid w:val="00222999"/>
    <w:rsid w:val="00222B86"/>
    <w:rsid w:val="00223272"/>
    <w:rsid w:val="00242BD0"/>
    <w:rsid w:val="0024779E"/>
    <w:rsid w:val="002536AC"/>
    <w:rsid w:val="00263B45"/>
    <w:rsid w:val="00273228"/>
    <w:rsid w:val="00281A10"/>
    <w:rsid w:val="002832AC"/>
    <w:rsid w:val="002873F3"/>
    <w:rsid w:val="0029102C"/>
    <w:rsid w:val="00293B7B"/>
    <w:rsid w:val="002A27BD"/>
    <w:rsid w:val="002B4771"/>
    <w:rsid w:val="002B6213"/>
    <w:rsid w:val="002B760A"/>
    <w:rsid w:val="002D7C93"/>
    <w:rsid w:val="0031057E"/>
    <w:rsid w:val="00397146"/>
    <w:rsid w:val="00413FAB"/>
    <w:rsid w:val="00441C3B"/>
    <w:rsid w:val="00446FE5"/>
    <w:rsid w:val="00452396"/>
    <w:rsid w:val="00467867"/>
    <w:rsid w:val="0047664D"/>
    <w:rsid w:val="00483444"/>
    <w:rsid w:val="004841D1"/>
    <w:rsid w:val="00493198"/>
    <w:rsid w:val="004B362F"/>
    <w:rsid w:val="004C7EF1"/>
    <w:rsid w:val="004E468C"/>
    <w:rsid w:val="004F4B5E"/>
    <w:rsid w:val="005054C8"/>
    <w:rsid w:val="005118A6"/>
    <w:rsid w:val="005303F9"/>
    <w:rsid w:val="00534233"/>
    <w:rsid w:val="00540A15"/>
    <w:rsid w:val="005505B7"/>
    <w:rsid w:val="00573BE5"/>
    <w:rsid w:val="00584FE1"/>
    <w:rsid w:val="00586ED3"/>
    <w:rsid w:val="005933FF"/>
    <w:rsid w:val="00596AA9"/>
    <w:rsid w:val="005C20D9"/>
    <w:rsid w:val="005F68A1"/>
    <w:rsid w:val="0065777C"/>
    <w:rsid w:val="0069737A"/>
    <w:rsid w:val="006D3BFA"/>
    <w:rsid w:val="00713B77"/>
    <w:rsid w:val="0071601D"/>
    <w:rsid w:val="00767E19"/>
    <w:rsid w:val="00783784"/>
    <w:rsid w:val="007A54E8"/>
    <w:rsid w:val="007A62E6"/>
    <w:rsid w:val="007F1E76"/>
    <w:rsid w:val="00803607"/>
    <w:rsid w:val="00804A59"/>
    <w:rsid w:val="0080684C"/>
    <w:rsid w:val="00815D0B"/>
    <w:rsid w:val="00836887"/>
    <w:rsid w:val="00851C69"/>
    <w:rsid w:val="00871C75"/>
    <w:rsid w:val="00875E36"/>
    <w:rsid w:val="008776DC"/>
    <w:rsid w:val="00891CC7"/>
    <w:rsid w:val="00894E0A"/>
    <w:rsid w:val="008A372E"/>
    <w:rsid w:val="008A4E1E"/>
    <w:rsid w:val="008D0281"/>
    <w:rsid w:val="008E2AC0"/>
    <w:rsid w:val="008E7B58"/>
    <w:rsid w:val="00914CBB"/>
    <w:rsid w:val="009272D6"/>
    <w:rsid w:val="009705C8"/>
    <w:rsid w:val="009761AD"/>
    <w:rsid w:val="0098082B"/>
    <w:rsid w:val="009A3243"/>
    <w:rsid w:val="009B5AF1"/>
    <w:rsid w:val="009C1CF4"/>
    <w:rsid w:val="009C3792"/>
    <w:rsid w:val="009C7322"/>
    <w:rsid w:val="00A01A4C"/>
    <w:rsid w:val="00A258BC"/>
    <w:rsid w:val="00A30353"/>
    <w:rsid w:val="00A45462"/>
    <w:rsid w:val="00A6521A"/>
    <w:rsid w:val="00A765D2"/>
    <w:rsid w:val="00A9367A"/>
    <w:rsid w:val="00AB1FED"/>
    <w:rsid w:val="00AC3823"/>
    <w:rsid w:val="00AE323C"/>
    <w:rsid w:val="00B00181"/>
    <w:rsid w:val="00B00B0D"/>
    <w:rsid w:val="00B13C63"/>
    <w:rsid w:val="00B47A3A"/>
    <w:rsid w:val="00B51AA8"/>
    <w:rsid w:val="00B765F7"/>
    <w:rsid w:val="00B851C4"/>
    <w:rsid w:val="00B85BC9"/>
    <w:rsid w:val="00B9154A"/>
    <w:rsid w:val="00BA0CA9"/>
    <w:rsid w:val="00BA505B"/>
    <w:rsid w:val="00BB54B5"/>
    <w:rsid w:val="00C02897"/>
    <w:rsid w:val="00C128F6"/>
    <w:rsid w:val="00C301B7"/>
    <w:rsid w:val="00C41B9D"/>
    <w:rsid w:val="00C45BE6"/>
    <w:rsid w:val="00C6291C"/>
    <w:rsid w:val="00C74DB6"/>
    <w:rsid w:val="00C768C8"/>
    <w:rsid w:val="00C942DD"/>
    <w:rsid w:val="00CC1B7F"/>
    <w:rsid w:val="00CC31BA"/>
    <w:rsid w:val="00CC5F5A"/>
    <w:rsid w:val="00CE5996"/>
    <w:rsid w:val="00D04A06"/>
    <w:rsid w:val="00D11830"/>
    <w:rsid w:val="00D211E9"/>
    <w:rsid w:val="00D3439C"/>
    <w:rsid w:val="00D56A93"/>
    <w:rsid w:val="00D7700E"/>
    <w:rsid w:val="00D93B35"/>
    <w:rsid w:val="00DA3F3F"/>
    <w:rsid w:val="00DB1831"/>
    <w:rsid w:val="00DC6E6C"/>
    <w:rsid w:val="00DD3BFD"/>
    <w:rsid w:val="00DF6678"/>
    <w:rsid w:val="00E04006"/>
    <w:rsid w:val="00E446A4"/>
    <w:rsid w:val="00E65DB7"/>
    <w:rsid w:val="00E77DC2"/>
    <w:rsid w:val="00EA50A8"/>
    <w:rsid w:val="00EC7856"/>
    <w:rsid w:val="00EF2E22"/>
    <w:rsid w:val="00F5379E"/>
    <w:rsid w:val="00F660DF"/>
    <w:rsid w:val="00F66BCB"/>
    <w:rsid w:val="00F829D2"/>
    <w:rsid w:val="00F95C08"/>
    <w:rsid w:val="00FA3E57"/>
    <w:rsid w:val="00FA4147"/>
    <w:rsid w:val="00FB589F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4C7EF1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4C7EF1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3423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3423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92"/>
    <w:rPr>
      <w:rFonts w:ascii="Tahoma" w:hAnsi="Tahoma" w:cs="Tahoma"/>
      <w:sz w:val="16"/>
      <w:szCs w:val="16"/>
      <w:lang w:eastAsia="en-US"/>
    </w:rPr>
  </w:style>
  <w:style w:type="paragraph" w:customStyle="1" w:styleId="H23">
    <w:name w:val="_ H_2/3"/>
    <w:basedOn w:val="Normal"/>
    <w:next w:val="SingleTxt"/>
    <w:rsid w:val="004C7EF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kinsoku/>
      <w:overflowPunct/>
      <w:autoSpaceDE/>
      <w:autoSpaceDN/>
      <w:adjustRightInd/>
      <w:snapToGrid/>
      <w:spacing w:line="240" w:lineRule="exact"/>
      <w:ind w:left="1267" w:right="1267" w:hanging="1267"/>
      <w:outlineLvl w:val="1"/>
    </w:pPr>
    <w:rPr>
      <w:b/>
      <w:spacing w:val="2"/>
      <w:w w:val="103"/>
      <w:kern w:val="14"/>
      <w:lang w:val="en-GB"/>
    </w:rPr>
  </w:style>
  <w:style w:type="paragraph" w:customStyle="1" w:styleId="SingleTxt">
    <w:name w:val="__Single Txt"/>
    <w:basedOn w:val="Normal"/>
    <w:rsid w:val="004C7EF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765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65D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765D2"/>
    <w:rPr>
      <w:rFonts w:ascii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65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65D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A765D2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rsid w:val="004C7EF1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4C7EF1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3423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3423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792"/>
    <w:rPr>
      <w:rFonts w:ascii="Tahoma" w:hAnsi="Tahoma" w:cs="Tahoma"/>
      <w:sz w:val="16"/>
      <w:szCs w:val="16"/>
      <w:lang w:eastAsia="en-US"/>
    </w:rPr>
  </w:style>
  <w:style w:type="paragraph" w:customStyle="1" w:styleId="H23">
    <w:name w:val="_ H_2/3"/>
    <w:basedOn w:val="Normal"/>
    <w:next w:val="SingleTxt"/>
    <w:rsid w:val="004C7EF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kinsoku/>
      <w:overflowPunct/>
      <w:autoSpaceDE/>
      <w:autoSpaceDN/>
      <w:adjustRightInd/>
      <w:snapToGrid/>
      <w:spacing w:line="240" w:lineRule="exact"/>
      <w:ind w:left="1267" w:right="1267" w:hanging="1267"/>
      <w:outlineLvl w:val="1"/>
    </w:pPr>
    <w:rPr>
      <w:b/>
      <w:spacing w:val="2"/>
      <w:w w:val="103"/>
      <w:kern w:val="14"/>
      <w:lang w:val="en-GB"/>
    </w:rPr>
  </w:style>
  <w:style w:type="paragraph" w:customStyle="1" w:styleId="SingleTxt">
    <w:name w:val="__Single Txt"/>
    <w:basedOn w:val="Normal"/>
    <w:rsid w:val="004C7EF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A765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65D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765D2"/>
    <w:rPr>
      <w:rFonts w:ascii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65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65D2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A765D2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\\CONF-TPS\FRA\DATA\COMMON\F15F0\www.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NF-TPS\FRA\DATA\COMMON\F15F0\www.ohchr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HR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1</TotalTime>
  <Pages>13</Pages>
  <Words>4464</Words>
  <Characters>25503</Characters>
  <Application>Microsoft Office Word</Application>
  <DocSecurity>0</DocSecurity>
  <Lines>866</Lines>
  <Paragraphs>428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HRI/MC/2015/5</vt:lpstr>
    </vt:vector>
  </TitlesOfParts>
  <Company>DCM</Company>
  <LinksUpToDate>false</LinksUpToDate>
  <CharactersWithSpaces>29592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HRI/MC/2015/5</dc:title>
  <dc:subject/>
  <dc:creator>Bourion</dc:creator>
  <cp:keywords/>
  <dc:description/>
  <cp:lastModifiedBy>Bourion</cp:lastModifiedBy>
  <cp:revision>3</cp:revision>
  <cp:lastPrinted>2015-04-21T12:24:00Z</cp:lastPrinted>
  <dcterms:created xsi:type="dcterms:W3CDTF">2015-04-21T12:24:00Z</dcterms:created>
  <dcterms:modified xsi:type="dcterms:W3CDTF">2015-04-21T12:25:00Z</dcterms:modified>
</cp:coreProperties>
</file>