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46496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HRI/MC/2007/5/Add.1</w:t>
            </w:r>
            <w:r>
              <w:br/>
              <w:t>11 juin 2007</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after="240"/>
      </w:pPr>
      <w:proofErr w:type="spellStart"/>
      <w:r>
        <w:t>Dix</w:t>
      </w:r>
      <w:r>
        <w:noBreakHyphen/>
        <w:t>neuvième</w:t>
      </w:r>
      <w:proofErr w:type="spellEnd"/>
      <w:r>
        <w:t xml:space="preserve"> réunion des présidents des organes</w:t>
      </w:r>
      <w:r>
        <w:br/>
        <w:t>créés en vertu d’instruments internationaux relatifs</w:t>
      </w:r>
      <w:r>
        <w:br/>
        <w:t>aux droits de l’homme</w:t>
      </w:r>
      <w:r>
        <w:br/>
        <w:t>Genève, 21 et 22 juin 2007</w:t>
      </w:r>
    </w:p>
    <w:p w:rsidR="00000000" w:rsidRDefault="00000000">
      <w:pPr>
        <w:spacing w:after="480"/>
      </w:pPr>
      <w:r>
        <w:t xml:space="preserve">Sixième réunion </w:t>
      </w:r>
      <w:proofErr w:type="spellStart"/>
      <w:r>
        <w:t>intercomités</w:t>
      </w:r>
      <w:proofErr w:type="spellEnd"/>
      <w:r>
        <w:t xml:space="preserve"> des organes</w:t>
      </w:r>
      <w:r>
        <w:br/>
        <w:t>créés en vertu d’instruments internationaux relatifs</w:t>
      </w:r>
      <w:r>
        <w:br/>
        <w:t>aux droits de l’homme</w:t>
      </w:r>
      <w:r>
        <w:br/>
        <w:t>Genève, 18</w:t>
      </w:r>
      <w:r>
        <w:noBreakHyphen/>
        <w:t>20 juin 2007</w:t>
      </w:r>
    </w:p>
    <w:p w:rsidR="00000000" w:rsidRDefault="00000000">
      <w:pPr>
        <w:spacing w:after="240"/>
        <w:jc w:val="center"/>
        <w:rPr>
          <w:b/>
          <w:bCs/>
        </w:rPr>
      </w:pPr>
      <w:r>
        <w:rPr>
          <w:b/>
          <w:bCs/>
        </w:rPr>
        <w:t>RAPPORT SUR LES RÉSERVES</w:t>
      </w:r>
    </w:p>
    <w:p w:rsidR="00000000" w:rsidRDefault="00000000">
      <w:pPr>
        <w:tabs>
          <w:tab w:val="left" w:pos="0"/>
        </w:tabs>
        <w:spacing w:after="240"/>
        <w:ind w:right="228" w:hanging="1"/>
      </w:pPr>
      <w:r>
        <w:t>1.</w:t>
      </w:r>
      <w:r>
        <w:tab/>
        <w:t xml:space="preserve">En application du paragraphe 16 de la résolution 61/34 de l’Assemblée générale du 4 décembre 2006, la Commission du droit international a tenu, au cours de sa </w:t>
      </w:r>
      <w:proofErr w:type="spellStart"/>
      <w:r>
        <w:t>cinquante</w:t>
      </w:r>
      <w:r>
        <w:noBreakHyphen/>
        <w:t>neuvième</w:t>
      </w:r>
      <w:proofErr w:type="spellEnd"/>
      <w:r>
        <w:t xml:space="preserve"> session, une réunion avec des experts des droits de l’homme de l’Organisation des </w:t>
      </w:r>
      <w:r>
        <w:rPr>
          <w:rFonts w:eastAsia="MS Mincho"/>
        </w:rPr>
        <w:t>Nations Unies</w:t>
      </w:r>
      <w:r>
        <w:t xml:space="preserve">, y compris des représentants des organes de suivi des traités relatifs aux droits de l’homme, afin de débattre des questions relatives aux réserves aux traités relatifs aux droits de l’homme. Cette réunion a eu lieu à Genève les 15 et 16 mai 2007. La liste des membres des organes créés en vertu d’instruments internationaux relatifs aux droits de l’homme qui y ont assisté figure dans l’annexe 1. Les échanges de vues ont principalement porté sur les conclusions préliminaires adoptées en 1997 par la Commission du droit international concernant les réserves aux traités multilatéraux normatifs, </w:t>
      </w:r>
      <w:r>
        <w:rPr>
          <w:rFonts w:eastAsia="MS Mincho"/>
        </w:rPr>
        <w:t>y compris</w:t>
      </w:r>
      <w:r>
        <w:t xml:space="preserve"> les traités relatifs aux droits de l’homme, et sur d’autres questions touchant aux réserves aux traités relatifs aux droits de l’homme, comme par exemple, l’effet éventuel de réserves incompatibles avec l’objet et le but du traité et les conséquences des conclusions des organes créés en vertu d’instruments internationaux relatifs aux droits de l’homme.</w:t>
      </w:r>
    </w:p>
    <w:p w:rsidR="00000000" w:rsidRDefault="00000000">
      <w:pPr>
        <w:spacing w:after="240"/>
        <w:jc w:val="center"/>
        <w:rPr>
          <w:b/>
          <w:bCs/>
          <w:smallCaps/>
          <w:lang w:val="en-US"/>
        </w:rPr>
      </w:pPr>
      <w:r>
        <w:br w:type="page"/>
      </w:r>
      <w:r>
        <w:rPr>
          <w:b/>
          <w:bCs/>
          <w:smallCaps/>
          <w:lang w:val="en-US"/>
        </w:rPr>
        <w:t>A</w:t>
      </w:r>
      <w:r>
        <w:rPr>
          <w:b/>
          <w:bCs/>
          <w:lang w:val="en-US"/>
        </w:rPr>
        <w:t xml:space="preserve">nnex </w:t>
      </w:r>
      <w:r>
        <w:rPr>
          <w:b/>
          <w:bCs/>
          <w:smallCaps/>
          <w:lang w:val="en-US"/>
        </w:rPr>
        <w:t>1</w:t>
      </w:r>
    </w:p>
    <w:p w:rsidR="00000000" w:rsidRDefault="00000000">
      <w:pPr>
        <w:spacing w:after="240"/>
        <w:jc w:val="center"/>
        <w:rPr>
          <w:b/>
          <w:bCs/>
          <w:lang w:val="en-US"/>
        </w:rPr>
      </w:pPr>
      <w:r>
        <w:rPr>
          <w:b/>
          <w:bCs/>
          <w:smallCaps/>
          <w:lang w:val="en-US"/>
        </w:rPr>
        <w:t>L</w:t>
      </w:r>
      <w:r>
        <w:rPr>
          <w:b/>
          <w:bCs/>
          <w:lang w:val="en-US"/>
        </w:rPr>
        <w:t>IST OF HUMAN RIGHTS TREATY BODY MEMBERS PARTICIPATING IN THE MEETING WITH THE INTERNATIONAL LAW COMMISSION</w:t>
      </w:r>
    </w:p>
    <w:tbl>
      <w:tblPr>
        <w:tblW w:w="9497" w:type="dxa"/>
        <w:tblCellMar>
          <w:left w:w="68" w:type="dxa"/>
          <w:right w:w="68" w:type="dxa"/>
        </w:tblCellMar>
        <w:tblLook w:val="01E0" w:firstRow="1" w:lastRow="1" w:firstColumn="1" w:lastColumn="1" w:noHBand="0" w:noVBand="0"/>
      </w:tblPr>
      <w:tblGrid>
        <w:gridCol w:w="6331"/>
        <w:gridCol w:w="3166"/>
      </w:tblGrid>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on the Elimination of All Forms of Racial Discrimination</w:t>
            </w:r>
          </w:p>
        </w:tc>
        <w:tc>
          <w:tcPr>
            <w:tcW w:w="3119" w:type="dxa"/>
          </w:tcPr>
          <w:p w:rsidR="00000000" w:rsidRDefault="00000000">
            <w:pPr>
              <w:tabs>
                <w:tab w:val="left" w:pos="567"/>
                <w:tab w:val="left" w:pos="1134"/>
              </w:tabs>
              <w:autoSpaceDE w:val="0"/>
              <w:autoSpaceDN w:val="0"/>
              <w:adjustRightInd w:val="0"/>
              <w:spacing w:before="60" w:after="60"/>
              <w:rPr>
                <w:bCs/>
                <w:color w:val="000000"/>
              </w:rPr>
            </w:pPr>
            <w:proofErr w:type="spellStart"/>
            <w:r>
              <w:rPr>
                <w:bCs/>
                <w:color w:val="000000"/>
              </w:rPr>
              <w:t>Linos-Alexander</w:t>
            </w:r>
            <w:proofErr w:type="spellEnd"/>
            <w:r>
              <w:rPr>
                <w:bCs/>
                <w:color w:val="000000"/>
              </w:rPr>
              <w:t xml:space="preserve"> </w:t>
            </w:r>
            <w:proofErr w:type="spellStart"/>
            <w:r>
              <w:rPr>
                <w:bCs/>
                <w:color w:val="000000"/>
              </w:rPr>
              <w:t>Sicilianos</w:t>
            </w:r>
            <w:proofErr w:type="spellEnd"/>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on Economic, Social and Cultural Rights</w:t>
            </w:r>
          </w:p>
        </w:tc>
        <w:tc>
          <w:tcPr>
            <w:tcW w:w="3119" w:type="dxa"/>
          </w:tcPr>
          <w:p w:rsidR="00000000" w:rsidRDefault="00000000">
            <w:pPr>
              <w:tabs>
                <w:tab w:val="left" w:pos="567"/>
                <w:tab w:val="left" w:pos="1134"/>
              </w:tabs>
              <w:autoSpaceDE w:val="0"/>
              <w:autoSpaceDN w:val="0"/>
              <w:adjustRightInd w:val="0"/>
              <w:spacing w:before="60" w:after="60"/>
              <w:rPr>
                <w:bCs/>
                <w:color w:val="000000"/>
                <w:lang w:val="en-US"/>
              </w:rPr>
            </w:pPr>
            <w:r>
              <w:rPr>
                <w:bCs/>
                <w:color w:val="000000"/>
                <w:lang w:val="en-US"/>
              </w:rPr>
              <w:t xml:space="preserve">Philippe </w:t>
            </w:r>
            <w:proofErr w:type="spellStart"/>
            <w:r>
              <w:rPr>
                <w:bCs/>
                <w:color w:val="000000"/>
                <w:lang w:val="en-US"/>
              </w:rPr>
              <w:t>Texier</w:t>
            </w:r>
            <w:proofErr w:type="spellEnd"/>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Human Rights Committee</w:t>
            </w:r>
          </w:p>
        </w:tc>
        <w:tc>
          <w:tcPr>
            <w:tcW w:w="3119" w:type="dxa"/>
          </w:tcPr>
          <w:p w:rsidR="00000000" w:rsidRDefault="00000000">
            <w:pPr>
              <w:tabs>
                <w:tab w:val="left" w:pos="567"/>
                <w:tab w:val="left" w:pos="1134"/>
              </w:tabs>
              <w:autoSpaceDE w:val="0"/>
              <w:autoSpaceDN w:val="0"/>
              <w:adjustRightInd w:val="0"/>
              <w:spacing w:before="60" w:after="60"/>
              <w:rPr>
                <w:bCs/>
                <w:color w:val="000000"/>
                <w:lang w:val="en-US"/>
              </w:rPr>
            </w:pPr>
            <w:r>
              <w:rPr>
                <w:bCs/>
                <w:color w:val="000000"/>
                <w:lang w:val="en-US"/>
              </w:rPr>
              <w:t xml:space="preserve">Sir Nigel </w:t>
            </w:r>
            <w:proofErr w:type="spellStart"/>
            <w:r>
              <w:rPr>
                <w:bCs/>
                <w:color w:val="000000"/>
                <w:lang w:val="en-US"/>
              </w:rPr>
              <w:t>Rodley</w:t>
            </w:r>
            <w:proofErr w:type="spellEnd"/>
            <w:r>
              <w:rPr>
                <w:bCs/>
                <w:color w:val="000000"/>
                <w:lang w:val="en-US"/>
              </w:rPr>
              <w:t xml:space="preserve"> </w:t>
            </w:r>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on the Elimination of All Forms of Discrimination against Women</w:t>
            </w:r>
          </w:p>
        </w:tc>
        <w:tc>
          <w:tcPr>
            <w:tcW w:w="3119" w:type="dxa"/>
          </w:tcPr>
          <w:p w:rsidR="00000000" w:rsidRDefault="00000000">
            <w:pPr>
              <w:tabs>
                <w:tab w:val="left" w:pos="567"/>
                <w:tab w:val="left" w:pos="1134"/>
              </w:tabs>
              <w:autoSpaceDE w:val="0"/>
              <w:autoSpaceDN w:val="0"/>
              <w:adjustRightInd w:val="0"/>
              <w:spacing w:before="60" w:after="60"/>
              <w:rPr>
                <w:bCs/>
                <w:color w:val="000000"/>
                <w:lang w:val="en-US"/>
              </w:rPr>
            </w:pPr>
            <w:proofErr w:type="spellStart"/>
            <w:r>
              <w:rPr>
                <w:bCs/>
                <w:color w:val="000000"/>
                <w:lang w:val="en-US"/>
              </w:rPr>
              <w:t>Cees</w:t>
            </w:r>
            <w:proofErr w:type="spellEnd"/>
            <w:r>
              <w:rPr>
                <w:bCs/>
                <w:color w:val="000000"/>
                <w:lang w:val="en-US"/>
              </w:rPr>
              <w:t xml:space="preserve"> </w:t>
            </w:r>
            <w:proofErr w:type="spellStart"/>
            <w:r>
              <w:rPr>
                <w:bCs/>
                <w:color w:val="000000"/>
                <w:lang w:val="en-US"/>
              </w:rPr>
              <w:t>Flinterman</w:t>
            </w:r>
            <w:proofErr w:type="spellEnd"/>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against Torture</w:t>
            </w:r>
          </w:p>
        </w:tc>
        <w:tc>
          <w:tcPr>
            <w:tcW w:w="3119" w:type="dxa"/>
          </w:tcPr>
          <w:p w:rsidR="00000000" w:rsidRDefault="00000000">
            <w:pPr>
              <w:tabs>
                <w:tab w:val="left" w:pos="567"/>
                <w:tab w:val="left" w:pos="1134"/>
              </w:tabs>
              <w:autoSpaceDE w:val="0"/>
              <w:autoSpaceDN w:val="0"/>
              <w:adjustRightInd w:val="0"/>
              <w:spacing w:before="60" w:after="60"/>
              <w:rPr>
                <w:bCs/>
                <w:lang w:val="en-US"/>
              </w:rPr>
            </w:pPr>
            <w:proofErr w:type="spellStart"/>
            <w:r>
              <w:rPr>
                <w:bCs/>
                <w:lang w:val="en-US"/>
              </w:rPr>
              <w:t>Guibril</w:t>
            </w:r>
            <w:proofErr w:type="spellEnd"/>
            <w:r>
              <w:rPr>
                <w:bCs/>
                <w:lang w:val="en-US"/>
              </w:rPr>
              <w:t xml:space="preserve"> </w:t>
            </w:r>
            <w:proofErr w:type="spellStart"/>
            <w:r>
              <w:rPr>
                <w:bCs/>
                <w:lang w:val="en-US"/>
              </w:rPr>
              <w:t>Camara</w:t>
            </w:r>
            <w:proofErr w:type="spellEnd"/>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on the Rights of the Child</w:t>
            </w:r>
          </w:p>
        </w:tc>
        <w:tc>
          <w:tcPr>
            <w:tcW w:w="3119" w:type="dxa"/>
          </w:tcPr>
          <w:p w:rsidR="00000000" w:rsidRDefault="00000000">
            <w:pPr>
              <w:tabs>
                <w:tab w:val="left" w:pos="567"/>
                <w:tab w:val="left" w:pos="1134"/>
              </w:tabs>
              <w:autoSpaceDE w:val="0"/>
              <w:autoSpaceDN w:val="0"/>
              <w:adjustRightInd w:val="0"/>
              <w:spacing w:before="60" w:after="60"/>
              <w:rPr>
                <w:bCs/>
                <w:lang w:val="en-US"/>
              </w:rPr>
            </w:pPr>
            <w:r>
              <w:rPr>
                <w:bCs/>
                <w:lang w:val="en-US"/>
              </w:rPr>
              <w:t xml:space="preserve">Jean </w:t>
            </w:r>
            <w:proofErr w:type="spellStart"/>
            <w:r>
              <w:rPr>
                <w:bCs/>
                <w:lang w:val="en-US"/>
              </w:rPr>
              <w:t>Zermatten</w:t>
            </w:r>
            <w:proofErr w:type="spellEnd"/>
          </w:p>
        </w:tc>
      </w:tr>
      <w:tr w:rsidR="00000000">
        <w:tc>
          <w:tcPr>
            <w:tcW w:w="6237" w:type="dxa"/>
          </w:tcPr>
          <w:p w:rsidR="00000000" w:rsidRDefault="00000000">
            <w:pPr>
              <w:tabs>
                <w:tab w:val="left" w:pos="567"/>
                <w:tab w:val="left" w:pos="1134"/>
              </w:tabs>
              <w:autoSpaceDE w:val="0"/>
              <w:autoSpaceDN w:val="0"/>
              <w:adjustRightInd w:val="0"/>
              <w:spacing w:before="60" w:after="60"/>
              <w:rPr>
                <w:bCs/>
                <w:lang w:val="en-US"/>
              </w:rPr>
            </w:pPr>
            <w:r>
              <w:rPr>
                <w:bCs/>
                <w:lang w:val="en-US"/>
              </w:rPr>
              <w:t>Committee for the Protection of the Rights of All Migrant Workers and Members of Their Families</w:t>
            </w:r>
          </w:p>
        </w:tc>
        <w:tc>
          <w:tcPr>
            <w:tcW w:w="3119" w:type="dxa"/>
          </w:tcPr>
          <w:p w:rsidR="00000000" w:rsidRDefault="00000000">
            <w:pPr>
              <w:tabs>
                <w:tab w:val="left" w:pos="567"/>
                <w:tab w:val="left" w:pos="1134"/>
              </w:tabs>
              <w:autoSpaceDE w:val="0"/>
              <w:autoSpaceDN w:val="0"/>
              <w:adjustRightInd w:val="0"/>
              <w:spacing w:before="60" w:after="60"/>
              <w:rPr>
                <w:bCs/>
                <w:color w:val="000000"/>
                <w:lang w:val="en-US"/>
              </w:rPr>
            </w:pPr>
            <w:r>
              <w:rPr>
                <w:bCs/>
                <w:color w:val="000000"/>
                <w:lang w:val="en-US"/>
              </w:rPr>
              <w:t xml:space="preserve">Ahmed </w:t>
            </w:r>
            <w:proofErr w:type="spellStart"/>
            <w:r>
              <w:rPr>
                <w:bCs/>
                <w:color w:val="000000"/>
                <w:lang w:val="en-US"/>
              </w:rPr>
              <w:t>Hassan</w:t>
            </w:r>
            <w:proofErr w:type="spellEnd"/>
            <w:r>
              <w:rPr>
                <w:bCs/>
                <w:color w:val="000000"/>
                <w:lang w:val="en-US"/>
              </w:rPr>
              <w:t xml:space="preserve"> El-</w:t>
            </w:r>
            <w:proofErr w:type="spellStart"/>
            <w:r>
              <w:rPr>
                <w:bCs/>
                <w:color w:val="000000"/>
                <w:lang w:val="en-US"/>
              </w:rPr>
              <w:t>Borai</w:t>
            </w:r>
            <w:proofErr w:type="spellEnd"/>
          </w:p>
        </w:tc>
      </w:tr>
    </w:tbl>
    <w:p w:rsidR="00000000" w:rsidRDefault="00000000">
      <w:pPr>
        <w:spacing w:before="240"/>
        <w:jc w:val="center"/>
        <w:rPr>
          <w:b/>
          <w:bCs/>
          <w:lang w:val="en-US"/>
        </w:rPr>
      </w:pPr>
    </w:p>
    <w:p w:rsidR="00000000" w:rsidRDefault="00000000">
      <w:pPr>
        <w:tabs>
          <w:tab w:val="left" w:pos="567"/>
          <w:tab w:val="left" w:pos="1134"/>
        </w:tabs>
        <w:spacing w:after="240"/>
        <w:jc w:val="center"/>
        <w:rPr>
          <w:b/>
          <w:bCs/>
          <w:lang w:val="en-US"/>
        </w:rPr>
      </w:pPr>
      <w:r>
        <w:rPr>
          <w:b/>
          <w:bCs/>
          <w:lang w:val="en-US"/>
        </w:rPr>
        <w:br w:type="page"/>
        <w:t>Annex 2</w:t>
      </w:r>
    </w:p>
    <w:p w:rsidR="00000000" w:rsidRDefault="00000000">
      <w:pPr>
        <w:tabs>
          <w:tab w:val="left" w:pos="567"/>
          <w:tab w:val="left" w:pos="1134"/>
        </w:tabs>
        <w:spacing w:after="240"/>
        <w:jc w:val="center"/>
        <w:rPr>
          <w:b/>
          <w:bCs/>
          <w:lang w:val="en-US"/>
        </w:rPr>
      </w:pPr>
      <w:r>
        <w:rPr>
          <w:b/>
          <w:bCs/>
          <w:lang w:val="en-US"/>
        </w:rPr>
        <w:t>The practice of the human rights treaty bodies with respect to reservations</w:t>
      </w:r>
      <w:r>
        <w:rPr>
          <w:b/>
          <w:bCs/>
          <w:lang w:val="en-US"/>
        </w:rPr>
        <w:br/>
        <w:t>– concluding observations/comments (January - April 2007)</w:t>
      </w:r>
    </w:p>
    <w:p w:rsidR="00000000" w:rsidRDefault="00000000">
      <w:pPr>
        <w:numPr>
          <w:ilvl w:val="0"/>
          <w:numId w:val="49"/>
        </w:numPr>
        <w:tabs>
          <w:tab w:val="left" w:pos="480"/>
          <w:tab w:val="left" w:pos="1080"/>
          <w:tab w:val="left" w:leader="dot" w:pos="8220"/>
          <w:tab w:val="right" w:pos="9043"/>
        </w:tabs>
        <w:spacing w:after="240"/>
        <w:jc w:val="both"/>
        <w:rPr>
          <w:b/>
          <w:bCs/>
          <w:lang w:val="en-US"/>
        </w:rPr>
      </w:pPr>
      <w:r>
        <w:rPr>
          <w:b/>
          <w:bCs/>
          <w:lang w:val="en-US"/>
        </w:rPr>
        <w:t xml:space="preserve">Committee on the Rights of the Child </w:t>
      </w:r>
    </w:p>
    <w:p w:rsidR="00000000" w:rsidRDefault="00000000">
      <w:pPr>
        <w:spacing w:after="240"/>
        <w:jc w:val="both"/>
        <w:rPr>
          <w:b/>
          <w:bCs/>
          <w:lang w:val="en-US"/>
        </w:rPr>
      </w:pPr>
      <w:r>
        <w:rPr>
          <w:b/>
          <w:bCs/>
          <w:lang w:val="en-US"/>
        </w:rPr>
        <w:t>Positive remarks</w:t>
      </w:r>
    </w:p>
    <w:p w:rsidR="00000000" w:rsidRDefault="00000000">
      <w:pPr>
        <w:spacing w:after="240"/>
        <w:jc w:val="both"/>
        <w:rPr>
          <w:lang w:val="en-US"/>
        </w:rPr>
      </w:pPr>
      <w:r>
        <w:rPr>
          <w:lang w:val="en-US"/>
        </w:rPr>
        <w:t xml:space="preserve">On one occasion, the Committee </w:t>
      </w:r>
    </w:p>
    <w:p w:rsidR="00000000" w:rsidRDefault="00000000">
      <w:pPr>
        <w:numPr>
          <w:ilvl w:val="0"/>
          <w:numId w:val="48"/>
        </w:numPr>
        <w:spacing w:after="240"/>
        <w:jc w:val="both"/>
        <w:rPr>
          <w:lang w:val="en-US"/>
        </w:rPr>
      </w:pPr>
      <w:r>
        <w:rPr>
          <w:lang w:val="en-US"/>
        </w:rPr>
        <w:t>welcomed the information that the State party was in the process of withdrawing a reservation (Mali).</w:t>
      </w:r>
    </w:p>
    <w:p w:rsidR="00000000" w:rsidRDefault="00000000">
      <w:pPr>
        <w:spacing w:after="240"/>
        <w:jc w:val="both"/>
        <w:rPr>
          <w:b/>
          <w:bCs/>
          <w:lang w:val="en-US"/>
        </w:rPr>
      </w:pPr>
      <w:r>
        <w:rPr>
          <w:b/>
          <w:bCs/>
          <w:lang w:val="en-US"/>
        </w:rPr>
        <w:t>Critical remarks</w:t>
      </w:r>
    </w:p>
    <w:p w:rsidR="00000000" w:rsidRDefault="00000000">
      <w:pPr>
        <w:spacing w:after="240"/>
        <w:jc w:val="both"/>
        <w:rPr>
          <w:lang w:val="en-US"/>
        </w:rPr>
      </w:pPr>
      <w:r>
        <w:rPr>
          <w:lang w:val="en-US"/>
        </w:rPr>
        <w:t xml:space="preserve">On one occasion, the Committee </w:t>
      </w:r>
    </w:p>
    <w:p w:rsidR="00000000" w:rsidRDefault="00000000">
      <w:pPr>
        <w:numPr>
          <w:ilvl w:val="0"/>
          <w:numId w:val="48"/>
        </w:numPr>
        <w:spacing w:after="240"/>
        <w:jc w:val="both"/>
        <w:rPr>
          <w:lang w:val="en-US"/>
        </w:rPr>
      </w:pPr>
      <w:r>
        <w:rPr>
          <w:lang w:val="en-US"/>
        </w:rPr>
        <w:t xml:space="preserve">recommended that the State party withdraw its reservations (Malaysia). </w:t>
      </w:r>
    </w:p>
    <w:p w:rsidR="00000000" w:rsidRDefault="00000000">
      <w:pPr>
        <w:spacing w:after="240"/>
        <w:jc w:val="both"/>
        <w:rPr>
          <w:b/>
          <w:bCs/>
          <w:lang w:val="en-US"/>
        </w:rPr>
      </w:pPr>
      <w:r>
        <w:rPr>
          <w:b/>
          <w:bCs/>
          <w:lang w:val="en-US"/>
        </w:rPr>
        <w:t>Comments on other treaties</w:t>
      </w:r>
    </w:p>
    <w:p w:rsidR="00000000" w:rsidRDefault="00000000">
      <w:pPr>
        <w:spacing w:after="240"/>
        <w:jc w:val="both"/>
        <w:rPr>
          <w:lang w:val="en-US"/>
        </w:rPr>
      </w:pPr>
      <w:r>
        <w:rPr>
          <w:lang w:val="en-US"/>
        </w:rPr>
        <w:t xml:space="preserve">On one occasion, the Committee </w:t>
      </w:r>
    </w:p>
    <w:p w:rsidR="00000000" w:rsidRDefault="00000000">
      <w:pPr>
        <w:numPr>
          <w:ilvl w:val="0"/>
          <w:numId w:val="48"/>
        </w:numPr>
        <w:spacing w:after="240"/>
        <w:jc w:val="both"/>
        <w:rPr>
          <w:lang w:val="en-US"/>
        </w:rPr>
      </w:pPr>
      <w:r>
        <w:rPr>
          <w:lang w:val="en-US"/>
        </w:rPr>
        <w:t xml:space="preserve">recommended that the State party withdraw its reservation to another treaty, i.e. the International Covenant on Economic, Social and Cultural Rights of 1966 (Kenya). </w:t>
      </w:r>
    </w:p>
    <w:p w:rsidR="00000000" w:rsidRDefault="00000000">
      <w:pPr>
        <w:spacing w:after="240"/>
        <w:jc w:val="both"/>
        <w:rPr>
          <w:i/>
          <w:iCs/>
          <w:lang w:val="en-US"/>
        </w:rPr>
      </w:pPr>
      <w:r>
        <w:rPr>
          <w:i/>
          <w:iCs/>
          <w:lang w:val="en-US"/>
        </w:rPr>
        <w:t>Kenya</w:t>
      </w:r>
    </w:p>
    <w:p w:rsidR="00000000" w:rsidRDefault="00000000">
      <w:pPr>
        <w:spacing w:after="240"/>
        <w:jc w:val="both"/>
        <w:rPr>
          <w:lang w:val="en-US"/>
        </w:rPr>
      </w:pPr>
      <w:r>
        <w:rPr>
          <w:lang w:val="en-US"/>
        </w:rPr>
        <w:t>The Committee recommends that the State party:</w:t>
      </w:r>
    </w:p>
    <w:p w:rsidR="00000000" w:rsidRDefault="00000000">
      <w:pPr>
        <w:spacing w:after="240"/>
        <w:jc w:val="both"/>
        <w:rPr>
          <w:lang w:val="en-US"/>
        </w:rPr>
      </w:pPr>
      <w:r>
        <w:rPr>
          <w:lang w:val="en-US"/>
        </w:rPr>
        <w:t>(…)</w:t>
      </w:r>
    </w:p>
    <w:p w:rsidR="00000000" w:rsidRDefault="00000000">
      <w:pPr>
        <w:spacing w:after="240"/>
        <w:jc w:val="both"/>
        <w:rPr>
          <w:lang w:val="en-US"/>
        </w:rPr>
      </w:pPr>
      <w:r>
        <w:rPr>
          <w:lang w:val="en-US"/>
        </w:rPr>
        <w:t>(b) strengthen the support available to women before and after childbirth by taking appropriate measures including the removal of the reservation to paragraph 2 of Article 10 of the International Covenant on Economic, Social and Cultural Rights (ICESCR) of 1966; (CRC/C/KEN/CO/2)</w:t>
      </w:r>
    </w:p>
    <w:p w:rsidR="00000000" w:rsidRDefault="00000000">
      <w:pPr>
        <w:spacing w:after="240"/>
        <w:jc w:val="both"/>
        <w:rPr>
          <w:i/>
          <w:iCs/>
          <w:lang w:val="en-US"/>
        </w:rPr>
      </w:pPr>
      <w:r>
        <w:rPr>
          <w:i/>
          <w:iCs/>
          <w:lang w:val="en-US"/>
        </w:rPr>
        <w:t xml:space="preserve">Malaysia </w:t>
      </w:r>
    </w:p>
    <w:p w:rsidR="00000000" w:rsidRDefault="00000000">
      <w:pPr>
        <w:spacing w:after="240"/>
        <w:jc w:val="both"/>
        <w:rPr>
          <w:lang w:val="en-US"/>
        </w:rPr>
      </w:pPr>
      <w:r>
        <w:rPr>
          <w:lang w:val="en-US"/>
        </w:rPr>
        <w:t xml:space="preserve">The Committee notes with appreciation the State party’s ongoing efforts to review its reservations to articles 1, 2, 7, 13, 14, 15, 28, paragraph 1 (a) and 37 of the Convention. The Committee is of the opinion that many of the reservations are, with regard to the progress made in the adaptation of the legislation to the requirements of the Convention and in the light of the Vienna Declaration and </w:t>
      </w:r>
      <w:proofErr w:type="spellStart"/>
      <w:r>
        <w:rPr>
          <w:lang w:val="en-US"/>
        </w:rPr>
        <w:t>Programme</w:t>
      </w:r>
      <w:proofErr w:type="spellEnd"/>
      <w:r>
        <w:rPr>
          <w:lang w:val="en-US"/>
        </w:rPr>
        <w:t xml:space="preserve"> of Action adopted by the World Conference on Human Rights of 1993, not necessary as also concluded at the Forum on Malaysia’s reservations to the Convention on the Rights of the Child which was held on 29 September 2005.</w:t>
      </w:r>
    </w:p>
    <w:p w:rsidR="00000000" w:rsidRDefault="00000000">
      <w:pPr>
        <w:spacing w:after="240"/>
        <w:jc w:val="both"/>
        <w:rPr>
          <w:lang w:val="en-US"/>
        </w:rPr>
      </w:pPr>
      <w:r>
        <w:rPr>
          <w:lang w:val="en-US"/>
        </w:rPr>
        <w:t xml:space="preserve">In the light of article 51, paragraph 2, of the Convention, the Committee recommends that the State party expedite its ongoing efforts to review the nature of its reservations to articles 1, 2, 7, 13, 14, 15, 28, paragraph 1 (a) and 37 of the Convention with a view to withdrawing them in accordance with the Vienna Declaration and </w:t>
      </w:r>
      <w:proofErr w:type="spellStart"/>
      <w:r>
        <w:rPr>
          <w:lang w:val="en-US"/>
        </w:rPr>
        <w:t>Programme</w:t>
      </w:r>
      <w:proofErr w:type="spellEnd"/>
      <w:r>
        <w:rPr>
          <w:lang w:val="en-US"/>
        </w:rPr>
        <w:t xml:space="preserve"> of Action adopted by the World Conference on Human Rights of 1993.  (CRC/C/MYS/CO/1)</w:t>
      </w:r>
    </w:p>
    <w:p w:rsidR="00000000" w:rsidRDefault="00000000">
      <w:pPr>
        <w:spacing w:after="240"/>
        <w:jc w:val="both"/>
        <w:rPr>
          <w:i/>
          <w:iCs/>
          <w:lang w:val="en-US"/>
        </w:rPr>
      </w:pPr>
      <w:r>
        <w:rPr>
          <w:i/>
          <w:iCs/>
          <w:lang w:val="en-US"/>
        </w:rPr>
        <w:t>Mali</w:t>
      </w:r>
    </w:p>
    <w:p w:rsidR="00000000" w:rsidRDefault="00000000">
      <w:pPr>
        <w:spacing w:after="240"/>
        <w:jc w:val="both"/>
        <w:rPr>
          <w:lang w:val="en-US"/>
        </w:rPr>
      </w:pPr>
      <w:r>
        <w:rPr>
          <w:lang w:val="en-US"/>
        </w:rPr>
        <w:t xml:space="preserve">The Committee welcomes the information that the ratification of relevant international agreements and the enactment of the Child Protection Code have rendered the reservation to article 16 invalid and that it will be withdrawn. </w:t>
      </w:r>
    </w:p>
    <w:p w:rsidR="00000000" w:rsidRDefault="00000000">
      <w:pPr>
        <w:spacing w:after="240"/>
        <w:jc w:val="both"/>
        <w:rPr>
          <w:lang w:val="en-US"/>
        </w:rPr>
      </w:pPr>
      <w:r>
        <w:rPr>
          <w:lang w:val="en-US"/>
        </w:rPr>
        <w:t>The Committee, while referring to its previous recommendations, recommends that the State party take all necessary measures for a speedy withdrawal of the said reservation.</w:t>
      </w:r>
      <w:r>
        <w:rPr>
          <w:b/>
          <w:bCs/>
          <w:lang w:val="en-US"/>
        </w:rPr>
        <w:t xml:space="preserve"> </w:t>
      </w:r>
      <w:r>
        <w:rPr>
          <w:lang w:val="en-US"/>
        </w:rPr>
        <w:t>(CRC/C/MLI/CO/2)</w:t>
      </w:r>
    </w:p>
    <w:p w:rsidR="00000000" w:rsidRDefault="00000000">
      <w:pPr>
        <w:numPr>
          <w:ilvl w:val="0"/>
          <w:numId w:val="49"/>
        </w:numPr>
        <w:tabs>
          <w:tab w:val="left" w:pos="480"/>
          <w:tab w:val="left" w:pos="1080"/>
          <w:tab w:val="left" w:leader="dot" w:pos="8220"/>
          <w:tab w:val="right" w:pos="9043"/>
        </w:tabs>
        <w:spacing w:after="240"/>
        <w:jc w:val="both"/>
        <w:rPr>
          <w:b/>
          <w:bCs/>
          <w:lang w:val="en-US"/>
        </w:rPr>
      </w:pPr>
      <w:r>
        <w:rPr>
          <w:b/>
          <w:bCs/>
          <w:lang w:val="en-US"/>
        </w:rPr>
        <w:t>Committee on Elimination of Racial Discrimination</w:t>
      </w:r>
    </w:p>
    <w:p w:rsidR="00000000" w:rsidRDefault="00000000">
      <w:pPr>
        <w:autoSpaceDE w:val="0"/>
        <w:autoSpaceDN w:val="0"/>
        <w:adjustRightInd w:val="0"/>
        <w:spacing w:after="240"/>
        <w:jc w:val="both"/>
        <w:rPr>
          <w:b/>
          <w:bCs/>
          <w:lang w:val="en-US"/>
        </w:rPr>
      </w:pPr>
      <w:r>
        <w:rPr>
          <w:b/>
          <w:bCs/>
          <w:lang w:val="en-US"/>
        </w:rPr>
        <w:t>Critical remarks</w:t>
      </w:r>
    </w:p>
    <w:p w:rsidR="00000000" w:rsidRDefault="00000000">
      <w:pPr>
        <w:autoSpaceDE w:val="0"/>
        <w:autoSpaceDN w:val="0"/>
        <w:adjustRightInd w:val="0"/>
        <w:spacing w:after="240"/>
        <w:jc w:val="both"/>
        <w:rPr>
          <w:lang w:val="en-US"/>
        </w:rPr>
      </w:pPr>
      <w:r>
        <w:rPr>
          <w:lang w:val="en-US"/>
        </w:rPr>
        <w:t>On one occasion, the Committee</w:t>
      </w:r>
    </w:p>
    <w:p w:rsidR="00000000" w:rsidRDefault="00000000">
      <w:pPr>
        <w:numPr>
          <w:ilvl w:val="0"/>
          <w:numId w:val="48"/>
        </w:numPr>
        <w:autoSpaceDE w:val="0"/>
        <w:autoSpaceDN w:val="0"/>
        <w:adjustRightInd w:val="0"/>
        <w:spacing w:after="240"/>
        <w:jc w:val="both"/>
        <w:rPr>
          <w:rFonts w:ascii="TimesNewRoman,Bold" w:eastAsia="SimSun" w:hAnsi="TimesNewRoman,Bold" w:cs="TimesNewRoman,Bold"/>
          <w:sz w:val="23"/>
          <w:szCs w:val="23"/>
          <w:lang w:val="en-US" w:eastAsia="zh-CN"/>
        </w:rPr>
      </w:pPr>
      <w:r>
        <w:rPr>
          <w:lang w:val="en-US"/>
        </w:rPr>
        <w:t>noted with concern the State party’s declaration that acceptance of the Convention does not imply the acceptance of obligations going beyond the constitutional limits, nor the acceptance of any obligations to introduce judicial processes beyond those provided in the Constitution. (Antigua and Barbuda).</w:t>
      </w:r>
    </w:p>
    <w:p w:rsidR="00000000" w:rsidRDefault="00000000">
      <w:pPr>
        <w:autoSpaceDE w:val="0"/>
        <w:autoSpaceDN w:val="0"/>
        <w:adjustRightInd w:val="0"/>
        <w:spacing w:after="240"/>
        <w:jc w:val="both"/>
        <w:rPr>
          <w:rFonts w:ascii="TimesNewRoman,Bold" w:eastAsia="SimSun" w:hAnsi="TimesNewRoman,Bold" w:cs="TimesNewRoman,Bold"/>
          <w:i/>
          <w:iCs/>
          <w:sz w:val="23"/>
          <w:szCs w:val="23"/>
          <w:lang w:val="en-US" w:eastAsia="zh-CN"/>
        </w:rPr>
      </w:pPr>
      <w:r>
        <w:rPr>
          <w:rFonts w:ascii="TimesNewRoman,Bold" w:eastAsia="SimSun" w:hAnsi="TimesNewRoman,Bold" w:cs="TimesNewRoman,Bold"/>
          <w:i/>
          <w:iCs/>
          <w:sz w:val="23"/>
          <w:szCs w:val="23"/>
          <w:lang w:val="en-US" w:eastAsia="zh-CN"/>
        </w:rPr>
        <w:t xml:space="preserve">Antigua and Barbuda </w:t>
      </w:r>
    </w:p>
    <w:p w:rsidR="00000000" w:rsidRDefault="00000000">
      <w:pPr>
        <w:autoSpaceDE w:val="0"/>
        <w:autoSpaceDN w:val="0"/>
        <w:adjustRightInd w:val="0"/>
        <w:spacing w:after="240"/>
        <w:jc w:val="both"/>
        <w:rPr>
          <w:rFonts w:ascii="TimesNewRoman" w:eastAsia="SimSun" w:hAnsi="TimesNewRoman" w:cs="TimesNewRoman"/>
          <w:szCs w:val="24"/>
          <w:lang w:val="en-US" w:eastAsia="zh-CN"/>
        </w:rPr>
      </w:pPr>
      <w:r>
        <w:rPr>
          <w:rFonts w:ascii="TimesNewRoman" w:eastAsia="SimSun" w:hAnsi="TimesNewRoman" w:cs="TimesNewRoman"/>
          <w:szCs w:val="24"/>
          <w:lang w:val="en-US" w:eastAsia="zh-CN"/>
        </w:rPr>
        <w:t>The Committee notes with concern the declaration entered by the State party at the time of ratification of the Convention, in particular its wording that acceptance of the Convention does not imply the acceptance of obligations going beyond the constitutional limits, nor the acceptance of any obligations to introduce judicial processes beyond those provided in the Constitution.</w:t>
      </w:r>
    </w:p>
    <w:p w:rsidR="00000000" w:rsidRDefault="00000000">
      <w:pPr>
        <w:autoSpaceDE w:val="0"/>
        <w:autoSpaceDN w:val="0"/>
        <w:adjustRightInd w:val="0"/>
        <w:spacing w:after="240"/>
        <w:jc w:val="both"/>
        <w:rPr>
          <w:rFonts w:ascii="TimesNewRoman,Bold" w:eastAsia="SimSun" w:hAnsi="TimesNewRoman,Bold" w:cs="TimesNewRoman,Bold"/>
          <w:szCs w:val="24"/>
          <w:lang w:val="en-US" w:eastAsia="zh-CN"/>
        </w:rPr>
      </w:pPr>
      <w:r>
        <w:rPr>
          <w:rFonts w:ascii="TimesNewRoman,Bold" w:eastAsia="SimSun" w:hAnsi="TimesNewRoman,Bold" w:cs="TimesNewRoman,Bold"/>
          <w:szCs w:val="24"/>
          <w:lang w:val="en-US" w:eastAsia="zh-CN"/>
        </w:rPr>
        <w:t>The Committee encourages the State party to consider withdrawing the declaration entered upon acceding to the Convention. (CERD/C/ATG/CO/9)</w:t>
      </w:r>
    </w:p>
    <w:p w:rsidR="00000000" w:rsidRDefault="00000000">
      <w:pPr>
        <w:keepNext/>
        <w:numPr>
          <w:ilvl w:val="0"/>
          <w:numId w:val="49"/>
        </w:numPr>
        <w:tabs>
          <w:tab w:val="left" w:pos="480"/>
          <w:tab w:val="left" w:pos="1080"/>
          <w:tab w:val="left" w:leader="dot" w:pos="8220"/>
          <w:tab w:val="right" w:pos="9043"/>
        </w:tabs>
        <w:spacing w:after="240"/>
        <w:jc w:val="both"/>
        <w:rPr>
          <w:b/>
          <w:bCs/>
          <w:lang w:val="en-US"/>
        </w:rPr>
      </w:pPr>
      <w:r>
        <w:rPr>
          <w:b/>
          <w:bCs/>
          <w:lang w:val="en-US"/>
        </w:rPr>
        <w:t xml:space="preserve">Committee on the Elimination of Discrimination against Women  </w:t>
      </w:r>
    </w:p>
    <w:p w:rsidR="00000000" w:rsidRDefault="00000000">
      <w:pPr>
        <w:autoSpaceDE w:val="0"/>
        <w:autoSpaceDN w:val="0"/>
        <w:adjustRightInd w:val="0"/>
        <w:spacing w:after="240"/>
        <w:jc w:val="both"/>
        <w:rPr>
          <w:b/>
          <w:bCs/>
          <w:lang w:val="en-US"/>
        </w:rPr>
      </w:pPr>
      <w:r>
        <w:rPr>
          <w:b/>
          <w:bCs/>
          <w:lang w:val="en-US"/>
        </w:rPr>
        <w:t xml:space="preserve">Positive remarks </w:t>
      </w:r>
    </w:p>
    <w:p w:rsidR="00000000" w:rsidRDefault="00000000">
      <w:pPr>
        <w:autoSpaceDE w:val="0"/>
        <w:autoSpaceDN w:val="0"/>
        <w:adjustRightInd w:val="0"/>
        <w:spacing w:after="240"/>
        <w:jc w:val="both"/>
        <w:rPr>
          <w:lang w:val="en-US"/>
        </w:rPr>
      </w:pPr>
      <w:r>
        <w:rPr>
          <w:lang w:val="en-US"/>
        </w:rPr>
        <w:t xml:space="preserve">On one occasion the Committee </w:t>
      </w:r>
    </w:p>
    <w:p w:rsidR="00000000" w:rsidRDefault="00000000">
      <w:pPr>
        <w:numPr>
          <w:ilvl w:val="0"/>
          <w:numId w:val="48"/>
        </w:numPr>
        <w:autoSpaceDE w:val="0"/>
        <w:autoSpaceDN w:val="0"/>
        <w:adjustRightInd w:val="0"/>
        <w:spacing w:after="240"/>
        <w:jc w:val="both"/>
        <w:rPr>
          <w:lang w:val="en-US"/>
        </w:rPr>
      </w:pPr>
      <w:r>
        <w:rPr>
          <w:lang w:val="en-US"/>
        </w:rPr>
        <w:t xml:space="preserve">commended the State party for ratifying the Convention without reservations (Tajikistan). </w:t>
      </w:r>
    </w:p>
    <w:p w:rsidR="00000000" w:rsidRDefault="00000000">
      <w:pPr>
        <w:autoSpaceDE w:val="0"/>
        <w:autoSpaceDN w:val="0"/>
        <w:adjustRightInd w:val="0"/>
        <w:spacing w:after="240"/>
        <w:jc w:val="both"/>
        <w:rPr>
          <w:lang w:val="en-US"/>
        </w:rPr>
      </w:pPr>
      <w:r>
        <w:rPr>
          <w:lang w:val="en-US"/>
        </w:rPr>
        <w:t xml:space="preserve">On one occasion the Committee </w:t>
      </w:r>
    </w:p>
    <w:p w:rsidR="00000000" w:rsidRDefault="00000000">
      <w:pPr>
        <w:numPr>
          <w:ilvl w:val="0"/>
          <w:numId w:val="48"/>
        </w:numPr>
        <w:autoSpaceDE w:val="0"/>
        <w:autoSpaceDN w:val="0"/>
        <w:adjustRightInd w:val="0"/>
        <w:spacing w:after="240"/>
        <w:jc w:val="both"/>
        <w:rPr>
          <w:lang w:val="en-US"/>
        </w:rPr>
      </w:pPr>
      <w:r>
        <w:rPr>
          <w:rFonts w:eastAsia="SimSun"/>
          <w:szCs w:val="24"/>
          <w:lang w:val="en-US" w:eastAsia="zh-CN"/>
        </w:rPr>
        <w:t xml:space="preserve">welcomed the partial withdrawal of the reservation to article 11 of the Convention (Austria). </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 xml:space="preserve">On three occasions the Committee </w:t>
      </w:r>
    </w:p>
    <w:p w:rsidR="00000000" w:rsidRDefault="00000000">
      <w:pPr>
        <w:numPr>
          <w:ilvl w:val="0"/>
          <w:numId w:val="48"/>
        </w:numPr>
        <w:autoSpaceDE w:val="0"/>
        <w:autoSpaceDN w:val="0"/>
        <w:adjustRightInd w:val="0"/>
        <w:spacing w:after="240"/>
        <w:jc w:val="both"/>
        <w:rPr>
          <w:lang w:val="en-US"/>
        </w:rPr>
      </w:pPr>
      <w:r>
        <w:rPr>
          <w:rFonts w:eastAsia="SimSun"/>
          <w:szCs w:val="24"/>
          <w:lang w:val="en-US" w:eastAsia="zh-CN"/>
        </w:rPr>
        <w:t xml:space="preserve">commended the State party for objecting to reservations entered by other States parties that it considers incompatible with the object and purpose of the Convention (Austria, Greece, Netherlands). </w:t>
      </w:r>
    </w:p>
    <w:p w:rsidR="00000000" w:rsidRDefault="00000000">
      <w:pPr>
        <w:autoSpaceDE w:val="0"/>
        <w:autoSpaceDN w:val="0"/>
        <w:adjustRightInd w:val="0"/>
        <w:spacing w:after="240"/>
        <w:jc w:val="both"/>
        <w:rPr>
          <w:lang w:val="en-US"/>
        </w:rPr>
      </w:pPr>
      <w:r>
        <w:rPr>
          <w:b/>
          <w:bCs/>
          <w:lang w:val="en-US"/>
        </w:rPr>
        <w:t>Critical remarks</w:t>
      </w:r>
      <w:r>
        <w:rPr>
          <w:lang w:val="en-US"/>
        </w:rPr>
        <w:t xml:space="preserve"> </w:t>
      </w:r>
    </w:p>
    <w:p w:rsidR="00000000" w:rsidRDefault="00000000">
      <w:pPr>
        <w:autoSpaceDE w:val="0"/>
        <w:autoSpaceDN w:val="0"/>
        <w:adjustRightInd w:val="0"/>
        <w:spacing w:after="240"/>
        <w:jc w:val="both"/>
        <w:rPr>
          <w:iCs/>
          <w:lang w:val="en-US"/>
        </w:rPr>
      </w:pPr>
      <w:r>
        <w:rPr>
          <w:iCs/>
          <w:lang w:val="en-US"/>
        </w:rPr>
        <w:t xml:space="preserve">On one occasion the Committee </w:t>
      </w:r>
    </w:p>
    <w:p w:rsidR="00000000" w:rsidRDefault="00000000">
      <w:pPr>
        <w:numPr>
          <w:ilvl w:val="0"/>
          <w:numId w:val="48"/>
        </w:numPr>
        <w:autoSpaceDE w:val="0"/>
        <w:autoSpaceDN w:val="0"/>
        <w:adjustRightInd w:val="0"/>
        <w:spacing w:after="240"/>
        <w:jc w:val="both"/>
        <w:rPr>
          <w:rFonts w:eastAsia="SimSun"/>
          <w:szCs w:val="24"/>
          <w:lang w:val="en-US" w:eastAsia="zh-CN"/>
        </w:rPr>
      </w:pPr>
      <w:r>
        <w:rPr>
          <w:rFonts w:eastAsia="SimSun"/>
          <w:szCs w:val="24"/>
          <w:lang w:val="en-US" w:eastAsia="zh-CN"/>
        </w:rPr>
        <w:t>expressed its concern that the State party is reluctant to withdraw its reservations to articles 5 (a) and 16 (1) of the Convention, and urged it to withdraw them, as well as to withdraw its reservation to article 16 (2) (India).</w:t>
      </w:r>
    </w:p>
    <w:p w:rsidR="00000000" w:rsidRDefault="00000000">
      <w:pPr>
        <w:autoSpaceDE w:val="0"/>
        <w:autoSpaceDN w:val="0"/>
        <w:adjustRightInd w:val="0"/>
        <w:spacing w:after="240"/>
        <w:jc w:val="both"/>
        <w:rPr>
          <w:iCs/>
          <w:lang w:val="en-US"/>
        </w:rPr>
      </w:pPr>
      <w:r>
        <w:rPr>
          <w:iCs/>
          <w:lang w:val="en-US"/>
        </w:rPr>
        <w:t xml:space="preserve">On one occasion the Committee </w:t>
      </w:r>
    </w:p>
    <w:p w:rsidR="00000000" w:rsidRDefault="00000000">
      <w:pPr>
        <w:numPr>
          <w:ilvl w:val="0"/>
          <w:numId w:val="48"/>
        </w:numPr>
        <w:autoSpaceDE w:val="0"/>
        <w:autoSpaceDN w:val="0"/>
        <w:adjustRightInd w:val="0"/>
        <w:spacing w:after="240"/>
        <w:jc w:val="both"/>
        <w:rPr>
          <w:rFonts w:eastAsia="SimSun"/>
          <w:szCs w:val="24"/>
          <w:lang w:val="en-US" w:eastAsia="zh-CN"/>
        </w:rPr>
      </w:pPr>
      <w:r>
        <w:rPr>
          <w:rFonts w:eastAsia="SimSun"/>
          <w:szCs w:val="24"/>
          <w:lang w:val="en-US" w:eastAsia="zh-CN"/>
        </w:rPr>
        <w:t>expressed its concern that the State party, in the last five years, has not taken any positive action with the aim of withdrawing its reservations to articles 7 (a) and 16 of the Convention, which are contrary to the object and purpose of the Convention, and called upon the State party to take necessary steps in this regard. (Maldives).</w:t>
      </w:r>
    </w:p>
    <w:p w:rsidR="00000000" w:rsidRDefault="00000000">
      <w:pPr>
        <w:autoSpaceDE w:val="0"/>
        <w:autoSpaceDN w:val="0"/>
        <w:adjustRightInd w:val="0"/>
        <w:spacing w:after="240"/>
        <w:jc w:val="both"/>
        <w:rPr>
          <w:iCs/>
          <w:lang w:val="en-US"/>
        </w:rPr>
      </w:pPr>
      <w:r>
        <w:rPr>
          <w:iCs/>
          <w:lang w:val="en-US"/>
        </w:rPr>
        <w:t xml:space="preserve">On one occasion the Committee </w:t>
      </w:r>
    </w:p>
    <w:p w:rsidR="00000000" w:rsidRDefault="00000000">
      <w:pPr>
        <w:numPr>
          <w:ilvl w:val="0"/>
          <w:numId w:val="48"/>
        </w:numPr>
        <w:autoSpaceDE w:val="0"/>
        <w:autoSpaceDN w:val="0"/>
        <w:adjustRightInd w:val="0"/>
        <w:spacing w:after="240"/>
        <w:jc w:val="both"/>
        <w:rPr>
          <w:rFonts w:eastAsia="SimSun"/>
          <w:szCs w:val="24"/>
          <w:lang w:val="en-US" w:eastAsia="zh-CN"/>
        </w:rPr>
      </w:pPr>
      <w:r>
        <w:rPr>
          <w:rFonts w:eastAsia="SimSun"/>
          <w:szCs w:val="24"/>
          <w:lang w:val="en-US" w:eastAsia="zh-CN"/>
        </w:rPr>
        <w:t>appealed to the Government of the State party to make further efforts to withdraw the remaining reservation to article 11 (Austria).</w:t>
      </w:r>
    </w:p>
    <w:p w:rsidR="00000000" w:rsidRDefault="00000000">
      <w:pPr>
        <w:autoSpaceDE w:val="0"/>
        <w:autoSpaceDN w:val="0"/>
        <w:adjustRightInd w:val="0"/>
        <w:spacing w:after="240"/>
        <w:jc w:val="both"/>
        <w:rPr>
          <w:i/>
          <w:iCs/>
          <w:lang w:val="en-US"/>
        </w:rPr>
      </w:pPr>
      <w:r>
        <w:rPr>
          <w:i/>
          <w:iCs/>
          <w:lang w:val="en-US"/>
        </w:rPr>
        <w:t>Tajikistan</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commends the State party for its accession to the Convention on the Elimination of All Forms of Discrimination against Women without reservations. (CEDAW/C/TJK/CO/3)</w:t>
      </w:r>
    </w:p>
    <w:p w:rsidR="00000000" w:rsidRDefault="00000000">
      <w:pPr>
        <w:autoSpaceDE w:val="0"/>
        <w:autoSpaceDN w:val="0"/>
        <w:adjustRightInd w:val="0"/>
        <w:spacing w:after="240"/>
        <w:jc w:val="both"/>
        <w:rPr>
          <w:rFonts w:eastAsia="SimSun"/>
          <w:i/>
          <w:iCs/>
          <w:szCs w:val="24"/>
          <w:lang w:val="en-US" w:eastAsia="zh-CN"/>
        </w:rPr>
      </w:pPr>
      <w:r>
        <w:rPr>
          <w:rFonts w:eastAsia="SimSun"/>
          <w:i/>
          <w:iCs/>
          <w:szCs w:val="24"/>
          <w:lang w:val="en-US" w:eastAsia="zh-CN"/>
        </w:rPr>
        <w:t xml:space="preserve">Austria </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While welcoming the partial withdrawal of the reservation to article 11 of the Convention with regard to the night work of women, the Committee notes that the reservation to article 11 with regard to the special protection of working women remains in place and appeals to the Government to make further efforts to withdraw the remaining reservation to article 11. (CEDAW/C/AUT/CO/6)</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also commends the State party for objecting to reservations entered by other States parties that it considers incompatible with the objective and purpose of the Convention. (CEDAW/C/AUT/CO/6)</w:t>
      </w:r>
    </w:p>
    <w:p w:rsidR="00000000" w:rsidRDefault="00000000">
      <w:pPr>
        <w:keepNext/>
        <w:autoSpaceDE w:val="0"/>
        <w:autoSpaceDN w:val="0"/>
        <w:adjustRightInd w:val="0"/>
        <w:spacing w:after="240"/>
        <w:jc w:val="both"/>
        <w:rPr>
          <w:rFonts w:eastAsia="SimSun"/>
          <w:i/>
          <w:iCs/>
          <w:szCs w:val="24"/>
          <w:lang w:val="en-US" w:eastAsia="zh-CN"/>
        </w:rPr>
      </w:pPr>
      <w:r>
        <w:rPr>
          <w:rFonts w:eastAsia="SimSun"/>
          <w:i/>
          <w:iCs/>
          <w:szCs w:val="24"/>
          <w:lang w:val="en-US" w:eastAsia="zh-CN"/>
        </w:rPr>
        <w:t>Greece</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 xml:space="preserve">The Committee also commends the State party for objecting to reservations entered by other States parties that it considers incompatible with the object and purpose of the Convention. (CEDAW/C/GRC/CO/6) </w:t>
      </w:r>
    </w:p>
    <w:p w:rsidR="00000000" w:rsidRDefault="00000000">
      <w:pPr>
        <w:autoSpaceDE w:val="0"/>
        <w:autoSpaceDN w:val="0"/>
        <w:adjustRightInd w:val="0"/>
        <w:spacing w:after="240"/>
        <w:jc w:val="both"/>
        <w:rPr>
          <w:i/>
          <w:iCs/>
          <w:lang w:val="en-US"/>
        </w:rPr>
      </w:pPr>
      <w:r>
        <w:rPr>
          <w:i/>
          <w:iCs/>
          <w:lang w:val="en-US"/>
        </w:rPr>
        <w:t xml:space="preserve">India </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is concerned by the State party’s reluctance to review its policy of non-interference in the personal laws of communities without their initiative and consent and to withdraw its reservations to articles 5 (a) and 16 (1) of the Convention, which stand in contradiction not only to the overall spirit and aim of the Convention but also to the State party’s existing constitutional guarantees of equality and non-discrimination.</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 xml:space="preserve">The Committee urges the State party to review its reservations to articles 5 (a) and 16 (1) with a view to withdrawing them, to proactively initiate and encourage debate within the relevant communities on gender equality and the human rights of women and, in particular, work with and support women’s groups as members of these communities so as to (a) modify social and cultural patterns of conduct to achieve elimination of prejudices and practices based on stereotyped roles for men and women and (b) review and reform personal laws of different ethnic and religious groups to ensure de </w:t>
      </w:r>
      <w:proofErr w:type="spellStart"/>
      <w:r>
        <w:rPr>
          <w:rFonts w:eastAsia="SimSun"/>
          <w:szCs w:val="24"/>
          <w:lang w:val="en-US" w:eastAsia="zh-CN"/>
        </w:rPr>
        <w:t>jure</w:t>
      </w:r>
      <w:proofErr w:type="spellEnd"/>
      <w:r>
        <w:rPr>
          <w:rFonts w:eastAsia="SimSun"/>
          <w:szCs w:val="24"/>
          <w:lang w:val="en-US" w:eastAsia="zh-CN"/>
        </w:rPr>
        <w:t xml:space="preserve"> gender equality and compliance with the Convention.</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recommends that the State party take proactive measures to speedily enact legislation to require compulsory registration of all marriages, work with states and union territories to effectively implement such legislation and to consider withdrawing its reservation to article 16 (2). (CEDAW/C/IND/CO/3)</w:t>
      </w:r>
    </w:p>
    <w:p w:rsidR="00000000" w:rsidRDefault="00000000">
      <w:pPr>
        <w:autoSpaceDE w:val="0"/>
        <w:autoSpaceDN w:val="0"/>
        <w:adjustRightInd w:val="0"/>
        <w:spacing w:after="240"/>
        <w:jc w:val="both"/>
        <w:rPr>
          <w:rFonts w:eastAsia="SimSun"/>
          <w:i/>
          <w:iCs/>
          <w:szCs w:val="24"/>
          <w:lang w:val="en-US" w:eastAsia="zh-CN"/>
        </w:rPr>
      </w:pPr>
      <w:r>
        <w:rPr>
          <w:rFonts w:eastAsia="SimSun"/>
          <w:i/>
          <w:iCs/>
          <w:szCs w:val="24"/>
          <w:lang w:val="en-US" w:eastAsia="zh-CN"/>
        </w:rPr>
        <w:t>Maldives</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also notes that Maldives has not withdrawn its reservations to articles 7 (a) and 16 of the Convention.</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While welcoming the statement by the delegation that the Government of Maldives has entered into formal discussions on the withdrawal of the reservations made to articles 7 (a) and 16 of the Convention, the Committee is deeply concerned that, despite a similar statement made by the delegation when the Committee considered the initial report of the State party, no positive action in this regard has been taken in the last five years. The Committee draws the attention of the State party to the fact that reservations to articles 7 (a) and 16 are contrary to the object and purpose of the Convention.</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calls upon the State party to accelerate the process of removing the Constitutional provision that bars women from the country’s presidency and vice-presidency, which is contrary to the principle of equality of women and men contained in article 2 of the Convention, so that the State party may withdraw its reservation to article 7 (a) of the Convention. It also calls upon the State party to make the necessary revisions to law in the area of marriage and family relations without delay in order to facilitate the withdrawal of the reservation to article 16, which is contrary to the object and purpose of the Convention, and to indicate in its next periodic report, if still relevant, a time frame for its withdrawal. (CEDAW/C/MDV/CO/3)</w:t>
      </w:r>
    </w:p>
    <w:p w:rsidR="00000000" w:rsidRDefault="00000000">
      <w:pPr>
        <w:autoSpaceDE w:val="0"/>
        <w:autoSpaceDN w:val="0"/>
        <w:adjustRightInd w:val="0"/>
        <w:spacing w:after="240"/>
        <w:jc w:val="both"/>
        <w:rPr>
          <w:rFonts w:eastAsia="SimSun"/>
          <w:i/>
          <w:iCs/>
          <w:szCs w:val="24"/>
          <w:lang w:val="en-US" w:eastAsia="zh-CN"/>
        </w:rPr>
      </w:pPr>
      <w:r>
        <w:rPr>
          <w:rFonts w:eastAsia="SimSun"/>
          <w:i/>
          <w:iCs/>
          <w:szCs w:val="24"/>
          <w:lang w:val="en-US" w:eastAsia="zh-CN"/>
        </w:rPr>
        <w:t xml:space="preserve">Netherlands </w:t>
      </w:r>
    </w:p>
    <w:p w:rsidR="00000000" w:rsidRDefault="00000000">
      <w:pPr>
        <w:autoSpaceDE w:val="0"/>
        <w:autoSpaceDN w:val="0"/>
        <w:adjustRightInd w:val="0"/>
        <w:spacing w:after="240"/>
        <w:jc w:val="both"/>
        <w:rPr>
          <w:rFonts w:eastAsia="SimSun"/>
          <w:szCs w:val="24"/>
          <w:lang w:val="en-US" w:eastAsia="zh-CN"/>
        </w:rPr>
      </w:pPr>
      <w:r>
        <w:rPr>
          <w:rFonts w:eastAsia="SimSun"/>
          <w:szCs w:val="24"/>
          <w:lang w:val="en-US" w:eastAsia="zh-CN"/>
        </w:rPr>
        <w:t>The Committee commends the State party for objecting to reservations entered by other States parties that it considers incompatible with the object and purpose of the Convention. (CEDAW/C/NLD/CO/4)</w:t>
      </w:r>
    </w:p>
    <w:p w:rsidR="00000000" w:rsidRDefault="00000000">
      <w:pPr>
        <w:numPr>
          <w:ilvl w:val="0"/>
          <w:numId w:val="49"/>
        </w:numPr>
        <w:tabs>
          <w:tab w:val="left" w:pos="480"/>
          <w:tab w:val="left" w:pos="1080"/>
          <w:tab w:val="left" w:leader="dot" w:pos="8220"/>
          <w:tab w:val="right" w:pos="9043"/>
        </w:tabs>
        <w:spacing w:after="240"/>
        <w:jc w:val="both"/>
        <w:rPr>
          <w:b/>
          <w:bCs/>
          <w:lang w:val="en-US"/>
        </w:rPr>
      </w:pPr>
      <w:r>
        <w:rPr>
          <w:b/>
          <w:bCs/>
          <w:lang w:val="en-US"/>
        </w:rPr>
        <w:t>Committee against Torture</w:t>
      </w:r>
    </w:p>
    <w:p w:rsidR="00000000" w:rsidRDefault="00000000">
      <w:pPr>
        <w:autoSpaceDE w:val="0"/>
        <w:autoSpaceDN w:val="0"/>
        <w:adjustRightInd w:val="0"/>
        <w:spacing w:after="240"/>
        <w:jc w:val="both"/>
        <w:rPr>
          <w:b/>
          <w:bCs/>
          <w:lang w:val="en-US"/>
        </w:rPr>
      </w:pPr>
      <w:r>
        <w:rPr>
          <w:b/>
          <w:bCs/>
          <w:lang w:val="en-US"/>
        </w:rPr>
        <w:t>Positive remark</w:t>
      </w:r>
    </w:p>
    <w:p w:rsidR="00000000" w:rsidRDefault="00000000">
      <w:pPr>
        <w:autoSpaceDE w:val="0"/>
        <w:autoSpaceDN w:val="0"/>
        <w:adjustRightInd w:val="0"/>
        <w:spacing w:after="240"/>
        <w:jc w:val="both"/>
        <w:rPr>
          <w:lang w:val="en-US"/>
        </w:rPr>
      </w:pPr>
      <w:r>
        <w:rPr>
          <w:lang w:val="en-US"/>
        </w:rPr>
        <w:t xml:space="preserve">On one occasion the Committee </w:t>
      </w:r>
    </w:p>
    <w:p w:rsidR="00000000" w:rsidRDefault="00000000">
      <w:pPr>
        <w:numPr>
          <w:ilvl w:val="0"/>
          <w:numId w:val="48"/>
        </w:numPr>
        <w:autoSpaceDE w:val="0"/>
        <w:autoSpaceDN w:val="0"/>
        <w:adjustRightInd w:val="0"/>
        <w:spacing w:after="240"/>
        <w:jc w:val="both"/>
        <w:rPr>
          <w:lang w:val="en-US"/>
        </w:rPr>
      </w:pPr>
      <w:r>
        <w:rPr>
          <w:rFonts w:eastAsia="SimSun"/>
          <w:szCs w:val="24"/>
          <w:lang w:val="en-US" w:eastAsia="zh-CN"/>
        </w:rPr>
        <w:t xml:space="preserve">welcomed the withdrawal of the reservation to article 20 of the Convention (Ukraine). </w:t>
      </w:r>
    </w:p>
    <w:p w:rsidR="00000000" w:rsidRDefault="00000000">
      <w:pPr>
        <w:tabs>
          <w:tab w:val="left" w:pos="480"/>
          <w:tab w:val="left" w:pos="1080"/>
          <w:tab w:val="left" w:leader="dot" w:pos="8220"/>
          <w:tab w:val="right" w:pos="9043"/>
        </w:tabs>
        <w:spacing w:after="240"/>
        <w:jc w:val="both"/>
        <w:rPr>
          <w:i/>
          <w:iCs/>
          <w:lang w:val="en-US"/>
        </w:rPr>
      </w:pPr>
      <w:r>
        <w:rPr>
          <w:i/>
          <w:iCs/>
          <w:lang w:val="en-US"/>
        </w:rPr>
        <w:t>Ukraine</w:t>
      </w:r>
    </w:p>
    <w:p w:rsidR="00000000" w:rsidRDefault="00000000">
      <w:pPr>
        <w:spacing w:after="240"/>
        <w:rPr>
          <w:lang w:val="en-US"/>
        </w:rPr>
      </w:pPr>
      <w:r>
        <w:rPr>
          <w:lang w:val="en-US"/>
        </w:rPr>
        <w:t>With regard specifically to the prevention of torture, the Committee welcomes the declaration made, in September 2003, under articles 21 and 22 of the Convention, that the State party recognizes the competence of the Committee to receive and consider State and individual communications, as well as the withdrawal of its reservation to article 20 of the Convention and the ratification of the Optional Protocol to the Convention, in September 2006. (CAT/C/UKR/CO/5)</w:t>
      </w:r>
    </w:p>
    <w:p w:rsidR="00000000" w:rsidRDefault="00000000">
      <w:pPr>
        <w:autoSpaceDE w:val="0"/>
        <w:autoSpaceDN w:val="0"/>
        <w:adjustRightInd w:val="0"/>
        <w:spacing w:after="240"/>
        <w:jc w:val="center"/>
        <w:rPr>
          <w:b/>
          <w:bCs/>
          <w:lang w:val="en-US"/>
        </w:rPr>
      </w:pPr>
      <w:r>
        <w:rPr>
          <w:b/>
          <w:bCs/>
          <w:lang w:val="en-US"/>
        </w:rPr>
        <w:br w:type="page"/>
        <w:t>Annex 3</w:t>
      </w:r>
    </w:p>
    <w:p w:rsidR="00000000" w:rsidRDefault="00000000">
      <w:pPr>
        <w:spacing w:after="240"/>
        <w:jc w:val="center"/>
        <w:rPr>
          <w:b/>
          <w:bCs/>
          <w:lang w:val="en-US"/>
        </w:rPr>
      </w:pPr>
      <w:r>
        <w:rPr>
          <w:b/>
          <w:bCs/>
          <w:lang w:val="en-US"/>
        </w:rPr>
        <w:t>Table of reservations, objections and withdrawals (February – May 2007)</w:t>
      </w:r>
    </w:p>
    <w:p w:rsidR="00000000" w:rsidRDefault="00000000">
      <w:pPr>
        <w:spacing w:after="240"/>
        <w:jc w:val="center"/>
        <w:rPr>
          <w:b/>
          <w:bCs/>
          <w:lang w:val="en-US"/>
        </w:rPr>
      </w:pPr>
      <w:r>
        <w:rPr>
          <w:b/>
          <w:bCs/>
          <w:lang w:val="en-US"/>
        </w:rPr>
        <w:t>A. Convention on the Elimination of All Forms of Discrimination against Women</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388"/>
        <w:gridCol w:w="1640"/>
        <w:gridCol w:w="1531"/>
        <w:gridCol w:w="1336"/>
        <w:gridCol w:w="1336"/>
      </w:tblGrid>
      <w:tr w:rsidR="00000000">
        <w:trPr>
          <w:tblHeader/>
          <w:jc w:val="center"/>
        </w:trPr>
        <w:tc>
          <w:tcPr>
            <w:tcW w:w="1331" w:type="dxa"/>
          </w:tcPr>
          <w:p w:rsidR="00000000" w:rsidRDefault="00000000">
            <w:pPr>
              <w:jc w:val="both"/>
              <w:rPr>
                <w:sz w:val="20"/>
                <w:lang w:val="en-US"/>
              </w:rPr>
            </w:pPr>
            <w:r>
              <w:rPr>
                <w:sz w:val="20"/>
                <w:lang w:val="en-US"/>
              </w:rPr>
              <w:t>Substantive provisions by article</w:t>
            </w:r>
          </w:p>
        </w:tc>
        <w:tc>
          <w:tcPr>
            <w:tcW w:w="1388" w:type="dxa"/>
          </w:tcPr>
          <w:p w:rsidR="00000000" w:rsidRDefault="00000000">
            <w:pPr>
              <w:jc w:val="both"/>
              <w:rPr>
                <w:sz w:val="20"/>
                <w:lang w:val="en-US"/>
              </w:rPr>
            </w:pPr>
            <w:r>
              <w:rPr>
                <w:sz w:val="20"/>
                <w:lang w:val="en-US"/>
              </w:rPr>
              <w:t>Reservations</w:t>
            </w:r>
          </w:p>
        </w:tc>
        <w:tc>
          <w:tcPr>
            <w:tcW w:w="1640"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31" w:type="dxa"/>
          </w:tcPr>
          <w:p w:rsidR="00000000" w:rsidRDefault="00000000">
            <w:pPr>
              <w:jc w:val="both"/>
              <w:rPr>
                <w:sz w:val="20"/>
                <w:lang w:val="en-US"/>
              </w:rPr>
            </w:pPr>
            <w:r>
              <w:rPr>
                <w:sz w:val="20"/>
                <w:lang w:val="en-US"/>
              </w:rPr>
              <w:t>Objections</w:t>
            </w:r>
          </w:p>
        </w:tc>
        <w:tc>
          <w:tcPr>
            <w:tcW w:w="1336"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36"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31" w:type="dxa"/>
          </w:tcPr>
          <w:p w:rsidR="00000000" w:rsidRDefault="00000000">
            <w:pPr>
              <w:jc w:val="both"/>
              <w:rPr>
                <w:sz w:val="20"/>
                <w:lang w:val="en-US"/>
              </w:rPr>
            </w:pPr>
            <w:r>
              <w:rPr>
                <w:sz w:val="20"/>
                <w:lang w:val="en-US"/>
              </w:rPr>
              <w:t>Global</w:t>
            </w:r>
          </w:p>
          <w:p w:rsidR="00000000" w:rsidRDefault="00000000">
            <w:pPr>
              <w:jc w:val="both"/>
              <w:rPr>
                <w:sz w:val="20"/>
                <w:lang w:val="en-US"/>
              </w:rPr>
            </w:pPr>
            <w:r>
              <w:rPr>
                <w:sz w:val="20"/>
                <w:lang w:val="en-US"/>
              </w:rPr>
              <w:t>Articles 9(2), 15(4), 16 (a, c, f), 29(1)</w:t>
            </w:r>
          </w:p>
        </w:tc>
        <w:tc>
          <w:tcPr>
            <w:tcW w:w="1388" w:type="dxa"/>
          </w:tcPr>
          <w:p w:rsidR="00000000" w:rsidRDefault="00000000">
            <w:pPr>
              <w:jc w:val="both"/>
              <w:rPr>
                <w:sz w:val="20"/>
                <w:lang w:val="en-US"/>
              </w:rPr>
            </w:pPr>
            <w:r>
              <w:rPr>
                <w:sz w:val="20"/>
                <w:lang w:val="en-US"/>
              </w:rPr>
              <w:t>Oman</w:t>
            </w:r>
          </w:p>
        </w:tc>
        <w:tc>
          <w:tcPr>
            <w:tcW w:w="1640" w:type="dxa"/>
          </w:tcPr>
          <w:p w:rsidR="00000000" w:rsidRDefault="00000000">
            <w:pPr>
              <w:jc w:val="both"/>
              <w:rPr>
                <w:sz w:val="20"/>
                <w:lang w:val="en-US"/>
              </w:rPr>
            </w:pPr>
          </w:p>
        </w:tc>
        <w:tc>
          <w:tcPr>
            <w:tcW w:w="1531" w:type="dxa"/>
          </w:tcPr>
          <w:p w:rsidR="00000000" w:rsidRDefault="00000000">
            <w:pPr>
              <w:jc w:val="both"/>
              <w:rPr>
                <w:sz w:val="20"/>
                <w:lang w:val="en-US"/>
              </w:rPr>
            </w:pPr>
            <w:r>
              <w:rPr>
                <w:sz w:val="20"/>
                <w:lang w:val="en-US"/>
              </w:rPr>
              <w:t>Belgium, Finland, France, Hungary, Poland,  Portugal, Romania, Slovakia, Spain,  Sweden, United Kingdom</w:t>
            </w:r>
          </w:p>
        </w:tc>
        <w:tc>
          <w:tcPr>
            <w:tcW w:w="1336" w:type="dxa"/>
          </w:tcPr>
          <w:p w:rsidR="00000000" w:rsidRDefault="00000000">
            <w:pPr>
              <w:jc w:val="both"/>
              <w:rPr>
                <w:sz w:val="20"/>
                <w:lang w:val="en-US"/>
              </w:rPr>
            </w:pPr>
          </w:p>
        </w:tc>
        <w:tc>
          <w:tcPr>
            <w:tcW w:w="1336" w:type="dxa"/>
          </w:tcPr>
          <w:p w:rsidR="00000000" w:rsidRDefault="00000000">
            <w:pPr>
              <w:jc w:val="both"/>
              <w:rPr>
                <w:sz w:val="20"/>
                <w:lang w:val="en-US"/>
              </w:rPr>
            </w:pPr>
          </w:p>
        </w:tc>
      </w:tr>
      <w:tr w:rsidR="00000000">
        <w:trPr>
          <w:jc w:val="center"/>
        </w:trPr>
        <w:tc>
          <w:tcPr>
            <w:tcW w:w="1331" w:type="dxa"/>
          </w:tcPr>
          <w:p w:rsidR="00000000" w:rsidRDefault="00000000">
            <w:pPr>
              <w:jc w:val="both"/>
              <w:rPr>
                <w:sz w:val="20"/>
                <w:lang w:val="en-US"/>
              </w:rPr>
            </w:pPr>
            <w:r>
              <w:rPr>
                <w:sz w:val="20"/>
                <w:lang w:val="en-US"/>
              </w:rPr>
              <w:t>Global</w:t>
            </w:r>
          </w:p>
          <w:p w:rsidR="00000000" w:rsidRDefault="00000000">
            <w:pPr>
              <w:jc w:val="both"/>
              <w:rPr>
                <w:sz w:val="20"/>
                <w:lang w:val="en-US"/>
              </w:rPr>
            </w:pPr>
            <w:r>
              <w:rPr>
                <w:sz w:val="20"/>
                <w:lang w:val="en-US"/>
              </w:rPr>
              <w:t>Articles 9(2) and 29(1)</w:t>
            </w:r>
          </w:p>
        </w:tc>
        <w:tc>
          <w:tcPr>
            <w:tcW w:w="1388" w:type="dxa"/>
          </w:tcPr>
          <w:p w:rsidR="00000000" w:rsidRDefault="00000000">
            <w:pPr>
              <w:jc w:val="both"/>
              <w:rPr>
                <w:sz w:val="20"/>
                <w:lang w:val="en-US"/>
              </w:rPr>
            </w:pPr>
            <w:r>
              <w:rPr>
                <w:sz w:val="20"/>
                <w:lang w:val="en-US"/>
              </w:rPr>
              <w:t>Brunei</w:t>
            </w:r>
          </w:p>
        </w:tc>
        <w:tc>
          <w:tcPr>
            <w:tcW w:w="1640" w:type="dxa"/>
          </w:tcPr>
          <w:p w:rsidR="00000000" w:rsidRDefault="00000000">
            <w:pPr>
              <w:jc w:val="both"/>
              <w:rPr>
                <w:sz w:val="20"/>
                <w:lang w:val="en-US"/>
              </w:rPr>
            </w:pPr>
          </w:p>
        </w:tc>
        <w:tc>
          <w:tcPr>
            <w:tcW w:w="1531" w:type="dxa"/>
          </w:tcPr>
          <w:p w:rsidR="00000000" w:rsidRDefault="00000000">
            <w:pPr>
              <w:jc w:val="both"/>
              <w:rPr>
                <w:sz w:val="20"/>
                <w:lang w:val="en-US"/>
              </w:rPr>
            </w:pPr>
            <w:r>
              <w:rPr>
                <w:sz w:val="20"/>
                <w:lang w:val="en-US"/>
              </w:rPr>
              <w:t>Belgium, Czech Republic, Finland, Hungary, Netherlands, Norway, Portugal, Romania, Sweden</w:t>
            </w:r>
          </w:p>
        </w:tc>
        <w:tc>
          <w:tcPr>
            <w:tcW w:w="1336" w:type="dxa"/>
          </w:tcPr>
          <w:p w:rsidR="00000000" w:rsidRDefault="00000000">
            <w:pPr>
              <w:jc w:val="both"/>
              <w:rPr>
                <w:sz w:val="20"/>
                <w:lang w:val="en-US"/>
              </w:rPr>
            </w:pPr>
          </w:p>
        </w:tc>
        <w:tc>
          <w:tcPr>
            <w:tcW w:w="1336" w:type="dxa"/>
          </w:tcPr>
          <w:p w:rsidR="00000000" w:rsidRDefault="00000000">
            <w:pPr>
              <w:jc w:val="both"/>
              <w:rPr>
                <w:sz w:val="20"/>
                <w:lang w:val="en-US"/>
              </w:rPr>
            </w:pPr>
          </w:p>
        </w:tc>
      </w:tr>
    </w:tbl>
    <w:p w:rsidR="00000000" w:rsidRDefault="00000000">
      <w:pPr>
        <w:spacing w:before="240" w:after="240"/>
        <w:jc w:val="center"/>
        <w:rPr>
          <w:b/>
          <w:bCs/>
          <w:lang w:val="en-US"/>
        </w:rPr>
      </w:pPr>
      <w:r>
        <w:rPr>
          <w:b/>
          <w:bCs/>
          <w:lang w:val="en-US"/>
        </w:rPr>
        <w:t>B. International Covenant on Civil and Political Rights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jc w:val="both"/>
              <w:rPr>
                <w:sz w:val="20"/>
                <w:lang w:val="en-US"/>
              </w:rPr>
            </w:pPr>
            <w:r>
              <w:rPr>
                <w:sz w:val="20"/>
                <w:lang w:val="en-US"/>
              </w:rPr>
              <w:t>Substantive provisions by article</w:t>
            </w:r>
          </w:p>
        </w:tc>
        <w:tc>
          <w:tcPr>
            <w:tcW w:w="1389" w:type="dxa"/>
          </w:tcPr>
          <w:p w:rsidR="00000000" w:rsidRDefault="00000000">
            <w:pPr>
              <w:jc w:val="both"/>
              <w:rPr>
                <w:sz w:val="20"/>
                <w:lang w:val="en-US"/>
              </w:rPr>
            </w:pPr>
            <w:r>
              <w:rPr>
                <w:sz w:val="20"/>
                <w:lang w:val="en-US"/>
              </w:rPr>
              <w:t>Reservations</w:t>
            </w:r>
          </w:p>
        </w:tc>
        <w:tc>
          <w:tcPr>
            <w:tcW w:w="1639"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31" w:type="dxa"/>
          </w:tcPr>
          <w:p w:rsidR="00000000" w:rsidRDefault="00000000">
            <w:pPr>
              <w:jc w:val="both"/>
              <w:rPr>
                <w:sz w:val="20"/>
                <w:lang w:val="en-US"/>
              </w:rPr>
            </w:pPr>
            <w:r>
              <w:rPr>
                <w:sz w:val="20"/>
                <w:lang w:val="en-US"/>
              </w:rPr>
              <w:t>Objections</w:t>
            </w:r>
          </w:p>
        </w:tc>
        <w:tc>
          <w:tcPr>
            <w:tcW w:w="1338"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32"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32" w:type="dxa"/>
          </w:tcPr>
          <w:p w:rsidR="00000000" w:rsidRDefault="00000000">
            <w:pPr>
              <w:jc w:val="both"/>
              <w:rPr>
                <w:sz w:val="20"/>
                <w:lang w:val="en-US"/>
              </w:rPr>
            </w:pPr>
            <w:r>
              <w:rPr>
                <w:sz w:val="20"/>
                <w:lang w:val="en-US"/>
              </w:rPr>
              <w:t>Articles 10(2)(b), 14(1) and 14(5)</w:t>
            </w:r>
          </w:p>
        </w:tc>
        <w:tc>
          <w:tcPr>
            <w:tcW w:w="1389" w:type="dxa"/>
          </w:tcPr>
          <w:p w:rsidR="00000000" w:rsidRDefault="00000000">
            <w:pPr>
              <w:jc w:val="both"/>
              <w:rPr>
                <w:sz w:val="20"/>
                <w:lang w:val="en-US"/>
              </w:rPr>
            </w:pPr>
          </w:p>
        </w:tc>
        <w:tc>
          <w:tcPr>
            <w:tcW w:w="1639" w:type="dxa"/>
          </w:tcPr>
          <w:p w:rsidR="00000000" w:rsidRDefault="00000000">
            <w:pPr>
              <w:jc w:val="both"/>
              <w:rPr>
                <w:sz w:val="20"/>
                <w:lang w:val="en-US"/>
              </w:rPr>
            </w:pPr>
          </w:p>
        </w:tc>
        <w:tc>
          <w:tcPr>
            <w:tcW w:w="1531" w:type="dxa"/>
          </w:tcPr>
          <w:p w:rsidR="00000000" w:rsidRDefault="00000000">
            <w:pPr>
              <w:jc w:val="both"/>
              <w:rPr>
                <w:sz w:val="20"/>
                <w:lang w:val="en-US"/>
              </w:rPr>
            </w:pPr>
          </w:p>
        </w:tc>
        <w:tc>
          <w:tcPr>
            <w:tcW w:w="1338" w:type="dxa"/>
          </w:tcPr>
          <w:p w:rsidR="00000000" w:rsidRDefault="00000000">
            <w:pPr>
              <w:jc w:val="both"/>
              <w:rPr>
                <w:sz w:val="20"/>
                <w:lang w:val="en-US"/>
              </w:rPr>
            </w:pPr>
          </w:p>
        </w:tc>
        <w:tc>
          <w:tcPr>
            <w:tcW w:w="1332" w:type="dxa"/>
          </w:tcPr>
          <w:p w:rsidR="00000000" w:rsidRDefault="00000000">
            <w:pPr>
              <w:jc w:val="both"/>
              <w:rPr>
                <w:sz w:val="20"/>
                <w:lang w:val="en-US"/>
              </w:rPr>
            </w:pPr>
            <w:r>
              <w:rPr>
                <w:sz w:val="20"/>
                <w:lang w:val="en-US"/>
              </w:rPr>
              <w:t>Switzerland</w:t>
            </w:r>
          </w:p>
        </w:tc>
      </w:tr>
      <w:tr w:rsidR="00000000">
        <w:trPr>
          <w:jc w:val="center"/>
        </w:trPr>
        <w:tc>
          <w:tcPr>
            <w:tcW w:w="1332" w:type="dxa"/>
          </w:tcPr>
          <w:p w:rsidR="00000000" w:rsidRDefault="00000000">
            <w:pPr>
              <w:jc w:val="both"/>
              <w:rPr>
                <w:sz w:val="20"/>
                <w:lang w:val="en-US"/>
              </w:rPr>
            </w:pPr>
            <w:r>
              <w:rPr>
                <w:sz w:val="20"/>
                <w:lang w:val="en-US"/>
              </w:rPr>
              <w:t>Article 14(5)</w:t>
            </w:r>
          </w:p>
        </w:tc>
        <w:tc>
          <w:tcPr>
            <w:tcW w:w="1389" w:type="dxa"/>
          </w:tcPr>
          <w:p w:rsidR="00000000" w:rsidRDefault="00000000">
            <w:pPr>
              <w:jc w:val="both"/>
              <w:rPr>
                <w:sz w:val="20"/>
                <w:lang w:val="en-US"/>
              </w:rPr>
            </w:pPr>
          </w:p>
        </w:tc>
        <w:tc>
          <w:tcPr>
            <w:tcW w:w="1639" w:type="dxa"/>
          </w:tcPr>
          <w:p w:rsidR="00000000" w:rsidRDefault="00000000">
            <w:pPr>
              <w:jc w:val="both"/>
              <w:rPr>
                <w:sz w:val="20"/>
                <w:lang w:val="en-US"/>
              </w:rPr>
            </w:pPr>
          </w:p>
        </w:tc>
        <w:tc>
          <w:tcPr>
            <w:tcW w:w="1531" w:type="dxa"/>
          </w:tcPr>
          <w:p w:rsidR="00000000" w:rsidRDefault="00000000">
            <w:pPr>
              <w:jc w:val="both"/>
              <w:rPr>
                <w:sz w:val="20"/>
                <w:lang w:val="en-US"/>
              </w:rPr>
            </w:pPr>
          </w:p>
        </w:tc>
        <w:tc>
          <w:tcPr>
            <w:tcW w:w="1338" w:type="dxa"/>
          </w:tcPr>
          <w:p w:rsidR="00000000" w:rsidRDefault="00000000">
            <w:pPr>
              <w:jc w:val="both"/>
              <w:rPr>
                <w:sz w:val="20"/>
                <w:lang w:val="en-US"/>
              </w:rPr>
            </w:pPr>
          </w:p>
        </w:tc>
        <w:tc>
          <w:tcPr>
            <w:tcW w:w="1332" w:type="dxa"/>
          </w:tcPr>
          <w:p w:rsidR="00000000" w:rsidRDefault="00000000">
            <w:pPr>
              <w:jc w:val="both"/>
              <w:rPr>
                <w:sz w:val="20"/>
                <w:lang w:val="en-US"/>
              </w:rPr>
            </w:pPr>
            <w:r>
              <w:rPr>
                <w:sz w:val="20"/>
                <w:lang w:val="en-US"/>
              </w:rPr>
              <w:t>Republic of Korea</w:t>
            </w:r>
          </w:p>
        </w:tc>
      </w:tr>
    </w:tbl>
    <w:p w:rsidR="00000000" w:rsidRDefault="00000000">
      <w:pPr>
        <w:spacing w:before="240" w:after="240"/>
        <w:jc w:val="center"/>
        <w:rPr>
          <w:b/>
          <w:bCs/>
          <w:lang w:val="en-US"/>
        </w:rPr>
      </w:pPr>
      <w:r>
        <w:rPr>
          <w:b/>
          <w:bCs/>
          <w:lang w:val="en-US"/>
        </w:rPr>
        <w:t>C. Optional Protocol to the Convention on the Elimination of All Forms of Discrimination against Women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89"/>
        <w:gridCol w:w="1639"/>
        <w:gridCol w:w="1531"/>
        <w:gridCol w:w="1338"/>
        <w:gridCol w:w="1332"/>
      </w:tblGrid>
      <w:tr w:rsidR="00000000">
        <w:trPr>
          <w:jc w:val="center"/>
        </w:trPr>
        <w:tc>
          <w:tcPr>
            <w:tcW w:w="1332" w:type="dxa"/>
          </w:tcPr>
          <w:p w:rsidR="00000000" w:rsidRDefault="00000000">
            <w:pPr>
              <w:jc w:val="both"/>
              <w:rPr>
                <w:sz w:val="20"/>
                <w:lang w:val="en-US"/>
              </w:rPr>
            </w:pPr>
            <w:r>
              <w:rPr>
                <w:sz w:val="20"/>
                <w:lang w:val="en-US"/>
              </w:rPr>
              <w:t>Substantive provisions by article</w:t>
            </w:r>
          </w:p>
        </w:tc>
        <w:tc>
          <w:tcPr>
            <w:tcW w:w="1389" w:type="dxa"/>
          </w:tcPr>
          <w:p w:rsidR="00000000" w:rsidRDefault="00000000">
            <w:pPr>
              <w:jc w:val="both"/>
              <w:rPr>
                <w:sz w:val="20"/>
                <w:lang w:val="en-US"/>
              </w:rPr>
            </w:pPr>
            <w:r>
              <w:rPr>
                <w:sz w:val="20"/>
                <w:lang w:val="en-US"/>
              </w:rPr>
              <w:t>Reservations</w:t>
            </w:r>
          </w:p>
        </w:tc>
        <w:tc>
          <w:tcPr>
            <w:tcW w:w="1639"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31" w:type="dxa"/>
          </w:tcPr>
          <w:p w:rsidR="00000000" w:rsidRDefault="00000000">
            <w:pPr>
              <w:jc w:val="both"/>
              <w:rPr>
                <w:sz w:val="20"/>
                <w:lang w:val="en-US"/>
              </w:rPr>
            </w:pPr>
            <w:r>
              <w:rPr>
                <w:sz w:val="20"/>
                <w:lang w:val="en-US"/>
              </w:rPr>
              <w:t>Objections</w:t>
            </w:r>
          </w:p>
        </w:tc>
        <w:tc>
          <w:tcPr>
            <w:tcW w:w="1338"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32"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32" w:type="dxa"/>
          </w:tcPr>
          <w:p w:rsidR="00000000" w:rsidRDefault="00000000">
            <w:pPr>
              <w:jc w:val="both"/>
              <w:rPr>
                <w:sz w:val="20"/>
                <w:lang w:val="en-US"/>
              </w:rPr>
            </w:pPr>
            <w:r>
              <w:rPr>
                <w:sz w:val="20"/>
                <w:lang w:val="en-US"/>
              </w:rPr>
              <w:t>Articles 5, 8 and 9</w:t>
            </w:r>
          </w:p>
        </w:tc>
        <w:tc>
          <w:tcPr>
            <w:tcW w:w="1389" w:type="dxa"/>
          </w:tcPr>
          <w:p w:rsidR="00000000" w:rsidRDefault="00000000">
            <w:pPr>
              <w:jc w:val="both"/>
              <w:rPr>
                <w:sz w:val="20"/>
                <w:lang w:val="en-US"/>
              </w:rPr>
            </w:pPr>
          </w:p>
        </w:tc>
        <w:tc>
          <w:tcPr>
            <w:tcW w:w="1639" w:type="dxa"/>
          </w:tcPr>
          <w:p w:rsidR="00000000" w:rsidRDefault="00000000">
            <w:pPr>
              <w:jc w:val="both"/>
              <w:rPr>
                <w:sz w:val="20"/>
                <w:lang w:val="en-US"/>
              </w:rPr>
            </w:pPr>
            <w:r>
              <w:rPr>
                <w:sz w:val="20"/>
                <w:lang w:val="en-US"/>
              </w:rPr>
              <w:t>Colombia</w:t>
            </w:r>
          </w:p>
        </w:tc>
        <w:tc>
          <w:tcPr>
            <w:tcW w:w="1531" w:type="dxa"/>
          </w:tcPr>
          <w:p w:rsidR="00000000" w:rsidRDefault="00000000">
            <w:pPr>
              <w:jc w:val="both"/>
              <w:rPr>
                <w:sz w:val="20"/>
                <w:lang w:val="en-US"/>
              </w:rPr>
            </w:pPr>
          </w:p>
        </w:tc>
        <w:tc>
          <w:tcPr>
            <w:tcW w:w="1338" w:type="dxa"/>
          </w:tcPr>
          <w:p w:rsidR="00000000" w:rsidRDefault="00000000">
            <w:pPr>
              <w:jc w:val="both"/>
              <w:rPr>
                <w:sz w:val="20"/>
                <w:lang w:val="en-US"/>
              </w:rPr>
            </w:pPr>
          </w:p>
        </w:tc>
        <w:tc>
          <w:tcPr>
            <w:tcW w:w="1332" w:type="dxa"/>
          </w:tcPr>
          <w:p w:rsidR="00000000" w:rsidRDefault="00000000">
            <w:pPr>
              <w:jc w:val="both"/>
              <w:rPr>
                <w:sz w:val="20"/>
                <w:lang w:val="en-US"/>
              </w:rPr>
            </w:pPr>
          </w:p>
        </w:tc>
      </w:tr>
    </w:tbl>
    <w:p w:rsidR="00000000" w:rsidRDefault="00000000">
      <w:pPr>
        <w:spacing w:before="240" w:after="240"/>
        <w:jc w:val="center"/>
        <w:rPr>
          <w:b/>
          <w:bCs/>
          <w:lang w:val="en-US"/>
        </w:rPr>
      </w:pPr>
      <w:r>
        <w:rPr>
          <w:b/>
          <w:bCs/>
          <w:lang w:val="en-US"/>
        </w:rPr>
        <w:t>D. Convention against Torture and other Cruel, Inhuman or Degrading Treatment and Punishment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394"/>
        <w:gridCol w:w="1647"/>
        <w:gridCol w:w="1464"/>
        <w:gridCol w:w="1343"/>
        <w:gridCol w:w="1343"/>
      </w:tblGrid>
      <w:tr w:rsidR="00000000">
        <w:trPr>
          <w:jc w:val="center"/>
        </w:trPr>
        <w:tc>
          <w:tcPr>
            <w:tcW w:w="1338" w:type="dxa"/>
          </w:tcPr>
          <w:p w:rsidR="00000000" w:rsidRDefault="00000000">
            <w:pPr>
              <w:jc w:val="both"/>
              <w:rPr>
                <w:sz w:val="20"/>
                <w:lang w:val="en-US"/>
              </w:rPr>
            </w:pPr>
            <w:r>
              <w:rPr>
                <w:sz w:val="20"/>
                <w:lang w:val="en-US"/>
              </w:rPr>
              <w:t>Substantive provisions by article</w:t>
            </w:r>
          </w:p>
        </w:tc>
        <w:tc>
          <w:tcPr>
            <w:tcW w:w="1394" w:type="dxa"/>
          </w:tcPr>
          <w:p w:rsidR="00000000" w:rsidRDefault="00000000">
            <w:pPr>
              <w:jc w:val="both"/>
              <w:rPr>
                <w:sz w:val="20"/>
                <w:lang w:val="en-US"/>
              </w:rPr>
            </w:pPr>
            <w:r>
              <w:rPr>
                <w:sz w:val="20"/>
                <w:lang w:val="en-US"/>
              </w:rPr>
              <w:t>Reservations</w:t>
            </w:r>
          </w:p>
        </w:tc>
        <w:tc>
          <w:tcPr>
            <w:tcW w:w="1647"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464" w:type="dxa"/>
          </w:tcPr>
          <w:p w:rsidR="00000000" w:rsidRDefault="00000000">
            <w:pPr>
              <w:jc w:val="both"/>
              <w:rPr>
                <w:sz w:val="20"/>
                <w:lang w:val="en-US"/>
              </w:rPr>
            </w:pPr>
            <w:r>
              <w:rPr>
                <w:sz w:val="20"/>
                <w:lang w:val="en-US"/>
              </w:rPr>
              <w:t>Objections</w:t>
            </w:r>
          </w:p>
        </w:tc>
        <w:tc>
          <w:tcPr>
            <w:tcW w:w="1343"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43"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38" w:type="dxa"/>
          </w:tcPr>
          <w:p w:rsidR="00000000" w:rsidRDefault="00000000">
            <w:pPr>
              <w:jc w:val="both"/>
              <w:rPr>
                <w:sz w:val="20"/>
                <w:lang w:val="en-US"/>
              </w:rPr>
            </w:pPr>
            <w:r>
              <w:rPr>
                <w:sz w:val="20"/>
                <w:lang w:val="en-US"/>
              </w:rPr>
              <w:t>Article 20</w:t>
            </w:r>
          </w:p>
        </w:tc>
        <w:tc>
          <w:tcPr>
            <w:tcW w:w="1394" w:type="dxa"/>
          </w:tcPr>
          <w:p w:rsidR="00000000" w:rsidRDefault="00000000">
            <w:pPr>
              <w:jc w:val="both"/>
              <w:rPr>
                <w:sz w:val="20"/>
                <w:lang w:val="en-US"/>
              </w:rPr>
            </w:pPr>
          </w:p>
        </w:tc>
        <w:tc>
          <w:tcPr>
            <w:tcW w:w="1647" w:type="dxa"/>
          </w:tcPr>
          <w:p w:rsidR="00000000" w:rsidRDefault="00000000">
            <w:pPr>
              <w:jc w:val="both"/>
              <w:rPr>
                <w:sz w:val="20"/>
                <w:lang w:val="en-US"/>
              </w:rPr>
            </w:pPr>
          </w:p>
        </w:tc>
        <w:tc>
          <w:tcPr>
            <w:tcW w:w="1464" w:type="dxa"/>
          </w:tcPr>
          <w:p w:rsidR="00000000" w:rsidRDefault="00000000">
            <w:pPr>
              <w:jc w:val="both"/>
              <w:rPr>
                <w:sz w:val="20"/>
                <w:lang w:val="en-US"/>
              </w:rPr>
            </w:pPr>
          </w:p>
        </w:tc>
        <w:tc>
          <w:tcPr>
            <w:tcW w:w="1343" w:type="dxa"/>
          </w:tcPr>
          <w:p w:rsidR="00000000" w:rsidRDefault="00000000">
            <w:pPr>
              <w:jc w:val="both"/>
              <w:rPr>
                <w:sz w:val="20"/>
                <w:lang w:val="en-US"/>
              </w:rPr>
            </w:pPr>
          </w:p>
        </w:tc>
        <w:tc>
          <w:tcPr>
            <w:tcW w:w="1343" w:type="dxa"/>
          </w:tcPr>
          <w:p w:rsidR="00000000" w:rsidRDefault="00000000">
            <w:pPr>
              <w:jc w:val="both"/>
              <w:rPr>
                <w:sz w:val="20"/>
                <w:lang w:val="en-US"/>
              </w:rPr>
            </w:pPr>
            <w:r>
              <w:rPr>
                <w:sz w:val="20"/>
                <w:lang w:val="en-US"/>
              </w:rPr>
              <w:t>Morocco</w:t>
            </w:r>
          </w:p>
        </w:tc>
      </w:tr>
    </w:tbl>
    <w:p w:rsidR="00000000" w:rsidRDefault="00000000">
      <w:pPr>
        <w:spacing w:before="240" w:after="240"/>
        <w:jc w:val="center"/>
        <w:rPr>
          <w:b/>
          <w:bCs/>
          <w:lang w:val="en-US"/>
        </w:rPr>
      </w:pPr>
      <w:r>
        <w:rPr>
          <w:b/>
          <w:bCs/>
          <w:lang w:val="en-US"/>
        </w:rPr>
        <w:t>E. Optional Protocol to the Convention against Torture and other Cruel, Inhuman or Degrading Treatment and Punishment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jc w:val="both"/>
              <w:rPr>
                <w:sz w:val="20"/>
                <w:lang w:val="en-US"/>
              </w:rPr>
            </w:pPr>
            <w:r>
              <w:rPr>
                <w:sz w:val="20"/>
                <w:lang w:val="en-US"/>
              </w:rPr>
              <w:t>Substantive provisions by article</w:t>
            </w:r>
          </w:p>
        </w:tc>
        <w:tc>
          <w:tcPr>
            <w:tcW w:w="1416" w:type="dxa"/>
          </w:tcPr>
          <w:p w:rsidR="00000000" w:rsidRDefault="00000000">
            <w:pPr>
              <w:jc w:val="both"/>
              <w:rPr>
                <w:sz w:val="20"/>
                <w:lang w:val="en-US"/>
              </w:rPr>
            </w:pPr>
            <w:r>
              <w:rPr>
                <w:sz w:val="20"/>
                <w:lang w:val="en-US"/>
              </w:rPr>
              <w:t>Reservations</w:t>
            </w:r>
          </w:p>
        </w:tc>
        <w:tc>
          <w:tcPr>
            <w:tcW w:w="1674"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22" w:type="dxa"/>
          </w:tcPr>
          <w:p w:rsidR="00000000" w:rsidRDefault="00000000">
            <w:pPr>
              <w:jc w:val="both"/>
              <w:rPr>
                <w:sz w:val="20"/>
                <w:lang w:val="en-US"/>
              </w:rPr>
            </w:pPr>
            <w:r>
              <w:rPr>
                <w:sz w:val="20"/>
                <w:lang w:val="en-US"/>
              </w:rPr>
              <w:t>Objections</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67" w:type="dxa"/>
          </w:tcPr>
          <w:p w:rsidR="00000000" w:rsidRDefault="00000000">
            <w:pPr>
              <w:jc w:val="both"/>
              <w:rPr>
                <w:sz w:val="20"/>
                <w:lang w:val="en-US"/>
              </w:rPr>
            </w:pPr>
            <w:r>
              <w:rPr>
                <w:sz w:val="20"/>
                <w:lang w:val="en-US"/>
              </w:rPr>
              <w:t>Global</w:t>
            </w:r>
          </w:p>
        </w:tc>
        <w:tc>
          <w:tcPr>
            <w:tcW w:w="1416" w:type="dxa"/>
          </w:tcPr>
          <w:p w:rsidR="00000000" w:rsidRDefault="00000000">
            <w:pPr>
              <w:jc w:val="both"/>
              <w:rPr>
                <w:sz w:val="20"/>
                <w:lang w:val="en-US"/>
              </w:rPr>
            </w:pPr>
          </w:p>
        </w:tc>
        <w:tc>
          <w:tcPr>
            <w:tcW w:w="1674" w:type="dxa"/>
          </w:tcPr>
          <w:p w:rsidR="00000000" w:rsidRDefault="00000000">
            <w:pPr>
              <w:jc w:val="both"/>
              <w:rPr>
                <w:sz w:val="20"/>
                <w:lang w:val="en-US"/>
              </w:rPr>
            </w:pPr>
            <w:r>
              <w:rPr>
                <w:sz w:val="20"/>
                <w:lang w:val="en-US"/>
              </w:rPr>
              <w:t>New Zealand</w:t>
            </w:r>
          </w:p>
        </w:tc>
        <w:tc>
          <w:tcPr>
            <w:tcW w:w="1522" w:type="dxa"/>
          </w:tcPr>
          <w:p w:rsidR="00000000" w:rsidRDefault="00000000">
            <w:pPr>
              <w:jc w:val="both"/>
              <w:rPr>
                <w:sz w:val="20"/>
                <w:lang w:val="en-US"/>
              </w:rPr>
            </w:pPr>
          </w:p>
        </w:tc>
        <w:tc>
          <w:tcPr>
            <w:tcW w:w="1371" w:type="dxa"/>
          </w:tcPr>
          <w:p w:rsidR="00000000" w:rsidRDefault="00000000">
            <w:pPr>
              <w:jc w:val="both"/>
              <w:rPr>
                <w:sz w:val="20"/>
                <w:lang w:val="en-US"/>
              </w:rPr>
            </w:pPr>
          </w:p>
        </w:tc>
        <w:tc>
          <w:tcPr>
            <w:tcW w:w="1371" w:type="dxa"/>
          </w:tcPr>
          <w:p w:rsidR="00000000" w:rsidRDefault="00000000">
            <w:pPr>
              <w:jc w:val="both"/>
              <w:rPr>
                <w:sz w:val="20"/>
                <w:lang w:val="en-US"/>
              </w:rPr>
            </w:pPr>
          </w:p>
        </w:tc>
      </w:tr>
    </w:tbl>
    <w:p w:rsidR="00000000" w:rsidRDefault="00000000">
      <w:pPr>
        <w:spacing w:before="240" w:after="240"/>
        <w:jc w:val="center"/>
        <w:rPr>
          <w:b/>
          <w:bCs/>
          <w:lang w:val="en-US"/>
        </w:rPr>
      </w:pPr>
      <w:r>
        <w:rPr>
          <w:b/>
          <w:bCs/>
          <w:lang w:val="en-US"/>
        </w:rPr>
        <w:t>F. Convention on the Rights of the Child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jc w:val="both"/>
              <w:rPr>
                <w:sz w:val="20"/>
                <w:lang w:val="en-US"/>
              </w:rPr>
            </w:pPr>
            <w:r>
              <w:rPr>
                <w:sz w:val="20"/>
                <w:lang w:val="en-US"/>
              </w:rPr>
              <w:t>Substantive provisions by article</w:t>
            </w:r>
          </w:p>
        </w:tc>
        <w:tc>
          <w:tcPr>
            <w:tcW w:w="1416" w:type="dxa"/>
          </w:tcPr>
          <w:p w:rsidR="00000000" w:rsidRDefault="00000000">
            <w:pPr>
              <w:jc w:val="both"/>
              <w:rPr>
                <w:sz w:val="20"/>
                <w:lang w:val="en-US"/>
              </w:rPr>
            </w:pPr>
            <w:r>
              <w:rPr>
                <w:sz w:val="20"/>
                <w:lang w:val="en-US"/>
              </w:rPr>
              <w:t>Reservations</w:t>
            </w:r>
          </w:p>
        </w:tc>
        <w:tc>
          <w:tcPr>
            <w:tcW w:w="1674"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22" w:type="dxa"/>
          </w:tcPr>
          <w:p w:rsidR="00000000" w:rsidRDefault="00000000">
            <w:pPr>
              <w:jc w:val="both"/>
              <w:rPr>
                <w:sz w:val="20"/>
                <w:lang w:val="en-US"/>
              </w:rPr>
            </w:pPr>
            <w:r>
              <w:rPr>
                <w:sz w:val="20"/>
                <w:lang w:val="en-US"/>
              </w:rPr>
              <w:t>Objections</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67" w:type="dxa"/>
          </w:tcPr>
          <w:p w:rsidR="00000000" w:rsidRDefault="00000000">
            <w:pPr>
              <w:jc w:val="both"/>
              <w:rPr>
                <w:sz w:val="20"/>
                <w:lang w:val="en-US"/>
              </w:rPr>
            </w:pPr>
            <w:r>
              <w:rPr>
                <w:sz w:val="20"/>
                <w:lang w:val="en-US"/>
              </w:rPr>
              <w:t>Articles 7(2) and 40(2)</w:t>
            </w:r>
          </w:p>
        </w:tc>
        <w:tc>
          <w:tcPr>
            <w:tcW w:w="1416" w:type="dxa"/>
          </w:tcPr>
          <w:p w:rsidR="00000000" w:rsidRDefault="00000000">
            <w:pPr>
              <w:jc w:val="both"/>
              <w:rPr>
                <w:sz w:val="20"/>
                <w:lang w:val="en-US"/>
              </w:rPr>
            </w:pPr>
          </w:p>
        </w:tc>
        <w:tc>
          <w:tcPr>
            <w:tcW w:w="1674" w:type="dxa"/>
          </w:tcPr>
          <w:p w:rsidR="00000000" w:rsidRDefault="00000000">
            <w:pPr>
              <w:jc w:val="both"/>
              <w:rPr>
                <w:sz w:val="20"/>
                <w:lang w:val="en-US"/>
              </w:rPr>
            </w:pPr>
          </w:p>
        </w:tc>
        <w:tc>
          <w:tcPr>
            <w:tcW w:w="1522" w:type="dxa"/>
          </w:tcPr>
          <w:p w:rsidR="00000000" w:rsidRDefault="00000000">
            <w:pPr>
              <w:jc w:val="both"/>
              <w:rPr>
                <w:sz w:val="20"/>
                <w:lang w:val="en-US"/>
              </w:rPr>
            </w:pPr>
          </w:p>
        </w:tc>
        <w:tc>
          <w:tcPr>
            <w:tcW w:w="1371" w:type="dxa"/>
          </w:tcPr>
          <w:p w:rsidR="00000000" w:rsidRDefault="00000000">
            <w:pPr>
              <w:jc w:val="both"/>
              <w:rPr>
                <w:sz w:val="20"/>
                <w:lang w:val="en-US"/>
              </w:rPr>
            </w:pPr>
          </w:p>
        </w:tc>
        <w:tc>
          <w:tcPr>
            <w:tcW w:w="1371" w:type="dxa"/>
          </w:tcPr>
          <w:p w:rsidR="00000000" w:rsidRDefault="00000000">
            <w:pPr>
              <w:jc w:val="both"/>
              <w:rPr>
                <w:sz w:val="20"/>
                <w:lang w:val="en-US"/>
              </w:rPr>
            </w:pPr>
            <w:r>
              <w:rPr>
                <w:sz w:val="20"/>
                <w:lang w:val="en-US"/>
              </w:rPr>
              <w:t>Switzerland</w:t>
            </w:r>
          </w:p>
        </w:tc>
      </w:tr>
    </w:tbl>
    <w:p w:rsidR="00000000" w:rsidRDefault="00000000">
      <w:pPr>
        <w:spacing w:before="240" w:after="240"/>
        <w:jc w:val="center"/>
        <w:rPr>
          <w:b/>
          <w:bCs/>
          <w:lang w:val="en-US"/>
        </w:rPr>
      </w:pPr>
      <w:r>
        <w:rPr>
          <w:b/>
          <w:bCs/>
          <w:lang w:val="en-US"/>
        </w:rPr>
        <w:t>G. Optional Protocol to the Convention on the Rights of the Child on the involvement of children in armed conflict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jc w:val="both"/>
              <w:rPr>
                <w:sz w:val="20"/>
                <w:lang w:val="en-US"/>
              </w:rPr>
            </w:pPr>
            <w:r>
              <w:rPr>
                <w:sz w:val="20"/>
                <w:lang w:val="en-US"/>
              </w:rPr>
              <w:t>Substantive provisions by article</w:t>
            </w:r>
          </w:p>
        </w:tc>
        <w:tc>
          <w:tcPr>
            <w:tcW w:w="1416" w:type="dxa"/>
          </w:tcPr>
          <w:p w:rsidR="00000000" w:rsidRDefault="00000000">
            <w:pPr>
              <w:jc w:val="both"/>
              <w:rPr>
                <w:sz w:val="20"/>
                <w:lang w:val="en-US"/>
              </w:rPr>
            </w:pPr>
            <w:r>
              <w:rPr>
                <w:sz w:val="20"/>
                <w:lang w:val="en-US"/>
              </w:rPr>
              <w:t>Reservations</w:t>
            </w:r>
          </w:p>
        </w:tc>
        <w:tc>
          <w:tcPr>
            <w:tcW w:w="1674"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22" w:type="dxa"/>
          </w:tcPr>
          <w:p w:rsidR="00000000" w:rsidRDefault="00000000">
            <w:pPr>
              <w:jc w:val="both"/>
              <w:rPr>
                <w:sz w:val="20"/>
                <w:lang w:val="en-US"/>
              </w:rPr>
            </w:pPr>
            <w:r>
              <w:rPr>
                <w:sz w:val="20"/>
                <w:lang w:val="en-US"/>
              </w:rPr>
              <w:t>Objections</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67" w:type="dxa"/>
          </w:tcPr>
          <w:p w:rsidR="00000000" w:rsidRDefault="00000000">
            <w:pPr>
              <w:jc w:val="both"/>
              <w:rPr>
                <w:sz w:val="20"/>
                <w:lang w:val="en-US"/>
              </w:rPr>
            </w:pPr>
            <w:r>
              <w:rPr>
                <w:sz w:val="20"/>
                <w:lang w:val="en-US"/>
              </w:rPr>
              <w:t>Article 3(2)</w:t>
            </w:r>
          </w:p>
        </w:tc>
        <w:tc>
          <w:tcPr>
            <w:tcW w:w="1416" w:type="dxa"/>
          </w:tcPr>
          <w:p w:rsidR="00000000" w:rsidRDefault="00000000">
            <w:pPr>
              <w:jc w:val="both"/>
              <w:rPr>
                <w:sz w:val="20"/>
                <w:lang w:val="en-US"/>
              </w:rPr>
            </w:pPr>
          </w:p>
        </w:tc>
        <w:tc>
          <w:tcPr>
            <w:tcW w:w="1674" w:type="dxa"/>
          </w:tcPr>
          <w:p w:rsidR="00000000" w:rsidRDefault="00000000">
            <w:pPr>
              <w:jc w:val="both"/>
              <w:rPr>
                <w:sz w:val="20"/>
                <w:lang w:val="es-ES_tradnl"/>
              </w:rPr>
            </w:pPr>
            <w:r>
              <w:rPr>
                <w:sz w:val="20"/>
                <w:lang w:val="es-ES_tradnl"/>
              </w:rPr>
              <w:t>Cuba, Egypt, Jordan,  Montenegro,  Yemen</w:t>
            </w:r>
          </w:p>
        </w:tc>
        <w:tc>
          <w:tcPr>
            <w:tcW w:w="1522" w:type="dxa"/>
          </w:tcPr>
          <w:p w:rsidR="00000000" w:rsidRDefault="00000000">
            <w:pPr>
              <w:jc w:val="both"/>
              <w:rPr>
                <w:sz w:val="20"/>
                <w:lang w:val="es-ES_tradnl"/>
              </w:rPr>
            </w:pPr>
          </w:p>
        </w:tc>
        <w:tc>
          <w:tcPr>
            <w:tcW w:w="1371" w:type="dxa"/>
          </w:tcPr>
          <w:p w:rsidR="00000000" w:rsidRDefault="00000000">
            <w:pPr>
              <w:jc w:val="both"/>
              <w:rPr>
                <w:sz w:val="20"/>
                <w:lang w:val="es-ES_tradnl"/>
              </w:rPr>
            </w:pPr>
          </w:p>
        </w:tc>
        <w:tc>
          <w:tcPr>
            <w:tcW w:w="1371" w:type="dxa"/>
          </w:tcPr>
          <w:p w:rsidR="00000000" w:rsidRDefault="00000000">
            <w:pPr>
              <w:jc w:val="both"/>
              <w:rPr>
                <w:sz w:val="20"/>
                <w:lang w:val="es-ES_tradnl"/>
              </w:rPr>
            </w:pPr>
          </w:p>
        </w:tc>
      </w:tr>
    </w:tbl>
    <w:p w:rsidR="00000000" w:rsidRDefault="00000000">
      <w:pPr>
        <w:spacing w:before="240" w:after="240"/>
        <w:jc w:val="center"/>
        <w:rPr>
          <w:b/>
          <w:bCs/>
          <w:lang w:val="en-US"/>
        </w:rPr>
      </w:pPr>
      <w:r>
        <w:rPr>
          <w:b/>
          <w:bCs/>
          <w:lang w:val="en-US"/>
        </w:rPr>
        <w:t>H. Convention on the Rights of Migrants Workers and Members of their Families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416"/>
        <w:gridCol w:w="1674"/>
        <w:gridCol w:w="1522"/>
        <w:gridCol w:w="1371"/>
        <w:gridCol w:w="1371"/>
      </w:tblGrid>
      <w:tr w:rsidR="00000000">
        <w:trPr>
          <w:jc w:val="center"/>
        </w:trPr>
        <w:tc>
          <w:tcPr>
            <w:tcW w:w="1367" w:type="dxa"/>
          </w:tcPr>
          <w:p w:rsidR="00000000" w:rsidRDefault="00000000">
            <w:pPr>
              <w:jc w:val="both"/>
              <w:rPr>
                <w:sz w:val="20"/>
                <w:lang w:val="en-US"/>
              </w:rPr>
            </w:pPr>
            <w:r>
              <w:rPr>
                <w:sz w:val="20"/>
                <w:lang w:val="en-US"/>
              </w:rPr>
              <w:t>Substantive provisions by article</w:t>
            </w:r>
          </w:p>
        </w:tc>
        <w:tc>
          <w:tcPr>
            <w:tcW w:w="1416" w:type="dxa"/>
          </w:tcPr>
          <w:p w:rsidR="00000000" w:rsidRDefault="00000000">
            <w:pPr>
              <w:jc w:val="both"/>
              <w:rPr>
                <w:sz w:val="20"/>
                <w:lang w:val="en-US"/>
              </w:rPr>
            </w:pPr>
            <w:r>
              <w:rPr>
                <w:sz w:val="20"/>
                <w:lang w:val="en-US"/>
              </w:rPr>
              <w:t>Reservations</w:t>
            </w:r>
          </w:p>
        </w:tc>
        <w:tc>
          <w:tcPr>
            <w:tcW w:w="1674" w:type="dxa"/>
          </w:tcPr>
          <w:p w:rsidR="00000000" w:rsidRDefault="00000000">
            <w:pPr>
              <w:jc w:val="both"/>
              <w:rPr>
                <w:sz w:val="20"/>
                <w:lang w:val="en-US"/>
              </w:rPr>
            </w:pPr>
            <w:r>
              <w:rPr>
                <w:sz w:val="20"/>
                <w:lang w:val="en-US"/>
              </w:rPr>
              <w:t>Declarations/</w:t>
            </w:r>
          </w:p>
          <w:p w:rsidR="00000000" w:rsidRDefault="00000000">
            <w:pPr>
              <w:jc w:val="both"/>
              <w:rPr>
                <w:sz w:val="20"/>
                <w:lang w:val="en-US"/>
              </w:rPr>
            </w:pPr>
            <w:r>
              <w:rPr>
                <w:sz w:val="20"/>
                <w:lang w:val="en-US"/>
              </w:rPr>
              <w:t>Understandings</w:t>
            </w:r>
          </w:p>
        </w:tc>
        <w:tc>
          <w:tcPr>
            <w:tcW w:w="1522" w:type="dxa"/>
          </w:tcPr>
          <w:p w:rsidR="00000000" w:rsidRDefault="00000000">
            <w:pPr>
              <w:jc w:val="both"/>
              <w:rPr>
                <w:sz w:val="20"/>
                <w:lang w:val="en-US"/>
              </w:rPr>
            </w:pPr>
            <w:r>
              <w:rPr>
                <w:sz w:val="20"/>
                <w:lang w:val="en-US"/>
              </w:rPr>
              <w:t>Objections</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(partial)</w:t>
            </w:r>
          </w:p>
        </w:tc>
        <w:tc>
          <w:tcPr>
            <w:tcW w:w="1371" w:type="dxa"/>
          </w:tcPr>
          <w:p w:rsidR="00000000" w:rsidRDefault="00000000">
            <w:pPr>
              <w:jc w:val="both"/>
              <w:rPr>
                <w:sz w:val="20"/>
                <w:lang w:val="en-US"/>
              </w:rPr>
            </w:pPr>
            <w:r>
              <w:rPr>
                <w:sz w:val="20"/>
                <w:lang w:val="en-US"/>
              </w:rPr>
              <w:t>Withdrawal</w:t>
            </w:r>
          </w:p>
          <w:p w:rsidR="00000000" w:rsidRDefault="00000000">
            <w:pPr>
              <w:jc w:val="both"/>
              <w:rPr>
                <w:sz w:val="20"/>
                <w:lang w:val="en-US"/>
              </w:rPr>
            </w:pPr>
            <w:r>
              <w:rPr>
                <w:sz w:val="20"/>
                <w:lang w:val="en-US"/>
              </w:rPr>
              <w:t>(total)</w:t>
            </w:r>
          </w:p>
        </w:tc>
      </w:tr>
      <w:tr w:rsidR="00000000">
        <w:trPr>
          <w:jc w:val="center"/>
        </w:trPr>
        <w:tc>
          <w:tcPr>
            <w:tcW w:w="1367" w:type="dxa"/>
          </w:tcPr>
          <w:p w:rsidR="00000000" w:rsidRDefault="00000000">
            <w:pPr>
              <w:jc w:val="both"/>
              <w:rPr>
                <w:sz w:val="20"/>
                <w:lang w:val="en-US"/>
              </w:rPr>
            </w:pPr>
            <w:r>
              <w:rPr>
                <w:sz w:val="20"/>
                <w:lang w:val="en-US"/>
              </w:rPr>
              <w:t>Article 92(1)</w:t>
            </w:r>
          </w:p>
        </w:tc>
        <w:tc>
          <w:tcPr>
            <w:tcW w:w="1416" w:type="dxa"/>
          </w:tcPr>
          <w:p w:rsidR="00000000" w:rsidRDefault="00000000">
            <w:pPr>
              <w:jc w:val="both"/>
              <w:rPr>
                <w:sz w:val="20"/>
              </w:rPr>
            </w:pPr>
            <w:r>
              <w:rPr>
                <w:sz w:val="20"/>
              </w:rPr>
              <w:t>Argentina</w:t>
            </w:r>
          </w:p>
        </w:tc>
        <w:tc>
          <w:tcPr>
            <w:tcW w:w="1674" w:type="dxa"/>
          </w:tcPr>
          <w:p w:rsidR="00000000" w:rsidRDefault="00000000">
            <w:pPr>
              <w:jc w:val="both"/>
              <w:rPr>
                <w:sz w:val="20"/>
              </w:rPr>
            </w:pPr>
          </w:p>
        </w:tc>
        <w:tc>
          <w:tcPr>
            <w:tcW w:w="1522" w:type="dxa"/>
          </w:tcPr>
          <w:p w:rsidR="00000000" w:rsidRDefault="00000000">
            <w:pPr>
              <w:jc w:val="both"/>
              <w:rPr>
                <w:sz w:val="20"/>
              </w:rPr>
            </w:pPr>
          </w:p>
        </w:tc>
        <w:tc>
          <w:tcPr>
            <w:tcW w:w="1371" w:type="dxa"/>
          </w:tcPr>
          <w:p w:rsidR="00000000" w:rsidRDefault="00000000">
            <w:pPr>
              <w:jc w:val="both"/>
              <w:rPr>
                <w:sz w:val="20"/>
              </w:rPr>
            </w:pPr>
          </w:p>
        </w:tc>
        <w:tc>
          <w:tcPr>
            <w:tcW w:w="1371" w:type="dxa"/>
          </w:tcPr>
          <w:p w:rsidR="00000000" w:rsidRDefault="00000000">
            <w:pPr>
              <w:jc w:val="both"/>
              <w:rPr>
                <w:sz w:val="20"/>
              </w:rPr>
            </w:pPr>
          </w:p>
        </w:tc>
      </w:tr>
    </w:tbl>
    <w:p w:rsidR="00000000" w:rsidRDefault="00000000">
      <w:pPr>
        <w:spacing w:before="240"/>
        <w:jc w:val="center"/>
        <w:rPr>
          <w:b/>
          <w:bCs/>
          <w:lang w:val="en-US"/>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42363  (F)    130607    140607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HRI/MC/2007/5/Add.1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HRI/MC/2007/5/Add.1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2D5B32F0"/>
    <w:multiLevelType w:val="hybridMultilevel"/>
    <w:tmpl w:val="27D6C478"/>
    <w:lvl w:ilvl="0" w:tplc="E902AD84">
      <w:start w:val="1"/>
      <w:numFmt w:val="upperLetter"/>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75837B8"/>
    <w:multiLevelType w:val="hybridMultilevel"/>
    <w:tmpl w:val="7A8E3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4"/>
  </w:num>
  <w:num w:numId="48">
    <w:abstractNumId w:val="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9</Pages>
  <Words>2070</Words>
  <Characters>11802</Characters>
  <Application>Microsoft Office Word</Application>
  <DocSecurity>4</DocSecurity>
  <Lines>98</Lines>
  <Paragraphs>23</Paragraphs>
  <ScaleCrop>false</ScaleCrop>
  <HeadingPairs>
    <vt:vector size="2" baseType="variant">
      <vt:variant>
        <vt:lpstr>Titre</vt:lpstr>
      </vt:variant>
      <vt:variant>
        <vt:i4>1</vt:i4>
      </vt:variant>
    </vt:vector>
  </HeadingPairs>
  <TitlesOfParts>
    <vt:vector size="1" baseType="lpstr">
      <vt:lpstr>HRI/MC/2007/5/Add.1</vt:lpstr>
    </vt:vector>
  </TitlesOfParts>
  <Company>ONU</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HRI/MC/2007/5/Add.1</dc:title>
  <dc:subject>Final</dc:subject>
  <dc:creator>CLERE</dc:creator>
  <cp:keywords/>
  <dc:description/>
  <cp:lastModifiedBy>Sipp</cp:lastModifiedBy>
  <cp:revision>2</cp:revision>
  <cp:lastPrinted>2007-06-13T15:04:00Z</cp:lastPrinted>
  <dcterms:created xsi:type="dcterms:W3CDTF">2007-06-14T06:37:00Z</dcterms:created>
  <dcterms:modified xsi:type="dcterms:W3CDTF">2007-06-14T06:37:00Z</dcterms:modified>
</cp:coreProperties>
</file>