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8E4AAC" w:rsidRPr="00DB58B5" w:rsidTr="00A80DEF">
        <w:trPr>
          <w:trHeight w:hRule="exact" w:val="851"/>
        </w:trPr>
        <w:tc>
          <w:tcPr>
            <w:tcW w:w="1276" w:type="dxa"/>
            <w:tcBorders>
              <w:bottom w:val="single" w:sz="4" w:space="0" w:color="auto"/>
            </w:tcBorders>
          </w:tcPr>
          <w:p w:rsidR="008E4AAC" w:rsidRPr="00DB58B5" w:rsidRDefault="008E4AAC" w:rsidP="00D321A4"/>
        </w:tc>
        <w:tc>
          <w:tcPr>
            <w:tcW w:w="2268" w:type="dxa"/>
            <w:tcBorders>
              <w:bottom w:val="single" w:sz="4" w:space="0" w:color="auto"/>
            </w:tcBorders>
            <w:vAlign w:val="bottom"/>
          </w:tcPr>
          <w:p w:rsidR="008E4AAC" w:rsidRPr="00DB58B5" w:rsidRDefault="008E4AAC" w:rsidP="00D321A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E4AAC" w:rsidRPr="00DB58B5" w:rsidRDefault="00A80DEF" w:rsidP="00A80DEF">
            <w:pPr>
              <w:jc w:val="right"/>
            </w:pPr>
            <w:r w:rsidRPr="00A80DEF">
              <w:rPr>
                <w:sz w:val="40"/>
              </w:rPr>
              <w:t>HRI</w:t>
            </w:r>
            <w:r>
              <w:t>/CORE/FJI/2006/Add.2</w:t>
            </w:r>
          </w:p>
        </w:tc>
      </w:tr>
      <w:tr w:rsidR="008E4AAC" w:rsidRPr="00DB58B5" w:rsidTr="00D321A4">
        <w:trPr>
          <w:trHeight w:hRule="exact" w:val="2835"/>
        </w:trPr>
        <w:tc>
          <w:tcPr>
            <w:tcW w:w="1276" w:type="dxa"/>
            <w:tcBorders>
              <w:top w:val="single" w:sz="4" w:space="0" w:color="auto"/>
              <w:bottom w:val="single" w:sz="12" w:space="0" w:color="auto"/>
            </w:tcBorders>
          </w:tcPr>
          <w:p w:rsidR="008E4AAC" w:rsidRPr="00DB58B5" w:rsidRDefault="008E4AAC" w:rsidP="00D321A4">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8E4AAC" w:rsidRPr="00740562" w:rsidRDefault="008E4AAC" w:rsidP="00D321A4">
            <w:pPr>
              <w:spacing w:before="120" w:line="380" w:lineRule="exact"/>
              <w:rPr>
                <w:b/>
                <w:sz w:val="40"/>
                <w:szCs w:val="40"/>
              </w:rPr>
            </w:pPr>
            <w:r>
              <w:rPr>
                <w:b/>
                <w:sz w:val="34"/>
                <w:szCs w:val="34"/>
              </w:rPr>
              <w:t>Instruments internationaux</w:t>
            </w:r>
            <w:r>
              <w:rPr>
                <w:b/>
                <w:sz w:val="34"/>
                <w:szCs w:val="34"/>
              </w:rPr>
              <w:br/>
              <w:t>relatifs aux droits de l</w:t>
            </w:r>
            <w:r w:rsidR="004F3806">
              <w:rPr>
                <w:b/>
                <w:sz w:val="34"/>
                <w:szCs w:val="34"/>
              </w:rPr>
              <w:t>’</w:t>
            </w:r>
            <w:r>
              <w:rPr>
                <w:b/>
                <w:sz w:val="34"/>
                <w:szCs w:val="34"/>
              </w:rPr>
              <w:t>homme</w:t>
            </w:r>
          </w:p>
        </w:tc>
        <w:tc>
          <w:tcPr>
            <w:tcW w:w="2835" w:type="dxa"/>
            <w:tcBorders>
              <w:top w:val="single" w:sz="4" w:space="0" w:color="auto"/>
              <w:bottom w:val="single" w:sz="12" w:space="0" w:color="auto"/>
            </w:tcBorders>
          </w:tcPr>
          <w:p w:rsidR="00A80DEF" w:rsidRDefault="00A80DEF" w:rsidP="00D321A4">
            <w:pPr>
              <w:spacing w:before="240"/>
            </w:pPr>
            <w:r>
              <w:t>Distr. générale</w:t>
            </w:r>
          </w:p>
          <w:p w:rsidR="00A80DEF" w:rsidRDefault="00A80DEF" w:rsidP="00A80DEF">
            <w:pPr>
              <w:spacing w:line="240" w:lineRule="exact"/>
            </w:pPr>
            <w:r>
              <w:t>18 octobre 2013</w:t>
            </w:r>
          </w:p>
          <w:p w:rsidR="00A80DEF" w:rsidRDefault="00A80DEF" w:rsidP="00A80DEF">
            <w:pPr>
              <w:spacing w:line="240" w:lineRule="exact"/>
            </w:pPr>
            <w:r>
              <w:t>Français</w:t>
            </w:r>
          </w:p>
          <w:p w:rsidR="008E4AAC" w:rsidRPr="00DB58B5" w:rsidRDefault="00A80DEF" w:rsidP="00A80DEF">
            <w:pPr>
              <w:spacing w:line="240" w:lineRule="exact"/>
            </w:pPr>
            <w:r>
              <w:t>Original: anglais</w:t>
            </w:r>
          </w:p>
        </w:tc>
      </w:tr>
    </w:tbl>
    <w:p w:rsidR="00A80DEF" w:rsidRPr="00A80DEF" w:rsidRDefault="00A80DEF" w:rsidP="00A80DEF">
      <w:pPr>
        <w:pStyle w:val="HMG"/>
        <w:rPr>
          <w:lang w:val="fr-FR"/>
        </w:rPr>
      </w:pPr>
      <w:r w:rsidRPr="00A80DEF">
        <w:rPr>
          <w:lang w:val="fr-FR"/>
        </w:rPr>
        <w:tab/>
      </w:r>
      <w:r w:rsidRPr="00A80DEF">
        <w:rPr>
          <w:lang w:val="fr-FR"/>
        </w:rPr>
        <w:tab/>
        <w:t xml:space="preserve">Document de base faisant partie </w:t>
      </w:r>
      <w:r w:rsidR="004F3806">
        <w:rPr>
          <w:lang w:val="fr-FR"/>
        </w:rPr>
        <w:t>intégrante</w:t>
      </w:r>
      <w:r w:rsidR="004F3806">
        <w:rPr>
          <w:lang w:val="fr-FR"/>
        </w:rPr>
        <w:br/>
      </w:r>
      <w:r w:rsidRPr="00A80DEF">
        <w:rPr>
          <w:lang w:val="fr-FR"/>
        </w:rPr>
        <w:t>des rapports</w:t>
      </w:r>
      <w:r w:rsidR="004F3806">
        <w:rPr>
          <w:lang w:val="fr-FR"/>
        </w:rPr>
        <w:t xml:space="preserve"> présentés par l</w:t>
      </w:r>
      <w:r w:rsidRPr="00A80DEF">
        <w:rPr>
          <w:lang w:val="fr-FR"/>
        </w:rPr>
        <w:t>es États parties</w:t>
      </w:r>
    </w:p>
    <w:p w:rsidR="00A80DEF" w:rsidRPr="00A80DEF" w:rsidRDefault="00A80DEF" w:rsidP="00974272">
      <w:pPr>
        <w:pStyle w:val="HMG"/>
        <w:rPr>
          <w:lang w:val="fr-FR"/>
        </w:rPr>
      </w:pPr>
      <w:r w:rsidRPr="00A80DEF">
        <w:rPr>
          <w:lang w:val="fr-FR"/>
        </w:rPr>
        <w:tab/>
      </w:r>
      <w:r w:rsidRPr="00A80DEF">
        <w:rPr>
          <w:lang w:val="fr-FR"/>
        </w:rPr>
        <w:tab/>
        <w:t>Fidji</w:t>
      </w:r>
    </w:p>
    <w:p w:rsidR="00A80DEF" w:rsidRPr="00A80DEF" w:rsidRDefault="00A80DEF" w:rsidP="00974272">
      <w:pPr>
        <w:pStyle w:val="H1G"/>
        <w:rPr>
          <w:lang w:val="fr-FR"/>
        </w:rPr>
      </w:pPr>
      <w:r w:rsidRPr="00A80DEF">
        <w:rPr>
          <w:lang w:val="fr-FR"/>
        </w:rPr>
        <w:tab/>
      </w:r>
      <w:r w:rsidRPr="00A80DEF">
        <w:rPr>
          <w:lang w:val="fr-FR"/>
        </w:rPr>
        <w:tab/>
        <w:t>Additif</w:t>
      </w:r>
    </w:p>
    <w:p w:rsidR="00A80DEF" w:rsidRPr="00A80DEF" w:rsidRDefault="00A80DEF" w:rsidP="00A80DEF">
      <w:pPr>
        <w:pStyle w:val="HChG"/>
        <w:rPr>
          <w:lang w:val="fr-FR"/>
        </w:rPr>
      </w:pPr>
      <w:r w:rsidRPr="00A80DEF">
        <w:rPr>
          <w:lang w:val="fr-FR"/>
        </w:rPr>
        <w:tab/>
      </w:r>
      <w:r w:rsidRPr="00A80DEF">
        <w:rPr>
          <w:lang w:val="fr-FR"/>
        </w:rPr>
        <w:tab/>
        <w:t>Informations actualisées communiquées par les Fidji</w:t>
      </w:r>
      <w:r w:rsidRPr="00A80DEF">
        <w:rPr>
          <w:rStyle w:val="FootnoteReference"/>
          <w:b w:val="0"/>
          <w:sz w:val="20"/>
          <w:vertAlign w:val="baseline"/>
        </w:rPr>
        <w:footnoteReference w:customMarkFollows="1" w:id="2"/>
        <w:t>*</w:t>
      </w:r>
    </w:p>
    <w:p w:rsidR="00A80DEF" w:rsidRPr="00A80DEF" w:rsidRDefault="00A80DEF" w:rsidP="00A80DEF">
      <w:pPr>
        <w:pStyle w:val="SingleTxtG"/>
        <w:jc w:val="right"/>
        <w:rPr>
          <w:lang w:val="fr-FR"/>
        </w:rPr>
      </w:pPr>
      <w:r w:rsidRPr="00A80DEF">
        <w:rPr>
          <w:lang w:val="fr-FR"/>
        </w:rPr>
        <w:t>[8 août 2011]</w:t>
      </w:r>
    </w:p>
    <w:p w:rsidR="00A80DEF" w:rsidRPr="00A80DEF" w:rsidRDefault="00A80DEF" w:rsidP="00A80DEF">
      <w:pPr>
        <w:pStyle w:val="HChG"/>
        <w:rPr>
          <w:u w:val="single"/>
          <w:lang w:val="fr-FR"/>
        </w:rPr>
      </w:pPr>
      <w:r w:rsidRPr="00A80DEF">
        <w:rPr>
          <w:lang w:val="fr-FR"/>
        </w:rPr>
        <w:br w:type="page"/>
      </w:r>
      <w:bookmarkStart w:id="0" w:name="_Toc287547758"/>
      <w:bookmarkStart w:id="1" w:name="_Toc287599819"/>
      <w:r w:rsidRPr="00A80DEF">
        <w:rPr>
          <w:lang w:val="fr-FR"/>
        </w:rPr>
        <w:tab/>
        <w:t>I.</w:t>
      </w:r>
      <w:r w:rsidRPr="00A80DEF">
        <w:rPr>
          <w:lang w:val="fr-FR"/>
        </w:rPr>
        <w:tab/>
      </w:r>
      <w:bookmarkEnd w:id="0"/>
      <w:bookmarkEnd w:id="1"/>
      <w:r w:rsidRPr="00A80DEF">
        <w:rPr>
          <w:lang w:val="fr-FR"/>
        </w:rPr>
        <w:t>Introduction</w:t>
      </w:r>
    </w:p>
    <w:p w:rsidR="00A80DEF" w:rsidRPr="00A80DEF" w:rsidRDefault="00A80DEF" w:rsidP="008577BD">
      <w:pPr>
        <w:pStyle w:val="ParNoG"/>
        <w:tabs>
          <w:tab w:val="clear" w:pos="1967"/>
          <w:tab w:val="left" w:pos="1701"/>
        </w:tabs>
        <w:ind w:left="1134"/>
        <w:rPr>
          <w:lang w:val="fr-FR"/>
        </w:rPr>
      </w:pPr>
      <w:r w:rsidRPr="00A80DEF">
        <w:rPr>
          <w:lang w:val="fr-FR"/>
        </w:rPr>
        <w:t>Les informations communiquées dans le présent document constituent une mise à jour du document de base commun (HRI/CORE/FJI/2006 et Add.1) soumis conjointement au rapport présenté par les Fidji en 2008 au titre de la Convention sur l</w:t>
      </w:r>
      <w:r w:rsidR="004F3806">
        <w:rPr>
          <w:lang w:val="fr-FR"/>
        </w:rPr>
        <w:t>’</w:t>
      </w:r>
      <w:r w:rsidRPr="00A80DEF">
        <w:rPr>
          <w:lang w:val="fr-FR"/>
        </w:rPr>
        <w:t xml:space="preserve">élimination de toutes les formes de discrimination à </w:t>
      </w:r>
      <w:r w:rsidRPr="008577BD">
        <w:t>l</w:t>
      </w:r>
      <w:r w:rsidR="004F3806" w:rsidRPr="008577BD">
        <w:t>’</w:t>
      </w:r>
      <w:r w:rsidRPr="008577BD">
        <w:t>égard</w:t>
      </w:r>
      <w:r w:rsidRPr="00A80DEF">
        <w:rPr>
          <w:lang w:val="fr-FR"/>
        </w:rPr>
        <w:t xml:space="preserve"> des femmes (CEDAW/C/FJI/2-4). </w:t>
      </w:r>
      <w:r w:rsidR="004F3806">
        <w:rPr>
          <w:lang w:val="fr-FR"/>
        </w:rPr>
        <w:t>C</w:t>
      </w:r>
      <w:r w:rsidRPr="00A80DEF">
        <w:rPr>
          <w:lang w:val="fr-FR"/>
        </w:rPr>
        <w:t>es</w:t>
      </w:r>
      <w:r w:rsidR="004F3806">
        <w:rPr>
          <w:lang w:val="fr-FR"/>
        </w:rPr>
        <w:t xml:space="preserve"> informations </w:t>
      </w:r>
      <w:r w:rsidRPr="00A80DEF">
        <w:rPr>
          <w:lang w:val="fr-FR"/>
        </w:rPr>
        <w:t xml:space="preserve">constituent </w:t>
      </w:r>
      <w:r w:rsidR="004F3806">
        <w:rPr>
          <w:lang w:val="fr-FR"/>
        </w:rPr>
        <w:t xml:space="preserve">également </w:t>
      </w:r>
      <w:r w:rsidRPr="00A80DEF">
        <w:rPr>
          <w:lang w:val="fr-FR"/>
        </w:rPr>
        <w:t xml:space="preserve">une mise à jour du document de base </w:t>
      </w:r>
      <w:r w:rsidR="004F3806">
        <w:rPr>
          <w:lang w:val="fr-FR"/>
        </w:rPr>
        <w:t xml:space="preserve">commun </w:t>
      </w:r>
      <w:r w:rsidRPr="00A80DEF">
        <w:rPr>
          <w:lang w:val="fr-FR"/>
        </w:rPr>
        <w:t>(HRI/CORE/1/Add.76) soumis conjointement au rapport initial des Fidji au titre de la Convention relative aux droits de l</w:t>
      </w:r>
      <w:r w:rsidR="004F3806">
        <w:rPr>
          <w:lang w:val="fr-FR"/>
        </w:rPr>
        <w:t>’</w:t>
      </w:r>
      <w:r w:rsidRPr="00A80DEF">
        <w:rPr>
          <w:lang w:val="fr-FR"/>
        </w:rPr>
        <w:t>enfant (CRC/C/28/Add.7)</w:t>
      </w:r>
      <w:r w:rsidRPr="00A80DEF">
        <w:rPr>
          <w:rStyle w:val="FootnoteReference"/>
        </w:rPr>
        <w:footnoteReference w:id="3"/>
      </w:r>
      <w:r w:rsidRPr="00A80DEF">
        <w:rPr>
          <w:lang w:val="fr-FR"/>
        </w:rPr>
        <w:t>.</w:t>
      </w:r>
    </w:p>
    <w:p w:rsidR="00A80DEF" w:rsidRPr="00A80DEF" w:rsidRDefault="00A80DEF" w:rsidP="00A80DEF">
      <w:pPr>
        <w:pStyle w:val="HChG"/>
        <w:rPr>
          <w:lang w:val="fr-FR"/>
        </w:rPr>
      </w:pPr>
      <w:bookmarkStart w:id="2" w:name="_Toc287547760"/>
      <w:r w:rsidRPr="00A80DEF">
        <w:rPr>
          <w:lang w:val="fr-FR"/>
        </w:rPr>
        <w:tab/>
        <w:t>II.</w:t>
      </w:r>
      <w:r w:rsidRPr="00A80DEF">
        <w:rPr>
          <w:lang w:val="fr-FR"/>
        </w:rPr>
        <w:tab/>
        <w:t>Renseignements actualisés</w:t>
      </w:r>
    </w:p>
    <w:p w:rsidR="00A80DEF" w:rsidRPr="00A80DEF" w:rsidRDefault="00A80DEF" w:rsidP="00A80DEF">
      <w:pPr>
        <w:pStyle w:val="H1G"/>
        <w:rPr>
          <w:lang w:val="fr-FR"/>
        </w:rPr>
      </w:pPr>
      <w:r w:rsidRPr="00A80DEF">
        <w:rPr>
          <w:lang w:val="fr-FR"/>
        </w:rPr>
        <w:tab/>
      </w:r>
      <w:r w:rsidRPr="00A80DEF">
        <w:rPr>
          <w:lang w:val="fr-FR"/>
        </w:rPr>
        <w:tab/>
        <w:t>Les Fidji en bref</w:t>
      </w:r>
      <w:bookmarkEnd w:id="2"/>
    </w:p>
    <w:p w:rsidR="00A80DEF" w:rsidRPr="00A80DEF" w:rsidRDefault="00A80DEF" w:rsidP="008577BD">
      <w:pPr>
        <w:pStyle w:val="ParNoG"/>
        <w:tabs>
          <w:tab w:val="clear" w:pos="1967"/>
          <w:tab w:val="left" w:pos="1701"/>
        </w:tabs>
        <w:ind w:left="1134"/>
        <w:rPr>
          <w:lang w:val="fr-FR"/>
        </w:rPr>
      </w:pPr>
      <w:r w:rsidRPr="00A80DEF">
        <w:rPr>
          <w:lang w:val="fr-FR"/>
        </w:rPr>
        <w:t>Les informations qui suivent constituent une mise à jour des données figurant au paragraphe 4 du document de base:</w:t>
      </w:r>
    </w:p>
    <w:p w:rsidR="00A80DEF" w:rsidRPr="00A80DEF" w:rsidRDefault="00A80DEF" w:rsidP="00A80DEF">
      <w:pPr>
        <w:pStyle w:val="SingleTxtG"/>
        <w:ind w:left="1701"/>
        <w:rPr>
          <w:lang w:val="fr-FR"/>
        </w:rPr>
      </w:pPr>
      <w:r w:rsidRPr="00A80DEF">
        <w:rPr>
          <w:b/>
          <w:lang w:val="fr-FR"/>
        </w:rPr>
        <w:t xml:space="preserve">Population </w:t>
      </w:r>
      <w:r w:rsidRPr="00A80DEF">
        <w:rPr>
          <w:lang w:val="fr-FR"/>
        </w:rPr>
        <w:t xml:space="preserve">(voir également HRI/CORE/FJI/2006, par. 42 à 44): </w:t>
      </w:r>
    </w:p>
    <w:p w:rsidR="00A80DEF" w:rsidRPr="00A80DEF" w:rsidRDefault="00A80DEF" w:rsidP="00A80DEF">
      <w:pPr>
        <w:pStyle w:val="SingleTxtG"/>
        <w:ind w:left="1701"/>
        <w:rPr>
          <w:lang w:val="fr-FR"/>
        </w:rPr>
      </w:pPr>
      <w:r w:rsidRPr="00A80DEF">
        <w:rPr>
          <w:lang w:val="fr-FR"/>
        </w:rPr>
        <w:t>Population totale en juillet 2009: 944 720</w:t>
      </w:r>
      <w:r w:rsidR="009A3214">
        <w:rPr>
          <w:lang w:val="fr-FR"/>
        </w:rPr>
        <w:t>.</w:t>
      </w:r>
    </w:p>
    <w:p w:rsidR="00A80DEF" w:rsidRPr="00A80DEF" w:rsidRDefault="00A80DEF" w:rsidP="00A80DEF">
      <w:pPr>
        <w:pStyle w:val="SingleTxtG"/>
        <w:ind w:left="1701"/>
        <w:rPr>
          <w:lang w:val="fr-FR"/>
        </w:rPr>
      </w:pPr>
      <w:r w:rsidRPr="00A80DEF">
        <w:rPr>
          <w:b/>
          <w:bCs/>
        </w:rPr>
        <w:t>Nombre d</w:t>
      </w:r>
      <w:r w:rsidR="004F3806">
        <w:rPr>
          <w:b/>
          <w:bCs/>
        </w:rPr>
        <w:t>’</w:t>
      </w:r>
      <w:r w:rsidRPr="00A80DEF">
        <w:rPr>
          <w:b/>
          <w:bCs/>
        </w:rPr>
        <w:t>habitants au km</w:t>
      </w:r>
      <w:r w:rsidRPr="00A80DEF">
        <w:rPr>
          <w:b/>
          <w:bCs/>
          <w:vertAlign w:val="superscript"/>
        </w:rPr>
        <w:t>2</w:t>
      </w:r>
      <w:r w:rsidRPr="00A80DEF">
        <w:rPr>
          <w:lang w:val="fr-FR"/>
        </w:rPr>
        <w:t>: 45,7</w:t>
      </w:r>
    </w:p>
    <w:p w:rsidR="00A80DEF" w:rsidRPr="00A80DEF" w:rsidRDefault="00A80DEF" w:rsidP="00A80DEF">
      <w:pPr>
        <w:pStyle w:val="SingleTxtG"/>
        <w:ind w:left="1701"/>
        <w:rPr>
          <w:lang w:val="fr-FR"/>
        </w:rPr>
      </w:pPr>
      <w:r w:rsidRPr="00A80DEF">
        <w:rPr>
          <w:b/>
          <w:lang w:val="fr-FR"/>
        </w:rPr>
        <w:t>Répartition par âge</w:t>
      </w:r>
      <w:r w:rsidRPr="00A80DEF">
        <w:rPr>
          <w:lang w:val="fr-FR"/>
        </w:rPr>
        <w:t xml:space="preserve"> (estimation de 2009):</w:t>
      </w:r>
    </w:p>
    <w:p w:rsidR="00A80DEF" w:rsidRPr="00A80DEF" w:rsidRDefault="00A80DEF" w:rsidP="00A80DEF">
      <w:pPr>
        <w:pStyle w:val="Bullet1G"/>
        <w:rPr>
          <w:lang w:val="fr-FR"/>
        </w:rPr>
      </w:pPr>
      <w:r w:rsidRPr="00A80DEF">
        <w:rPr>
          <w:lang w:val="fr-FR"/>
        </w:rPr>
        <w:t>0-14 ans: 30,3 %</w:t>
      </w:r>
      <w:r>
        <w:rPr>
          <w:lang w:val="fr-FR"/>
        </w:rPr>
        <w:t>;</w:t>
      </w:r>
    </w:p>
    <w:p w:rsidR="00A80DEF" w:rsidRPr="00A80DEF" w:rsidRDefault="004F3806" w:rsidP="00A80DEF">
      <w:pPr>
        <w:pStyle w:val="Bullet1G"/>
        <w:rPr>
          <w:lang w:val="fr-FR"/>
        </w:rPr>
      </w:pPr>
      <w:r>
        <w:rPr>
          <w:lang w:val="fr-FR"/>
        </w:rPr>
        <w:t>15</w:t>
      </w:r>
      <w:r w:rsidR="00A80DEF" w:rsidRPr="00A80DEF">
        <w:rPr>
          <w:lang w:val="fr-FR"/>
        </w:rPr>
        <w:t>-64 ans: 67,9 %</w:t>
      </w:r>
      <w:r w:rsidR="00A80DEF">
        <w:rPr>
          <w:lang w:val="fr-FR"/>
        </w:rPr>
        <w:t>;</w:t>
      </w:r>
    </w:p>
    <w:p w:rsidR="00A80DEF" w:rsidRPr="00A80DEF" w:rsidRDefault="00A80DEF" w:rsidP="00A80DEF">
      <w:pPr>
        <w:pStyle w:val="Bullet1G"/>
        <w:rPr>
          <w:lang w:val="fr-FR"/>
        </w:rPr>
      </w:pPr>
      <w:r w:rsidRPr="00A80DEF">
        <w:rPr>
          <w:lang w:val="fr-FR"/>
        </w:rPr>
        <w:t>65 ans et plus: 4,8 %</w:t>
      </w:r>
      <w:r>
        <w:rPr>
          <w:lang w:val="fr-FR"/>
        </w:rPr>
        <w:t>;</w:t>
      </w:r>
    </w:p>
    <w:p w:rsidR="00A80DEF" w:rsidRPr="00A80DEF" w:rsidRDefault="00A80DEF" w:rsidP="00A80DEF">
      <w:pPr>
        <w:pStyle w:val="Bullet1G"/>
        <w:rPr>
          <w:lang w:val="fr-FR"/>
        </w:rPr>
      </w:pPr>
      <w:r w:rsidRPr="00A80DEF">
        <w:rPr>
          <w:lang w:val="fr-FR"/>
        </w:rPr>
        <w:t>Moins de 5 ans: 82 718</w:t>
      </w:r>
      <w:r>
        <w:rPr>
          <w:lang w:val="fr-FR"/>
        </w:rPr>
        <w:t>;</w:t>
      </w:r>
    </w:p>
    <w:p w:rsidR="00A80DEF" w:rsidRPr="00A80DEF" w:rsidRDefault="00A80DEF" w:rsidP="00A80DEF">
      <w:pPr>
        <w:pStyle w:val="Bullet1G"/>
        <w:rPr>
          <w:lang w:val="fr-FR"/>
        </w:rPr>
      </w:pPr>
      <w:r w:rsidRPr="00A80DEF">
        <w:rPr>
          <w:lang w:val="fr-FR"/>
        </w:rPr>
        <w:t>5-9 ans: 78 319</w:t>
      </w:r>
      <w:r>
        <w:rPr>
          <w:lang w:val="fr-FR"/>
        </w:rPr>
        <w:t>;</w:t>
      </w:r>
    </w:p>
    <w:p w:rsidR="00A80DEF" w:rsidRPr="00A80DEF" w:rsidRDefault="00A80DEF" w:rsidP="00A80DEF">
      <w:pPr>
        <w:pStyle w:val="Bullet1G"/>
        <w:rPr>
          <w:lang w:val="fr-FR"/>
        </w:rPr>
      </w:pPr>
      <w:r w:rsidRPr="00A80DEF">
        <w:rPr>
          <w:lang w:val="fr-FR"/>
        </w:rPr>
        <w:t>10-14 ans: 82 384</w:t>
      </w:r>
      <w:r>
        <w:rPr>
          <w:lang w:val="fr-FR"/>
        </w:rPr>
        <w:t>;</w:t>
      </w:r>
    </w:p>
    <w:p w:rsidR="00A80DEF" w:rsidRPr="00A80DEF" w:rsidRDefault="00A80DEF" w:rsidP="00A80DEF">
      <w:pPr>
        <w:pStyle w:val="Bullet1G"/>
        <w:rPr>
          <w:lang w:val="fr-FR"/>
        </w:rPr>
      </w:pPr>
      <w:r w:rsidRPr="00A80DEF">
        <w:rPr>
          <w:lang w:val="fr-FR"/>
        </w:rPr>
        <w:t>15-19 ans: 79 518</w:t>
      </w:r>
      <w:r>
        <w:rPr>
          <w:lang w:val="fr-FR"/>
        </w:rPr>
        <w:t>.</w:t>
      </w:r>
    </w:p>
    <w:p w:rsidR="00A80DEF" w:rsidRPr="00A80DEF" w:rsidRDefault="00A80DEF" w:rsidP="00A80DEF">
      <w:pPr>
        <w:pStyle w:val="SingleTxtG"/>
        <w:ind w:left="1701"/>
        <w:rPr>
          <w:lang w:val="fr-FR"/>
        </w:rPr>
      </w:pPr>
      <w:r w:rsidRPr="00A80DEF">
        <w:rPr>
          <w:b/>
          <w:lang w:val="fr-FR"/>
        </w:rPr>
        <w:t>Religion</w:t>
      </w:r>
      <w:r w:rsidRPr="00A80DEF">
        <w:rPr>
          <w:lang w:val="fr-FR"/>
        </w:rPr>
        <w:t xml:space="preserve"> (voir également par</w:t>
      </w:r>
      <w:r w:rsidR="004F3806">
        <w:rPr>
          <w:lang w:val="fr-FR"/>
        </w:rPr>
        <w:t>.</w:t>
      </w:r>
      <w:r w:rsidRPr="00A80DEF">
        <w:rPr>
          <w:lang w:val="fr-FR"/>
        </w:rPr>
        <w:t> 9):</w:t>
      </w:r>
    </w:p>
    <w:p w:rsidR="00A80DEF" w:rsidRPr="00A80DEF" w:rsidRDefault="00A80DEF" w:rsidP="00A80DEF">
      <w:pPr>
        <w:pStyle w:val="Bullet1G"/>
        <w:rPr>
          <w:lang w:val="fr-FR"/>
        </w:rPr>
      </w:pPr>
      <w:r w:rsidRPr="00A80DEF">
        <w:rPr>
          <w:lang w:val="fr-FR"/>
        </w:rPr>
        <w:t>Chrétienne: 539 553</w:t>
      </w:r>
      <w:r>
        <w:rPr>
          <w:lang w:val="fr-FR"/>
        </w:rPr>
        <w:t>;</w:t>
      </w:r>
    </w:p>
    <w:p w:rsidR="00A80DEF" w:rsidRPr="00A80DEF" w:rsidRDefault="00A80DEF" w:rsidP="00A80DEF">
      <w:pPr>
        <w:pStyle w:val="Bullet1G"/>
        <w:rPr>
          <w:lang w:val="fr-FR"/>
        </w:rPr>
      </w:pPr>
      <w:r w:rsidRPr="00A80DEF">
        <w:rPr>
          <w:lang w:val="fr-FR"/>
        </w:rPr>
        <w:t>Hindoue: 233 414</w:t>
      </w:r>
      <w:r>
        <w:rPr>
          <w:lang w:val="fr-FR"/>
        </w:rPr>
        <w:t>;</w:t>
      </w:r>
    </w:p>
    <w:p w:rsidR="00A80DEF" w:rsidRPr="00A80DEF" w:rsidRDefault="00A80DEF" w:rsidP="00A80DEF">
      <w:pPr>
        <w:pStyle w:val="Bullet1G"/>
        <w:rPr>
          <w:lang w:val="fr-FR"/>
        </w:rPr>
      </w:pPr>
      <w:r w:rsidRPr="00A80DEF">
        <w:rPr>
          <w:lang w:val="fr-FR"/>
        </w:rPr>
        <w:t>Sikh: 2 540</w:t>
      </w:r>
      <w:r>
        <w:rPr>
          <w:lang w:val="fr-FR"/>
        </w:rPr>
        <w:t>;</w:t>
      </w:r>
    </w:p>
    <w:p w:rsidR="00A80DEF" w:rsidRPr="00A80DEF" w:rsidRDefault="00A80DEF" w:rsidP="00A80DEF">
      <w:pPr>
        <w:pStyle w:val="Bullet1G"/>
        <w:rPr>
          <w:lang w:val="fr-FR"/>
        </w:rPr>
      </w:pPr>
      <w:r w:rsidRPr="00A80DEF">
        <w:rPr>
          <w:lang w:val="fr-FR"/>
        </w:rPr>
        <w:t>Musulmane: 52 505</w:t>
      </w:r>
      <w:r>
        <w:rPr>
          <w:lang w:val="fr-FR"/>
        </w:rPr>
        <w:t>;</w:t>
      </w:r>
    </w:p>
    <w:p w:rsidR="00A80DEF" w:rsidRPr="00A80DEF" w:rsidRDefault="00A80DEF" w:rsidP="00A80DEF">
      <w:pPr>
        <w:pStyle w:val="Bullet1G"/>
        <w:rPr>
          <w:lang w:val="fr-FR"/>
        </w:rPr>
      </w:pPr>
      <w:r w:rsidRPr="00A80DEF">
        <w:rPr>
          <w:lang w:val="fr-FR"/>
        </w:rPr>
        <w:t>Autre: 2 181</w:t>
      </w:r>
      <w:r>
        <w:rPr>
          <w:lang w:val="fr-FR"/>
        </w:rPr>
        <w:t>;</w:t>
      </w:r>
    </w:p>
    <w:p w:rsidR="00A80DEF" w:rsidRPr="00A80DEF" w:rsidRDefault="00A80DEF" w:rsidP="00A80DEF">
      <w:pPr>
        <w:pStyle w:val="Bullet1G"/>
        <w:rPr>
          <w:lang w:val="fr-FR"/>
        </w:rPr>
      </w:pPr>
      <w:r w:rsidRPr="00A80DEF">
        <w:rPr>
          <w:lang w:val="fr-FR"/>
        </w:rPr>
        <w:t>Aucune: 7 078</w:t>
      </w:r>
      <w:r w:rsidR="009A3214">
        <w:rPr>
          <w:lang w:val="fr-FR"/>
        </w:rPr>
        <w:t>.</w:t>
      </w:r>
    </w:p>
    <w:p w:rsidR="00A80DEF" w:rsidRPr="00A80DEF" w:rsidRDefault="00A80DEF" w:rsidP="00A80DEF">
      <w:pPr>
        <w:pStyle w:val="SingleTxtG"/>
        <w:keepNext/>
        <w:ind w:left="1701"/>
        <w:rPr>
          <w:b/>
          <w:lang w:val="fr-FR"/>
        </w:rPr>
      </w:pPr>
      <w:r w:rsidRPr="00A80DEF">
        <w:rPr>
          <w:b/>
        </w:rPr>
        <w:t>Population active</w:t>
      </w:r>
    </w:p>
    <w:p w:rsidR="00A80DEF" w:rsidRPr="00A80DEF" w:rsidRDefault="00A80DEF" w:rsidP="001708D3">
      <w:pPr>
        <w:pStyle w:val="SingleTxtG"/>
        <w:keepNext/>
        <w:ind w:left="1701"/>
        <w:rPr>
          <w:lang w:val="fr-FR"/>
        </w:rPr>
      </w:pPr>
      <w:r>
        <w:rPr>
          <w:lang w:val="fr-FR"/>
        </w:rPr>
        <w:t>Nombre de personnes âgées de 15 </w:t>
      </w:r>
      <w:r w:rsidRPr="00A80DEF">
        <w:rPr>
          <w:lang w:val="fr-FR"/>
        </w:rPr>
        <w:t>ans et plus: 594 150</w:t>
      </w:r>
    </w:p>
    <w:p w:rsidR="00A80DEF" w:rsidRPr="00A80DEF" w:rsidRDefault="00A80DEF" w:rsidP="001708D3">
      <w:pPr>
        <w:pStyle w:val="Bullet1G"/>
        <w:keepNext/>
        <w:rPr>
          <w:lang w:val="fr-FR"/>
        </w:rPr>
      </w:pPr>
      <w:r w:rsidRPr="00A80DEF">
        <w:rPr>
          <w:lang w:val="fr-FR"/>
        </w:rPr>
        <w:t>Personnes actives: 326 988 (28 014 sans emploi)</w:t>
      </w:r>
      <w:r>
        <w:rPr>
          <w:lang w:val="fr-FR"/>
        </w:rPr>
        <w:t>;</w:t>
      </w:r>
    </w:p>
    <w:p w:rsidR="00A80DEF" w:rsidRPr="00A80DEF" w:rsidRDefault="00A80DEF" w:rsidP="00A80DEF">
      <w:pPr>
        <w:pStyle w:val="Bullet1G"/>
        <w:rPr>
          <w:lang w:val="fr-FR"/>
        </w:rPr>
      </w:pPr>
      <w:r w:rsidRPr="00A80DEF">
        <w:rPr>
          <w:lang w:val="fr-FR"/>
        </w:rPr>
        <w:t>Personnes inactives: 267 162 (y compris les personn</w:t>
      </w:r>
      <w:r w:rsidR="009A3214">
        <w:rPr>
          <w:lang w:val="fr-FR"/>
        </w:rPr>
        <w:t>es au foyer, les étudiants, les </w:t>
      </w:r>
      <w:r w:rsidRPr="00A80DEF">
        <w:rPr>
          <w:lang w:val="fr-FR"/>
        </w:rPr>
        <w:t>retraités, etc.).</w:t>
      </w:r>
    </w:p>
    <w:p w:rsidR="00A80DEF" w:rsidRPr="00A80DEF" w:rsidRDefault="00A80DEF" w:rsidP="00A80DEF">
      <w:pPr>
        <w:pStyle w:val="SingleTxtG"/>
        <w:ind w:left="1701"/>
        <w:rPr>
          <w:lang w:val="fr-FR"/>
        </w:rPr>
      </w:pPr>
      <w:r w:rsidRPr="00A80DEF">
        <w:rPr>
          <w:b/>
        </w:rPr>
        <w:t>Nombre total de naissances vivantes</w:t>
      </w:r>
      <w:r w:rsidRPr="00A80DEF">
        <w:rPr>
          <w:lang w:val="fr-FR"/>
        </w:rPr>
        <w:t xml:space="preserve"> (en 2008): 18 944</w:t>
      </w:r>
    </w:p>
    <w:p w:rsidR="00A80DEF" w:rsidRPr="00A80DEF" w:rsidRDefault="00A80DEF" w:rsidP="00A80DEF">
      <w:pPr>
        <w:pStyle w:val="SingleTxtG"/>
        <w:ind w:left="1701"/>
        <w:rPr>
          <w:lang w:val="fr-FR"/>
        </w:rPr>
      </w:pPr>
      <w:r w:rsidRPr="00A80DEF">
        <w:rPr>
          <w:b/>
        </w:rPr>
        <w:t>Taux brut de natalité</w:t>
      </w:r>
      <w:r w:rsidRPr="00A80DEF">
        <w:rPr>
          <w:lang w:val="fr-FR"/>
        </w:rPr>
        <w:t xml:space="preserve"> (</w:t>
      </w:r>
      <w:r w:rsidR="004F3806">
        <w:rPr>
          <w:lang w:val="fr-FR"/>
        </w:rPr>
        <w:t>pour 1 000 </w:t>
      </w:r>
      <w:r w:rsidRPr="00A80DEF">
        <w:rPr>
          <w:lang w:val="fr-FR"/>
        </w:rPr>
        <w:t>habitants): 21,5</w:t>
      </w:r>
    </w:p>
    <w:p w:rsidR="00A80DEF" w:rsidRPr="00A80DEF" w:rsidRDefault="00A80DEF" w:rsidP="00A80DEF">
      <w:pPr>
        <w:pStyle w:val="SingleTxtG"/>
        <w:ind w:left="1701"/>
        <w:rPr>
          <w:lang w:val="fr-FR"/>
        </w:rPr>
      </w:pPr>
      <w:r w:rsidRPr="00A80DEF">
        <w:rPr>
          <w:b/>
        </w:rPr>
        <w:t>Taux brut de mortalité</w:t>
      </w:r>
      <w:r w:rsidRPr="00A80DEF">
        <w:rPr>
          <w:lang w:val="fr-FR"/>
        </w:rPr>
        <w:t xml:space="preserve"> (</w:t>
      </w:r>
      <w:r w:rsidR="004F3806">
        <w:rPr>
          <w:lang w:val="fr-FR"/>
        </w:rPr>
        <w:t>pour 1 000 </w:t>
      </w:r>
      <w:r w:rsidRPr="00A80DEF">
        <w:rPr>
          <w:lang w:val="fr-FR"/>
        </w:rPr>
        <w:t>habitants): 7,4</w:t>
      </w:r>
    </w:p>
    <w:p w:rsidR="00A80DEF" w:rsidRPr="00A80DEF" w:rsidRDefault="00A80DEF" w:rsidP="00A80DEF">
      <w:pPr>
        <w:pStyle w:val="SingleTxtG"/>
        <w:ind w:left="1701"/>
        <w:rPr>
          <w:lang w:val="fr-FR"/>
        </w:rPr>
      </w:pPr>
      <w:r w:rsidRPr="00A80DEF">
        <w:rPr>
          <w:b/>
        </w:rPr>
        <w:t>Taux d</w:t>
      </w:r>
      <w:r w:rsidR="004F3806">
        <w:rPr>
          <w:b/>
        </w:rPr>
        <w:t>’</w:t>
      </w:r>
      <w:r w:rsidRPr="00A80DEF">
        <w:rPr>
          <w:b/>
        </w:rPr>
        <w:t>accroissement naturel</w:t>
      </w:r>
      <w:r w:rsidR="004F3806">
        <w:rPr>
          <w:lang w:val="fr-FR"/>
        </w:rPr>
        <w:t>: 1,4 </w:t>
      </w:r>
      <w:r w:rsidRPr="00A80DEF">
        <w:rPr>
          <w:lang w:val="fr-FR"/>
        </w:rPr>
        <w:t>%</w:t>
      </w:r>
    </w:p>
    <w:p w:rsidR="00A80DEF" w:rsidRPr="001708D3" w:rsidRDefault="00A80DEF" w:rsidP="00A80DEF">
      <w:pPr>
        <w:pStyle w:val="SingleTxtG"/>
        <w:ind w:left="1701"/>
        <w:rPr>
          <w:spacing w:val="-2"/>
          <w:lang w:val="fr-FR"/>
        </w:rPr>
      </w:pPr>
      <w:r w:rsidRPr="001708D3">
        <w:rPr>
          <w:b/>
          <w:spacing w:val="-2"/>
          <w:lang w:val="fr-FR"/>
        </w:rPr>
        <w:t>Taux de mortalité infantile</w:t>
      </w:r>
      <w:r w:rsidRPr="001708D3">
        <w:rPr>
          <w:spacing w:val="-2"/>
          <w:lang w:val="fr-FR"/>
        </w:rPr>
        <w:t xml:space="preserve"> (</w:t>
      </w:r>
      <w:r w:rsidR="004F3806" w:rsidRPr="001708D3">
        <w:rPr>
          <w:spacing w:val="-2"/>
          <w:lang w:val="fr-FR"/>
        </w:rPr>
        <w:t>chez les moins de 1 </w:t>
      </w:r>
      <w:r w:rsidRPr="001708D3">
        <w:rPr>
          <w:spacing w:val="-2"/>
          <w:lang w:val="fr-FR"/>
        </w:rPr>
        <w:t xml:space="preserve">an, </w:t>
      </w:r>
      <w:r w:rsidR="004F3806" w:rsidRPr="001708D3">
        <w:rPr>
          <w:spacing w:val="-2"/>
          <w:lang w:val="fr-FR"/>
        </w:rPr>
        <w:t>pour 1 000 </w:t>
      </w:r>
      <w:r w:rsidRPr="001708D3">
        <w:rPr>
          <w:spacing w:val="-2"/>
          <w:lang w:val="fr-FR"/>
        </w:rPr>
        <w:t>naissances vivantes): 13,1</w:t>
      </w:r>
    </w:p>
    <w:p w:rsidR="00A80DEF" w:rsidRPr="00A80DEF" w:rsidRDefault="00A80DEF" w:rsidP="00A80DEF">
      <w:pPr>
        <w:pStyle w:val="SingleTxtG"/>
        <w:ind w:left="1701"/>
        <w:rPr>
          <w:lang w:val="fr-FR"/>
        </w:rPr>
      </w:pPr>
      <w:r w:rsidRPr="00A80DEF">
        <w:rPr>
          <w:b/>
          <w:lang w:val="fr-FR"/>
        </w:rPr>
        <w:t>Taux de mortalité périnatale</w:t>
      </w:r>
      <w:r w:rsidRPr="00A80DEF">
        <w:rPr>
          <w:lang w:val="fr-FR"/>
        </w:rPr>
        <w:t xml:space="preserve"> (de la </w:t>
      </w:r>
      <w:r w:rsidR="004F3806">
        <w:rPr>
          <w:lang w:val="fr-FR"/>
        </w:rPr>
        <w:t>vingt-huitième</w:t>
      </w:r>
      <w:r w:rsidRPr="00A80DEF">
        <w:rPr>
          <w:lang w:val="fr-FR"/>
        </w:rPr>
        <w:t xml:space="preserve"> semaine de grossesse à </w:t>
      </w:r>
      <w:r w:rsidR="00FD0438">
        <w:rPr>
          <w:lang w:val="fr-FR"/>
        </w:rPr>
        <w:t>7 </w:t>
      </w:r>
      <w:r w:rsidRPr="00A80DEF">
        <w:rPr>
          <w:lang w:val="fr-FR"/>
        </w:rPr>
        <w:t>jours de vie): 15,4</w:t>
      </w:r>
    </w:p>
    <w:p w:rsidR="00A80DEF" w:rsidRPr="00A80DEF" w:rsidRDefault="00A80DEF" w:rsidP="00A80DEF">
      <w:pPr>
        <w:pStyle w:val="SingleTxtG"/>
        <w:ind w:left="1701"/>
        <w:rPr>
          <w:lang w:val="fr-FR"/>
        </w:rPr>
      </w:pPr>
      <w:r w:rsidRPr="00A80DEF">
        <w:rPr>
          <w:b/>
          <w:lang w:val="fr-FR"/>
        </w:rPr>
        <w:t>Taux de mortalité néonatale</w:t>
      </w:r>
      <w:r w:rsidRPr="00A80DEF">
        <w:rPr>
          <w:lang w:val="fr-FR"/>
        </w:rPr>
        <w:t>: 9</w:t>
      </w:r>
    </w:p>
    <w:p w:rsidR="00A80DEF" w:rsidRPr="00A80DEF" w:rsidRDefault="00A80DEF" w:rsidP="00A80DEF">
      <w:pPr>
        <w:pStyle w:val="SingleTxtG"/>
        <w:ind w:left="1701"/>
        <w:rPr>
          <w:lang w:val="fr-FR"/>
        </w:rPr>
      </w:pPr>
      <w:r w:rsidRPr="00A80DEF">
        <w:rPr>
          <w:b/>
          <w:lang w:val="fr-FR"/>
        </w:rPr>
        <w:t>Taux de mortalité des moins de 5 ans</w:t>
      </w:r>
      <w:r w:rsidRPr="00A80DEF">
        <w:rPr>
          <w:lang w:val="fr-FR"/>
        </w:rPr>
        <w:t>: 23,6</w:t>
      </w:r>
    </w:p>
    <w:p w:rsidR="00A80DEF" w:rsidRPr="00A80DEF" w:rsidRDefault="00A80DEF" w:rsidP="00A80DEF">
      <w:pPr>
        <w:pStyle w:val="SingleTxtG"/>
        <w:ind w:left="1701"/>
        <w:rPr>
          <w:lang w:val="fr-FR"/>
        </w:rPr>
      </w:pPr>
      <w:r w:rsidRPr="00A80DEF">
        <w:rPr>
          <w:b/>
        </w:rPr>
        <w:t>Taux de mortalité maternelle</w:t>
      </w:r>
      <w:r w:rsidRPr="00A80DEF">
        <w:rPr>
          <w:lang w:val="fr-FR"/>
        </w:rPr>
        <w:t>: 31,7</w:t>
      </w:r>
    </w:p>
    <w:p w:rsidR="00A80DEF" w:rsidRPr="00A80DEF" w:rsidRDefault="00A80DEF" w:rsidP="00A80DEF">
      <w:pPr>
        <w:pStyle w:val="SingleTxtG"/>
        <w:ind w:left="1701"/>
        <w:rPr>
          <w:lang w:val="fr-FR"/>
        </w:rPr>
      </w:pPr>
      <w:r w:rsidRPr="00A80DEF">
        <w:rPr>
          <w:b/>
        </w:rPr>
        <w:t>Espérance de vie à la naissance</w:t>
      </w:r>
      <w:r w:rsidRPr="00A80DEF">
        <w:rPr>
          <w:lang w:val="fr-FR"/>
        </w:rPr>
        <w:t xml:space="preserve">: </w:t>
      </w:r>
    </w:p>
    <w:p w:rsidR="00A80DEF" w:rsidRPr="00A80DEF" w:rsidRDefault="00A80DEF" w:rsidP="00A80DEF">
      <w:pPr>
        <w:pStyle w:val="Bullet1G"/>
        <w:rPr>
          <w:lang w:val="fr-FR"/>
        </w:rPr>
      </w:pPr>
      <w:r w:rsidRPr="00A80DEF">
        <w:rPr>
          <w:lang w:val="fr-FR"/>
        </w:rPr>
        <w:t>65,1 ans (pour les hommes), 69,8 ans (pour les femmes).</w:t>
      </w:r>
    </w:p>
    <w:p w:rsidR="00A80DEF" w:rsidRPr="00A80DEF" w:rsidRDefault="00A80DEF" w:rsidP="00A80DEF">
      <w:pPr>
        <w:pStyle w:val="SingleTxtG"/>
        <w:ind w:left="1701"/>
        <w:rPr>
          <w:lang w:val="fr-FR"/>
        </w:rPr>
      </w:pPr>
      <w:r w:rsidRPr="00A80DEF">
        <w:rPr>
          <w:b/>
          <w:lang w:val="fr-FR"/>
        </w:rPr>
        <w:t>Taux brut de fécondité</w:t>
      </w:r>
      <w:r w:rsidR="004F3806">
        <w:rPr>
          <w:lang w:val="fr-FR"/>
        </w:rPr>
        <w:t xml:space="preserve"> (pour 1 000 </w:t>
      </w:r>
      <w:r w:rsidRPr="00A80DEF">
        <w:rPr>
          <w:lang w:val="fr-FR"/>
        </w:rPr>
        <w:t>femmes en âge de procréer): 99</w:t>
      </w:r>
    </w:p>
    <w:p w:rsidR="00A80DEF" w:rsidRPr="00A80DEF" w:rsidRDefault="00A80DEF" w:rsidP="00A80DEF">
      <w:pPr>
        <w:pStyle w:val="H1G"/>
        <w:rPr>
          <w:lang w:val="fr-FR"/>
        </w:rPr>
      </w:pPr>
      <w:bookmarkStart w:id="3" w:name="_Toc287547761"/>
      <w:r w:rsidRPr="00A80DEF">
        <w:rPr>
          <w:lang w:val="fr-FR"/>
        </w:rPr>
        <w:tab/>
      </w:r>
      <w:r w:rsidRPr="00A80DEF">
        <w:rPr>
          <w:lang w:val="fr-FR"/>
        </w:rPr>
        <w:tab/>
        <w:t>Contexte historique</w:t>
      </w:r>
      <w:bookmarkEnd w:id="3"/>
    </w:p>
    <w:p w:rsidR="00A80DEF" w:rsidRPr="00A80DEF" w:rsidRDefault="00A80DEF" w:rsidP="00AC0AA6">
      <w:pPr>
        <w:pStyle w:val="ParNoG"/>
        <w:tabs>
          <w:tab w:val="clear" w:pos="1967"/>
          <w:tab w:val="left" w:pos="1701"/>
        </w:tabs>
        <w:ind w:left="1134"/>
        <w:rPr>
          <w:lang w:val="fr-FR"/>
        </w:rPr>
      </w:pPr>
      <w:r w:rsidRPr="00A80DEF">
        <w:rPr>
          <w:lang w:val="fr-FR"/>
        </w:rPr>
        <w:t>Les informations à jour ci-après s</w:t>
      </w:r>
      <w:r w:rsidR="004F3806">
        <w:rPr>
          <w:lang w:val="fr-FR"/>
        </w:rPr>
        <w:t>’</w:t>
      </w:r>
      <w:r w:rsidRPr="00A80DEF">
        <w:rPr>
          <w:lang w:val="fr-FR"/>
        </w:rPr>
        <w:t>insèrent après le paragraphe</w:t>
      </w:r>
      <w:r>
        <w:rPr>
          <w:lang w:val="fr-FR"/>
        </w:rPr>
        <w:t> </w:t>
      </w:r>
      <w:r w:rsidRPr="00A80DEF">
        <w:rPr>
          <w:lang w:val="fr-FR"/>
        </w:rPr>
        <w:t>40 du document de base commun.</w:t>
      </w:r>
    </w:p>
    <w:p w:rsidR="00A80DEF" w:rsidRPr="00A80DEF" w:rsidRDefault="00A80DEF" w:rsidP="00AC0AA6">
      <w:pPr>
        <w:pStyle w:val="ParNoG"/>
        <w:tabs>
          <w:tab w:val="clear" w:pos="1967"/>
          <w:tab w:val="left" w:pos="1701"/>
        </w:tabs>
        <w:ind w:left="1134"/>
        <w:rPr>
          <w:lang w:val="fr-FR"/>
        </w:rPr>
      </w:pPr>
      <w:r w:rsidRPr="00A80DEF">
        <w:t>Le Parti travailliste fidjien a remporté les élections générales de 1999 et dirigé pendant un an un gouvernement de coalition do</w:t>
      </w:r>
      <w:r>
        <w:t>nt le Premier Ministre était M. Mahendra </w:t>
      </w:r>
      <w:r w:rsidRPr="00A80DEF">
        <w:t>Pal Chaudhry. En 2000, ce gouvernement a été renversé et pris en otage par un gro</w:t>
      </w:r>
      <w:r>
        <w:t>upe de civils dirigé par George </w:t>
      </w:r>
      <w:r w:rsidRPr="00A80DEF">
        <w:t>Speight</w:t>
      </w:r>
      <w:r w:rsidR="004F3806">
        <w:t xml:space="preserve">, qui a ensuite annoncé qu’il abrogerait </w:t>
      </w:r>
      <w:r w:rsidRPr="00A80DEF">
        <w:t>la Constitution de 1997.</w:t>
      </w:r>
    </w:p>
    <w:p w:rsidR="00A80DEF" w:rsidRPr="00A80DEF" w:rsidRDefault="00A80DEF" w:rsidP="00AC0AA6">
      <w:pPr>
        <w:pStyle w:val="ParNoG"/>
        <w:tabs>
          <w:tab w:val="clear" w:pos="1967"/>
          <w:tab w:val="left" w:pos="1701"/>
        </w:tabs>
        <w:ind w:left="1134"/>
        <w:rPr>
          <w:lang w:val="fr-FR"/>
        </w:rPr>
      </w:pPr>
      <w:r w:rsidRPr="00A80DEF">
        <w:t>La justice a cependant estimé par la suite que la Constitution de 1997 demeurait la loi suprême.</w:t>
      </w:r>
      <w:r w:rsidRPr="00A80DEF">
        <w:rPr>
          <w:lang w:val="fr-FR"/>
        </w:rPr>
        <w:t xml:space="preserve"> En 2001, </w:t>
      </w:r>
      <w:r w:rsidRPr="00A80DEF">
        <w:t>les élections générales ont marqué le retour des Fidji à un régime de démocratie parlementaire, sous la directi</w:t>
      </w:r>
      <w:r>
        <w:t>on du Premier Ministre Laisenia </w:t>
      </w:r>
      <w:r w:rsidRPr="00A80DEF">
        <w:t>Qarase, à la tête d</w:t>
      </w:r>
      <w:r w:rsidR="004F3806">
        <w:t>’</w:t>
      </w:r>
      <w:r w:rsidRPr="00A80DEF">
        <w:t>un gouvernement dominé par le parti Soqoqsoqo Duavata Lewenivanua (SDL).</w:t>
      </w:r>
    </w:p>
    <w:p w:rsidR="00A80DEF" w:rsidRPr="00A80DEF" w:rsidRDefault="00A80DEF" w:rsidP="00AC0AA6">
      <w:pPr>
        <w:pStyle w:val="ParNoG"/>
        <w:tabs>
          <w:tab w:val="clear" w:pos="1967"/>
          <w:tab w:val="left" w:pos="1701"/>
        </w:tabs>
        <w:ind w:left="1134"/>
        <w:rPr>
          <w:lang w:val="fr-FR"/>
        </w:rPr>
      </w:pPr>
      <w:r w:rsidRPr="00A80DEF">
        <w:t xml:space="preserve">Ce gouvernement a été reconduit lors des élections générales de 2006. </w:t>
      </w:r>
      <w:r w:rsidR="004F3806" w:rsidRPr="00A80DEF">
        <w:t>U</w:t>
      </w:r>
      <w:r w:rsidR="004F3806">
        <w:t>n </w:t>
      </w:r>
      <w:r w:rsidRPr="00A80DEF">
        <w:t>gouvernement multipartite comprenant le Parti</w:t>
      </w:r>
      <w:r>
        <w:t xml:space="preserve"> travailliste a été formé</w:t>
      </w:r>
      <w:r w:rsidR="004F3806">
        <w:t xml:space="preserve"> conformément à la Constitution de 1997</w:t>
      </w:r>
      <w:r>
        <w:t>. Le 5 </w:t>
      </w:r>
      <w:r w:rsidRPr="00A80DEF">
        <w:t>décembre 2006, Le Président a dissous le Parlement et nommé un gouvernement intérimaire.</w:t>
      </w:r>
    </w:p>
    <w:p w:rsidR="00A80DEF" w:rsidRPr="00A80DEF" w:rsidRDefault="00A80DEF" w:rsidP="00AC0AA6">
      <w:pPr>
        <w:pStyle w:val="ParNoG"/>
        <w:tabs>
          <w:tab w:val="clear" w:pos="1967"/>
          <w:tab w:val="left" w:pos="1701"/>
        </w:tabs>
        <w:ind w:left="1134"/>
        <w:rPr>
          <w:lang w:val="fr-FR"/>
        </w:rPr>
      </w:pPr>
      <w:r w:rsidRPr="00A80DEF">
        <w:t>Le 1</w:t>
      </w:r>
      <w:r>
        <w:t>0 </w:t>
      </w:r>
      <w:r w:rsidRPr="00A80DEF">
        <w:t xml:space="preserve">avril 2009, suite à un jugement de la </w:t>
      </w:r>
      <w:r w:rsidR="009A3214" w:rsidRPr="00A80DEF">
        <w:t>c</w:t>
      </w:r>
      <w:r w:rsidRPr="00A80DEF">
        <w:t>our d</w:t>
      </w:r>
      <w:r w:rsidR="004F3806">
        <w:t>’</w:t>
      </w:r>
      <w:r w:rsidRPr="00A80DEF">
        <w:t xml:space="preserve">appel invalidant un arrêt par lequel la Haute Cour avait confirmé la légalité </w:t>
      </w:r>
      <w:r>
        <w:t>des actions présidentielles, la </w:t>
      </w:r>
      <w:r w:rsidRPr="00A80DEF">
        <w:t>Constitution de 1997 a été abrogée. Un nouveau système juridique a été mis en place dans le but d</w:t>
      </w:r>
      <w:r w:rsidR="004F3806">
        <w:t>’</w:t>
      </w:r>
      <w:r w:rsidRPr="00A80DEF">
        <w:t>instituer une nouvelle Constitution et d</w:t>
      </w:r>
      <w:r w:rsidR="004F3806">
        <w:t>’</w:t>
      </w:r>
      <w:r w:rsidRPr="00A80DEF">
        <w:t>orga</w:t>
      </w:r>
      <w:r>
        <w:t>niser, au plus tard en 2014, de </w:t>
      </w:r>
      <w:r w:rsidRPr="00A80DEF">
        <w:t xml:space="preserve">nouvelles élections </w:t>
      </w:r>
      <w:r w:rsidR="004F3806">
        <w:t xml:space="preserve">selon </w:t>
      </w:r>
      <w:r w:rsidRPr="00A80DEF">
        <w:t>un système électoral fondé sur l</w:t>
      </w:r>
      <w:r w:rsidR="004F3806">
        <w:t>’</w:t>
      </w:r>
      <w:r w:rsidRPr="00A80DEF">
        <w:t>égalité de suffrage sans distinction de race.</w:t>
      </w:r>
    </w:p>
    <w:p w:rsidR="00A80DEF" w:rsidRPr="00A80DEF" w:rsidRDefault="00A80DEF" w:rsidP="00A80DEF">
      <w:pPr>
        <w:pStyle w:val="H1G"/>
        <w:rPr>
          <w:lang w:val="fr-FR"/>
        </w:rPr>
      </w:pPr>
      <w:bookmarkStart w:id="4" w:name="_Toc287547762"/>
      <w:r w:rsidRPr="00A80DEF">
        <w:rPr>
          <w:lang w:val="fr-FR"/>
        </w:rPr>
        <w:tab/>
      </w:r>
      <w:r w:rsidRPr="00A80DEF">
        <w:rPr>
          <w:lang w:val="fr-FR"/>
        </w:rPr>
        <w:tab/>
        <w:t>Population</w:t>
      </w:r>
      <w:bookmarkEnd w:id="4"/>
    </w:p>
    <w:p w:rsidR="00A80DEF" w:rsidRPr="00A80DEF" w:rsidRDefault="00A80DEF" w:rsidP="00AC0AA6">
      <w:pPr>
        <w:pStyle w:val="ParNoG"/>
        <w:tabs>
          <w:tab w:val="clear" w:pos="1967"/>
          <w:tab w:val="left" w:pos="1701"/>
        </w:tabs>
        <w:ind w:left="1134"/>
        <w:rPr>
          <w:lang w:val="fr-FR"/>
        </w:rPr>
      </w:pPr>
      <w:r w:rsidRPr="00A80DEF">
        <w:rPr>
          <w:lang w:val="fr-FR"/>
        </w:rPr>
        <w:t>Les Fidji sont une société pluraliste. L</w:t>
      </w:r>
      <w:r w:rsidR="004F3806">
        <w:rPr>
          <w:lang w:val="fr-FR"/>
        </w:rPr>
        <w:t>’</w:t>
      </w:r>
      <w:r w:rsidRPr="00A80DEF">
        <w:rPr>
          <w:lang w:val="fr-FR"/>
        </w:rPr>
        <w:t>anglais est la langue véhiculaire et l</w:t>
      </w:r>
      <w:r w:rsidR="004F3806">
        <w:rPr>
          <w:lang w:val="fr-FR"/>
        </w:rPr>
        <w:t>’</w:t>
      </w:r>
      <w:r w:rsidRPr="00A80DEF">
        <w:rPr>
          <w:lang w:val="fr-FR"/>
        </w:rPr>
        <w:t>une des trois langues offic</w:t>
      </w:r>
      <w:r w:rsidR="004F3806">
        <w:rPr>
          <w:lang w:val="fr-FR"/>
        </w:rPr>
        <w:t>ielles du pays. Les deux autres</w:t>
      </w:r>
      <w:r w:rsidRPr="00A80DEF">
        <w:rPr>
          <w:lang w:val="fr-FR"/>
        </w:rPr>
        <w:t>, le fidjien (bauan) et l</w:t>
      </w:r>
      <w:r w:rsidR="004F3806">
        <w:rPr>
          <w:lang w:val="fr-FR"/>
        </w:rPr>
        <w:t>’</w:t>
      </w:r>
      <w:r w:rsidRPr="00A80DEF">
        <w:rPr>
          <w:lang w:val="fr-FR"/>
        </w:rPr>
        <w:t>hindi, sont également très répandues et enseignées dans le cadre des programmes scolaires.</w:t>
      </w:r>
    </w:p>
    <w:p w:rsidR="00A80DEF" w:rsidRPr="00A80DEF" w:rsidRDefault="00A80DEF" w:rsidP="00A80DEF">
      <w:pPr>
        <w:pStyle w:val="H1G"/>
        <w:rPr>
          <w:lang w:val="fr-FR"/>
        </w:rPr>
      </w:pPr>
      <w:r w:rsidRPr="00A80DEF">
        <w:rPr>
          <w:lang w:val="fr-FR"/>
        </w:rPr>
        <w:tab/>
      </w:r>
      <w:r w:rsidRPr="00A80DEF">
        <w:rPr>
          <w:lang w:val="fr-FR"/>
        </w:rPr>
        <w:tab/>
      </w:r>
      <w:r w:rsidR="004F3806">
        <w:rPr>
          <w:lang w:val="fr-FR"/>
        </w:rPr>
        <w:t>T</w:t>
      </w:r>
      <w:r w:rsidRPr="00A80DEF">
        <w:rPr>
          <w:lang w:val="fr-FR"/>
        </w:rPr>
        <w:t>erritoire</w:t>
      </w:r>
    </w:p>
    <w:p w:rsidR="00A80DEF" w:rsidRPr="00A80DEF" w:rsidRDefault="00A80DEF" w:rsidP="00AC0AA6">
      <w:pPr>
        <w:pStyle w:val="ParNoG"/>
        <w:tabs>
          <w:tab w:val="clear" w:pos="1967"/>
          <w:tab w:val="left" w:pos="1701"/>
        </w:tabs>
        <w:ind w:left="1134"/>
        <w:rPr>
          <w:lang w:val="fr-FR"/>
        </w:rPr>
      </w:pPr>
      <w:r w:rsidRPr="00A80DEF">
        <w:rPr>
          <w:lang w:val="fr-FR"/>
        </w:rPr>
        <w:t>Les informations ci-après constituent une mise à jour des paragraphes</w:t>
      </w:r>
      <w:r>
        <w:rPr>
          <w:lang w:val="fr-FR"/>
        </w:rPr>
        <w:t> </w:t>
      </w:r>
      <w:r w:rsidRPr="00A80DEF">
        <w:rPr>
          <w:lang w:val="fr-FR"/>
        </w:rPr>
        <w:t>62 à 81 du document de base commun</w:t>
      </w:r>
      <w:r w:rsidRPr="00A80DEF">
        <w:rPr>
          <w:rStyle w:val="FootnoteReference"/>
        </w:rPr>
        <w:footnoteReference w:id="4"/>
      </w:r>
      <w:r>
        <w:rPr>
          <w:lang w:val="fr-FR"/>
        </w:rPr>
        <w:t>.</w:t>
      </w:r>
    </w:p>
    <w:p w:rsidR="00A80DEF" w:rsidRPr="00A80DEF" w:rsidRDefault="00A80DEF" w:rsidP="00AC0AA6">
      <w:pPr>
        <w:pStyle w:val="ParNoG"/>
        <w:tabs>
          <w:tab w:val="clear" w:pos="1967"/>
          <w:tab w:val="left" w:pos="1701"/>
        </w:tabs>
        <w:ind w:left="1134"/>
        <w:rPr>
          <w:lang w:val="fr-FR"/>
        </w:rPr>
      </w:pPr>
      <w:r w:rsidRPr="00A80DEF">
        <w:t>Le Conseil de direction du Conseil d</w:t>
      </w:r>
      <w:r w:rsidR="004F3806">
        <w:t>’</w:t>
      </w:r>
      <w:r w:rsidRPr="00A80DEF">
        <w:t>administration des terres autochtones (</w:t>
      </w:r>
      <w:r w:rsidRPr="007508B0">
        <w:rPr>
          <w:iCs/>
        </w:rPr>
        <w:t>Native Land Trust Board</w:t>
      </w:r>
      <w:r w:rsidRPr="00A80DEF">
        <w:t>) a pour président d</w:t>
      </w:r>
      <w:r w:rsidR="004F3806">
        <w:t>’</w:t>
      </w:r>
      <w:r w:rsidRPr="00A80DEF">
        <w:t>honneur le Président de la République des Fidji et pour président le Ministre des affaires iTaukei (autochtones). Il compte cinq membres nommés par le Grand Conseil des chefs, trois membres iTaukei nommés par le Conseil des affaires iTaukei sur la base d</w:t>
      </w:r>
      <w:r w:rsidR="004F3806">
        <w:t>’</w:t>
      </w:r>
      <w:r w:rsidRPr="00A80DEF">
        <w:t>une liste de candidats qui lui est soumise par les conseils provinciaux, et au maximum deux membres nommés par le Président sans considération de race.</w:t>
      </w:r>
    </w:p>
    <w:p w:rsidR="00A80DEF" w:rsidRPr="00A80DEF" w:rsidRDefault="00A80DEF" w:rsidP="00AC0AA6">
      <w:pPr>
        <w:pStyle w:val="ParNoG"/>
        <w:tabs>
          <w:tab w:val="clear" w:pos="1967"/>
          <w:tab w:val="left" w:pos="1701"/>
        </w:tabs>
        <w:ind w:left="1134"/>
        <w:rPr>
          <w:lang w:val="fr-FR"/>
        </w:rPr>
      </w:pPr>
      <w:r w:rsidRPr="00A80DEF">
        <w:t>Le Conseil d</w:t>
      </w:r>
      <w:r w:rsidR="004F3806">
        <w:t>’</w:t>
      </w:r>
      <w:r w:rsidRPr="00A80DEF">
        <w:t>administration des terres autochtones, en tant qu</w:t>
      </w:r>
      <w:r w:rsidR="004F3806">
        <w:t>’</w:t>
      </w:r>
      <w:r w:rsidRPr="00A80DEF">
        <w:t>administrateur de la plus grande partie des terres des Fidji, joue un rôle essentiel dans le développement du pays. Il reçoit des demandes en vue de la mise à disposition, à des fins de développement, des terres autochtones qui ne font pas partie des réserves. Cependant, avant de donner une suite favorable à une demande, le Conseil est légalement tenu de s</w:t>
      </w:r>
      <w:r w:rsidR="004F3806">
        <w:t>’</w:t>
      </w:r>
      <w:r w:rsidRPr="00A80DEF">
        <w:t>assurer auprès des propriétaires autochtones qu</w:t>
      </w:r>
      <w:r w:rsidR="004F3806">
        <w:t>’</w:t>
      </w:r>
      <w:r w:rsidRPr="00A80DEF">
        <w:t>ils n</w:t>
      </w:r>
      <w:r w:rsidR="004F3806">
        <w:t>’</w:t>
      </w:r>
      <w:r w:rsidRPr="00A80DEF">
        <w:t>auront pas besoin des terres concernées pendant la durée du bail ou du permis. Le Conseil est chargé de percevoir les loyers des terres et de les redistribuer aux unités de propriété foncière selon des modalités fixées par la loi. Il est l</w:t>
      </w:r>
      <w:r w:rsidR="004F3806">
        <w:t>’</w:t>
      </w:r>
      <w:r w:rsidRPr="00A80DEF">
        <w:t>organe qui relie les investisseurs aux unités détenant des droits sur les terr</w:t>
      </w:r>
      <w:r w:rsidR="007F4B3D">
        <w:t>es</w:t>
      </w:r>
      <w:r w:rsidRPr="00A80DEF">
        <w:t xml:space="preserve"> dont le développement est envisagé sous quelque forme que ce soit; les investisseurs doivent donc passer par son intermédiaire pour utiliser des terres autochtones à des fins de développement.</w:t>
      </w:r>
    </w:p>
    <w:p w:rsidR="00A80DEF" w:rsidRPr="00A80DEF" w:rsidRDefault="00A80DEF" w:rsidP="00AC0AA6">
      <w:pPr>
        <w:pStyle w:val="ParNoG"/>
        <w:tabs>
          <w:tab w:val="clear" w:pos="1967"/>
          <w:tab w:val="left" w:pos="1701"/>
        </w:tabs>
        <w:ind w:left="1134"/>
        <w:rPr>
          <w:lang w:val="fr-FR"/>
        </w:rPr>
      </w:pPr>
      <w:r w:rsidRPr="00A80DEF">
        <w:t>Les terres autochtones, gérées par le Conseil d</w:t>
      </w:r>
      <w:r w:rsidR="004F3806">
        <w:t>’</w:t>
      </w:r>
      <w:r w:rsidRPr="00A80DEF">
        <w:t>administration des terres autochtones, représentent 87</w:t>
      </w:r>
      <w:r w:rsidR="009A3214">
        <w:t> </w:t>
      </w:r>
      <w:r w:rsidRPr="00A80DEF">
        <w:t>% de l</w:t>
      </w:r>
      <w:r w:rsidR="004F3806">
        <w:t>’</w:t>
      </w:r>
      <w:r w:rsidRPr="00A80DEF">
        <w:t xml:space="preserve">ensemble des terres des Fidji et ont été cédées à titre définitif par la Couronne britannique dans les années 1880. Elles ne peuvent être vendues. Elles sont ouvertes à la location par bail pour un usage public. La durée du bail peut aller de </w:t>
      </w:r>
      <w:r>
        <w:t>trente</w:t>
      </w:r>
      <w:r w:rsidRPr="00A80DEF">
        <w:t xml:space="preserve"> ans pour un usage à des fins agricoles à </w:t>
      </w:r>
      <w:r>
        <w:t>quatre-vingt-dix-neuf</w:t>
      </w:r>
      <w:r w:rsidRPr="00A80DEF">
        <w:t xml:space="preserve"> ans </w:t>
      </w:r>
      <w:r w:rsidRPr="00AC0AA6">
        <w:rPr>
          <w:lang w:val="fr-FR"/>
        </w:rPr>
        <w:t>pour la plupart des autres usages (commercial, résidentiel, etc.)</w:t>
      </w:r>
      <w:r w:rsidR="009A3214" w:rsidRPr="00AC0AA6">
        <w:rPr>
          <w:lang w:val="fr-FR"/>
        </w:rPr>
        <w:t>.</w:t>
      </w:r>
    </w:p>
    <w:p w:rsidR="00A80DEF" w:rsidRPr="00A80DEF" w:rsidRDefault="00A80DEF" w:rsidP="00A80DEF">
      <w:pPr>
        <w:pStyle w:val="H1G"/>
        <w:rPr>
          <w:lang w:val="fr-FR"/>
        </w:rPr>
      </w:pPr>
      <w:r w:rsidRPr="00A80DEF">
        <w:rPr>
          <w:lang w:val="fr-FR"/>
        </w:rPr>
        <w:tab/>
      </w:r>
      <w:r w:rsidRPr="00A80DEF">
        <w:rPr>
          <w:lang w:val="fr-FR"/>
        </w:rPr>
        <w:tab/>
        <w:t>Structure politique générale</w:t>
      </w:r>
    </w:p>
    <w:p w:rsidR="00A80DEF" w:rsidRPr="00A80DEF" w:rsidRDefault="00A80DEF" w:rsidP="00AC0AA6">
      <w:pPr>
        <w:pStyle w:val="ParNoG"/>
        <w:tabs>
          <w:tab w:val="clear" w:pos="1967"/>
          <w:tab w:val="left" w:pos="1701"/>
        </w:tabs>
        <w:ind w:left="1134"/>
        <w:rPr>
          <w:lang w:val="fr-FR"/>
        </w:rPr>
      </w:pPr>
      <w:r w:rsidRPr="00A80DEF">
        <w:t xml:space="preserve">Les Fidji sont devenues une nation indépendante le 10 octobre 1970, </w:t>
      </w:r>
      <w:r w:rsidR="004F3806">
        <w:t>quatre</w:t>
      </w:r>
      <w:r w:rsidR="004F3806">
        <w:noBreakHyphen/>
        <w:t>vingt</w:t>
      </w:r>
      <w:r w:rsidR="004F3806">
        <w:noBreakHyphen/>
        <w:t>seize</w:t>
      </w:r>
      <w:r w:rsidRPr="00A80DEF">
        <w:t xml:space="preserve"> ans après leur cession à la Grande-Bretagne. Leur Constitution, jusqu</w:t>
      </w:r>
      <w:r w:rsidR="004F3806">
        <w:t>’</w:t>
      </w:r>
      <w:r w:rsidRPr="00A80DEF">
        <w:t xml:space="preserve">en 1987, prévoyait un </w:t>
      </w:r>
      <w:r w:rsidR="009A3214" w:rsidRPr="00A80DEF">
        <w:t>P</w:t>
      </w:r>
      <w:r w:rsidRPr="00A80DEF">
        <w:t>arlement bicaméral calqué sur le Parlement britannique, avec une Chambre des représentants élue au suffrage universel et un Sénat composé de membres nommés.</w:t>
      </w:r>
    </w:p>
    <w:p w:rsidR="00A80DEF" w:rsidRPr="00A80DEF" w:rsidRDefault="00A80DEF" w:rsidP="007508B0">
      <w:pPr>
        <w:pStyle w:val="H23G"/>
        <w:rPr>
          <w:lang w:val="fr-FR"/>
        </w:rPr>
      </w:pPr>
      <w:r w:rsidRPr="00A80DEF">
        <w:rPr>
          <w:lang w:val="fr-FR"/>
        </w:rPr>
        <w:tab/>
      </w:r>
      <w:r w:rsidRPr="00A80DEF">
        <w:rPr>
          <w:lang w:val="fr-FR"/>
        </w:rPr>
        <w:tab/>
        <w:t>Abrogation de la Constitution de 1997</w:t>
      </w:r>
    </w:p>
    <w:p w:rsidR="00A80DEF" w:rsidRPr="00A80DEF" w:rsidRDefault="004F3806" w:rsidP="00AC0AA6">
      <w:pPr>
        <w:pStyle w:val="ParNoG"/>
        <w:tabs>
          <w:tab w:val="clear" w:pos="1967"/>
          <w:tab w:val="left" w:pos="1701"/>
        </w:tabs>
        <w:ind w:left="1134"/>
        <w:rPr>
          <w:lang w:val="fr-FR"/>
        </w:rPr>
      </w:pPr>
      <w:r>
        <w:t>Le 10 </w:t>
      </w:r>
      <w:r w:rsidR="00A80DEF" w:rsidRPr="00A80DEF">
        <w:t>avril 2009, le Présiden</w:t>
      </w:r>
      <w:r>
        <w:t>t des Fidji alors en exercice, Ratu </w:t>
      </w:r>
      <w:r w:rsidR="00A80DEF" w:rsidRPr="00A80DEF">
        <w:t>Joseva Iloilovatu Uluivuda, a abrogé la Constitution de 1997, suite au vide juridique créé par l</w:t>
      </w:r>
      <w:r>
        <w:t>’</w:t>
      </w:r>
      <w:r w:rsidR="00A80DEF" w:rsidRPr="00A80DEF">
        <w:t xml:space="preserve">arrêt de la </w:t>
      </w:r>
      <w:r w:rsidR="009A3214" w:rsidRPr="00A80DEF">
        <w:t>c</w:t>
      </w:r>
      <w:r w:rsidR="00A80DEF" w:rsidRPr="00A80DEF">
        <w:t>our d</w:t>
      </w:r>
      <w:r>
        <w:t>’</w:t>
      </w:r>
      <w:r w:rsidR="00A80DEF" w:rsidRPr="00A80DEF">
        <w:t>appel, une anomalie constitutionnelle qui aurait, notamment, empêché la mise en œuvre des réformes qu</w:t>
      </w:r>
      <w:r>
        <w:t>’</w:t>
      </w:r>
      <w:r w:rsidR="00A80DEF" w:rsidRPr="00A80DEF">
        <w:t xml:space="preserve">il avait lui-même engagées pour édifier un État véritablement démocratique. </w:t>
      </w:r>
    </w:p>
    <w:p w:rsidR="00A80DEF" w:rsidRPr="00A80DEF" w:rsidRDefault="007508B0" w:rsidP="007508B0">
      <w:pPr>
        <w:pStyle w:val="H23G"/>
        <w:rPr>
          <w:lang w:val="fr-FR"/>
        </w:rPr>
      </w:pPr>
      <w:r>
        <w:rPr>
          <w:lang w:val="fr-FR"/>
        </w:rPr>
        <w:tab/>
      </w:r>
      <w:r>
        <w:rPr>
          <w:lang w:val="fr-FR"/>
        </w:rPr>
        <w:tab/>
      </w:r>
      <w:r w:rsidR="00A80DEF" w:rsidRPr="00A80DEF">
        <w:rPr>
          <w:lang w:val="fr-FR"/>
        </w:rPr>
        <w:t>«</w:t>
      </w:r>
      <w:r w:rsidR="00A80DEF" w:rsidRPr="00A80DEF">
        <w:t>Feuille de route» pour la démocratie et le régime parlementaire</w:t>
      </w:r>
    </w:p>
    <w:p w:rsidR="00A80DEF" w:rsidRPr="00A80DEF" w:rsidRDefault="00A80DEF" w:rsidP="00AC0AA6">
      <w:pPr>
        <w:pStyle w:val="ParNoG"/>
        <w:tabs>
          <w:tab w:val="clear" w:pos="1967"/>
          <w:tab w:val="left" w:pos="1701"/>
        </w:tabs>
        <w:ind w:left="1134"/>
        <w:rPr>
          <w:lang w:val="fr-FR"/>
        </w:rPr>
      </w:pPr>
      <w:r w:rsidRPr="00A80DEF">
        <w:t>Le 1</w:t>
      </w:r>
      <w:r w:rsidRPr="00A80DEF">
        <w:rPr>
          <w:vertAlign w:val="superscript"/>
        </w:rPr>
        <w:t>er</w:t>
      </w:r>
      <w:r w:rsidR="004F3806">
        <w:t> </w:t>
      </w:r>
      <w:r w:rsidRPr="00A80DEF">
        <w:t xml:space="preserve">juillet 2009, le Premier Ministre </w:t>
      </w:r>
      <w:r w:rsidR="004F3806">
        <w:rPr>
          <w:lang w:val="fr-FR"/>
        </w:rPr>
        <w:t>Commodore </w:t>
      </w:r>
      <w:r w:rsidRPr="00A80DEF">
        <w:t>Bainimarama a présenté la Feuille de route du Gouvernement pour la démocratie et le développement socioéconomique durable pour 2009-2014. Celle-ci a pour objectif de conduire les Fidji vers l</w:t>
      </w:r>
      <w:r w:rsidR="004F3806">
        <w:t>’</w:t>
      </w:r>
      <w:r w:rsidRPr="00A80DEF">
        <w:t>adoption d</w:t>
      </w:r>
      <w:r w:rsidR="004F3806">
        <w:t>’</w:t>
      </w:r>
      <w:r w:rsidRPr="00A80DEF">
        <w:t>une nouvelle Constitution et l</w:t>
      </w:r>
      <w:r w:rsidR="004F3806">
        <w:t>’</w:t>
      </w:r>
      <w:r w:rsidRPr="00A80DEF">
        <w:t>organisation d</w:t>
      </w:r>
      <w:r w:rsidR="004F3806">
        <w:t>’</w:t>
      </w:r>
      <w:r w:rsidRPr="00A80DEF">
        <w:t>élections fondées sur l</w:t>
      </w:r>
      <w:r w:rsidR="004F3806">
        <w:t>’</w:t>
      </w:r>
      <w:r w:rsidRPr="00A80DEF">
        <w:t>égalité de suffrage, les droits de l</w:t>
      </w:r>
      <w:r w:rsidR="004F3806">
        <w:t>’</w:t>
      </w:r>
      <w:r w:rsidRPr="00A80DEF">
        <w:t>homme, la justice, la transparence, la modernité et de véritables idéaux démocratiques, conformément aux orientations définies par le Président.</w:t>
      </w:r>
    </w:p>
    <w:p w:rsidR="00A80DEF" w:rsidRPr="00A80DEF" w:rsidRDefault="00A80DEF" w:rsidP="00AC0AA6">
      <w:pPr>
        <w:pStyle w:val="ParNoG"/>
        <w:tabs>
          <w:tab w:val="clear" w:pos="1967"/>
          <w:tab w:val="left" w:pos="1701"/>
        </w:tabs>
        <w:ind w:left="1134"/>
        <w:rPr>
          <w:lang w:val="fr-FR"/>
        </w:rPr>
      </w:pPr>
      <w:r w:rsidRPr="00A80DEF">
        <w:t xml:space="preserve">Les travaux sur la nouvelle Constitution commenceront en septembre 2012. </w:t>
      </w:r>
      <w:r w:rsidR="007F4B3D">
        <w:t>Le texte sera fondé</w:t>
      </w:r>
      <w:r w:rsidRPr="00A80DEF">
        <w:t xml:space="preserve"> sur les idéaux et les principes inscrits dans la Charte du peuple pour le changement, la paix et le progrès (la Charte du peuple), établi</w:t>
      </w:r>
      <w:r w:rsidR="007F4B3D">
        <w:t>e</w:t>
      </w:r>
      <w:r w:rsidRPr="00A80DEF">
        <w:t xml:space="preserve"> après de larges consultations avec la population, qui y a apporté sa contribution. La Charte du peuple a été adoptée par le Président des Fidji après approbation </w:t>
      </w:r>
      <w:r w:rsidR="007F4B3D">
        <w:t>par</w:t>
      </w:r>
      <w:r w:rsidRPr="00A80DEF">
        <w:t xml:space="preserve"> la majorité du peuple fidjien.</w:t>
      </w:r>
    </w:p>
    <w:p w:rsidR="004F3806" w:rsidRPr="00183D6C" w:rsidRDefault="00A80DEF" w:rsidP="00AC0AA6">
      <w:pPr>
        <w:pStyle w:val="ParNoG"/>
        <w:tabs>
          <w:tab w:val="clear" w:pos="1967"/>
          <w:tab w:val="left" w:pos="1701"/>
        </w:tabs>
        <w:ind w:left="1134"/>
        <w:rPr>
          <w:lang w:val="fr-FR"/>
        </w:rPr>
      </w:pPr>
      <w:r w:rsidRPr="00A80DEF">
        <w:t xml:space="preserve">Tous les citoyens fidjiens seront associés aux consultations sur la nouvelle Constitution, de même que les organisations de la société civile, et ces consultations porteront sur des questions telles que la réforme électorale, le nombre de sièges </w:t>
      </w:r>
      <w:r w:rsidR="007F4B3D">
        <w:t>au</w:t>
      </w:r>
      <w:r w:rsidRPr="00A80DEF">
        <w:t xml:space="preserve"> nouveau Parlement, la viabilité du système bicaméral, le mandat du </w:t>
      </w:r>
      <w:r w:rsidR="009A3214" w:rsidRPr="00A80DEF">
        <w:t>G</w:t>
      </w:r>
      <w:r w:rsidRPr="00A80DEF">
        <w:t>ouvernement et les mécanismes lui permettant de rendre des comptes au peuple. La nouvelle Constitution entrera en vigueur d</w:t>
      </w:r>
      <w:r w:rsidR="004F3806">
        <w:t>’</w:t>
      </w:r>
      <w:r w:rsidRPr="00A80DEF">
        <w:t>ici au mois de septembre 2013.</w:t>
      </w:r>
      <w:r w:rsidR="007F4B3D">
        <w:t xml:space="preserve"> La population aura donc un an pour se familiariser avec ses dispositions avant la tenue des élections prévues en 2014.</w:t>
      </w:r>
    </w:p>
    <w:p w:rsidR="00B3072E" w:rsidRPr="004422DA" w:rsidRDefault="00B3072E" w:rsidP="00B3072E">
      <w:pPr>
        <w:pStyle w:val="H1G"/>
        <w:rPr>
          <w:lang w:val="fr-FR"/>
        </w:rPr>
      </w:pPr>
      <w:r w:rsidRPr="004422DA">
        <w:rPr>
          <w:lang w:val="fr-FR"/>
        </w:rPr>
        <w:tab/>
      </w:r>
      <w:r w:rsidRPr="004422DA">
        <w:rPr>
          <w:lang w:val="fr-FR"/>
        </w:rPr>
        <w:tab/>
      </w:r>
      <w:r w:rsidRPr="005552D3">
        <w:t>Économie</w:t>
      </w:r>
    </w:p>
    <w:p w:rsidR="00B3072E" w:rsidRPr="004422DA" w:rsidRDefault="00B3072E" w:rsidP="00B3072E">
      <w:pPr>
        <w:pStyle w:val="ParNoG"/>
        <w:tabs>
          <w:tab w:val="clear" w:pos="1967"/>
          <w:tab w:val="num" w:pos="1701"/>
        </w:tabs>
        <w:ind w:left="1134"/>
        <w:rPr>
          <w:lang w:val="fr-FR"/>
        </w:rPr>
      </w:pPr>
      <w:r>
        <w:t xml:space="preserve">Les informations ci-après constituent une mise à jour des paragraphes 113 à </w:t>
      </w:r>
      <w:r w:rsidRPr="00395894">
        <w:t>126 du document de base commun.</w:t>
      </w:r>
    </w:p>
    <w:p w:rsidR="00B3072E" w:rsidRDefault="00B3072E" w:rsidP="00B3072E">
      <w:pPr>
        <w:pStyle w:val="ParNoG"/>
        <w:tabs>
          <w:tab w:val="clear" w:pos="1967"/>
          <w:tab w:val="num" w:pos="1701"/>
        </w:tabs>
        <w:ind w:left="1134"/>
        <w:rPr>
          <w:lang w:val="fr-FR"/>
        </w:rPr>
      </w:pPr>
      <w:r>
        <w:t>Le taux de croissance annuel</w:t>
      </w:r>
      <w:r w:rsidRPr="00A91E3F">
        <w:t xml:space="preserve"> était de 2,6</w:t>
      </w:r>
      <w:r>
        <w:t> </w:t>
      </w:r>
      <w:r w:rsidRPr="00A91E3F">
        <w:t xml:space="preserve">% </w:t>
      </w:r>
      <w:r>
        <w:t>en</w:t>
      </w:r>
      <w:r w:rsidRPr="00A91E3F">
        <w:t xml:space="preserve"> 2007</w:t>
      </w:r>
      <w:r>
        <w:t xml:space="preserve"> </w:t>
      </w:r>
      <w:r w:rsidRPr="00A91E3F">
        <w:t>et de 4,2</w:t>
      </w:r>
      <w:r>
        <w:t> </w:t>
      </w:r>
      <w:r w:rsidRPr="00A91E3F">
        <w:t>%</w:t>
      </w:r>
      <w:r>
        <w:t xml:space="preserve"> en</w:t>
      </w:r>
      <w:r w:rsidRPr="00A91E3F">
        <w:t xml:space="preserve"> 2008. En 2009, </w:t>
      </w:r>
      <w:r>
        <w:t>en raison de la</w:t>
      </w:r>
      <w:r w:rsidRPr="00A91E3F">
        <w:t xml:space="preserve"> </w:t>
      </w:r>
      <w:r>
        <w:t>situation</w:t>
      </w:r>
      <w:r w:rsidRPr="00A91E3F">
        <w:t xml:space="preserve"> </w:t>
      </w:r>
      <w:r>
        <w:t>économique</w:t>
      </w:r>
      <w:r w:rsidRPr="00A91E3F">
        <w:t xml:space="preserve"> mondiale, l</w:t>
      </w:r>
      <w:r>
        <w:t>’</w:t>
      </w:r>
      <w:r w:rsidRPr="00A91E3F">
        <w:t>économie s</w:t>
      </w:r>
      <w:r>
        <w:t>’</w:t>
      </w:r>
      <w:r w:rsidRPr="00A91E3F">
        <w:t>est contractée de 2,5</w:t>
      </w:r>
      <w:r>
        <w:t> </w:t>
      </w:r>
      <w:r w:rsidRPr="00A91E3F">
        <w:t>%</w:t>
      </w:r>
      <w:r>
        <w:rPr>
          <w:rStyle w:val="FootnoteReference"/>
        </w:rPr>
        <w:footnoteReference w:id="5"/>
      </w:r>
      <w:r>
        <w:t>.</w:t>
      </w:r>
    </w:p>
    <w:p w:rsidR="00B3072E" w:rsidRDefault="00B3072E" w:rsidP="00B3072E">
      <w:pPr>
        <w:pStyle w:val="ParNoG"/>
        <w:tabs>
          <w:tab w:val="clear" w:pos="1967"/>
          <w:tab w:val="num" w:pos="1701"/>
        </w:tabs>
        <w:ind w:left="1134"/>
        <w:rPr>
          <w:lang w:val="fr-FR"/>
        </w:rPr>
      </w:pPr>
      <w:r w:rsidRPr="003D6A70">
        <w:t xml:space="preserve">Le </w:t>
      </w:r>
      <w:r w:rsidRPr="00085E60">
        <w:t xml:space="preserve">dollar des Fidji </w:t>
      </w:r>
      <w:r w:rsidRPr="003D6A70">
        <w:t>a été dévalué de 20</w:t>
      </w:r>
      <w:r>
        <w:t> </w:t>
      </w:r>
      <w:r w:rsidRPr="003D6A70">
        <w:t xml:space="preserve">% en </w:t>
      </w:r>
      <w:r>
        <w:t>a</w:t>
      </w:r>
      <w:r w:rsidRPr="003D6A70">
        <w:t>vril 2009</w:t>
      </w:r>
      <w:r>
        <w:rPr>
          <w:rStyle w:val="FootnoteReference"/>
        </w:rPr>
        <w:footnoteReference w:id="6"/>
      </w:r>
      <w:r>
        <w:t>.</w:t>
      </w:r>
    </w:p>
    <w:p w:rsidR="00B3072E" w:rsidRPr="004422DA" w:rsidRDefault="00B3072E" w:rsidP="00B3072E">
      <w:pPr>
        <w:pStyle w:val="ParNoG"/>
        <w:tabs>
          <w:tab w:val="clear" w:pos="1967"/>
          <w:tab w:val="num" w:pos="1701"/>
        </w:tabs>
        <w:ind w:left="1134"/>
        <w:rPr>
          <w:lang w:val="fr-FR"/>
        </w:rPr>
      </w:pPr>
      <w:r w:rsidRPr="00732958">
        <w:rPr>
          <w:spacing w:val="-2"/>
        </w:rPr>
        <w:t>Le budget 2010 repose sur une prévision de recettes totales de 1</w:t>
      </w:r>
      <w:r w:rsidR="00732958" w:rsidRPr="00732958">
        <w:rPr>
          <w:spacing w:val="-2"/>
        </w:rPr>
        <w:t> </w:t>
      </w:r>
      <w:r w:rsidRPr="00732958">
        <w:rPr>
          <w:spacing w:val="-2"/>
        </w:rPr>
        <w:t>milliard 486 millions</w:t>
      </w:r>
      <w:r>
        <w:t xml:space="preserve"> de dollars des Fidji</w:t>
      </w:r>
      <w:r w:rsidRPr="00C95703">
        <w:t xml:space="preserve"> et</w:t>
      </w:r>
      <w:r>
        <w:t xml:space="preserve"> de dépenses totales de 1 milliard </w:t>
      </w:r>
      <w:r w:rsidRPr="00C95703">
        <w:t>706</w:t>
      </w:r>
      <w:r>
        <w:t> millions de dollars</w:t>
      </w:r>
      <w:r w:rsidRPr="00C95703">
        <w:t xml:space="preserve">. Le déficit </w:t>
      </w:r>
      <w:r w:rsidRPr="006D5054">
        <w:t>net est estimé à 220 millions de dollars, soit 3,5 % du PIB de 6 milliards 288 millions</w:t>
      </w:r>
      <w:r>
        <w:rPr>
          <w:rStyle w:val="FootnoteReference"/>
        </w:rPr>
        <w:footnoteReference w:id="7"/>
      </w:r>
      <w:r>
        <w:t>.</w:t>
      </w:r>
    </w:p>
    <w:p w:rsidR="00B3072E" w:rsidRDefault="00B3072E" w:rsidP="00B3072E">
      <w:pPr>
        <w:pStyle w:val="ParNoG"/>
        <w:tabs>
          <w:tab w:val="clear" w:pos="1967"/>
          <w:tab w:val="num" w:pos="1701"/>
        </w:tabs>
        <w:ind w:left="1134"/>
        <w:rPr>
          <w:lang w:val="fr-FR"/>
        </w:rPr>
      </w:pPr>
      <w:r w:rsidRPr="00AB4903">
        <w:t>Le taux d</w:t>
      </w:r>
      <w:r>
        <w:t>’</w:t>
      </w:r>
      <w:r w:rsidRPr="00AB4903">
        <w:t>imposition des sociétés était de 31</w:t>
      </w:r>
      <w:r>
        <w:t> </w:t>
      </w:r>
      <w:r w:rsidRPr="00AB4903">
        <w:t>% en 2008 et a été ramené à 28</w:t>
      </w:r>
      <w:r>
        <w:t> </w:t>
      </w:r>
      <w:r w:rsidRPr="00AB4903">
        <w:t>% en</w:t>
      </w:r>
      <w:r w:rsidR="006D5054">
        <w:t> </w:t>
      </w:r>
      <w:r w:rsidRPr="00AB4903">
        <w:t>2010</w:t>
      </w:r>
      <w:r>
        <w:rPr>
          <w:rStyle w:val="FootnoteReference"/>
        </w:rPr>
        <w:footnoteReference w:id="8"/>
      </w:r>
      <w:r>
        <w:t>.</w:t>
      </w:r>
    </w:p>
    <w:p w:rsidR="00B3072E" w:rsidRPr="004422DA" w:rsidRDefault="00B3072E" w:rsidP="00B3072E">
      <w:pPr>
        <w:pStyle w:val="ParNoG"/>
        <w:tabs>
          <w:tab w:val="clear" w:pos="1967"/>
          <w:tab w:val="num" w:pos="1701"/>
        </w:tabs>
        <w:ind w:left="1134"/>
        <w:rPr>
          <w:lang w:val="fr-FR"/>
        </w:rPr>
      </w:pPr>
      <w:r>
        <w:t xml:space="preserve">Le </w:t>
      </w:r>
      <w:r w:rsidRPr="00085E60">
        <w:t>nombre total d</w:t>
      </w:r>
      <w:r>
        <w:t>’</w:t>
      </w:r>
      <w:r w:rsidRPr="00085E60">
        <w:t>entrées</w:t>
      </w:r>
      <w:r>
        <w:t xml:space="preserve"> sur le territoire</w:t>
      </w:r>
      <w:r w:rsidRPr="00085E60">
        <w:t>, à l</w:t>
      </w:r>
      <w:r>
        <w:t>’</w:t>
      </w:r>
      <w:r w:rsidRPr="00085E60">
        <w:t>exclusion des résidents</w:t>
      </w:r>
      <w:r>
        <w:t>,</w:t>
      </w:r>
      <w:r w:rsidRPr="00EF5500">
        <w:t xml:space="preserve"> </w:t>
      </w:r>
      <w:r>
        <w:t>s’est élevé à</w:t>
      </w:r>
      <w:r w:rsidR="006D5054">
        <w:t> </w:t>
      </w:r>
      <w:r>
        <w:t>585 </w:t>
      </w:r>
      <w:r w:rsidRPr="00EF5500">
        <w:t xml:space="preserve">031 en 2008 et </w:t>
      </w:r>
      <w:r>
        <w:t>à 658 </w:t>
      </w:r>
      <w:r w:rsidRPr="00EF5500">
        <w:t>211 en 2009</w:t>
      </w:r>
      <w:r>
        <w:rPr>
          <w:rStyle w:val="FootnoteReference"/>
        </w:rPr>
        <w:footnoteReference w:id="9"/>
      </w:r>
      <w:r>
        <w:t>.</w:t>
      </w:r>
    </w:p>
    <w:p w:rsidR="00B3072E" w:rsidRPr="004422DA" w:rsidRDefault="00B3072E" w:rsidP="00B3072E">
      <w:pPr>
        <w:pStyle w:val="H23G"/>
        <w:rPr>
          <w:lang w:val="fr-FR"/>
        </w:rPr>
      </w:pPr>
      <w:r w:rsidRPr="004422DA">
        <w:rPr>
          <w:lang w:val="fr-FR"/>
        </w:rPr>
        <w:tab/>
      </w:r>
      <w:r w:rsidRPr="004422DA">
        <w:rPr>
          <w:lang w:val="fr-FR"/>
        </w:rPr>
        <w:tab/>
      </w:r>
      <w:r w:rsidRPr="00D27645">
        <w:t>Inflation</w:t>
      </w:r>
    </w:p>
    <w:p w:rsidR="00B3072E" w:rsidRPr="004422DA" w:rsidRDefault="00B3072E" w:rsidP="00B3072E">
      <w:pPr>
        <w:pStyle w:val="ParNoG"/>
        <w:tabs>
          <w:tab w:val="clear" w:pos="1967"/>
          <w:tab w:val="num" w:pos="1701"/>
        </w:tabs>
        <w:ind w:left="1134"/>
        <w:rPr>
          <w:lang w:val="fr-FR"/>
        </w:rPr>
      </w:pPr>
      <w:r>
        <w:t>Le taux d’</w:t>
      </w:r>
      <w:r w:rsidRPr="00437A38">
        <w:t>inflation</w:t>
      </w:r>
      <w:r>
        <w:t>, à la</w:t>
      </w:r>
      <w:r w:rsidRPr="00437A38">
        <w:t xml:space="preserve"> </w:t>
      </w:r>
      <w:r>
        <w:t>fin de l’</w:t>
      </w:r>
      <w:r w:rsidRPr="00437A38">
        <w:t>année 2008</w:t>
      </w:r>
      <w:r>
        <w:t>, était de</w:t>
      </w:r>
      <w:r w:rsidRPr="00437A38">
        <w:t xml:space="preserve"> 6,6</w:t>
      </w:r>
      <w:r>
        <w:t> </w:t>
      </w:r>
      <w:r w:rsidRPr="00437A38">
        <w:t>%.</w:t>
      </w:r>
      <w:r>
        <w:t xml:space="preserve"> Il a été ramené à 6,3 % en o</w:t>
      </w:r>
      <w:r w:rsidRPr="00437A38">
        <w:t xml:space="preserve">ctobre 2009. </w:t>
      </w:r>
      <w:r>
        <w:t>Une baisse de 2 % était attendue pour</w:t>
      </w:r>
      <w:r w:rsidRPr="00437A38">
        <w:t xml:space="preserve"> 2010</w:t>
      </w:r>
      <w:r>
        <w:rPr>
          <w:rStyle w:val="FootnoteReference"/>
        </w:rPr>
        <w:footnoteReference w:id="10"/>
      </w:r>
      <w:r>
        <w:t>.</w:t>
      </w:r>
    </w:p>
    <w:p w:rsidR="00B3072E" w:rsidRPr="003157B8" w:rsidRDefault="00B3072E" w:rsidP="00B3072E">
      <w:pPr>
        <w:pStyle w:val="H23G"/>
        <w:rPr>
          <w:b w:val="0"/>
          <w:lang w:val="fr-FR"/>
        </w:rPr>
      </w:pPr>
      <w:r w:rsidRPr="004422DA">
        <w:rPr>
          <w:lang w:val="fr-FR"/>
        </w:rPr>
        <w:tab/>
      </w:r>
      <w:r w:rsidRPr="004422DA">
        <w:rPr>
          <w:lang w:val="fr-FR"/>
        </w:rPr>
        <w:tab/>
      </w:r>
      <w:r w:rsidRPr="00BA57D1">
        <w:rPr>
          <w:lang w:val="fr-FR"/>
        </w:rPr>
        <w:t xml:space="preserve">Réserves </w:t>
      </w:r>
      <w:r>
        <w:rPr>
          <w:lang w:val="fr-FR"/>
        </w:rPr>
        <w:t xml:space="preserve">en </w:t>
      </w:r>
      <w:r w:rsidRPr="00D27645">
        <w:t>devises</w:t>
      </w:r>
    </w:p>
    <w:p w:rsidR="00B3072E" w:rsidRPr="004422DA" w:rsidRDefault="00B3072E" w:rsidP="00B3072E">
      <w:pPr>
        <w:pStyle w:val="ParNoG"/>
        <w:tabs>
          <w:tab w:val="clear" w:pos="1967"/>
          <w:tab w:val="num" w:pos="1701"/>
        </w:tabs>
        <w:ind w:left="1134"/>
        <w:rPr>
          <w:lang w:val="fr-FR"/>
        </w:rPr>
      </w:pPr>
      <w:r w:rsidRPr="00620F6B">
        <w:t xml:space="preserve">En </w:t>
      </w:r>
      <w:r>
        <w:t>s</w:t>
      </w:r>
      <w:r w:rsidRPr="00620F6B">
        <w:t xml:space="preserve">eptembre 2009, en partie </w:t>
      </w:r>
      <w:r>
        <w:t>à cause</w:t>
      </w:r>
      <w:r w:rsidRPr="00620F6B">
        <w:t xml:space="preserve"> </w:t>
      </w:r>
      <w:r>
        <w:t>de la dévaluation de la devise nationale</w:t>
      </w:r>
      <w:r w:rsidRPr="00620F6B">
        <w:t xml:space="preserve">, les </w:t>
      </w:r>
      <w:r w:rsidRPr="00BA57D1">
        <w:t xml:space="preserve">réserves </w:t>
      </w:r>
      <w:r>
        <w:t>en devises</w:t>
      </w:r>
      <w:r w:rsidRPr="00620F6B">
        <w:t xml:space="preserve"> </w:t>
      </w:r>
      <w:r>
        <w:t>étrangères avaient</w:t>
      </w:r>
      <w:r w:rsidRPr="00620F6B">
        <w:t xml:space="preserve"> considérablement augmenté</w:t>
      </w:r>
      <w:r>
        <w:t>, atteignant</w:t>
      </w:r>
      <w:r w:rsidRPr="00620F6B">
        <w:t xml:space="preserve"> </w:t>
      </w:r>
      <w:r>
        <w:t>environ</w:t>
      </w:r>
      <w:r w:rsidRPr="00620F6B">
        <w:t xml:space="preserve"> </w:t>
      </w:r>
      <w:r>
        <w:t>1 </w:t>
      </w:r>
      <w:r w:rsidRPr="00620F6B">
        <w:t>milli</w:t>
      </w:r>
      <w:r>
        <w:t>ard</w:t>
      </w:r>
      <w:r w:rsidRPr="00620F6B">
        <w:t xml:space="preserve"> </w:t>
      </w:r>
      <w:r>
        <w:t>59 millions de dollars des Fidji, tandis que les</w:t>
      </w:r>
      <w:r w:rsidRPr="00620F6B">
        <w:t xml:space="preserve"> liquidité</w:t>
      </w:r>
      <w:r>
        <w:t>s</w:t>
      </w:r>
      <w:r w:rsidRPr="00620F6B">
        <w:t xml:space="preserve"> </w:t>
      </w:r>
      <w:r>
        <w:t>bancaires</w:t>
      </w:r>
      <w:r w:rsidRPr="00620F6B">
        <w:t xml:space="preserve"> </w:t>
      </w:r>
      <w:r>
        <w:t>avaient</w:t>
      </w:r>
      <w:r w:rsidRPr="00620F6B">
        <w:t xml:space="preserve"> </w:t>
      </w:r>
      <w:r>
        <w:t>nettement progressé, atteignant</w:t>
      </w:r>
      <w:r w:rsidRPr="00620F6B">
        <w:t xml:space="preserve"> </w:t>
      </w:r>
      <w:r>
        <w:t>quelque 374 </w:t>
      </w:r>
      <w:r w:rsidRPr="00620F6B">
        <w:t>millions de dollars</w:t>
      </w:r>
      <w:r>
        <w:rPr>
          <w:rStyle w:val="FootnoteReference"/>
        </w:rPr>
        <w:footnoteReference w:id="11"/>
      </w:r>
      <w:r>
        <w:t>.</w:t>
      </w:r>
    </w:p>
    <w:p w:rsidR="00B3072E" w:rsidRPr="001E7494" w:rsidRDefault="00B3072E" w:rsidP="00B3072E">
      <w:pPr>
        <w:pStyle w:val="H1G"/>
        <w:rPr>
          <w:b w:val="0"/>
          <w:lang w:val="fr-FR"/>
        </w:rPr>
      </w:pPr>
      <w:r w:rsidRPr="004422DA">
        <w:rPr>
          <w:lang w:val="fr-FR"/>
        </w:rPr>
        <w:tab/>
      </w:r>
      <w:r w:rsidRPr="004422DA">
        <w:rPr>
          <w:lang w:val="fr-FR"/>
        </w:rPr>
        <w:tab/>
      </w:r>
      <w:r w:rsidRPr="00085E60">
        <w:rPr>
          <w:lang w:val="fr-FR"/>
        </w:rPr>
        <w:t xml:space="preserve">Cadre juridique </w:t>
      </w:r>
      <w:r w:rsidRPr="00D27645">
        <w:t>général</w:t>
      </w:r>
      <w:r w:rsidRPr="00085E60">
        <w:rPr>
          <w:lang w:val="fr-FR"/>
        </w:rPr>
        <w:t xml:space="preserve"> de la protection des droits de l</w:t>
      </w:r>
      <w:r>
        <w:rPr>
          <w:lang w:val="fr-FR"/>
        </w:rPr>
        <w:t>’</w:t>
      </w:r>
      <w:r w:rsidRPr="00085E60">
        <w:rPr>
          <w:lang w:val="fr-FR"/>
        </w:rPr>
        <w:t>homme</w:t>
      </w:r>
      <w:r w:rsidRPr="00085E60">
        <w:rPr>
          <w:b w:val="0"/>
          <w:lang w:val="fr-FR"/>
        </w:rPr>
        <w:t xml:space="preserve"> </w:t>
      </w:r>
    </w:p>
    <w:p w:rsidR="00B3072E" w:rsidRPr="004422DA" w:rsidRDefault="00B3072E" w:rsidP="00B3072E">
      <w:pPr>
        <w:pStyle w:val="ParNoG"/>
        <w:tabs>
          <w:tab w:val="clear" w:pos="1967"/>
          <w:tab w:val="num" w:pos="1701"/>
        </w:tabs>
        <w:ind w:left="1134"/>
        <w:rPr>
          <w:lang w:val="fr-FR"/>
        </w:rPr>
      </w:pPr>
      <w:r>
        <w:rPr>
          <w:lang w:val="fr-FR"/>
        </w:rPr>
        <w:t xml:space="preserve">Les </w:t>
      </w:r>
      <w:r w:rsidRPr="00D27645">
        <w:t>informations</w:t>
      </w:r>
      <w:r>
        <w:rPr>
          <w:lang w:val="fr-FR"/>
        </w:rPr>
        <w:t xml:space="preserve"> ci-après constituent une mise à jour des</w:t>
      </w:r>
      <w:r w:rsidRPr="004422DA">
        <w:rPr>
          <w:lang w:val="fr-FR"/>
        </w:rPr>
        <w:t xml:space="preserve"> paragraph</w:t>
      </w:r>
      <w:r>
        <w:rPr>
          <w:lang w:val="fr-FR"/>
        </w:rPr>
        <w:t>es</w:t>
      </w:r>
      <w:r w:rsidR="001C60E9">
        <w:rPr>
          <w:lang w:val="fr-FR"/>
        </w:rPr>
        <w:t> </w:t>
      </w:r>
      <w:r>
        <w:rPr>
          <w:lang w:val="fr-FR"/>
        </w:rPr>
        <w:t xml:space="preserve">134 à </w:t>
      </w:r>
      <w:r w:rsidRPr="004422DA">
        <w:rPr>
          <w:lang w:val="fr-FR"/>
        </w:rPr>
        <w:t xml:space="preserve">176 </w:t>
      </w:r>
      <w:r>
        <w:rPr>
          <w:lang w:val="fr-FR"/>
        </w:rPr>
        <w:t>du</w:t>
      </w:r>
      <w:r w:rsidR="001C60E9">
        <w:rPr>
          <w:lang w:val="fr-FR"/>
        </w:rPr>
        <w:t> </w:t>
      </w:r>
      <w:r w:rsidRPr="004422DA">
        <w:rPr>
          <w:lang w:val="fr-FR"/>
        </w:rPr>
        <w:t>document</w:t>
      </w:r>
      <w:r>
        <w:rPr>
          <w:lang w:val="fr-FR"/>
        </w:rPr>
        <w:t xml:space="preserve"> de base commun</w:t>
      </w:r>
      <w:r w:rsidRPr="004422DA">
        <w:rPr>
          <w:lang w:val="fr-FR"/>
        </w:rPr>
        <w:t>.</w:t>
      </w:r>
    </w:p>
    <w:p w:rsidR="00B3072E" w:rsidRPr="004422DA" w:rsidRDefault="00B3072E" w:rsidP="00B3072E">
      <w:pPr>
        <w:pStyle w:val="H23G"/>
        <w:rPr>
          <w:lang w:val="fr-FR"/>
        </w:rPr>
      </w:pPr>
      <w:r w:rsidRPr="004422DA">
        <w:rPr>
          <w:lang w:val="fr-FR"/>
        </w:rPr>
        <w:tab/>
      </w:r>
      <w:r w:rsidRPr="004422DA">
        <w:rPr>
          <w:lang w:val="fr-FR"/>
        </w:rPr>
        <w:tab/>
      </w:r>
      <w:r w:rsidRPr="00C8468A">
        <w:t>Le droit fi</w:t>
      </w:r>
      <w:r>
        <w:t>djien −</w:t>
      </w:r>
      <w:r w:rsidRPr="00C8468A">
        <w:t xml:space="preserve"> </w:t>
      </w:r>
      <w:r w:rsidRPr="00D27645">
        <w:t>nature</w:t>
      </w:r>
      <w:r w:rsidRPr="00C8468A">
        <w:t xml:space="preserve"> et composition</w:t>
      </w:r>
    </w:p>
    <w:p w:rsidR="00B3072E" w:rsidRPr="004422DA" w:rsidRDefault="00B3072E" w:rsidP="00B3072E">
      <w:pPr>
        <w:pStyle w:val="H23G"/>
        <w:rPr>
          <w:lang w:val="fr-FR"/>
        </w:rPr>
      </w:pPr>
      <w:r w:rsidRPr="004422DA">
        <w:rPr>
          <w:lang w:val="fr-FR"/>
        </w:rPr>
        <w:tab/>
      </w:r>
      <w:r w:rsidRPr="004422DA">
        <w:rPr>
          <w:lang w:val="fr-FR"/>
        </w:rPr>
        <w:tab/>
      </w:r>
      <w:r w:rsidRPr="00F17B5D">
        <w:rPr>
          <w:lang w:val="fr-FR"/>
        </w:rPr>
        <w:t>Réformes électorales et parlementaires</w:t>
      </w:r>
    </w:p>
    <w:p w:rsidR="00B3072E" w:rsidRPr="004422DA" w:rsidRDefault="00B3072E" w:rsidP="00B3072E">
      <w:pPr>
        <w:pStyle w:val="ParNoG"/>
        <w:tabs>
          <w:tab w:val="clear" w:pos="1967"/>
          <w:tab w:val="num" w:pos="1701"/>
        </w:tabs>
        <w:ind w:left="1134"/>
        <w:rPr>
          <w:lang w:val="fr-FR"/>
        </w:rPr>
      </w:pPr>
      <w:r w:rsidRPr="00484209">
        <w:t xml:space="preserve">Le processus électoral sera révisé </w:t>
      </w:r>
      <w:r>
        <w:t>de façon à</w:t>
      </w:r>
      <w:r w:rsidRPr="00484209">
        <w:t xml:space="preserve"> éliminer </w:t>
      </w:r>
      <w:r>
        <w:t xml:space="preserve">la </w:t>
      </w:r>
      <w:r w:rsidRPr="00484209">
        <w:t xml:space="preserve">politique </w:t>
      </w:r>
      <w:r>
        <w:t>fondée sur l’appartenance ethnique</w:t>
      </w:r>
      <w:r w:rsidRPr="00484209">
        <w:t xml:space="preserve"> et </w:t>
      </w:r>
      <w:r>
        <w:t xml:space="preserve">à </w:t>
      </w:r>
      <w:r w:rsidRPr="00484209">
        <w:t>promouvoir la tolérance raciale. Les mesures nécessaires seront prises pour que la nouvelle Constitution reflète les principaux aspects</w:t>
      </w:r>
      <w:r>
        <w:t xml:space="preserve"> de la réforme du</w:t>
      </w:r>
      <w:r w:rsidRPr="00484209">
        <w:t xml:space="preserve"> sys</w:t>
      </w:r>
      <w:r>
        <w:t>tème électoral et parlementaire</w:t>
      </w:r>
      <w:r w:rsidRPr="00484209">
        <w:t xml:space="preserve">. </w:t>
      </w:r>
      <w:r>
        <w:t>Parmi les questions</w:t>
      </w:r>
      <w:r w:rsidRPr="00484209">
        <w:t xml:space="preserve"> </w:t>
      </w:r>
      <w:r>
        <w:t>connexes</w:t>
      </w:r>
      <w:r w:rsidRPr="00484209">
        <w:t xml:space="preserve"> </w:t>
      </w:r>
      <w:r>
        <w:t>qui seront abordées, on peut citer</w:t>
      </w:r>
      <w:r w:rsidRPr="00484209">
        <w:t xml:space="preserve"> la taille et la composition du Parlement, le vote obligatoire, la détermination de l</w:t>
      </w:r>
      <w:r>
        <w:t>’</w:t>
      </w:r>
      <w:r w:rsidRPr="00484209">
        <w:t xml:space="preserve">âge de </w:t>
      </w:r>
      <w:r>
        <w:t>la majorité électorale,</w:t>
      </w:r>
      <w:r w:rsidRPr="00484209">
        <w:t xml:space="preserve"> </w:t>
      </w:r>
      <w:r>
        <w:t>l’</w:t>
      </w:r>
      <w:r w:rsidRPr="00484209">
        <w:t>éligibilité des candidats, les restri</w:t>
      </w:r>
      <w:r>
        <w:t>ctions du droit</w:t>
      </w:r>
      <w:r w:rsidRPr="00484209">
        <w:t xml:space="preserve"> de vote</w:t>
      </w:r>
      <w:r>
        <w:t xml:space="preserve"> fondées sur la résidence, les règles électorales</w:t>
      </w:r>
      <w:r w:rsidRPr="00484209">
        <w:t xml:space="preserve"> </w:t>
      </w:r>
      <w:r>
        <w:t>destinées à</w:t>
      </w:r>
      <w:r w:rsidRPr="00484209">
        <w:t xml:space="preserve"> garantir </w:t>
      </w:r>
      <w:r>
        <w:t>la tenue d’</w:t>
      </w:r>
      <w:r w:rsidRPr="00484209">
        <w:t xml:space="preserve">élections libres et </w:t>
      </w:r>
      <w:r>
        <w:t>régulières</w:t>
      </w:r>
      <w:r w:rsidRPr="00484209">
        <w:t xml:space="preserve"> et le renforcement des capacités des organismes électoraux</w:t>
      </w:r>
      <w:r>
        <w:rPr>
          <w:rStyle w:val="FootnoteReference"/>
        </w:rPr>
        <w:footnoteReference w:id="12"/>
      </w:r>
      <w:r>
        <w:t>.</w:t>
      </w:r>
    </w:p>
    <w:p w:rsidR="00B3072E" w:rsidRPr="001C5FE6" w:rsidRDefault="00B3072E" w:rsidP="00B3072E">
      <w:pPr>
        <w:pStyle w:val="H23G"/>
        <w:rPr>
          <w:b w:val="0"/>
          <w:lang w:val="fr-FR"/>
        </w:rPr>
      </w:pPr>
      <w:r w:rsidRPr="004422DA">
        <w:rPr>
          <w:lang w:val="fr-FR"/>
        </w:rPr>
        <w:tab/>
      </w:r>
      <w:r w:rsidRPr="004422DA">
        <w:rPr>
          <w:lang w:val="fr-FR"/>
        </w:rPr>
        <w:tab/>
      </w:r>
      <w:r w:rsidRPr="00EC07B0">
        <w:t>Sources</w:t>
      </w:r>
      <w:r w:rsidRPr="00085E60">
        <w:t xml:space="preserve"> du droit</w:t>
      </w:r>
      <w:r w:rsidRPr="00085E60">
        <w:rPr>
          <w:b w:val="0"/>
        </w:rPr>
        <w:t xml:space="preserve"> </w:t>
      </w:r>
    </w:p>
    <w:p w:rsidR="00B3072E" w:rsidRPr="004422DA" w:rsidRDefault="00B3072E" w:rsidP="00B3072E">
      <w:pPr>
        <w:pStyle w:val="ParNoG"/>
        <w:tabs>
          <w:tab w:val="clear" w:pos="1967"/>
          <w:tab w:val="num" w:pos="1701"/>
        </w:tabs>
        <w:ind w:left="1134"/>
        <w:rPr>
          <w:lang w:val="fr-FR"/>
        </w:rPr>
      </w:pPr>
      <w:r w:rsidRPr="001D5C5E">
        <w:t>Après l</w:t>
      </w:r>
      <w:r>
        <w:t>’</w:t>
      </w:r>
      <w:r w:rsidRPr="001D5C5E">
        <w:t xml:space="preserve">abrogation de la Constitution de 1997, le Président a </w:t>
      </w:r>
      <w:r w:rsidRPr="00085E60">
        <w:t>publié</w:t>
      </w:r>
      <w:r w:rsidRPr="001D5C5E">
        <w:t xml:space="preserve"> le 10 </w:t>
      </w:r>
      <w:r>
        <w:t>a</w:t>
      </w:r>
      <w:r w:rsidRPr="001D5C5E">
        <w:t>vril 2009</w:t>
      </w:r>
      <w:r>
        <w:t xml:space="preserve"> le décret relatif à </w:t>
      </w:r>
      <w:r w:rsidRPr="00085E60">
        <w:t>la législation existante</w:t>
      </w:r>
      <w:r>
        <w:t xml:space="preserve"> qui dispose que </w:t>
      </w:r>
      <w:r w:rsidRPr="00085E60">
        <w:t xml:space="preserve">toutes les lois en vigueur </w:t>
      </w:r>
      <w:r>
        <w:t xml:space="preserve">jusqu’à cette date </w:t>
      </w:r>
      <w:r w:rsidRPr="00085E60">
        <w:t>restent applicables</w:t>
      </w:r>
      <w:r>
        <w:t>.</w:t>
      </w:r>
      <w:r w:rsidRPr="001D5C5E">
        <w:t xml:space="preserve"> Cela signifiait que </w:t>
      </w:r>
      <w:r w:rsidRPr="00085E60">
        <w:t xml:space="preserve">toutes les lois écrites autres que la </w:t>
      </w:r>
      <w:r w:rsidRPr="00C91C15">
        <w:t>loi portant modification</w:t>
      </w:r>
      <w:r>
        <w:t xml:space="preserve"> </w:t>
      </w:r>
      <w:r w:rsidRPr="00085E60">
        <w:t>de la Constitution de 1997</w:t>
      </w:r>
      <w:r w:rsidRPr="001D5C5E">
        <w:t xml:space="preserve"> </w:t>
      </w:r>
      <w:r>
        <w:t>restaient applicables</w:t>
      </w:r>
      <w:r w:rsidRPr="001D5C5E">
        <w:t>.</w:t>
      </w:r>
    </w:p>
    <w:p w:rsidR="00B3072E" w:rsidRPr="001D5C5E" w:rsidRDefault="00B3072E" w:rsidP="00B3072E">
      <w:pPr>
        <w:pStyle w:val="ParNoG"/>
        <w:tabs>
          <w:tab w:val="clear" w:pos="1967"/>
        </w:tabs>
        <w:ind w:left="1134"/>
        <w:rPr>
          <w:lang w:val="fr-FR"/>
        </w:rPr>
      </w:pPr>
      <w:r>
        <w:rPr>
          <w:lang w:val="fr-FR"/>
        </w:rPr>
        <w:t>Les Fidji ont adopté les nouveaux textes</w:t>
      </w:r>
      <w:r w:rsidRPr="001D5C5E">
        <w:rPr>
          <w:lang w:val="fr-FR"/>
        </w:rPr>
        <w:t xml:space="preserve"> </w:t>
      </w:r>
      <w:r>
        <w:rPr>
          <w:lang w:val="fr-FR"/>
        </w:rPr>
        <w:t>législatifs suivant</w:t>
      </w:r>
      <w:r w:rsidRPr="001D5C5E">
        <w:rPr>
          <w:lang w:val="fr-FR"/>
        </w:rPr>
        <w:t xml:space="preserve">s afin </w:t>
      </w:r>
      <w:r>
        <w:rPr>
          <w:lang w:val="fr-FR"/>
        </w:rPr>
        <w:t>de continuer à s’acquitter</w:t>
      </w:r>
      <w:r w:rsidRPr="001D5C5E">
        <w:rPr>
          <w:lang w:val="fr-FR"/>
        </w:rPr>
        <w:t xml:space="preserve"> </w:t>
      </w:r>
      <w:r>
        <w:rPr>
          <w:lang w:val="fr-FR"/>
        </w:rPr>
        <w:t>de leurs</w:t>
      </w:r>
      <w:r w:rsidRPr="001D5C5E">
        <w:rPr>
          <w:lang w:val="fr-FR"/>
        </w:rPr>
        <w:t xml:space="preserve"> obligations </w:t>
      </w:r>
      <w:r>
        <w:rPr>
          <w:lang w:val="fr-FR"/>
        </w:rPr>
        <w:t>au titre de la Convention relative aux droits de l’enfant</w:t>
      </w:r>
      <w:r w:rsidRPr="001D5C5E">
        <w:rPr>
          <w:lang w:val="fr-FR"/>
        </w:rPr>
        <w:t>:</w:t>
      </w:r>
    </w:p>
    <w:p w:rsidR="00B3072E" w:rsidRDefault="00B3072E" w:rsidP="00B3072E">
      <w:pPr>
        <w:pStyle w:val="Bullet1G"/>
        <w:rPr>
          <w:lang w:val="fr-FR"/>
        </w:rPr>
      </w:pPr>
      <w:r>
        <w:rPr>
          <w:lang w:val="fr-FR"/>
        </w:rPr>
        <w:t xml:space="preserve">Le </w:t>
      </w:r>
      <w:r w:rsidRPr="00085E60">
        <w:rPr>
          <w:lang w:val="fr-FR"/>
        </w:rPr>
        <w:t>décret de 2009 relatif à la violence familiale</w:t>
      </w:r>
      <w:r>
        <w:rPr>
          <w:lang w:val="fr-FR"/>
        </w:rPr>
        <w:t>,</w:t>
      </w:r>
      <w:r w:rsidRPr="001D5C5E">
        <w:rPr>
          <w:lang w:val="fr-FR"/>
        </w:rPr>
        <w:t xml:space="preserve"> </w:t>
      </w:r>
      <w:r>
        <w:rPr>
          <w:lang w:val="fr-FR"/>
        </w:rPr>
        <w:t>qui protège</w:t>
      </w:r>
      <w:r w:rsidRPr="001D5C5E">
        <w:rPr>
          <w:lang w:val="fr-FR"/>
        </w:rPr>
        <w:t xml:space="preserve"> </w:t>
      </w:r>
      <w:r>
        <w:rPr>
          <w:lang w:val="fr-FR"/>
        </w:rPr>
        <w:t xml:space="preserve">les enfants contre la violence </w:t>
      </w:r>
      <w:r w:rsidRPr="001D5C5E">
        <w:rPr>
          <w:lang w:val="fr-FR"/>
        </w:rPr>
        <w:t xml:space="preserve">et </w:t>
      </w:r>
      <w:r>
        <w:rPr>
          <w:lang w:val="fr-FR"/>
        </w:rPr>
        <w:t>prévoit la mise à disposition de</w:t>
      </w:r>
      <w:r w:rsidRPr="001D5C5E">
        <w:rPr>
          <w:lang w:val="fr-FR"/>
        </w:rPr>
        <w:t xml:space="preserve"> fonds d</w:t>
      </w:r>
      <w:r>
        <w:rPr>
          <w:lang w:val="fr-FR"/>
        </w:rPr>
        <w:t>’</w:t>
      </w:r>
      <w:r w:rsidRPr="001D5C5E">
        <w:rPr>
          <w:lang w:val="fr-FR"/>
        </w:rPr>
        <w:t>urgence si nécessaire;</w:t>
      </w:r>
    </w:p>
    <w:p w:rsidR="00B3072E" w:rsidRDefault="00B3072E" w:rsidP="00B3072E">
      <w:pPr>
        <w:pStyle w:val="Bullet1G"/>
        <w:rPr>
          <w:lang w:val="fr-FR"/>
        </w:rPr>
      </w:pPr>
      <w:r>
        <w:rPr>
          <w:lang w:val="fr-FR"/>
        </w:rPr>
        <w:t xml:space="preserve">Le </w:t>
      </w:r>
      <w:r w:rsidRPr="00085E60">
        <w:rPr>
          <w:lang w:val="fr-FR"/>
        </w:rPr>
        <w:t>décret de 2009 portant modification de la loi relative au mariage</w:t>
      </w:r>
      <w:r>
        <w:rPr>
          <w:lang w:val="fr-FR"/>
        </w:rPr>
        <w:t>,</w:t>
      </w:r>
      <w:r w:rsidRPr="001D5C5E">
        <w:rPr>
          <w:lang w:val="fr-FR"/>
        </w:rPr>
        <w:t xml:space="preserve"> </w:t>
      </w:r>
      <w:r>
        <w:rPr>
          <w:lang w:val="fr-FR"/>
        </w:rPr>
        <w:t>qui relève</w:t>
      </w:r>
      <w:r w:rsidRPr="001D5C5E">
        <w:rPr>
          <w:lang w:val="fr-FR"/>
        </w:rPr>
        <w:t xml:space="preserve"> l</w:t>
      </w:r>
      <w:r>
        <w:rPr>
          <w:lang w:val="fr-FR"/>
        </w:rPr>
        <w:t>’</w:t>
      </w:r>
      <w:r w:rsidRPr="001D5C5E">
        <w:rPr>
          <w:lang w:val="fr-FR"/>
        </w:rPr>
        <w:t xml:space="preserve">âge </w:t>
      </w:r>
      <w:r>
        <w:rPr>
          <w:lang w:val="fr-FR"/>
        </w:rPr>
        <w:t>nubile d</w:t>
      </w:r>
      <w:r w:rsidRPr="001D5C5E">
        <w:rPr>
          <w:lang w:val="fr-FR"/>
        </w:rPr>
        <w:t>es filles</w:t>
      </w:r>
      <w:r>
        <w:rPr>
          <w:lang w:val="fr-FR"/>
        </w:rPr>
        <w:t>, auparavant fixé à</w:t>
      </w:r>
      <w:r w:rsidRPr="001D5C5E">
        <w:rPr>
          <w:lang w:val="fr-FR"/>
        </w:rPr>
        <w:t xml:space="preserve"> 16 </w:t>
      </w:r>
      <w:r>
        <w:rPr>
          <w:lang w:val="fr-FR"/>
        </w:rPr>
        <w:t>ans, en l’alignant sur celui des garçons,</w:t>
      </w:r>
      <w:r w:rsidRPr="001D5C5E">
        <w:rPr>
          <w:lang w:val="fr-FR"/>
        </w:rPr>
        <w:t xml:space="preserve"> </w:t>
      </w:r>
      <w:r>
        <w:rPr>
          <w:lang w:val="fr-FR"/>
        </w:rPr>
        <w:t>fixé à 18 </w:t>
      </w:r>
      <w:r w:rsidRPr="001D5C5E">
        <w:rPr>
          <w:lang w:val="fr-FR"/>
        </w:rPr>
        <w:t>ans;</w:t>
      </w:r>
    </w:p>
    <w:p w:rsidR="00B3072E" w:rsidRPr="0013068F" w:rsidRDefault="00B3072E" w:rsidP="00B3072E">
      <w:pPr>
        <w:pStyle w:val="Bullet1G"/>
        <w:rPr>
          <w:lang w:val="fr-FR"/>
        </w:rPr>
      </w:pPr>
      <w:r>
        <w:rPr>
          <w:lang w:val="fr-FR"/>
        </w:rPr>
        <w:t xml:space="preserve">Le </w:t>
      </w:r>
      <w:r w:rsidRPr="00085E60">
        <w:t xml:space="preserve">décret de 2009 relatif à la nationalité </w:t>
      </w:r>
      <w:r w:rsidRPr="00D9570A">
        <w:rPr>
          <w:lang w:val="fr-FR"/>
        </w:rPr>
        <w:t>fidjienne</w:t>
      </w:r>
      <w:r w:rsidRPr="001D5C5E">
        <w:rPr>
          <w:lang w:val="fr-FR"/>
        </w:rPr>
        <w:t xml:space="preserve"> </w:t>
      </w:r>
      <w:r w:rsidRPr="00B2511C">
        <w:rPr>
          <w:lang w:val="fr-FR"/>
        </w:rPr>
        <w:t xml:space="preserve">qui </w:t>
      </w:r>
      <w:r>
        <w:rPr>
          <w:lang w:val="fr-FR"/>
        </w:rPr>
        <w:t xml:space="preserve">définit les conditions d’octroi de la nationalité </w:t>
      </w:r>
      <w:r w:rsidRPr="00085E60">
        <w:rPr>
          <w:lang w:val="fr-FR"/>
        </w:rPr>
        <w:t xml:space="preserve">aux enfants </w:t>
      </w:r>
      <w:r>
        <w:rPr>
          <w:lang w:val="fr-FR"/>
        </w:rPr>
        <w:t xml:space="preserve">afin </w:t>
      </w:r>
      <w:r w:rsidRPr="001D5C5E">
        <w:rPr>
          <w:lang w:val="fr-FR"/>
        </w:rPr>
        <w:t>d</w:t>
      </w:r>
      <w:r>
        <w:rPr>
          <w:lang w:val="fr-FR"/>
        </w:rPr>
        <w:t>’</w:t>
      </w:r>
      <w:r w:rsidRPr="001D5C5E">
        <w:rPr>
          <w:lang w:val="fr-FR"/>
        </w:rPr>
        <w:t>éviter les situations d</w:t>
      </w:r>
      <w:r>
        <w:rPr>
          <w:lang w:val="fr-FR"/>
        </w:rPr>
        <w:t>’</w:t>
      </w:r>
      <w:r w:rsidRPr="001D5C5E">
        <w:rPr>
          <w:lang w:val="fr-FR"/>
        </w:rPr>
        <w:t>apatridie.</w:t>
      </w:r>
    </w:p>
    <w:p w:rsidR="00B3072E" w:rsidRPr="00A27BF5" w:rsidRDefault="00B3072E" w:rsidP="003773BD">
      <w:pPr>
        <w:pStyle w:val="ParNoG"/>
        <w:keepNext/>
        <w:tabs>
          <w:tab w:val="clear" w:pos="1967"/>
          <w:tab w:val="num" w:pos="1701"/>
        </w:tabs>
        <w:ind w:left="1134"/>
        <w:rPr>
          <w:lang w:val="fr-FR"/>
        </w:rPr>
      </w:pPr>
      <w:r>
        <w:t>Parmi les autres faits nouveaux, il convient de citer:</w:t>
      </w:r>
    </w:p>
    <w:p w:rsidR="00B3072E" w:rsidRPr="001D5C5E" w:rsidRDefault="00B3072E" w:rsidP="00B3072E">
      <w:pPr>
        <w:pStyle w:val="Bullet1G"/>
        <w:rPr>
          <w:lang w:val="fr-FR"/>
        </w:rPr>
      </w:pPr>
      <w:r>
        <w:t>L’abrogation du</w:t>
      </w:r>
      <w:r w:rsidRPr="001D5C5E">
        <w:t xml:space="preserve"> Code pénal </w:t>
      </w:r>
      <w:r>
        <w:t xml:space="preserve">par le </w:t>
      </w:r>
      <w:r w:rsidRPr="00085E60">
        <w:t xml:space="preserve">décret de 2009 </w:t>
      </w:r>
      <w:r w:rsidRPr="006E2793">
        <w:t>relatif aux</w:t>
      </w:r>
      <w:r w:rsidRPr="00085E60">
        <w:t xml:space="preserve"> infractions pénales</w:t>
      </w:r>
      <w:r>
        <w:t>;</w:t>
      </w:r>
    </w:p>
    <w:p w:rsidR="00B3072E" w:rsidRPr="001D5C5E" w:rsidRDefault="00B3072E" w:rsidP="00B3072E">
      <w:pPr>
        <w:pStyle w:val="Bullet1G"/>
        <w:rPr>
          <w:lang w:val="fr-FR"/>
        </w:rPr>
      </w:pPr>
      <w:r>
        <w:t>L’adoption d’une terminologie non sexiste</w:t>
      </w:r>
      <w:r w:rsidRPr="001D5C5E">
        <w:t>, le cas échéant;</w:t>
      </w:r>
    </w:p>
    <w:p w:rsidR="00B3072E" w:rsidRPr="001D5C5E" w:rsidRDefault="00B3072E" w:rsidP="00B3072E">
      <w:pPr>
        <w:pStyle w:val="Bullet1G"/>
        <w:rPr>
          <w:lang w:val="fr-FR"/>
        </w:rPr>
      </w:pPr>
      <w:r w:rsidRPr="00784761">
        <w:t xml:space="preserve">La modification de la définition du viol </w:t>
      </w:r>
      <w:r>
        <w:t>pour</w:t>
      </w:r>
      <w:r w:rsidRPr="00784761">
        <w:t xml:space="preserve"> </w:t>
      </w:r>
      <w:r>
        <w:t>en élargir la portée</w:t>
      </w:r>
      <w:r w:rsidRPr="00784761">
        <w:t xml:space="preserve"> </w:t>
      </w:r>
      <w:r>
        <w:t xml:space="preserve">et </w:t>
      </w:r>
      <w:r w:rsidRPr="00784761">
        <w:t xml:space="preserve">notamment </w:t>
      </w:r>
      <w:r>
        <w:t>la rendre applicable aussi bien a</w:t>
      </w:r>
      <w:r w:rsidRPr="00784761">
        <w:t>ux hommes qu</w:t>
      </w:r>
      <w:r>
        <w:t>’</w:t>
      </w:r>
      <w:r w:rsidRPr="00784761">
        <w:t>aux femmes;</w:t>
      </w:r>
    </w:p>
    <w:p w:rsidR="00B3072E" w:rsidRPr="001D5C5E" w:rsidRDefault="00B3072E" w:rsidP="00B3072E">
      <w:pPr>
        <w:pStyle w:val="Bullet1G"/>
        <w:rPr>
          <w:lang w:val="fr-FR"/>
        </w:rPr>
      </w:pPr>
      <w:r>
        <w:t>L’i</w:t>
      </w:r>
      <w:r w:rsidRPr="001D5C5E">
        <w:t>ntroduction de nouvelles dispositions relatives à</w:t>
      </w:r>
      <w:r>
        <w:t xml:space="preserve"> l’attentat à</w:t>
      </w:r>
      <w:r w:rsidRPr="001D5C5E">
        <w:t xml:space="preserve"> la pudeur et à l</w:t>
      </w:r>
      <w:r>
        <w:t>’</w:t>
      </w:r>
      <w:r w:rsidRPr="001D5C5E">
        <w:t>exploitation commerciale des moins de</w:t>
      </w:r>
      <w:r>
        <w:t xml:space="preserve"> 18 </w:t>
      </w:r>
      <w:r w:rsidRPr="001D5C5E">
        <w:t>ans</w:t>
      </w:r>
      <w:r>
        <w:t>;</w:t>
      </w:r>
    </w:p>
    <w:p w:rsidR="00B3072E" w:rsidRPr="004422DA" w:rsidRDefault="00B3072E" w:rsidP="00B3072E">
      <w:pPr>
        <w:pStyle w:val="Bullet1G"/>
        <w:rPr>
          <w:lang w:val="fr-FR"/>
        </w:rPr>
      </w:pPr>
      <w:r>
        <w:t>La r</w:t>
      </w:r>
      <w:r w:rsidRPr="001D5C5E">
        <w:t>évision des peines.</w:t>
      </w:r>
    </w:p>
    <w:p w:rsidR="00B3072E" w:rsidRPr="00CE47D0" w:rsidRDefault="00B3072E" w:rsidP="00B3072E">
      <w:pPr>
        <w:pStyle w:val="ParNoG"/>
        <w:tabs>
          <w:tab w:val="clear" w:pos="1967"/>
          <w:tab w:val="num" w:pos="1701"/>
        </w:tabs>
        <w:ind w:left="1134"/>
        <w:rPr>
          <w:lang w:val="fr-FR"/>
        </w:rPr>
      </w:pPr>
      <w:r w:rsidRPr="00CE47D0">
        <w:t xml:space="preserve">Le </w:t>
      </w:r>
      <w:r w:rsidRPr="00085E60">
        <w:t>règlement de 2009 relatif à l</w:t>
      </w:r>
      <w:r>
        <w:t>’</w:t>
      </w:r>
      <w:r w:rsidRPr="00085E60">
        <w:t>état d</w:t>
      </w:r>
      <w:r>
        <w:t>’</w:t>
      </w:r>
      <w:r w:rsidRPr="00085E60">
        <w:t>exception</w:t>
      </w:r>
      <w:r w:rsidRPr="00CE47D0">
        <w:t xml:space="preserve"> est entré en vigueur le 10 a</w:t>
      </w:r>
      <w:r>
        <w:t xml:space="preserve">vril </w:t>
      </w:r>
      <w:r w:rsidRPr="00D844B8">
        <w:t xml:space="preserve">2009 et </w:t>
      </w:r>
      <w:r>
        <w:t xml:space="preserve">sa </w:t>
      </w:r>
      <w:r w:rsidRPr="00085E60">
        <w:t>durée de validité a été prolongée</w:t>
      </w:r>
      <w:r>
        <w:t>; il était</w:t>
      </w:r>
      <w:r w:rsidRPr="00CE47D0">
        <w:t xml:space="preserve"> toujours en vigueur </w:t>
      </w:r>
      <w:r>
        <w:t>en m</w:t>
      </w:r>
      <w:r w:rsidRPr="00CE47D0">
        <w:t xml:space="preserve">ars 2011. </w:t>
      </w:r>
      <w:r>
        <w:t>La première partie</w:t>
      </w:r>
      <w:r w:rsidRPr="00CE47D0">
        <w:t xml:space="preserve"> de ce règlement est intitulé</w:t>
      </w:r>
      <w:r>
        <w:t>e</w:t>
      </w:r>
      <w:r w:rsidRPr="00CE47D0">
        <w:t xml:space="preserve"> «</w:t>
      </w:r>
      <w:r>
        <w:t xml:space="preserve">Dispositions </w:t>
      </w:r>
      <w:r w:rsidRPr="00CE47D0">
        <w:t>préliminaire</w:t>
      </w:r>
      <w:r>
        <w:t xml:space="preserve">s», la deuxième «Personnes habilitées au </w:t>
      </w:r>
      <w:r w:rsidRPr="00CE47D0">
        <w:t>maintien de la sécurité publique</w:t>
      </w:r>
      <w:r>
        <w:t>»</w:t>
      </w:r>
      <w:r w:rsidRPr="00CE47D0">
        <w:t xml:space="preserve">, </w:t>
      </w:r>
      <w:r>
        <w:t>la troisième «L</w:t>
      </w:r>
      <w:r w:rsidRPr="00CE47D0">
        <w:t xml:space="preserve">ieux </w:t>
      </w:r>
      <w:r>
        <w:t xml:space="preserve">protégés </w:t>
      </w:r>
      <w:r w:rsidRPr="00CE47D0">
        <w:t xml:space="preserve">et </w:t>
      </w:r>
      <w:r>
        <w:t xml:space="preserve">zones protégées» </w:t>
      </w:r>
      <w:r w:rsidRPr="00CE47D0">
        <w:t xml:space="preserve">et la </w:t>
      </w:r>
      <w:r>
        <w:t xml:space="preserve">quatrième «Personnes habilitées à </w:t>
      </w:r>
      <w:r w:rsidRPr="00085E60">
        <w:t>arrêter</w:t>
      </w:r>
      <w:r>
        <w:t xml:space="preserve"> des suspects»</w:t>
      </w:r>
      <w:r w:rsidRPr="00CE47D0">
        <w:t xml:space="preserve">. Le Président </w:t>
      </w:r>
      <w:r>
        <w:t xml:space="preserve">est </w:t>
      </w:r>
      <w:r w:rsidRPr="00085E60">
        <w:t>habilité à prolonger la durée de validité du r</w:t>
      </w:r>
      <w:r>
        <w:t>èglement en vertu du paragraphe </w:t>
      </w:r>
      <w:r w:rsidRPr="00085E60">
        <w:t>2 de l</w:t>
      </w:r>
      <w:r>
        <w:t>’</w:t>
      </w:r>
      <w:r w:rsidRPr="00085E60">
        <w:t>articl</w:t>
      </w:r>
      <w:r>
        <w:t>e premier de la première partie</w:t>
      </w:r>
      <w:r w:rsidRPr="00CE47D0">
        <w:t>.</w:t>
      </w:r>
    </w:p>
    <w:p w:rsidR="00B3072E" w:rsidRPr="004422DA" w:rsidRDefault="00B3072E" w:rsidP="00B3072E">
      <w:pPr>
        <w:pStyle w:val="H23G"/>
        <w:rPr>
          <w:lang w:val="fr-FR"/>
        </w:rPr>
      </w:pPr>
      <w:r>
        <w:rPr>
          <w:lang w:val="fr-FR"/>
        </w:rPr>
        <w:tab/>
      </w:r>
      <w:r>
        <w:rPr>
          <w:lang w:val="fr-FR"/>
        </w:rPr>
        <w:tab/>
        <w:t>Administration de la</w:t>
      </w:r>
      <w:r w:rsidRPr="004422DA">
        <w:rPr>
          <w:lang w:val="fr-FR"/>
        </w:rPr>
        <w:t xml:space="preserve"> </w:t>
      </w:r>
      <w:r w:rsidRPr="00D40B1C">
        <w:t>justice</w:t>
      </w:r>
      <w:r w:rsidRPr="004422DA">
        <w:rPr>
          <w:lang w:val="fr-FR"/>
        </w:rPr>
        <w:t xml:space="preserve"> </w:t>
      </w:r>
      <w:r>
        <w:rPr>
          <w:lang w:val="fr-FR"/>
        </w:rPr>
        <w:t>et état de droit</w:t>
      </w:r>
    </w:p>
    <w:p w:rsidR="00B3072E" w:rsidRPr="00085E60" w:rsidRDefault="00B3072E" w:rsidP="00B3072E">
      <w:pPr>
        <w:pStyle w:val="ParNoG"/>
        <w:tabs>
          <w:tab w:val="clear" w:pos="1967"/>
          <w:tab w:val="num" w:pos="1701"/>
        </w:tabs>
        <w:ind w:left="1134"/>
      </w:pPr>
      <w:r w:rsidRPr="00085E60">
        <w:t xml:space="preserve">La justice fidjienne est indépendante. Le décret </w:t>
      </w:r>
      <w:r>
        <w:t>relatif à</w:t>
      </w:r>
      <w:r w:rsidRPr="00085E60">
        <w:t xml:space="preserve"> l</w:t>
      </w:r>
      <w:r>
        <w:t>’</w:t>
      </w:r>
      <w:r w:rsidRPr="00085E60">
        <w:t>administration de la justice, entré en vigueur le 10 avril 2009, a porté création des juridictions suivantes: la Cour suprême, qui est l</w:t>
      </w:r>
      <w:r>
        <w:t>’instance de dernier recours</w:t>
      </w:r>
      <w:r w:rsidRPr="00085E60">
        <w:t>, la Cour d</w:t>
      </w:r>
      <w:r>
        <w:t>’</w:t>
      </w:r>
      <w:r w:rsidRPr="00085E60">
        <w:t>appel, la Haute Cour et toutes autres juridictions susceptibles d</w:t>
      </w:r>
      <w:r>
        <w:t>’</w:t>
      </w:r>
      <w:r w:rsidRPr="00085E60">
        <w:t>êtr</w:t>
      </w:r>
      <w:r>
        <w:t>e créées conformément à la loi.</w:t>
      </w:r>
    </w:p>
    <w:p w:rsidR="00B3072E" w:rsidRPr="00085E60" w:rsidRDefault="00B3072E" w:rsidP="00B3072E">
      <w:pPr>
        <w:pStyle w:val="ParNoG"/>
        <w:tabs>
          <w:tab w:val="clear" w:pos="1967"/>
          <w:tab w:val="num" w:pos="1701"/>
        </w:tabs>
        <w:ind w:left="1134"/>
        <w:rPr>
          <w:lang w:val="fr-FR"/>
        </w:rPr>
      </w:pPr>
      <w:r w:rsidRPr="00085E60">
        <w:t>Le Président nomme les titulaires suivants: juge</w:t>
      </w:r>
      <w:r>
        <w:t>s</w:t>
      </w:r>
      <w:r w:rsidRPr="00085E60">
        <w:t xml:space="preserve"> de la Haute Cour</w:t>
      </w:r>
      <w:r>
        <w:t>,</w:t>
      </w:r>
      <w:r w:rsidRPr="00085E60">
        <w:t xml:space="preserve"> juge</w:t>
      </w:r>
      <w:r>
        <w:t>s</w:t>
      </w:r>
      <w:r w:rsidRPr="00085E60">
        <w:t xml:space="preserve"> de la Cour d</w:t>
      </w:r>
      <w:r>
        <w:t>’</w:t>
      </w:r>
      <w:r w:rsidRPr="00085E60">
        <w:t>appel</w:t>
      </w:r>
      <w:r>
        <w:t>,</w:t>
      </w:r>
      <w:r w:rsidRPr="00085E60">
        <w:t xml:space="preserve"> juge</w:t>
      </w:r>
      <w:r>
        <w:t>s</w:t>
      </w:r>
      <w:r w:rsidRPr="00085E60">
        <w:t xml:space="preserve"> de la Cour suprême</w:t>
      </w:r>
      <w:r w:rsidRPr="00D35570">
        <w:t xml:space="preserve">, </w:t>
      </w:r>
      <w:r w:rsidRPr="00085E60">
        <w:t>Président de la Haute Cour</w:t>
      </w:r>
      <w:r w:rsidRPr="00D35570">
        <w:t xml:space="preserve">, </w:t>
      </w:r>
      <w:r>
        <w:t>Président et juges des juridictions de première instance (</w:t>
      </w:r>
      <w:r w:rsidRPr="00130BE6">
        <w:rPr>
          <w:i/>
        </w:rPr>
        <w:t>Magistrates</w:t>
      </w:r>
      <w:r>
        <w:rPr>
          <w:i/>
        </w:rPr>
        <w:t>’</w:t>
      </w:r>
      <w:r w:rsidRPr="00130BE6">
        <w:rPr>
          <w:i/>
        </w:rPr>
        <w:t>s Courts</w:t>
      </w:r>
      <w:r>
        <w:t xml:space="preserve">), </w:t>
      </w:r>
      <w:r w:rsidRPr="00D35570">
        <w:t>et</w:t>
      </w:r>
      <w:r w:rsidRPr="00085E60">
        <w:t xml:space="preserve"> tous autres officiers de justice, selon qu</w:t>
      </w:r>
      <w:r>
        <w:t>’</w:t>
      </w:r>
      <w:r w:rsidRPr="00085E60">
        <w:t xml:space="preserve">il </w:t>
      </w:r>
      <w:r>
        <w:t>l’</w:t>
      </w:r>
      <w:r w:rsidRPr="00085E60">
        <w:t xml:space="preserve">estime nécessaire. </w:t>
      </w:r>
    </w:p>
    <w:p w:rsidR="00B3072E" w:rsidRPr="004422DA" w:rsidRDefault="00B3072E" w:rsidP="00B3072E">
      <w:pPr>
        <w:pStyle w:val="H23G"/>
        <w:rPr>
          <w:lang w:val="fr-FR"/>
        </w:rPr>
      </w:pPr>
      <w:r w:rsidRPr="004422DA">
        <w:rPr>
          <w:lang w:val="fr-FR"/>
        </w:rPr>
        <w:tab/>
      </w:r>
      <w:r w:rsidRPr="004422DA">
        <w:rPr>
          <w:lang w:val="fr-FR"/>
        </w:rPr>
        <w:tab/>
      </w:r>
      <w:r w:rsidRPr="005331C9">
        <w:t xml:space="preserve">Compétence de la Haute </w:t>
      </w:r>
      <w:r w:rsidRPr="00130BE6">
        <w:t>Cour</w:t>
      </w:r>
    </w:p>
    <w:p w:rsidR="00B3072E" w:rsidRPr="00085E60" w:rsidRDefault="00B3072E" w:rsidP="00B3072E">
      <w:pPr>
        <w:pStyle w:val="ParNoG"/>
        <w:tabs>
          <w:tab w:val="clear" w:pos="1967"/>
          <w:tab w:val="num" w:pos="1701"/>
        </w:tabs>
        <w:ind w:left="1134"/>
        <w:rPr>
          <w:lang w:val="fr-FR"/>
        </w:rPr>
      </w:pPr>
      <w:r w:rsidRPr="00085E60">
        <w:t xml:space="preserve">La Haute Cour </w:t>
      </w:r>
      <w:r>
        <w:t xml:space="preserve">a plénitude de juridiction pour statuer en </w:t>
      </w:r>
      <w:r w:rsidRPr="00085E60">
        <w:t xml:space="preserve">première instance </w:t>
      </w:r>
      <w:r>
        <w:t xml:space="preserve">sur toute affaire civile ou pénale </w:t>
      </w:r>
      <w:r w:rsidRPr="00085E60">
        <w:t>au titre de toute loi</w:t>
      </w:r>
      <w:r>
        <w:t xml:space="preserve"> ainsi qu’en</w:t>
      </w:r>
      <w:r w:rsidRPr="00085E60">
        <w:t xml:space="preserve"> toute matière </w:t>
      </w:r>
      <w:r>
        <w:t xml:space="preserve">prévue </w:t>
      </w:r>
      <w:r w:rsidRPr="00085E60">
        <w:t>par le décret relatif à l</w:t>
      </w:r>
      <w:r>
        <w:t>’</w:t>
      </w:r>
      <w:r w:rsidRPr="00085E60">
        <w:t>administration de la justice ou tout autre acte législatif. Elle est également compétente (pour autant que le droit d</w:t>
      </w:r>
      <w:r>
        <w:t>’</w:t>
      </w:r>
      <w:r w:rsidRPr="00085E60">
        <w:t xml:space="preserve">appel soit prévu </w:t>
      </w:r>
      <w:r>
        <w:t xml:space="preserve">par </w:t>
      </w:r>
      <w:r w:rsidRPr="00085E60">
        <w:t xml:space="preserve">une loi écrite et conformément aux modalités </w:t>
      </w:r>
      <w:r>
        <w:t>légalement prescrites</w:t>
      </w:r>
      <w:r w:rsidRPr="00085E60">
        <w:t xml:space="preserve">) pour statuer sur </w:t>
      </w:r>
      <w:r>
        <w:t>tout recours formé</w:t>
      </w:r>
      <w:r w:rsidRPr="00085E60">
        <w:t xml:space="preserve"> contre </w:t>
      </w:r>
      <w:r>
        <w:t>toute décision rendue par l</w:t>
      </w:r>
      <w:r w:rsidRPr="00085E60">
        <w:t>es juridictions inférieures. Elle peut en outre superviser les procédures civiles ou pénales engagées devan</w:t>
      </w:r>
      <w:r>
        <w:t>t une juridiction inférieure et</w:t>
      </w:r>
      <w:r w:rsidRPr="00085E60">
        <w:t>, sur demande adressée en bonne et due forme, prendre les ordonnances et les décisions et donner les instructions qu</w:t>
      </w:r>
      <w:r>
        <w:t>’</w:t>
      </w:r>
      <w:r w:rsidRPr="00085E60">
        <w:t>elle juge nécessaires pour garantir la bonne administration de la justice par la juridiction inférieure.</w:t>
      </w:r>
    </w:p>
    <w:p w:rsidR="00B3072E" w:rsidRPr="004422DA" w:rsidRDefault="00B3072E" w:rsidP="00B3072E">
      <w:pPr>
        <w:pStyle w:val="H23G"/>
        <w:rPr>
          <w:lang w:val="fr-FR"/>
        </w:rPr>
      </w:pPr>
      <w:r w:rsidRPr="004422DA">
        <w:rPr>
          <w:lang w:val="fr-FR"/>
        </w:rPr>
        <w:tab/>
      </w:r>
      <w:r w:rsidRPr="004422DA">
        <w:rPr>
          <w:lang w:val="fr-FR"/>
        </w:rPr>
        <w:tab/>
      </w:r>
      <w:r w:rsidRPr="005331C9">
        <w:t xml:space="preserve">Compétence de </w:t>
      </w:r>
      <w:r w:rsidRPr="00B64D98">
        <w:t>la</w:t>
      </w:r>
      <w:r w:rsidRPr="00D4336D">
        <w:t xml:space="preserve"> Cour</w:t>
      </w:r>
      <w:r w:rsidRPr="005331C9">
        <w:t xml:space="preserve"> d</w:t>
      </w:r>
      <w:r>
        <w:t>’</w:t>
      </w:r>
      <w:r w:rsidRPr="005331C9">
        <w:t>appel</w:t>
      </w:r>
    </w:p>
    <w:p w:rsidR="00B3072E" w:rsidRPr="00085E60" w:rsidRDefault="00B3072E" w:rsidP="00B3072E">
      <w:pPr>
        <w:pStyle w:val="ParNoG"/>
        <w:tabs>
          <w:tab w:val="clear" w:pos="1967"/>
          <w:tab w:val="num" w:pos="1701"/>
        </w:tabs>
        <w:ind w:left="1134"/>
        <w:rPr>
          <w:lang w:val="fr-FR"/>
        </w:rPr>
      </w:pPr>
      <w:r w:rsidRPr="00085E60">
        <w:rPr>
          <w:lang w:val="fr-FR"/>
        </w:rPr>
        <w:t>La Cour d</w:t>
      </w:r>
      <w:r>
        <w:rPr>
          <w:lang w:val="fr-FR"/>
        </w:rPr>
        <w:t>’</w:t>
      </w:r>
      <w:r w:rsidRPr="00085E60">
        <w:rPr>
          <w:lang w:val="fr-FR"/>
        </w:rPr>
        <w:t xml:space="preserve">appel peut connaître de tout recours contre toute décision de la Haute Cour, et </w:t>
      </w:r>
      <w:r>
        <w:rPr>
          <w:lang w:val="fr-FR"/>
        </w:rPr>
        <w:t xml:space="preserve">est également compétente en toute autre matière prévue </w:t>
      </w:r>
      <w:r w:rsidRPr="00085E60">
        <w:rPr>
          <w:lang w:val="fr-FR"/>
        </w:rPr>
        <w:t xml:space="preserve">par la loi. Elle </w:t>
      </w:r>
      <w:r>
        <w:rPr>
          <w:lang w:val="fr-FR"/>
        </w:rPr>
        <w:t>examine ainsi en appel</w:t>
      </w:r>
      <w:r w:rsidRPr="00085E60">
        <w:rPr>
          <w:lang w:val="fr-FR"/>
        </w:rPr>
        <w:t xml:space="preserve">, de droit ou sur </w:t>
      </w:r>
      <w:r>
        <w:rPr>
          <w:lang w:val="fr-FR"/>
        </w:rPr>
        <w:t>autorisation et</w:t>
      </w:r>
      <w:r w:rsidRPr="00085E60">
        <w:rPr>
          <w:lang w:val="fr-FR"/>
        </w:rPr>
        <w:t xml:space="preserve"> dans les conditions prévues par la loi, </w:t>
      </w:r>
      <w:r>
        <w:rPr>
          <w:lang w:val="fr-FR"/>
        </w:rPr>
        <w:t xml:space="preserve">les </w:t>
      </w:r>
      <w:r w:rsidRPr="00085E60">
        <w:rPr>
          <w:lang w:val="fr-FR"/>
        </w:rPr>
        <w:t>décision</w:t>
      </w:r>
      <w:r>
        <w:rPr>
          <w:lang w:val="fr-FR"/>
        </w:rPr>
        <w:t>s</w:t>
      </w:r>
      <w:r w:rsidRPr="00085E60">
        <w:rPr>
          <w:lang w:val="fr-FR"/>
        </w:rPr>
        <w:t xml:space="preserve"> rendue</w:t>
      </w:r>
      <w:r>
        <w:rPr>
          <w:lang w:val="fr-FR"/>
        </w:rPr>
        <w:t>s</w:t>
      </w:r>
      <w:r w:rsidRPr="00085E60">
        <w:rPr>
          <w:lang w:val="fr-FR"/>
        </w:rPr>
        <w:t xml:space="preserve"> par la Haute Cour</w:t>
      </w:r>
      <w:r w:rsidRPr="00085E60">
        <w:t>.</w:t>
      </w:r>
    </w:p>
    <w:p w:rsidR="00B3072E" w:rsidRPr="004422DA" w:rsidRDefault="00B3072E" w:rsidP="00B3072E">
      <w:pPr>
        <w:pStyle w:val="H23G"/>
        <w:rPr>
          <w:lang w:val="fr-FR"/>
        </w:rPr>
      </w:pPr>
      <w:r w:rsidRPr="004422DA">
        <w:rPr>
          <w:lang w:val="fr-FR"/>
        </w:rPr>
        <w:tab/>
      </w:r>
      <w:r w:rsidRPr="004422DA">
        <w:rPr>
          <w:lang w:val="fr-FR"/>
        </w:rPr>
        <w:tab/>
      </w:r>
      <w:r w:rsidRPr="005331C9">
        <w:t xml:space="preserve">Compétence de la Cour </w:t>
      </w:r>
      <w:r w:rsidRPr="00B64D98">
        <w:t>suprême</w:t>
      </w:r>
    </w:p>
    <w:p w:rsidR="00B3072E" w:rsidRPr="00085E60" w:rsidRDefault="00B3072E" w:rsidP="00B3072E">
      <w:pPr>
        <w:pStyle w:val="ParNoG"/>
        <w:tabs>
          <w:tab w:val="clear" w:pos="1967"/>
          <w:tab w:val="num" w:pos="1701"/>
        </w:tabs>
        <w:ind w:left="1134"/>
        <w:rPr>
          <w:lang w:val="fr-FR"/>
        </w:rPr>
      </w:pPr>
      <w:r w:rsidRPr="00085E60">
        <w:rPr>
          <w:lang w:val="fr-FR"/>
        </w:rPr>
        <w:t>La Cour suprême est seule compétente pour connaître des recours contre les décisions définitives de la Cour d</w:t>
      </w:r>
      <w:r>
        <w:rPr>
          <w:lang w:val="fr-FR"/>
        </w:rPr>
        <w:t>’</w:t>
      </w:r>
      <w:r w:rsidRPr="00085E60">
        <w:rPr>
          <w:lang w:val="fr-FR"/>
        </w:rPr>
        <w:t xml:space="preserve">appel. </w:t>
      </w:r>
      <w:r>
        <w:rPr>
          <w:lang w:val="fr-FR"/>
        </w:rPr>
        <w:t xml:space="preserve">Pour qu’elle puisse </w:t>
      </w:r>
      <w:r w:rsidRPr="00085E60">
        <w:rPr>
          <w:lang w:val="fr-FR"/>
        </w:rPr>
        <w:t>être saisie d</w:t>
      </w:r>
      <w:r>
        <w:rPr>
          <w:lang w:val="fr-FR"/>
        </w:rPr>
        <w:t>’</w:t>
      </w:r>
      <w:r w:rsidRPr="00085E60">
        <w:rPr>
          <w:lang w:val="fr-FR"/>
        </w:rPr>
        <w:t xml:space="preserve">un </w:t>
      </w:r>
      <w:r>
        <w:rPr>
          <w:lang w:val="fr-FR"/>
        </w:rPr>
        <w:t xml:space="preserve">tel </w:t>
      </w:r>
      <w:r w:rsidRPr="00085E60">
        <w:rPr>
          <w:lang w:val="fr-FR"/>
        </w:rPr>
        <w:t>recours</w:t>
      </w:r>
      <w:r>
        <w:rPr>
          <w:lang w:val="fr-FR"/>
        </w:rPr>
        <w:t>,</w:t>
      </w:r>
      <w:r w:rsidRPr="00085E60">
        <w:rPr>
          <w:lang w:val="fr-FR"/>
        </w:rPr>
        <w:t xml:space="preserve"> </w:t>
      </w:r>
      <w:r>
        <w:rPr>
          <w:lang w:val="fr-FR"/>
        </w:rPr>
        <w:t xml:space="preserve">celui-ci doit avoir été autorisé soit par </w:t>
      </w:r>
      <w:r w:rsidRPr="00085E60">
        <w:rPr>
          <w:lang w:val="fr-FR"/>
        </w:rPr>
        <w:t>la Cour d</w:t>
      </w:r>
      <w:r>
        <w:rPr>
          <w:lang w:val="fr-FR"/>
        </w:rPr>
        <w:t>’</w:t>
      </w:r>
      <w:r w:rsidRPr="00085E60">
        <w:rPr>
          <w:lang w:val="fr-FR"/>
        </w:rPr>
        <w:t>appel</w:t>
      </w:r>
      <w:r>
        <w:rPr>
          <w:lang w:val="fr-FR"/>
        </w:rPr>
        <w:t>,</w:t>
      </w:r>
      <w:r w:rsidRPr="00085E60">
        <w:rPr>
          <w:lang w:val="fr-FR"/>
        </w:rPr>
        <w:t xml:space="preserve"> </w:t>
      </w:r>
      <w:r>
        <w:rPr>
          <w:lang w:val="fr-FR"/>
        </w:rPr>
        <w:t xml:space="preserve">qui juge la question </w:t>
      </w:r>
      <w:r w:rsidRPr="00085E60">
        <w:rPr>
          <w:lang w:val="fr-FR"/>
        </w:rPr>
        <w:t>d</w:t>
      </w:r>
      <w:r>
        <w:rPr>
          <w:lang w:val="fr-FR"/>
        </w:rPr>
        <w:t>’intérêt public, soit par</w:t>
      </w:r>
      <w:r w:rsidRPr="00085E60">
        <w:rPr>
          <w:lang w:val="fr-FR"/>
        </w:rPr>
        <w:t xml:space="preserve"> la Cour suprême</w:t>
      </w:r>
      <w:r>
        <w:rPr>
          <w:lang w:val="fr-FR"/>
        </w:rPr>
        <w:t xml:space="preserve"> elle-même, par</w:t>
      </w:r>
      <w:r w:rsidRPr="00085E60">
        <w:rPr>
          <w:lang w:val="fr-FR"/>
        </w:rPr>
        <w:t xml:space="preserve"> une autorisation spéciale de faire recours. Dans</w:t>
      </w:r>
      <w:r w:rsidR="008238E0">
        <w:rPr>
          <w:lang w:val="fr-FR"/>
        </w:rPr>
        <w:t> </w:t>
      </w:r>
      <w:r w:rsidRPr="00085E60">
        <w:rPr>
          <w:lang w:val="fr-FR"/>
        </w:rPr>
        <w:t>l</w:t>
      </w:r>
      <w:r>
        <w:rPr>
          <w:lang w:val="fr-FR"/>
        </w:rPr>
        <w:t>’</w:t>
      </w:r>
      <w:r w:rsidRPr="00085E60">
        <w:rPr>
          <w:lang w:val="fr-FR"/>
        </w:rPr>
        <w:t xml:space="preserve">exercice de cette compétence, la Cour suprême peut réviser, modifier, infirmer ou confirmer les </w:t>
      </w:r>
      <w:r>
        <w:rPr>
          <w:lang w:val="fr-FR"/>
        </w:rPr>
        <w:t xml:space="preserve">arrêts </w:t>
      </w:r>
      <w:r w:rsidRPr="00085E60">
        <w:rPr>
          <w:lang w:val="fr-FR"/>
        </w:rPr>
        <w:t>ou ordonnances de la Cour d</w:t>
      </w:r>
      <w:r>
        <w:rPr>
          <w:lang w:val="fr-FR"/>
        </w:rPr>
        <w:t>’</w:t>
      </w:r>
      <w:r w:rsidRPr="00085E60">
        <w:rPr>
          <w:lang w:val="fr-FR"/>
        </w:rPr>
        <w:t xml:space="preserve">appel, et </w:t>
      </w:r>
      <w:r>
        <w:rPr>
          <w:lang w:val="fr-FR"/>
        </w:rPr>
        <w:t>rendre toute décision (y </w:t>
      </w:r>
      <w:r w:rsidRPr="00085E60">
        <w:rPr>
          <w:lang w:val="fr-FR"/>
        </w:rPr>
        <w:t xml:space="preserve">compris </w:t>
      </w:r>
      <w:r>
        <w:rPr>
          <w:lang w:val="fr-FR"/>
        </w:rPr>
        <w:t xml:space="preserve">ordonner </w:t>
      </w:r>
      <w:r w:rsidRPr="00085E60">
        <w:rPr>
          <w:lang w:val="fr-FR"/>
        </w:rPr>
        <w:t>la tenue d</w:t>
      </w:r>
      <w:r>
        <w:rPr>
          <w:lang w:val="fr-FR"/>
        </w:rPr>
        <w:t>’</w:t>
      </w:r>
      <w:r w:rsidRPr="00085E60">
        <w:rPr>
          <w:lang w:val="fr-FR"/>
        </w:rPr>
        <w:t xml:space="preserve">un nouveau procès </w:t>
      </w:r>
      <w:r>
        <w:rPr>
          <w:lang w:val="fr-FR"/>
        </w:rPr>
        <w:t xml:space="preserve">ou statuer </w:t>
      </w:r>
      <w:r w:rsidRPr="00085E60">
        <w:rPr>
          <w:lang w:val="fr-FR"/>
        </w:rPr>
        <w:t>sur les dépens) nécessaire à la bon</w:t>
      </w:r>
      <w:r>
        <w:rPr>
          <w:lang w:val="fr-FR"/>
        </w:rPr>
        <w:t>ne administration de la justice.</w:t>
      </w:r>
    </w:p>
    <w:p w:rsidR="00B3072E" w:rsidRPr="00085E60" w:rsidRDefault="00B3072E" w:rsidP="00606158">
      <w:pPr>
        <w:pStyle w:val="H23G"/>
        <w:spacing w:before="200"/>
        <w:rPr>
          <w:lang w:val="fr-FR"/>
        </w:rPr>
      </w:pPr>
      <w:r w:rsidRPr="004422DA">
        <w:rPr>
          <w:lang w:val="fr-FR"/>
        </w:rPr>
        <w:tab/>
      </w:r>
      <w:r w:rsidRPr="004422DA">
        <w:rPr>
          <w:lang w:val="fr-FR"/>
        </w:rPr>
        <w:tab/>
      </w:r>
      <w:r>
        <w:t>Protection des d</w:t>
      </w:r>
      <w:r w:rsidRPr="00085E60">
        <w:t xml:space="preserve">roits </w:t>
      </w:r>
      <w:r w:rsidRPr="006F1D1F">
        <w:t>fondamentaux</w:t>
      </w:r>
      <w:r w:rsidRPr="00085E60">
        <w:t xml:space="preserve"> de l</w:t>
      </w:r>
      <w:r>
        <w:t>’</w:t>
      </w:r>
      <w:r w:rsidRPr="00085E60">
        <w:t>homme</w:t>
      </w:r>
      <w:r>
        <w:t xml:space="preserve"> dans la loi</w:t>
      </w:r>
    </w:p>
    <w:p w:rsidR="00B3072E" w:rsidRPr="00085E60" w:rsidRDefault="00B3072E" w:rsidP="00606158">
      <w:pPr>
        <w:pStyle w:val="ParNoG"/>
        <w:tabs>
          <w:tab w:val="clear" w:pos="1967"/>
          <w:tab w:val="num" w:pos="1701"/>
        </w:tabs>
        <w:spacing w:after="100" w:line="236" w:lineRule="atLeast"/>
        <w:ind w:left="1134"/>
        <w:rPr>
          <w:lang w:val="fr-FR"/>
        </w:rPr>
      </w:pPr>
      <w:r w:rsidRPr="00085E60">
        <w:t>L</w:t>
      </w:r>
      <w:r>
        <w:t>’</w:t>
      </w:r>
      <w:r w:rsidRPr="00085E60">
        <w:t xml:space="preserve">abrogation de la </w:t>
      </w:r>
      <w:r w:rsidRPr="006F1D1F">
        <w:rPr>
          <w:lang w:val="fr-FR"/>
        </w:rPr>
        <w:t>Constitution</w:t>
      </w:r>
      <w:r w:rsidRPr="00085E60">
        <w:t xml:space="preserve"> de 1997 ne nuit pas au respect et à la jouissance des droits fondamentaux de l</w:t>
      </w:r>
      <w:r>
        <w:t>’</w:t>
      </w:r>
      <w:r w:rsidRPr="00085E60">
        <w:t xml:space="preserve">homme aux Fidji, ni </w:t>
      </w:r>
      <w:r>
        <w:t xml:space="preserve">à </w:t>
      </w:r>
      <w:r w:rsidRPr="00085E60">
        <w:t>l</w:t>
      </w:r>
      <w:r>
        <w:t>’</w:t>
      </w:r>
      <w:r w:rsidRPr="00085E60">
        <w:t>état de droit.</w:t>
      </w:r>
    </w:p>
    <w:p w:rsidR="00B3072E" w:rsidRDefault="00B3072E" w:rsidP="00606158">
      <w:pPr>
        <w:pStyle w:val="ParNoG"/>
        <w:tabs>
          <w:tab w:val="clear" w:pos="1967"/>
          <w:tab w:val="num" w:pos="1701"/>
        </w:tabs>
        <w:spacing w:after="100" w:line="236" w:lineRule="atLeast"/>
        <w:ind w:left="1134"/>
        <w:rPr>
          <w:lang w:val="fr-FR"/>
        </w:rPr>
      </w:pPr>
      <w:r>
        <w:t>Les Fidji rappellent que, m</w:t>
      </w:r>
      <w:r w:rsidRPr="00085E60">
        <w:t>algré l</w:t>
      </w:r>
      <w:r>
        <w:t>’</w:t>
      </w:r>
      <w:r w:rsidRPr="00085E60">
        <w:t>absence de Constitution et d</w:t>
      </w:r>
      <w:r>
        <w:t>’</w:t>
      </w:r>
      <w:r w:rsidRPr="00085E60">
        <w:t>un corps de règles codifiées définissant et garantissant des aspects spécifiques des droits de l</w:t>
      </w:r>
      <w:r>
        <w:t>’</w:t>
      </w:r>
      <w:r w:rsidRPr="00085E60">
        <w:t xml:space="preserve">homme et des libertés, la </w:t>
      </w:r>
      <w:r w:rsidRPr="00085E60">
        <w:rPr>
          <w:i/>
        </w:rPr>
        <w:t>common law</w:t>
      </w:r>
      <w:r w:rsidRPr="00085E60">
        <w:t xml:space="preserve">, les lois </w:t>
      </w:r>
      <w:r>
        <w:t xml:space="preserve">et décrets </w:t>
      </w:r>
      <w:r w:rsidRPr="00085E60">
        <w:t xml:space="preserve">en vigueur et </w:t>
      </w:r>
      <w:r>
        <w:t xml:space="preserve">les dispositions qui protègent </w:t>
      </w:r>
      <w:r w:rsidRPr="00085E60">
        <w:t xml:space="preserve">ces droits en vertu des instruments du droit international et du droit international humanitaire auxquels </w:t>
      </w:r>
      <w:r>
        <w:t xml:space="preserve">le pays est </w:t>
      </w:r>
      <w:r w:rsidRPr="00085E60">
        <w:t>partie, continuent d</w:t>
      </w:r>
      <w:r>
        <w:t>’être applicables et opposables.</w:t>
      </w:r>
    </w:p>
    <w:p w:rsidR="00B3072E" w:rsidRPr="00085E60" w:rsidRDefault="00B3072E" w:rsidP="00606158">
      <w:pPr>
        <w:pStyle w:val="ParNoG"/>
        <w:tabs>
          <w:tab w:val="clear" w:pos="1967"/>
          <w:tab w:val="num" w:pos="1701"/>
        </w:tabs>
        <w:spacing w:after="100" w:line="236" w:lineRule="atLeast"/>
        <w:ind w:left="1134"/>
        <w:rPr>
          <w:lang w:val="fr-FR"/>
        </w:rPr>
      </w:pPr>
      <w:r w:rsidRPr="00085E60">
        <w:t xml:space="preserve">Le Gouvernement a aussi adopté </w:t>
      </w:r>
      <w:r>
        <w:t xml:space="preserve">plusieurs lois ou décrets </w:t>
      </w:r>
      <w:r w:rsidRPr="00085E60">
        <w:t>pour assurer la continuité du respect des obligations contractées par les Fidji au titre de la Convention relative aux droits de l</w:t>
      </w:r>
      <w:r>
        <w:t>’</w:t>
      </w:r>
      <w:r w:rsidRPr="00085E60">
        <w:t>enfant, dont le décret de 2009 relatif aux crimes, qui vise entre autres:</w:t>
      </w:r>
    </w:p>
    <w:p w:rsidR="00B3072E" w:rsidRPr="00085E60" w:rsidRDefault="00B3072E" w:rsidP="00606158">
      <w:pPr>
        <w:pStyle w:val="Bullet1G"/>
        <w:spacing w:after="100" w:line="236" w:lineRule="atLeast"/>
      </w:pPr>
      <w:r w:rsidRPr="00085E60">
        <w:t xml:space="preserve">Les crimes contre </w:t>
      </w:r>
      <w:r w:rsidRPr="00054154">
        <w:t>l</w:t>
      </w:r>
      <w:r>
        <w:t>’</w:t>
      </w:r>
      <w:r w:rsidRPr="00054154">
        <w:t>humanité</w:t>
      </w:r>
      <w:r w:rsidRPr="00085E60">
        <w:t xml:space="preserve"> − les violences sexuelles;</w:t>
      </w:r>
    </w:p>
    <w:p w:rsidR="00B3072E" w:rsidRPr="00085E60" w:rsidRDefault="00B3072E" w:rsidP="00606158">
      <w:pPr>
        <w:pStyle w:val="Bullet1G"/>
        <w:spacing w:after="100" w:line="236" w:lineRule="atLeast"/>
      </w:pPr>
      <w:r w:rsidRPr="00085E60">
        <w:t xml:space="preserve">Les faits </w:t>
      </w:r>
      <w:r w:rsidRPr="00054154">
        <w:t>d</w:t>
      </w:r>
      <w:r>
        <w:t>’</w:t>
      </w:r>
      <w:r w:rsidRPr="00054154">
        <w:t>esclavage</w:t>
      </w:r>
      <w:r w:rsidRPr="00085E60">
        <w:t>;</w:t>
      </w:r>
    </w:p>
    <w:p w:rsidR="00B3072E" w:rsidRPr="00085E60" w:rsidRDefault="00B3072E" w:rsidP="00606158">
      <w:pPr>
        <w:pStyle w:val="Bullet1G"/>
        <w:spacing w:after="100" w:line="236" w:lineRule="atLeast"/>
      </w:pPr>
      <w:r w:rsidRPr="00085E60">
        <w:t>La traite d</w:t>
      </w:r>
      <w:r>
        <w:t>’</w:t>
      </w:r>
      <w:r w:rsidRPr="00085E60">
        <w:t>enfants;</w:t>
      </w:r>
    </w:p>
    <w:p w:rsidR="00B3072E" w:rsidRPr="00085E60" w:rsidRDefault="00B3072E" w:rsidP="00606158">
      <w:pPr>
        <w:pStyle w:val="Bullet1G"/>
        <w:spacing w:after="100" w:line="236" w:lineRule="atLeast"/>
      </w:pPr>
      <w:r w:rsidRPr="00085E60">
        <w:t>La vente ou l</w:t>
      </w:r>
      <w:r>
        <w:t>’</w:t>
      </w:r>
      <w:r w:rsidRPr="00085E60">
        <w:t>achat de mineurs à des fins immorales;</w:t>
      </w:r>
    </w:p>
    <w:p w:rsidR="00B3072E" w:rsidRDefault="00B3072E" w:rsidP="00606158">
      <w:pPr>
        <w:pStyle w:val="Bullet1G"/>
        <w:spacing w:after="100" w:line="236" w:lineRule="atLeast"/>
      </w:pPr>
      <w:r w:rsidRPr="00085E60">
        <w:t>La défloration</w:t>
      </w:r>
      <w:r>
        <w:t>, dans le cas d’une mineure de moins de 13 ans et dans le cas d’une mineure de 13 à 16 ans;</w:t>
      </w:r>
    </w:p>
    <w:p w:rsidR="00B3072E" w:rsidRPr="00085E60" w:rsidRDefault="00B3072E" w:rsidP="00606158">
      <w:pPr>
        <w:pStyle w:val="Bullet1G"/>
        <w:spacing w:after="100" w:line="236" w:lineRule="atLeast"/>
      </w:pPr>
      <w:r w:rsidRPr="00085E60">
        <w:t>L</w:t>
      </w:r>
      <w:r>
        <w:t>’</w:t>
      </w:r>
      <w:r w:rsidRPr="00085E60">
        <w:t>agression accompagnée de tentative de viol;</w:t>
      </w:r>
    </w:p>
    <w:p w:rsidR="00B3072E" w:rsidRPr="005331C9" w:rsidRDefault="00B3072E" w:rsidP="00606158">
      <w:pPr>
        <w:pStyle w:val="Bullet1G"/>
        <w:spacing w:after="100" w:line="236" w:lineRule="atLeast"/>
      </w:pPr>
      <w:r w:rsidRPr="00085E60">
        <w:t>L</w:t>
      </w:r>
      <w:r>
        <w:t>’inceste, quel que soit le degré de parenté.</w:t>
      </w:r>
    </w:p>
    <w:p w:rsidR="00B3072E" w:rsidRPr="004422DA" w:rsidRDefault="00B3072E" w:rsidP="00606158">
      <w:pPr>
        <w:pStyle w:val="SingleTxtG"/>
        <w:spacing w:after="100" w:line="236" w:lineRule="atLeast"/>
        <w:rPr>
          <w:lang w:val="fr-FR"/>
        </w:rPr>
      </w:pPr>
      <w:r w:rsidRPr="00085E60">
        <w:t xml:space="preserve">Tous ces crimes peuvent être </w:t>
      </w:r>
      <w:r>
        <w:t xml:space="preserve">réputés assortis de </w:t>
      </w:r>
      <w:r w:rsidRPr="00085E60">
        <w:t xml:space="preserve">«circonstances aggravantes» si la </w:t>
      </w:r>
      <w:r>
        <w:t>victime est âgée de moins de 18 </w:t>
      </w:r>
      <w:r w:rsidRPr="00085E60">
        <w:t>ans</w:t>
      </w:r>
      <w:r w:rsidRPr="00DB72C0">
        <w:t>.</w:t>
      </w:r>
      <w:r w:rsidRPr="00085E60">
        <w:t xml:space="preserve"> </w:t>
      </w:r>
    </w:p>
    <w:p w:rsidR="00B3072E" w:rsidRPr="00085E60" w:rsidRDefault="00B3072E" w:rsidP="00606158">
      <w:pPr>
        <w:pStyle w:val="ParNoG"/>
        <w:tabs>
          <w:tab w:val="clear" w:pos="1967"/>
          <w:tab w:val="num" w:pos="1701"/>
        </w:tabs>
        <w:spacing w:after="100" w:line="236" w:lineRule="atLeast"/>
        <w:ind w:left="1134"/>
        <w:rPr>
          <w:lang w:val="fr-FR"/>
        </w:rPr>
      </w:pPr>
      <w:r w:rsidRPr="00085E60">
        <w:t>La Commission des droits de l</w:t>
      </w:r>
      <w:r>
        <w:t>’</w:t>
      </w:r>
      <w:r w:rsidRPr="00085E60">
        <w:t xml:space="preserve">homme des Fidji est une personne morale créée en vertu du décret </w:t>
      </w:r>
      <w:r w:rsidRPr="00451070">
        <w:rPr>
          <w:rFonts w:eastAsia="MS Mincho"/>
        </w:rPr>
        <w:t>n</w:t>
      </w:r>
      <w:r w:rsidRPr="00451070">
        <w:rPr>
          <w:rFonts w:eastAsia="MS Mincho"/>
          <w:vertAlign w:val="superscript"/>
        </w:rPr>
        <w:t>o</w:t>
      </w:r>
      <w:r>
        <w:rPr>
          <w:rFonts w:eastAsia="MS Mincho"/>
        </w:rPr>
        <w:t> </w:t>
      </w:r>
      <w:r w:rsidRPr="00451070">
        <w:t>11</w:t>
      </w:r>
      <w:r w:rsidRPr="00085E60">
        <w:t xml:space="preserve"> de 2009 (qui a abrogé la loi relative aux droits de l</w:t>
      </w:r>
      <w:r>
        <w:t>’</w:t>
      </w:r>
      <w:r w:rsidRPr="00085E60">
        <w:t xml:space="preserve">homme de 1999). </w:t>
      </w:r>
      <w:r>
        <w:t xml:space="preserve">Elle </w:t>
      </w:r>
      <w:r w:rsidRPr="00085E60">
        <w:t>doit jouer un rôle de premier plan dans la protection et la promotion des droits de l</w:t>
      </w:r>
      <w:r>
        <w:t>’</w:t>
      </w:r>
      <w:r w:rsidRPr="00085E60">
        <w:t>homme</w:t>
      </w:r>
      <w:r>
        <w:t>, aux</w:t>
      </w:r>
      <w:r w:rsidRPr="00085E60">
        <w:t xml:space="preserve"> </w:t>
      </w:r>
      <w:r>
        <w:t xml:space="preserve">fins </w:t>
      </w:r>
      <w:r w:rsidRPr="00085E60">
        <w:t>de renforcer la culture des droits de l</w:t>
      </w:r>
      <w:r>
        <w:t>’</w:t>
      </w:r>
      <w:r w:rsidRPr="00085E60">
        <w:t>homme aux Fidji. Elle a aussi pour mission d</w:t>
      </w:r>
      <w:r>
        <w:t>’</w:t>
      </w:r>
      <w:r w:rsidRPr="00085E60">
        <w:t>éduquer le public en matière de droits de l</w:t>
      </w:r>
      <w:r>
        <w:t>’</w:t>
      </w:r>
      <w:r w:rsidRPr="00085E60">
        <w:t>homme, de formuler des recommandations à l</w:t>
      </w:r>
      <w:r>
        <w:t>’</w:t>
      </w:r>
      <w:r w:rsidRPr="00085E60">
        <w:t xml:space="preserve">intention du Gouvernement sur les questions intéressant </w:t>
      </w:r>
      <w:r>
        <w:t>ces droits</w:t>
      </w:r>
      <w:r w:rsidRPr="00085E60">
        <w:t>, d</w:t>
      </w:r>
      <w:r>
        <w:t>’</w:t>
      </w:r>
      <w:r w:rsidRPr="00085E60">
        <w:t>enquêter sur les plaintes et de remplir</w:t>
      </w:r>
      <w:r w:rsidRPr="00DF38EB">
        <w:t>, le cas échéant,</w:t>
      </w:r>
      <w:r w:rsidRPr="00085E60">
        <w:t xml:space="preserve"> toute autre fonction que le Président lui confie par décret. Le décret </w:t>
      </w:r>
      <w:r>
        <w:t xml:space="preserve">portant création de la Commission </w:t>
      </w:r>
      <w:r w:rsidRPr="00085E60">
        <w:t>définit les droits de l</w:t>
      </w:r>
      <w:r>
        <w:t>’</w:t>
      </w:r>
      <w:r w:rsidRPr="00085E60">
        <w:t xml:space="preserve">homme comme </w:t>
      </w:r>
      <w:r>
        <w:t xml:space="preserve">étant </w:t>
      </w:r>
      <w:r w:rsidRPr="00085E60">
        <w:t>ceux consacrés dans les pactes et conventions des Nations</w:t>
      </w:r>
      <w:r w:rsidR="008238E0">
        <w:t> </w:t>
      </w:r>
      <w:r w:rsidRPr="00085E60">
        <w:t>Unies ratifiés par les Fidji et les droits et libertés que le Président peut établir par décret</w:t>
      </w:r>
      <w:r>
        <w:rPr>
          <w:rStyle w:val="FootnoteReference"/>
        </w:rPr>
        <w:footnoteReference w:id="13"/>
      </w:r>
      <w:r w:rsidRPr="00085E60">
        <w:t>. Par</w:t>
      </w:r>
      <w:r>
        <w:t>mi</w:t>
      </w:r>
      <w:r w:rsidRPr="00085E60">
        <w:t xml:space="preserve"> </w:t>
      </w:r>
      <w:r>
        <w:t xml:space="preserve">les instruments </w:t>
      </w:r>
      <w:r w:rsidRPr="00085E60">
        <w:t>des Nations Unies</w:t>
      </w:r>
      <w:r>
        <w:t xml:space="preserve"> ainsi visés figurent </w:t>
      </w:r>
      <w:r w:rsidRPr="00085E60">
        <w:t>notamment la Déclaration universelle des droits de l</w:t>
      </w:r>
      <w:r>
        <w:t>’</w:t>
      </w:r>
      <w:r w:rsidRPr="00085E60">
        <w:t>homme de 1948 et la Convention relative aux droits de l</w:t>
      </w:r>
      <w:r>
        <w:t>’</w:t>
      </w:r>
      <w:r w:rsidRPr="00085E60">
        <w:t>enfant, ratifiée e</w:t>
      </w:r>
      <w:r w:rsidR="00606158">
        <w:t>n </w:t>
      </w:r>
      <w:r w:rsidRPr="00085E60">
        <w:t>1993.</w:t>
      </w:r>
    </w:p>
    <w:p w:rsidR="00B3072E" w:rsidRDefault="00B3072E" w:rsidP="00606158">
      <w:pPr>
        <w:pStyle w:val="ParNoG"/>
        <w:tabs>
          <w:tab w:val="clear" w:pos="1967"/>
          <w:tab w:val="num" w:pos="1701"/>
        </w:tabs>
        <w:spacing w:after="100" w:line="236" w:lineRule="atLeast"/>
        <w:ind w:left="1134"/>
      </w:pPr>
      <w:r w:rsidRPr="00893263">
        <w:t xml:space="preserve">Pour </w:t>
      </w:r>
      <w:r>
        <w:t xml:space="preserve">de plus amples </w:t>
      </w:r>
      <w:r w:rsidRPr="00893263">
        <w:t>informations</w:t>
      </w:r>
      <w:r>
        <w:t>,</w:t>
      </w:r>
      <w:r w:rsidRPr="00893263">
        <w:t xml:space="preserve"> </w:t>
      </w:r>
      <w:r>
        <w:t xml:space="preserve">il convient de lire </w:t>
      </w:r>
      <w:r w:rsidRPr="00893263">
        <w:t xml:space="preserve">cette mise à jour </w:t>
      </w:r>
      <w:r>
        <w:t>conjointement au</w:t>
      </w:r>
      <w:r w:rsidRPr="00893263">
        <w:t xml:space="preserve"> Document de base de</w:t>
      </w:r>
      <w:r>
        <w:t>s</w:t>
      </w:r>
      <w:r w:rsidRPr="00893263">
        <w:t xml:space="preserve"> Fidji faisant partie des rapports des États parties (HRI/CORE/FJI/2006 et Add.1) et </w:t>
      </w:r>
      <w:r>
        <w:t>au</w:t>
      </w:r>
      <w:r w:rsidRPr="00893263">
        <w:t xml:space="preserve"> rapport national soumis </w:t>
      </w:r>
      <w:r>
        <w:t>par les Fidji au titre de l’E</w:t>
      </w:r>
      <w:r w:rsidRPr="00893263">
        <w:t xml:space="preserve">xamen périodique universel à la septième session </w:t>
      </w:r>
      <w:r>
        <w:t xml:space="preserve">du </w:t>
      </w:r>
      <w:r w:rsidRPr="00893263">
        <w:t>Conseil des droits</w:t>
      </w:r>
      <w:r>
        <w:t xml:space="preserve"> </w:t>
      </w:r>
      <w:r w:rsidRPr="00893263">
        <w:t>de l</w:t>
      </w:r>
      <w:r>
        <w:t>’</w:t>
      </w:r>
      <w:r w:rsidRPr="00893263">
        <w:t xml:space="preserve">homme, </w:t>
      </w:r>
      <w:r>
        <w:t>qui s’est tenue du 8 au 19 f</w:t>
      </w:r>
      <w:r w:rsidRPr="00893263">
        <w:t>évrier 2010 (A/HRC/WG.6/7/FJI/1).</w:t>
      </w:r>
    </w:p>
    <w:p w:rsidR="00B3072E" w:rsidRPr="00017D87" w:rsidRDefault="00B3072E" w:rsidP="00606158">
      <w:pPr>
        <w:pStyle w:val="SingleTxtG"/>
        <w:spacing w:before="120" w:after="0" w:line="240" w:lineRule="auto"/>
        <w:jc w:val="center"/>
        <w:rPr>
          <w:u w:val="single"/>
        </w:rPr>
      </w:pPr>
      <w:r>
        <w:rPr>
          <w:u w:val="single"/>
        </w:rPr>
        <w:tab/>
      </w:r>
      <w:r>
        <w:rPr>
          <w:u w:val="single"/>
        </w:rPr>
        <w:tab/>
      </w:r>
      <w:r>
        <w:rPr>
          <w:u w:val="single"/>
        </w:rPr>
        <w:tab/>
      </w:r>
    </w:p>
    <w:sectPr w:rsidR="00B3072E" w:rsidRPr="00017D87" w:rsidSect="00A80DEF">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2AB" w:rsidRDefault="000252AB"/>
  </w:endnote>
  <w:endnote w:type="continuationSeparator" w:id="0">
    <w:p w:rsidR="000252AB" w:rsidRDefault="000252AB"/>
  </w:endnote>
  <w:endnote w:type="continuationNotice" w:id="1">
    <w:p w:rsidR="000252AB" w:rsidRPr="00B6019A" w:rsidRDefault="000252AB" w:rsidP="00B6019A">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2AB" w:rsidRPr="00A80DEF" w:rsidRDefault="000252AB" w:rsidP="00A80DEF">
    <w:pPr>
      <w:pStyle w:val="Footer"/>
      <w:tabs>
        <w:tab w:val="right" w:pos="9638"/>
      </w:tabs>
    </w:pPr>
    <w:r w:rsidRPr="00A80DEF">
      <w:rPr>
        <w:b/>
        <w:sz w:val="18"/>
      </w:rPr>
      <w:fldChar w:fldCharType="begin"/>
    </w:r>
    <w:r w:rsidRPr="00A80DEF">
      <w:rPr>
        <w:b/>
        <w:sz w:val="18"/>
      </w:rPr>
      <w:instrText xml:space="preserve"> PAGE  \* MERGEFORMAT </w:instrText>
    </w:r>
    <w:r w:rsidRPr="00A80DEF">
      <w:rPr>
        <w:b/>
        <w:sz w:val="18"/>
      </w:rPr>
      <w:fldChar w:fldCharType="separate"/>
    </w:r>
    <w:r>
      <w:rPr>
        <w:b/>
        <w:noProof/>
        <w:sz w:val="18"/>
      </w:rPr>
      <w:t>4</w:t>
    </w:r>
    <w:r w:rsidRPr="00A80DEF">
      <w:rPr>
        <w:b/>
        <w:sz w:val="18"/>
      </w:rPr>
      <w:fldChar w:fldCharType="end"/>
    </w:r>
    <w:r>
      <w:rPr>
        <w:b/>
        <w:sz w:val="18"/>
      </w:rPr>
      <w:tab/>
    </w:r>
    <w:r>
      <w:t>GE.13-47646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2AB" w:rsidRPr="00A80DEF" w:rsidRDefault="000252AB" w:rsidP="00A80DEF">
    <w:pPr>
      <w:pStyle w:val="Footer"/>
      <w:tabs>
        <w:tab w:val="right" w:pos="9638"/>
      </w:tabs>
      <w:rPr>
        <w:b/>
        <w:sz w:val="18"/>
      </w:rPr>
    </w:pPr>
    <w:r>
      <w:t>GE.13-47646</w:t>
    </w:r>
    <w:r>
      <w:tab/>
    </w:r>
    <w:r w:rsidRPr="00A80DEF">
      <w:rPr>
        <w:b/>
        <w:sz w:val="18"/>
      </w:rPr>
      <w:fldChar w:fldCharType="begin"/>
    </w:r>
    <w:r w:rsidRPr="00A80DEF">
      <w:rPr>
        <w:b/>
        <w:sz w:val="18"/>
      </w:rPr>
      <w:instrText xml:space="preserve"> PAGE  \* MERGEFORMAT </w:instrText>
    </w:r>
    <w:r w:rsidRPr="00A80DEF">
      <w:rPr>
        <w:b/>
        <w:sz w:val="18"/>
      </w:rPr>
      <w:fldChar w:fldCharType="separate"/>
    </w:r>
    <w:r>
      <w:rPr>
        <w:b/>
        <w:noProof/>
        <w:sz w:val="18"/>
      </w:rPr>
      <w:t>5</w:t>
    </w:r>
    <w:r w:rsidRPr="00A80DE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2AB" w:rsidRPr="00A80DEF" w:rsidRDefault="000252AB">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13-47646  (F)    081113    081113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2AB" w:rsidRPr="00D27D5E" w:rsidRDefault="000252AB" w:rsidP="00D27D5E">
      <w:pPr>
        <w:tabs>
          <w:tab w:val="right" w:pos="2155"/>
        </w:tabs>
        <w:spacing w:after="80"/>
        <w:ind w:left="680"/>
        <w:rPr>
          <w:u w:val="single"/>
        </w:rPr>
      </w:pPr>
      <w:r>
        <w:rPr>
          <w:u w:val="single"/>
        </w:rPr>
        <w:tab/>
      </w:r>
    </w:p>
  </w:footnote>
  <w:footnote w:type="continuationSeparator" w:id="0">
    <w:p w:rsidR="000252AB" w:rsidRPr="000A39A0" w:rsidRDefault="000252AB" w:rsidP="000A39A0">
      <w:pPr>
        <w:tabs>
          <w:tab w:val="right" w:pos="2155"/>
        </w:tabs>
        <w:spacing w:after="80"/>
        <w:ind w:left="680"/>
        <w:rPr>
          <w:u w:val="single"/>
        </w:rPr>
      </w:pPr>
      <w:r w:rsidRPr="000A39A0">
        <w:rPr>
          <w:u w:val="single"/>
        </w:rPr>
        <w:tab/>
      </w:r>
    </w:p>
  </w:footnote>
  <w:footnote w:type="continuationNotice" w:id="1">
    <w:p w:rsidR="000252AB" w:rsidRPr="00B6019A" w:rsidRDefault="000252AB" w:rsidP="00B6019A">
      <w:pPr>
        <w:spacing w:line="240" w:lineRule="auto"/>
        <w:rPr>
          <w:sz w:val="2"/>
          <w:szCs w:val="2"/>
        </w:rPr>
      </w:pPr>
    </w:p>
  </w:footnote>
  <w:footnote w:id="2">
    <w:p w:rsidR="000252AB" w:rsidRPr="00A80DEF" w:rsidRDefault="000252AB">
      <w:pPr>
        <w:pStyle w:val="FootnoteText"/>
      </w:pPr>
      <w:r>
        <w:tab/>
      </w:r>
      <w:r w:rsidRPr="00A80DEF">
        <w:rPr>
          <w:rStyle w:val="FootnoteReference"/>
          <w:sz w:val="20"/>
          <w:vertAlign w:val="baseline"/>
        </w:rPr>
        <w:t>*</w:t>
      </w:r>
      <w:r>
        <w:rPr>
          <w:sz w:val="20"/>
        </w:rPr>
        <w:tab/>
      </w:r>
      <w:r w:rsidRPr="00085E60">
        <w:t>Conformément aux informations communiquées aux États parties concernant le traitement de</w:t>
      </w:r>
      <w:r>
        <w:t> </w:t>
      </w:r>
      <w:r w:rsidRPr="00085E60">
        <w:t>leurs</w:t>
      </w:r>
      <w:r>
        <w:t> </w:t>
      </w:r>
      <w:r w:rsidRPr="00085E60">
        <w:t>rapports, le présent document n’a pas été revu par les services d’édition</w:t>
      </w:r>
      <w:r w:rsidRPr="00085E60">
        <w:rPr>
          <w:lang w:val="en-US" w:eastAsia="en-GB"/>
        </w:rPr>
        <w:t>.</w:t>
      </w:r>
      <w:r w:rsidRPr="00085E60">
        <w:rPr>
          <w:lang w:val="fr-FR" w:eastAsia="en-GB"/>
        </w:rPr>
        <w:t xml:space="preserve"> </w:t>
      </w:r>
    </w:p>
  </w:footnote>
  <w:footnote w:id="3">
    <w:p w:rsidR="000252AB" w:rsidRPr="00C720D8" w:rsidRDefault="000252AB" w:rsidP="00A80DEF">
      <w:pPr>
        <w:pStyle w:val="FootnoteText"/>
        <w:rPr>
          <w:lang w:val="fr-FR"/>
        </w:rPr>
      </w:pPr>
      <w:r w:rsidRPr="00C720D8">
        <w:rPr>
          <w:lang w:val="fr-FR"/>
        </w:rPr>
        <w:tab/>
      </w:r>
      <w:r w:rsidRPr="00C720D8">
        <w:rPr>
          <w:rStyle w:val="FootnoteReference"/>
          <w:lang w:val="fr-FR"/>
        </w:rPr>
        <w:footnoteRef/>
      </w:r>
      <w:r w:rsidRPr="00C720D8">
        <w:rPr>
          <w:lang w:val="fr-FR"/>
        </w:rPr>
        <w:tab/>
      </w:r>
      <w:r w:rsidRPr="00A80DEF">
        <w:rPr>
          <w:i/>
          <w:lang w:val="fr-FR"/>
        </w:rPr>
        <w:t>Source</w:t>
      </w:r>
      <w:r w:rsidRPr="00C720D8">
        <w:rPr>
          <w:lang w:val="fr-FR"/>
        </w:rPr>
        <w:t xml:space="preserve">: </w:t>
      </w:r>
      <w:r>
        <w:rPr>
          <w:lang w:val="fr-FR"/>
        </w:rPr>
        <w:t>«</w:t>
      </w:r>
      <w:r w:rsidRPr="001708D3">
        <w:rPr>
          <w:lang w:val="fr-FR"/>
        </w:rPr>
        <w:t>Fiji Facts and figures as at 1</w:t>
      </w:r>
      <w:r w:rsidRPr="001708D3">
        <w:rPr>
          <w:vertAlign w:val="superscript"/>
          <w:lang w:val="fr-FR"/>
        </w:rPr>
        <w:t>st</w:t>
      </w:r>
      <w:r w:rsidRPr="001708D3">
        <w:rPr>
          <w:lang w:val="fr-FR"/>
        </w:rPr>
        <w:t xml:space="preserve"> July 2010</w:t>
      </w:r>
      <w:r>
        <w:rPr>
          <w:lang w:val="fr-FR"/>
        </w:rPr>
        <w:t>»</w:t>
      </w:r>
      <w:r w:rsidRPr="00C720D8">
        <w:rPr>
          <w:lang w:val="fr-FR"/>
        </w:rPr>
        <w:t>, compilation du Bureau de statistique des Fidji.</w:t>
      </w:r>
    </w:p>
  </w:footnote>
  <w:footnote w:id="4">
    <w:p w:rsidR="000252AB" w:rsidRPr="00C720D8" w:rsidRDefault="000252AB" w:rsidP="00A80DEF">
      <w:pPr>
        <w:pStyle w:val="FootnoteText"/>
        <w:rPr>
          <w:lang w:val="fr-FR"/>
        </w:rPr>
      </w:pPr>
      <w:r w:rsidRPr="00C720D8">
        <w:rPr>
          <w:lang w:val="fr-FR"/>
        </w:rPr>
        <w:tab/>
      </w:r>
      <w:r w:rsidRPr="00C720D8">
        <w:rPr>
          <w:rStyle w:val="FootnoteReference"/>
          <w:lang w:val="fr-FR"/>
        </w:rPr>
        <w:footnoteRef/>
      </w:r>
      <w:r w:rsidRPr="00C720D8">
        <w:rPr>
          <w:lang w:val="fr-FR"/>
        </w:rPr>
        <w:tab/>
        <w:t>Elles proviennent du site Web du Conseil d’administration des terres autochtones (consultation du 13</w:t>
      </w:r>
      <w:r>
        <w:rPr>
          <w:lang w:val="fr-FR"/>
        </w:rPr>
        <w:t> janvier 2011</w:t>
      </w:r>
      <w:r w:rsidRPr="00C720D8">
        <w:rPr>
          <w:lang w:val="fr-FR"/>
        </w:rPr>
        <w:t>).</w:t>
      </w:r>
    </w:p>
  </w:footnote>
  <w:footnote w:id="5">
    <w:p w:rsidR="000252AB" w:rsidRDefault="000252AB" w:rsidP="00B3072E">
      <w:pPr>
        <w:pStyle w:val="FootnoteText"/>
      </w:pPr>
      <w:r>
        <w:tab/>
      </w:r>
      <w:r>
        <w:rPr>
          <w:rStyle w:val="FootnoteReference"/>
        </w:rPr>
        <w:footnoteRef/>
      </w:r>
      <w:r>
        <w:tab/>
      </w:r>
      <w:r>
        <w:rPr>
          <w:lang w:val="fr-FR"/>
        </w:rPr>
        <w:t xml:space="preserve">«Renforcer les bases de la croissance économique et de la prospérité», présentation du budget </w:t>
      </w:r>
      <w:r w:rsidRPr="00C720D8">
        <w:rPr>
          <w:lang w:val="fr-FR"/>
        </w:rPr>
        <w:t xml:space="preserve">2010 </w:t>
      </w:r>
      <w:r>
        <w:rPr>
          <w:lang w:val="fr-FR"/>
        </w:rPr>
        <w:t>par</w:t>
      </w:r>
      <w:r w:rsidRPr="00C720D8">
        <w:rPr>
          <w:lang w:val="fr-FR"/>
        </w:rPr>
        <w:t xml:space="preserve"> Commodore Josaia Voreqe Bainimarama </w:t>
      </w:r>
      <w:r>
        <w:rPr>
          <w:lang w:val="fr-FR"/>
        </w:rPr>
        <w:t>au Novotel Lami, le</w:t>
      </w:r>
      <w:r w:rsidRPr="00C720D8">
        <w:rPr>
          <w:lang w:val="fr-FR"/>
        </w:rPr>
        <w:t xml:space="preserve"> 27</w:t>
      </w:r>
      <w:r>
        <w:rPr>
          <w:lang w:val="fr-FR"/>
        </w:rPr>
        <w:t> </w:t>
      </w:r>
      <w:r w:rsidRPr="00C720D8">
        <w:rPr>
          <w:lang w:val="fr-FR"/>
        </w:rPr>
        <w:t>novembre 2009.</w:t>
      </w:r>
    </w:p>
  </w:footnote>
  <w:footnote w:id="6">
    <w:p w:rsidR="000252AB" w:rsidRDefault="000252AB" w:rsidP="00B3072E">
      <w:pPr>
        <w:pStyle w:val="FootnoteText"/>
      </w:pPr>
      <w:r>
        <w:tab/>
      </w:r>
      <w:r>
        <w:rPr>
          <w:rStyle w:val="FootnoteReference"/>
        </w:rPr>
        <w:footnoteRef/>
      </w:r>
      <w:r>
        <w:tab/>
      </w:r>
      <w:r w:rsidRPr="00937A29">
        <w:rPr>
          <w:i/>
          <w:lang w:val="en-US"/>
        </w:rPr>
        <w:t>Source</w:t>
      </w:r>
      <w:r>
        <w:rPr>
          <w:lang w:val="en-US"/>
        </w:rPr>
        <w:t xml:space="preserve">: Site Web du </w:t>
      </w:r>
      <w:r w:rsidRPr="00AF5E7C">
        <w:t>Conseil d</w:t>
      </w:r>
      <w:r>
        <w:t>’</w:t>
      </w:r>
      <w:r w:rsidRPr="00AF5E7C">
        <w:t>administration</w:t>
      </w:r>
      <w:r>
        <w:t xml:space="preserve"> des terres autochtones</w:t>
      </w:r>
      <w:r w:rsidRPr="002C2A7D">
        <w:rPr>
          <w:lang w:val="en-US"/>
        </w:rPr>
        <w:t xml:space="preserve"> </w:t>
      </w:r>
      <w:r>
        <w:rPr>
          <w:lang w:val="en-US"/>
        </w:rPr>
        <w:t>(consultation</w:t>
      </w:r>
      <w:r>
        <w:rPr>
          <w:lang w:val="en-US"/>
        </w:rPr>
        <w:br/>
        <w:t xml:space="preserve">du </w:t>
      </w:r>
      <w:r w:rsidRPr="00937A29">
        <w:rPr>
          <w:lang w:val="fr-FR"/>
        </w:rPr>
        <w:t>13 janvier 2011</w:t>
      </w:r>
      <w:r>
        <w:rPr>
          <w:lang w:val="en-US"/>
        </w:rPr>
        <w:t>).</w:t>
      </w:r>
    </w:p>
  </w:footnote>
  <w:footnote w:id="7">
    <w:p w:rsidR="000252AB" w:rsidRDefault="000252AB" w:rsidP="00B3072E">
      <w:pPr>
        <w:pStyle w:val="FootnoteText"/>
      </w:pPr>
      <w:r>
        <w:tab/>
      </w:r>
      <w:r>
        <w:rPr>
          <w:rStyle w:val="FootnoteReference"/>
        </w:rPr>
        <w:footnoteRef/>
      </w:r>
      <w:r>
        <w:tab/>
      </w:r>
      <w:r w:rsidRPr="002C2A7D">
        <w:rPr>
          <w:lang w:val="en-US"/>
        </w:rPr>
        <w:t>Ibid.</w:t>
      </w:r>
    </w:p>
  </w:footnote>
  <w:footnote w:id="8">
    <w:p w:rsidR="000252AB" w:rsidRDefault="000252AB" w:rsidP="00B3072E">
      <w:pPr>
        <w:pStyle w:val="FootnoteText"/>
      </w:pPr>
      <w:r>
        <w:tab/>
      </w:r>
      <w:r>
        <w:rPr>
          <w:rStyle w:val="FootnoteReference"/>
        </w:rPr>
        <w:footnoteRef/>
      </w:r>
      <w:r>
        <w:tab/>
      </w:r>
      <w:r w:rsidRPr="002C2A7D">
        <w:rPr>
          <w:lang w:val="en-US"/>
        </w:rPr>
        <w:t>Ibid.</w:t>
      </w:r>
    </w:p>
  </w:footnote>
  <w:footnote w:id="9">
    <w:p w:rsidR="000252AB" w:rsidRDefault="000252AB" w:rsidP="00B3072E">
      <w:pPr>
        <w:pStyle w:val="FootnoteText"/>
      </w:pPr>
      <w:r>
        <w:tab/>
      </w:r>
      <w:r>
        <w:rPr>
          <w:rStyle w:val="FootnoteReference"/>
        </w:rPr>
        <w:footnoteRef/>
      </w:r>
      <w:r>
        <w:tab/>
      </w:r>
      <w:r w:rsidRPr="002C2A7D">
        <w:rPr>
          <w:lang w:val="en-US"/>
        </w:rPr>
        <w:t>Ibid.</w:t>
      </w:r>
    </w:p>
  </w:footnote>
  <w:footnote w:id="10">
    <w:p w:rsidR="000252AB" w:rsidRDefault="000252AB" w:rsidP="00B3072E">
      <w:pPr>
        <w:pStyle w:val="FootnoteText"/>
      </w:pPr>
      <w:r>
        <w:tab/>
      </w:r>
      <w:r>
        <w:rPr>
          <w:rStyle w:val="FootnoteReference"/>
        </w:rPr>
        <w:footnoteRef/>
      </w:r>
      <w:r>
        <w:tab/>
      </w:r>
      <w:r w:rsidRPr="002C2A7D">
        <w:rPr>
          <w:lang w:val="en-US"/>
        </w:rPr>
        <w:t>Ibid.</w:t>
      </w:r>
    </w:p>
  </w:footnote>
  <w:footnote w:id="11">
    <w:p w:rsidR="000252AB" w:rsidRDefault="000252AB" w:rsidP="00B3072E">
      <w:pPr>
        <w:pStyle w:val="FootnoteText"/>
      </w:pPr>
      <w:r>
        <w:tab/>
      </w:r>
      <w:r>
        <w:rPr>
          <w:rStyle w:val="FootnoteReference"/>
        </w:rPr>
        <w:footnoteRef/>
      </w:r>
      <w:r>
        <w:tab/>
      </w:r>
      <w:r w:rsidRPr="002C2A7D">
        <w:rPr>
          <w:lang w:val="en-US"/>
        </w:rPr>
        <w:t>Ibid.</w:t>
      </w:r>
    </w:p>
  </w:footnote>
  <w:footnote w:id="12">
    <w:p w:rsidR="000252AB" w:rsidRDefault="000252AB" w:rsidP="00B3072E">
      <w:pPr>
        <w:pStyle w:val="FootnoteText"/>
      </w:pPr>
      <w:r>
        <w:tab/>
      </w:r>
      <w:r>
        <w:rPr>
          <w:rStyle w:val="FootnoteReference"/>
        </w:rPr>
        <w:footnoteRef/>
      </w:r>
      <w:r>
        <w:tab/>
        <w:t>Présentation du budget 2010, supplément, p. 25.</w:t>
      </w:r>
    </w:p>
  </w:footnote>
  <w:footnote w:id="13">
    <w:p w:rsidR="000252AB" w:rsidRDefault="000252AB" w:rsidP="00B3072E">
      <w:pPr>
        <w:pStyle w:val="FootnoteText"/>
      </w:pPr>
      <w:r>
        <w:tab/>
      </w:r>
      <w:r>
        <w:rPr>
          <w:rStyle w:val="FootnoteReference"/>
        </w:rPr>
        <w:footnoteRef/>
      </w:r>
      <w:r>
        <w:tab/>
        <w:t>Site Web de la Commission des droits de l’homme des Fidji.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2AB" w:rsidRPr="00A80DEF" w:rsidRDefault="000252AB">
    <w:pPr>
      <w:pStyle w:val="Header"/>
    </w:pPr>
    <w:r>
      <w:t>HRI/CORE/FJI/2006/Add.2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2AB" w:rsidRPr="00A80DEF" w:rsidRDefault="000252AB" w:rsidP="00A80DEF">
    <w:pPr>
      <w:pStyle w:val="Header"/>
      <w:jc w:val="right"/>
    </w:pPr>
    <w:r>
      <w:t>HRI/CORE/FJI/2006/Add.2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1E62D530"/>
    <w:lvl w:ilvl="0" w:tplc="477A97FA">
      <w:start w:val="1"/>
      <w:numFmt w:val="decimal"/>
      <w:pStyle w:val="ParNoG"/>
      <w:lvlText w:val="%1."/>
      <w:lvlJc w:val="left"/>
      <w:pPr>
        <w:tabs>
          <w:tab w:val="num" w:pos="1967"/>
        </w:tabs>
        <w:ind w:left="1400"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D763989"/>
    <w:multiLevelType w:val="hybridMultilevel"/>
    <w:tmpl w:val="C2F6EF88"/>
    <w:lvl w:ilvl="0" w:tplc="F6CA3A72">
      <w:start w:val="1"/>
      <w:numFmt w:val="decimal"/>
      <w:lvlText w:val="%1."/>
      <w:lvlJc w:val="left"/>
      <w:pPr>
        <w:tabs>
          <w:tab w:val="num" w:pos="1134"/>
        </w:tabs>
        <w:ind w:left="1134" w:firstLine="0"/>
      </w:pPr>
      <w:rPr>
        <w:rStyle w:val="EndnoteReference"/>
      </w:rPr>
    </w:lvl>
    <w:lvl w:ilvl="1" w:tplc="04090019">
      <w:start w:val="1"/>
      <w:numFmt w:val="lowerLetter"/>
      <w:lvlText w:val="%2."/>
      <w:lvlJc w:val="left"/>
      <w:pPr>
        <w:tabs>
          <w:tab w:val="num" w:pos="306"/>
        </w:tabs>
        <w:ind w:left="306" w:hanging="360"/>
      </w:pPr>
    </w:lvl>
    <w:lvl w:ilvl="2" w:tplc="0409001B">
      <w:start w:val="1"/>
      <w:numFmt w:val="lowerRoman"/>
      <w:lvlText w:val="%3."/>
      <w:lvlJc w:val="right"/>
      <w:pPr>
        <w:tabs>
          <w:tab w:val="num" w:pos="1026"/>
        </w:tabs>
        <w:ind w:left="1026" w:hanging="180"/>
      </w:pPr>
    </w:lvl>
    <w:lvl w:ilvl="3" w:tplc="0409000F" w:tentative="1">
      <w:start w:val="1"/>
      <w:numFmt w:val="decimal"/>
      <w:lvlText w:val="%4."/>
      <w:lvlJc w:val="left"/>
      <w:pPr>
        <w:tabs>
          <w:tab w:val="num" w:pos="1746"/>
        </w:tabs>
        <w:ind w:left="1746" w:hanging="360"/>
      </w:pPr>
    </w:lvl>
    <w:lvl w:ilvl="4" w:tplc="04090019" w:tentative="1">
      <w:start w:val="1"/>
      <w:numFmt w:val="lowerLetter"/>
      <w:lvlText w:val="%5."/>
      <w:lvlJc w:val="left"/>
      <w:pPr>
        <w:tabs>
          <w:tab w:val="num" w:pos="2466"/>
        </w:tabs>
        <w:ind w:left="2466" w:hanging="360"/>
      </w:pPr>
    </w:lvl>
    <w:lvl w:ilvl="5" w:tplc="0409001B" w:tentative="1">
      <w:start w:val="1"/>
      <w:numFmt w:val="lowerRoman"/>
      <w:lvlText w:val="%6."/>
      <w:lvlJc w:val="right"/>
      <w:pPr>
        <w:tabs>
          <w:tab w:val="num" w:pos="3186"/>
        </w:tabs>
        <w:ind w:left="3186" w:hanging="180"/>
      </w:pPr>
    </w:lvl>
    <w:lvl w:ilvl="6" w:tplc="0409000F" w:tentative="1">
      <w:start w:val="1"/>
      <w:numFmt w:val="decimal"/>
      <w:lvlText w:val="%7."/>
      <w:lvlJc w:val="left"/>
      <w:pPr>
        <w:tabs>
          <w:tab w:val="num" w:pos="3906"/>
        </w:tabs>
        <w:ind w:left="3906" w:hanging="360"/>
      </w:pPr>
    </w:lvl>
    <w:lvl w:ilvl="7" w:tplc="04090019" w:tentative="1">
      <w:start w:val="1"/>
      <w:numFmt w:val="lowerLetter"/>
      <w:lvlText w:val="%8."/>
      <w:lvlJc w:val="left"/>
      <w:pPr>
        <w:tabs>
          <w:tab w:val="num" w:pos="4626"/>
        </w:tabs>
        <w:ind w:left="4626" w:hanging="360"/>
      </w:pPr>
    </w:lvl>
    <w:lvl w:ilvl="8" w:tplc="0409001B" w:tentative="1">
      <w:start w:val="1"/>
      <w:numFmt w:val="lowerRoman"/>
      <w:lvlText w:val="%9."/>
      <w:lvlJc w:val="right"/>
      <w:pPr>
        <w:tabs>
          <w:tab w:val="num" w:pos="5346"/>
        </w:tabs>
        <w:ind w:left="5346" w:hanging="18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3D7B"/>
    <w:rsid w:val="0000783C"/>
    <w:rsid w:val="00016AC5"/>
    <w:rsid w:val="000252AB"/>
    <w:rsid w:val="0008332F"/>
    <w:rsid w:val="000A39A0"/>
    <w:rsid w:val="000F41F2"/>
    <w:rsid w:val="00160540"/>
    <w:rsid w:val="001708D3"/>
    <w:rsid w:val="00183D6C"/>
    <w:rsid w:val="00192EEB"/>
    <w:rsid w:val="001A20FB"/>
    <w:rsid w:val="001C60E9"/>
    <w:rsid w:val="001D7F8A"/>
    <w:rsid w:val="001E3FEB"/>
    <w:rsid w:val="001E4A02"/>
    <w:rsid w:val="00225A8C"/>
    <w:rsid w:val="00236FE8"/>
    <w:rsid w:val="002659F1"/>
    <w:rsid w:val="00287E79"/>
    <w:rsid w:val="002928F9"/>
    <w:rsid w:val="002A5133"/>
    <w:rsid w:val="002A5D07"/>
    <w:rsid w:val="003016B7"/>
    <w:rsid w:val="003515AA"/>
    <w:rsid w:val="00371C1C"/>
    <w:rsid w:val="00374106"/>
    <w:rsid w:val="003773BD"/>
    <w:rsid w:val="0038549D"/>
    <w:rsid w:val="003976D5"/>
    <w:rsid w:val="003B0B54"/>
    <w:rsid w:val="003D6C68"/>
    <w:rsid w:val="004159D0"/>
    <w:rsid w:val="00445D01"/>
    <w:rsid w:val="004C5D02"/>
    <w:rsid w:val="004F3806"/>
    <w:rsid w:val="00530543"/>
    <w:rsid w:val="00543D5E"/>
    <w:rsid w:val="00571F41"/>
    <w:rsid w:val="00577FB9"/>
    <w:rsid w:val="005E5D1F"/>
    <w:rsid w:val="005F6059"/>
    <w:rsid w:val="005F7E1C"/>
    <w:rsid w:val="00606158"/>
    <w:rsid w:val="00611D43"/>
    <w:rsid w:val="00612D48"/>
    <w:rsid w:val="00616B45"/>
    <w:rsid w:val="00630D9B"/>
    <w:rsid w:val="00631953"/>
    <w:rsid w:val="006439EC"/>
    <w:rsid w:val="0066321A"/>
    <w:rsid w:val="006B4590"/>
    <w:rsid w:val="006C340C"/>
    <w:rsid w:val="006D5054"/>
    <w:rsid w:val="006E2CC4"/>
    <w:rsid w:val="006F34F6"/>
    <w:rsid w:val="0070347C"/>
    <w:rsid w:val="007176C1"/>
    <w:rsid w:val="00732958"/>
    <w:rsid w:val="00735166"/>
    <w:rsid w:val="007508B0"/>
    <w:rsid w:val="00772C7C"/>
    <w:rsid w:val="007B6459"/>
    <w:rsid w:val="007D3D7B"/>
    <w:rsid w:val="007D7641"/>
    <w:rsid w:val="007F4B3D"/>
    <w:rsid w:val="007F55CB"/>
    <w:rsid w:val="00801277"/>
    <w:rsid w:val="008068EE"/>
    <w:rsid w:val="00812BB6"/>
    <w:rsid w:val="008238E0"/>
    <w:rsid w:val="00844750"/>
    <w:rsid w:val="008577BD"/>
    <w:rsid w:val="00896C54"/>
    <w:rsid w:val="008A12E0"/>
    <w:rsid w:val="008B44C4"/>
    <w:rsid w:val="008E4AAC"/>
    <w:rsid w:val="008E7FAE"/>
    <w:rsid w:val="00911BF7"/>
    <w:rsid w:val="00974272"/>
    <w:rsid w:val="00977EC8"/>
    <w:rsid w:val="00986F43"/>
    <w:rsid w:val="009A3214"/>
    <w:rsid w:val="009C135F"/>
    <w:rsid w:val="009D3A8C"/>
    <w:rsid w:val="009E7956"/>
    <w:rsid w:val="00A2492E"/>
    <w:rsid w:val="00A80DEF"/>
    <w:rsid w:val="00AC0AA6"/>
    <w:rsid w:val="00AC67A1"/>
    <w:rsid w:val="00AC7977"/>
    <w:rsid w:val="00AD0AAA"/>
    <w:rsid w:val="00AE352C"/>
    <w:rsid w:val="00B04787"/>
    <w:rsid w:val="00B12B48"/>
    <w:rsid w:val="00B3072E"/>
    <w:rsid w:val="00B32E2D"/>
    <w:rsid w:val="00B6019A"/>
    <w:rsid w:val="00B61990"/>
    <w:rsid w:val="00B85C98"/>
    <w:rsid w:val="00B86D20"/>
    <w:rsid w:val="00BF0556"/>
    <w:rsid w:val="00BF3AE0"/>
    <w:rsid w:val="00C261F8"/>
    <w:rsid w:val="00C33100"/>
    <w:rsid w:val="00C43383"/>
    <w:rsid w:val="00C6599B"/>
    <w:rsid w:val="00C76467"/>
    <w:rsid w:val="00CD1A71"/>
    <w:rsid w:val="00CD1FBB"/>
    <w:rsid w:val="00CD7788"/>
    <w:rsid w:val="00CF090D"/>
    <w:rsid w:val="00D016B5"/>
    <w:rsid w:val="00D034F1"/>
    <w:rsid w:val="00D27D5E"/>
    <w:rsid w:val="00D321A4"/>
    <w:rsid w:val="00DA3499"/>
    <w:rsid w:val="00DB31B1"/>
    <w:rsid w:val="00DE6D90"/>
    <w:rsid w:val="00DF002F"/>
    <w:rsid w:val="00E0244D"/>
    <w:rsid w:val="00E7175E"/>
    <w:rsid w:val="00E81E94"/>
    <w:rsid w:val="00E82607"/>
    <w:rsid w:val="00E930C7"/>
    <w:rsid w:val="00EA69F5"/>
    <w:rsid w:val="00EF179F"/>
    <w:rsid w:val="00F60E0A"/>
    <w:rsid w:val="00FA5A79"/>
    <w:rsid w:val="00FB0BFE"/>
    <w:rsid w:val="00FB4C51"/>
    <w:rsid w:val="00FC7782"/>
    <w:rsid w:val="00FD0438"/>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C1C"/>
    <w:pPr>
      <w:suppressAutoHyphens/>
      <w:spacing w:line="240" w:lineRule="atLeast"/>
    </w:pPr>
    <w:rPr>
      <w:lang w:val="fr-CH"/>
    </w:rPr>
  </w:style>
  <w:style w:type="paragraph" w:styleId="Heading1">
    <w:name w:val="heading 1"/>
    <w:aliases w:val="Table_G"/>
    <w:basedOn w:val="SingleTxtG"/>
    <w:next w:val="SingleTxtG"/>
    <w:qFormat/>
    <w:rsid w:val="00371C1C"/>
    <w:pPr>
      <w:keepNext/>
      <w:keepLines/>
      <w:spacing w:after="0" w:line="240" w:lineRule="auto"/>
      <w:ind w:right="0"/>
      <w:jc w:val="left"/>
      <w:outlineLvl w:val="0"/>
    </w:pPr>
  </w:style>
  <w:style w:type="paragraph" w:styleId="Heading2">
    <w:name w:val="heading 2"/>
    <w:basedOn w:val="Normal"/>
    <w:next w:val="Normal"/>
    <w:qFormat/>
    <w:rsid w:val="00371C1C"/>
    <w:pPr>
      <w:outlineLvl w:val="1"/>
    </w:pPr>
  </w:style>
  <w:style w:type="paragraph" w:styleId="Heading3">
    <w:name w:val="heading 3"/>
    <w:basedOn w:val="Normal"/>
    <w:next w:val="Normal"/>
    <w:qFormat/>
    <w:rsid w:val="00371C1C"/>
    <w:pPr>
      <w:outlineLvl w:val="2"/>
    </w:pPr>
  </w:style>
  <w:style w:type="paragraph" w:styleId="Heading4">
    <w:name w:val="heading 4"/>
    <w:basedOn w:val="Normal"/>
    <w:next w:val="Normal"/>
    <w:qFormat/>
    <w:rsid w:val="00371C1C"/>
    <w:pPr>
      <w:outlineLvl w:val="3"/>
    </w:pPr>
  </w:style>
  <w:style w:type="paragraph" w:styleId="Heading5">
    <w:name w:val="heading 5"/>
    <w:basedOn w:val="Normal"/>
    <w:next w:val="Normal"/>
    <w:qFormat/>
    <w:rsid w:val="00371C1C"/>
    <w:pPr>
      <w:outlineLvl w:val="4"/>
    </w:pPr>
  </w:style>
  <w:style w:type="paragraph" w:styleId="Heading6">
    <w:name w:val="heading 6"/>
    <w:basedOn w:val="Normal"/>
    <w:next w:val="Normal"/>
    <w:qFormat/>
    <w:rsid w:val="00371C1C"/>
    <w:pPr>
      <w:outlineLvl w:val="5"/>
    </w:pPr>
  </w:style>
  <w:style w:type="paragraph" w:styleId="Heading7">
    <w:name w:val="heading 7"/>
    <w:basedOn w:val="Normal"/>
    <w:next w:val="Normal"/>
    <w:qFormat/>
    <w:rsid w:val="00371C1C"/>
    <w:pPr>
      <w:outlineLvl w:val="6"/>
    </w:pPr>
  </w:style>
  <w:style w:type="paragraph" w:styleId="Heading8">
    <w:name w:val="heading 8"/>
    <w:basedOn w:val="Normal"/>
    <w:next w:val="Normal"/>
    <w:qFormat/>
    <w:rsid w:val="00371C1C"/>
    <w:pPr>
      <w:outlineLvl w:val="7"/>
    </w:pPr>
  </w:style>
  <w:style w:type="paragraph" w:styleId="Heading9">
    <w:name w:val="heading 9"/>
    <w:basedOn w:val="Normal"/>
    <w:next w:val="Normal"/>
    <w:qFormat/>
    <w:rsid w:val="00371C1C"/>
    <w:pPr>
      <w:outlineLvl w:val="8"/>
    </w:pPr>
  </w:style>
  <w:style w:type="character" w:default="1" w:styleId="DefaultParagraphFont">
    <w:name w:val="Default Paragraph Font"/>
    <w:semiHidden/>
    <w:rsid w:val="00371C1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71C1C"/>
  </w:style>
  <w:style w:type="paragraph" w:customStyle="1" w:styleId="HMG">
    <w:name w:val="_ H __M_G"/>
    <w:basedOn w:val="Normal"/>
    <w:next w:val="Normal"/>
    <w:rsid w:val="00371C1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71C1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371C1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371C1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71C1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71C1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371C1C"/>
    <w:pPr>
      <w:spacing w:after="120"/>
      <w:ind w:left="1134" w:right="1134"/>
      <w:jc w:val="both"/>
    </w:pPr>
  </w:style>
  <w:style w:type="paragraph" w:customStyle="1" w:styleId="SLG">
    <w:name w:val="__S_L_G"/>
    <w:basedOn w:val="Normal"/>
    <w:next w:val="Normal"/>
    <w:rsid w:val="00371C1C"/>
    <w:pPr>
      <w:keepNext/>
      <w:keepLines/>
      <w:spacing w:before="240" w:after="240" w:line="580" w:lineRule="exact"/>
      <w:ind w:left="1134" w:right="1134"/>
    </w:pPr>
    <w:rPr>
      <w:b/>
      <w:sz w:val="56"/>
    </w:rPr>
  </w:style>
  <w:style w:type="paragraph" w:customStyle="1" w:styleId="SMG">
    <w:name w:val="__S_M_G"/>
    <w:basedOn w:val="Normal"/>
    <w:next w:val="Normal"/>
    <w:rsid w:val="00371C1C"/>
    <w:pPr>
      <w:keepNext/>
      <w:keepLines/>
      <w:spacing w:before="240" w:after="240" w:line="420" w:lineRule="exact"/>
      <w:ind w:left="1134" w:right="1134"/>
    </w:pPr>
    <w:rPr>
      <w:b/>
      <w:sz w:val="40"/>
    </w:rPr>
  </w:style>
  <w:style w:type="paragraph" w:customStyle="1" w:styleId="SSG">
    <w:name w:val="__S_S_G"/>
    <w:basedOn w:val="Normal"/>
    <w:next w:val="Normal"/>
    <w:rsid w:val="00371C1C"/>
    <w:pPr>
      <w:keepNext/>
      <w:keepLines/>
      <w:spacing w:before="240" w:after="240" w:line="300" w:lineRule="exact"/>
      <w:ind w:left="1134" w:right="1134"/>
    </w:pPr>
    <w:rPr>
      <w:b/>
      <w:sz w:val="28"/>
    </w:rPr>
  </w:style>
  <w:style w:type="paragraph" w:customStyle="1" w:styleId="XLargeG">
    <w:name w:val="__XLarge_G"/>
    <w:basedOn w:val="Normal"/>
    <w:next w:val="Normal"/>
    <w:rsid w:val="00371C1C"/>
    <w:pPr>
      <w:keepNext/>
      <w:keepLines/>
      <w:spacing w:before="240" w:after="240" w:line="420" w:lineRule="exact"/>
      <w:ind w:left="1134" w:right="1134"/>
    </w:pPr>
    <w:rPr>
      <w:b/>
      <w:sz w:val="40"/>
    </w:rPr>
  </w:style>
  <w:style w:type="paragraph" w:customStyle="1" w:styleId="Bullet1G">
    <w:name w:val="_Bullet 1_G"/>
    <w:basedOn w:val="Normal"/>
    <w:rsid w:val="00371C1C"/>
    <w:pPr>
      <w:numPr>
        <w:numId w:val="1"/>
      </w:numPr>
      <w:spacing w:after="120"/>
      <w:ind w:right="1134"/>
      <w:jc w:val="both"/>
    </w:pPr>
  </w:style>
  <w:style w:type="paragraph" w:customStyle="1" w:styleId="Bullet2G">
    <w:name w:val="_Bullet 2_G"/>
    <w:basedOn w:val="Normal"/>
    <w:rsid w:val="00371C1C"/>
    <w:pPr>
      <w:numPr>
        <w:numId w:val="2"/>
      </w:numPr>
      <w:spacing w:after="120"/>
      <w:ind w:right="1134"/>
      <w:jc w:val="both"/>
    </w:pPr>
  </w:style>
  <w:style w:type="character" w:styleId="FootnoteReference">
    <w:name w:val="footnote reference"/>
    <w:aliases w:val="4_G"/>
    <w:basedOn w:val="DefaultParagraphFont"/>
    <w:rsid w:val="00371C1C"/>
    <w:rPr>
      <w:rFonts w:ascii="Times New Roman" w:hAnsi="Times New Roman"/>
      <w:sz w:val="18"/>
      <w:vertAlign w:val="superscript"/>
      <w:lang w:val="fr-CH"/>
    </w:rPr>
  </w:style>
  <w:style w:type="character" w:styleId="EndnoteReference">
    <w:name w:val="endnote reference"/>
    <w:aliases w:val="1_G"/>
    <w:basedOn w:val="FootnoteReference"/>
    <w:rsid w:val="00371C1C"/>
  </w:style>
  <w:style w:type="paragraph" w:styleId="Header">
    <w:name w:val="header"/>
    <w:aliases w:val="6_G"/>
    <w:basedOn w:val="Normal"/>
    <w:next w:val="Normal"/>
    <w:rsid w:val="00371C1C"/>
    <w:pPr>
      <w:pBdr>
        <w:bottom w:val="single" w:sz="4" w:space="4" w:color="auto"/>
      </w:pBdr>
      <w:spacing w:line="240" w:lineRule="auto"/>
    </w:pPr>
    <w:rPr>
      <w:b/>
      <w:sz w:val="18"/>
    </w:rPr>
  </w:style>
  <w:style w:type="paragraph" w:styleId="FootnoteText">
    <w:name w:val="footnote text"/>
    <w:aliases w:val="5_G"/>
    <w:basedOn w:val="Normal"/>
    <w:rsid w:val="00371C1C"/>
    <w:pPr>
      <w:tabs>
        <w:tab w:val="right" w:pos="1021"/>
      </w:tabs>
      <w:spacing w:line="220" w:lineRule="exact"/>
      <w:ind w:left="1134" w:right="1134" w:hanging="1134"/>
    </w:pPr>
    <w:rPr>
      <w:sz w:val="18"/>
    </w:rPr>
  </w:style>
  <w:style w:type="paragraph" w:styleId="EndnoteText">
    <w:name w:val="endnote text"/>
    <w:aliases w:val="2_G"/>
    <w:basedOn w:val="FootnoteText"/>
    <w:rsid w:val="00371C1C"/>
  </w:style>
  <w:style w:type="character" w:styleId="PageNumber">
    <w:name w:val="page number"/>
    <w:aliases w:val="7_G"/>
    <w:basedOn w:val="DefaultParagraphFont"/>
    <w:rsid w:val="00371C1C"/>
    <w:rPr>
      <w:rFonts w:ascii="Times New Roman" w:hAnsi="Times New Roman"/>
      <w:b/>
      <w:sz w:val="18"/>
      <w:lang w:val="fr-CH"/>
    </w:rPr>
  </w:style>
  <w:style w:type="paragraph" w:styleId="Footer">
    <w:name w:val="footer"/>
    <w:aliases w:val="3_G"/>
    <w:basedOn w:val="Normal"/>
    <w:next w:val="Normal"/>
    <w:rsid w:val="00371C1C"/>
    <w:pPr>
      <w:spacing w:line="240" w:lineRule="auto"/>
    </w:pPr>
    <w:rPr>
      <w:sz w:val="16"/>
    </w:rPr>
  </w:style>
  <w:style w:type="character" w:styleId="Hyperlink">
    <w:name w:val="Hyperlink"/>
    <w:basedOn w:val="DefaultParagraphFont"/>
    <w:semiHidden/>
    <w:rsid w:val="00371C1C"/>
    <w:rPr>
      <w:color w:val="auto"/>
      <w:u w:val="none"/>
    </w:rPr>
  </w:style>
  <w:style w:type="character" w:styleId="FollowedHyperlink">
    <w:name w:val="FollowedHyperlink"/>
    <w:basedOn w:val="DefaultParagraphFont"/>
    <w:semiHidden/>
    <w:rsid w:val="00371C1C"/>
    <w:rPr>
      <w:color w:val="auto"/>
      <w:u w:val="none"/>
    </w:rPr>
  </w:style>
  <w:style w:type="paragraph" w:customStyle="1" w:styleId="ParNoG">
    <w:name w:val="_ParNo_G"/>
    <w:basedOn w:val="SingleTxtG"/>
    <w:rsid w:val="00CF090D"/>
    <w:pPr>
      <w:numPr>
        <w:numId w:val="3"/>
      </w:numPr>
    </w:pPr>
  </w:style>
  <w:style w:type="table" w:styleId="TableGrid">
    <w:name w:val="Table Grid"/>
    <w:basedOn w:val="TableNormal"/>
    <w:semiHidden/>
    <w:rsid w:val="00371C1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har">
    <w:name w:val="_ Single Txt_G Char"/>
    <w:link w:val="SingleTxtG"/>
    <w:rsid w:val="00B3072E"/>
    <w:rPr>
      <w:lang w:val="fr-CH" w:eastAsia="en-US" w:bidi="ar-SA"/>
    </w:rPr>
  </w:style>
  <w:style w:type="character" w:customStyle="1" w:styleId="H23GChar">
    <w:name w:val="_ H_2/3_G Char"/>
    <w:link w:val="H23G"/>
    <w:rsid w:val="00B3072E"/>
    <w:rPr>
      <w:b/>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0</TotalTime>
  <Pages>8</Pages>
  <Words>2822</Words>
  <Characters>15691</Characters>
  <Application>Microsoft Office Outlook</Application>
  <DocSecurity>4</DocSecurity>
  <Lines>523</Lines>
  <Paragraphs>194</Paragraphs>
  <ScaleCrop>false</ScaleCrop>
  <HeadingPairs>
    <vt:vector size="2" baseType="variant">
      <vt:variant>
        <vt:lpstr>Titre</vt:lpstr>
      </vt:variant>
      <vt:variant>
        <vt:i4>1</vt:i4>
      </vt:variant>
    </vt:vector>
  </HeadingPairs>
  <TitlesOfParts>
    <vt:vector size="1" baseType="lpstr">
      <vt:lpstr>HRI/CORE/FJI/2006/Add.2</vt:lpstr>
    </vt:vector>
  </TitlesOfParts>
  <Company>Corinne</Company>
  <LinksUpToDate>false</LinksUpToDate>
  <CharactersWithSpaces>18319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HRI/CORE/FJI/2006/Add.2</dc:title>
  <dc:subject/>
  <dc:creator>Clere</dc:creator>
  <cp:keywords/>
  <dc:description/>
  <cp:lastModifiedBy>Nath. V</cp:lastModifiedBy>
  <cp:revision>2</cp:revision>
  <cp:lastPrinted>2013-11-08T11:03:00Z</cp:lastPrinted>
  <dcterms:created xsi:type="dcterms:W3CDTF">2013-11-08T14:07:00Z</dcterms:created>
  <dcterms:modified xsi:type="dcterms:W3CDTF">2013-11-08T14:07:00Z</dcterms:modified>
</cp:coreProperties>
</file>